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2796A">
      <w:pPr>
        <w:spacing w:line="360" w:lineRule="auto"/>
        <w:jc w:val="center"/>
        <w:rPr>
          <w:rFonts w:ascii="宋体" w:hAnsi="宋体"/>
          <w:b/>
          <w:bCs/>
          <w:snapToGrid w:val="0"/>
          <w:szCs w:val="21"/>
        </w:rPr>
      </w:pPr>
      <w:r>
        <w:rPr>
          <w:rFonts w:hint="eastAsia" w:ascii="宋体" w:hAnsi="宋体"/>
          <w:b/>
          <w:bCs/>
          <w:snapToGrid w:val="0"/>
          <w:sz w:val="24"/>
        </w:rPr>
        <w:t>上海市中环路（浦西段）、虹桥枢纽（核心区）下部结构涂装层维护保洁</w:t>
      </w:r>
    </w:p>
    <w:p w14:paraId="5AA8D7EF">
      <w:pPr>
        <w:spacing w:line="360" w:lineRule="auto"/>
        <w:jc w:val="center"/>
        <w:rPr>
          <w:rFonts w:ascii="宋体" w:hAnsi="宋体"/>
          <w:b/>
          <w:bCs/>
          <w:snapToGrid w:val="0"/>
          <w:szCs w:val="21"/>
        </w:rPr>
      </w:pPr>
      <w:r>
        <w:rPr>
          <w:rFonts w:hint="eastAsia" w:ascii="宋体" w:hAnsi="宋体"/>
          <w:b/>
          <w:bCs/>
          <w:snapToGrid w:val="0"/>
          <w:sz w:val="24"/>
        </w:rPr>
        <w:t>采购需求</w:t>
      </w:r>
    </w:p>
    <w:p w14:paraId="5F198E3D">
      <w:pPr>
        <w:spacing w:line="360" w:lineRule="auto"/>
        <w:jc w:val="both"/>
        <w:rPr>
          <w:rFonts w:ascii="宋体" w:hAnsi="宋体"/>
          <w:snapToGrid w:val="0"/>
          <w:szCs w:val="21"/>
        </w:rPr>
      </w:pPr>
    </w:p>
    <w:p w14:paraId="1A70D28E">
      <w:pPr>
        <w:spacing w:line="360" w:lineRule="auto"/>
        <w:jc w:val="both"/>
        <w:outlineLvl w:val="0"/>
        <w:rPr>
          <w:rFonts w:ascii="宋体" w:hAnsi="宋体"/>
          <w:b/>
          <w:bCs/>
          <w:snapToGrid w:val="0"/>
          <w:szCs w:val="21"/>
        </w:rPr>
      </w:pPr>
      <w:r>
        <w:rPr>
          <w:rFonts w:hint="eastAsia" w:ascii="宋体" w:hAnsi="宋体"/>
          <w:b/>
          <w:bCs/>
          <w:snapToGrid w:val="0"/>
          <w:szCs w:val="21"/>
        </w:rPr>
        <w:t>一、项目概况</w:t>
      </w:r>
    </w:p>
    <w:p w14:paraId="754A462F">
      <w:pPr>
        <w:spacing w:line="360" w:lineRule="auto"/>
        <w:ind w:firstLine="420" w:firstLineChars="200"/>
        <w:jc w:val="both"/>
        <w:rPr>
          <w:rFonts w:ascii="宋体" w:hAnsi="宋体"/>
          <w:snapToGrid w:val="0"/>
          <w:szCs w:val="21"/>
        </w:rPr>
      </w:pPr>
      <w:r>
        <w:rPr>
          <w:rFonts w:hint="eastAsia" w:ascii="宋体" w:hAnsi="宋体"/>
          <w:snapToGrid w:val="0"/>
          <w:szCs w:val="21"/>
        </w:rPr>
        <w:t>1、项目名称：上海市中环路（浦西段）、虹桥枢纽（核心区）下部结构涂装层维护保洁</w:t>
      </w:r>
    </w:p>
    <w:p w14:paraId="3D73668C">
      <w:pPr>
        <w:spacing w:line="360" w:lineRule="auto"/>
        <w:ind w:firstLine="420" w:firstLineChars="200"/>
        <w:jc w:val="both"/>
        <w:rPr>
          <w:rFonts w:ascii="宋体" w:hAnsi="宋体"/>
          <w:snapToGrid w:val="0"/>
          <w:szCs w:val="21"/>
        </w:rPr>
      </w:pPr>
      <w:r>
        <w:rPr>
          <w:rFonts w:hint="eastAsia" w:ascii="宋体" w:hAnsi="宋体"/>
          <w:snapToGrid w:val="0"/>
          <w:szCs w:val="21"/>
        </w:rPr>
        <w:t>2、设施概况：</w:t>
      </w:r>
    </w:p>
    <w:p w14:paraId="07817CAA">
      <w:pPr>
        <w:spacing w:line="360" w:lineRule="auto"/>
        <w:ind w:firstLine="422" w:firstLineChars="200"/>
        <w:jc w:val="both"/>
        <w:rPr>
          <w:rFonts w:ascii="宋体" w:hAnsi="宋体"/>
          <w:b/>
          <w:bCs/>
          <w:szCs w:val="21"/>
        </w:rPr>
      </w:pPr>
      <w:r>
        <w:rPr>
          <w:rFonts w:hint="eastAsia" w:ascii="宋体" w:hAnsi="宋体"/>
          <w:b/>
          <w:bCs/>
          <w:szCs w:val="21"/>
        </w:rPr>
        <w:t>（1）中环路浦西段下部结构涂装层维护保洁（一标）</w:t>
      </w:r>
    </w:p>
    <w:p w14:paraId="0D9848D2">
      <w:pPr>
        <w:spacing w:line="360" w:lineRule="auto"/>
        <w:ind w:firstLine="420" w:firstLineChars="200"/>
        <w:jc w:val="both"/>
        <w:rPr>
          <w:rFonts w:ascii="宋体" w:hAnsi="宋体"/>
          <w:szCs w:val="21"/>
        </w:rPr>
      </w:pPr>
      <w:r>
        <w:rPr>
          <w:rFonts w:hint="eastAsia" w:ascii="宋体" w:hAnsi="宋体"/>
          <w:szCs w:val="21"/>
        </w:rPr>
        <w:t>项目范围：中环线（浦西段）高架（ZN/ZW0001-0802）处设施。高架下部涂装2米以下面积为113250平方米，2米以上面积为1032691平方米。</w:t>
      </w:r>
    </w:p>
    <w:p w14:paraId="262E6992">
      <w:pPr>
        <w:spacing w:line="360" w:lineRule="auto"/>
        <w:ind w:firstLine="420" w:firstLineChars="200"/>
        <w:jc w:val="both"/>
        <w:rPr>
          <w:rFonts w:ascii="宋体" w:hAnsi="宋体"/>
          <w:szCs w:val="21"/>
        </w:rPr>
      </w:pPr>
      <w:r>
        <w:rPr>
          <w:rFonts w:hint="eastAsia" w:ascii="宋体" w:hAnsi="宋体"/>
          <w:szCs w:val="21"/>
        </w:rPr>
        <w:t>主要实施内容：1）高架下部结构涂装层维护保洁范围包括高架盖梁、梁底、立柱、防撞墙外侧等；2）范围内所有高架立柱2米以下保洁频率为每年6次，对高架立柱2米以上保洁频率为每年3次；3）标段内涂装层涂料修补；4）标段内滴水线维修。</w:t>
      </w:r>
    </w:p>
    <w:p w14:paraId="5D94D23D">
      <w:pPr>
        <w:spacing w:line="360" w:lineRule="auto"/>
        <w:ind w:firstLine="422" w:firstLineChars="200"/>
        <w:jc w:val="both"/>
        <w:rPr>
          <w:rFonts w:ascii="宋体" w:hAnsi="宋体"/>
          <w:b/>
          <w:bCs/>
          <w:szCs w:val="21"/>
        </w:rPr>
      </w:pPr>
      <w:r>
        <w:rPr>
          <w:rFonts w:hint="eastAsia" w:ascii="宋体" w:hAnsi="宋体"/>
          <w:b/>
          <w:bCs/>
          <w:szCs w:val="21"/>
        </w:rPr>
        <w:t>（2）中环路浦西段下部结构涂装层维护保洁（二标）</w:t>
      </w:r>
    </w:p>
    <w:p w14:paraId="315263F3">
      <w:pPr>
        <w:spacing w:line="360" w:lineRule="auto"/>
        <w:ind w:firstLine="420" w:firstLineChars="200"/>
        <w:jc w:val="both"/>
        <w:rPr>
          <w:rFonts w:ascii="宋体" w:hAnsi="宋体"/>
          <w:szCs w:val="21"/>
        </w:rPr>
      </w:pPr>
      <w:r>
        <w:rPr>
          <w:rFonts w:hint="eastAsia" w:ascii="宋体" w:hAnsi="宋体"/>
          <w:szCs w:val="21"/>
        </w:rPr>
        <w:t>项目范围：中环线（浦西段）桩号（ZN/ZW802-1306）处设施：高架下部涂装2米以下面积为110667平方米，2米以上面积为982569平方米。</w:t>
      </w:r>
    </w:p>
    <w:p w14:paraId="40D1296F">
      <w:pPr>
        <w:spacing w:line="360" w:lineRule="auto"/>
        <w:ind w:firstLine="420" w:firstLineChars="200"/>
        <w:jc w:val="both"/>
        <w:rPr>
          <w:rFonts w:ascii="宋体" w:hAnsi="宋体"/>
          <w:szCs w:val="21"/>
        </w:rPr>
      </w:pPr>
      <w:r>
        <w:rPr>
          <w:rFonts w:hint="eastAsia" w:ascii="宋体" w:hAnsi="宋体"/>
          <w:szCs w:val="21"/>
        </w:rPr>
        <w:t>全路段含13个上下匝道，三座立交（共和新路立交，大柏树立交，军工路立交），跨宝山、静安、虹口、杨浦）四个地段。</w:t>
      </w:r>
    </w:p>
    <w:p w14:paraId="332F5E18">
      <w:pPr>
        <w:spacing w:line="360" w:lineRule="auto"/>
        <w:ind w:firstLine="420" w:firstLineChars="200"/>
        <w:jc w:val="both"/>
        <w:rPr>
          <w:rFonts w:ascii="宋体" w:hAnsi="宋体"/>
          <w:szCs w:val="21"/>
        </w:rPr>
      </w:pPr>
      <w:r>
        <w:rPr>
          <w:rFonts w:hint="eastAsia" w:ascii="宋体" w:hAnsi="宋体"/>
          <w:szCs w:val="21"/>
        </w:rPr>
        <w:t>主要实施内容：1）高架下部结构涂装层维护保洁范围包括高架盖梁、梁底、立柱、防撞墙外侧等；2）范围内所有高架立柱2米以下保洁频率为每年6次，对高架立柱2米以上保洁频率为每年3次；3）标段内涂装层涂料修补；4）标段内滴水线维修。</w:t>
      </w:r>
    </w:p>
    <w:p w14:paraId="3B397F3C">
      <w:pPr>
        <w:spacing w:line="360" w:lineRule="auto"/>
        <w:ind w:firstLine="422" w:firstLineChars="200"/>
        <w:jc w:val="both"/>
        <w:rPr>
          <w:rFonts w:ascii="宋体" w:hAnsi="宋体"/>
          <w:b/>
          <w:bCs/>
          <w:szCs w:val="21"/>
        </w:rPr>
      </w:pPr>
      <w:r>
        <w:rPr>
          <w:rFonts w:hint="eastAsia" w:ascii="宋体" w:hAnsi="宋体"/>
          <w:b/>
          <w:bCs/>
          <w:szCs w:val="21"/>
        </w:rPr>
        <w:t>（3）虹桥枢纽（核心区）下部结构涂装层维护保洁</w:t>
      </w:r>
    </w:p>
    <w:p w14:paraId="27D2E356">
      <w:pPr>
        <w:spacing w:line="360" w:lineRule="auto"/>
        <w:ind w:firstLine="420" w:firstLineChars="200"/>
        <w:jc w:val="both"/>
        <w:rPr>
          <w:rFonts w:ascii="宋体" w:hAnsi="宋体"/>
          <w:szCs w:val="21"/>
        </w:rPr>
      </w:pPr>
      <w:r>
        <w:rPr>
          <w:rFonts w:hint="eastAsia" w:ascii="宋体" w:hAnsi="宋体"/>
          <w:szCs w:val="21"/>
        </w:rPr>
        <w:t>项目范围：主要内容包括虹翟高架路、虹渝高架路、建虹高架路、核心区循环圈高架及上下匝道；虹翟高架路（翟D（X）00-64）；虹渝高架路（HT000～HT107、TH000～TH120，另包括连接沪渝高速的七DB、七BD匝道）；建虹高架路（FJ00～FJ51、JF27-JF87）；崧泽高架（崧N（B）00-21）等设施；四条主线高架道路为全桥涂装保洁；核心区高架循环圈71条匝道为全桥涂装保洁。</w:t>
      </w:r>
    </w:p>
    <w:p w14:paraId="6068191B">
      <w:pPr>
        <w:spacing w:line="360" w:lineRule="auto"/>
        <w:ind w:firstLine="420" w:firstLineChars="200"/>
        <w:jc w:val="both"/>
        <w:rPr>
          <w:rFonts w:ascii="宋体" w:hAnsi="宋体"/>
          <w:szCs w:val="21"/>
        </w:rPr>
      </w:pPr>
      <w:r>
        <w:rPr>
          <w:rFonts w:hint="eastAsia" w:ascii="宋体" w:hAnsi="宋体"/>
          <w:szCs w:val="21"/>
        </w:rPr>
        <w:t>高架下部涂装2米以下面积为19098平方米，2米以上面积为623600平方米。</w:t>
      </w:r>
    </w:p>
    <w:p w14:paraId="2AA92C79">
      <w:pPr>
        <w:spacing w:line="360" w:lineRule="auto"/>
        <w:ind w:firstLine="420" w:firstLineChars="200"/>
        <w:jc w:val="both"/>
        <w:rPr>
          <w:rFonts w:ascii="宋体" w:hAnsi="宋体"/>
          <w:szCs w:val="21"/>
        </w:rPr>
      </w:pPr>
      <w:r>
        <w:rPr>
          <w:rFonts w:hint="eastAsia" w:ascii="宋体" w:hAnsi="宋体"/>
          <w:szCs w:val="21"/>
        </w:rPr>
        <w:t>主要实施内容：1）高架下部结构涂装层维护保洁范围包括高架盖梁、梁底、立柱、防撞墙外侧等；2）范围内所有高架立柱2米以下保洁频率为每年6次，对高架立柱2米以上保洁频率为每年3次；3）标段内涂装层涂料修补；4）标段内滴水线维修。</w:t>
      </w:r>
    </w:p>
    <w:p w14:paraId="371BEA9C">
      <w:pPr>
        <w:spacing w:line="360" w:lineRule="auto"/>
        <w:ind w:firstLine="420" w:firstLineChars="200"/>
        <w:jc w:val="both"/>
        <w:rPr>
          <w:rFonts w:ascii="宋体" w:hAnsi="宋体"/>
          <w:snapToGrid w:val="0"/>
          <w:szCs w:val="21"/>
        </w:rPr>
      </w:pPr>
      <w:r>
        <w:rPr>
          <w:rFonts w:hint="eastAsia" w:ascii="宋体" w:hAnsi="宋体"/>
          <w:snapToGrid w:val="0"/>
          <w:szCs w:val="21"/>
        </w:rPr>
        <w:t>3、招标范围与内容：</w:t>
      </w:r>
    </w:p>
    <w:p w14:paraId="4504358B">
      <w:pPr>
        <w:spacing w:line="360" w:lineRule="auto"/>
        <w:ind w:firstLine="420" w:firstLineChars="200"/>
        <w:jc w:val="both"/>
        <w:rPr>
          <w:rFonts w:ascii="宋体" w:hAnsi="宋体"/>
          <w:snapToGrid w:val="0"/>
          <w:szCs w:val="21"/>
        </w:rPr>
      </w:pPr>
      <w:r>
        <w:rPr>
          <w:rFonts w:hint="eastAsia" w:ascii="宋体" w:hAnsi="宋体"/>
          <w:snapToGrid w:val="0"/>
          <w:szCs w:val="21"/>
        </w:rPr>
        <w:t>本次采购工作内容为对中环路（浦西段）和虹桥枢纽（核心区）的下部结构涂装层开展维护保洁工作，主要包括对所有设施开展日常养护、清洗保洁、涂料修补、巡视巡查和采购人要求的其他服务工作等。</w:t>
      </w:r>
    </w:p>
    <w:p w14:paraId="4D86EB4A">
      <w:pPr>
        <w:spacing w:line="360" w:lineRule="auto"/>
        <w:ind w:firstLine="420" w:firstLineChars="200"/>
        <w:jc w:val="both"/>
        <w:rPr>
          <w:rFonts w:ascii="宋体" w:hAnsi="宋体"/>
          <w:snapToGrid w:val="0"/>
          <w:szCs w:val="21"/>
        </w:rPr>
      </w:pPr>
      <w:r>
        <w:rPr>
          <w:rFonts w:hint="eastAsia" w:ascii="宋体" w:hAnsi="宋体"/>
          <w:snapToGrid w:val="0"/>
          <w:szCs w:val="21"/>
        </w:rPr>
        <w:t>本项目分三个包件，包件一为“上海市中环路浦西段下部结构涂装层维护保洁（一标）”，包件二为“上海市中环路浦西段下部结构涂装层维护保洁（二标）”，包件三为“虹桥枢纽（核心区）下部结构涂装层维护保洁项目”。</w:t>
      </w:r>
    </w:p>
    <w:p w14:paraId="4BFD4EE6">
      <w:pPr>
        <w:spacing w:line="360" w:lineRule="auto"/>
        <w:ind w:firstLine="420" w:firstLineChars="200"/>
        <w:jc w:val="both"/>
        <w:rPr>
          <w:rFonts w:ascii="宋体" w:hAnsi="宋体"/>
          <w:snapToGrid w:val="0"/>
          <w:szCs w:val="21"/>
        </w:rPr>
      </w:pPr>
      <w:r>
        <w:rPr>
          <w:rFonts w:hint="eastAsia" w:ascii="宋体" w:hAnsi="宋体"/>
          <w:snapToGrid w:val="0"/>
          <w:szCs w:val="21"/>
        </w:rPr>
        <w:t>4、</w:t>
      </w:r>
      <w:r>
        <w:rPr>
          <w:rFonts w:hint="eastAsia" w:ascii="宋体" w:hAnsi="宋体"/>
          <w:b/>
          <w:bCs/>
          <w:snapToGrid w:val="0"/>
          <w:szCs w:val="21"/>
        </w:rPr>
        <w:t>若在养护合同期内因重大活动或主管单位工作要求而需增加养护频率的，经费由中标人自行承担</w:t>
      </w:r>
      <w:r>
        <w:rPr>
          <w:rFonts w:hint="eastAsia" w:ascii="宋体" w:hAnsi="宋体"/>
          <w:snapToGrid w:val="0"/>
          <w:szCs w:val="21"/>
        </w:rPr>
        <w:t>。</w:t>
      </w:r>
    </w:p>
    <w:p w14:paraId="4FC89F4D">
      <w:pPr>
        <w:spacing w:line="360" w:lineRule="auto"/>
        <w:ind w:firstLine="424" w:firstLineChars="202"/>
        <w:jc w:val="both"/>
        <w:rPr>
          <w:rFonts w:ascii="宋体" w:hAnsi="宋体"/>
          <w:snapToGrid w:val="0"/>
          <w:szCs w:val="21"/>
        </w:rPr>
      </w:pPr>
    </w:p>
    <w:p w14:paraId="5E942D54">
      <w:pPr>
        <w:spacing w:line="360" w:lineRule="auto"/>
        <w:jc w:val="both"/>
        <w:outlineLvl w:val="0"/>
        <w:rPr>
          <w:rFonts w:ascii="宋体" w:hAnsi="宋体"/>
          <w:b/>
          <w:bCs/>
          <w:snapToGrid w:val="0"/>
          <w:szCs w:val="21"/>
        </w:rPr>
      </w:pPr>
      <w:r>
        <w:rPr>
          <w:rFonts w:hint="eastAsia" w:ascii="宋体" w:hAnsi="宋体"/>
          <w:b/>
          <w:bCs/>
          <w:snapToGrid w:val="0"/>
          <w:szCs w:val="21"/>
        </w:rPr>
        <w:t>二、技术要求与质量标准</w:t>
      </w:r>
    </w:p>
    <w:p w14:paraId="759BDFFB">
      <w:pPr>
        <w:spacing w:line="360" w:lineRule="auto"/>
        <w:ind w:firstLine="424" w:firstLineChars="202"/>
        <w:jc w:val="both"/>
        <w:rPr>
          <w:rFonts w:ascii="宋体" w:hAnsi="宋体"/>
          <w:snapToGrid w:val="0"/>
          <w:szCs w:val="21"/>
        </w:rPr>
      </w:pPr>
      <w:r>
        <w:rPr>
          <w:rFonts w:hint="eastAsia" w:ascii="宋体" w:hAnsi="宋体"/>
          <w:snapToGrid w:val="0"/>
          <w:szCs w:val="21"/>
        </w:rPr>
        <w:t>本项目应按以下标准、规范（包括但不限于）开展养护维修作业：</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7366"/>
      </w:tblGrid>
      <w:tr w14:paraId="72B8D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tcBorders>
              <w:top w:val="single" w:color="auto" w:sz="4" w:space="0"/>
              <w:left w:val="single" w:color="auto" w:sz="4" w:space="0"/>
              <w:bottom w:val="single" w:color="auto" w:sz="4" w:space="0"/>
              <w:right w:val="single" w:color="auto" w:sz="4" w:space="0"/>
            </w:tcBorders>
            <w:vAlign w:val="center"/>
          </w:tcPr>
          <w:p w14:paraId="0C973AC0">
            <w:pPr>
              <w:jc w:val="center"/>
              <w:textAlignment w:val="auto"/>
              <w:rPr>
                <w:rFonts w:ascii="宋体" w:hAnsi="宋体"/>
                <w:b/>
                <w:bCs/>
                <w:snapToGrid w:val="0"/>
                <w:kern w:val="0"/>
                <w:sz w:val="20"/>
                <w:szCs w:val="20"/>
              </w:rPr>
            </w:pPr>
            <w:r>
              <w:rPr>
                <w:rFonts w:hint="eastAsia" w:ascii="宋体" w:hAnsi="宋体"/>
                <w:b/>
                <w:bCs/>
                <w:snapToGrid w:val="0"/>
                <w:kern w:val="0"/>
                <w:sz w:val="20"/>
                <w:szCs w:val="20"/>
              </w:rPr>
              <w:t>序号</w:t>
            </w:r>
          </w:p>
        </w:tc>
        <w:tc>
          <w:tcPr>
            <w:tcW w:w="7366" w:type="dxa"/>
            <w:tcBorders>
              <w:top w:val="single" w:color="auto" w:sz="4" w:space="0"/>
              <w:left w:val="single" w:color="auto" w:sz="4" w:space="0"/>
              <w:bottom w:val="single" w:color="auto" w:sz="4" w:space="0"/>
              <w:right w:val="single" w:color="auto" w:sz="4" w:space="0"/>
            </w:tcBorders>
            <w:vAlign w:val="center"/>
          </w:tcPr>
          <w:p w14:paraId="20B59F9C">
            <w:pPr>
              <w:jc w:val="center"/>
              <w:textAlignment w:val="auto"/>
              <w:rPr>
                <w:rFonts w:ascii="宋体" w:hAnsi="宋体"/>
                <w:b/>
                <w:bCs/>
                <w:snapToGrid w:val="0"/>
                <w:kern w:val="0"/>
                <w:sz w:val="20"/>
                <w:szCs w:val="20"/>
              </w:rPr>
            </w:pPr>
            <w:r>
              <w:rPr>
                <w:rFonts w:hint="eastAsia" w:ascii="宋体" w:hAnsi="宋体"/>
                <w:b/>
                <w:bCs/>
                <w:snapToGrid w:val="0"/>
                <w:kern w:val="0"/>
                <w:sz w:val="20"/>
                <w:szCs w:val="20"/>
              </w:rPr>
              <w:t>规范名称</w:t>
            </w:r>
          </w:p>
        </w:tc>
      </w:tr>
      <w:tr w14:paraId="5EB7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393F31AD">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48617AF6">
            <w:pPr>
              <w:jc w:val="both"/>
              <w:textAlignment w:val="auto"/>
              <w:rPr>
                <w:rFonts w:ascii="宋体" w:hAnsi="宋体"/>
                <w:snapToGrid w:val="0"/>
                <w:kern w:val="0"/>
                <w:sz w:val="20"/>
                <w:szCs w:val="20"/>
              </w:rPr>
            </w:pPr>
            <w:bookmarkStart w:id="0" w:name="OLE_LINK25"/>
            <w:bookmarkStart w:id="1" w:name="OLE_LINK26"/>
            <w:r>
              <w:rPr>
                <w:rFonts w:ascii="宋体" w:hAnsi="宋体" w:cstheme="minorBidi"/>
                <w:snapToGrid w:val="0"/>
                <w:kern w:val="0"/>
                <w:sz w:val="20"/>
                <w:szCs w:val="20"/>
              </w:rPr>
              <w:t>《上海市城市道路养护技术规程</w:t>
            </w:r>
            <w:bookmarkEnd w:id="0"/>
            <w:bookmarkEnd w:id="1"/>
            <w:r>
              <w:rPr>
                <w:rFonts w:ascii="宋体" w:hAnsi="宋体" w:cstheme="minorBidi"/>
                <w:snapToGrid w:val="0"/>
                <w:kern w:val="0"/>
                <w:sz w:val="20"/>
                <w:szCs w:val="20"/>
              </w:rPr>
              <w:t>》（</w:t>
            </w:r>
            <w:bookmarkStart w:id="2" w:name="OLE_LINK27"/>
            <w:bookmarkStart w:id="3" w:name="OLE_LINK28"/>
            <w:r>
              <w:rPr>
                <w:rFonts w:ascii="宋体" w:hAnsi="宋体" w:cstheme="minorBidi"/>
                <w:snapToGrid w:val="0"/>
                <w:kern w:val="0"/>
                <w:sz w:val="20"/>
                <w:szCs w:val="20"/>
              </w:rPr>
              <w:t>DG/TJ08-92-2013</w:t>
            </w:r>
            <w:bookmarkEnd w:id="2"/>
            <w:bookmarkEnd w:id="3"/>
            <w:r>
              <w:rPr>
                <w:rFonts w:ascii="宋体" w:hAnsi="宋体" w:cstheme="minorBidi"/>
                <w:snapToGrid w:val="0"/>
                <w:kern w:val="0"/>
                <w:sz w:val="20"/>
                <w:szCs w:val="20"/>
              </w:rPr>
              <w:t>）</w:t>
            </w:r>
          </w:p>
        </w:tc>
      </w:tr>
      <w:tr w14:paraId="3D14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2E05F225">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35273B20">
            <w:pPr>
              <w:jc w:val="both"/>
              <w:textAlignment w:val="auto"/>
              <w:rPr>
                <w:rFonts w:ascii="宋体" w:hAnsi="宋体"/>
                <w:snapToGrid w:val="0"/>
                <w:kern w:val="0"/>
                <w:sz w:val="20"/>
                <w:szCs w:val="20"/>
              </w:rPr>
            </w:pPr>
            <w:r>
              <w:rPr>
                <w:rFonts w:ascii="宋体" w:hAnsi="宋体" w:cstheme="minorBidi"/>
                <w:snapToGrid w:val="0"/>
                <w:kern w:val="0"/>
                <w:sz w:val="20"/>
                <w:szCs w:val="20"/>
              </w:rPr>
              <w:t>《上海市城市高架道路养护技术规范》（DB31/T 678-2012）</w:t>
            </w:r>
          </w:p>
        </w:tc>
      </w:tr>
      <w:tr w14:paraId="2C4F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45F4AFD1">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5709C176">
            <w:pPr>
              <w:jc w:val="both"/>
              <w:textAlignment w:val="auto"/>
              <w:rPr>
                <w:rFonts w:ascii="宋体" w:hAnsi="宋体"/>
                <w:snapToGrid w:val="0"/>
                <w:kern w:val="0"/>
                <w:sz w:val="20"/>
                <w:szCs w:val="20"/>
              </w:rPr>
            </w:pPr>
            <w:r>
              <w:rPr>
                <w:rFonts w:ascii="宋体" w:hAnsi="宋体" w:cstheme="minorBidi"/>
                <w:snapToGrid w:val="0"/>
                <w:kern w:val="0"/>
                <w:sz w:val="20"/>
                <w:szCs w:val="20"/>
              </w:rPr>
              <w:t>《上海市建（构）筑物外立面清洗保养技术规程》（DG/TJ08-403-2005）</w:t>
            </w:r>
          </w:p>
        </w:tc>
      </w:tr>
      <w:tr w14:paraId="2428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0874ECD5">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08AE5CBB">
            <w:pPr>
              <w:jc w:val="both"/>
              <w:textAlignment w:val="auto"/>
              <w:rPr>
                <w:rFonts w:ascii="宋体" w:hAnsi="宋体"/>
                <w:snapToGrid w:val="0"/>
                <w:kern w:val="0"/>
                <w:sz w:val="20"/>
                <w:szCs w:val="20"/>
              </w:rPr>
            </w:pPr>
            <w:r>
              <w:rPr>
                <w:rFonts w:ascii="宋体" w:hAnsi="宋体" w:cstheme="minorBidi"/>
                <w:snapToGrid w:val="0"/>
                <w:kern w:val="0"/>
                <w:sz w:val="20"/>
                <w:szCs w:val="20"/>
              </w:rPr>
              <w:t>《建筑外墙清洗维护技术规程》（JGJ-168-2009）</w:t>
            </w:r>
          </w:p>
        </w:tc>
      </w:tr>
      <w:tr w14:paraId="53CFA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3512E917">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3184EEF3">
            <w:pPr>
              <w:textAlignment w:val="auto"/>
              <w:rPr>
                <w:rFonts w:ascii="宋体" w:hAnsi="宋体"/>
                <w:snapToGrid w:val="0"/>
                <w:kern w:val="0"/>
                <w:sz w:val="20"/>
                <w:szCs w:val="20"/>
              </w:rPr>
            </w:pPr>
            <w:r>
              <w:rPr>
                <w:rFonts w:ascii="宋体" w:hAnsi="宋体" w:cstheme="minorBidi"/>
                <w:snapToGrid w:val="0"/>
                <w:kern w:val="0"/>
                <w:sz w:val="20"/>
                <w:szCs w:val="20"/>
              </w:rPr>
              <w:t>《城市道路养护维修作业安全技术规程》（</w:t>
            </w:r>
            <w:r>
              <w:rPr>
                <w:rFonts w:hint="eastAsia" w:ascii="宋体" w:hAnsi="宋体" w:cstheme="minorBidi"/>
                <w:snapToGrid w:val="0"/>
                <w:kern w:val="0"/>
                <w:sz w:val="20"/>
                <w:szCs w:val="20"/>
              </w:rPr>
              <w:t>DG/TJ 08-2183-2015</w:t>
            </w:r>
            <w:r>
              <w:rPr>
                <w:rFonts w:ascii="宋体" w:hAnsi="宋体" w:cstheme="minorBidi"/>
                <w:snapToGrid w:val="0"/>
                <w:kern w:val="0"/>
                <w:sz w:val="20"/>
                <w:szCs w:val="20"/>
              </w:rPr>
              <w:t>）</w:t>
            </w:r>
          </w:p>
        </w:tc>
      </w:tr>
      <w:tr w14:paraId="334F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5F556E69">
            <w:pPr>
              <w:numPr>
                <w:ilvl w:val="0"/>
                <w:numId w:val="3"/>
              </w:numPr>
              <w:topLinePunct w:val="0"/>
              <w:adjustRightInd/>
              <w:snapToGrid/>
              <w:ind w:left="0" w:firstLine="0"/>
              <w:jc w:val="right"/>
              <w:textAlignment w:val="auto"/>
              <w:rPr>
                <w:rFonts w:ascii="宋体" w:hAnsi="宋体"/>
                <w:snapToGrid w:val="0"/>
                <w:kern w:val="0"/>
                <w:sz w:val="20"/>
                <w:szCs w:val="20"/>
              </w:rPr>
            </w:pPr>
          </w:p>
        </w:tc>
        <w:tc>
          <w:tcPr>
            <w:tcW w:w="7366" w:type="dxa"/>
            <w:tcBorders>
              <w:top w:val="single" w:color="auto" w:sz="4" w:space="0"/>
              <w:left w:val="single" w:color="auto" w:sz="4" w:space="0"/>
              <w:bottom w:val="single" w:color="auto" w:sz="4" w:space="0"/>
              <w:right w:val="single" w:color="auto" w:sz="4" w:space="0"/>
            </w:tcBorders>
            <w:vAlign w:val="center"/>
          </w:tcPr>
          <w:p w14:paraId="6B799B7E">
            <w:pPr>
              <w:jc w:val="both"/>
              <w:textAlignment w:val="auto"/>
              <w:rPr>
                <w:rFonts w:ascii="宋体" w:hAnsi="宋体"/>
                <w:snapToGrid w:val="0"/>
                <w:kern w:val="0"/>
                <w:sz w:val="20"/>
                <w:szCs w:val="20"/>
              </w:rPr>
            </w:pPr>
            <w:r>
              <w:rPr>
                <w:rFonts w:ascii="宋体" w:hAnsi="宋体" w:cstheme="minorBidi"/>
                <w:snapToGrid w:val="0"/>
                <w:kern w:val="0"/>
                <w:sz w:val="20"/>
                <w:szCs w:val="20"/>
              </w:rPr>
              <w:t>其他国家或上海市养护维修技术要求。</w:t>
            </w:r>
          </w:p>
        </w:tc>
      </w:tr>
    </w:tbl>
    <w:p w14:paraId="430670F3">
      <w:pPr>
        <w:spacing w:before="240" w:line="360" w:lineRule="auto"/>
        <w:ind w:firstLine="424" w:firstLineChars="202"/>
        <w:jc w:val="both"/>
        <w:rPr>
          <w:rFonts w:ascii="宋体" w:hAnsi="宋体"/>
          <w:snapToGrid w:val="0"/>
          <w:szCs w:val="21"/>
        </w:rPr>
      </w:pPr>
      <w:r>
        <w:rPr>
          <w:rFonts w:hint="eastAsia" w:ascii="宋体" w:hAnsi="宋体"/>
          <w:snapToGrid w:val="0"/>
          <w:szCs w:val="21"/>
        </w:rPr>
        <w:t>以上技术规范、标准供中标人参考，但并不局限于此，如合同执行中有新规范、标准颁布或更新，则按新规范、标准执行，但国家及地方相关的强制性条文必须无条件执行。</w:t>
      </w:r>
    </w:p>
    <w:p w14:paraId="6927E8A6">
      <w:pPr>
        <w:spacing w:line="360" w:lineRule="auto"/>
        <w:ind w:firstLine="424" w:firstLineChars="202"/>
        <w:jc w:val="both"/>
        <w:rPr>
          <w:rFonts w:ascii="宋体" w:hAnsi="宋体"/>
          <w:snapToGrid w:val="0"/>
          <w:szCs w:val="21"/>
        </w:rPr>
      </w:pPr>
    </w:p>
    <w:p w14:paraId="3B15285C">
      <w:pPr>
        <w:spacing w:line="360" w:lineRule="auto"/>
        <w:jc w:val="both"/>
        <w:outlineLvl w:val="0"/>
        <w:rPr>
          <w:rFonts w:ascii="宋体" w:hAnsi="宋体"/>
          <w:b/>
          <w:bCs/>
          <w:snapToGrid w:val="0"/>
          <w:szCs w:val="21"/>
        </w:rPr>
      </w:pPr>
      <w:r>
        <w:rPr>
          <w:rFonts w:hint="eastAsia" w:ascii="宋体" w:hAnsi="宋体"/>
          <w:b/>
          <w:bCs/>
          <w:snapToGrid w:val="0"/>
          <w:szCs w:val="21"/>
        </w:rPr>
        <w:t>三、主要人员、设备和养护基地配置基本要求</w:t>
      </w:r>
    </w:p>
    <w:p w14:paraId="35BA1528">
      <w:pPr>
        <w:spacing w:line="360" w:lineRule="auto"/>
        <w:ind w:firstLine="426" w:firstLineChars="202"/>
        <w:jc w:val="both"/>
        <w:outlineLvl w:val="1"/>
        <w:rPr>
          <w:rFonts w:ascii="宋体" w:hAnsi="宋体"/>
          <w:b/>
          <w:bCs/>
          <w:snapToGrid w:val="0"/>
          <w:szCs w:val="21"/>
        </w:rPr>
      </w:pPr>
      <w:bookmarkStart w:id="4" w:name="_Hlk90815076"/>
      <w:r>
        <w:rPr>
          <w:rFonts w:hint="eastAsia" w:ascii="宋体" w:hAnsi="宋体"/>
          <w:b/>
          <w:bCs/>
          <w:snapToGrid w:val="0"/>
          <w:szCs w:val="21"/>
        </w:rPr>
        <w:t>（一）主要管理、技术人员配置基本要求</w:t>
      </w:r>
    </w:p>
    <w:bookmarkEnd w:id="4"/>
    <w:p w14:paraId="3ECA812A">
      <w:pPr>
        <w:spacing w:line="360" w:lineRule="auto"/>
        <w:ind w:firstLine="420" w:firstLineChars="200"/>
        <w:jc w:val="both"/>
        <w:rPr>
          <w:rFonts w:ascii="宋体" w:hAnsi="宋体"/>
          <w:snapToGrid w:val="0"/>
          <w:szCs w:val="21"/>
        </w:rPr>
      </w:pPr>
      <w:bookmarkStart w:id="5" w:name="_Hlk90815067"/>
      <w:r>
        <w:rPr>
          <w:rFonts w:hint="eastAsia" w:ascii="宋体" w:hAnsi="宋体"/>
          <w:snapToGrid w:val="0"/>
          <w:szCs w:val="21"/>
        </w:rPr>
        <w:t>1、以下表格所列为最低要求，并适用于本项目所有包件。投标人应根据本项目实际需求合理配置管理、技术和一线作业人员。</w:t>
      </w:r>
      <w:bookmarkEnd w:id="5"/>
    </w:p>
    <w:tbl>
      <w:tblPr>
        <w:tblStyle w:val="37"/>
        <w:tblW w:w="9634" w:type="dxa"/>
        <w:jc w:val="center"/>
        <w:tblLayout w:type="fixed"/>
        <w:tblCellMar>
          <w:top w:w="0" w:type="dxa"/>
          <w:left w:w="85" w:type="dxa"/>
          <w:bottom w:w="0" w:type="dxa"/>
          <w:right w:w="85" w:type="dxa"/>
        </w:tblCellMar>
      </w:tblPr>
      <w:tblGrid>
        <w:gridCol w:w="700"/>
        <w:gridCol w:w="1985"/>
        <w:gridCol w:w="6949"/>
      </w:tblGrid>
      <w:tr w14:paraId="4F30FC81">
        <w:tblPrEx>
          <w:tblCellMar>
            <w:top w:w="0" w:type="dxa"/>
            <w:left w:w="85" w:type="dxa"/>
            <w:bottom w:w="0" w:type="dxa"/>
            <w:right w:w="85" w:type="dxa"/>
          </w:tblCellMar>
        </w:tblPrEx>
        <w:trPr>
          <w:trHeight w:val="454" w:hRule="atLeast"/>
          <w:tblHeader/>
          <w:jc w:val="center"/>
        </w:trPr>
        <w:tc>
          <w:tcPr>
            <w:tcW w:w="700" w:type="dxa"/>
            <w:tcBorders>
              <w:top w:val="single" w:color="auto" w:sz="4" w:space="0"/>
              <w:left w:val="single" w:color="auto" w:sz="4" w:space="0"/>
              <w:bottom w:val="single" w:color="auto" w:sz="4" w:space="0"/>
              <w:right w:val="single" w:color="auto" w:sz="4" w:space="0"/>
            </w:tcBorders>
            <w:shd w:val="clear" w:color="000000" w:fill="FFFFFF"/>
            <w:vAlign w:val="center"/>
          </w:tcPr>
          <w:p w14:paraId="79C9F5BB">
            <w:pPr>
              <w:jc w:val="center"/>
              <w:rPr>
                <w:rFonts w:ascii="宋体" w:hAnsi="宋体"/>
                <w:sz w:val="20"/>
                <w:szCs w:val="20"/>
              </w:rPr>
            </w:pPr>
            <w:r>
              <w:rPr>
                <w:rFonts w:hint="eastAsia" w:ascii="宋体" w:hAnsi="宋体"/>
                <w:sz w:val="20"/>
                <w:szCs w:val="20"/>
              </w:rPr>
              <w:t>序</w:t>
            </w:r>
            <w:r>
              <w:rPr>
                <w:rFonts w:ascii="宋体" w:hAnsi="宋体"/>
                <w:sz w:val="20"/>
                <w:szCs w:val="20"/>
              </w:rPr>
              <w:t xml:space="preserve"> </w:t>
            </w:r>
            <w:r>
              <w:rPr>
                <w:rFonts w:hint="eastAsia" w:ascii="宋体" w:hAnsi="宋体"/>
                <w:sz w:val="20"/>
                <w:szCs w:val="20"/>
              </w:rPr>
              <w:t>号</w:t>
            </w:r>
          </w:p>
        </w:tc>
        <w:tc>
          <w:tcPr>
            <w:tcW w:w="1985" w:type="dxa"/>
            <w:tcBorders>
              <w:top w:val="single" w:color="auto" w:sz="4" w:space="0"/>
              <w:left w:val="single" w:color="auto" w:sz="4" w:space="0"/>
              <w:bottom w:val="single" w:color="auto" w:sz="4" w:space="0"/>
              <w:right w:val="single" w:color="auto" w:sz="4" w:space="0"/>
            </w:tcBorders>
            <w:shd w:val="clear" w:color="000000" w:fill="FFFFFF"/>
            <w:vAlign w:val="center"/>
          </w:tcPr>
          <w:p w14:paraId="53E50017">
            <w:pPr>
              <w:jc w:val="center"/>
              <w:rPr>
                <w:rFonts w:ascii="宋体" w:hAnsi="宋体"/>
                <w:sz w:val="20"/>
                <w:szCs w:val="20"/>
              </w:rPr>
            </w:pPr>
            <w:r>
              <w:rPr>
                <w:rFonts w:hint="eastAsia" w:ascii="宋体" w:hAnsi="宋体"/>
                <w:sz w:val="20"/>
                <w:szCs w:val="20"/>
              </w:rPr>
              <w:t>岗位名称</w:t>
            </w:r>
          </w:p>
        </w:tc>
        <w:tc>
          <w:tcPr>
            <w:tcW w:w="6949" w:type="dxa"/>
            <w:tcBorders>
              <w:top w:val="single" w:color="auto" w:sz="4" w:space="0"/>
              <w:left w:val="single" w:color="auto" w:sz="4" w:space="0"/>
              <w:bottom w:val="single" w:color="auto" w:sz="4" w:space="0"/>
              <w:right w:val="single" w:color="auto" w:sz="4" w:space="0"/>
            </w:tcBorders>
            <w:shd w:val="clear" w:color="000000" w:fill="FFFFFF"/>
            <w:vAlign w:val="center"/>
          </w:tcPr>
          <w:p w14:paraId="1341679F">
            <w:pPr>
              <w:jc w:val="center"/>
              <w:rPr>
                <w:rFonts w:ascii="宋体" w:hAnsi="宋体"/>
                <w:sz w:val="20"/>
                <w:szCs w:val="20"/>
              </w:rPr>
            </w:pPr>
            <w:r>
              <w:rPr>
                <w:rFonts w:hint="eastAsia" w:ascii="宋体" w:hAnsi="宋体"/>
                <w:sz w:val="20"/>
                <w:szCs w:val="20"/>
              </w:rPr>
              <w:t>要求</w:t>
            </w:r>
          </w:p>
        </w:tc>
      </w:tr>
      <w:tr w14:paraId="22F3DF0E">
        <w:tblPrEx>
          <w:tblCellMar>
            <w:top w:w="0" w:type="dxa"/>
            <w:left w:w="85" w:type="dxa"/>
            <w:bottom w:w="0" w:type="dxa"/>
            <w:right w:w="85" w:type="dxa"/>
          </w:tblCellMar>
        </w:tblPrEx>
        <w:trPr>
          <w:trHeight w:val="454"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2553AE1E">
            <w:pPr>
              <w:jc w:val="center"/>
              <w:rPr>
                <w:rFonts w:ascii="宋体" w:hAnsi="宋体"/>
                <w:sz w:val="20"/>
                <w:szCs w:val="20"/>
              </w:rPr>
            </w:pPr>
            <w:r>
              <w:rPr>
                <w:rFonts w:ascii="宋体" w:hAnsi="宋体"/>
                <w:sz w:val="20"/>
                <w:szCs w:val="20"/>
              </w:rPr>
              <w:t>1</w:t>
            </w:r>
          </w:p>
        </w:tc>
        <w:tc>
          <w:tcPr>
            <w:tcW w:w="1985" w:type="dxa"/>
            <w:tcBorders>
              <w:top w:val="nil"/>
              <w:left w:val="nil"/>
              <w:bottom w:val="single" w:color="auto" w:sz="4" w:space="0"/>
              <w:right w:val="single" w:color="auto" w:sz="4" w:space="0"/>
            </w:tcBorders>
            <w:shd w:val="clear" w:color="000000" w:fill="FFFFFF"/>
            <w:vAlign w:val="center"/>
          </w:tcPr>
          <w:p w14:paraId="164B72CB">
            <w:pPr>
              <w:jc w:val="center"/>
              <w:rPr>
                <w:rFonts w:ascii="宋体" w:hAnsi="宋体" w:cs="Arial"/>
                <w:sz w:val="20"/>
                <w:szCs w:val="20"/>
              </w:rPr>
            </w:pPr>
            <w:r>
              <w:rPr>
                <w:rFonts w:hint="eastAsia" w:ascii="宋体" w:hAnsi="宋体"/>
                <w:sz w:val="20"/>
                <w:szCs w:val="20"/>
              </w:rPr>
              <w:t>项目经理（1人）</w:t>
            </w:r>
          </w:p>
        </w:tc>
        <w:tc>
          <w:tcPr>
            <w:tcW w:w="6949" w:type="dxa"/>
            <w:tcBorders>
              <w:top w:val="nil"/>
              <w:left w:val="nil"/>
              <w:bottom w:val="single" w:color="auto" w:sz="4" w:space="0"/>
              <w:right w:val="single" w:color="auto" w:sz="4" w:space="0"/>
            </w:tcBorders>
            <w:shd w:val="clear" w:color="000000" w:fill="FFFFFF"/>
            <w:vAlign w:val="center"/>
          </w:tcPr>
          <w:p w14:paraId="677F8A92">
            <w:pPr>
              <w:spacing w:line="276" w:lineRule="auto"/>
              <w:jc w:val="both"/>
              <w:rPr>
                <w:rFonts w:ascii="宋体" w:hAnsi="宋体"/>
                <w:sz w:val="20"/>
                <w:szCs w:val="20"/>
              </w:rPr>
            </w:pPr>
            <w:r>
              <w:rPr>
                <w:rFonts w:hint="eastAsia" w:ascii="宋体" w:hAnsi="宋体"/>
                <w:sz w:val="20"/>
                <w:szCs w:val="20"/>
              </w:rPr>
              <w:t>全面负责本项目的养护维修管理工作，需具有：1、类似养护管理经验；2、专科及以上学历；</w:t>
            </w:r>
            <w:r>
              <w:rPr>
                <w:rFonts w:hint="eastAsia" w:ascii="宋体" w:hAnsi="宋体"/>
                <w:b/>
                <w:bCs/>
                <w:sz w:val="20"/>
                <w:szCs w:val="20"/>
              </w:rPr>
              <w:t>★3、建筑工程或市政公用工程专业二级及以上注册建造师执业资格，或工程师（专业为土建类或市政类）及以上职称。</w:t>
            </w:r>
          </w:p>
        </w:tc>
      </w:tr>
      <w:tr w14:paraId="2C229A97">
        <w:tblPrEx>
          <w:tblCellMar>
            <w:top w:w="0" w:type="dxa"/>
            <w:left w:w="85" w:type="dxa"/>
            <w:bottom w:w="0" w:type="dxa"/>
            <w:right w:w="85" w:type="dxa"/>
          </w:tblCellMar>
        </w:tblPrEx>
        <w:trPr>
          <w:trHeight w:val="454"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00C0D1AA">
            <w:pPr>
              <w:jc w:val="center"/>
              <w:rPr>
                <w:rFonts w:ascii="宋体" w:hAnsi="宋体"/>
                <w:sz w:val="20"/>
                <w:szCs w:val="20"/>
              </w:rPr>
            </w:pPr>
            <w:r>
              <w:rPr>
                <w:rFonts w:ascii="宋体" w:hAnsi="宋体"/>
                <w:sz w:val="20"/>
                <w:szCs w:val="20"/>
              </w:rPr>
              <w:t>2</w:t>
            </w:r>
          </w:p>
        </w:tc>
        <w:tc>
          <w:tcPr>
            <w:tcW w:w="1985" w:type="dxa"/>
            <w:tcBorders>
              <w:top w:val="nil"/>
              <w:left w:val="nil"/>
              <w:bottom w:val="single" w:color="auto" w:sz="4" w:space="0"/>
              <w:right w:val="single" w:color="auto" w:sz="4" w:space="0"/>
            </w:tcBorders>
            <w:shd w:val="clear" w:color="000000" w:fill="FFFFFF"/>
            <w:vAlign w:val="center"/>
          </w:tcPr>
          <w:p w14:paraId="0038155E">
            <w:pPr>
              <w:jc w:val="center"/>
              <w:rPr>
                <w:rFonts w:ascii="宋体" w:hAnsi="宋体" w:cs="Arial"/>
                <w:sz w:val="20"/>
                <w:szCs w:val="20"/>
              </w:rPr>
            </w:pPr>
            <w:r>
              <w:rPr>
                <w:rFonts w:hint="eastAsia" w:ascii="宋体" w:hAnsi="宋体"/>
                <w:sz w:val="20"/>
                <w:szCs w:val="20"/>
              </w:rPr>
              <w:t>技术负责人（1人）</w:t>
            </w:r>
          </w:p>
        </w:tc>
        <w:tc>
          <w:tcPr>
            <w:tcW w:w="6949" w:type="dxa"/>
            <w:tcBorders>
              <w:top w:val="nil"/>
              <w:left w:val="nil"/>
              <w:bottom w:val="single" w:color="auto" w:sz="4" w:space="0"/>
              <w:right w:val="single" w:color="auto" w:sz="4" w:space="0"/>
            </w:tcBorders>
            <w:shd w:val="clear" w:color="000000" w:fill="FFFFFF"/>
            <w:vAlign w:val="center"/>
          </w:tcPr>
          <w:p w14:paraId="029869E1">
            <w:pPr>
              <w:spacing w:line="276" w:lineRule="auto"/>
              <w:jc w:val="both"/>
              <w:rPr>
                <w:rFonts w:ascii="宋体" w:hAnsi="宋体"/>
                <w:sz w:val="20"/>
                <w:szCs w:val="20"/>
              </w:rPr>
            </w:pPr>
            <w:r>
              <w:rPr>
                <w:rFonts w:hint="eastAsia" w:ascii="宋体" w:hAnsi="宋体"/>
                <w:sz w:val="20"/>
                <w:szCs w:val="20"/>
              </w:rPr>
              <w:t>负责专业技术方案的制定和专业技术问题的处理解决等，需具有：1、类似养护管理经验；2、专科及以上学历；3、</w:t>
            </w:r>
            <w:bookmarkStart w:id="16" w:name="_GoBack"/>
            <w:bookmarkEnd w:id="16"/>
            <w:r>
              <w:rPr>
                <w:rFonts w:hint="eastAsia" w:ascii="宋体" w:hAnsi="宋体"/>
                <w:sz w:val="20"/>
                <w:szCs w:val="20"/>
              </w:rPr>
              <w:t>工程师（专业为土建类或市政类）及以上职称。</w:t>
            </w:r>
          </w:p>
        </w:tc>
      </w:tr>
      <w:tr w14:paraId="3B6C92C4">
        <w:tblPrEx>
          <w:tblCellMar>
            <w:top w:w="0" w:type="dxa"/>
            <w:left w:w="85" w:type="dxa"/>
            <w:bottom w:w="0" w:type="dxa"/>
            <w:right w:w="85" w:type="dxa"/>
          </w:tblCellMar>
        </w:tblPrEx>
        <w:trPr>
          <w:trHeight w:val="454"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4691699F">
            <w:pPr>
              <w:jc w:val="center"/>
              <w:rPr>
                <w:rFonts w:ascii="宋体" w:hAnsi="宋体"/>
                <w:sz w:val="20"/>
                <w:szCs w:val="20"/>
              </w:rPr>
            </w:pPr>
            <w:r>
              <w:rPr>
                <w:rFonts w:ascii="宋体" w:hAnsi="宋体"/>
                <w:sz w:val="20"/>
                <w:szCs w:val="20"/>
              </w:rPr>
              <w:t>3</w:t>
            </w:r>
          </w:p>
        </w:tc>
        <w:tc>
          <w:tcPr>
            <w:tcW w:w="1985" w:type="dxa"/>
            <w:tcBorders>
              <w:top w:val="nil"/>
              <w:left w:val="nil"/>
              <w:bottom w:val="single" w:color="auto" w:sz="4" w:space="0"/>
              <w:right w:val="single" w:color="auto" w:sz="4" w:space="0"/>
            </w:tcBorders>
            <w:shd w:val="clear" w:color="000000" w:fill="FFFFFF"/>
            <w:vAlign w:val="center"/>
          </w:tcPr>
          <w:p w14:paraId="538DDFA3">
            <w:pPr>
              <w:jc w:val="center"/>
              <w:rPr>
                <w:rFonts w:ascii="宋体" w:hAnsi="宋体"/>
                <w:sz w:val="20"/>
                <w:szCs w:val="20"/>
              </w:rPr>
            </w:pPr>
            <w:r>
              <w:rPr>
                <w:rFonts w:hint="eastAsia" w:ascii="宋体" w:hAnsi="宋体"/>
                <w:sz w:val="20"/>
                <w:szCs w:val="20"/>
              </w:rPr>
              <w:t>专职安全员（1人）</w:t>
            </w:r>
          </w:p>
        </w:tc>
        <w:tc>
          <w:tcPr>
            <w:tcW w:w="6949" w:type="dxa"/>
            <w:tcBorders>
              <w:top w:val="nil"/>
              <w:left w:val="nil"/>
              <w:bottom w:val="single" w:color="auto" w:sz="4" w:space="0"/>
              <w:right w:val="single" w:color="auto" w:sz="4" w:space="0"/>
            </w:tcBorders>
            <w:shd w:val="clear" w:color="000000" w:fill="FFFFFF"/>
            <w:vAlign w:val="center"/>
          </w:tcPr>
          <w:p w14:paraId="04C9591E">
            <w:pPr>
              <w:spacing w:line="276" w:lineRule="auto"/>
              <w:jc w:val="both"/>
              <w:rPr>
                <w:rFonts w:ascii="宋体" w:hAnsi="宋体"/>
                <w:sz w:val="20"/>
                <w:szCs w:val="20"/>
              </w:rPr>
            </w:pPr>
            <w:r>
              <w:rPr>
                <w:rFonts w:hint="eastAsia" w:ascii="宋体" w:hAnsi="宋体"/>
                <w:sz w:val="20"/>
                <w:szCs w:val="20"/>
              </w:rPr>
              <w:t>负责本项目的安全管理工作，需具有：交通或建设主管部门颁发的交安C证或建安C证。</w:t>
            </w:r>
          </w:p>
        </w:tc>
      </w:tr>
      <w:tr w14:paraId="59E65429">
        <w:tblPrEx>
          <w:tblCellMar>
            <w:top w:w="0" w:type="dxa"/>
            <w:left w:w="85" w:type="dxa"/>
            <w:bottom w:w="0" w:type="dxa"/>
            <w:right w:w="85" w:type="dxa"/>
          </w:tblCellMar>
        </w:tblPrEx>
        <w:trPr>
          <w:trHeight w:val="454" w:hRule="atLeast"/>
          <w:jc w:val="center"/>
        </w:trPr>
        <w:tc>
          <w:tcPr>
            <w:tcW w:w="700" w:type="dxa"/>
            <w:tcBorders>
              <w:top w:val="single" w:color="auto" w:sz="4" w:space="0"/>
              <w:left w:val="single" w:color="auto" w:sz="4" w:space="0"/>
              <w:bottom w:val="single" w:color="auto" w:sz="4" w:space="0"/>
              <w:right w:val="single" w:color="auto" w:sz="4" w:space="0"/>
            </w:tcBorders>
            <w:shd w:val="clear" w:color="000000" w:fill="FFFFFF"/>
            <w:vAlign w:val="center"/>
          </w:tcPr>
          <w:p w14:paraId="4F472BE4">
            <w:pPr>
              <w:jc w:val="center"/>
              <w:rPr>
                <w:rFonts w:ascii="宋体" w:hAnsi="宋体"/>
                <w:sz w:val="20"/>
                <w:szCs w:val="20"/>
              </w:rPr>
            </w:pPr>
            <w:r>
              <w:rPr>
                <w:rFonts w:ascii="宋体" w:hAnsi="宋体"/>
                <w:sz w:val="20"/>
                <w:szCs w:val="20"/>
              </w:rPr>
              <w:t>4</w:t>
            </w:r>
          </w:p>
        </w:tc>
        <w:tc>
          <w:tcPr>
            <w:tcW w:w="1985" w:type="dxa"/>
            <w:tcBorders>
              <w:top w:val="single" w:color="auto" w:sz="4" w:space="0"/>
              <w:left w:val="nil"/>
              <w:bottom w:val="single" w:color="auto" w:sz="4" w:space="0"/>
              <w:right w:val="single" w:color="auto" w:sz="4" w:space="0"/>
            </w:tcBorders>
            <w:shd w:val="clear" w:color="000000" w:fill="FFFFFF"/>
            <w:vAlign w:val="center"/>
          </w:tcPr>
          <w:p w14:paraId="786B96A0">
            <w:pPr>
              <w:jc w:val="center"/>
              <w:rPr>
                <w:rFonts w:ascii="宋体" w:hAnsi="宋体"/>
                <w:sz w:val="20"/>
                <w:szCs w:val="20"/>
              </w:rPr>
            </w:pPr>
            <w:r>
              <w:rPr>
                <w:rFonts w:hint="eastAsia" w:ascii="宋体" w:hAnsi="宋体"/>
                <w:sz w:val="20"/>
                <w:szCs w:val="20"/>
              </w:rPr>
              <w:t>资料员（1人）</w:t>
            </w:r>
          </w:p>
        </w:tc>
        <w:tc>
          <w:tcPr>
            <w:tcW w:w="6949" w:type="dxa"/>
            <w:tcBorders>
              <w:top w:val="single" w:color="auto" w:sz="4" w:space="0"/>
              <w:left w:val="nil"/>
              <w:bottom w:val="single" w:color="auto" w:sz="4" w:space="0"/>
              <w:right w:val="single" w:color="auto" w:sz="4" w:space="0"/>
            </w:tcBorders>
            <w:shd w:val="clear" w:color="000000" w:fill="FFFFFF"/>
            <w:vAlign w:val="center"/>
          </w:tcPr>
          <w:p w14:paraId="527E7F4B">
            <w:pPr>
              <w:spacing w:line="276" w:lineRule="auto"/>
              <w:jc w:val="both"/>
              <w:rPr>
                <w:rFonts w:ascii="宋体" w:hAnsi="宋体"/>
                <w:sz w:val="20"/>
                <w:szCs w:val="20"/>
              </w:rPr>
            </w:pPr>
            <w:r>
              <w:rPr>
                <w:rFonts w:hint="eastAsia" w:ascii="宋体" w:hAnsi="宋体"/>
                <w:sz w:val="20"/>
                <w:szCs w:val="20"/>
              </w:rPr>
              <w:t>负责本项目的资料收集、归类、整理。</w:t>
            </w:r>
          </w:p>
        </w:tc>
      </w:tr>
    </w:tbl>
    <w:p w14:paraId="72DAAE11">
      <w:pPr>
        <w:spacing w:before="240" w:line="360" w:lineRule="auto"/>
        <w:ind w:firstLine="426" w:firstLineChars="202"/>
        <w:jc w:val="both"/>
        <w:rPr>
          <w:rFonts w:ascii="宋体" w:hAnsi="宋体"/>
          <w:b/>
          <w:bCs/>
          <w:snapToGrid w:val="0"/>
          <w:szCs w:val="21"/>
        </w:rPr>
      </w:pPr>
      <w:r>
        <w:rPr>
          <w:rFonts w:hint="eastAsia" w:ascii="宋体" w:hAnsi="宋体"/>
          <w:b/>
          <w:bCs/>
          <w:snapToGrid w:val="0"/>
          <w:szCs w:val="21"/>
        </w:rPr>
        <w:t>★2、中标人须配置项目经理一名，并配置技术负责人和专职安全员至少各一名。上述人员必须是本单位员工，需出具开标日前三个月内任意一个月投标人企业为上述人员缴纳社会保险的证明。</w:t>
      </w:r>
    </w:p>
    <w:p w14:paraId="58EC94AB">
      <w:pPr>
        <w:spacing w:line="360" w:lineRule="auto"/>
        <w:ind w:firstLine="424" w:firstLineChars="202"/>
        <w:jc w:val="both"/>
        <w:rPr>
          <w:rFonts w:ascii="宋体" w:hAnsi="宋体"/>
          <w:snapToGrid w:val="0"/>
          <w:szCs w:val="21"/>
        </w:rPr>
      </w:pPr>
      <w:r>
        <w:rPr>
          <w:rFonts w:hint="eastAsia" w:ascii="宋体" w:hAnsi="宋体"/>
          <w:snapToGrid w:val="0"/>
          <w:szCs w:val="21"/>
        </w:rPr>
        <w:t>3、未经采购人同意，中标人不得调换或撤离上述人员。如采购人认为有必要，可要求中标人对上述人员中的部分人员做出更好的调整。</w:t>
      </w:r>
    </w:p>
    <w:p w14:paraId="071038F2">
      <w:pPr>
        <w:spacing w:line="360" w:lineRule="auto"/>
        <w:ind w:firstLine="424" w:firstLineChars="202"/>
        <w:jc w:val="both"/>
        <w:rPr>
          <w:rFonts w:ascii="宋体" w:hAnsi="宋体"/>
          <w:snapToGrid w:val="0"/>
          <w:szCs w:val="21"/>
        </w:rPr>
      </w:pPr>
      <w:r>
        <w:rPr>
          <w:rFonts w:hint="eastAsia" w:ascii="宋体" w:hAnsi="宋体"/>
          <w:snapToGrid w:val="0"/>
          <w:szCs w:val="21"/>
        </w:rPr>
        <w:t>4、所有根据国家或本市法律、法规、规范要求的特种设备车辆操作人员均必须持证上岗。</w:t>
      </w:r>
    </w:p>
    <w:p w14:paraId="146540B5">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（二）设备配置基本要求</w:t>
      </w:r>
    </w:p>
    <w:p w14:paraId="0B701A5A">
      <w:pPr>
        <w:spacing w:line="360" w:lineRule="auto"/>
        <w:ind w:firstLine="424" w:firstLineChars="202"/>
        <w:jc w:val="both"/>
        <w:rPr>
          <w:rFonts w:ascii="宋体" w:hAnsi="宋体"/>
          <w:snapToGrid w:val="0"/>
          <w:szCs w:val="21"/>
        </w:rPr>
      </w:pPr>
      <w:r>
        <w:rPr>
          <w:rFonts w:hint="eastAsia" w:ascii="宋体" w:hAnsi="宋体"/>
          <w:snapToGrid w:val="0"/>
          <w:szCs w:val="21"/>
        </w:rPr>
        <w:t>1、为做好本项目服务工作，中标人应至少配置以下用于养护维修作业的车辆及机械设备（不包括采购人提供的车辆及设备）。</w:t>
      </w:r>
    </w:p>
    <w:p w14:paraId="66AFA3D1">
      <w:pPr>
        <w:spacing w:line="360" w:lineRule="auto"/>
        <w:ind w:firstLine="424" w:firstLineChars="202"/>
        <w:jc w:val="both"/>
        <w:rPr>
          <w:rFonts w:ascii="宋体" w:hAnsi="宋体"/>
          <w:snapToGrid w:val="0"/>
          <w:szCs w:val="21"/>
        </w:rPr>
      </w:pPr>
      <w:r>
        <w:rPr>
          <w:rFonts w:hint="eastAsia" w:ascii="宋体" w:hAnsi="宋体"/>
          <w:snapToGrid w:val="0"/>
          <w:szCs w:val="21"/>
        </w:rPr>
        <w:t>（1）包件一“上海市中环路浦西段下部结构涂装层维护保洁（一标）”、包件二“上海市中环路浦西段下部结构涂装层维护保洁（二标）”要求：</w:t>
      </w:r>
    </w:p>
    <w:tbl>
      <w:tblPr>
        <w:tblStyle w:val="37"/>
        <w:tblW w:w="9073" w:type="dxa"/>
        <w:jc w:val="center"/>
        <w:tblLayout w:type="fixed"/>
        <w:tblCellMar>
          <w:top w:w="0" w:type="dxa"/>
          <w:left w:w="85" w:type="dxa"/>
          <w:bottom w:w="0" w:type="dxa"/>
          <w:right w:w="85" w:type="dxa"/>
        </w:tblCellMar>
      </w:tblPr>
      <w:tblGrid>
        <w:gridCol w:w="846"/>
        <w:gridCol w:w="2693"/>
        <w:gridCol w:w="992"/>
        <w:gridCol w:w="2699"/>
        <w:gridCol w:w="1843"/>
      </w:tblGrid>
      <w:tr w14:paraId="3CF4DC09">
        <w:tblPrEx>
          <w:tblCellMar>
            <w:top w:w="0" w:type="dxa"/>
            <w:left w:w="85" w:type="dxa"/>
            <w:bottom w:w="0" w:type="dxa"/>
            <w:right w:w="85"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7B2C80CF">
            <w:pPr>
              <w:jc w:val="center"/>
              <w:rPr>
                <w:rFonts w:ascii="宋体" w:hAnsi="宋体"/>
                <w:sz w:val="20"/>
                <w:szCs w:val="20"/>
              </w:rPr>
            </w:pPr>
            <w:bookmarkStart w:id="6" w:name="_Hlk90817084"/>
            <w:r>
              <w:rPr>
                <w:rFonts w:hint="eastAsia" w:ascii="宋体" w:hAnsi="宋体"/>
                <w:sz w:val="20"/>
                <w:szCs w:val="20"/>
              </w:rPr>
              <w:t>序号</w:t>
            </w:r>
          </w:p>
        </w:tc>
        <w:tc>
          <w:tcPr>
            <w:tcW w:w="2693" w:type="dxa"/>
            <w:tcBorders>
              <w:top w:val="single" w:color="auto" w:sz="4" w:space="0"/>
              <w:left w:val="nil"/>
              <w:bottom w:val="single" w:color="auto" w:sz="4" w:space="0"/>
              <w:right w:val="single" w:color="auto" w:sz="4" w:space="0"/>
            </w:tcBorders>
            <w:vAlign w:val="center"/>
          </w:tcPr>
          <w:p w14:paraId="75567703">
            <w:pPr>
              <w:jc w:val="center"/>
              <w:rPr>
                <w:rFonts w:ascii="宋体" w:hAnsi="宋体"/>
                <w:sz w:val="20"/>
                <w:szCs w:val="20"/>
              </w:rPr>
            </w:pPr>
            <w:r>
              <w:rPr>
                <w:rFonts w:hint="eastAsia" w:ascii="宋体" w:hAnsi="宋体"/>
                <w:sz w:val="20"/>
                <w:szCs w:val="20"/>
              </w:rPr>
              <w:t>设备名称</w:t>
            </w:r>
          </w:p>
        </w:tc>
        <w:tc>
          <w:tcPr>
            <w:tcW w:w="992" w:type="dxa"/>
            <w:tcBorders>
              <w:top w:val="single" w:color="auto" w:sz="4" w:space="0"/>
              <w:left w:val="nil"/>
              <w:bottom w:val="single" w:color="auto" w:sz="4" w:space="0"/>
              <w:right w:val="single" w:color="auto" w:sz="4" w:space="0"/>
            </w:tcBorders>
            <w:vAlign w:val="center"/>
          </w:tcPr>
          <w:p w14:paraId="1120AB00">
            <w:pPr>
              <w:jc w:val="center"/>
              <w:rPr>
                <w:rFonts w:ascii="宋体" w:hAnsi="宋体"/>
                <w:sz w:val="20"/>
                <w:szCs w:val="20"/>
              </w:rPr>
            </w:pPr>
            <w:r>
              <w:rPr>
                <w:rFonts w:hint="eastAsia" w:ascii="宋体" w:hAnsi="宋体"/>
                <w:sz w:val="20"/>
                <w:szCs w:val="20"/>
              </w:rPr>
              <w:t>数量</w:t>
            </w:r>
          </w:p>
        </w:tc>
        <w:tc>
          <w:tcPr>
            <w:tcW w:w="2699" w:type="dxa"/>
            <w:tcBorders>
              <w:top w:val="single" w:color="auto" w:sz="4" w:space="0"/>
              <w:left w:val="nil"/>
              <w:bottom w:val="single" w:color="auto" w:sz="4" w:space="0"/>
              <w:right w:val="single" w:color="auto" w:sz="4" w:space="0"/>
            </w:tcBorders>
            <w:vAlign w:val="center"/>
          </w:tcPr>
          <w:p w14:paraId="2D4CCAAF">
            <w:pPr>
              <w:jc w:val="center"/>
              <w:rPr>
                <w:rFonts w:ascii="宋体" w:hAnsi="宋体"/>
                <w:sz w:val="20"/>
                <w:szCs w:val="20"/>
              </w:rPr>
            </w:pPr>
            <w:r>
              <w:rPr>
                <w:rFonts w:hint="eastAsia" w:ascii="宋体" w:hAnsi="宋体"/>
                <w:sz w:val="20"/>
                <w:szCs w:val="20"/>
              </w:rPr>
              <w:t>用途</w:t>
            </w:r>
          </w:p>
        </w:tc>
        <w:tc>
          <w:tcPr>
            <w:tcW w:w="1843" w:type="dxa"/>
            <w:tcBorders>
              <w:top w:val="single" w:color="auto" w:sz="4" w:space="0"/>
              <w:left w:val="single" w:color="auto" w:sz="4" w:space="0"/>
              <w:bottom w:val="single" w:color="auto" w:sz="4" w:space="0"/>
              <w:right w:val="single" w:color="auto" w:sz="4" w:space="0"/>
            </w:tcBorders>
            <w:vAlign w:val="center"/>
          </w:tcPr>
          <w:p w14:paraId="76087170">
            <w:pPr>
              <w:jc w:val="center"/>
              <w:rPr>
                <w:rFonts w:ascii="宋体" w:hAnsi="宋体"/>
                <w:sz w:val="20"/>
                <w:szCs w:val="20"/>
              </w:rPr>
            </w:pPr>
            <w:r>
              <w:rPr>
                <w:rFonts w:hint="eastAsia" w:ascii="宋体" w:hAnsi="宋体"/>
                <w:sz w:val="20"/>
                <w:szCs w:val="20"/>
              </w:rPr>
              <w:t>备注</w:t>
            </w:r>
          </w:p>
        </w:tc>
      </w:tr>
      <w:tr w14:paraId="1204FB16">
        <w:tblPrEx>
          <w:tblCellMar>
            <w:top w:w="0" w:type="dxa"/>
            <w:left w:w="85" w:type="dxa"/>
            <w:bottom w:w="0" w:type="dxa"/>
            <w:right w:w="85" w:type="dxa"/>
          </w:tblCellMar>
        </w:tblPrEx>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18AA12F9">
            <w:pPr>
              <w:jc w:val="center"/>
              <w:rPr>
                <w:rFonts w:ascii="宋体" w:hAnsi="宋体"/>
                <w:sz w:val="20"/>
                <w:szCs w:val="20"/>
              </w:rPr>
            </w:pPr>
            <w:r>
              <w:rPr>
                <w:rFonts w:ascii="宋体" w:hAnsi="宋体"/>
                <w:sz w:val="20"/>
                <w:szCs w:val="20"/>
              </w:rPr>
              <w:t>1</w:t>
            </w:r>
          </w:p>
        </w:tc>
        <w:tc>
          <w:tcPr>
            <w:tcW w:w="2693" w:type="dxa"/>
            <w:tcBorders>
              <w:top w:val="nil"/>
              <w:left w:val="nil"/>
              <w:bottom w:val="single" w:color="auto" w:sz="4" w:space="0"/>
              <w:right w:val="single" w:color="auto" w:sz="4" w:space="0"/>
            </w:tcBorders>
            <w:vAlign w:val="center"/>
          </w:tcPr>
          <w:p w14:paraId="4FA69BCB">
            <w:pPr>
              <w:jc w:val="center"/>
              <w:rPr>
                <w:rFonts w:ascii="宋体" w:hAnsi="宋体"/>
                <w:sz w:val="20"/>
                <w:szCs w:val="20"/>
              </w:rPr>
            </w:pPr>
            <w:r>
              <w:rPr>
                <w:rFonts w:hint="eastAsia" w:ascii="宋体" w:hAnsi="宋体"/>
                <w:color w:val="000000"/>
                <w:sz w:val="20"/>
                <w:szCs w:val="20"/>
              </w:rPr>
              <w:t>冲洗车</w:t>
            </w:r>
          </w:p>
        </w:tc>
        <w:tc>
          <w:tcPr>
            <w:tcW w:w="992" w:type="dxa"/>
            <w:tcBorders>
              <w:top w:val="nil"/>
              <w:left w:val="nil"/>
              <w:bottom w:val="single" w:color="auto" w:sz="4" w:space="0"/>
              <w:right w:val="single" w:color="auto" w:sz="4" w:space="0"/>
            </w:tcBorders>
            <w:vAlign w:val="center"/>
          </w:tcPr>
          <w:p w14:paraId="45B3A392">
            <w:pPr>
              <w:jc w:val="center"/>
              <w:rPr>
                <w:rFonts w:ascii="宋体" w:hAnsi="宋体"/>
                <w:sz w:val="20"/>
                <w:szCs w:val="20"/>
              </w:rPr>
            </w:pPr>
            <w:r>
              <w:rPr>
                <w:rFonts w:hint="eastAsia" w:ascii="宋体" w:hAnsi="宋体"/>
                <w:color w:val="000000"/>
                <w:sz w:val="20"/>
                <w:szCs w:val="20"/>
              </w:rPr>
              <w:t>2</w:t>
            </w:r>
          </w:p>
        </w:tc>
        <w:tc>
          <w:tcPr>
            <w:tcW w:w="2699" w:type="dxa"/>
            <w:tcBorders>
              <w:top w:val="single" w:color="auto" w:sz="4" w:space="0"/>
              <w:left w:val="nil"/>
              <w:bottom w:val="single" w:color="auto" w:sz="4" w:space="0"/>
              <w:right w:val="single" w:color="auto" w:sz="4" w:space="0"/>
            </w:tcBorders>
            <w:vAlign w:val="center"/>
          </w:tcPr>
          <w:p w14:paraId="1796F64D">
            <w:pPr>
              <w:jc w:val="center"/>
              <w:rPr>
                <w:rFonts w:ascii="宋体" w:hAnsi="宋体"/>
                <w:sz w:val="20"/>
                <w:szCs w:val="20"/>
              </w:rPr>
            </w:pPr>
            <w:r>
              <w:rPr>
                <w:rFonts w:hint="eastAsia" w:ascii="宋体" w:hAnsi="宋体"/>
                <w:color w:val="000000"/>
                <w:sz w:val="20"/>
                <w:szCs w:val="20"/>
              </w:rPr>
              <w:t>冲洗表面</w:t>
            </w:r>
          </w:p>
        </w:tc>
        <w:tc>
          <w:tcPr>
            <w:tcW w:w="1843" w:type="dxa"/>
            <w:tcBorders>
              <w:top w:val="nil"/>
              <w:left w:val="single" w:color="auto" w:sz="4" w:space="0"/>
              <w:bottom w:val="single" w:color="auto" w:sz="4" w:space="0"/>
              <w:right w:val="single" w:color="auto" w:sz="4" w:space="0"/>
            </w:tcBorders>
            <w:vAlign w:val="center"/>
          </w:tcPr>
          <w:p w14:paraId="1573AEC8">
            <w:pPr>
              <w:jc w:val="center"/>
              <w:rPr>
                <w:rFonts w:ascii="宋体" w:hAnsi="宋体"/>
                <w:sz w:val="20"/>
                <w:szCs w:val="20"/>
              </w:rPr>
            </w:pPr>
            <w:r>
              <w:rPr>
                <w:rFonts w:hint="eastAsia" w:ascii="宋体" w:hAnsi="宋体"/>
                <w:color w:val="000000"/>
                <w:sz w:val="20"/>
                <w:szCs w:val="20"/>
              </w:rPr>
              <w:t>自有或租赁</w:t>
            </w:r>
          </w:p>
        </w:tc>
      </w:tr>
      <w:tr w14:paraId="13B0B114">
        <w:tblPrEx>
          <w:tblCellMar>
            <w:top w:w="0" w:type="dxa"/>
            <w:left w:w="85" w:type="dxa"/>
            <w:bottom w:w="0" w:type="dxa"/>
            <w:right w:w="85" w:type="dxa"/>
          </w:tblCellMar>
        </w:tblPrEx>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642138F5">
            <w:pPr>
              <w:jc w:val="center"/>
              <w:rPr>
                <w:rFonts w:ascii="宋体" w:hAnsi="宋体"/>
                <w:sz w:val="20"/>
                <w:szCs w:val="20"/>
              </w:rPr>
            </w:pPr>
            <w:r>
              <w:rPr>
                <w:rFonts w:ascii="宋体" w:hAnsi="宋体"/>
                <w:sz w:val="20"/>
                <w:szCs w:val="20"/>
              </w:rPr>
              <w:t>2</w:t>
            </w:r>
          </w:p>
        </w:tc>
        <w:tc>
          <w:tcPr>
            <w:tcW w:w="2693" w:type="dxa"/>
            <w:tcBorders>
              <w:top w:val="nil"/>
              <w:left w:val="nil"/>
              <w:bottom w:val="single" w:color="auto" w:sz="4" w:space="0"/>
              <w:right w:val="single" w:color="auto" w:sz="4" w:space="0"/>
            </w:tcBorders>
            <w:vAlign w:val="center"/>
          </w:tcPr>
          <w:p w14:paraId="6992F128">
            <w:pPr>
              <w:jc w:val="center"/>
              <w:rPr>
                <w:rFonts w:ascii="宋体" w:hAnsi="宋体"/>
                <w:sz w:val="20"/>
                <w:szCs w:val="20"/>
              </w:rPr>
            </w:pPr>
            <w:r>
              <w:rPr>
                <w:rFonts w:hint="eastAsia" w:ascii="宋体" w:hAnsi="宋体"/>
                <w:color w:val="000000"/>
                <w:sz w:val="20"/>
                <w:szCs w:val="20"/>
              </w:rPr>
              <w:t>养护作业车（和封道设备）</w:t>
            </w:r>
          </w:p>
        </w:tc>
        <w:tc>
          <w:tcPr>
            <w:tcW w:w="992" w:type="dxa"/>
            <w:tcBorders>
              <w:top w:val="nil"/>
              <w:left w:val="nil"/>
              <w:bottom w:val="single" w:color="auto" w:sz="4" w:space="0"/>
              <w:right w:val="single" w:color="auto" w:sz="4" w:space="0"/>
            </w:tcBorders>
            <w:vAlign w:val="center"/>
          </w:tcPr>
          <w:p w14:paraId="453A89C9">
            <w:pPr>
              <w:jc w:val="center"/>
              <w:rPr>
                <w:rFonts w:ascii="宋体" w:hAnsi="宋体"/>
                <w:sz w:val="20"/>
                <w:szCs w:val="20"/>
              </w:rPr>
            </w:pPr>
            <w:r>
              <w:rPr>
                <w:rFonts w:hint="eastAsia" w:ascii="宋体" w:hAnsi="宋体"/>
                <w:color w:val="000000"/>
                <w:sz w:val="20"/>
                <w:szCs w:val="20"/>
              </w:rPr>
              <w:t>2</w:t>
            </w:r>
          </w:p>
        </w:tc>
        <w:tc>
          <w:tcPr>
            <w:tcW w:w="2699" w:type="dxa"/>
            <w:tcBorders>
              <w:top w:val="single" w:color="auto" w:sz="4" w:space="0"/>
              <w:left w:val="nil"/>
              <w:bottom w:val="single" w:color="auto" w:sz="4" w:space="0"/>
              <w:right w:val="single" w:color="auto" w:sz="4" w:space="0"/>
            </w:tcBorders>
            <w:vAlign w:val="center"/>
          </w:tcPr>
          <w:p w14:paraId="71C4C054">
            <w:pPr>
              <w:jc w:val="center"/>
              <w:rPr>
                <w:rFonts w:ascii="宋体" w:hAnsi="宋体"/>
                <w:sz w:val="20"/>
                <w:szCs w:val="20"/>
              </w:rPr>
            </w:pPr>
            <w:r>
              <w:rPr>
                <w:rFonts w:hint="eastAsia" w:ascii="宋体" w:hAnsi="宋体"/>
                <w:color w:val="000000"/>
                <w:sz w:val="20"/>
                <w:szCs w:val="20"/>
              </w:rPr>
              <w:t>占道养护、施工安全防护</w:t>
            </w:r>
          </w:p>
        </w:tc>
        <w:tc>
          <w:tcPr>
            <w:tcW w:w="1843" w:type="dxa"/>
            <w:tcBorders>
              <w:top w:val="nil"/>
              <w:left w:val="single" w:color="auto" w:sz="4" w:space="0"/>
              <w:bottom w:val="single" w:color="auto" w:sz="4" w:space="0"/>
              <w:right w:val="single" w:color="auto" w:sz="4" w:space="0"/>
            </w:tcBorders>
            <w:vAlign w:val="center"/>
          </w:tcPr>
          <w:p w14:paraId="24134E54">
            <w:pPr>
              <w:jc w:val="center"/>
              <w:rPr>
                <w:rFonts w:ascii="宋体" w:hAnsi="宋体"/>
                <w:sz w:val="20"/>
                <w:szCs w:val="20"/>
              </w:rPr>
            </w:pPr>
            <w:r>
              <w:rPr>
                <w:rFonts w:hint="eastAsia" w:ascii="宋体" w:hAnsi="宋体"/>
                <w:color w:val="000000"/>
                <w:sz w:val="20"/>
                <w:szCs w:val="20"/>
              </w:rPr>
              <w:t>自有或租赁</w:t>
            </w:r>
          </w:p>
        </w:tc>
      </w:tr>
      <w:tr w14:paraId="42CE7B8B">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7C860775">
            <w:pPr>
              <w:jc w:val="center"/>
              <w:rPr>
                <w:rFonts w:ascii="宋体" w:hAnsi="宋体"/>
                <w:sz w:val="20"/>
                <w:szCs w:val="20"/>
              </w:rPr>
            </w:pPr>
            <w:r>
              <w:rPr>
                <w:rFonts w:ascii="宋体" w:hAnsi="宋体"/>
                <w:sz w:val="20"/>
                <w:szCs w:val="20"/>
              </w:rPr>
              <w:t>3</w:t>
            </w:r>
          </w:p>
        </w:tc>
        <w:tc>
          <w:tcPr>
            <w:tcW w:w="2693" w:type="dxa"/>
            <w:tcBorders>
              <w:top w:val="single" w:color="auto" w:sz="4" w:space="0"/>
              <w:left w:val="single" w:color="auto" w:sz="4" w:space="0"/>
              <w:bottom w:val="single" w:color="auto" w:sz="4" w:space="0"/>
              <w:right w:val="single" w:color="auto" w:sz="4" w:space="0"/>
            </w:tcBorders>
            <w:vAlign w:val="center"/>
          </w:tcPr>
          <w:p w14:paraId="3CD90060">
            <w:pPr>
              <w:jc w:val="center"/>
              <w:rPr>
                <w:rFonts w:ascii="宋体" w:hAnsi="宋体"/>
                <w:sz w:val="20"/>
                <w:szCs w:val="20"/>
              </w:rPr>
            </w:pPr>
            <w:r>
              <w:rPr>
                <w:rFonts w:hint="eastAsia" w:ascii="宋体" w:hAnsi="宋体"/>
                <w:color w:val="000000"/>
                <w:sz w:val="20"/>
                <w:szCs w:val="20"/>
              </w:rPr>
              <w:t>登高作业车</w:t>
            </w:r>
          </w:p>
        </w:tc>
        <w:tc>
          <w:tcPr>
            <w:tcW w:w="992" w:type="dxa"/>
            <w:tcBorders>
              <w:top w:val="single" w:color="auto" w:sz="4" w:space="0"/>
              <w:left w:val="nil"/>
              <w:bottom w:val="single" w:color="auto" w:sz="4" w:space="0"/>
              <w:right w:val="single" w:color="auto" w:sz="4" w:space="0"/>
            </w:tcBorders>
            <w:vAlign w:val="center"/>
          </w:tcPr>
          <w:p w14:paraId="6BF039DD">
            <w:pPr>
              <w:jc w:val="center"/>
              <w:rPr>
                <w:rFonts w:ascii="宋体" w:hAnsi="宋体"/>
                <w:sz w:val="20"/>
                <w:szCs w:val="20"/>
              </w:rPr>
            </w:pPr>
            <w:r>
              <w:rPr>
                <w:rFonts w:hint="eastAsia" w:ascii="宋体" w:hAnsi="宋体"/>
                <w:color w:val="000000"/>
                <w:sz w:val="20"/>
                <w:szCs w:val="20"/>
              </w:rPr>
              <w:t>2</w:t>
            </w:r>
          </w:p>
        </w:tc>
        <w:tc>
          <w:tcPr>
            <w:tcW w:w="2699" w:type="dxa"/>
            <w:tcBorders>
              <w:top w:val="single" w:color="auto" w:sz="4" w:space="0"/>
              <w:left w:val="nil"/>
              <w:bottom w:val="single" w:color="auto" w:sz="4" w:space="0"/>
              <w:right w:val="single" w:color="auto" w:sz="4" w:space="0"/>
            </w:tcBorders>
            <w:vAlign w:val="center"/>
          </w:tcPr>
          <w:p w14:paraId="79E8CF10">
            <w:pPr>
              <w:jc w:val="center"/>
              <w:rPr>
                <w:rFonts w:ascii="宋体" w:hAnsi="宋体"/>
                <w:sz w:val="20"/>
                <w:szCs w:val="20"/>
              </w:rPr>
            </w:pPr>
            <w:r>
              <w:rPr>
                <w:rFonts w:hint="eastAsia" w:ascii="宋体" w:hAnsi="宋体"/>
                <w:color w:val="000000"/>
                <w:sz w:val="20"/>
                <w:szCs w:val="20"/>
              </w:rPr>
              <w:t>设备维修</w:t>
            </w:r>
          </w:p>
        </w:tc>
        <w:tc>
          <w:tcPr>
            <w:tcW w:w="1843" w:type="dxa"/>
            <w:tcBorders>
              <w:top w:val="single" w:color="auto" w:sz="4" w:space="0"/>
              <w:left w:val="single" w:color="auto" w:sz="4" w:space="0"/>
              <w:bottom w:val="single" w:color="auto" w:sz="4" w:space="0"/>
              <w:right w:val="single" w:color="auto" w:sz="4" w:space="0"/>
            </w:tcBorders>
            <w:vAlign w:val="center"/>
          </w:tcPr>
          <w:p w14:paraId="735C9BB6">
            <w:pPr>
              <w:jc w:val="center"/>
              <w:rPr>
                <w:rFonts w:ascii="宋体" w:hAnsi="宋体"/>
                <w:sz w:val="20"/>
                <w:szCs w:val="20"/>
              </w:rPr>
            </w:pPr>
            <w:r>
              <w:rPr>
                <w:rFonts w:hint="eastAsia" w:ascii="宋体" w:hAnsi="宋体"/>
                <w:color w:val="000000"/>
                <w:sz w:val="20"/>
                <w:szCs w:val="20"/>
              </w:rPr>
              <w:t>自有或租赁</w:t>
            </w:r>
          </w:p>
        </w:tc>
      </w:tr>
      <w:tr w14:paraId="5B704B06">
        <w:tblPrEx>
          <w:tblCellMar>
            <w:top w:w="0" w:type="dxa"/>
            <w:left w:w="85" w:type="dxa"/>
            <w:bottom w:w="0" w:type="dxa"/>
            <w:right w:w="85"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06666907">
            <w:pPr>
              <w:jc w:val="center"/>
              <w:rPr>
                <w:rFonts w:ascii="宋体" w:hAnsi="宋体"/>
                <w:sz w:val="20"/>
                <w:szCs w:val="20"/>
              </w:rPr>
            </w:pPr>
            <w:r>
              <w:rPr>
                <w:rFonts w:ascii="宋体" w:hAnsi="宋体"/>
                <w:sz w:val="20"/>
                <w:szCs w:val="20"/>
              </w:rPr>
              <w:t>4</w:t>
            </w:r>
          </w:p>
        </w:tc>
        <w:tc>
          <w:tcPr>
            <w:tcW w:w="2693" w:type="dxa"/>
            <w:tcBorders>
              <w:top w:val="single" w:color="auto" w:sz="4" w:space="0"/>
              <w:left w:val="nil"/>
              <w:bottom w:val="single" w:color="auto" w:sz="4" w:space="0"/>
              <w:right w:val="single" w:color="auto" w:sz="4" w:space="0"/>
            </w:tcBorders>
            <w:vAlign w:val="center"/>
          </w:tcPr>
          <w:p w14:paraId="21D7E9BE">
            <w:pPr>
              <w:jc w:val="center"/>
              <w:rPr>
                <w:rFonts w:ascii="宋体" w:hAnsi="宋体"/>
                <w:sz w:val="20"/>
                <w:szCs w:val="20"/>
              </w:rPr>
            </w:pPr>
            <w:r>
              <w:rPr>
                <w:rFonts w:hint="eastAsia" w:ascii="宋体" w:hAnsi="宋体"/>
                <w:color w:val="000000"/>
                <w:sz w:val="20"/>
                <w:szCs w:val="20"/>
              </w:rPr>
              <w:t>安全防撞车</w:t>
            </w:r>
          </w:p>
        </w:tc>
        <w:tc>
          <w:tcPr>
            <w:tcW w:w="992" w:type="dxa"/>
            <w:tcBorders>
              <w:top w:val="single" w:color="auto" w:sz="4" w:space="0"/>
              <w:left w:val="nil"/>
              <w:bottom w:val="single" w:color="auto" w:sz="4" w:space="0"/>
              <w:right w:val="single" w:color="auto" w:sz="4" w:space="0"/>
            </w:tcBorders>
            <w:vAlign w:val="center"/>
          </w:tcPr>
          <w:p w14:paraId="732EDA57">
            <w:pPr>
              <w:jc w:val="center"/>
              <w:rPr>
                <w:rFonts w:ascii="宋体" w:hAnsi="宋体"/>
                <w:sz w:val="20"/>
                <w:szCs w:val="20"/>
              </w:rPr>
            </w:pPr>
            <w:r>
              <w:rPr>
                <w:rFonts w:hint="eastAsia" w:ascii="宋体" w:hAnsi="宋体"/>
                <w:color w:val="000000"/>
                <w:sz w:val="20"/>
                <w:szCs w:val="20"/>
              </w:rPr>
              <w:t>1</w:t>
            </w:r>
          </w:p>
        </w:tc>
        <w:tc>
          <w:tcPr>
            <w:tcW w:w="2699" w:type="dxa"/>
            <w:tcBorders>
              <w:top w:val="single" w:color="auto" w:sz="4" w:space="0"/>
              <w:left w:val="nil"/>
              <w:bottom w:val="single" w:color="auto" w:sz="4" w:space="0"/>
              <w:right w:val="single" w:color="auto" w:sz="4" w:space="0"/>
            </w:tcBorders>
            <w:vAlign w:val="center"/>
          </w:tcPr>
          <w:p w14:paraId="677B1DE9">
            <w:pPr>
              <w:jc w:val="center"/>
              <w:rPr>
                <w:rFonts w:ascii="宋体" w:hAnsi="宋体"/>
                <w:sz w:val="20"/>
                <w:szCs w:val="20"/>
              </w:rPr>
            </w:pPr>
            <w:r>
              <w:rPr>
                <w:rFonts w:hint="eastAsia" w:ascii="宋体" w:hAnsi="宋体"/>
                <w:color w:val="000000"/>
                <w:sz w:val="20"/>
                <w:szCs w:val="20"/>
              </w:rPr>
              <w:t>占道养护、施工安全防护</w:t>
            </w:r>
          </w:p>
        </w:tc>
        <w:tc>
          <w:tcPr>
            <w:tcW w:w="1843" w:type="dxa"/>
            <w:tcBorders>
              <w:top w:val="single" w:color="auto" w:sz="4" w:space="0"/>
              <w:left w:val="single" w:color="auto" w:sz="4" w:space="0"/>
              <w:bottom w:val="single" w:color="auto" w:sz="4" w:space="0"/>
              <w:right w:val="single" w:color="auto" w:sz="4" w:space="0"/>
            </w:tcBorders>
            <w:vAlign w:val="center"/>
          </w:tcPr>
          <w:p w14:paraId="79375978">
            <w:pPr>
              <w:jc w:val="center"/>
              <w:rPr>
                <w:rFonts w:ascii="宋体" w:hAnsi="宋体"/>
                <w:sz w:val="20"/>
                <w:szCs w:val="20"/>
              </w:rPr>
            </w:pPr>
            <w:r>
              <w:rPr>
                <w:rFonts w:hint="eastAsia" w:ascii="宋体" w:hAnsi="宋体"/>
                <w:color w:val="000000"/>
                <w:sz w:val="20"/>
                <w:szCs w:val="20"/>
              </w:rPr>
              <w:t>自有或租赁</w:t>
            </w:r>
          </w:p>
        </w:tc>
      </w:tr>
    </w:tbl>
    <w:p w14:paraId="653AE3E7">
      <w:pPr>
        <w:spacing w:before="240" w:line="360" w:lineRule="auto"/>
        <w:ind w:firstLine="424" w:firstLineChars="202"/>
        <w:jc w:val="both"/>
        <w:rPr>
          <w:rFonts w:ascii="宋体" w:hAnsi="宋体"/>
          <w:snapToGrid w:val="0"/>
          <w:szCs w:val="21"/>
        </w:rPr>
      </w:pPr>
      <w:r>
        <w:rPr>
          <w:rFonts w:hint="eastAsia" w:ascii="宋体" w:hAnsi="宋体"/>
          <w:snapToGrid w:val="0"/>
          <w:szCs w:val="21"/>
        </w:rPr>
        <w:t>（2）包件三“虹桥枢纽（核心区）下部结构涂装层维护保洁项目”要求：</w:t>
      </w:r>
    </w:p>
    <w:tbl>
      <w:tblPr>
        <w:tblStyle w:val="37"/>
        <w:tblW w:w="9073" w:type="dxa"/>
        <w:jc w:val="center"/>
        <w:tblLayout w:type="fixed"/>
        <w:tblCellMar>
          <w:top w:w="0" w:type="dxa"/>
          <w:left w:w="85" w:type="dxa"/>
          <w:bottom w:w="0" w:type="dxa"/>
          <w:right w:w="85" w:type="dxa"/>
        </w:tblCellMar>
      </w:tblPr>
      <w:tblGrid>
        <w:gridCol w:w="846"/>
        <w:gridCol w:w="2693"/>
        <w:gridCol w:w="992"/>
        <w:gridCol w:w="2699"/>
        <w:gridCol w:w="1843"/>
      </w:tblGrid>
      <w:tr w14:paraId="5F7C9374">
        <w:tblPrEx>
          <w:tblCellMar>
            <w:top w:w="0" w:type="dxa"/>
            <w:left w:w="85" w:type="dxa"/>
            <w:bottom w:w="0" w:type="dxa"/>
            <w:right w:w="85" w:type="dxa"/>
          </w:tblCellMar>
        </w:tblPrEx>
        <w:trPr>
          <w:trHeight w:val="454"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1F45F1FB">
            <w:pPr>
              <w:jc w:val="center"/>
              <w:rPr>
                <w:rFonts w:ascii="宋体" w:hAnsi="宋体"/>
                <w:sz w:val="20"/>
                <w:szCs w:val="20"/>
              </w:rPr>
            </w:pPr>
            <w:r>
              <w:rPr>
                <w:rFonts w:hint="eastAsia" w:ascii="宋体" w:hAnsi="宋体"/>
                <w:sz w:val="20"/>
                <w:szCs w:val="20"/>
              </w:rPr>
              <w:t>序号</w:t>
            </w:r>
          </w:p>
        </w:tc>
        <w:tc>
          <w:tcPr>
            <w:tcW w:w="2693" w:type="dxa"/>
            <w:tcBorders>
              <w:top w:val="single" w:color="auto" w:sz="4" w:space="0"/>
              <w:left w:val="nil"/>
              <w:bottom w:val="single" w:color="auto" w:sz="4" w:space="0"/>
              <w:right w:val="single" w:color="auto" w:sz="4" w:space="0"/>
            </w:tcBorders>
            <w:vAlign w:val="center"/>
          </w:tcPr>
          <w:p w14:paraId="5960F496">
            <w:pPr>
              <w:jc w:val="center"/>
              <w:rPr>
                <w:rFonts w:ascii="宋体" w:hAnsi="宋体"/>
                <w:sz w:val="20"/>
                <w:szCs w:val="20"/>
              </w:rPr>
            </w:pPr>
            <w:r>
              <w:rPr>
                <w:rFonts w:hint="eastAsia" w:ascii="宋体" w:hAnsi="宋体"/>
                <w:sz w:val="20"/>
                <w:szCs w:val="20"/>
              </w:rPr>
              <w:t>设备名称</w:t>
            </w:r>
          </w:p>
        </w:tc>
        <w:tc>
          <w:tcPr>
            <w:tcW w:w="992" w:type="dxa"/>
            <w:tcBorders>
              <w:top w:val="single" w:color="auto" w:sz="4" w:space="0"/>
              <w:left w:val="nil"/>
              <w:bottom w:val="single" w:color="auto" w:sz="4" w:space="0"/>
              <w:right w:val="single" w:color="auto" w:sz="4" w:space="0"/>
            </w:tcBorders>
            <w:vAlign w:val="center"/>
          </w:tcPr>
          <w:p w14:paraId="7794067D">
            <w:pPr>
              <w:jc w:val="center"/>
              <w:rPr>
                <w:rFonts w:ascii="宋体" w:hAnsi="宋体"/>
                <w:sz w:val="20"/>
                <w:szCs w:val="20"/>
              </w:rPr>
            </w:pPr>
            <w:r>
              <w:rPr>
                <w:rFonts w:hint="eastAsia" w:ascii="宋体" w:hAnsi="宋体"/>
                <w:sz w:val="20"/>
                <w:szCs w:val="20"/>
              </w:rPr>
              <w:t>数 量</w:t>
            </w:r>
          </w:p>
        </w:tc>
        <w:tc>
          <w:tcPr>
            <w:tcW w:w="2699" w:type="dxa"/>
            <w:tcBorders>
              <w:top w:val="single" w:color="auto" w:sz="4" w:space="0"/>
              <w:left w:val="nil"/>
              <w:bottom w:val="single" w:color="auto" w:sz="4" w:space="0"/>
              <w:right w:val="single" w:color="auto" w:sz="4" w:space="0"/>
            </w:tcBorders>
            <w:vAlign w:val="center"/>
          </w:tcPr>
          <w:p w14:paraId="04C9EE1D">
            <w:pPr>
              <w:jc w:val="center"/>
              <w:rPr>
                <w:rFonts w:ascii="宋体" w:hAnsi="宋体"/>
                <w:sz w:val="20"/>
                <w:szCs w:val="20"/>
              </w:rPr>
            </w:pPr>
            <w:r>
              <w:rPr>
                <w:rFonts w:hint="eastAsia" w:ascii="宋体" w:hAnsi="宋体"/>
                <w:sz w:val="20"/>
                <w:szCs w:val="20"/>
              </w:rPr>
              <w:t>用途</w:t>
            </w:r>
          </w:p>
        </w:tc>
        <w:tc>
          <w:tcPr>
            <w:tcW w:w="1843" w:type="dxa"/>
            <w:tcBorders>
              <w:top w:val="single" w:color="auto" w:sz="4" w:space="0"/>
              <w:left w:val="single" w:color="auto" w:sz="4" w:space="0"/>
              <w:bottom w:val="single" w:color="auto" w:sz="4" w:space="0"/>
              <w:right w:val="single" w:color="auto" w:sz="4" w:space="0"/>
            </w:tcBorders>
            <w:vAlign w:val="center"/>
          </w:tcPr>
          <w:p w14:paraId="51C07606">
            <w:pPr>
              <w:jc w:val="center"/>
              <w:rPr>
                <w:rFonts w:ascii="宋体" w:hAnsi="宋体"/>
                <w:sz w:val="20"/>
                <w:szCs w:val="20"/>
              </w:rPr>
            </w:pPr>
            <w:r>
              <w:rPr>
                <w:rFonts w:hint="eastAsia" w:ascii="宋体" w:hAnsi="宋体"/>
                <w:sz w:val="20"/>
                <w:szCs w:val="20"/>
              </w:rPr>
              <w:t>备注</w:t>
            </w:r>
          </w:p>
        </w:tc>
      </w:tr>
      <w:tr w14:paraId="098DB0F6">
        <w:tblPrEx>
          <w:tblCellMar>
            <w:top w:w="0" w:type="dxa"/>
            <w:left w:w="85" w:type="dxa"/>
            <w:bottom w:w="0" w:type="dxa"/>
            <w:right w:w="85" w:type="dxa"/>
          </w:tblCellMar>
        </w:tblPrEx>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4931A9B9">
            <w:pPr>
              <w:jc w:val="center"/>
              <w:rPr>
                <w:rFonts w:ascii="宋体" w:hAnsi="宋体"/>
                <w:sz w:val="20"/>
                <w:szCs w:val="20"/>
              </w:rPr>
            </w:pPr>
            <w:r>
              <w:rPr>
                <w:rFonts w:ascii="宋体" w:hAnsi="宋体"/>
                <w:sz w:val="20"/>
                <w:szCs w:val="20"/>
              </w:rPr>
              <w:t>1</w:t>
            </w:r>
          </w:p>
        </w:tc>
        <w:tc>
          <w:tcPr>
            <w:tcW w:w="2693" w:type="dxa"/>
            <w:tcBorders>
              <w:top w:val="nil"/>
              <w:left w:val="nil"/>
              <w:bottom w:val="single" w:color="auto" w:sz="4" w:space="0"/>
              <w:right w:val="single" w:color="auto" w:sz="4" w:space="0"/>
            </w:tcBorders>
            <w:vAlign w:val="center"/>
          </w:tcPr>
          <w:p w14:paraId="1148FD38">
            <w:pPr>
              <w:jc w:val="center"/>
              <w:rPr>
                <w:rFonts w:ascii="宋体" w:hAnsi="宋体"/>
                <w:sz w:val="20"/>
                <w:szCs w:val="20"/>
              </w:rPr>
            </w:pPr>
            <w:r>
              <w:rPr>
                <w:rFonts w:hint="eastAsia" w:ascii="宋体" w:hAnsi="宋体"/>
                <w:color w:val="000000"/>
                <w:sz w:val="20"/>
                <w:szCs w:val="20"/>
              </w:rPr>
              <w:t>冲洗车</w:t>
            </w:r>
          </w:p>
        </w:tc>
        <w:tc>
          <w:tcPr>
            <w:tcW w:w="992" w:type="dxa"/>
            <w:tcBorders>
              <w:top w:val="nil"/>
              <w:left w:val="nil"/>
              <w:bottom w:val="single" w:color="auto" w:sz="4" w:space="0"/>
              <w:right w:val="single" w:color="auto" w:sz="4" w:space="0"/>
            </w:tcBorders>
            <w:vAlign w:val="center"/>
          </w:tcPr>
          <w:p w14:paraId="38270D1C">
            <w:pPr>
              <w:jc w:val="center"/>
              <w:rPr>
                <w:rFonts w:ascii="宋体" w:hAnsi="宋体"/>
                <w:sz w:val="20"/>
                <w:szCs w:val="20"/>
              </w:rPr>
            </w:pPr>
            <w:r>
              <w:rPr>
                <w:rFonts w:hint="eastAsia" w:ascii="宋体" w:hAnsi="宋体"/>
                <w:color w:val="000000"/>
                <w:sz w:val="20"/>
                <w:szCs w:val="20"/>
              </w:rPr>
              <w:t>2</w:t>
            </w:r>
          </w:p>
        </w:tc>
        <w:tc>
          <w:tcPr>
            <w:tcW w:w="2699" w:type="dxa"/>
            <w:tcBorders>
              <w:top w:val="single" w:color="auto" w:sz="4" w:space="0"/>
              <w:left w:val="nil"/>
              <w:bottom w:val="single" w:color="auto" w:sz="4" w:space="0"/>
              <w:right w:val="single" w:color="auto" w:sz="4" w:space="0"/>
            </w:tcBorders>
            <w:vAlign w:val="center"/>
          </w:tcPr>
          <w:p w14:paraId="4D2EB4C0">
            <w:pPr>
              <w:jc w:val="center"/>
              <w:rPr>
                <w:rFonts w:ascii="宋体" w:hAnsi="宋体"/>
                <w:sz w:val="20"/>
                <w:szCs w:val="20"/>
              </w:rPr>
            </w:pPr>
            <w:r>
              <w:rPr>
                <w:rFonts w:hint="eastAsia" w:ascii="宋体" w:hAnsi="宋体"/>
                <w:color w:val="000000"/>
                <w:sz w:val="20"/>
                <w:szCs w:val="20"/>
              </w:rPr>
              <w:t>冲洗表面</w:t>
            </w:r>
          </w:p>
        </w:tc>
        <w:tc>
          <w:tcPr>
            <w:tcW w:w="1843" w:type="dxa"/>
            <w:tcBorders>
              <w:top w:val="nil"/>
              <w:left w:val="single" w:color="auto" w:sz="4" w:space="0"/>
              <w:bottom w:val="single" w:color="auto" w:sz="4" w:space="0"/>
              <w:right w:val="single" w:color="auto" w:sz="4" w:space="0"/>
            </w:tcBorders>
            <w:vAlign w:val="center"/>
          </w:tcPr>
          <w:p w14:paraId="13D911D4">
            <w:pPr>
              <w:jc w:val="center"/>
              <w:rPr>
                <w:rFonts w:ascii="宋体" w:hAnsi="宋体"/>
                <w:sz w:val="20"/>
                <w:szCs w:val="20"/>
              </w:rPr>
            </w:pPr>
            <w:r>
              <w:rPr>
                <w:rFonts w:hint="eastAsia" w:ascii="宋体" w:hAnsi="宋体"/>
                <w:color w:val="000000"/>
                <w:sz w:val="20"/>
                <w:szCs w:val="20"/>
              </w:rPr>
              <w:t>自有或租赁</w:t>
            </w:r>
          </w:p>
        </w:tc>
      </w:tr>
      <w:tr w14:paraId="22FB692F">
        <w:tblPrEx>
          <w:tblCellMar>
            <w:top w:w="0" w:type="dxa"/>
            <w:left w:w="85" w:type="dxa"/>
            <w:bottom w:w="0" w:type="dxa"/>
            <w:right w:w="85" w:type="dxa"/>
          </w:tblCellMar>
        </w:tblPrEx>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1BCA70A9">
            <w:pPr>
              <w:jc w:val="center"/>
              <w:rPr>
                <w:rFonts w:ascii="宋体" w:hAnsi="宋体"/>
                <w:sz w:val="20"/>
                <w:szCs w:val="20"/>
              </w:rPr>
            </w:pPr>
            <w:r>
              <w:rPr>
                <w:rFonts w:ascii="宋体" w:hAnsi="宋体"/>
                <w:sz w:val="20"/>
                <w:szCs w:val="20"/>
              </w:rPr>
              <w:t>2</w:t>
            </w:r>
          </w:p>
        </w:tc>
        <w:tc>
          <w:tcPr>
            <w:tcW w:w="2693" w:type="dxa"/>
            <w:tcBorders>
              <w:top w:val="nil"/>
              <w:left w:val="nil"/>
              <w:bottom w:val="single" w:color="auto" w:sz="4" w:space="0"/>
              <w:right w:val="single" w:color="auto" w:sz="4" w:space="0"/>
            </w:tcBorders>
            <w:vAlign w:val="center"/>
          </w:tcPr>
          <w:p w14:paraId="4050CC13">
            <w:pPr>
              <w:jc w:val="center"/>
              <w:rPr>
                <w:rFonts w:ascii="宋体" w:hAnsi="宋体"/>
                <w:sz w:val="20"/>
                <w:szCs w:val="20"/>
              </w:rPr>
            </w:pPr>
            <w:r>
              <w:rPr>
                <w:rFonts w:hint="eastAsia" w:ascii="宋体" w:hAnsi="宋体"/>
                <w:color w:val="000000"/>
                <w:sz w:val="20"/>
                <w:szCs w:val="20"/>
              </w:rPr>
              <w:t>养护作业车（和封道设备）</w:t>
            </w:r>
          </w:p>
        </w:tc>
        <w:tc>
          <w:tcPr>
            <w:tcW w:w="992" w:type="dxa"/>
            <w:tcBorders>
              <w:top w:val="nil"/>
              <w:left w:val="nil"/>
              <w:bottom w:val="single" w:color="auto" w:sz="4" w:space="0"/>
              <w:right w:val="single" w:color="auto" w:sz="4" w:space="0"/>
            </w:tcBorders>
            <w:vAlign w:val="center"/>
          </w:tcPr>
          <w:p w14:paraId="76B1D615">
            <w:pPr>
              <w:jc w:val="center"/>
              <w:rPr>
                <w:rFonts w:ascii="宋体" w:hAnsi="宋体"/>
                <w:sz w:val="20"/>
                <w:szCs w:val="20"/>
              </w:rPr>
            </w:pPr>
            <w:r>
              <w:rPr>
                <w:rFonts w:hint="eastAsia" w:ascii="宋体" w:hAnsi="宋体"/>
                <w:color w:val="000000"/>
                <w:sz w:val="20"/>
                <w:szCs w:val="20"/>
              </w:rPr>
              <w:t>2</w:t>
            </w:r>
          </w:p>
        </w:tc>
        <w:tc>
          <w:tcPr>
            <w:tcW w:w="2699" w:type="dxa"/>
            <w:tcBorders>
              <w:top w:val="single" w:color="auto" w:sz="4" w:space="0"/>
              <w:left w:val="nil"/>
              <w:bottom w:val="single" w:color="auto" w:sz="4" w:space="0"/>
              <w:right w:val="single" w:color="auto" w:sz="4" w:space="0"/>
            </w:tcBorders>
            <w:vAlign w:val="center"/>
          </w:tcPr>
          <w:p w14:paraId="1F6ED406">
            <w:pPr>
              <w:jc w:val="center"/>
              <w:rPr>
                <w:rFonts w:ascii="宋体" w:hAnsi="宋体"/>
                <w:sz w:val="20"/>
                <w:szCs w:val="20"/>
              </w:rPr>
            </w:pPr>
            <w:r>
              <w:rPr>
                <w:rFonts w:hint="eastAsia" w:ascii="宋体" w:hAnsi="宋体"/>
                <w:color w:val="000000"/>
                <w:sz w:val="20"/>
                <w:szCs w:val="20"/>
              </w:rPr>
              <w:t>占道养护、施工安全防护</w:t>
            </w:r>
          </w:p>
        </w:tc>
        <w:tc>
          <w:tcPr>
            <w:tcW w:w="1843" w:type="dxa"/>
            <w:tcBorders>
              <w:top w:val="nil"/>
              <w:left w:val="single" w:color="auto" w:sz="4" w:space="0"/>
              <w:bottom w:val="single" w:color="auto" w:sz="4" w:space="0"/>
              <w:right w:val="single" w:color="auto" w:sz="4" w:space="0"/>
            </w:tcBorders>
            <w:vAlign w:val="center"/>
          </w:tcPr>
          <w:p w14:paraId="79C8AF56">
            <w:pPr>
              <w:jc w:val="center"/>
              <w:rPr>
                <w:rFonts w:ascii="宋体" w:hAnsi="宋体"/>
                <w:sz w:val="20"/>
                <w:szCs w:val="20"/>
              </w:rPr>
            </w:pPr>
            <w:r>
              <w:rPr>
                <w:rFonts w:hint="eastAsia" w:ascii="宋体" w:hAnsi="宋体"/>
                <w:color w:val="000000"/>
                <w:sz w:val="20"/>
                <w:szCs w:val="20"/>
              </w:rPr>
              <w:t>自有或租赁</w:t>
            </w:r>
          </w:p>
        </w:tc>
      </w:tr>
      <w:tr w14:paraId="3F4BE3DA">
        <w:tblPrEx>
          <w:tblCellMar>
            <w:top w:w="0" w:type="dxa"/>
            <w:left w:w="85" w:type="dxa"/>
            <w:bottom w:w="0" w:type="dxa"/>
            <w:right w:w="85" w:type="dxa"/>
          </w:tblCellMar>
        </w:tblPrEx>
        <w:trPr>
          <w:trHeight w:val="454" w:hRule="atLeast"/>
          <w:jc w:val="center"/>
        </w:trPr>
        <w:tc>
          <w:tcPr>
            <w:tcW w:w="846" w:type="dxa"/>
            <w:tcBorders>
              <w:top w:val="nil"/>
              <w:left w:val="single" w:color="auto" w:sz="4" w:space="0"/>
              <w:bottom w:val="single" w:color="auto" w:sz="4" w:space="0"/>
              <w:right w:val="single" w:color="auto" w:sz="4" w:space="0"/>
            </w:tcBorders>
            <w:vAlign w:val="center"/>
          </w:tcPr>
          <w:p w14:paraId="21FEFC21">
            <w:pPr>
              <w:jc w:val="center"/>
              <w:rPr>
                <w:rFonts w:ascii="宋体" w:hAnsi="宋体"/>
                <w:sz w:val="20"/>
                <w:szCs w:val="20"/>
              </w:rPr>
            </w:pPr>
            <w:r>
              <w:rPr>
                <w:rFonts w:ascii="宋体" w:hAnsi="宋体"/>
                <w:sz w:val="20"/>
                <w:szCs w:val="20"/>
              </w:rPr>
              <w:t>3</w:t>
            </w:r>
          </w:p>
        </w:tc>
        <w:tc>
          <w:tcPr>
            <w:tcW w:w="2693" w:type="dxa"/>
            <w:tcBorders>
              <w:top w:val="single" w:color="auto" w:sz="4" w:space="0"/>
              <w:left w:val="single" w:color="auto" w:sz="4" w:space="0"/>
              <w:bottom w:val="single" w:color="auto" w:sz="4" w:space="0"/>
              <w:right w:val="single" w:color="auto" w:sz="4" w:space="0"/>
            </w:tcBorders>
            <w:vAlign w:val="center"/>
          </w:tcPr>
          <w:p w14:paraId="4E1B3F7A">
            <w:pPr>
              <w:jc w:val="center"/>
              <w:rPr>
                <w:rFonts w:ascii="宋体" w:hAnsi="宋体"/>
                <w:sz w:val="20"/>
                <w:szCs w:val="20"/>
              </w:rPr>
            </w:pPr>
            <w:r>
              <w:rPr>
                <w:rFonts w:hint="eastAsia" w:ascii="宋体" w:hAnsi="宋体"/>
                <w:color w:val="000000"/>
                <w:sz w:val="20"/>
                <w:szCs w:val="20"/>
              </w:rPr>
              <w:t>登高作业车</w:t>
            </w:r>
          </w:p>
        </w:tc>
        <w:tc>
          <w:tcPr>
            <w:tcW w:w="992" w:type="dxa"/>
            <w:tcBorders>
              <w:top w:val="single" w:color="auto" w:sz="4" w:space="0"/>
              <w:left w:val="nil"/>
              <w:bottom w:val="single" w:color="auto" w:sz="4" w:space="0"/>
              <w:right w:val="single" w:color="auto" w:sz="4" w:space="0"/>
            </w:tcBorders>
            <w:vAlign w:val="center"/>
          </w:tcPr>
          <w:p w14:paraId="065EFBB9">
            <w:pPr>
              <w:jc w:val="center"/>
              <w:rPr>
                <w:rFonts w:ascii="宋体" w:hAnsi="宋体"/>
                <w:sz w:val="20"/>
                <w:szCs w:val="20"/>
              </w:rPr>
            </w:pPr>
            <w:r>
              <w:rPr>
                <w:rFonts w:hint="eastAsia" w:ascii="宋体" w:hAnsi="宋体"/>
                <w:color w:val="000000"/>
                <w:sz w:val="20"/>
                <w:szCs w:val="20"/>
              </w:rPr>
              <w:t>1</w:t>
            </w:r>
          </w:p>
        </w:tc>
        <w:tc>
          <w:tcPr>
            <w:tcW w:w="2699" w:type="dxa"/>
            <w:tcBorders>
              <w:top w:val="single" w:color="auto" w:sz="4" w:space="0"/>
              <w:left w:val="nil"/>
              <w:bottom w:val="single" w:color="auto" w:sz="4" w:space="0"/>
              <w:right w:val="single" w:color="auto" w:sz="4" w:space="0"/>
            </w:tcBorders>
            <w:vAlign w:val="center"/>
          </w:tcPr>
          <w:p w14:paraId="04EB97DE">
            <w:pPr>
              <w:jc w:val="center"/>
              <w:rPr>
                <w:rFonts w:ascii="宋体" w:hAnsi="宋体"/>
                <w:sz w:val="20"/>
                <w:szCs w:val="20"/>
              </w:rPr>
            </w:pPr>
            <w:r>
              <w:rPr>
                <w:rFonts w:hint="eastAsia" w:ascii="宋体" w:hAnsi="宋体"/>
                <w:color w:val="000000"/>
                <w:sz w:val="20"/>
                <w:szCs w:val="20"/>
              </w:rPr>
              <w:t>设备维修</w:t>
            </w:r>
          </w:p>
        </w:tc>
        <w:tc>
          <w:tcPr>
            <w:tcW w:w="1843" w:type="dxa"/>
            <w:tcBorders>
              <w:top w:val="single" w:color="auto" w:sz="4" w:space="0"/>
              <w:left w:val="single" w:color="auto" w:sz="4" w:space="0"/>
              <w:bottom w:val="single" w:color="auto" w:sz="4" w:space="0"/>
              <w:right w:val="single" w:color="auto" w:sz="4" w:space="0"/>
            </w:tcBorders>
            <w:vAlign w:val="center"/>
          </w:tcPr>
          <w:p w14:paraId="5D2DC0D7">
            <w:pPr>
              <w:jc w:val="center"/>
              <w:rPr>
                <w:rFonts w:ascii="宋体" w:hAnsi="宋体"/>
                <w:sz w:val="20"/>
                <w:szCs w:val="20"/>
              </w:rPr>
            </w:pPr>
            <w:r>
              <w:rPr>
                <w:rFonts w:hint="eastAsia" w:ascii="宋体" w:hAnsi="宋体"/>
                <w:color w:val="000000"/>
                <w:sz w:val="20"/>
                <w:szCs w:val="20"/>
              </w:rPr>
              <w:t>自有或租赁</w:t>
            </w:r>
          </w:p>
        </w:tc>
      </w:tr>
      <w:tr w14:paraId="47E88DCB">
        <w:tblPrEx>
          <w:tblCellMar>
            <w:top w:w="0" w:type="dxa"/>
            <w:left w:w="85" w:type="dxa"/>
            <w:bottom w:w="0" w:type="dxa"/>
            <w:right w:w="85" w:type="dxa"/>
          </w:tblCellMar>
        </w:tblPrEx>
        <w:trPr>
          <w:trHeight w:val="4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5D7103AD">
            <w:pPr>
              <w:jc w:val="center"/>
              <w:rPr>
                <w:rFonts w:ascii="宋体" w:hAnsi="宋体"/>
                <w:sz w:val="20"/>
                <w:szCs w:val="20"/>
              </w:rPr>
            </w:pPr>
            <w:r>
              <w:rPr>
                <w:rFonts w:ascii="宋体" w:hAnsi="宋体"/>
                <w:sz w:val="20"/>
                <w:szCs w:val="20"/>
              </w:rPr>
              <w:t>4</w:t>
            </w:r>
          </w:p>
        </w:tc>
        <w:tc>
          <w:tcPr>
            <w:tcW w:w="2693" w:type="dxa"/>
            <w:tcBorders>
              <w:top w:val="single" w:color="auto" w:sz="4" w:space="0"/>
              <w:left w:val="nil"/>
              <w:bottom w:val="single" w:color="auto" w:sz="4" w:space="0"/>
              <w:right w:val="single" w:color="auto" w:sz="4" w:space="0"/>
            </w:tcBorders>
            <w:vAlign w:val="center"/>
          </w:tcPr>
          <w:p w14:paraId="53A6E9C0">
            <w:pPr>
              <w:jc w:val="center"/>
              <w:rPr>
                <w:rFonts w:ascii="宋体" w:hAnsi="宋体"/>
                <w:sz w:val="20"/>
                <w:szCs w:val="20"/>
              </w:rPr>
            </w:pPr>
            <w:r>
              <w:rPr>
                <w:rFonts w:hint="eastAsia" w:ascii="宋体" w:hAnsi="宋体"/>
                <w:color w:val="000000"/>
                <w:sz w:val="20"/>
                <w:szCs w:val="20"/>
              </w:rPr>
              <w:t>安全防撞车</w:t>
            </w:r>
          </w:p>
        </w:tc>
        <w:tc>
          <w:tcPr>
            <w:tcW w:w="992" w:type="dxa"/>
            <w:tcBorders>
              <w:top w:val="single" w:color="auto" w:sz="4" w:space="0"/>
              <w:left w:val="nil"/>
              <w:bottom w:val="single" w:color="auto" w:sz="4" w:space="0"/>
              <w:right w:val="single" w:color="auto" w:sz="4" w:space="0"/>
            </w:tcBorders>
            <w:vAlign w:val="center"/>
          </w:tcPr>
          <w:p w14:paraId="456245CA">
            <w:pPr>
              <w:jc w:val="center"/>
              <w:rPr>
                <w:rFonts w:ascii="宋体" w:hAnsi="宋体"/>
                <w:sz w:val="20"/>
                <w:szCs w:val="20"/>
              </w:rPr>
            </w:pPr>
            <w:r>
              <w:rPr>
                <w:rFonts w:hint="eastAsia" w:ascii="宋体" w:hAnsi="宋体"/>
                <w:color w:val="000000"/>
                <w:sz w:val="20"/>
                <w:szCs w:val="20"/>
              </w:rPr>
              <w:t>1</w:t>
            </w:r>
          </w:p>
        </w:tc>
        <w:tc>
          <w:tcPr>
            <w:tcW w:w="2699" w:type="dxa"/>
            <w:tcBorders>
              <w:top w:val="single" w:color="auto" w:sz="4" w:space="0"/>
              <w:left w:val="nil"/>
              <w:bottom w:val="single" w:color="auto" w:sz="4" w:space="0"/>
              <w:right w:val="single" w:color="auto" w:sz="4" w:space="0"/>
            </w:tcBorders>
            <w:vAlign w:val="center"/>
          </w:tcPr>
          <w:p w14:paraId="661C2475">
            <w:pPr>
              <w:jc w:val="center"/>
              <w:rPr>
                <w:rFonts w:ascii="宋体" w:hAnsi="宋体"/>
                <w:sz w:val="20"/>
                <w:szCs w:val="20"/>
              </w:rPr>
            </w:pPr>
            <w:r>
              <w:rPr>
                <w:rFonts w:hint="eastAsia" w:ascii="宋体" w:hAnsi="宋体"/>
                <w:color w:val="000000"/>
                <w:sz w:val="20"/>
                <w:szCs w:val="20"/>
              </w:rPr>
              <w:t>占道养护、施工安全防护</w:t>
            </w:r>
          </w:p>
        </w:tc>
        <w:tc>
          <w:tcPr>
            <w:tcW w:w="1843" w:type="dxa"/>
            <w:tcBorders>
              <w:top w:val="single" w:color="auto" w:sz="4" w:space="0"/>
              <w:left w:val="single" w:color="auto" w:sz="4" w:space="0"/>
              <w:bottom w:val="single" w:color="auto" w:sz="4" w:space="0"/>
              <w:right w:val="single" w:color="auto" w:sz="4" w:space="0"/>
            </w:tcBorders>
            <w:vAlign w:val="center"/>
          </w:tcPr>
          <w:p w14:paraId="60AF80AE">
            <w:pPr>
              <w:jc w:val="center"/>
              <w:rPr>
                <w:rFonts w:ascii="宋体" w:hAnsi="宋体"/>
                <w:sz w:val="20"/>
                <w:szCs w:val="20"/>
              </w:rPr>
            </w:pPr>
            <w:r>
              <w:rPr>
                <w:rFonts w:hint="eastAsia" w:ascii="宋体" w:hAnsi="宋体"/>
                <w:color w:val="000000"/>
                <w:sz w:val="20"/>
                <w:szCs w:val="20"/>
              </w:rPr>
              <w:t>自有或租赁</w:t>
            </w:r>
          </w:p>
        </w:tc>
      </w:tr>
    </w:tbl>
    <w:p w14:paraId="3FBA874D">
      <w:pPr>
        <w:spacing w:before="240" w:line="360" w:lineRule="auto"/>
        <w:ind w:firstLine="424" w:firstLineChars="202"/>
        <w:jc w:val="both"/>
        <w:rPr>
          <w:rFonts w:ascii="宋体" w:hAnsi="宋体"/>
          <w:snapToGrid w:val="0"/>
          <w:szCs w:val="21"/>
        </w:rPr>
      </w:pPr>
      <w:r>
        <w:rPr>
          <w:rFonts w:hint="eastAsia" w:ascii="宋体" w:hAnsi="宋体"/>
          <w:snapToGrid w:val="0"/>
          <w:szCs w:val="21"/>
        </w:rPr>
        <w:t>2、上述设备中车辆的尾气排放标准必须符合国家和上海市的有关标准。</w:t>
      </w:r>
    </w:p>
    <w:p w14:paraId="71E56D76">
      <w:pPr>
        <w:spacing w:line="360" w:lineRule="auto"/>
        <w:ind w:firstLine="424" w:firstLineChars="202"/>
        <w:jc w:val="both"/>
        <w:rPr>
          <w:rFonts w:ascii="宋体" w:hAnsi="宋体"/>
          <w:snapToGrid w:val="0"/>
          <w:szCs w:val="21"/>
        </w:rPr>
      </w:pPr>
      <w:r>
        <w:rPr>
          <w:rFonts w:hint="eastAsia" w:ascii="宋体" w:hAnsi="宋体"/>
          <w:snapToGrid w:val="0"/>
          <w:szCs w:val="21"/>
        </w:rPr>
        <w:t>3、</w:t>
      </w:r>
      <w:bookmarkStart w:id="7" w:name="_Hlk151490152"/>
      <w:r>
        <w:rPr>
          <w:rFonts w:hint="eastAsia" w:ascii="宋体" w:hAnsi="宋体"/>
          <w:snapToGrid w:val="0"/>
          <w:szCs w:val="21"/>
        </w:rPr>
        <w:t>上述机械设备或作业车辆应由中标人自行配置，且应满足上述需求表中的数量和配置要求，自有机械设备、车辆须提供车辆行驶证或购买发票或拟采购合同（签订日期应在投标截止日之前）等证明材料（关键页一定要清晰可辨认）。</w:t>
      </w:r>
    </w:p>
    <w:bookmarkEnd w:id="7"/>
    <w:p w14:paraId="09A53591">
      <w:pPr>
        <w:spacing w:line="360" w:lineRule="auto"/>
        <w:ind w:firstLine="424" w:firstLineChars="202"/>
        <w:jc w:val="both"/>
        <w:rPr>
          <w:rFonts w:ascii="宋体" w:hAnsi="宋体"/>
          <w:snapToGrid w:val="0"/>
          <w:szCs w:val="21"/>
        </w:rPr>
      </w:pPr>
      <w:bookmarkStart w:id="8" w:name="_Hlk151490159"/>
      <w:r>
        <w:rPr>
          <w:rFonts w:hint="eastAsia" w:ascii="宋体" w:hAnsi="宋体"/>
          <w:snapToGrid w:val="0"/>
          <w:szCs w:val="21"/>
        </w:rPr>
        <w:t>4、投标人在投标阶段若无</w:t>
      </w:r>
      <w:r>
        <w:rPr>
          <w:rFonts w:hint="eastAsia" w:ascii="宋体" w:hAnsi="宋体"/>
          <w:snapToGrid w:val="0"/>
          <w:szCs w:val="21"/>
          <w:lang w:eastAsia="zh-CN"/>
        </w:rPr>
        <w:t>全部</w:t>
      </w:r>
      <w:r>
        <w:rPr>
          <w:rFonts w:hint="eastAsia" w:ascii="宋体" w:hAnsi="宋体"/>
          <w:snapToGrid w:val="0"/>
          <w:szCs w:val="21"/>
        </w:rPr>
        <w:t>机械设备、作业车辆的，须</w:t>
      </w:r>
      <w:r>
        <w:rPr>
          <w:rFonts w:hint="eastAsia" w:ascii="宋体" w:hAnsi="宋体"/>
          <w:b/>
          <w:bCs/>
          <w:i/>
          <w:iCs/>
          <w:snapToGrid w:val="0"/>
          <w:szCs w:val="21"/>
        </w:rPr>
        <w:t>承诺</w:t>
      </w:r>
      <w:r>
        <w:rPr>
          <w:rFonts w:hint="eastAsia" w:ascii="宋体" w:hAnsi="宋体"/>
          <w:snapToGrid w:val="0"/>
          <w:szCs w:val="21"/>
        </w:rPr>
        <w:t>中标后</w:t>
      </w:r>
      <w:r>
        <w:rPr>
          <w:rFonts w:hint="eastAsia" w:ascii="宋体" w:hAnsi="宋体"/>
          <w:snapToGrid w:val="0"/>
          <w:szCs w:val="21"/>
          <w:lang w:val="en-US" w:eastAsia="zh-CN"/>
        </w:rPr>
        <w:t>15日</w:t>
      </w:r>
      <w:r>
        <w:rPr>
          <w:rFonts w:hint="eastAsia" w:ascii="宋体" w:hAnsi="宋体"/>
          <w:snapToGrid w:val="0"/>
          <w:szCs w:val="21"/>
        </w:rPr>
        <w:t>内解决满足本项目需求所有机械设备、作业车辆。</w:t>
      </w:r>
    </w:p>
    <w:bookmarkEnd w:id="8"/>
    <w:p w14:paraId="2204AC28">
      <w:pPr>
        <w:spacing w:line="360" w:lineRule="auto"/>
        <w:ind w:firstLine="424" w:firstLineChars="202"/>
        <w:jc w:val="both"/>
        <w:rPr>
          <w:rFonts w:ascii="宋体" w:hAnsi="宋体"/>
          <w:snapToGrid w:val="0"/>
          <w:szCs w:val="21"/>
        </w:rPr>
      </w:pPr>
      <w:bookmarkStart w:id="9" w:name="_Hlk151490172"/>
      <w:r>
        <w:rPr>
          <w:rFonts w:hint="eastAsia" w:ascii="宋体" w:hAnsi="宋体"/>
          <w:snapToGrid w:val="0"/>
          <w:szCs w:val="21"/>
        </w:rPr>
        <w:t>5、投标人应</w:t>
      </w:r>
      <w:r>
        <w:rPr>
          <w:rFonts w:hint="eastAsia" w:ascii="宋体" w:hAnsi="宋体"/>
          <w:b/>
          <w:bCs/>
          <w:i/>
          <w:iCs/>
          <w:snapToGrid w:val="0"/>
          <w:szCs w:val="21"/>
        </w:rPr>
        <w:t>承诺</w:t>
      </w:r>
      <w:r>
        <w:rPr>
          <w:rFonts w:hint="eastAsia" w:ascii="宋体" w:hAnsi="宋体"/>
          <w:snapToGrid w:val="0"/>
          <w:szCs w:val="21"/>
        </w:rPr>
        <w:t>一旦中标，将根据实际情况进一步提升日常养护工作的智能化水平，配置一定数量的智能巡查检测设备、日常巡查车辆须安装智能前端感知设备，所有一线养护作业车辆须安装卫星定位系统，并接入采购人的养护在线监管平台。</w:t>
      </w:r>
    </w:p>
    <w:p w14:paraId="284D4204">
      <w:pPr>
        <w:spacing w:line="360" w:lineRule="auto"/>
        <w:ind w:firstLine="424" w:firstLineChars="202"/>
        <w:jc w:val="both"/>
        <w:rPr>
          <w:rFonts w:ascii="宋体" w:hAnsi="宋体"/>
          <w:snapToGrid w:val="0"/>
          <w:szCs w:val="21"/>
        </w:rPr>
      </w:pPr>
      <w:r>
        <w:rPr>
          <w:rFonts w:hint="eastAsia" w:ascii="宋体" w:hAnsi="宋体"/>
          <w:snapToGrid w:val="0"/>
          <w:szCs w:val="21"/>
        </w:rPr>
        <w:t>6、上述机械设备或作业车辆必须为本设施专用。中标人还应配备一定数量的针对突发事件或自然灾害的应急处置设备，若因突发事件或</w:t>
      </w:r>
      <w:bookmarkStart w:id="10" w:name="_Hlk90300767"/>
      <w:r>
        <w:rPr>
          <w:rFonts w:hint="eastAsia" w:ascii="宋体" w:hAnsi="宋体"/>
          <w:snapToGrid w:val="0"/>
          <w:szCs w:val="21"/>
        </w:rPr>
        <w:t>采购人要求需临时增加养护作业车辆设备</w:t>
      </w:r>
      <w:bookmarkEnd w:id="10"/>
      <w:r>
        <w:rPr>
          <w:rFonts w:hint="eastAsia" w:ascii="宋体" w:hAnsi="宋体"/>
          <w:snapToGrid w:val="0"/>
          <w:szCs w:val="21"/>
        </w:rPr>
        <w:t>的，中标人应予以无条件落实。</w:t>
      </w:r>
    </w:p>
    <w:bookmarkEnd w:id="6"/>
    <w:bookmarkEnd w:id="9"/>
    <w:p w14:paraId="36EA51DF">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（三）养护基地配置基本要求</w:t>
      </w:r>
    </w:p>
    <w:p w14:paraId="56539740">
      <w:pPr>
        <w:spacing w:line="360" w:lineRule="auto"/>
        <w:ind w:firstLine="424" w:firstLineChars="202"/>
        <w:jc w:val="both"/>
        <w:rPr>
          <w:rFonts w:ascii="宋体" w:hAnsi="宋体"/>
          <w:snapToGrid w:val="0"/>
          <w:szCs w:val="21"/>
        </w:rPr>
      </w:pPr>
      <w:bookmarkStart w:id="11" w:name="_Hlk90817098"/>
      <w:bookmarkStart w:id="12" w:name="_Hlk90538879"/>
      <w:r>
        <w:rPr>
          <w:rFonts w:hint="eastAsia" w:ascii="宋体" w:hAnsi="宋体"/>
          <w:snapToGrid w:val="0"/>
          <w:szCs w:val="21"/>
        </w:rPr>
        <w:t>1、中标人应自行解决满足本项目需求的管理用房或养护基地。并</w:t>
      </w:r>
      <w:r>
        <w:rPr>
          <w:rFonts w:hint="eastAsia" w:ascii="宋体" w:hAnsi="宋体"/>
          <w:b/>
          <w:bCs/>
          <w:i/>
          <w:iCs/>
          <w:snapToGrid w:val="0"/>
          <w:szCs w:val="21"/>
        </w:rPr>
        <w:t>承诺</w:t>
      </w:r>
      <w:r>
        <w:rPr>
          <w:rFonts w:hint="eastAsia" w:ascii="宋体" w:hAnsi="宋体"/>
          <w:snapToGrid w:val="0"/>
          <w:szCs w:val="21"/>
        </w:rPr>
        <w:t>提供不小于500平方米的道班房（养护基地）、且在项目实施地5公里范围之内。</w:t>
      </w:r>
    </w:p>
    <w:p w14:paraId="5FDE57C7">
      <w:pPr>
        <w:spacing w:line="360" w:lineRule="auto"/>
        <w:ind w:firstLine="424" w:firstLineChars="202"/>
        <w:jc w:val="both"/>
        <w:rPr>
          <w:rFonts w:ascii="宋体" w:hAnsi="宋体"/>
          <w:snapToGrid w:val="0"/>
          <w:szCs w:val="21"/>
        </w:rPr>
      </w:pPr>
      <w:r>
        <w:rPr>
          <w:rFonts w:ascii="宋体" w:hAnsi="宋体"/>
          <w:snapToGrid w:val="0"/>
          <w:szCs w:val="21"/>
        </w:rPr>
        <w:t>2</w:t>
      </w:r>
      <w:r>
        <w:rPr>
          <w:rFonts w:hint="eastAsia" w:ascii="宋体" w:hAnsi="宋体"/>
          <w:snapToGrid w:val="0"/>
          <w:szCs w:val="21"/>
        </w:rPr>
        <w:t>、管理用房、道班房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维修材料应堆放在专用仓库或场地，满足存放要求。</w:t>
      </w:r>
    </w:p>
    <w:p w14:paraId="6FDA4BDA">
      <w:pPr>
        <w:spacing w:line="360" w:lineRule="auto"/>
        <w:ind w:firstLine="424" w:firstLineChars="202"/>
        <w:jc w:val="both"/>
        <w:rPr>
          <w:rFonts w:ascii="宋体" w:hAnsi="宋体"/>
          <w:snapToGrid w:val="0"/>
          <w:szCs w:val="21"/>
        </w:rPr>
      </w:pPr>
      <w:r>
        <w:rPr>
          <w:rFonts w:ascii="宋体" w:hAnsi="宋体"/>
          <w:snapToGrid w:val="0"/>
          <w:szCs w:val="21"/>
        </w:rPr>
        <w:t>3</w:t>
      </w:r>
      <w:r>
        <w:rPr>
          <w:rFonts w:hint="eastAsia" w:ascii="宋体" w:hAnsi="宋体"/>
          <w:snapToGrid w:val="0"/>
          <w:szCs w:val="21"/>
        </w:rPr>
        <w:t>、若因养护维修工作需要或采购人认为有必要需另行增加管理用房、道班房等养护基地的，中标人必须予以增加，并作出明确</w:t>
      </w:r>
      <w:r>
        <w:rPr>
          <w:rFonts w:hint="eastAsia" w:ascii="宋体" w:hAnsi="宋体"/>
          <w:b/>
          <w:bCs/>
          <w:i/>
          <w:iCs/>
          <w:snapToGrid w:val="0"/>
          <w:szCs w:val="21"/>
        </w:rPr>
        <w:t>承诺</w:t>
      </w:r>
      <w:r>
        <w:rPr>
          <w:rFonts w:hint="eastAsia" w:ascii="宋体" w:hAnsi="宋体"/>
          <w:snapToGrid w:val="0"/>
          <w:szCs w:val="21"/>
        </w:rPr>
        <w:t>。中标人应规范合理使用管理用房、道班房等养护基地，并进行经常性养护维修，确保房屋建筑结构安全和外观整洁、干净、完好。</w:t>
      </w:r>
    </w:p>
    <w:bookmarkEnd w:id="11"/>
    <w:p w14:paraId="249CCCE1">
      <w:pPr>
        <w:spacing w:line="360" w:lineRule="auto"/>
        <w:jc w:val="both"/>
        <w:rPr>
          <w:rFonts w:ascii="宋体" w:hAnsi="宋体"/>
          <w:snapToGrid w:val="0"/>
          <w:szCs w:val="21"/>
        </w:rPr>
      </w:pPr>
    </w:p>
    <w:p w14:paraId="2E6C8FC2">
      <w:pPr>
        <w:spacing w:line="360" w:lineRule="auto"/>
        <w:jc w:val="both"/>
        <w:outlineLvl w:val="0"/>
        <w:rPr>
          <w:rFonts w:ascii="宋体" w:hAnsi="宋体"/>
          <w:b/>
          <w:bCs/>
          <w:snapToGrid w:val="0"/>
          <w:szCs w:val="21"/>
        </w:rPr>
      </w:pPr>
      <w:r>
        <w:rPr>
          <w:rFonts w:hint="eastAsia" w:ascii="宋体" w:hAnsi="宋体"/>
          <w:b/>
          <w:bCs/>
          <w:snapToGrid w:val="0"/>
          <w:szCs w:val="21"/>
        </w:rPr>
        <w:t>四、维护保洁工作基本要求</w:t>
      </w:r>
    </w:p>
    <w:p w14:paraId="79427997">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（一）总体要求</w:t>
      </w:r>
    </w:p>
    <w:p w14:paraId="063F8ECB">
      <w:pPr>
        <w:spacing w:line="360" w:lineRule="auto"/>
        <w:ind w:firstLine="424" w:firstLineChars="202"/>
        <w:jc w:val="both"/>
        <w:rPr>
          <w:rFonts w:ascii="宋体" w:hAnsi="宋体"/>
          <w:snapToGrid w:val="0"/>
          <w:szCs w:val="21"/>
        </w:rPr>
      </w:pPr>
      <w:r>
        <w:rPr>
          <w:rFonts w:hint="eastAsia" w:ascii="宋体" w:hAnsi="宋体"/>
          <w:snapToGrid w:val="0"/>
          <w:szCs w:val="21"/>
        </w:rPr>
        <w:t>1、中标人应根据相关技术规范、标准和本招标文件要求对设施及其附属设施进行经常性、及时性、周期性和预防性的维修保养，确保本设施的安全、整洁干净和所有设施设备完好无损。</w:t>
      </w:r>
    </w:p>
    <w:p w14:paraId="4F55BBD1">
      <w:pPr>
        <w:spacing w:line="360" w:lineRule="auto"/>
        <w:ind w:firstLine="424" w:firstLineChars="202"/>
        <w:jc w:val="both"/>
        <w:rPr>
          <w:rFonts w:ascii="宋体" w:hAnsi="宋体"/>
          <w:snapToGrid w:val="0"/>
          <w:szCs w:val="21"/>
        </w:rPr>
      </w:pPr>
      <w:r>
        <w:rPr>
          <w:rFonts w:hint="eastAsia" w:ascii="宋体" w:hAnsi="宋体"/>
          <w:snapToGrid w:val="0"/>
          <w:szCs w:val="21"/>
        </w:rPr>
        <w:t>2、涂装层维护修补及滴水线修理应编制专项方案，并恢复原涂装结构。</w:t>
      </w:r>
    </w:p>
    <w:p w14:paraId="27131200">
      <w:pPr>
        <w:spacing w:line="360" w:lineRule="auto"/>
        <w:ind w:firstLine="424" w:firstLineChars="202"/>
        <w:jc w:val="both"/>
        <w:rPr>
          <w:rFonts w:ascii="宋体" w:hAnsi="宋体"/>
          <w:snapToGrid w:val="0"/>
          <w:szCs w:val="21"/>
        </w:rPr>
      </w:pPr>
      <w:r>
        <w:rPr>
          <w:rFonts w:hint="eastAsia" w:ascii="宋体" w:hAnsi="宋体"/>
          <w:snapToGrid w:val="0"/>
          <w:szCs w:val="21"/>
        </w:rPr>
        <w:t>3、中标人应严格按照高架道路设施保洁要求和建（构）筑物外立面清洗保养要求做好保洁工作，以机械喷水冲洗和中性清洁剂人工擦洗相结合为主，辅以其他清洗方式和手段，达到无积灰、无污垢、无花斑的要求，避免结构和涂装层损坏，发现损坏的应及时修补。</w:t>
      </w:r>
    </w:p>
    <w:p w14:paraId="21A65202">
      <w:pPr>
        <w:spacing w:line="360" w:lineRule="auto"/>
        <w:ind w:firstLine="424" w:firstLineChars="202"/>
        <w:jc w:val="both"/>
        <w:rPr>
          <w:rFonts w:ascii="宋体" w:hAnsi="宋体"/>
          <w:snapToGrid w:val="0"/>
          <w:szCs w:val="21"/>
        </w:rPr>
      </w:pPr>
      <w:r>
        <w:rPr>
          <w:rFonts w:hint="eastAsia" w:ascii="宋体" w:hAnsi="宋体"/>
          <w:snapToGrid w:val="0"/>
          <w:szCs w:val="21"/>
        </w:rPr>
        <w:t>4、中标人应严格按本招标文件的要求，配置养护管理、技术、一线作业人员和车辆机械设备，并加强人员培训和做好养护车辆机械设备的保养维修工作；同时，中标人应储备好应急队伍和车辆设备。</w:t>
      </w:r>
    </w:p>
    <w:p w14:paraId="04A4DF90">
      <w:pPr>
        <w:spacing w:line="360" w:lineRule="auto"/>
        <w:ind w:firstLine="424" w:firstLineChars="202"/>
        <w:jc w:val="both"/>
        <w:rPr>
          <w:rFonts w:ascii="宋体" w:hAnsi="宋体"/>
          <w:snapToGrid w:val="0"/>
          <w:szCs w:val="21"/>
        </w:rPr>
      </w:pPr>
      <w:r>
        <w:rPr>
          <w:rFonts w:hint="eastAsia" w:ascii="宋体" w:hAnsi="宋体"/>
          <w:snapToGrid w:val="0"/>
          <w:szCs w:val="21"/>
        </w:rPr>
        <w:t>5、中标人应严格按有关规定做好养护台账、设施信息更新、年度运行状况分析、养护工作资料的收集、整理、汇编、上报等工作，并提升智慧化管理工作水平。</w:t>
      </w:r>
    </w:p>
    <w:p w14:paraId="442139B4">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（二）维护保洁制度</w:t>
      </w:r>
    </w:p>
    <w:p w14:paraId="49AF968A">
      <w:pPr>
        <w:spacing w:line="360" w:lineRule="auto"/>
        <w:ind w:firstLine="424" w:firstLineChars="202"/>
        <w:jc w:val="both"/>
        <w:rPr>
          <w:rFonts w:ascii="宋体" w:hAnsi="宋体"/>
          <w:snapToGrid w:val="0"/>
          <w:szCs w:val="21"/>
        </w:rPr>
      </w:pPr>
      <w:r>
        <w:rPr>
          <w:rFonts w:hint="eastAsia" w:ascii="宋体" w:hAnsi="宋体"/>
          <w:snapToGrid w:val="0"/>
          <w:szCs w:val="21"/>
        </w:rPr>
        <w:t>涂装层维护保洁工作按照以下流程执行：巡查→计划→实施→验收→抽查。</w:t>
      </w:r>
    </w:p>
    <w:p w14:paraId="702F1867">
      <w:pPr>
        <w:spacing w:line="360" w:lineRule="auto"/>
        <w:ind w:firstLine="424" w:firstLineChars="202"/>
        <w:jc w:val="both"/>
        <w:rPr>
          <w:rFonts w:ascii="宋体" w:hAnsi="宋体"/>
          <w:snapToGrid w:val="0"/>
          <w:szCs w:val="21"/>
        </w:rPr>
      </w:pPr>
      <w:r>
        <w:rPr>
          <w:rFonts w:hint="eastAsia" w:ascii="宋体" w:hAnsi="宋体"/>
          <w:snapToGrid w:val="0"/>
          <w:szCs w:val="21"/>
        </w:rPr>
        <w:t>1、巡查制度</w:t>
      </w:r>
    </w:p>
    <w:p w14:paraId="59C81350">
      <w:pPr>
        <w:spacing w:line="360" w:lineRule="auto"/>
        <w:ind w:firstLine="424" w:firstLineChars="202"/>
        <w:jc w:val="both"/>
        <w:rPr>
          <w:rFonts w:ascii="宋体" w:hAnsi="宋体"/>
          <w:snapToGrid w:val="0"/>
          <w:szCs w:val="21"/>
        </w:rPr>
      </w:pPr>
      <w:r>
        <w:rPr>
          <w:rFonts w:hint="eastAsia" w:ascii="宋体" w:hAnsi="宋体"/>
          <w:snapToGrid w:val="0"/>
          <w:szCs w:val="21"/>
        </w:rPr>
        <w:t>中标人、监理单位及采购人形成三级巡查制度。中标人应落实专人每3天对责任范围内的高架涂装层进行全覆盖巡查，发现高架结构漏水、粉尘、油污对涂装层造成的污渍，应及时形成书面的记录。监理单位每周对所有高架涂装层开展一次全覆盖督察，并记录督察情况；城市道路科抽查养护情况并反馈检查情况，督促整改。巡查发现涂装层受到污染后，中标人需在1周内完成机动保洁工作。</w:t>
      </w:r>
    </w:p>
    <w:p w14:paraId="6B99D37B">
      <w:pPr>
        <w:spacing w:line="360" w:lineRule="auto"/>
        <w:ind w:firstLine="424" w:firstLineChars="202"/>
        <w:jc w:val="both"/>
        <w:rPr>
          <w:rFonts w:ascii="宋体" w:hAnsi="宋体"/>
          <w:snapToGrid w:val="0"/>
          <w:szCs w:val="21"/>
        </w:rPr>
      </w:pPr>
      <w:r>
        <w:rPr>
          <w:rFonts w:hint="eastAsia" w:ascii="宋体" w:hAnsi="宋体"/>
          <w:snapToGrid w:val="0"/>
          <w:szCs w:val="21"/>
        </w:rPr>
        <w:t>2、计划制度</w:t>
      </w:r>
    </w:p>
    <w:p w14:paraId="0752F359">
      <w:pPr>
        <w:spacing w:line="360" w:lineRule="auto"/>
        <w:ind w:firstLine="424" w:firstLineChars="202"/>
        <w:jc w:val="both"/>
        <w:rPr>
          <w:rFonts w:ascii="宋体" w:hAnsi="宋体"/>
          <w:snapToGrid w:val="0"/>
          <w:szCs w:val="21"/>
        </w:rPr>
      </w:pPr>
      <w:r>
        <w:rPr>
          <w:rFonts w:hint="eastAsia" w:ascii="宋体" w:hAnsi="宋体"/>
          <w:snapToGrid w:val="0"/>
          <w:szCs w:val="21"/>
        </w:rPr>
        <w:t>每月初，实施单位需制订当月保洁计划并上报监理单位及城市道路科，每周的具体保洁计划于每周四上报采购人。各实施单位按照制订的计划，对高架下部结构进行常规性的保洁工作。</w:t>
      </w:r>
    </w:p>
    <w:p w14:paraId="144E52E9">
      <w:pPr>
        <w:spacing w:line="360" w:lineRule="auto"/>
        <w:ind w:firstLine="424" w:firstLineChars="202"/>
        <w:jc w:val="both"/>
        <w:rPr>
          <w:rFonts w:ascii="宋体" w:hAnsi="宋体"/>
          <w:snapToGrid w:val="0"/>
          <w:szCs w:val="21"/>
        </w:rPr>
      </w:pPr>
      <w:r>
        <w:rPr>
          <w:rFonts w:hint="eastAsia" w:ascii="宋体" w:hAnsi="宋体"/>
          <w:snapToGrid w:val="0"/>
          <w:szCs w:val="21"/>
        </w:rPr>
        <w:t>3、实施制度</w:t>
      </w:r>
    </w:p>
    <w:p w14:paraId="1BCF6341">
      <w:pPr>
        <w:spacing w:line="360" w:lineRule="auto"/>
        <w:ind w:firstLine="424" w:firstLineChars="202"/>
        <w:jc w:val="both"/>
        <w:rPr>
          <w:rFonts w:ascii="宋体" w:hAnsi="宋体"/>
          <w:snapToGrid w:val="0"/>
          <w:szCs w:val="21"/>
        </w:rPr>
      </w:pPr>
      <w:r>
        <w:rPr>
          <w:rFonts w:hint="eastAsia" w:ascii="宋体" w:hAnsi="宋体"/>
          <w:snapToGrid w:val="0"/>
          <w:szCs w:val="21"/>
        </w:rPr>
        <w:t>保洁的实施主要分为常规性保洁及机动性保洁。保洁队伍主要按照每月制订的计划，分段实施高架下部结构的保洁工作。另外每个实施单位须成立专门的机动保洁队伍，针对巡查中发现的突出问题，调用机动队伍予以处置，确保高架下部结构处于整洁的状况。过程中需满足质量、安全、文明施工等要求，具体操作按各单位获批准的实施方案进行。实施保洁以擦洗为主，保洁重点部位为防撞墙外侧（声屏障锈水、花盆泥水）、立柱2米以下、伸缩缝、落水管和滴水线渗漏等部位，发现涂装层损坏的应及时修补，发现滴水线损坏应及时维修。</w:t>
      </w:r>
    </w:p>
    <w:p w14:paraId="7E1F6756">
      <w:pPr>
        <w:spacing w:line="360" w:lineRule="auto"/>
        <w:ind w:firstLine="424" w:firstLineChars="202"/>
        <w:jc w:val="both"/>
        <w:rPr>
          <w:rFonts w:ascii="宋体" w:hAnsi="宋体"/>
          <w:snapToGrid w:val="0"/>
          <w:szCs w:val="21"/>
        </w:rPr>
      </w:pPr>
      <w:r>
        <w:rPr>
          <w:rFonts w:hint="eastAsia" w:ascii="宋体" w:hAnsi="宋体"/>
          <w:snapToGrid w:val="0"/>
          <w:szCs w:val="21"/>
        </w:rPr>
        <w:t>4、验收制度</w:t>
      </w:r>
    </w:p>
    <w:p w14:paraId="15CC4D53">
      <w:pPr>
        <w:spacing w:line="360" w:lineRule="auto"/>
        <w:ind w:firstLine="424" w:firstLineChars="202"/>
        <w:jc w:val="both"/>
        <w:rPr>
          <w:rFonts w:ascii="宋体" w:hAnsi="宋体"/>
          <w:snapToGrid w:val="0"/>
          <w:szCs w:val="21"/>
        </w:rPr>
      </w:pPr>
      <w:r>
        <w:rPr>
          <w:rFonts w:hint="eastAsia" w:ascii="宋体" w:hAnsi="宋体"/>
          <w:snapToGrid w:val="0"/>
          <w:szCs w:val="21"/>
        </w:rPr>
        <w:t>保洁工作的验收标准应参照市建设交通委批准的《建（构）筑物外立面清洗保养技术规程》（DG/TJ08-403-2005），选用的清洗保养材料必须能清除涂装层的污垢。监理单位应按照标准严格执行验收程序，并做好相关内业资料。监理验收单应包括：①对保洁工作合格与否的判断；②注明无法清洗干净的部位；③需要修补的部位或已修补的工作量；④有漏水现象的部位等内容。</w:t>
      </w:r>
    </w:p>
    <w:p w14:paraId="59BF1F06">
      <w:pPr>
        <w:spacing w:line="360" w:lineRule="auto"/>
        <w:ind w:firstLine="424" w:firstLineChars="202"/>
        <w:jc w:val="both"/>
        <w:rPr>
          <w:rFonts w:ascii="宋体" w:hAnsi="宋体"/>
          <w:snapToGrid w:val="0"/>
          <w:szCs w:val="21"/>
        </w:rPr>
      </w:pPr>
      <w:r>
        <w:rPr>
          <w:rFonts w:hint="eastAsia" w:ascii="宋体" w:hAnsi="宋体"/>
          <w:snapToGrid w:val="0"/>
          <w:szCs w:val="21"/>
        </w:rPr>
        <w:t>采购人对验收情况将采取共同参与或抽查的方式进行。监理单位须在每周一将上周保洁工作的验收单汇总后提交采购人，采购人将根据监理的验收情况随机对上周的保洁情况进行抽查，抽查率不低于50%。抽查结果将直接与保洁经费挂钩，并且定期通过例会或整改单等形式与各相关单位进行沟通。</w:t>
      </w:r>
    </w:p>
    <w:p w14:paraId="14161A06">
      <w:pPr>
        <w:spacing w:line="360" w:lineRule="auto"/>
        <w:ind w:firstLine="424" w:firstLineChars="202"/>
        <w:jc w:val="both"/>
        <w:rPr>
          <w:rFonts w:ascii="宋体" w:hAnsi="宋体"/>
          <w:snapToGrid w:val="0"/>
          <w:szCs w:val="21"/>
        </w:rPr>
      </w:pPr>
      <w:r>
        <w:rPr>
          <w:rFonts w:hint="eastAsia" w:ascii="宋体" w:hAnsi="宋体"/>
          <w:snapToGrid w:val="0"/>
          <w:szCs w:val="21"/>
        </w:rPr>
        <w:t>5、抽查制度</w:t>
      </w:r>
    </w:p>
    <w:p w14:paraId="2EF120C9">
      <w:pPr>
        <w:spacing w:line="360" w:lineRule="auto"/>
        <w:ind w:firstLine="424" w:firstLineChars="202"/>
        <w:jc w:val="both"/>
        <w:rPr>
          <w:rFonts w:ascii="宋体" w:hAnsi="宋体"/>
          <w:snapToGrid w:val="0"/>
          <w:szCs w:val="21"/>
        </w:rPr>
      </w:pPr>
      <w:r>
        <w:rPr>
          <w:rFonts w:hint="eastAsia" w:ascii="宋体" w:hAnsi="宋体"/>
          <w:snapToGrid w:val="0"/>
          <w:szCs w:val="21"/>
        </w:rPr>
        <w:t>每月的计量工作原则上参照监理单位验收单的汇总量执行，如在采购人的抽查中发现保洁效果不到位的，则相应扣除该部分工作量。</w:t>
      </w:r>
    </w:p>
    <w:p w14:paraId="7383993B">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（三）维护保洁范围及频率</w:t>
      </w:r>
    </w:p>
    <w:p w14:paraId="1A9A60F3">
      <w:pPr>
        <w:spacing w:line="360" w:lineRule="auto"/>
        <w:ind w:firstLine="424" w:firstLineChars="202"/>
        <w:jc w:val="both"/>
        <w:rPr>
          <w:rFonts w:ascii="宋体" w:hAnsi="宋体"/>
          <w:snapToGrid w:val="0"/>
          <w:szCs w:val="21"/>
        </w:rPr>
      </w:pPr>
      <w:r>
        <w:rPr>
          <w:rFonts w:hint="eastAsia" w:ascii="宋体" w:hAnsi="宋体"/>
          <w:snapToGrid w:val="0"/>
          <w:szCs w:val="21"/>
        </w:rPr>
        <w:t>1、高架下部结构涂装层维护保洁范围：包括高架盖梁、梁底、立柱、防撞墙外侧等。</w:t>
      </w:r>
    </w:p>
    <w:p w14:paraId="2F860F23">
      <w:pPr>
        <w:spacing w:line="360" w:lineRule="auto"/>
        <w:ind w:firstLine="424" w:firstLineChars="202"/>
        <w:jc w:val="both"/>
        <w:rPr>
          <w:rFonts w:ascii="宋体" w:hAnsi="宋体"/>
          <w:snapToGrid w:val="0"/>
          <w:szCs w:val="21"/>
        </w:rPr>
      </w:pPr>
      <w:r>
        <w:rPr>
          <w:rFonts w:hint="eastAsia" w:ascii="宋体" w:hAnsi="宋体"/>
          <w:snapToGrid w:val="0"/>
          <w:szCs w:val="21"/>
        </w:rPr>
        <w:t>2、高架下部结构涂装层维护保洁频率：高架立柱2米以下保洁频率为每年6次，高架立柱2米以上保洁频率为每年3次；不定期对有污渍的立柱进行保洁。</w:t>
      </w:r>
    </w:p>
    <w:p w14:paraId="44FF88C8">
      <w:pPr>
        <w:spacing w:line="360" w:lineRule="auto"/>
        <w:ind w:firstLine="424" w:firstLineChars="202"/>
        <w:jc w:val="both"/>
        <w:rPr>
          <w:rFonts w:ascii="宋体" w:hAnsi="宋体"/>
          <w:snapToGrid w:val="0"/>
          <w:szCs w:val="21"/>
        </w:rPr>
      </w:pPr>
      <w:r>
        <w:rPr>
          <w:rFonts w:hint="eastAsia" w:ascii="宋体" w:hAnsi="宋体"/>
          <w:snapToGrid w:val="0"/>
          <w:szCs w:val="21"/>
        </w:rPr>
        <w:t>3、若因养护保洁不到位或根据主管单位工作要求，采购人有权要求中标人提高局部范围的养护保洁频次，经费由中标人自行解决。</w:t>
      </w:r>
    </w:p>
    <w:p w14:paraId="1A2F3D0C">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（四）维护保洁质量</w:t>
      </w:r>
    </w:p>
    <w:p w14:paraId="2145A76A">
      <w:pPr>
        <w:spacing w:line="360" w:lineRule="auto"/>
        <w:ind w:firstLine="424" w:firstLineChars="202"/>
        <w:jc w:val="both"/>
        <w:rPr>
          <w:rFonts w:ascii="宋体" w:hAnsi="宋体"/>
          <w:snapToGrid w:val="0"/>
          <w:szCs w:val="21"/>
        </w:rPr>
      </w:pPr>
      <w:r>
        <w:rPr>
          <w:rFonts w:hint="eastAsia" w:ascii="宋体" w:hAnsi="宋体"/>
          <w:snapToGrid w:val="0"/>
          <w:szCs w:val="21"/>
        </w:rPr>
        <w:t>1、涂装层维护保洁工程完成后，质量必须符合有关规范标准，达到目测清洁无积灰、基本无水渍、无油渍的效果，采取发现积灰立刻处理的保洁方法（具体参见《建筑物外立面清洗保养技术规程》DG/TJ08-403-2005）。如对涂装层脱落，露筋等问题进行维修，应保证维修后恢复其原样貌，不得出现明显差异，具体参照相关规范。</w:t>
      </w:r>
    </w:p>
    <w:p w14:paraId="08344DE0">
      <w:pPr>
        <w:spacing w:line="360" w:lineRule="auto"/>
        <w:ind w:firstLine="424" w:firstLineChars="202"/>
        <w:jc w:val="both"/>
        <w:rPr>
          <w:rFonts w:ascii="宋体" w:hAnsi="宋体"/>
          <w:snapToGrid w:val="0"/>
          <w:szCs w:val="21"/>
        </w:rPr>
      </w:pPr>
      <w:r>
        <w:rPr>
          <w:rFonts w:ascii="宋体" w:hAnsi="宋体"/>
          <w:snapToGrid w:val="0"/>
          <w:szCs w:val="21"/>
        </w:rPr>
        <w:t>2</w:t>
      </w:r>
      <w:r>
        <w:rPr>
          <w:rFonts w:hint="eastAsia" w:ascii="宋体" w:hAnsi="宋体"/>
          <w:snapToGrid w:val="0"/>
          <w:szCs w:val="21"/>
        </w:rPr>
        <w:t>、中标人的养护管理质量，由其每月进行自查，业主和监理单位每月根据考核管理办法进行考核，对保养管理的高架下部结构、桥梁下部结构进行考核。针对设施更新情况和设施保障要求，采购人可单独制定考核办法进行考核评分。检查评分的结果归技术档案资料保存，保存期为3年。</w:t>
      </w:r>
    </w:p>
    <w:p w14:paraId="599C3EF9">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（五）安全措施要求</w:t>
      </w:r>
    </w:p>
    <w:p w14:paraId="5A28C3ED">
      <w:pPr>
        <w:spacing w:line="360" w:lineRule="auto"/>
        <w:ind w:firstLine="424" w:firstLineChars="202"/>
        <w:jc w:val="both"/>
        <w:rPr>
          <w:rFonts w:ascii="宋体" w:hAnsi="宋体"/>
          <w:snapToGrid w:val="0"/>
          <w:szCs w:val="21"/>
        </w:rPr>
      </w:pPr>
      <w:r>
        <w:rPr>
          <w:rFonts w:hint="eastAsia" w:ascii="宋体" w:hAnsi="宋体"/>
          <w:snapToGrid w:val="0"/>
          <w:szCs w:val="21"/>
        </w:rPr>
        <w:t>1、中标人应自行办理封道施工手续，并结合项目特点和要求配备足量的封道安全设施，按照《上海市城市道路养护维修作业安全技术规程》（DG/TJ08-2183-2015）、《上海市高速公路和快速路养护维修安全作业指南》（沪道运安（2021）315号）做好现场安全工作，施工时按安全规范要求进行封道。</w:t>
      </w:r>
    </w:p>
    <w:p w14:paraId="68F14365">
      <w:pPr>
        <w:spacing w:line="360" w:lineRule="auto"/>
        <w:ind w:firstLine="424" w:firstLineChars="202"/>
        <w:jc w:val="both"/>
        <w:rPr>
          <w:rFonts w:ascii="宋体" w:hAnsi="宋体"/>
          <w:snapToGrid w:val="0"/>
          <w:szCs w:val="21"/>
        </w:rPr>
      </w:pPr>
      <w:r>
        <w:rPr>
          <w:rFonts w:hint="eastAsia" w:ascii="宋体" w:hAnsi="宋体"/>
          <w:snapToGrid w:val="0"/>
          <w:szCs w:val="21"/>
        </w:rPr>
        <w:t>2、中标人应按照规范进行施工作业，注重安全文明施工和交通组织措施的相互衔接，作业人员须持证上岗，穿着统一工作服，配备必需的防护用品，并做好日常巡视工作，形成巡视记录，及时整改采购人、监理单位及自己发现的问题。</w:t>
      </w:r>
    </w:p>
    <w:p w14:paraId="0AB373E7">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（六）信息化管理要求</w:t>
      </w:r>
    </w:p>
    <w:p w14:paraId="21722236">
      <w:pPr>
        <w:spacing w:line="360" w:lineRule="auto"/>
        <w:ind w:firstLine="424" w:firstLineChars="202"/>
        <w:jc w:val="both"/>
        <w:rPr>
          <w:rFonts w:ascii="宋体" w:hAnsi="宋体"/>
          <w:snapToGrid w:val="0"/>
          <w:szCs w:val="21"/>
        </w:rPr>
      </w:pPr>
      <w:r>
        <w:rPr>
          <w:rFonts w:hint="eastAsia" w:ascii="宋体" w:hAnsi="宋体"/>
          <w:snapToGrid w:val="0"/>
          <w:szCs w:val="21"/>
        </w:rPr>
        <w:t>中标人必须应用CIMS城市基础设施管理系统（以下简称“养护在线监管平台”）等相关业务管理系统做好日常养护管理工作，加强信息化手段在设施管理中的应用，提升日常养护信息化管理水平，规范数据操作流程、管理行为等。</w:t>
      </w:r>
    </w:p>
    <w:p w14:paraId="32973B6C">
      <w:pPr>
        <w:spacing w:line="360" w:lineRule="auto"/>
        <w:ind w:firstLine="424" w:firstLineChars="202"/>
        <w:jc w:val="both"/>
        <w:rPr>
          <w:rFonts w:ascii="宋体" w:hAnsi="宋体"/>
          <w:snapToGrid w:val="0"/>
          <w:szCs w:val="21"/>
        </w:rPr>
      </w:pPr>
      <w:r>
        <w:rPr>
          <w:rFonts w:hint="eastAsia" w:ascii="宋体" w:hAnsi="宋体"/>
          <w:snapToGrid w:val="0"/>
          <w:szCs w:val="21"/>
        </w:rPr>
        <w:t>（1）应配备人员及手持式设备，每日将巡查发现的问题上报至养护在线监管平台的小程序，及时将病害处置流程进行闭环。</w:t>
      </w:r>
    </w:p>
    <w:p w14:paraId="6ECF74D9">
      <w:pPr>
        <w:spacing w:line="360" w:lineRule="auto"/>
        <w:ind w:firstLine="424" w:firstLineChars="202"/>
        <w:jc w:val="both"/>
        <w:rPr>
          <w:rFonts w:ascii="宋体" w:hAnsi="宋体"/>
          <w:snapToGrid w:val="0"/>
          <w:szCs w:val="21"/>
        </w:rPr>
      </w:pPr>
      <w:r>
        <w:rPr>
          <w:rFonts w:hint="eastAsia" w:ascii="宋体" w:hAnsi="宋体"/>
          <w:snapToGrid w:val="0"/>
          <w:szCs w:val="21"/>
        </w:rPr>
        <w:t>（2）应提前将每日养护作业计划、次日将作业执行情况上报至养护在线监管平台。</w:t>
      </w:r>
    </w:p>
    <w:p w14:paraId="27C2A823">
      <w:pPr>
        <w:spacing w:line="360" w:lineRule="auto"/>
        <w:ind w:firstLine="424" w:firstLineChars="202"/>
        <w:jc w:val="both"/>
        <w:rPr>
          <w:rFonts w:ascii="宋体" w:hAnsi="宋体"/>
          <w:snapToGrid w:val="0"/>
          <w:szCs w:val="21"/>
        </w:rPr>
      </w:pPr>
      <w:r>
        <w:rPr>
          <w:rFonts w:hint="eastAsia" w:ascii="宋体" w:hAnsi="宋体"/>
          <w:snapToGrid w:val="0"/>
          <w:szCs w:val="21"/>
        </w:rPr>
        <w:t>（3）应按时按要求将项目管理基本资料、养护过程管理资料、安全管理资料等各类设施养护维修内业资料上传至业务管理平台，确保信息真实、完整、准确。</w:t>
      </w:r>
    </w:p>
    <w:p w14:paraId="71B91191">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（七）资料、数据编制和管理要求</w:t>
      </w:r>
    </w:p>
    <w:p w14:paraId="63E3D31F">
      <w:pPr>
        <w:spacing w:line="360" w:lineRule="auto"/>
        <w:ind w:firstLine="424" w:firstLineChars="202"/>
        <w:jc w:val="both"/>
        <w:rPr>
          <w:rFonts w:ascii="宋体" w:hAnsi="宋体"/>
          <w:snapToGrid w:val="0"/>
          <w:szCs w:val="21"/>
        </w:rPr>
      </w:pPr>
      <w:r>
        <w:rPr>
          <w:rFonts w:hint="eastAsia" w:ascii="宋体" w:hAnsi="宋体"/>
          <w:snapToGrid w:val="0"/>
          <w:szCs w:val="21"/>
        </w:rPr>
        <w:t>1、中标人应努力提高技术管理水平，配合采购人做好设施设备基础资料数据的采集和各类设施管理系统的推广应用工作。中标后，应在1个月内向采购人提交养护维修及运行管理工作大纲和手册，并报备各类人员、机械设备等资料；年度养护工作完成后，应在1个月内向采购人提交养护维修及运行管理总结报告和设施年度运行状况报告。上述资料格式、内容由采购人统一制定。</w:t>
      </w:r>
    </w:p>
    <w:p w14:paraId="36273862">
      <w:pPr>
        <w:spacing w:line="360" w:lineRule="auto"/>
        <w:ind w:firstLine="424" w:firstLineChars="202"/>
        <w:jc w:val="both"/>
        <w:rPr>
          <w:rFonts w:ascii="宋体" w:hAnsi="宋体"/>
          <w:snapToGrid w:val="0"/>
          <w:szCs w:val="21"/>
        </w:rPr>
      </w:pPr>
      <w:r>
        <w:rPr>
          <w:rFonts w:hint="eastAsia" w:ascii="宋体" w:hAnsi="宋体"/>
          <w:snapToGrid w:val="0"/>
          <w:szCs w:val="21"/>
        </w:rPr>
        <w:t>2、中标人应根据采购人提供的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自有的数据信息管理系统的完善工作。</w:t>
      </w:r>
    </w:p>
    <w:p w14:paraId="19AAE590">
      <w:pPr>
        <w:spacing w:line="360" w:lineRule="auto"/>
        <w:ind w:firstLine="424" w:firstLineChars="202"/>
        <w:jc w:val="both"/>
        <w:rPr>
          <w:rFonts w:ascii="宋体" w:hAnsi="宋体"/>
          <w:snapToGrid w:val="0"/>
          <w:szCs w:val="21"/>
        </w:rPr>
      </w:pPr>
      <w:r>
        <w:rPr>
          <w:rFonts w:hint="eastAsia" w:ascii="宋体" w:hAnsi="宋体"/>
          <w:snapToGrid w:val="0"/>
          <w:szCs w:val="21"/>
        </w:rPr>
        <w:t>3、中标人应配备专职的内业资料员，收集、整理、编制以及上报各类养护维修资料，资料要求真实反映中标人的全部养护维修作业实施及管理状况，内容完整准确，按时上报。</w:t>
      </w:r>
    </w:p>
    <w:p w14:paraId="4C35969C">
      <w:pPr>
        <w:spacing w:line="360" w:lineRule="auto"/>
        <w:ind w:firstLine="424" w:firstLineChars="202"/>
        <w:jc w:val="both"/>
        <w:rPr>
          <w:rFonts w:ascii="宋体" w:hAnsi="宋体"/>
          <w:snapToGrid w:val="0"/>
          <w:szCs w:val="21"/>
        </w:rPr>
      </w:pPr>
      <w:r>
        <w:rPr>
          <w:rFonts w:hint="eastAsia" w:ascii="宋体" w:hAnsi="宋体"/>
          <w:snapToGrid w:val="0"/>
          <w:szCs w:val="21"/>
        </w:rPr>
        <w:t>4、中标人应严格落实采购人在招标文件中提出的有关设施资产数字化、地形测绘等数据信息管理工作要求。</w:t>
      </w:r>
    </w:p>
    <w:p w14:paraId="3EDFBB95">
      <w:pPr>
        <w:spacing w:line="360" w:lineRule="auto"/>
        <w:ind w:firstLine="426" w:firstLineChars="202"/>
        <w:jc w:val="both"/>
        <w:outlineLvl w:val="1"/>
        <w:rPr>
          <w:rFonts w:ascii="宋体" w:hAnsi="宋体"/>
          <w:b/>
          <w:bCs/>
          <w:snapToGrid w:val="0"/>
          <w:szCs w:val="21"/>
        </w:rPr>
      </w:pPr>
      <w:r>
        <w:rPr>
          <w:rFonts w:hint="eastAsia" w:ascii="宋体" w:hAnsi="宋体"/>
          <w:b/>
          <w:bCs/>
          <w:snapToGrid w:val="0"/>
          <w:szCs w:val="21"/>
        </w:rPr>
        <w:t>（八）其他要求</w:t>
      </w:r>
    </w:p>
    <w:p w14:paraId="282C25F6">
      <w:pPr>
        <w:spacing w:line="360" w:lineRule="auto"/>
        <w:ind w:firstLine="424" w:firstLineChars="202"/>
        <w:jc w:val="both"/>
        <w:rPr>
          <w:rFonts w:ascii="宋体" w:hAnsi="宋体"/>
          <w:snapToGrid w:val="0"/>
          <w:szCs w:val="21"/>
        </w:rPr>
      </w:pPr>
      <w:r>
        <w:rPr>
          <w:rFonts w:hint="eastAsia" w:ascii="宋体" w:hAnsi="宋体"/>
          <w:snapToGrid w:val="0"/>
          <w:szCs w:val="21"/>
        </w:rPr>
        <w:t>1、涂装层修补需提供现场修补前后对比照片（并标注桩号），修复后第2天发送至采购人指定邮箱，以此作为结算依据。采购人有权对维修情况进行抽查，如发现工作量弄虚作假的，将按照虚假工作量的10倍金额进行扣罚。</w:t>
      </w:r>
    </w:p>
    <w:p w14:paraId="40B9183F">
      <w:pPr>
        <w:spacing w:line="360" w:lineRule="auto"/>
        <w:ind w:firstLine="424" w:firstLineChars="202"/>
        <w:jc w:val="both"/>
        <w:rPr>
          <w:rFonts w:ascii="宋体" w:hAnsi="宋体"/>
          <w:snapToGrid w:val="0"/>
          <w:szCs w:val="21"/>
        </w:rPr>
      </w:pPr>
      <w:r>
        <w:rPr>
          <w:rFonts w:hint="eastAsia" w:ascii="宋体" w:hAnsi="宋体"/>
          <w:snapToGrid w:val="0"/>
          <w:szCs w:val="21"/>
        </w:rPr>
        <w:t>2、中标人应充分注意，凡涉及本项目的国家、行业和上海市的现行相关规范、规程和标准等，无论其是否在本招标文件中已列明或未列明，中标人均应无条件执行。</w:t>
      </w:r>
    </w:p>
    <w:p w14:paraId="17E4067A">
      <w:pPr>
        <w:spacing w:line="360" w:lineRule="auto"/>
        <w:jc w:val="both"/>
        <w:rPr>
          <w:rFonts w:ascii="宋体" w:hAnsi="宋体"/>
          <w:snapToGrid w:val="0"/>
          <w:szCs w:val="21"/>
        </w:rPr>
      </w:pPr>
    </w:p>
    <w:p w14:paraId="21D924C7">
      <w:pPr>
        <w:spacing w:line="360" w:lineRule="auto"/>
        <w:jc w:val="both"/>
        <w:outlineLvl w:val="0"/>
        <w:rPr>
          <w:rFonts w:ascii="宋体" w:hAnsi="宋体"/>
          <w:b/>
          <w:bCs/>
          <w:snapToGrid w:val="0"/>
          <w:szCs w:val="21"/>
        </w:rPr>
      </w:pPr>
      <w:r>
        <w:rPr>
          <w:rFonts w:hint="eastAsia" w:ascii="宋体" w:hAnsi="宋体"/>
          <w:b/>
          <w:bCs/>
          <w:snapToGrid w:val="0"/>
          <w:szCs w:val="21"/>
        </w:rPr>
        <w:t>五、考核与奖惩要求</w:t>
      </w:r>
    </w:p>
    <w:p w14:paraId="2264B173">
      <w:pPr>
        <w:spacing w:line="360" w:lineRule="auto"/>
        <w:ind w:firstLine="424" w:firstLineChars="202"/>
        <w:jc w:val="both"/>
        <w:rPr>
          <w:rFonts w:ascii="宋体" w:hAnsi="宋体"/>
          <w:snapToGrid w:val="0"/>
          <w:szCs w:val="21"/>
        </w:rPr>
      </w:pPr>
      <w:r>
        <w:rPr>
          <w:rFonts w:hint="eastAsia" w:ascii="宋体" w:hAnsi="宋体"/>
          <w:snapToGrid w:val="0"/>
          <w:szCs w:val="21"/>
        </w:rPr>
        <w:t>1、采购人按照《上海市道路运输事业发展中心市管城市道路日常养护运维工作考核管理办法（试行）》（见附件一）对中标人进行考核，市管城市道路日常养护维修考核包括月（季）度考核和年度考核两部分组成，主要考核设施规范化管理成效和养护维修目标计划完成情况。</w:t>
      </w:r>
    </w:p>
    <w:p w14:paraId="25D82486">
      <w:pPr>
        <w:spacing w:line="360" w:lineRule="auto"/>
        <w:ind w:firstLine="424" w:firstLineChars="202"/>
        <w:jc w:val="both"/>
        <w:rPr>
          <w:rFonts w:ascii="宋体" w:hAnsi="宋体"/>
          <w:snapToGrid w:val="0"/>
          <w:szCs w:val="21"/>
        </w:rPr>
      </w:pPr>
      <w:r>
        <w:rPr>
          <w:rFonts w:hint="eastAsia" w:ascii="宋体" w:hAnsi="宋体"/>
          <w:snapToGrid w:val="0"/>
          <w:szCs w:val="21"/>
        </w:rPr>
        <w:t>2、采购人有权对月度考核不通过的中标人进行一定范围内的通报，年度有两个月考核不合格记为年度考核不合格。</w:t>
      </w:r>
    </w:p>
    <w:p w14:paraId="6FFDF421">
      <w:pPr>
        <w:spacing w:line="360" w:lineRule="auto"/>
        <w:ind w:firstLine="424" w:firstLineChars="202"/>
        <w:jc w:val="both"/>
        <w:rPr>
          <w:rFonts w:ascii="宋体" w:hAnsi="宋体"/>
          <w:snapToGrid w:val="0"/>
          <w:szCs w:val="21"/>
        </w:rPr>
      </w:pPr>
      <w:r>
        <w:rPr>
          <w:rFonts w:hint="eastAsia" w:ascii="宋体" w:hAnsi="宋体"/>
          <w:snapToGrid w:val="0"/>
          <w:szCs w:val="21"/>
        </w:rPr>
        <w:t>3、月度考核中对设施设备养护未完成、养护质量不符合要求、设施和运行管理不到位、资料提交不及时或不完整、媒体舆情曝光批评等情况在日常维修经费中进行单项扣款。</w:t>
      </w:r>
    </w:p>
    <w:p w14:paraId="7C8B92D1">
      <w:pPr>
        <w:spacing w:line="360" w:lineRule="auto"/>
        <w:ind w:firstLine="424" w:firstLineChars="202"/>
        <w:jc w:val="both"/>
        <w:rPr>
          <w:rFonts w:ascii="宋体" w:hAnsi="宋体"/>
          <w:snapToGrid w:val="0"/>
          <w:szCs w:val="21"/>
        </w:rPr>
      </w:pPr>
      <w:r>
        <w:rPr>
          <w:rFonts w:hint="eastAsia" w:ascii="宋体" w:hAnsi="宋体"/>
          <w:snapToGrid w:val="0"/>
          <w:szCs w:val="21"/>
        </w:rPr>
        <w:t>4、考核办法仅供参考，以采购人最终发布的通知或文件为准。</w:t>
      </w:r>
    </w:p>
    <w:p w14:paraId="118C4D72">
      <w:pPr>
        <w:spacing w:line="360" w:lineRule="auto"/>
        <w:ind w:firstLine="424" w:firstLineChars="202"/>
        <w:jc w:val="both"/>
        <w:rPr>
          <w:rFonts w:ascii="宋体" w:hAnsi="宋体"/>
          <w:snapToGrid w:val="0"/>
          <w:szCs w:val="21"/>
        </w:rPr>
      </w:pPr>
      <w:r>
        <w:rPr>
          <w:rFonts w:hint="eastAsia" w:ascii="宋体" w:hAnsi="宋体"/>
          <w:snapToGrid w:val="0"/>
          <w:szCs w:val="21"/>
        </w:rPr>
        <w:t>5、考核办法的解释权归采购人，采购人有权根据实际情况进行调整。</w:t>
      </w:r>
    </w:p>
    <w:p w14:paraId="4E83C915">
      <w:pPr>
        <w:spacing w:line="360" w:lineRule="auto"/>
        <w:jc w:val="both"/>
        <w:rPr>
          <w:rFonts w:ascii="宋体" w:hAnsi="宋体"/>
          <w:snapToGrid w:val="0"/>
          <w:szCs w:val="21"/>
        </w:rPr>
      </w:pPr>
      <w:r>
        <w:rPr>
          <w:rFonts w:ascii="宋体" w:hAnsi="宋体"/>
          <w:snapToGrid w:val="0"/>
          <w:szCs w:val="21"/>
        </w:rPr>
        <w:br w:type="page"/>
      </w:r>
    </w:p>
    <w:p w14:paraId="30C60D16">
      <w:pPr>
        <w:spacing w:line="360" w:lineRule="auto"/>
        <w:jc w:val="both"/>
        <w:outlineLvl w:val="0"/>
        <w:rPr>
          <w:rFonts w:ascii="宋体" w:hAnsi="宋体"/>
          <w:b/>
          <w:bCs/>
          <w:snapToGrid w:val="0"/>
          <w:szCs w:val="21"/>
        </w:rPr>
      </w:pPr>
      <w:r>
        <w:rPr>
          <w:rFonts w:hint="eastAsia" w:ascii="宋体" w:hAnsi="宋体"/>
          <w:b/>
          <w:bCs/>
          <w:snapToGrid w:val="0"/>
          <w:szCs w:val="21"/>
        </w:rPr>
        <w:t>附件一：考核办法</w:t>
      </w:r>
    </w:p>
    <w:bookmarkEnd w:id="12"/>
    <w:p w14:paraId="7C82491C">
      <w:pPr>
        <w:spacing w:line="360" w:lineRule="auto"/>
        <w:jc w:val="both"/>
        <w:textAlignment w:val="auto"/>
        <w:rPr>
          <w:rFonts w:ascii="宋体" w:hAnsi="宋体"/>
          <w:b/>
          <w:bCs/>
          <w:szCs w:val="21"/>
        </w:rPr>
      </w:pPr>
    </w:p>
    <w:p w14:paraId="5E51939C">
      <w:pPr>
        <w:topLinePunct w:val="0"/>
        <w:adjustRightInd/>
        <w:snapToGrid/>
        <w:spacing w:line="600" w:lineRule="exact"/>
        <w:jc w:val="center"/>
        <w:textAlignment w:val="auto"/>
        <w:rPr>
          <w:rFonts w:ascii="Times New Roman" w:hAnsi="Times New Roman" w:eastAsia="华文中宋"/>
          <w:b/>
          <w:sz w:val="36"/>
          <w:szCs w:val="36"/>
        </w:rPr>
      </w:pPr>
      <w:r>
        <w:rPr>
          <w:rFonts w:hint="eastAsia" w:ascii="Times New Roman" w:hAnsi="Times New Roman" w:eastAsia="华文中宋"/>
          <w:b/>
          <w:sz w:val="36"/>
          <w:szCs w:val="36"/>
        </w:rPr>
        <w:t>上海市道路运输事业发展中心</w:t>
      </w:r>
      <w:bookmarkStart w:id="13" w:name="_Hlk89870992"/>
      <w:r>
        <w:rPr>
          <w:rFonts w:hint="eastAsia" w:ascii="Times New Roman" w:hAnsi="Times New Roman" w:eastAsia="华文中宋"/>
          <w:b/>
          <w:sz w:val="36"/>
          <w:szCs w:val="36"/>
        </w:rPr>
        <w:t>市管城市道路</w:t>
      </w:r>
      <w:bookmarkEnd w:id="13"/>
    </w:p>
    <w:p w14:paraId="7A989F56">
      <w:pPr>
        <w:topLinePunct w:val="0"/>
        <w:adjustRightInd/>
        <w:snapToGrid/>
        <w:spacing w:line="600" w:lineRule="exact"/>
        <w:jc w:val="center"/>
        <w:textAlignment w:val="auto"/>
        <w:rPr>
          <w:rFonts w:ascii="Times New Roman" w:hAnsi="Times New Roman" w:eastAsia="华文中宋"/>
          <w:b/>
          <w:sz w:val="36"/>
          <w:szCs w:val="36"/>
        </w:rPr>
      </w:pPr>
      <w:r>
        <w:rPr>
          <w:rFonts w:hint="eastAsia" w:ascii="Times New Roman" w:hAnsi="Times New Roman" w:eastAsia="华文中宋"/>
          <w:b/>
          <w:sz w:val="36"/>
          <w:szCs w:val="36"/>
        </w:rPr>
        <w:t>日常养护运维工作考核管理办法（试行）</w:t>
      </w:r>
    </w:p>
    <w:p w14:paraId="4C259403">
      <w:pPr>
        <w:topLinePunct w:val="0"/>
        <w:adjustRightInd/>
        <w:snapToGrid/>
        <w:jc w:val="both"/>
        <w:textAlignment w:val="auto"/>
        <w:rPr>
          <w:rFonts w:ascii="Times New Roman" w:hAnsi="Times New Roman"/>
          <w:szCs w:val="21"/>
        </w:rPr>
      </w:pPr>
    </w:p>
    <w:p w14:paraId="58AC14F9">
      <w:pPr>
        <w:topLinePunct w:val="0"/>
        <w:adjustRightInd/>
        <w:snapToGrid/>
        <w:spacing w:line="560" w:lineRule="exact"/>
        <w:ind w:firstLine="560" w:firstLineChars="200"/>
        <w:jc w:val="both"/>
        <w:textAlignment w:val="auto"/>
        <w:rPr>
          <w:rFonts w:ascii="宋体" w:hAnsi="Times New Roman" w:eastAsia="仿宋_GB2312" w:cs="宋体"/>
          <w:sz w:val="28"/>
          <w:szCs w:val="28"/>
        </w:rPr>
      </w:pPr>
      <w:r>
        <w:rPr>
          <w:rFonts w:ascii="Times New Roman" w:hAnsi="Times New Roman" w:eastAsia="仿宋_GB2312"/>
          <w:sz w:val="28"/>
          <w:szCs w:val="28"/>
        </w:rPr>
        <w:t>为</w:t>
      </w:r>
      <w:r>
        <w:rPr>
          <w:rFonts w:hint="eastAsia" w:ascii="Times New Roman" w:hAnsi="Times New Roman" w:eastAsia="仿宋_GB2312"/>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14:paraId="5CAD8526">
      <w:pPr>
        <w:numPr>
          <w:ilvl w:val="0"/>
          <w:numId w:val="4"/>
        </w:numPr>
        <w:topLinePunct w:val="0"/>
        <w:adjustRightInd/>
        <w:snapToGrid/>
        <w:spacing w:before="120" w:beforeLines="50" w:line="560" w:lineRule="exact"/>
        <w:ind w:left="843" w:hanging="843" w:hangingChars="300"/>
        <w:jc w:val="center"/>
        <w:textAlignment w:val="auto"/>
        <w:rPr>
          <w:rFonts w:ascii="黑体" w:hAnsi="黑体" w:eastAsia="黑体"/>
          <w:b/>
          <w:sz w:val="28"/>
          <w:szCs w:val="28"/>
        </w:rPr>
      </w:pPr>
      <w:r>
        <w:rPr>
          <w:rFonts w:hint="eastAsia" w:ascii="黑体" w:hAnsi="黑体" w:eastAsia="黑体"/>
          <w:b/>
          <w:sz w:val="28"/>
          <w:szCs w:val="28"/>
        </w:rPr>
        <w:t>总则</w:t>
      </w:r>
    </w:p>
    <w:p w14:paraId="07D9E3D7">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bookmarkStart w:id="14" w:name="_Hlk161301422"/>
      <w:r>
        <w:rPr>
          <w:rFonts w:hint="eastAsia" w:ascii="Times New Roman" w:hAnsi="Times New Roman" w:eastAsia="楷体_GB2312"/>
          <w:b/>
          <w:sz w:val="28"/>
          <w:szCs w:val="28"/>
        </w:rPr>
        <w:t>适用范围</w:t>
      </w:r>
    </w:p>
    <w:p w14:paraId="4D066B33">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上海市道路运输事业发展中心（以下简称“市道运中心”）直接管理的市管城市道路及其附属设施。</w:t>
      </w:r>
    </w:p>
    <w:p w14:paraId="0A4B50EF">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考核对象</w:t>
      </w:r>
    </w:p>
    <w:p w14:paraId="066C864B">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承担市管城市快速路、桥隧、地道及其附属设施日常养护运维工作的各中标单位（以下简称“养护单位”）。</w:t>
      </w:r>
    </w:p>
    <w:p w14:paraId="0C6897D5">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考核原则</w:t>
      </w:r>
    </w:p>
    <w:p w14:paraId="23957CC7">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科学合理、客观公正、公平公开、优胜劣汰。</w:t>
      </w:r>
    </w:p>
    <w:bookmarkEnd w:id="14"/>
    <w:p w14:paraId="38E0B330">
      <w:pPr>
        <w:numPr>
          <w:ilvl w:val="0"/>
          <w:numId w:val="4"/>
        </w:numPr>
        <w:topLinePunct w:val="0"/>
        <w:adjustRightInd/>
        <w:snapToGrid/>
        <w:spacing w:before="120" w:beforeLines="50" w:line="560" w:lineRule="exact"/>
        <w:ind w:left="0" w:firstLine="0"/>
        <w:jc w:val="center"/>
        <w:textAlignment w:val="auto"/>
        <w:rPr>
          <w:rFonts w:ascii="黑体" w:hAnsi="黑体" w:eastAsia="黑体"/>
          <w:b/>
          <w:sz w:val="28"/>
          <w:szCs w:val="28"/>
        </w:rPr>
      </w:pPr>
      <w:r>
        <w:rPr>
          <w:rFonts w:hint="eastAsia" w:ascii="黑体" w:hAnsi="黑体" w:eastAsia="黑体"/>
          <w:b/>
          <w:sz w:val="28"/>
          <w:szCs w:val="28"/>
        </w:rPr>
        <w:t>考核内容</w:t>
      </w:r>
    </w:p>
    <w:p w14:paraId="1F470A90">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考核方式</w:t>
      </w:r>
    </w:p>
    <w:p w14:paraId="036CECCA">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市管城市快速路、桥隧、地道及其附属设施日常养护运维</w:t>
      </w:r>
      <w:r>
        <w:rPr>
          <w:rFonts w:ascii="Times New Roman" w:hAnsi="Times New Roman" w:eastAsia="仿宋_GB2312"/>
          <w:sz w:val="28"/>
          <w:szCs w:val="28"/>
        </w:rPr>
        <w:t>考核</w:t>
      </w:r>
      <w:r>
        <w:rPr>
          <w:rFonts w:hint="eastAsia" w:ascii="Times New Roman" w:hAnsi="Times New Roman" w:eastAsia="仿宋_GB2312"/>
          <w:sz w:val="28"/>
          <w:szCs w:val="28"/>
        </w:rPr>
        <w:t>包括月度、季度和年度考核，主要考核养护单位是否根据合同约定和有关要求完成所有养护运维工作内容及完成质量、设施结构及运行安全状况、职责履行情况等，采用综合评价打分制形式。</w:t>
      </w:r>
    </w:p>
    <w:p w14:paraId="04C4B6E3">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所有考核评分保留两位小数并向下取整。</w:t>
      </w:r>
    </w:p>
    <w:p w14:paraId="09A8CA1B">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月度考核</w:t>
      </w:r>
    </w:p>
    <w:p w14:paraId="2B5E24A8">
      <w:pPr>
        <w:topLinePunct w:val="0"/>
        <w:adjustRightInd/>
        <w:snapToGrid/>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14:paraId="55B1195F">
      <w:pPr>
        <w:topLinePunct w:val="0"/>
        <w:spacing w:line="560" w:lineRule="exact"/>
        <w:ind w:firstLine="562" w:firstLineChars="200"/>
        <w:jc w:val="both"/>
        <w:textAlignment w:val="auto"/>
        <w:rPr>
          <w:rFonts w:ascii="Times New Roman" w:hAnsi="Times New Roman" w:eastAsia="仿宋_GB2312"/>
          <w:sz w:val="28"/>
          <w:szCs w:val="28"/>
        </w:rPr>
      </w:pPr>
      <w:r>
        <w:rPr>
          <w:rFonts w:hint="eastAsia" w:ascii="Times New Roman" w:hAnsi="Times New Roman" w:eastAsia="仿宋_GB2312"/>
          <w:b/>
          <w:bCs/>
          <w:sz w:val="28"/>
          <w:szCs w:val="28"/>
        </w:rPr>
        <w:t>主体设施月度考核评分</w:t>
      </w:r>
      <w:r>
        <w:rPr>
          <w:rFonts w:hint="eastAsia" w:ascii="Times New Roman" w:hAnsi="Times New Roman" w:eastAsia="仿宋_GB2312"/>
          <w:sz w:val="28"/>
          <w:szCs w:val="28"/>
        </w:rPr>
        <w:t>=定量考核（6</w:t>
      </w:r>
      <w:r>
        <w:rPr>
          <w:rFonts w:ascii="Times New Roman" w:hAnsi="Times New Roman" w:eastAsia="仿宋_GB2312"/>
          <w:sz w:val="28"/>
          <w:szCs w:val="28"/>
        </w:rPr>
        <w:t>0</w:t>
      </w:r>
      <w:r>
        <w:rPr>
          <w:rFonts w:hint="eastAsia" w:ascii="Times New Roman" w:hAnsi="Times New Roman" w:eastAsia="仿宋_GB2312"/>
          <w:sz w:val="28"/>
          <w:szCs w:val="28"/>
        </w:rPr>
        <w:t>分）+定性考核（4</w:t>
      </w:r>
      <w:r>
        <w:rPr>
          <w:rFonts w:ascii="Times New Roman" w:hAnsi="Times New Roman" w:eastAsia="仿宋_GB2312"/>
          <w:sz w:val="28"/>
          <w:szCs w:val="28"/>
        </w:rPr>
        <w:t>0</w:t>
      </w:r>
      <w:r>
        <w:rPr>
          <w:rFonts w:hint="eastAsia" w:ascii="Times New Roman" w:hAnsi="Times New Roman" w:eastAsia="仿宋_GB2312"/>
          <w:sz w:val="28"/>
          <w:szCs w:val="28"/>
        </w:rPr>
        <w:t>分）+专项考核</w:t>
      </w:r>
    </w:p>
    <w:p w14:paraId="06273146">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季度考核</w:t>
      </w:r>
    </w:p>
    <w:p w14:paraId="289A0327">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每季开展一次，一般为3、6、9、1</w:t>
      </w:r>
      <w:r>
        <w:rPr>
          <w:rFonts w:ascii="Times New Roman" w:hAnsi="Times New Roman" w:eastAsia="仿宋_GB2312"/>
          <w:sz w:val="28"/>
          <w:szCs w:val="28"/>
        </w:rPr>
        <w:t>1</w:t>
      </w:r>
      <w:r>
        <w:rPr>
          <w:rFonts w:hint="eastAsia" w:ascii="Times New Roman" w:hAnsi="Times New Roman" w:eastAsia="仿宋_GB2312"/>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14:paraId="3777B5E7">
      <w:pPr>
        <w:topLinePunct w:val="0"/>
        <w:spacing w:line="560" w:lineRule="exact"/>
        <w:ind w:firstLine="562" w:firstLineChars="200"/>
        <w:jc w:val="both"/>
        <w:textAlignment w:val="auto"/>
        <w:rPr>
          <w:rFonts w:ascii="Times New Roman" w:hAnsi="Times New Roman" w:eastAsia="仿宋_GB2312"/>
          <w:sz w:val="28"/>
          <w:szCs w:val="28"/>
        </w:rPr>
      </w:pPr>
      <w:r>
        <w:rPr>
          <w:rFonts w:hint="eastAsia" w:ascii="Times New Roman" w:hAnsi="Times New Roman" w:eastAsia="仿宋_GB2312"/>
          <w:b/>
          <w:bCs/>
          <w:sz w:val="28"/>
          <w:szCs w:val="28"/>
        </w:rPr>
        <w:t>下部涂装保洁/道路绿化/景观灯光月度考核评分</w:t>
      </w:r>
      <w:r>
        <w:rPr>
          <w:rFonts w:hint="eastAsia" w:ascii="Times New Roman" w:hAnsi="Times New Roman" w:eastAsia="仿宋_GB2312"/>
          <w:sz w:val="28"/>
          <w:szCs w:val="28"/>
        </w:rPr>
        <w:t>=定量考核（</w:t>
      </w:r>
      <w:r>
        <w:rPr>
          <w:rFonts w:ascii="Times New Roman" w:hAnsi="Times New Roman" w:eastAsia="仿宋_GB2312"/>
          <w:sz w:val="28"/>
          <w:szCs w:val="28"/>
        </w:rPr>
        <w:t>60</w:t>
      </w:r>
      <w:r>
        <w:rPr>
          <w:rFonts w:hint="eastAsia" w:ascii="Times New Roman" w:hAnsi="Times New Roman" w:eastAsia="仿宋_GB2312"/>
          <w:sz w:val="28"/>
          <w:szCs w:val="28"/>
        </w:rPr>
        <w:t>分）+定性考核（</w:t>
      </w:r>
      <w:r>
        <w:rPr>
          <w:rFonts w:ascii="Times New Roman" w:hAnsi="Times New Roman" w:eastAsia="仿宋_GB2312"/>
          <w:sz w:val="28"/>
          <w:szCs w:val="28"/>
        </w:rPr>
        <w:t>40</w:t>
      </w:r>
      <w:r>
        <w:rPr>
          <w:rFonts w:hint="eastAsia" w:ascii="Times New Roman" w:hAnsi="Times New Roman" w:eastAsia="仿宋_GB2312"/>
          <w:sz w:val="28"/>
          <w:szCs w:val="28"/>
        </w:rPr>
        <w:t>分）+专项考核</w:t>
      </w:r>
    </w:p>
    <w:p w14:paraId="068A2461">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年度考核</w:t>
      </w:r>
    </w:p>
    <w:p w14:paraId="7CA25F52">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年度考核评分由月度考核或季度考核的算术平均值和年度检测得分（如有）组成，满分为1</w:t>
      </w:r>
      <w:r>
        <w:rPr>
          <w:rFonts w:ascii="Times New Roman" w:hAnsi="Times New Roman" w:eastAsia="仿宋_GB2312"/>
          <w:sz w:val="28"/>
          <w:szCs w:val="28"/>
        </w:rPr>
        <w:t>00</w:t>
      </w:r>
      <w:r>
        <w:rPr>
          <w:rFonts w:hint="eastAsia" w:ascii="Times New Roman" w:hAnsi="Times New Roman" w:eastAsia="仿宋_GB2312"/>
          <w:sz w:val="28"/>
          <w:szCs w:val="28"/>
        </w:rPr>
        <w:t>分。其中，年度检测得分主要是指由市道运中心委托第三方单位出具的有关检测报告计算出来的得分。</w:t>
      </w:r>
    </w:p>
    <w:p w14:paraId="7C2FD4EE">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根据上述原则，各设施年度考核评分情况分别为：主体设施年度考核评分为月度考核算数平均值和年度检测得分之和，下部涂装保洁/道路绿化/景观灯光年度考核评分为季度考核算数平均值。</w:t>
      </w:r>
    </w:p>
    <w:p w14:paraId="5208B050">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考核组织</w:t>
      </w:r>
    </w:p>
    <w:p w14:paraId="3260BEA9">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14:paraId="447F2BD1">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考评小组成员由市道运中心城道科、计划财务科、科技信息科和养护监理单位等组成，必要时将邀请上海市政府采购中心、上级单位主管部门和行业专家一并参加考评。</w:t>
      </w:r>
    </w:p>
    <w:p w14:paraId="5DC0C345">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考核报告</w:t>
      </w:r>
    </w:p>
    <w:p w14:paraId="47101FCF">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14:paraId="50A117B3">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考核标准</w:t>
      </w:r>
    </w:p>
    <w:p w14:paraId="4F16FD27">
      <w:pPr>
        <w:topLinePunct w:val="0"/>
        <w:spacing w:line="560" w:lineRule="exact"/>
        <w:ind w:firstLine="562" w:firstLineChars="200"/>
        <w:jc w:val="both"/>
        <w:textAlignment w:val="auto"/>
        <w:rPr>
          <w:rFonts w:ascii="Times New Roman" w:hAnsi="Times New Roman" w:eastAsia="仿宋_GB2312"/>
          <w:sz w:val="28"/>
          <w:szCs w:val="28"/>
        </w:rPr>
      </w:pPr>
      <w:r>
        <w:rPr>
          <w:rFonts w:hint="eastAsia" w:ascii="Times New Roman" w:hAnsi="Times New Roman" w:eastAsia="楷体_GB2312"/>
          <w:b/>
          <w:bCs/>
          <w:sz w:val="28"/>
          <w:szCs w:val="28"/>
        </w:rPr>
        <w:t>月度、季度考核：</w:t>
      </w:r>
      <w:r>
        <w:rPr>
          <w:rFonts w:hint="eastAsia" w:ascii="Times New Roman" w:hAnsi="Times New Roman" w:eastAsia="仿宋_GB2312"/>
          <w:sz w:val="28"/>
          <w:szCs w:val="28"/>
        </w:rPr>
        <w:t>考核评分8</w:t>
      </w:r>
      <w:r>
        <w:rPr>
          <w:rFonts w:ascii="Times New Roman" w:hAnsi="Times New Roman" w:eastAsia="仿宋_GB2312"/>
          <w:sz w:val="28"/>
          <w:szCs w:val="28"/>
        </w:rPr>
        <w:t>5</w:t>
      </w:r>
      <w:r>
        <w:rPr>
          <w:rFonts w:hint="eastAsia" w:ascii="Times New Roman" w:hAnsi="Times New Roman" w:eastAsia="仿宋_GB2312"/>
          <w:sz w:val="28"/>
          <w:szCs w:val="28"/>
        </w:rPr>
        <w:t>分及以上为合格，8</w:t>
      </w:r>
      <w:r>
        <w:rPr>
          <w:rFonts w:ascii="Times New Roman" w:hAnsi="Times New Roman" w:eastAsia="仿宋_GB2312"/>
          <w:sz w:val="28"/>
          <w:szCs w:val="28"/>
        </w:rPr>
        <w:t>5</w:t>
      </w:r>
      <w:r>
        <w:rPr>
          <w:rFonts w:hint="eastAsia" w:ascii="Times New Roman" w:hAnsi="Times New Roman" w:eastAsia="仿宋_GB2312"/>
          <w:sz w:val="28"/>
          <w:szCs w:val="28"/>
        </w:rPr>
        <w:t>分以下为不合格。</w:t>
      </w:r>
    </w:p>
    <w:p w14:paraId="3FFA93D0">
      <w:pPr>
        <w:topLinePunct w:val="0"/>
        <w:spacing w:line="560" w:lineRule="exact"/>
        <w:ind w:firstLine="562" w:firstLineChars="200"/>
        <w:jc w:val="both"/>
        <w:textAlignment w:val="auto"/>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仿宋_GB2312"/>
          <w:sz w:val="28"/>
          <w:szCs w:val="28"/>
        </w:rPr>
        <w:t>年度考核评分95分及以上为优秀；90分及以上为良好；85分及以上，且无连续两个月月度考核不合格、无累计三个月月度考核不合格，或无季度考核不合格，则该年度考核结果为合格，其余为不合格。</w:t>
      </w:r>
    </w:p>
    <w:p w14:paraId="0B0579D1">
      <w:pPr>
        <w:numPr>
          <w:ilvl w:val="0"/>
          <w:numId w:val="4"/>
        </w:numPr>
        <w:topLinePunct w:val="0"/>
        <w:adjustRightInd/>
        <w:snapToGrid/>
        <w:spacing w:before="120" w:beforeLines="50" w:line="560" w:lineRule="exact"/>
        <w:ind w:left="0" w:firstLine="0"/>
        <w:jc w:val="center"/>
        <w:textAlignment w:val="auto"/>
        <w:rPr>
          <w:rFonts w:ascii="黑体" w:hAnsi="黑体" w:eastAsia="黑体"/>
          <w:b/>
          <w:sz w:val="28"/>
          <w:szCs w:val="28"/>
        </w:rPr>
      </w:pPr>
      <w:r>
        <w:rPr>
          <w:rFonts w:hint="eastAsia" w:ascii="黑体" w:hAnsi="黑体" w:eastAsia="黑体"/>
          <w:b/>
          <w:sz w:val="28"/>
          <w:szCs w:val="28"/>
        </w:rPr>
        <w:t>考核奖惩</w:t>
      </w:r>
    </w:p>
    <w:p w14:paraId="6C1F05F0">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奖励措施</w:t>
      </w:r>
    </w:p>
    <w:p w14:paraId="7D33BF2C">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年度考核评分结果优秀的设施在年度报告中通报表扬，并纳入推优范围，在市级、行业优秀称号、先进等各类评比中优先提名推荐。</w:t>
      </w:r>
    </w:p>
    <w:p w14:paraId="4539E5E8">
      <w:pPr>
        <w:numPr>
          <w:ilvl w:val="0"/>
          <w:numId w:val="5"/>
        </w:numPr>
        <w:topLinePunct w:val="0"/>
        <w:adjustRightInd/>
        <w:snapToGrid/>
        <w:spacing w:line="600" w:lineRule="exact"/>
        <w:jc w:val="both"/>
        <w:textAlignment w:val="auto"/>
        <w:rPr>
          <w:rFonts w:ascii="Times New Roman" w:hAnsi="Times New Roman" w:eastAsia="楷体_GB2312"/>
          <w:b/>
          <w:sz w:val="28"/>
          <w:szCs w:val="28"/>
        </w:rPr>
      </w:pPr>
      <w:r>
        <w:rPr>
          <w:rFonts w:ascii="Times New Roman" w:hAnsi="Times New Roman" w:eastAsia="楷体_GB2312"/>
          <w:b/>
          <w:sz w:val="28"/>
          <w:szCs w:val="28"/>
        </w:rPr>
        <w:t>考核扣款</w:t>
      </w:r>
    </w:p>
    <w:p w14:paraId="5935D6E9">
      <w:pPr>
        <w:topLinePunct w:val="0"/>
        <w:spacing w:line="560" w:lineRule="exact"/>
        <w:ind w:firstLine="560" w:firstLineChars="200"/>
        <w:jc w:val="both"/>
        <w:textAlignment w:val="auto"/>
        <w:rPr>
          <w:rFonts w:ascii="Times New Roman" w:hAnsi="Times New Roman" w:eastAsia="仿宋_GB2312"/>
          <w:sz w:val="28"/>
          <w:szCs w:val="28"/>
        </w:rPr>
      </w:pPr>
      <w:r>
        <w:rPr>
          <w:rFonts w:ascii="Times New Roman" w:hAnsi="Times New Roman" w:eastAsia="仿宋_GB2312"/>
          <w:sz w:val="28"/>
          <w:szCs w:val="28"/>
        </w:rPr>
        <w:t>月</w:t>
      </w:r>
      <w:r>
        <w:rPr>
          <w:rFonts w:hint="eastAsia" w:ascii="Times New Roman" w:hAnsi="Times New Roman" w:eastAsia="仿宋_GB2312"/>
          <w:sz w:val="28"/>
          <w:szCs w:val="28"/>
        </w:rPr>
        <w:t>度、季度考核结果不合格，则按比例扣减该设施项目当月或季度日常养护运维经费，计算方式如下：</w:t>
      </w:r>
    </w:p>
    <w:p w14:paraId="01829C7D">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扣减金额=（1-当月或季度考核评分/</w:t>
      </w:r>
      <w:r>
        <w:rPr>
          <w:rFonts w:hint="eastAsia" w:ascii="Times New Roman" w:hAnsi="Times New Roman" w:eastAsia="仿宋_GB2312"/>
          <w:color w:val="000000"/>
          <w:sz w:val="28"/>
          <w:szCs w:val="28"/>
        </w:rPr>
        <w:t>85</w:t>
      </w:r>
      <w:r>
        <w:rPr>
          <w:rFonts w:hint="eastAsia" w:ascii="Times New Roman" w:hAnsi="Times New Roman" w:eastAsia="仿宋_GB2312"/>
          <w:sz w:val="28"/>
          <w:szCs w:val="28"/>
        </w:rPr>
        <w:t>）*当月或季度日常养护运维经费。</w:t>
      </w:r>
    </w:p>
    <w:p w14:paraId="0ABA13D9">
      <w:pPr>
        <w:numPr>
          <w:ilvl w:val="0"/>
          <w:numId w:val="5"/>
        </w:numPr>
        <w:topLinePunct w:val="0"/>
        <w:adjustRightInd/>
        <w:snapToGrid/>
        <w:spacing w:line="600" w:lineRule="exact"/>
        <w:ind w:left="0" w:firstLine="0"/>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履约管理</w:t>
      </w:r>
    </w:p>
    <w:p w14:paraId="1F98144C">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年度考核结果不合格，则视为违约，将扣减该设施项目当年度日常养护运维经费的3%。养护服务期限为3年的设施，年度考核结果在服务期限内连续或累计2年不合格的，则其养护单位3年内不得参与该设施的养护采购项目竞标。</w:t>
      </w:r>
    </w:p>
    <w:p w14:paraId="284F69E3">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在同类设施的年度考核评分中排名末位的设施，其养护单位之后3年内如若参与本设施养护采购项目竞标的，将予以扣除一定分数，具体以招标文件规定为准。</w:t>
      </w:r>
    </w:p>
    <w:p w14:paraId="099DE320">
      <w:pPr>
        <w:numPr>
          <w:ilvl w:val="0"/>
          <w:numId w:val="5"/>
        </w:numPr>
        <w:topLinePunct w:val="0"/>
        <w:adjustRightInd/>
        <w:snapToGrid/>
        <w:spacing w:line="600" w:lineRule="exact"/>
        <w:ind w:left="0" w:firstLine="0"/>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退出机制</w:t>
      </w:r>
    </w:p>
    <w:p w14:paraId="091F008F">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养护单位出现下列行为之一或在服务期限为3年的设施中前2次年度考核结果不合格的，市道运中心有权提前终止合同，并重新启动招投标。同时，该养护单位应立即整改并承担所有相关费用、责任和经济赔偿。</w:t>
      </w:r>
    </w:p>
    <w:p w14:paraId="05651315">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1、忽视制度管理，缺少两项及以上制度。包括安全生产责任制度、检查制度、特种作业管理制度、动火管理制度、安措经费使用管理制度、安全交底制度、带班制度、事故报告与处理制度、安全考核奖罚制度等；</w:t>
      </w:r>
    </w:p>
    <w:p w14:paraId="1199AD0A">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2、违法违规</w:t>
      </w:r>
      <w:r>
        <w:rPr>
          <w:rFonts w:ascii="Times New Roman" w:hAnsi="Times New Roman" w:eastAsia="仿宋_GB2312"/>
          <w:sz w:val="28"/>
          <w:szCs w:val="28"/>
        </w:rPr>
        <w:t>，影响</w:t>
      </w:r>
      <w:r>
        <w:rPr>
          <w:rFonts w:hint="eastAsia" w:ascii="Times New Roman" w:hAnsi="Times New Roman" w:eastAsia="仿宋_GB2312"/>
          <w:sz w:val="28"/>
          <w:szCs w:val="28"/>
        </w:rPr>
        <w:t>设施结构和运行安全、社会稳定</w:t>
      </w:r>
      <w:r>
        <w:rPr>
          <w:rFonts w:ascii="Times New Roman" w:hAnsi="Times New Roman" w:eastAsia="仿宋_GB2312"/>
          <w:sz w:val="28"/>
          <w:szCs w:val="28"/>
        </w:rPr>
        <w:t>的情况。如违法分包、转包、恶意拖欠工人工资、养护资质资格变动不符合招标要求</w:t>
      </w:r>
      <w:r>
        <w:rPr>
          <w:rFonts w:hint="eastAsia" w:ascii="Times New Roman" w:hAnsi="Times New Roman" w:eastAsia="仿宋_GB2312"/>
          <w:sz w:val="28"/>
          <w:szCs w:val="28"/>
        </w:rPr>
        <w:t>、利用设施开展经营性行为</w:t>
      </w:r>
      <w:r>
        <w:rPr>
          <w:rFonts w:ascii="Times New Roman" w:hAnsi="Times New Roman" w:eastAsia="仿宋_GB2312"/>
          <w:sz w:val="28"/>
          <w:szCs w:val="28"/>
        </w:rPr>
        <w:t>等；</w:t>
      </w:r>
    </w:p>
    <w:p w14:paraId="4F900E65">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3、</w:t>
      </w:r>
      <w:r>
        <w:rPr>
          <w:rFonts w:ascii="Times New Roman" w:hAnsi="Times New Roman" w:eastAsia="仿宋_GB2312"/>
          <w:sz w:val="28"/>
          <w:szCs w:val="28"/>
        </w:rPr>
        <w:t>发生重大安全责任事故或者严重质量问题</w:t>
      </w:r>
      <w:r>
        <w:rPr>
          <w:rFonts w:hint="eastAsia" w:ascii="Times New Roman" w:hAnsi="Times New Roman" w:eastAsia="仿宋_GB2312"/>
          <w:sz w:val="28"/>
          <w:szCs w:val="28"/>
        </w:rPr>
        <w:t>、重大节假日或活动保障不力，</w:t>
      </w:r>
      <w:r>
        <w:rPr>
          <w:rFonts w:ascii="Times New Roman" w:hAnsi="Times New Roman" w:eastAsia="仿宋_GB2312"/>
          <w:sz w:val="28"/>
          <w:szCs w:val="28"/>
        </w:rPr>
        <w:t>造成不良社会影响的。</w:t>
      </w:r>
    </w:p>
    <w:p w14:paraId="64850BE6">
      <w:pPr>
        <w:numPr>
          <w:ilvl w:val="0"/>
          <w:numId w:val="4"/>
        </w:numPr>
        <w:topLinePunct w:val="0"/>
        <w:adjustRightInd/>
        <w:snapToGrid/>
        <w:spacing w:before="120" w:beforeLines="50" w:line="560" w:lineRule="exact"/>
        <w:ind w:left="0" w:firstLine="0"/>
        <w:jc w:val="center"/>
        <w:textAlignment w:val="auto"/>
        <w:rPr>
          <w:rFonts w:ascii="黑体" w:hAnsi="黑体" w:eastAsia="黑体"/>
          <w:b/>
          <w:sz w:val="28"/>
          <w:szCs w:val="28"/>
        </w:rPr>
      </w:pPr>
      <w:r>
        <w:rPr>
          <w:rFonts w:ascii="黑体" w:hAnsi="黑体" w:eastAsia="黑体"/>
          <w:b/>
          <w:sz w:val="28"/>
          <w:szCs w:val="28"/>
        </w:rPr>
        <w:t>公示及通报</w:t>
      </w:r>
    </w:p>
    <w:p w14:paraId="5F26588F">
      <w:pPr>
        <w:numPr>
          <w:ilvl w:val="0"/>
          <w:numId w:val="5"/>
        </w:numPr>
        <w:topLinePunct w:val="0"/>
        <w:adjustRightInd/>
        <w:snapToGrid/>
        <w:spacing w:line="600" w:lineRule="exact"/>
        <w:ind w:left="0" w:firstLine="0"/>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 xml:space="preserve">结果公示 </w:t>
      </w:r>
    </w:p>
    <w:p w14:paraId="5D205644">
      <w:pPr>
        <w:topLinePunct w:val="0"/>
        <w:spacing w:line="560" w:lineRule="exact"/>
        <w:ind w:firstLine="562" w:firstLineChars="200"/>
        <w:jc w:val="both"/>
        <w:textAlignment w:val="auto"/>
        <w:rPr>
          <w:rFonts w:ascii="Times New Roman" w:hAnsi="Times New Roman" w:eastAsia="楷体_GB2312"/>
          <w:b/>
          <w:bCs/>
          <w:sz w:val="28"/>
          <w:szCs w:val="28"/>
        </w:rPr>
      </w:pPr>
      <w:r>
        <w:rPr>
          <w:rFonts w:ascii="Times New Roman" w:hAnsi="Times New Roman" w:eastAsia="楷体_GB2312"/>
          <w:b/>
          <w:bCs/>
          <w:sz w:val="28"/>
          <w:szCs w:val="28"/>
        </w:rPr>
        <w:t>月</w:t>
      </w:r>
      <w:r>
        <w:rPr>
          <w:rFonts w:hint="eastAsia" w:ascii="Times New Roman" w:hAnsi="Times New Roman" w:eastAsia="楷体_GB2312"/>
          <w:b/>
          <w:bCs/>
          <w:sz w:val="28"/>
          <w:szCs w:val="28"/>
        </w:rPr>
        <w:t>度考核：</w:t>
      </w:r>
      <w:r>
        <w:rPr>
          <w:rFonts w:hint="eastAsia" w:ascii="Times New Roman" w:hAnsi="Times New Roman" w:eastAsia="仿宋_GB2312"/>
          <w:sz w:val="28"/>
          <w:szCs w:val="28"/>
        </w:rPr>
        <w:t>次月11日，由养护在线监管系统出具定量指标分数；次月11至15日，由中心设施负责人考评定性指标分数，同时养护单位对定量考核结果有异议的可进行申诉；次月1</w:t>
      </w:r>
      <w:r>
        <w:rPr>
          <w:rFonts w:ascii="Times New Roman" w:hAnsi="Times New Roman" w:eastAsia="仿宋_GB2312"/>
          <w:sz w:val="28"/>
          <w:szCs w:val="28"/>
        </w:rPr>
        <w:t>5</w:t>
      </w:r>
      <w:r>
        <w:rPr>
          <w:rFonts w:hint="eastAsia" w:ascii="Times New Roman" w:hAnsi="Times New Roman" w:eastAsia="仿宋_GB2312"/>
          <w:sz w:val="28"/>
          <w:szCs w:val="28"/>
        </w:rPr>
        <w:t>至2</w:t>
      </w:r>
      <w:r>
        <w:rPr>
          <w:rFonts w:ascii="Times New Roman" w:hAnsi="Times New Roman" w:eastAsia="仿宋_GB2312"/>
          <w:sz w:val="28"/>
          <w:szCs w:val="28"/>
        </w:rPr>
        <w:t>0</w:t>
      </w:r>
      <w:r>
        <w:rPr>
          <w:rFonts w:hint="eastAsia" w:ascii="Times New Roman" w:hAnsi="Times New Roman" w:eastAsia="仿宋_GB2312"/>
          <w:sz w:val="28"/>
          <w:szCs w:val="28"/>
        </w:rPr>
        <w:t>日，由部门复核总分；一般于次月2</w:t>
      </w:r>
      <w:r>
        <w:rPr>
          <w:rFonts w:ascii="Times New Roman" w:hAnsi="Times New Roman" w:eastAsia="仿宋_GB2312"/>
          <w:sz w:val="28"/>
          <w:szCs w:val="28"/>
        </w:rPr>
        <w:t>5</w:t>
      </w:r>
      <w:r>
        <w:rPr>
          <w:rFonts w:hint="eastAsia" w:ascii="Times New Roman" w:hAnsi="Times New Roman" w:eastAsia="仿宋_GB2312"/>
          <w:sz w:val="28"/>
          <w:szCs w:val="28"/>
        </w:rPr>
        <w:t>日，形成正式分数并上传云路。</w:t>
      </w:r>
    </w:p>
    <w:p w14:paraId="3C9A5342">
      <w:pPr>
        <w:topLinePunct w:val="0"/>
        <w:spacing w:line="560" w:lineRule="exact"/>
        <w:ind w:firstLine="562" w:firstLineChars="200"/>
        <w:jc w:val="both"/>
        <w:textAlignment w:val="auto"/>
        <w:rPr>
          <w:rFonts w:ascii="Times New Roman" w:hAnsi="Times New Roman"/>
          <w:szCs w:val="21"/>
        </w:rPr>
      </w:pPr>
      <w:r>
        <w:rPr>
          <w:rFonts w:hint="eastAsia" w:ascii="Times New Roman" w:hAnsi="Times New Roman" w:eastAsia="楷体_GB2312"/>
          <w:b/>
          <w:bCs/>
          <w:sz w:val="28"/>
          <w:szCs w:val="28"/>
        </w:rPr>
        <w:t>季度考核：</w:t>
      </w:r>
      <w:r>
        <w:rPr>
          <w:rFonts w:hint="eastAsia" w:ascii="Times New Roman" w:hAnsi="Times New Roman" w:eastAsia="仿宋_GB2312"/>
          <w:sz w:val="28"/>
          <w:szCs w:val="28"/>
        </w:rPr>
        <w:t>一般于次月2</w:t>
      </w:r>
      <w:r>
        <w:rPr>
          <w:rFonts w:ascii="Times New Roman" w:hAnsi="Times New Roman" w:eastAsia="仿宋_GB2312"/>
          <w:sz w:val="28"/>
          <w:szCs w:val="28"/>
        </w:rPr>
        <w:t>5</w:t>
      </w:r>
      <w:r>
        <w:rPr>
          <w:rFonts w:hint="eastAsia" w:ascii="Times New Roman" w:hAnsi="Times New Roman" w:eastAsia="仿宋_GB2312"/>
          <w:sz w:val="28"/>
          <w:szCs w:val="28"/>
        </w:rPr>
        <w:t>日后形成结果报告并公示，公示期为五个工作日。各相关单位如对结果持有异议可在公示期内以书面形式向城道科申请复核。</w:t>
      </w:r>
    </w:p>
    <w:p w14:paraId="0778DBAE">
      <w:pPr>
        <w:topLinePunct w:val="0"/>
        <w:spacing w:line="560" w:lineRule="exact"/>
        <w:ind w:firstLine="562" w:firstLineChars="200"/>
        <w:jc w:val="both"/>
        <w:textAlignment w:val="auto"/>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楷体_GB2312"/>
          <w:b/>
          <w:bCs/>
          <w:sz w:val="28"/>
          <w:szCs w:val="28"/>
        </w:rPr>
        <w:t>：</w:t>
      </w:r>
      <w:r>
        <w:rPr>
          <w:rFonts w:hint="eastAsia" w:ascii="Times New Roman" w:hAnsi="Times New Roman" w:eastAsia="仿宋_GB2312"/>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14:paraId="42904760">
      <w:pPr>
        <w:topLinePunct w:val="0"/>
        <w:spacing w:line="560" w:lineRule="exact"/>
        <w:ind w:firstLine="562" w:firstLineChars="200"/>
        <w:jc w:val="both"/>
        <w:textAlignment w:val="auto"/>
        <w:rPr>
          <w:rFonts w:ascii="Times New Roman" w:hAnsi="Times New Roman" w:eastAsia="仿宋_GB2312"/>
          <w:szCs w:val="21"/>
        </w:rPr>
      </w:pPr>
      <w:r>
        <w:rPr>
          <w:rFonts w:hint="eastAsia" w:ascii="Times New Roman" w:hAnsi="Times New Roman" w:eastAsia="楷体_GB2312"/>
          <w:b/>
          <w:bCs/>
          <w:sz w:val="28"/>
          <w:szCs w:val="28"/>
        </w:rPr>
        <w:t>结果复核：</w:t>
      </w:r>
      <w:r>
        <w:rPr>
          <w:rFonts w:hint="eastAsia" w:ascii="Times New Roman" w:hAnsi="Times New Roman" w:eastAsia="仿宋_GB2312"/>
          <w:sz w:val="28"/>
          <w:szCs w:val="28"/>
        </w:rPr>
        <w:t>内容包括是否有漏评、错统情况；打分是否超出规定阈值；各小项得分合成后是否准确等。超出上述规定事项范围的申请不予受理。</w:t>
      </w:r>
    </w:p>
    <w:p w14:paraId="340F0B50">
      <w:pPr>
        <w:numPr>
          <w:ilvl w:val="0"/>
          <w:numId w:val="5"/>
        </w:numPr>
        <w:topLinePunct w:val="0"/>
        <w:adjustRightInd/>
        <w:snapToGrid/>
        <w:spacing w:line="600" w:lineRule="exact"/>
        <w:ind w:left="0" w:firstLine="0"/>
        <w:jc w:val="both"/>
        <w:textAlignment w:val="auto"/>
        <w:rPr>
          <w:rFonts w:ascii="Times New Roman" w:hAnsi="Times New Roman" w:eastAsia="楷体_GB2312"/>
          <w:b/>
          <w:sz w:val="28"/>
          <w:szCs w:val="28"/>
        </w:rPr>
      </w:pPr>
      <w:r>
        <w:rPr>
          <w:rFonts w:hint="eastAsia" w:ascii="Times New Roman" w:hAnsi="Times New Roman" w:eastAsia="楷体_GB2312"/>
          <w:b/>
          <w:sz w:val="28"/>
          <w:szCs w:val="28"/>
        </w:rPr>
        <w:t xml:space="preserve">结果通报 </w:t>
      </w:r>
    </w:p>
    <w:p w14:paraId="4031C2F2">
      <w:pPr>
        <w:topLinePunct w:val="0"/>
        <w:spacing w:line="560" w:lineRule="exact"/>
        <w:ind w:firstLine="560" w:firstLineChars="200"/>
        <w:jc w:val="both"/>
        <w:textAlignment w:val="auto"/>
        <w:rPr>
          <w:rFonts w:ascii="Times New Roman" w:hAnsi="Times New Roman" w:eastAsia="仿宋_GB2312"/>
          <w:sz w:val="28"/>
          <w:szCs w:val="28"/>
        </w:rPr>
      </w:pPr>
      <w:r>
        <w:rPr>
          <w:rFonts w:hint="eastAsia" w:ascii="Times New Roman" w:hAnsi="Times New Roman" w:eastAsia="仿宋_GB2312"/>
          <w:sz w:val="28"/>
          <w:szCs w:val="28"/>
        </w:rPr>
        <w:t>公示期结束后，各类考核结果予以行业通报，年度考核报告同步抄送上级主管部门。</w:t>
      </w:r>
    </w:p>
    <w:p w14:paraId="5010914F">
      <w:pPr>
        <w:numPr>
          <w:ilvl w:val="0"/>
          <w:numId w:val="4"/>
        </w:numPr>
        <w:topLinePunct w:val="0"/>
        <w:adjustRightInd/>
        <w:snapToGrid/>
        <w:spacing w:before="120" w:beforeLines="50" w:line="560" w:lineRule="exact"/>
        <w:ind w:left="0" w:firstLine="0"/>
        <w:jc w:val="center"/>
        <w:textAlignment w:val="auto"/>
        <w:rPr>
          <w:rFonts w:ascii="黑体" w:hAnsi="黑体" w:eastAsia="黑体"/>
          <w:b/>
          <w:sz w:val="28"/>
          <w:szCs w:val="28"/>
        </w:rPr>
      </w:pPr>
      <w:r>
        <w:rPr>
          <w:rFonts w:hint="eastAsia" w:ascii="黑体" w:hAnsi="黑体" w:eastAsia="黑体"/>
          <w:b/>
          <w:sz w:val="28"/>
          <w:szCs w:val="28"/>
        </w:rPr>
        <w:t>附则</w:t>
      </w:r>
    </w:p>
    <w:p w14:paraId="26A363E9">
      <w:pPr>
        <w:topLinePunct w:val="0"/>
        <w:adjustRightInd/>
        <w:snapToGrid/>
        <w:spacing w:line="500" w:lineRule="exact"/>
        <w:jc w:val="both"/>
        <w:textAlignment w:val="auto"/>
        <w:rPr>
          <w:rFonts w:ascii="Times New Roman" w:hAnsi="Times New Roman" w:eastAsia="仿宋_GB2312"/>
          <w:sz w:val="28"/>
          <w:szCs w:val="28"/>
        </w:rPr>
      </w:pPr>
      <w:r>
        <w:rPr>
          <w:rFonts w:ascii="Times New Roman" w:hAnsi="Times New Roman" w:eastAsia="楷体_GB2312"/>
          <w:b/>
          <w:sz w:val="28"/>
          <w:szCs w:val="28"/>
        </w:rPr>
        <w:t>第</w:t>
      </w:r>
      <w:r>
        <w:rPr>
          <w:rFonts w:hint="eastAsia" w:ascii="Times New Roman" w:hAnsi="Times New Roman" w:eastAsia="楷体_GB2312"/>
          <w:b/>
          <w:sz w:val="28"/>
          <w:szCs w:val="28"/>
        </w:rPr>
        <w:t>十七</w:t>
      </w:r>
      <w:r>
        <w:rPr>
          <w:rFonts w:ascii="Times New Roman" w:hAnsi="Times New Roman" w:eastAsia="楷体_GB2312"/>
          <w:b/>
          <w:sz w:val="28"/>
          <w:szCs w:val="28"/>
        </w:rPr>
        <w:t>条</w:t>
      </w:r>
      <w:r>
        <w:rPr>
          <w:rFonts w:ascii="仿宋_GB2312" w:hAnsi="宋体" w:eastAsia="仿宋_GB2312"/>
          <w:b/>
          <w:sz w:val="28"/>
          <w:szCs w:val="28"/>
        </w:rPr>
        <w:t xml:space="preserve"> </w:t>
      </w:r>
      <w:r>
        <w:rPr>
          <w:rFonts w:ascii="Times New Roman" w:hAnsi="Times New Roman" w:eastAsia="仿宋_GB2312"/>
          <w:sz w:val="28"/>
          <w:szCs w:val="28"/>
        </w:rPr>
        <w:t>本办法由上海市道路运输事业发展中心负责解释。</w:t>
      </w:r>
    </w:p>
    <w:p w14:paraId="653C9DCF">
      <w:pPr>
        <w:widowControl/>
        <w:topLinePunct w:val="0"/>
        <w:adjustRightInd/>
        <w:snapToGrid/>
        <w:spacing w:line="500" w:lineRule="exact"/>
        <w:jc w:val="both"/>
        <w:textAlignment w:val="auto"/>
        <w:rPr>
          <w:rFonts w:ascii="Times New Roman" w:hAnsi="Times New Roman" w:eastAsia="仿宋_GB2312"/>
          <w:sz w:val="28"/>
          <w:szCs w:val="28"/>
        </w:rPr>
      </w:pPr>
      <w:r>
        <w:rPr>
          <w:rFonts w:ascii="Times New Roman" w:hAnsi="Times New Roman" w:eastAsia="楷体_GB2312"/>
          <w:b/>
          <w:sz w:val="28"/>
          <w:szCs w:val="28"/>
        </w:rPr>
        <w:t>第十</w:t>
      </w:r>
      <w:r>
        <w:rPr>
          <w:rFonts w:hint="eastAsia" w:ascii="Times New Roman" w:hAnsi="Times New Roman" w:eastAsia="楷体_GB2312"/>
          <w:b/>
          <w:sz w:val="28"/>
          <w:szCs w:val="28"/>
        </w:rPr>
        <w:t>八</w:t>
      </w:r>
      <w:r>
        <w:rPr>
          <w:rFonts w:ascii="Times New Roman" w:hAnsi="Times New Roman" w:eastAsia="楷体_GB2312"/>
          <w:b/>
          <w:sz w:val="28"/>
          <w:szCs w:val="28"/>
        </w:rPr>
        <w:t xml:space="preserve">条 </w:t>
      </w:r>
      <w:r>
        <w:rPr>
          <w:rFonts w:ascii="Times New Roman" w:hAnsi="Times New Roman" w:eastAsia="仿宋_GB2312"/>
          <w:sz w:val="28"/>
          <w:szCs w:val="28"/>
        </w:rPr>
        <w:t>本办法自 2024 年 10 月 1 日起试行。</w:t>
      </w:r>
    </w:p>
    <w:p w14:paraId="617F08EE">
      <w:pPr>
        <w:widowControl/>
        <w:topLinePunct w:val="0"/>
        <w:adjustRightInd/>
        <w:snapToGrid/>
        <w:spacing w:line="500" w:lineRule="exact"/>
        <w:jc w:val="both"/>
        <w:textAlignment w:val="auto"/>
        <w:rPr>
          <w:rFonts w:ascii="仿宋_GB2312" w:hAnsi="仿宋_GB2312" w:eastAsia="仿宋_GB2312"/>
          <w:sz w:val="24"/>
        </w:rPr>
      </w:pPr>
    </w:p>
    <w:p w14:paraId="61868087">
      <w:pPr>
        <w:widowControl/>
        <w:topLinePunct w:val="0"/>
        <w:adjustRightInd/>
        <w:snapToGrid/>
        <w:spacing w:line="500" w:lineRule="exact"/>
        <w:jc w:val="both"/>
        <w:textAlignment w:val="auto"/>
        <w:rPr>
          <w:rFonts w:ascii="仿宋_GB2312" w:hAnsi="仿宋_GB2312" w:eastAsia="仿宋_GB2312"/>
          <w:sz w:val="24"/>
        </w:rPr>
      </w:pPr>
      <w:r>
        <w:rPr>
          <w:rFonts w:hint="eastAsia" w:ascii="仿宋_GB2312" w:hAnsi="仿宋_GB2312" w:eastAsia="仿宋_GB2312"/>
          <w:sz w:val="24"/>
        </w:rPr>
        <w:br w:type="page"/>
      </w:r>
    </w:p>
    <w:p w14:paraId="7FFDB4B9">
      <w:pPr>
        <w:spacing w:line="480" w:lineRule="auto"/>
        <w:jc w:val="center"/>
        <w:textAlignment w:val="auto"/>
        <w:rPr>
          <w:rFonts w:ascii="黑体" w:hAnsi="黑体" w:eastAsia="黑体"/>
          <w:sz w:val="32"/>
          <w:szCs w:val="40"/>
        </w:rPr>
      </w:pPr>
      <w:r>
        <w:rPr>
          <w:rFonts w:hint="eastAsia" w:ascii="黑体" w:hAnsi="黑体" w:eastAsia="黑体"/>
          <w:sz w:val="32"/>
          <w:szCs w:val="40"/>
        </w:rPr>
        <w:t>附件目录</w:t>
      </w:r>
    </w:p>
    <w:p w14:paraId="430B1CCF">
      <w:pPr>
        <w:spacing w:line="480" w:lineRule="auto"/>
        <w:jc w:val="both"/>
        <w:textAlignment w:val="auto"/>
        <w:rPr>
          <w:rFonts w:ascii="仿宋_GB2312" w:eastAsia="仿宋_GB2312"/>
          <w:sz w:val="28"/>
          <w:szCs w:val="36"/>
        </w:rPr>
      </w:pPr>
      <w:r>
        <w:rPr>
          <w:rFonts w:hint="eastAsia" w:ascii="仿宋_GB2312" w:eastAsia="仿宋_GB2312"/>
          <w:sz w:val="28"/>
          <w:szCs w:val="36"/>
        </w:rPr>
        <w:t>一、考核依据</w:t>
      </w:r>
    </w:p>
    <w:p w14:paraId="1C5D17EE">
      <w:pPr>
        <w:spacing w:line="480" w:lineRule="auto"/>
        <w:jc w:val="both"/>
        <w:textAlignment w:val="auto"/>
        <w:rPr>
          <w:rFonts w:ascii="仿宋_GB2312" w:eastAsia="仿宋_GB2312"/>
          <w:sz w:val="28"/>
          <w:szCs w:val="36"/>
        </w:rPr>
      </w:pPr>
      <w:r>
        <w:rPr>
          <w:rFonts w:hint="eastAsia" w:ascii="仿宋_GB2312" w:eastAsia="仿宋_GB2312"/>
          <w:sz w:val="28"/>
          <w:szCs w:val="36"/>
        </w:rPr>
        <w:t>二、市管城市道路主体设施养护运维月度考核评分细则（修订）（略）</w:t>
      </w:r>
    </w:p>
    <w:p w14:paraId="3A6BBA10">
      <w:pPr>
        <w:spacing w:line="480" w:lineRule="auto"/>
        <w:jc w:val="both"/>
        <w:textAlignment w:val="auto"/>
        <w:rPr>
          <w:rFonts w:ascii="仿宋_GB2312" w:eastAsia="仿宋_GB2312"/>
          <w:sz w:val="28"/>
          <w:szCs w:val="36"/>
        </w:rPr>
      </w:pPr>
      <w:r>
        <w:rPr>
          <w:rFonts w:hint="eastAsia" w:ascii="仿宋_GB2312" w:eastAsia="仿宋_GB2312"/>
          <w:sz w:val="28"/>
          <w:szCs w:val="36"/>
        </w:rPr>
        <w:t>三、市管设施下部涂装保洁工作考核评分细则</w:t>
      </w:r>
    </w:p>
    <w:p w14:paraId="51CDBEEB">
      <w:pPr>
        <w:spacing w:line="480" w:lineRule="auto"/>
        <w:jc w:val="both"/>
        <w:textAlignment w:val="auto"/>
        <w:rPr>
          <w:rFonts w:ascii="仿宋_GB2312" w:eastAsia="仿宋_GB2312"/>
          <w:sz w:val="28"/>
          <w:szCs w:val="36"/>
        </w:rPr>
      </w:pPr>
      <w:r>
        <w:rPr>
          <w:rFonts w:hint="eastAsia" w:ascii="仿宋_GB2312" w:eastAsia="仿宋_GB2312"/>
          <w:sz w:val="28"/>
          <w:szCs w:val="36"/>
        </w:rPr>
        <w:t>四、市管城市道路绿化养护工作考核评分细则（略）</w:t>
      </w:r>
    </w:p>
    <w:p w14:paraId="5D2225AB">
      <w:pPr>
        <w:spacing w:line="480" w:lineRule="auto"/>
        <w:jc w:val="both"/>
        <w:textAlignment w:val="auto"/>
        <w:rPr>
          <w:rFonts w:ascii="仿宋_GB2312" w:eastAsia="仿宋_GB2312"/>
          <w:sz w:val="28"/>
          <w:szCs w:val="36"/>
        </w:rPr>
      </w:pPr>
      <w:r>
        <w:rPr>
          <w:rFonts w:hint="eastAsia" w:ascii="仿宋_GB2312" w:eastAsia="仿宋_GB2312"/>
          <w:sz w:val="28"/>
          <w:szCs w:val="36"/>
        </w:rPr>
        <w:t>五、市管城市道路景观灯光养护运维考核评分细则（略）</w:t>
      </w:r>
    </w:p>
    <w:p w14:paraId="020C0B55">
      <w:pPr>
        <w:spacing w:line="360" w:lineRule="auto"/>
        <w:jc w:val="both"/>
        <w:textAlignment w:val="auto"/>
        <w:rPr>
          <w:rFonts w:ascii="Times New Roman" w:hAnsi="Times New Roman"/>
          <w:b/>
          <w:bCs/>
          <w:sz w:val="32"/>
          <w:szCs w:val="32"/>
        </w:rPr>
      </w:pPr>
      <w:r>
        <w:rPr>
          <w:rFonts w:ascii="Times New Roman" w:hAnsi="Times New Roman"/>
          <w:b/>
          <w:bCs/>
          <w:sz w:val="32"/>
          <w:szCs w:val="32"/>
        </w:rPr>
        <w:br w:type="page"/>
      </w:r>
    </w:p>
    <w:p w14:paraId="231B792C">
      <w:pPr>
        <w:spacing w:line="360" w:lineRule="auto"/>
        <w:jc w:val="both"/>
        <w:textAlignment w:val="auto"/>
        <w:rPr>
          <w:rFonts w:ascii="黑体" w:hAnsi="黑体" w:eastAsia="黑体"/>
          <w:bCs/>
          <w:kern w:val="0"/>
          <w:sz w:val="28"/>
          <w:szCs w:val="28"/>
        </w:rPr>
      </w:pPr>
      <w:r>
        <w:rPr>
          <w:rFonts w:hint="eastAsia" w:ascii="黑体" w:hAnsi="黑体" w:eastAsia="黑体"/>
          <w:bCs/>
          <w:kern w:val="0"/>
          <w:sz w:val="28"/>
          <w:szCs w:val="28"/>
        </w:rPr>
        <w:t>附件一：</w:t>
      </w:r>
    </w:p>
    <w:p w14:paraId="700456CA">
      <w:pPr>
        <w:spacing w:line="360" w:lineRule="auto"/>
        <w:jc w:val="center"/>
        <w:textAlignment w:val="auto"/>
        <w:rPr>
          <w:rFonts w:ascii="Times New Roman" w:hAnsi="华文中宋" w:eastAsia="华文中宋"/>
          <w:b/>
          <w:kern w:val="0"/>
          <w:sz w:val="32"/>
          <w:szCs w:val="32"/>
        </w:rPr>
      </w:pPr>
      <w:r>
        <w:rPr>
          <w:rFonts w:hint="eastAsia" w:ascii="Times New Roman" w:hAnsi="华文中宋" w:eastAsia="华文中宋"/>
          <w:b/>
          <w:kern w:val="0"/>
          <w:sz w:val="32"/>
          <w:szCs w:val="32"/>
        </w:rPr>
        <w:t>考核依据</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7303"/>
      </w:tblGrid>
      <w:tr w14:paraId="1729E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71827100">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编号</w:t>
            </w:r>
          </w:p>
        </w:tc>
        <w:tc>
          <w:tcPr>
            <w:tcW w:w="7303" w:type="dxa"/>
            <w:vAlign w:val="center"/>
          </w:tcPr>
          <w:p w14:paraId="34360350">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规范名称</w:t>
            </w:r>
          </w:p>
        </w:tc>
      </w:tr>
      <w:tr w14:paraId="38A2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D849501">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w:t>
            </w:r>
          </w:p>
        </w:tc>
        <w:tc>
          <w:tcPr>
            <w:tcW w:w="7303" w:type="dxa"/>
            <w:vAlign w:val="center"/>
          </w:tcPr>
          <w:p w14:paraId="22552CBE">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《城镇道路养护技术规范》（CJJ36）</w:t>
            </w:r>
          </w:p>
        </w:tc>
      </w:tr>
      <w:tr w14:paraId="0571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456B5DD">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w:t>
            </w:r>
          </w:p>
        </w:tc>
        <w:tc>
          <w:tcPr>
            <w:tcW w:w="7303" w:type="dxa"/>
            <w:vAlign w:val="center"/>
          </w:tcPr>
          <w:p w14:paraId="4D8BC0D7">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《城市桥梁养护技术标准》（CJJ99）</w:t>
            </w:r>
          </w:p>
        </w:tc>
      </w:tr>
      <w:tr w14:paraId="0598F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7D6A21BC">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3</w:t>
            </w:r>
          </w:p>
        </w:tc>
        <w:tc>
          <w:tcPr>
            <w:tcW w:w="7303" w:type="dxa"/>
            <w:vAlign w:val="center"/>
          </w:tcPr>
          <w:p w14:paraId="6B9D1E1C">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《隧道养护技术规程》（DG/TJ08-2175）</w:t>
            </w:r>
          </w:p>
        </w:tc>
      </w:tr>
      <w:tr w14:paraId="2968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891A2F0">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4</w:t>
            </w:r>
          </w:p>
        </w:tc>
        <w:tc>
          <w:tcPr>
            <w:tcW w:w="7303" w:type="dxa"/>
            <w:vAlign w:val="center"/>
          </w:tcPr>
          <w:p w14:paraId="6624B60A">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《城市高架道路养护技术规范》（DB31/T 678）</w:t>
            </w:r>
          </w:p>
        </w:tc>
      </w:tr>
      <w:tr w14:paraId="1FCF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A8ACE4D">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5</w:t>
            </w:r>
          </w:p>
        </w:tc>
        <w:tc>
          <w:tcPr>
            <w:tcW w:w="7303" w:type="dxa"/>
            <w:vAlign w:val="center"/>
          </w:tcPr>
          <w:p w14:paraId="2A19188C">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《城市道路养护技术规程》（DG/TJ08-92）</w:t>
            </w:r>
          </w:p>
        </w:tc>
      </w:tr>
      <w:tr w14:paraId="4839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7361D9BB">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6</w:t>
            </w:r>
          </w:p>
        </w:tc>
        <w:tc>
          <w:tcPr>
            <w:tcW w:w="7303" w:type="dxa"/>
            <w:vAlign w:val="center"/>
          </w:tcPr>
          <w:p w14:paraId="0BEAC2A3">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《城市桥梁养护技术规程》（DG/TJ08-2145）</w:t>
            </w:r>
          </w:p>
        </w:tc>
      </w:tr>
      <w:tr w14:paraId="1FA9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72F301B">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7</w:t>
            </w:r>
          </w:p>
        </w:tc>
        <w:tc>
          <w:tcPr>
            <w:tcW w:w="7303" w:type="dxa"/>
            <w:vAlign w:val="center"/>
          </w:tcPr>
          <w:p w14:paraId="185568FB">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《城市综合管廊维护技术规程》（DG/TJ08-2168）</w:t>
            </w:r>
          </w:p>
        </w:tc>
      </w:tr>
      <w:tr w14:paraId="194E1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8E11200">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8</w:t>
            </w:r>
          </w:p>
        </w:tc>
        <w:tc>
          <w:tcPr>
            <w:tcW w:w="7303" w:type="dxa"/>
            <w:vAlign w:val="center"/>
          </w:tcPr>
          <w:p w14:paraId="2D7C6C28">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《桥梁结构检测技术规程》（DG/TJ08-2149）</w:t>
            </w:r>
          </w:p>
        </w:tc>
      </w:tr>
      <w:tr w14:paraId="3D2AB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325958B">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9</w:t>
            </w:r>
          </w:p>
        </w:tc>
        <w:tc>
          <w:tcPr>
            <w:tcW w:w="7303" w:type="dxa"/>
            <w:vAlign w:val="center"/>
          </w:tcPr>
          <w:p w14:paraId="33E6ED4F">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《城市桥梁结构加固技术规程》（CJJ/T 239）</w:t>
            </w:r>
          </w:p>
        </w:tc>
      </w:tr>
      <w:tr w14:paraId="5E3F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A4F49AA">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10</w:t>
            </w:r>
          </w:p>
        </w:tc>
        <w:tc>
          <w:tcPr>
            <w:tcW w:w="7303" w:type="dxa"/>
            <w:vAlign w:val="center"/>
          </w:tcPr>
          <w:p w14:paraId="3EC9C963">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《城市道路工程施工与质量验收规范》（CJJ1）</w:t>
            </w:r>
          </w:p>
        </w:tc>
      </w:tr>
      <w:tr w14:paraId="0F58E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C899A33">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11</w:t>
            </w:r>
          </w:p>
        </w:tc>
        <w:tc>
          <w:tcPr>
            <w:tcW w:w="7303" w:type="dxa"/>
            <w:vAlign w:val="center"/>
          </w:tcPr>
          <w:p w14:paraId="55ED656D">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《城市桥梁工程施工与质量验收规范》（CJJ2）</w:t>
            </w:r>
          </w:p>
        </w:tc>
      </w:tr>
      <w:tr w14:paraId="12680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130C8A4">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12</w:t>
            </w:r>
          </w:p>
        </w:tc>
        <w:tc>
          <w:tcPr>
            <w:tcW w:w="7303" w:type="dxa"/>
            <w:vAlign w:val="center"/>
          </w:tcPr>
          <w:p w14:paraId="278E1FD6">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《城市道路和桥梁数据采集标准》（DG/TJ08-2284）</w:t>
            </w:r>
          </w:p>
        </w:tc>
      </w:tr>
      <w:tr w14:paraId="1A26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C43DBB0">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13</w:t>
            </w:r>
          </w:p>
        </w:tc>
        <w:tc>
          <w:tcPr>
            <w:tcW w:w="7303" w:type="dxa"/>
            <w:vAlign w:val="center"/>
          </w:tcPr>
          <w:p w14:paraId="124FCAE1">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《城市道路养护维修作业安全技术规程》（DG/TJ08-2183）</w:t>
            </w:r>
          </w:p>
        </w:tc>
      </w:tr>
      <w:tr w14:paraId="0B36D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CE0B10F">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14</w:t>
            </w:r>
          </w:p>
        </w:tc>
        <w:tc>
          <w:tcPr>
            <w:tcW w:w="7303" w:type="dxa"/>
            <w:vAlign w:val="center"/>
          </w:tcPr>
          <w:p w14:paraId="32F5652A">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《上海市市政道路机电系统维护技术规程》（DG/TJ 08-2171）</w:t>
            </w:r>
          </w:p>
        </w:tc>
      </w:tr>
      <w:tr w14:paraId="71A7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21C4A9D">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15</w:t>
            </w:r>
          </w:p>
        </w:tc>
        <w:tc>
          <w:tcPr>
            <w:tcW w:w="7303" w:type="dxa"/>
            <w:vAlign w:val="center"/>
          </w:tcPr>
          <w:p w14:paraId="22675802">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《城市道路交通标志、标线、信号设施养护技术标准》（DG/TJ08-2256）</w:t>
            </w:r>
          </w:p>
        </w:tc>
      </w:tr>
      <w:tr w14:paraId="5BBA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3F813EA">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16</w:t>
            </w:r>
          </w:p>
        </w:tc>
        <w:tc>
          <w:tcPr>
            <w:tcW w:w="7303" w:type="dxa"/>
            <w:vAlign w:val="center"/>
          </w:tcPr>
          <w:p w14:paraId="6F20E33A">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《道路声屏障结构技术规范》（DG/TJ08-2086）</w:t>
            </w:r>
          </w:p>
        </w:tc>
      </w:tr>
      <w:tr w14:paraId="6C7D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0F3D7C0A">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17</w:t>
            </w:r>
          </w:p>
        </w:tc>
        <w:tc>
          <w:tcPr>
            <w:tcW w:w="7303" w:type="dxa"/>
            <w:vAlign w:val="center"/>
          </w:tcPr>
          <w:p w14:paraId="44CC4B9F">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《斜拉桥养护技术规程》（SZ-09）</w:t>
            </w:r>
          </w:p>
        </w:tc>
      </w:tr>
      <w:tr w14:paraId="5CE49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69CD99A">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18</w:t>
            </w:r>
          </w:p>
        </w:tc>
        <w:tc>
          <w:tcPr>
            <w:tcW w:w="7303" w:type="dxa"/>
            <w:vAlign w:val="center"/>
          </w:tcPr>
          <w:p w14:paraId="3A54A902">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《卢浦大桥养护技术规程》（市建交委2009行业标准）</w:t>
            </w:r>
          </w:p>
        </w:tc>
      </w:tr>
      <w:tr w14:paraId="0764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888974D">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19</w:t>
            </w:r>
          </w:p>
        </w:tc>
        <w:tc>
          <w:tcPr>
            <w:tcW w:w="7303" w:type="dxa"/>
            <w:vAlign w:val="center"/>
          </w:tcPr>
          <w:p w14:paraId="3B214BC6">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《城市桥梁、隧道安全保护区域技术标准》（</w:t>
            </w:r>
            <w:r>
              <w:rPr>
                <w:rFonts w:hint="eastAsia" w:ascii="仿宋_GB2312" w:hAnsi="宋体" w:eastAsia="仿宋_GB2312" w:cs="宋体"/>
                <w:szCs w:val="21"/>
                <w:lang w:eastAsia="ja-JP"/>
              </w:rPr>
              <w:t>沪建交〔2010〕511号</w:t>
            </w:r>
            <w:r>
              <w:rPr>
                <w:rFonts w:hint="eastAsia" w:ascii="仿宋_GB2312" w:hAnsi="宋体" w:eastAsia="仿宋_GB2312"/>
                <w:color w:val="000000"/>
                <w:kern w:val="0"/>
                <w:sz w:val="20"/>
                <w:szCs w:val="20"/>
                <w:lang w:eastAsia="ja-JP"/>
              </w:rPr>
              <w:t>）</w:t>
            </w:r>
          </w:p>
        </w:tc>
      </w:tr>
      <w:tr w14:paraId="036F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113FD45">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20</w:t>
            </w:r>
          </w:p>
        </w:tc>
        <w:tc>
          <w:tcPr>
            <w:tcW w:w="7303" w:type="dxa"/>
            <w:vAlign w:val="center"/>
          </w:tcPr>
          <w:p w14:paraId="36E828BE">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《上海城市桥梁限载标准》（SZ-C-E02）</w:t>
            </w:r>
          </w:p>
        </w:tc>
      </w:tr>
      <w:tr w14:paraId="67A4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73BF1261">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21</w:t>
            </w:r>
          </w:p>
        </w:tc>
        <w:tc>
          <w:tcPr>
            <w:tcW w:w="7303" w:type="dxa"/>
            <w:vAlign w:val="center"/>
          </w:tcPr>
          <w:p w14:paraId="04310548">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《桥梁结构健康监测系统设计与实施标准》</w:t>
            </w:r>
          </w:p>
        </w:tc>
      </w:tr>
      <w:tr w14:paraId="2BB1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80FD001">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22</w:t>
            </w:r>
          </w:p>
        </w:tc>
        <w:tc>
          <w:tcPr>
            <w:tcW w:w="7303" w:type="dxa"/>
            <w:vAlign w:val="center"/>
          </w:tcPr>
          <w:p w14:paraId="01AB8245">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s="宋体"/>
                <w:szCs w:val="21"/>
                <w:lang w:eastAsia="ja-JP"/>
              </w:rPr>
              <w:t>上海市防汛防台应急响应规范（沪道运安委办〔2022〕41 号）</w:t>
            </w:r>
          </w:p>
        </w:tc>
      </w:tr>
      <w:tr w14:paraId="377F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AA23A0A">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23</w:t>
            </w:r>
          </w:p>
        </w:tc>
        <w:tc>
          <w:tcPr>
            <w:tcW w:w="7303" w:type="dxa"/>
            <w:vAlign w:val="center"/>
          </w:tcPr>
          <w:p w14:paraId="4C997DE7">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s="宋体"/>
                <w:szCs w:val="21"/>
                <w:lang w:eastAsia="ja-JP"/>
              </w:rPr>
              <w:t>《城市道路工程设计规范》(CJJ37-2012)</w:t>
            </w:r>
          </w:p>
        </w:tc>
      </w:tr>
      <w:tr w14:paraId="4601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29304FB">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24</w:t>
            </w:r>
          </w:p>
        </w:tc>
        <w:tc>
          <w:tcPr>
            <w:tcW w:w="7303" w:type="dxa"/>
            <w:vAlign w:val="center"/>
          </w:tcPr>
          <w:p w14:paraId="1D32EED9">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城镇排水管渠与泵站运行、维护及安全技术规程</w:t>
            </w: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CJJ 68—2016</w:t>
            </w:r>
            <w:r>
              <w:rPr>
                <w:rFonts w:hint="eastAsia" w:ascii="仿宋_GB2312" w:hAnsi="宋体" w:eastAsia="仿宋_GB2312"/>
                <w:color w:val="000000"/>
                <w:kern w:val="0"/>
                <w:sz w:val="20"/>
                <w:szCs w:val="20"/>
                <w:lang w:eastAsia="ja-JP"/>
              </w:rPr>
              <w:t>）</w:t>
            </w:r>
          </w:p>
        </w:tc>
      </w:tr>
      <w:tr w14:paraId="3940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9D39B02">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25</w:t>
            </w:r>
          </w:p>
        </w:tc>
        <w:tc>
          <w:tcPr>
            <w:tcW w:w="7303" w:type="dxa"/>
            <w:vAlign w:val="center"/>
          </w:tcPr>
          <w:p w14:paraId="55EE7D0F">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道路照明设施运行养护标准（DG/TJ08-2215-2016）</w:t>
            </w:r>
          </w:p>
        </w:tc>
      </w:tr>
      <w:tr w14:paraId="62C3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7A8B45C9">
            <w:pPr>
              <w:snapToGrid/>
              <w:jc w:val="center"/>
              <w:textAlignment w:val="auto"/>
              <w:rPr>
                <w:rFonts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26</w:t>
            </w:r>
          </w:p>
        </w:tc>
        <w:tc>
          <w:tcPr>
            <w:tcW w:w="7303" w:type="dxa"/>
            <w:vAlign w:val="center"/>
          </w:tcPr>
          <w:p w14:paraId="4C0123B5">
            <w:pPr>
              <w:snapToGrid/>
              <w:jc w:val="both"/>
              <w:textAlignment w:val="auto"/>
              <w:rPr>
                <w:rFonts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道路隧道养护运行评价技术标准（DG/TJ08-2425-2023）</w:t>
            </w:r>
          </w:p>
        </w:tc>
      </w:tr>
    </w:tbl>
    <w:p w14:paraId="0AF56AE4">
      <w:pPr>
        <w:textAlignment w:val="auto"/>
        <w:rPr>
          <w:rFonts w:ascii="Times New Roman" w:hAnsi="Times New Roman"/>
          <w:b/>
          <w:bCs/>
          <w:sz w:val="32"/>
          <w:szCs w:val="32"/>
        </w:rPr>
      </w:pPr>
      <w:r>
        <w:rPr>
          <w:rFonts w:ascii="Times New Roman" w:hAnsi="Times New Roman"/>
          <w:b/>
          <w:bCs/>
          <w:sz w:val="32"/>
          <w:szCs w:val="32"/>
        </w:rPr>
        <w:br w:type="page"/>
      </w:r>
    </w:p>
    <w:p w14:paraId="041262DB">
      <w:pPr>
        <w:textAlignment w:val="auto"/>
        <w:rPr>
          <w:rFonts w:ascii="黑体" w:hAnsi="黑体" w:eastAsia="黑体"/>
          <w:bCs/>
          <w:kern w:val="0"/>
          <w:sz w:val="28"/>
          <w:szCs w:val="28"/>
        </w:rPr>
      </w:pPr>
      <w:r>
        <w:rPr>
          <w:rFonts w:hint="eastAsia" w:ascii="黑体" w:hAnsi="黑体" w:eastAsia="黑体"/>
          <w:bCs/>
          <w:kern w:val="0"/>
          <w:sz w:val="28"/>
          <w:szCs w:val="28"/>
        </w:rPr>
        <w:t>附件三：</w:t>
      </w:r>
    </w:p>
    <w:p w14:paraId="50671D9C">
      <w:pPr>
        <w:widowControl/>
        <w:topLinePunct w:val="0"/>
        <w:adjustRightInd/>
        <w:snapToGrid/>
        <w:spacing w:line="500" w:lineRule="exact"/>
        <w:jc w:val="both"/>
        <w:textAlignment w:val="auto"/>
        <w:rPr>
          <w:rFonts w:ascii="仿宋_GB2312" w:hAnsi="仿宋_GB2312" w:eastAsia="仿宋_GB2312"/>
          <w:sz w:val="24"/>
        </w:rPr>
      </w:pPr>
    </w:p>
    <w:p w14:paraId="1EE7D067">
      <w:pPr>
        <w:spacing w:before="120" w:beforeLines="50" w:after="120" w:afterLines="50" w:line="360" w:lineRule="auto"/>
        <w:jc w:val="center"/>
        <w:textAlignment w:val="auto"/>
        <w:rPr>
          <w:rFonts w:ascii="Times New Roman" w:hAnsi="Times New Roman"/>
          <w:b/>
          <w:bCs/>
          <w:sz w:val="32"/>
          <w:szCs w:val="32"/>
        </w:rPr>
      </w:pPr>
      <w:r>
        <w:rPr>
          <w:rFonts w:hint="eastAsia" w:ascii="Times New Roman" w:hAnsi="华文中宋" w:eastAsia="华文中宋"/>
          <w:b/>
          <w:kern w:val="0"/>
          <w:sz w:val="32"/>
          <w:szCs w:val="32"/>
        </w:rPr>
        <w:t>市管设施下部涂装保洁工作考核评分细则</w:t>
      </w:r>
    </w:p>
    <w:p w14:paraId="3E32B405">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为进一步完善市管城市道路日常养护运维考核办法，提高城市道路养护运维质量，保证考核评分工作规范化和可操作性，根据《上海市道路运输事业发展中心市管城市道路日常养护运维工作考核管理办法（试行）》，结合保洁技术规范以及检查考核工作实践，修订《市管设施下部涂装保洁工作考核评分细则》（以下简称“评分细则”）如下。</w:t>
      </w:r>
    </w:p>
    <w:p w14:paraId="3A30EAED">
      <w:pPr>
        <w:spacing w:line="360" w:lineRule="auto"/>
        <w:ind w:firstLine="482" w:firstLineChars="200"/>
        <w:jc w:val="both"/>
        <w:textAlignment w:val="auto"/>
        <w:rPr>
          <w:rFonts w:ascii="黑体" w:hAnsi="黑体" w:eastAsia="黑体"/>
          <w:b/>
          <w:bCs/>
          <w:sz w:val="24"/>
        </w:rPr>
      </w:pPr>
      <w:r>
        <w:rPr>
          <w:rFonts w:hint="eastAsia" w:ascii="黑体" w:hAnsi="黑体" w:eastAsia="黑体"/>
          <w:b/>
          <w:bCs/>
          <w:sz w:val="24"/>
        </w:rPr>
        <w:t>一、定量考核（6</w:t>
      </w:r>
      <w:r>
        <w:rPr>
          <w:rFonts w:ascii="黑体" w:hAnsi="黑体" w:eastAsia="黑体"/>
          <w:b/>
          <w:bCs/>
          <w:sz w:val="24"/>
        </w:rPr>
        <w:t>0</w:t>
      </w:r>
      <w:r>
        <w:rPr>
          <w:rFonts w:hint="eastAsia" w:ascii="黑体" w:hAnsi="黑体" w:eastAsia="黑体"/>
          <w:b/>
          <w:bCs/>
          <w:sz w:val="24"/>
        </w:rPr>
        <w:t>分）</w:t>
      </w:r>
    </w:p>
    <w:p w14:paraId="01B1480A">
      <w:pPr>
        <w:spacing w:line="360" w:lineRule="auto"/>
        <w:ind w:firstLine="482" w:firstLineChars="200"/>
        <w:jc w:val="both"/>
        <w:textAlignment w:val="auto"/>
        <w:rPr>
          <w:rFonts w:ascii="微软雅黑" w:hAnsi="微软雅黑" w:eastAsia="微软雅黑" w:cs="微软雅黑"/>
          <w:color w:val="333333"/>
          <w:szCs w:val="21"/>
          <w:shd w:val="clear" w:color="auto" w:fill="FFFFFF"/>
        </w:rPr>
      </w:pPr>
      <w:r>
        <w:rPr>
          <w:rFonts w:hint="eastAsia" w:ascii="楷体_GB2312" w:hAnsi="宋体" w:eastAsia="楷体_GB2312"/>
          <w:b/>
          <w:bCs/>
          <w:sz w:val="24"/>
        </w:rPr>
        <w:t>1.巡查覆盖率</w:t>
      </w:r>
    </w:p>
    <w:p w14:paraId="0925551E">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 xml:space="preserve">满分 10 分。养护单位应每3天对管养设施范围的高架下部结构涂装进行全覆盖巡查。要求道路巡查覆盖率达到规定作业里程的 </w:t>
      </w:r>
      <w:r>
        <w:rPr>
          <w:rFonts w:ascii="仿宋_GB2312" w:hAnsi="仿宋_GB2312" w:eastAsia="仿宋_GB2312"/>
          <w:sz w:val="24"/>
        </w:rPr>
        <w:t>100%，GPS巡查数据覆盖率达到规定作业里程的 95%以上。</w:t>
      </w:r>
      <w:r>
        <w:rPr>
          <w:rFonts w:hint="eastAsia" w:ascii="仿宋_GB2312" w:hAnsi="仿宋_GB2312" w:eastAsia="仿宋_GB2312"/>
          <w:sz w:val="24"/>
        </w:rPr>
        <w:t>巡查覆盖率不合格的扣 1 分/天，扣完为止。</w:t>
      </w:r>
    </w:p>
    <w:p w14:paraId="783F1D30">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2.病害处置率</w:t>
      </w:r>
    </w:p>
    <w:p w14:paraId="284FC19A">
      <w:pPr>
        <w:spacing w:line="360" w:lineRule="auto"/>
        <w:ind w:firstLine="480" w:firstLineChars="200"/>
        <w:textAlignment w:val="auto"/>
        <w:rPr>
          <w:rFonts w:ascii="仿宋_GB2312" w:hAnsi="仿宋_GB2312" w:eastAsia="仿宋_GB2312"/>
          <w:sz w:val="24"/>
        </w:rPr>
      </w:pPr>
      <w:r>
        <w:rPr>
          <w:rFonts w:hint="eastAsia" w:ascii="仿宋_GB2312" w:hAnsi="仿宋_GB2312" w:eastAsia="仿宋_GB2312"/>
          <w:sz w:val="24"/>
        </w:rPr>
        <w:t>满分 20 分。养护单位日常巡查发现的病害应及时录入至养护在线监管系统，并由监理单位复核其处置情况，在规定的处置时限内完成闭环。</w:t>
      </w:r>
    </w:p>
    <w:p w14:paraId="16C2EF5D">
      <w:pPr>
        <w:spacing w:line="360" w:lineRule="auto"/>
        <w:ind w:firstLine="480" w:firstLineChars="200"/>
        <w:textAlignment w:val="auto"/>
        <w:rPr>
          <w:rFonts w:ascii="仿宋_GB2312" w:hAnsi="仿宋_GB2312" w:eastAsia="仿宋_GB2312"/>
          <w:sz w:val="24"/>
        </w:rPr>
      </w:pPr>
      <w:r>
        <w:rPr>
          <w:rFonts w:hint="eastAsia" w:ascii="仿宋_GB2312" w:hAnsi="仿宋_GB2312" w:eastAsia="仿宋_GB2312"/>
          <w:sz w:val="24"/>
        </w:rPr>
        <w:t>（1）每季度上报养护在线监管系统的病害数量应达到相应标准，上报数量不少于180个/季度。未达到季度上报养护在线监管系统病害数量的扣 3 分。</w:t>
      </w:r>
    </w:p>
    <w:p w14:paraId="4F658206">
      <w:pPr>
        <w:spacing w:line="360" w:lineRule="auto"/>
        <w:textAlignment w:val="auto"/>
        <w:rPr>
          <w:rFonts w:ascii="仿宋_GB2312" w:hAnsi="仿宋_GB2312" w:eastAsia="仿宋_GB2312"/>
          <w:sz w:val="24"/>
        </w:rPr>
      </w:pPr>
      <w:r>
        <w:rPr>
          <w:rFonts w:hint="eastAsia" w:ascii="仿宋_GB2312" w:hAnsi="仿宋_GB2312" w:eastAsia="仿宋_GB2312"/>
          <w:sz w:val="24"/>
        </w:rPr>
        <w:t>（2）病害按规定要求已处置完成，数量不少于 240个/季度（含业主、监理上报病害）。未按规定要求处置完成的扣 2 分。</w:t>
      </w:r>
    </w:p>
    <w:p w14:paraId="043A05B6">
      <w:pPr>
        <w:spacing w:line="360" w:lineRule="auto"/>
        <w:textAlignment w:val="auto"/>
        <w:rPr>
          <w:rFonts w:ascii="仿宋_GB2312" w:hAnsi="仿宋_GB2312" w:eastAsia="仿宋_GB2312"/>
          <w:sz w:val="24"/>
        </w:rPr>
      </w:pPr>
      <w:r>
        <w:rPr>
          <w:rFonts w:hint="eastAsia" w:ascii="仿宋_GB2312" w:hAnsi="仿宋_GB2312" w:eastAsia="仿宋_GB2312"/>
          <w:sz w:val="24"/>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p w14:paraId="40F9CF50">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3</w:t>
      </w:r>
      <w:r>
        <w:rPr>
          <w:rFonts w:ascii="楷体_GB2312" w:hAnsi="宋体" w:eastAsia="楷体_GB2312"/>
          <w:b/>
          <w:bCs/>
          <w:sz w:val="24"/>
        </w:rPr>
        <w:t xml:space="preserve">. </w:t>
      </w:r>
      <w:r>
        <w:rPr>
          <w:rFonts w:hint="eastAsia" w:ascii="楷体_GB2312" w:hAnsi="宋体" w:eastAsia="楷体_GB2312"/>
          <w:b/>
          <w:bCs/>
          <w:sz w:val="24"/>
        </w:rPr>
        <w:t>计划执行率</w:t>
      </w:r>
    </w:p>
    <w:p w14:paraId="4A9312BE">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满分2</w:t>
      </w:r>
      <w:r>
        <w:rPr>
          <w:rFonts w:ascii="仿宋_GB2312" w:hAnsi="仿宋_GB2312" w:eastAsia="仿宋_GB2312"/>
          <w:sz w:val="24"/>
        </w:rPr>
        <w:t>0</w:t>
      </w:r>
      <w:r>
        <w:rPr>
          <w:rFonts w:hint="eastAsia" w:ascii="仿宋_GB2312" w:hAnsi="仿宋_GB2312" w:eastAsia="仿宋_GB2312"/>
          <w:sz w:val="24"/>
        </w:rPr>
        <w:t>分。养护单位应每周报送保洁作业计划，并填写实际完成情况，由监理单位进行审核，结果为已完成或未完成。对考核时间内的每日计划完成情况进行统计，季度计划执行率应达到</w:t>
      </w:r>
      <w:r>
        <w:rPr>
          <w:rFonts w:ascii="仿宋_GB2312" w:hAnsi="仿宋_GB2312" w:eastAsia="仿宋_GB2312"/>
          <w:sz w:val="24"/>
        </w:rPr>
        <w:t>100%</w:t>
      </w:r>
      <w:r>
        <w:rPr>
          <w:rFonts w:hint="eastAsia" w:ascii="仿宋_GB2312" w:hAnsi="仿宋_GB2312" w:eastAsia="仿宋_GB2312"/>
          <w:sz w:val="24"/>
        </w:rPr>
        <w:t>，</w:t>
      </w:r>
      <w:r>
        <w:rPr>
          <w:rFonts w:ascii="仿宋_GB2312" w:hAnsi="仿宋_GB2312" w:eastAsia="仿宋_GB2312"/>
          <w:b/>
          <w:sz w:val="24"/>
        </w:rPr>
        <w:t>每降低1%扣2分</w:t>
      </w:r>
      <w:r>
        <w:rPr>
          <w:rFonts w:hint="eastAsia" w:ascii="仿宋_GB2312" w:hAnsi="仿宋_GB2312" w:eastAsia="仿宋_GB2312"/>
          <w:sz w:val="24"/>
        </w:rPr>
        <w:t>，扣完为止。若因特殊原因出现未完成情况，需进行说明，由监理单位进行审核。</w:t>
      </w:r>
    </w:p>
    <w:p w14:paraId="0742E555">
      <w:pPr>
        <w:spacing w:line="360" w:lineRule="auto"/>
        <w:jc w:val="center"/>
        <w:textAlignment w:val="auto"/>
        <w:rPr>
          <w:rFonts w:ascii="宋体" w:hAnsi="宋体"/>
          <w:iCs/>
          <w:sz w:val="24"/>
        </w:rPr>
      </w:pPr>
      <w:r>
        <w:rPr>
          <w:rFonts w:hint="eastAsia" w:ascii="宋体" w:hAnsi="宋体"/>
          <w:sz w:val="24"/>
        </w:rPr>
        <w:t>考核时间内计划执行率 =</w:t>
      </w:r>
      <m:oMath>
        <m:f>
          <m:fPr>
            <m:ctrlPr>
              <w:rPr>
                <w:rFonts w:ascii="Cambria Math" w:hAnsi="Cambria Math"/>
                <w:iCs/>
                <w:sz w:val="24"/>
              </w:rPr>
            </m:ctrlPr>
          </m:fPr>
          <m:num>
            <m:r>
              <m:rPr>
                <m:sty m:val="p"/>
              </m:rPr>
              <w:rPr>
                <w:rFonts w:hint="eastAsia" w:ascii="Cambria Math" w:hAnsi="Cambria Math"/>
                <w:sz w:val="24"/>
              </w:rPr>
              <m:t>已完成保洁作业总量</m:t>
            </m:r>
            <m:ctrlPr>
              <w:rPr>
                <w:rFonts w:ascii="Cambria Math" w:hAnsi="Cambria Math"/>
                <w:iCs/>
                <w:sz w:val="24"/>
              </w:rPr>
            </m:ctrlPr>
          </m:num>
          <m:den>
            <m:r>
              <m:rPr>
                <m:sty m:val="p"/>
              </m:rPr>
              <w:rPr>
                <w:rFonts w:hint="eastAsia" w:ascii="Cambria Math" w:hAnsi="Cambria Math"/>
                <w:sz w:val="24"/>
              </w:rPr>
              <m:t>已报送保洁作业计划总量</m:t>
            </m:r>
            <m:ctrlPr>
              <w:rPr>
                <w:rFonts w:ascii="Cambria Math" w:hAnsi="Cambria Math"/>
                <w:iCs/>
                <w:sz w:val="24"/>
              </w:rPr>
            </m:ctrlPr>
          </m:den>
        </m:f>
      </m:oMath>
    </w:p>
    <w:p w14:paraId="2C64AD58">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4</w:t>
      </w:r>
      <w:r>
        <w:rPr>
          <w:rFonts w:ascii="楷体_GB2312" w:hAnsi="宋体" w:eastAsia="楷体_GB2312"/>
          <w:b/>
          <w:bCs/>
          <w:sz w:val="24"/>
        </w:rPr>
        <w:t xml:space="preserve">. </w:t>
      </w:r>
      <w:r>
        <w:rPr>
          <w:rFonts w:hint="eastAsia" w:ascii="楷体_GB2312" w:hAnsi="宋体" w:eastAsia="楷体_GB2312"/>
          <w:b/>
          <w:bCs/>
          <w:sz w:val="24"/>
        </w:rPr>
        <w:t>内业提交情况</w:t>
      </w:r>
    </w:p>
    <w:p w14:paraId="2D5ADD0A">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w:t>
      </w:r>
      <w:r>
        <w:rPr>
          <w:rFonts w:ascii="仿宋_GB2312" w:hAnsi="仿宋_GB2312" w:eastAsia="仿宋_GB2312"/>
          <w:sz w:val="24"/>
        </w:rPr>
        <w:t>10</w:t>
      </w:r>
      <w:r>
        <w:rPr>
          <w:rFonts w:hint="eastAsia" w:ascii="仿宋_GB2312" w:hAnsi="仿宋_GB2312" w:eastAsia="仿宋_GB2312"/>
          <w:sz w:val="24"/>
        </w:rPr>
        <w:t>分。养护单位应安排相对固定的人员负责保洁信息化系统管理工作，要求</w:t>
      </w:r>
      <w:r>
        <w:rPr>
          <w:rFonts w:ascii="仿宋_GB2312" w:hAnsi="仿宋_GB2312" w:eastAsia="仿宋_GB2312"/>
          <w:sz w:val="24"/>
        </w:rPr>
        <w:t>内业资料按时上报且齐全</w:t>
      </w:r>
      <w:r>
        <w:rPr>
          <w:rFonts w:hint="eastAsia" w:ascii="仿宋_GB2312" w:hAnsi="仿宋_GB2312" w:eastAsia="仿宋_GB2312"/>
          <w:sz w:val="24"/>
        </w:rPr>
        <w:t>，及时反馈系统问题。保洁内业资料目录详见附录八，若未按时提交，扣</w:t>
      </w:r>
      <w:r>
        <w:rPr>
          <w:rFonts w:ascii="仿宋_GB2312" w:hAnsi="仿宋_GB2312" w:eastAsia="仿宋_GB2312"/>
          <w:sz w:val="24"/>
        </w:rPr>
        <w:t>2</w:t>
      </w:r>
      <w:r>
        <w:rPr>
          <w:rFonts w:hint="eastAsia" w:ascii="仿宋_GB2312" w:hAnsi="仿宋_GB2312" w:eastAsia="仿宋_GB2312"/>
          <w:sz w:val="24"/>
        </w:rPr>
        <w:t>分/项，扣完为止。</w:t>
      </w:r>
    </w:p>
    <w:p w14:paraId="11DE9AD5">
      <w:pPr>
        <w:spacing w:line="360" w:lineRule="auto"/>
        <w:ind w:firstLine="482" w:firstLineChars="200"/>
        <w:jc w:val="both"/>
        <w:textAlignment w:val="auto"/>
        <w:rPr>
          <w:rFonts w:ascii="黑体" w:hAnsi="黑体" w:eastAsia="黑体"/>
          <w:b/>
          <w:bCs/>
          <w:sz w:val="24"/>
        </w:rPr>
      </w:pPr>
      <w:r>
        <w:rPr>
          <w:rFonts w:hint="eastAsia" w:ascii="黑体" w:hAnsi="黑体" w:eastAsia="黑体"/>
          <w:b/>
          <w:bCs/>
          <w:sz w:val="24"/>
        </w:rPr>
        <w:t>二、定性考核（4</w:t>
      </w:r>
      <w:r>
        <w:rPr>
          <w:rFonts w:ascii="黑体" w:hAnsi="黑体" w:eastAsia="黑体"/>
          <w:b/>
          <w:bCs/>
          <w:sz w:val="24"/>
        </w:rPr>
        <w:t>0</w:t>
      </w:r>
      <w:r>
        <w:rPr>
          <w:rFonts w:hint="eastAsia" w:ascii="黑体" w:hAnsi="黑体" w:eastAsia="黑体"/>
          <w:b/>
          <w:bCs/>
          <w:sz w:val="24"/>
        </w:rPr>
        <w:t>分）</w:t>
      </w:r>
    </w:p>
    <w:p w14:paraId="23E69AD2">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（一）外场检查（30分）</w:t>
      </w:r>
    </w:p>
    <w:p w14:paraId="60CE4207">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1</w:t>
      </w:r>
      <w:r>
        <w:rPr>
          <w:rFonts w:ascii="楷体_GB2312" w:hAnsi="宋体" w:eastAsia="楷体_GB2312"/>
          <w:b/>
          <w:bCs/>
          <w:sz w:val="24"/>
        </w:rPr>
        <w:t xml:space="preserve">. </w:t>
      </w:r>
      <w:r>
        <w:rPr>
          <w:rFonts w:hint="eastAsia" w:ascii="楷体_GB2312" w:hAnsi="宋体" w:eastAsia="楷体_GB2312"/>
          <w:b/>
          <w:bCs/>
          <w:sz w:val="24"/>
        </w:rPr>
        <w:t>涂装层（</w:t>
      </w:r>
      <w:r>
        <w:rPr>
          <w:rFonts w:ascii="楷体_GB2312" w:hAnsi="宋体" w:eastAsia="楷体_GB2312"/>
          <w:b/>
          <w:bCs/>
          <w:sz w:val="24"/>
        </w:rPr>
        <w:t>两米以</w:t>
      </w:r>
      <w:r>
        <w:rPr>
          <w:rFonts w:hint="eastAsia" w:ascii="楷体_GB2312" w:hAnsi="宋体" w:eastAsia="楷体_GB2312"/>
          <w:b/>
          <w:bCs/>
          <w:sz w:val="24"/>
        </w:rPr>
        <w:t>上）</w:t>
      </w:r>
    </w:p>
    <w:p w14:paraId="63C7FB48">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满分10分。两米以上涂装层应保持表面清洁，无明显泥尘、污垢，雨后三天无泥渍、污渍，不合格扣0.5分/处，扣完为止。</w:t>
      </w:r>
    </w:p>
    <w:p w14:paraId="09FFD2D9">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2</w:t>
      </w:r>
      <w:r>
        <w:rPr>
          <w:rFonts w:ascii="楷体_GB2312" w:hAnsi="宋体" w:eastAsia="楷体_GB2312"/>
          <w:b/>
          <w:bCs/>
          <w:sz w:val="24"/>
        </w:rPr>
        <w:t xml:space="preserve">. </w:t>
      </w:r>
      <w:r>
        <w:rPr>
          <w:rFonts w:hint="eastAsia" w:ascii="楷体_GB2312" w:hAnsi="宋体" w:eastAsia="楷体_GB2312"/>
          <w:b/>
          <w:bCs/>
          <w:sz w:val="24"/>
        </w:rPr>
        <w:t>涂装层（</w:t>
      </w:r>
      <w:r>
        <w:rPr>
          <w:rFonts w:ascii="楷体_GB2312" w:hAnsi="宋体" w:eastAsia="楷体_GB2312"/>
          <w:b/>
          <w:bCs/>
          <w:sz w:val="24"/>
        </w:rPr>
        <w:t>两米以</w:t>
      </w:r>
      <w:r>
        <w:rPr>
          <w:rFonts w:hint="eastAsia" w:ascii="楷体_GB2312" w:hAnsi="宋体" w:eastAsia="楷体_GB2312"/>
          <w:b/>
          <w:bCs/>
          <w:sz w:val="24"/>
        </w:rPr>
        <w:t>下）</w:t>
      </w:r>
    </w:p>
    <w:p w14:paraId="36489291">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满分10分。两米以下涂装应保持无明显积尘、污垢、锈蚀，不合格扣0.5分/处，扣完为止。</w:t>
      </w:r>
    </w:p>
    <w:p w14:paraId="192BA64F">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3</w:t>
      </w:r>
      <w:r>
        <w:rPr>
          <w:rFonts w:ascii="楷体_GB2312" w:hAnsi="宋体" w:eastAsia="楷体_GB2312"/>
          <w:b/>
          <w:bCs/>
          <w:sz w:val="24"/>
        </w:rPr>
        <w:t xml:space="preserve">. </w:t>
      </w:r>
      <w:r>
        <w:rPr>
          <w:rFonts w:hint="eastAsia" w:ascii="楷体_GB2312" w:hAnsi="宋体" w:eastAsia="楷体_GB2312"/>
          <w:b/>
          <w:bCs/>
          <w:sz w:val="24"/>
        </w:rPr>
        <w:t>涂装层修补</w:t>
      </w:r>
    </w:p>
    <w:p w14:paraId="3A97F22D">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满分5分。涂装层修补应保持表面光滑、洁净、色泽均匀、无抹纹，不合格扣0.5分/处，扣完为止。</w:t>
      </w:r>
    </w:p>
    <w:p w14:paraId="72327B24">
      <w:pPr>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4</w:t>
      </w:r>
      <w:r>
        <w:rPr>
          <w:rFonts w:ascii="楷体_GB2312" w:hAnsi="宋体" w:eastAsia="楷体_GB2312"/>
          <w:b/>
          <w:bCs/>
          <w:sz w:val="24"/>
        </w:rPr>
        <w:t xml:space="preserve">. </w:t>
      </w:r>
      <w:r>
        <w:rPr>
          <w:rFonts w:hint="eastAsia" w:ascii="楷体_GB2312" w:hAnsi="宋体" w:eastAsia="楷体_GB2312"/>
          <w:b/>
          <w:bCs/>
          <w:sz w:val="24"/>
        </w:rPr>
        <w:t>滴水线</w:t>
      </w:r>
    </w:p>
    <w:p w14:paraId="15AB0945">
      <w:pPr>
        <w:spacing w:line="360" w:lineRule="auto"/>
        <w:ind w:firstLine="480" w:firstLineChars="200"/>
        <w:jc w:val="both"/>
        <w:textAlignment w:val="auto"/>
        <w:rPr>
          <w:rFonts w:ascii="仿宋_GB2312" w:hAnsi="仿宋_GB2312" w:eastAsia="仿宋_GB2312"/>
          <w:sz w:val="24"/>
        </w:rPr>
      </w:pPr>
      <w:r>
        <w:rPr>
          <w:rFonts w:hint="eastAsia" w:ascii="仿宋_GB2312" w:hAnsi="仿宋_GB2312" w:eastAsia="仿宋_GB2312"/>
          <w:sz w:val="24"/>
        </w:rPr>
        <w:t>满分5分。滴水线应保持无明显积尘、污垢、锈蚀，不合格扣0.5分/处，扣完为止。</w:t>
      </w:r>
    </w:p>
    <w:p w14:paraId="5D8F52D6">
      <w:pPr>
        <w:numPr>
          <w:ilvl w:val="0"/>
          <w:numId w:val="6"/>
        </w:numPr>
        <w:topLinePunct w:val="0"/>
        <w:adjustRightInd/>
        <w:snapToGrid/>
        <w:spacing w:line="360" w:lineRule="auto"/>
        <w:ind w:firstLine="482" w:firstLineChars="200"/>
        <w:jc w:val="both"/>
        <w:textAlignment w:val="auto"/>
        <w:rPr>
          <w:rFonts w:ascii="楷体_GB2312" w:hAnsi="宋体" w:eastAsia="楷体_GB2312"/>
          <w:b/>
          <w:bCs/>
          <w:sz w:val="24"/>
        </w:rPr>
      </w:pPr>
      <w:r>
        <w:rPr>
          <w:rFonts w:hint="eastAsia" w:ascii="楷体_GB2312" w:hAnsi="宋体" w:eastAsia="楷体_GB2312"/>
          <w:b/>
          <w:bCs/>
          <w:sz w:val="24"/>
        </w:rPr>
        <w:t>安全管理（10分）</w:t>
      </w:r>
    </w:p>
    <w:p w14:paraId="5E69D37A">
      <w:pPr>
        <w:spacing w:line="560" w:lineRule="exact"/>
        <w:ind w:left="479" w:leftChars="228"/>
        <w:rPr>
          <w:rFonts w:ascii="Times New Roman" w:hAnsi="Times New Roman" w:eastAsia="仿宋_GB2312"/>
          <w:sz w:val="24"/>
        </w:rPr>
      </w:pPr>
      <w:r>
        <w:rPr>
          <w:rFonts w:hint="eastAsia" w:ascii="Times New Roman" w:hAnsi="Times New Roman" w:eastAsia="仿宋_GB2312"/>
          <w:sz w:val="24"/>
        </w:rPr>
        <w:t>1、道路养护现场安全标准化落实情况（5 分）</w:t>
      </w:r>
    </w:p>
    <w:p w14:paraId="1CE2D334">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养护单位日常养护中应严格按照《道路交通标志和标线第 4 部分：作业区》（GB 5768.4-2017）、《城市道路养护维修作业安全技术规程》（DG/TJ08-2183-2015）、《上海市高速公路和快速路养护维修安全作业指南》（沪道运安〔2021〕315 号）等相关规范落实安全防范措施。设施负责人或监理单位每季对现场养护安全标准化落实情况进行检查，总分 5分，扣完为止。检查考核表详见附表三。</w:t>
      </w:r>
    </w:p>
    <w:p w14:paraId="44CD2A3D">
      <w:pPr>
        <w:spacing w:line="560" w:lineRule="exact"/>
        <w:ind w:left="479" w:leftChars="228"/>
        <w:rPr>
          <w:rFonts w:ascii="Times New Roman" w:hAnsi="Times New Roman" w:eastAsia="仿宋_GB2312"/>
          <w:sz w:val="24"/>
        </w:rPr>
      </w:pPr>
      <w:r>
        <w:rPr>
          <w:rFonts w:hint="eastAsia" w:ascii="Times New Roman" w:hAnsi="Times New Roman" w:eastAsia="仿宋_GB2312"/>
          <w:sz w:val="24"/>
        </w:rPr>
        <w:t>2、市道运中心安全应急系统填报（1 分）</w:t>
      </w:r>
    </w:p>
    <w:p w14:paraId="0DDA306B">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恶劣天气发生预警信息，需要填报应急物资人员出动情况信息时，养护单位应该规定时间内填报相关信息，未及时填报每次扣 0.5 分，总分 1 分，扣完为止。</w:t>
      </w:r>
    </w:p>
    <w:p w14:paraId="06802C93">
      <w:pPr>
        <w:spacing w:line="560" w:lineRule="exact"/>
        <w:ind w:left="479" w:leftChars="228"/>
        <w:rPr>
          <w:rFonts w:ascii="Times New Roman" w:hAnsi="Times New Roman" w:eastAsia="仿宋_GB2312"/>
          <w:sz w:val="24"/>
        </w:rPr>
      </w:pPr>
      <w:r>
        <w:rPr>
          <w:rFonts w:hint="eastAsia" w:ascii="Times New Roman" w:hAnsi="Times New Roman" w:eastAsia="仿宋_GB2312"/>
          <w:sz w:val="24"/>
        </w:rPr>
        <w:t>3、安全文件宣贯及学习，安全内业资料（2 分）</w:t>
      </w:r>
    </w:p>
    <w:p w14:paraId="7E3AC39D">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养护单位对于中心下发的安全文件要对全体人员及时进行宣贯，并组织学习，并形成记录。安全内业资料需按《上海市道路运输事业发展中心安全管理工作基础台账》“沪道运事安（2020）12 号”进行编制归档，文件宣贯少一份扣 0.5分，内业资料不符合基础台账要求扣 0.5 分，总分 2 分，扣完为止。</w:t>
      </w:r>
    </w:p>
    <w:p w14:paraId="2F6F516D">
      <w:pPr>
        <w:spacing w:line="560" w:lineRule="exact"/>
        <w:ind w:left="479" w:leftChars="228"/>
        <w:rPr>
          <w:rFonts w:ascii="Times New Roman" w:hAnsi="Times New Roman" w:eastAsia="仿宋_GB2312"/>
          <w:sz w:val="24"/>
        </w:rPr>
      </w:pPr>
      <w:r>
        <w:rPr>
          <w:rFonts w:hint="eastAsia" w:ascii="Times New Roman" w:hAnsi="Times New Roman" w:eastAsia="仿宋_GB2312"/>
          <w:sz w:val="24"/>
        </w:rPr>
        <w:t>4、养护基地管理（2 分）</w:t>
      </w:r>
    </w:p>
    <w:p w14:paraId="5C9391F2">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养护单位日常养护做好管理中心及应急基地的管理。使用桥下空间的需符合《上海市道路桥梁桥下空间内设施设置准则》；设施负责人或监理单位每季对现场养护安全标准化落实情况进行检查，总分 2 分，扣完为止。检查考核表详见附表四。</w:t>
      </w:r>
    </w:p>
    <w:p w14:paraId="2452D878">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 xml:space="preserve">   5、安全生产事故</w:t>
      </w:r>
    </w:p>
    <w:p w14:paraId="1947281F">
      <w:pPr>
        <w:spacing w:line="560" w:lineRule="exact"/>
        <w:ind w:firstLine="480" w:firstLineChars="200"/>
        <w:rPr>
          <w:rFonts w:ascii="Times New Roman" w:hAnsi="Times New Roman" w:eastAsia="仿宋_GB2312"/>
          <w:sz w:val="24"/>
        </w:rPr>
      </w:pPr>
      <w:r>
        <w:rPr>
          <w:rFonts w:hint="eastAsia" w:ascii="Times New Roman" w:hAnsi="Times New Roman" w:eastAsia="仿宋_GB2312"/>
          <w:sz w:val="24"/>
        </w:rPr>
        <w:t>养护单位要确保主体设施、附属设施运行安全，无安全隐患。日常养护项目、专项整治项目、养护基地不得发生安全生产事故。发生单次有责事故造成 1 人及以上死亡的扣 10分，单次有责事故扣 5 分；总分 10 分，扣完为止。</w:t>
      </w:r>
    </w:p>
    <w:p w14:paraId="59DAED66">
      <w:pPr>
        <w:spacing w:line="360" w:lineRule="auto"/>
        <w:ind w:firstLine="482" w:firstLineChars="200"/>
        <w:jc w:val="both"/>
        <w:rPr>
          <w:rFonts w:eastAsia="楷体_GB2312"/>
          <w:b/>
          <w:szCs w:val="21"/>
        </w:rPr>
      </w:pPr>
      <w:bookmarkStart w:id="15" w:name="OLE_LINK5"/>
      <w:r>
        <w:rPr>
          <w:rFonts w:eastAsia="黑体"/>
          <w:b/>
          <w:sz w:val="24"/>
        </w:rPr>
        <w:t>三、专项评分</w:t>
      </w:r>
    </w:p>
    <w:p w14:paraId="3ED24E7A">
      <w:pPr>
        <w:spacing w:line="360" w:lineRule="auto"/>
        <w:ind w:firstLine="482" w:firstLineChars="200"/>
        <w:jc w:val="both"/>
        <w:rPr>
          <w:rFonts w:eastAsia="楷体_GB2312"/>
          <w:b/>
          <w:sz w:val="24"/>
        </w:rPr>
      </w:pPr>
      <w:r>
        <w:rPr>
          <w:rFonts w:eastAsia="楷体_GB2312"/>
          <w:b/>
          <w:sz w:val="24"/>
        </w:rPr>
        <w:t>（一）专项扣分</w:t>
      </w:r>
    </w:p>
    <w:p w14:paraId="251971CB">
      <w:pPr>
        <w:spacing w:line="360" w:lineRule="auto"/>
        <w:ind w:firstLine="480" w:firstLineChars="200"/>
        <w:jc w:val="both"/>
        <w:rPr>
          <w:rFonts w:eastAsia="仿宋_GB2312"/>
          <w:sz w:val="24"/>
        </w:rPr>
      </w:pPr>
      <w:r>
        <w:rPr>
          <w:rFonts w:eastAsia="仿宋_GB2312"/>
          <w:sz w:val="24"/>
        </w:rPr>
        <w:t>发生下列情况之一的，在</w:t>
      </w:r>
      <w:r>
        <w:rPr>
          <w:rFonts w:hint="eastAsia" w:eastAsia="仿宋_GB2312"/>
          <w:sz w:val="24"/>
        </w:rPr>
        <w:t>季度</w:t>
      </w:r>
      <w:r>
        <w:rPr>
          <w:rFonts w:eastAsia="仿宋_GB2312"/>
          <w:sz w:val="24"/>
        </w:rPr>
        <w:t>考核的基础上另行扣除专项分数</w:t>
      </w:r>
      <w:r>
        <w:rPr>
          <w:rFonts w:hint="eastAsia" w:eastAsia="仿宋_GB2312"/>
          <w:sz w:val="24"/>
        </w:rPr>
        <w:t>，详见下表。</w:t>
      </w:r>
    </w:p>
    <w:p w14:paraId="5C2F398F">
      <w:pPr>
        <w:spacing w:before="120" w:beforeLines="50"/>
        <w:ind w:firstLine="220"/>
        <w:jc w:val="center"/>
        <w:rPr>
          <w:rFonts w:eastAsia="黑体"/>
          <w:sz w:val="22"/>
          <w:szCs w:val="22"/>
        </w:rPr>
      </w:pPr>
      <w:r>
        <w:rPr>
          <w:rFonts w:eastAsia="黑体"/>
          <w:sz w:val="22"/>
          <w:szCs w:val="22"/>
        </w:rPr>
        <w:t>表</w:t>
      </w:r>
      <w:r>
        <w:rPr>
          <w:rFonts w:eastAsia="黑体"/>
          <w:sz w:val="22"/>
          <w:szCs w:val="22"/>
        </w:rPr>
        <w:fldChar w:fldCharType="begin"/>
      </w:r>
      <w:r>
        <w:rPr>
          <w:rFonts w:eastAsia="黑体"/>
          <w:sz w:val="22"/>
          <w:szCs w:val="22"/>
        </w:rPr>
        <w:instrText xml:space="preserve"> SEQ 表 \* ARABIC </w:instrText>
      </w:r>
      <w:r>
        <w:rPr>
          <w:rFonts w:eastAsia="黑体"/>
          <w:sz w:val="22"/>
          <w:szCs w:val="22"/>
        </w:rPr>
        <w:fldChar w:fldCharType="separate"/>
      </w:r>
      <w:r>
        <w:rPr>
          <w:rFonts w:eastAsia="黑体"/>
          <w:sz w:val="22"/>
          <w:szCs w:val="22"/>
        </w:rPr>
        <w:t>1</w:t>
      </w:r>
      <w:r>
        <w:rPr>
          <w:rFonts w:eastAsia="黑体"/>
          <w:sz w:val="22"/>
          <w:szCs w:val="22"/>
        </w:rPr>
        <w:fldChar w:fldCharType="end"/>
      </w:r>
      <w:r>
        <w:rPr>
          <w:rFonts w:eastAsia="黑体"/>
          <w:sz w:val="22"/>
          <w:szCs w:val="22"/>
        </w:rPr>
        <w:t xml:space="preserve"> </w:t>
      </w:r>
      <w:r>
        <w:rPr>
          <w:rFonts w:hint="eastAsia" w:eastAsia="黑体"/>
          <w:sz w:val="22"/>
          <w:szCs w:val="22"/>
        </w:rPr>
        <w:t>附属</w:t>
      </w:r>
      <w:r>
        <w:rPr>
          <w:rFonts w:eastAsia="黑体"/>
          <w:sz w:val="22"/>
          <w:szCs w:val="22"/>
        </w:rPr>
        <w:t>设施养护运维</w:t>
      </w:r>
      <w:r>
        <w:rPr>
          <w:rFonts w:hint="eastAsia" w:eastAsia="黑体"/>
          <w:sz w:val="22"/>
          <w:szCs w:val="22"/>
        </w:rPr>
        <w:t>季度</w:t>
      </w:r>
      <w:r>
        <w:rPr>
          <w:rFonts w:eastAsia="黑体"/>
          <w:sz w:val="22"/>
          <w:szCs w:val="22"/>
        </w:rPr>
        <w:t>考核专项扣分表</w:t>
      </w:r>
    </w:p>
    <w:tbl>
      <w:tblPr>
        <w:tblStyle w:val="3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384"/>
        <w:gridCol w:w="5704"/>
        <w:gridCol w:w="1701"/>
      </w:tblGrid>
      <w:tr w14:paraId="385A4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blHeader/>
          <w:jc w:val="center"/>
        </w:trPr>
        <w:tc>
          <w:tcPr>
            <w:tcW w:w="704" w:type="dxa"/>
            <w:vAlign w:val="center"/>
          </w:tcPr>
          <w:p w14:paraId="1AC0015D">
            <w:pPr>
              <w:jc w:val="center"/>
              <w:rPr>
                <w:rFonts w:eastAsia="仿宋_GB2312"/>
                <w:b/>
                <w:bCs/>
                <w:kern w:val="0"/>
              </w:rPr>
            </w:pPr>
            <w:r>
              <w:rPr>
                <w:rFonts w:eastAsia="仿宋_GB2312"/>
                <w:b/>
                <w:bCs/>
                <w:kern w:val="0"/>
              </w:rPr>
              <w:t>序号</w:t>
            </w:r>
          </w:p>
        </w:tc>
        <w:tc>
          <w:tcPr>
            <w:tcW w:w="1384" w:type="dxa"/>
            <w:vAlign w:val="center"/>
          </w:tcPr>
          <w:p w14:paraId="5300FB2A">
            <w:pPr>
              <w:jc w:val="center"/>
              <w:rPr>
                <w:rFonts w:eastAsia="仿宋_GB2312"/>
                <w:b/>
                <w:bCs/>
                <w:kern w:val="0"/>
              </w:rPr>
            </w:pPr>
            <w:r>
              <w:rPr>
                <w:rFonts w:eastAsia="仿宋_GB2312"/>
                <w:b/>
                <w:bCs/>
                <w:kern w:val="0"/>
              </w:rPr>
              <w:t>分类</w:t>
            </w:r>
          </w:p>
        </w:tc>
        <w:tc>
          <w:tcPr>
            <w:tcW w:w="5704" w:type="dxa"/>
            <w:vAlign w:val="center"/>
          </w:tcPr>
          <w:p w14:paraId="67B064CE">
            <w:pPr>
              <w:jc w:val="center"/>
              <w:rPr>
                <w:rFonts w:eastAsia="仿宋_GB2312"/>
                <w:b/>
                <w:bCs/>
                <w:kern w:val="0"/>
              </w:rPr>
            </w:pPr>
            <w:r>
              <w:rPr>
                <w:rFonts w:eastAsia="仿宋_GB2312"/>
                <w:b/>
                <w:bCs/>
                <w:kern w:val="0"/>
              </w:rPr>
              <w:t>扣分事由</w:t>
            </w:r>
          </w:p>
        </w:tc>
        <w:tc>
          <w:tcPr>
            <w:tcW w:w="1701" w:type="dxa"/>
            <w:vAlign w:val="center"/>
          </w:tcPr>
          <w:p w14:paraId="751817E9">
            <w:pPr>
              <w:jc w:val="center"/>
              <w:rPr>
                <w:rFonts w:eastAsia="仿宋_GB2312"/>
                <w:b/>
                <w:bCs/>
                <w:kern w:val="0"/>
              </w:rPr>
            </w:pPr>
            <w:r>
              <w:rPr>
                <w:rFonts w:eastAsia="仿宋_GB2312"/>
                <w:b/>
                <w:bCs/>
                <w:kern w:val="0"/>
              </w:rPr>
              <w:t>扣分准则</w:t>
            </w:r>
          </w:p>
        </w:tc>
      </w:tr>
      <w:tr w14:paraId="64C4E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A67454D">
            <w:pPr>
              <w:jc w:val="center"/>
              <w:rPr>
                <w:rFonts w:eastAsia="仿宋_GB2312"/>
                <w:kern w:val="0"/>
              </w:rPr>
            </w:pPr>
            <w:r>
              <w:rPr>
                <w:rFonts w:eastAsia="仿宋_GB2312"/>
                <w:kern w:val="0"/>
              </w:rPr>
              <w:t>1</w:t>
            </w:r>
          </w:p>
        </w:tc>
        <w:tc>
          <w:tcPr>
            <w:tcW w:w="1384" w:type="dxa"/>
            <w:vMerge w:val="restart"/>
            <w:vAlign w:val="center"/>
          </w:tcPr>
          <w:p w14:paraId="66DAA164">
            <w:pPr>
              <w:jc w:val="center"/>
              <w:rPr>
                <w:rFonts w:eastAsia="仿宋_GB2312"/>
                <w:kern w:val="0"/>
              </w:rPr>
            </w:pPr>
            <w:r>
              <w:rPr>
                <w:rFonts w:eastAsia="仿宋_GB2312"/>
                <w:kern w:val="0"/>
              </w:rPr>
              <w:t>管理要求</w:t>
            </w:r>
          </w:p>
          <w:p w14:paraId="6C6E746F">
            <w:pPr>
              <w:jc w:val="center"/>
              <w:rPr>
                <w:rFonts w:eastAsia="仿宋_GB2312"/>
                <w:kern w:val="0"/>
              </w:rPr>
            </w:pPr>
            <w:r>
              <w:rPr>
                <w:rFonts w:eastAsia="仿宋_GB2312"/>
                <w:kern w:val="0"/>
              </w:rPr>
              <w:t>执行</w:t>
            </w:r>
          </w:p>
        </w:tc>
        <w:tc>
          <w:tcPr>
            <w:tcW w:w="5704" w:type="dxa"/>
            <w:vAlign w:val="center"/>
          </w:tcPr>
          <w:p w14:paraId="6475B0DF">
            <w:pPr>
              <w:rPr>
                <w:rFonts w:eastAsia="仿宋_GB2312"/>
                <w:kern w:val="0"/>
              </w:rPr>
            </w:pPr>
            <w:r>
              <w:rPr>
                <w:rFonts w:eastAsia="仿宋_GB2312"/>
                <w:kern w:val="0"/>
              </w:rPr>
              <w:t>社会舆论和信访投诉：</w:t>
            </w:r>
          </w:p>
          <w:p w14:paraId="120F403E">
            <w:pPr>
              <w:rPr>
                <w:rFonts w:eastAsia="仿宋_GB2312"/>
                <w:kern w:val="0"/>
              </w:rPr>
            </w:pPr>
            <w:r>
              <w:rPr>
                <w:rFonts w:eastAsia="仿宋_GB2312"/>
                <w:kern w:val="0"/>
              </w:rPr>
              <w:t>未在规定时间内及时妥善处理人民来信、来电、来访等诉求工单和社会投诉，每次扣2分；</w:t>
            </w:r>
          </w:p>
          <w:p w14:paraId="6E204D35">
            <w:pPr>
              <w:rPr>
                <w:rFonts w:eastAsia="仿宋_GB2312"/>
                <w:kern w:val="0"/>
              </w:rPr>
            </w:pPr>
            <w:r>
              <w:rPr>
                <w:rFonts w:eastAsia="仿宋_GB2312"/>
                <w:kern w:val="0"/>
              </w:rPr>
              <w:t>行业、业主、上级部门点名批评或书面通报，每次扣3分；</w:t>
            </w:r>
          </w:p>
          <w:p w14:paraId="683EDD6B">
            <w:pPr>
              <w:rPr>
                <w:rFonts w:eastAsia="仿宋_GB2312"/>
                <w:kern w:val="0"/>
              </w:rPr>
            </w:pPr>
            <w:r>
              <w:rPr>
                <w:rFonts w:eastAsia="仿宋_GB2312"/>
                <w:kern w:val="0"/>
              </w:rPr>
              <w:t>有责并被社会新闻媒体公开负面报道或造成严重舆情影响，每次扣5分。</w:t>
            </w:r>
          </w:p>
        </w:tc>
        <w:tc>
          <w:tcPr>
            <w:tcW w:w="1701" w:type="dxa"/>
            <w:vAlign w:val="center"/>
          </w:tcPr>
          <w:p w14:paraId="4EC132C1">
            <w:pPr>
              <w:rPr>
                <w:rFonts w:eastAsia="仿宋_GB2312"/>
                <w:kern w:val="0"/>
              </w:rPr>
            </w:pPr>
            <w:r>
              <w:rPr>
                <w:rFonts w:eastAsia="仿宋_GB2312"/>
                <w:kern w:val="0"/>
              </w:rPr>
              <w:t>每次扣2~5分</w:t>
            </w:r>
          </w:p>
        </w:tc>
      </w:tr>
      <w:tr w14:paraId="0A99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16A1E7E">
            <w:pPr>
              <w:jc w:val="center"/>
              <w:rPr>
                <w:rFonts w:eastAsia="仿宋_GB2312"/>
                <w:kern w:val="0"/>
              </w:rPr>
            </w:pPr>
            <w:r>
              <w:rPr>
                <w:rFonts w:eastAsia="仿宋_GB2312"/>
                <w:kern w:val="0"/>
              </w:rPr>
              <w:t>2</w:t>
            </w:r>
          </w:p>
        </w:tc>
        <w:tc>
          <w:tcPr>
            <w:tcW w:w="1384" w:type="dxa"/>
            <w:vMerge w:val="continue"/>
            <w:vAlign w:val="center"/>
          </w:tcPr>
          <w:p w14:paraId="0F20B938">
            <w:pPr>
              <w:jc w:val="center"/>
              <w:rPr>
                <w:rFonts w:eastAsia="仿宋_GB2312"/>
                <w:kern w:val="0"/>
              </w:rPr>
            </w:pPr>
          </w:p>
        </w:tc>
        <w:tc>
          <w:tcPr>
            <w:tcW w:w="5704" w:type="dxa"/>
            <w:vAlign w:val="center"/>
          </w:tcPr>
          <w:p w14:paraId="756E4D1E">
            <w:pPr>
              <w:rPr>
                <w:rFonts w:eastAsia="仿宋_GB2312"/>
                <w:kern w:val="0"/>
              </w:rPr>
            </w:pPr>
            <w:r>
              <w:rPr>
                <w:rFonts w:eastAsia="仿宋_GB2312"/>
                <w:kern w:val="0"/>
              </w:rPr>
              <w:t>人员车辆和设施资源管理：</w:t>
            </w:r>
          </w:p>
          <w:p w14:paraId="23916572">
            <w:pPr>
              <w:rPr>
                <w:rFonts w:eastAsia="仿宋_GB2312"/>
                <w:kern w:val="0"/>
              </w:rPr>
            </w:pPr>
            <w:r>
              <w:rPr>
                <w:rFonts w:eastAsia="仿宋_GB2312"/>
                <w:kern w:val="0"/>
              </w:rPr>
              <w:t>项目管理人员、车辆设备和材料未按招标文件所规定的数量、规格配置到位，每次每项扣1分；</w:t>
            </w:r>
          </w:p>
          <w:p w14:paraId="1BED8F79">
            <w:pPr>
              <w:rPr>
                <w:rFonts w:eastAsia="仿宋_GB2312"/>
                <w:kern w:val="0"/>
              </w:rPr>
            </w:pPr>
            <w:r>
              <w:rPr>
                <w:rFonts w:eastAsia="仿宋_GB2312"/>
                <w:kern w:val="0"/>
              </w:rPr>
              <w:t>擅自出租、出借、挪用设施设备和违规使用或侵占附属设施、应标资源，造成恶劣影响，每次扣5分。</w:t>
            </w:r>
          </w:p>
        </w:tc>
        <w:tc>
          <w:tcPr>
            <w:tcW w:w="1701" w:type="dxa"/>
            <w:vAlign w:val="center"/>
          </w:tcPr>
          <w:p w14:paraId="03A5CC42">
            <w:pPr>
              <w:rPr>
                <w:rFonts w:eastAsia="仿宋_GB2312"/>
                <w:kern w:val="0"/>
              </w:rPr>
            </w:pPr>
            <w:r>
              <w:rPr>
                <w:rFonts w:eastAsia="仿宋_GB2312"/>
                <w:kern w:val="0"/>
              </w:rPr>
              <w:t>每次扣1~5分</w:t>
            </w:r>
          </w:p>
        </w:tc>
      </w:tr>
      <w:tr w14:paraId="1B1C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45D0F773">
            <w:pPr>
              <w:jc w:val="center"/>
              <w:rPr>
                <w:rFonts w:eastAsia="仿宋_GB2312"/>
                <w:kern w:val="0"/>
              </w:rPr>
            </w:pPr>
            <w:r>
              <w:rPr>
                <w:rFonts w:eastAsia="仿宋_GB2312"/>
                <w:kern w:val="0"/>
              </w:rPr>
              <w:t>3</w:t>
            </w:r>
          </w:p>
        </w:tc>
        <w:tc>
          <w:tcPr>
            <w:tcW w:w="1384" w:type="dxa"/>
            <w:vMerge w:val="continue"/>
            <w:vAlign w:val="center"/>
          </w:tcPr>
          <w:p w14:paraId="7CB1D81B">
            <w:pPr>
              <w:jc w:val="center"/>
              <w:rPr>
                <w:rFonts w:eastAsia="仿宋_GB2312"/>
                <w:kern w:val="0"/>
              </w:rPr>
            </w:pPr>
          </w:p>
        </w:tc>
        <w:tc>
          <w:tcPr>
            <w:tcW w:w="5704" w:type="dxa"/>
            <w:vAlign w:val="center"/>
          </w:tcPr>
          <w:p w14:paraId="4DBC8223">
            <w:pPr>
              <w:rPr>
                <w:rFonts w:eastAsia="仿宋_GB2312"/>
                <w:kern w:val="0"/>
              </w:rPr>
            </w:pPr>
            <w:r>
              <w:rPr>
                <w:rFonts w:eastAsia="仿宋_GB2312"/>
                <w:kern w:val="0"/>
              </w:rPr>
              <w:t>重要条款响应：</w:t>
            </w:r>
          </w:p>
          <w:p w14:paraId="53D95C25">
            <w:pPr>
              <w:rPr>
                <w:rFonts w:eastAsia="仿宋_GB2312"/>
                <w:kern w:val="0"/>
              </w:rPr>
            </w:pPr>
            <w:r>
              <w:rPr>
                <w:rFonts w:eastAsia="仿宋_GB2312"/>
                <w:kern w:val="0"/>
              </w:rPr>
              <w:t>在网签合同生成后的15日内（国家法定节假日除外），未提交软件版投标报价文件，每次扣2分；</w:t>
            </w:r>
          </w:p>
          <w:p w14:paraId="54B0D2B4">
            <w:pPr>
              <w:rPr>
                <w:rFonts w:eastAsia="仿宋_GB2312"/>
                <w:kern w:val="0"/>
              </w:rPr>
            </w:pPr>
            <w:r>
              <w:rPr>
                <w:rFonts w:eastAsia="仿宋_GB2312"/>
                <w:kern w:val="0"/>
              </w:rPr>
              <w:t>未严格按照养护资金监管相关管理办法及要求提供相关依据、配合实施请款工作，每次扣2分。</w:t>
            </w:r>
          </w:p>
        </w:tc>
        <w:tc>
          <w:tcPr>
            <w:tcW w:w="1701" w:type="dxa"/>
            <w:vAlign w:val="center"/>
          </w:tcPr>
          <w:p w14:paraId="1E902660">
            <w:pPr>
              <w:rPr>
                <w:rFonts w:eastAsia="仿宋_GB2312"/>
                <w:kern w:val="0"/>
              </w:rPr>
            </w:pPr>
            <w:r>
              <w:rPr>
                <w:rFonts w:eastAsia="仿宋_GB2312"/>
                <w:kern w:val="0"/>
              </w:rPr>
              <w:t>每次扣2分</w:t>
            </w:r>
          </w:p>
        </w:tc>
      </w:tr>
      <w:tr w14:paraId="2D6BC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3E2385DC">
            <w:pPr>
              <w:jc w:val="center"/>
              <w:rPr>
                <w:rFonts w:eastAsia="仿宋_GB2312"/>
                <w:kern w:val="0"/>
              </w:rPr>
            </w:pPr>
            <w:r>
              <w:rPr>
                <w:rFonts w:eastAsia="仿宋_GB2312"/>
                <w:kern w:val="0"/>
              </w:rPr>
              <w:t>4</w:t>
            </w:r>
          </w:p>
        </w:tc>
        <w:tc>
          <w:tcPr>
            <w:tcW w:w="1384" w:type="dxa"/>
            <w:vMerge w:val="continue"/>
            <w:vAlign w:val="center"/>
          </w:tcPr>
          <w:p w14:paraId="73D31E7D">
            <w:pPr>
              <w:jc w:val="center"/>
              <w:rPr>
                <w:rFonts w:eastAsia="仿宋_GB2312"/>
                <w:kern w:val="0"/>
              </w:rPr>
            </w:pPr>
          </w:p>
        </w:tc>
        <w:tc>
          <w:tcPr>
            <w:tcW w:w="5704" w:type="dxa"/>
            <w:vAlign w:val="center"/>
          </w:tcPr>
          <w:p w14:paraId="05458BE3">
            <w:pPr>
              <w:rPr>
                <w:rFonts w:eastAsia="仿宋_GB2312"/>
                <w:kern w:val="0"/>
              </w:rPr>
            </w:pPr>
            <w:r>
              <w:rPr>
                <w:rFonts w:eastAsia="仿宋_GB2312"/>
                <w:kern w:val="0"/>
              </w:rPr>
              <w:t>智慧化工作推进：</w:t>
            </w:r>
          </w:p>
          <w:p w14:paraId="58143B49">
            <w:pPr>
              <w:rPr>
                <w:rFonts w:eastAsia="仿宋_GB2312"/>
                <w:kern w:val="0"/>
              </w:rPr>
            </w:pPr>
            <w:r>
              <w:rPr>
                <w:rFonts w:eastAsia="仿宋_GB2312"/>
                <w:kern w:val="0"/>
              </w:rPr>
              <w:t>未配置智能巡检设备或智能巡检设备未处于良好运行状态的，每次扣1分；</w:t>
            </w:r>
          </w:p>
          <w:p w14:paraId="1B3345B9">
            <w:pPr>
              <w:rPr>
                <w:rFonts w:eastAsia="仿宋_GB2312"/>
                <w:kern w:val="0"/>
              </w:rPr>
            </w:pPr>
            <w:r>
              <w:rPr>
                <w:rFonts w:eastAsia="仿宋_GB2312"/>
                <w:kern w:val="0"/>
              </w:rPr>
              <w:t>未按要求响应落实智慧化、信息化管理工作，由云路或中心发现未按要求报送数据、附件，每次扣2分。</w:t>
            </w:r>
          </w:p>
        </w:tc>
        <w:tc>
          <w:tcPr>
            <w:tcW w:w="1701" w:type="dxa"/>
            <w:vAlign w:val="center"/>
          </w:tcPr>
          <w:p w14:paraId="19069AC2">
            <w:pPr>
              <w:rPr>
                <w:rFonts w:eastAsia="仿宋_GB2312"/>
                <w:kern w:val="0"/>
              </w:rPr>
            </w:pPr>
            <w:r>
              <w:rPr>
                <w:rFonts w:eastAsia="仿宋_GB2312"/>
                <w:kern w:val="0"/>
              </w:rPr>
              <w:t>每次扣1~2分</w:t>
            </w:r>
          </w:p>
        </w:tc>
      </w:tr>
      <w:tr w14:paraId="0A839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A00EBDB">
            <w:pPr>
              <w:jc w:val="center"/>
              <w:rPr>
                <w:rFonts w:eastAsia="仿宋_GB2312"/>
                <w:kern w:val="0"/>
              </w:rPr>
            </w:pPr>
            <w:r>
              <w:rPr>
                <w:rFonts w:eastAsia="仿宋_GB2312"/>
                <w:kern w:val="0"/>
              </w:rPr>
              <w:t>5</w:t>
            </w:r>
          </w:p>
        </w:tc>
        <w:tc>
          <w:tcPr>
            <w:tcW w:w="1384" w:type="dxa"/>
            <w:vAlign w:val="center"/>
          </w:tcPr>
          <w:p w14:paraId="3064F6B1">
            <w:pPr>
              <w:jc w:val="center"/>
              <w:rPr>
                <w:rFonts w:eastAsia="仿宋_GB2312"/>
                <w:kern w:val="0"/>
              </w:rPr>
            </w:pPr>
            <w:r>
              <w:rPr>
                <w:rFonts w:eastAsia="仿宋_GB2312"/>
                <w:kern w:val="0"/>
              </w:rPr>
              <w:t>养护作业</w:t>
            </w:r>
          </w:p>
        </w:tc>
        <w:tc>
          <w:tcPr>
            <w:tcW w:w="5704" w:type="dxa"/>
            <w:vAlign w:val="center"/>
          </w:tcPr>
          <w:p w14:paraId="2C58BEBE">
            <w:pPr>
              <w:rPr>
                <w:rFonts w:eastAsia="仿宋_GB2312"/>
                <w:kern w:val="0"/>
              </w:rPr>
            </w:pPr>
            <w:r>
              <w:rPr>
                <w:rFonts w:eastAsia="仿宋_GB2312"/>
                <w:kern w:val="0"/>
              </w:rPr>
              <w:t>对市道运中心委托的第三方单位（专业检测、专业网格化巡查等）发现的问题、病害或缺陷，未及时整改或采取措施，每次扣1分；</w:t>
            </w:r>
          </w:p>
          <w:p w14:paraId="639A3BB7">
            <w:pPr>
              <w:rPr>
                <w:rFonts w:eastAsia="仿宋_GB2312"/>
                <w:kern w:val="0"/>
              </w:rPr>
            </w:pPr>
            <w:r>
              <w:rPr>
                <w:rFonts w:eastAsia="仿宋_GB2312"/>
                <w:kern w:val="0"/>
              </w:rPr>
              <w:t>未针对各类检测报告中指出的问题进行有效处置，造成设施病害缺陷加剧、人员财产损失或影响正常通行，每次扣3分。</w:t>
            </w:r>
          </w:p>
        </w:tc>
        <w:tc>
          <w:tcPr>
            <w:tcW w:w="1701" w:type="dxa"/>
            <w:vAlign w:val="center"/>
          </w:tcPr>
          <w:p w14:paraId="2EF1BA44">
            <w:pPr>
              <w:rPr>
                <w:rFonts w:eastAsia="仿宋_GB2312"/>
                <w:kern w:val="0"/>
              </w:rPr>
            </w:pPr>
            <w:r>
              <w:rPr>
                <w:rFonts w:eastAsia="仿宋_GB2312"/>
                <w:kern w:val="0"/>
              </w:rPr>
              <w:t>每次扣1~3分</w:t>
            </w:r>
          </w:p>
        </w:tc>
      </w:tr>
      <w:tr w14:paraId="76615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4CEC10A">
            <w:pPr>
              <w:jc w:val="center"/>
              <w:rPr>
                <w:rFonts w:eastAsia="仿宋_GB2312"/>
                <w:kern w:val="0"/>
              </w:rPr>
            </w:pPr>
            <w:r>
              <w:rPr>
                <w:rFonts w:eastAsia="仿宋_GB2312"/>
                <w:kern w:val="0"/>
              </w:rPr>
              <w:t>6</w:t>
            </w:r>
          </w:p>
        </w:tc>
        <w:tc>
          <w:tcPr>
            <w:tcW w:w="1384" w:type="dxa"/>
            <w:vAlign w:val="center"/>
          </w:tcPr>
          <w:p w14:paraId="3AD08396">
            <w:pPr>
              <w:jc w:val="center"/>
              <w:rPr>
                <w:rFonts w:eastAsia="仿宋_GB2312"/>
                <w:kern w:val="0"/>
              </w:rPr>
            </w:pPr>
            <w:r>
              <w:rPr>
                <w:rFonts w:eastAsia="仿宋_GB2312"/>
                <w:kern w:val="0"/>
              </w:rPr>
              <w:t>运维保障</w:t>
            </w:r>
          </w:p>
        </w:tc>
        <w:tc>
          <w:tcPr>
            <w:tcW w:w="5704" w:type="dxa"/>
            <w:vAlign w:val="center"/>
          </w:tcPr>
          <w:p w14:paraId="6C54DB25">
            <w:pPr>
              <w:rPr>
                <w:rFonts w:eastAsia="仿宋_GB2312"/>
                <w:kern w:val="0"/>
              </w:rPr>
            </w:pPr>
            <w:r>
              <w:rPr>
                <w:rFonts w:eastAsia="仿宋_GB2312"/>
                <w:kern w:val="0"/>
              </w:rPr>
              <w:t>未能按时、保质保量完成重大任务或指令要求，每次扣3分；</w:t>
            </w:r>
          </w:p>
          <w:p w14:paraId="0E68097D">
            <w:pPr>
              <w:rPr>
                <w:rFonts w:eastAsia="仿宋_GB2312"/>
                <w:kern w:val="0"/>
              </w:rPr>
            </w:pPr>
            <w:r>
              <w:rPr>
                <w:rFonts w:eastAsia="仿宋_GB2312"/>
                <w:kern w:val="0"/>
              </w:rPr>
              <w:t>风险隐患、险情或重大事件存在不报、瞒报、误报、处置不力，造成设施人员财产损失或严重影响交通运行，每次扣3分。</w:t>
            </w:r>
          </w:p>
        </w:tc>
        <w:tc>
          <w:tcPr>
            <w:tcW w:w="1701" w:type="dxa"/>
            <w:vAlign w:val="center"/>
          </w:tcPr>
          <w:p w14:paraId="4840BB61">
            <w:pPr>
              <w:rPr>
                <w:rFonts w:eastAsia="仿宋_GB2312"/>
                <w:kern w:val="0"/>
              </w:rPr>
            </w:pPr>
            <w:r>
              <w:rPr>
                <w:rFonts w:eastAsia="仿宋_GB2312"/>
                <w:kern w:val="0"/>
              </w:rPr>
              <w:t>每次扣3分</w:t>
            </w:r>
          </w:p>
        </w:tc>
      </w:tr>
      <w:tr w14:paraId="3864D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E4EBE2D">
            <w:pPr>
              <w:jc w:val="center"/>
              <w:rPr>
                <w:rFonts w:eastAsia="仿宋_GB2312"/>
                <w:kern w:val="0"/>
              </w:rPr>
            </w:pPr>
            <w:r>
              <w:rPr>
                <w:rFonts w:eastAsia="仿宋_GB2312"/>
                <w:kern w:val="0"/>
              </w:rPr>
              <w:t>7</w:t>
            </w:r>
          </w:p>
        </w:tc>
        <w:tc>
          <w:tcPr>
            <w:tcW w:w="1384" w:type="dxa"/>
            <w:vAlign w:val="center"/>
          </w:tcPr>
          <w:p w14:paraId="7DE26B62">
            <w:pPr>
              <w:jc w:val="center"/>
              <w:rPr>
                <w:rFonts w:eastAsia="仿宋_GB2312"/>
                <w:kern w:val="0"/>
              </w:rPr>
            </w:pPr>
            <w:r>
              <w:rPr>
                <w:rFonts w:eastAsia="仿宋_GB2312"/>
                <w:kern w:val="0"/>
              </w:rPr>
              <w:t>安全生产和应急处置</w:t>
            </w:r>
          </w:p>
        </w:tc>
        <w:tc>
          <w:tcPr>
            <w:tcW w:w="5704" w:type="dxa"/>
            <w:vAlign w:val="center"/>
          </w:tcPr>
          <w:p w14:paraId="723E80CA">
            <w:pPr>
              <w:rPr>
                <w:rFonts w:eastAsia="仿宋_GB2312"/>
                <w:kern w:val="0"/>
              </w:rPr>
            </w:pPr>
            <w:r>
              <w:rPr>
                <w:rFonts w:eastAsia="仿宋_GB2312"/>
                <w:kern w:val="0"/>
              </w:rPr>
              <w:t>因养护运维作业质量不达标，影响设施运行安全或交通运行、受到行业主管部门严肃批评问责或引起社会舆论反响等，每次扣3分；</w:t>
            </w:r>
          </w:p>
          <w:p w14:paraId="62DFBEB1">
            <w:pPr>
              <w:rPr>
                <w:rFonts w:eastAsia="仿宋_GB2312"/>
                <w:kern w:val="0"/>
              </w:rPr>
            </w:pPr>
            <w:r>
              <w:rPr>
                <w:rFonts w:eastAsia="仿宋_GB2312"/>
                <w:kern w:val="0"/>
              </w:rPr>
              <w:t>因养护运维管理或作业行为的缺失、违规，造成设施人员财产损失或导致第三方发生安全事故、引起次生灾害，每次扣5分；</w:t>
            </w:r>
          </w:p>
          <w:p w14:paraId="3CA36923">
            <w:pPr>
              <w:rPr>
                <w:rFonts w:eastAsia="仿宋_GB2312"/>
                <w:kern w:val="0"/>
              </w:rPr>
            </w:pPr>
            <w:r>
              <w:rPr>
                <w:rFonts w:eastAsia="仿宋_GB2312"/>
                <w:kern w:val="0"/>
              </w:rPr>
              <w:t>发生有责生产安全事故，造成人员死亡、重伤或致使设施出现重大结构安全隐患，每次扣10分。</w:t>
            </w:r>
          </w:p>
        </w:tc>
        <w:tc>
          <w:tcPr>
            <w:tcW w:w="1701" w:type="dxa"/>
            <w:vAlign w:val="center"/>
          </w:tcPr>
          <w:p w14:paraId="64053F93">
            <w:pPr>
              <w:rPr>
                <w:rFonts w:eastAsia="仿宋_GB2312"/>
                <w:kern w:val="0"/>
              </w:rPr>
            </w:pPr>
            <w:r>
              <w:rPr>
                <w:rFonts w:eastAsia="仿宋_GB2312"/>
                <w:kern w:val="0"/>
              </w:rPr>
              <w:t>每次扣3~10分</w:t>
            </w:r>
          </w:p>
        </w:tc>
      </w:tr>
    </w:tbl>
    <w:p w14:paraId="10C2E26B"/>
    <w:p w14:paraId="1F74D4DA">
      <w:pPr>
        <w:ind w:firstLine="482" w:firstLineChars="200"/>
        <w:jc w:val="both"/>
        <w:rPr>
          <w:rFonts w:eastAsia="楷体_GB2312"/>
          <w:b/>
          <w:sz w:val="24"/>
        </w:rPr>
      </w:pPr>
      <w:r>
        <w:rPr>
          <w:rFonts w:eastAsia="楷体_GB2312"/>
          <w:b/>
          <w:sz w:val="24"/>
        </w:rPr>
        <w:t>（二）专项加分</w:t>
      </w:r>
    </w:p>
    <w:p w14:paraId="60166897">
      <w:pPr>
        <w:spacing w:line="560" w:lineRule="exact"/>
        <w:ind w:firstLine="480" w:firstLineChars="200"/>
        <w:jc w:val="both"/>
        <w:rPr>
          <w:rFonts w:eastAsia="仿宋_GB2312"/>
          <w:color w:val="FF0000"/>
          <w:sz w:val="24"/>
        </w:rPr>
      </w:pPr>
      <w:r>
        <w:rPr>
          <w:rFonts w:eastAsia="仿宋_GB2312"/>
          <w:sz w:val="24"/>
        </w:rPr>
        <w:t>发生下列情况之一的，在</w:t>
      </w:r>
      <w:r>
        <w:rPr>
          <w:rFonts w:hint="eastAsia" w:eastAsia="仿宋_GB2312"/>
          <w:sz w:val="24"/>
        </w:rPr>
        <w:t>季度</w:t>
      </w:r>
      <w:r>
        <w:rPr>
          <w:rFonts w:eastAsia="仿宋_GB2312"/>
          <w:sz w:val="24"/>
        </w:rPr>
        <w:t>考核（满分100分）的基础上进行加分，上限为10分。养护单位应在</w:t>
      </w:r>
      <w:r>
        <w:rPr>
          <w:rFonts w:hint="eastAsia" w:eastAsia="仿宋_GB2312"/>
          <w:sz w:val="24"/>
        </w:rPr>
        <w:t>当季度</w:t>
      </w:r>
      <w:r>
        <w:rPr>
          <w:rFonts w:eastAsia="仿宋_GB2312"/>
          <w:sz w:val="24"/>
        </w:rPr>
        <w:t>底前主动提供所有加分事项的书面支持文件作为依据，经考评小组认可后方能计入</w:t>
      </w:r>
      <w:r>
        <w:rPr>
          <w:rFonts w:hint="eastAsia" w:eastAsia="仿宋_GB2312"/>
          <w:sz w:val="24"/>
        </w:rPr>
        <w:t>季度</w:t>
      </w:r>
      <w:r>
        <w:rPr>
          <w:rFonts w:eastAsia="仿宋_GB2312"/>
          <w:sz w:val="24"/>
        </w:rPr>
        <w:t>加分</w:t>
      </w:r>
      <w:r>
        <w:rPr>
          <w:rFonts w:hint="eastAsia" w:eastAsia="仿宋_GB2312"/>
          <w:sz w:val="24"/>
        </w:rPr>
        <w:t>，详见下表。</w:t>
      </w:r>
    </w:p>
    <w:p w14:paraId="56B747F0">
      <w:pPr>
        <w:spacing w:before="120" w:beforeLines="50"/>
        <w:ind w:firstLine="220"/>
        <w:jc w:val="center"/>
        <w:rPr>
          <w:rFonts w:eastAsia="黑体"/>
          <w:sz w:val="22"/>
          <w:szCs w:val="22"/>
        </w:rPr>
      </w:pPr>
      <w:r>
        <w:rPr>
          <w:rFonts w:eastAsia="黑体"/>
          <w:sz w:val="22"/>
          <w:szCs w:val="22"/>
        </w:rPr>
        <w:t xml:space="preserve">表 </w:t>
      </w:r>
      <w:r>
        <w:rPr>
          <w:rFonts w:eastAsia="黑体"/>
          <w:sz w:val="22"/>
          <w:szCs w:val="22"/>
        </w:rPr>
        <w:fldChar w:fldCharType="begin"/>
      </w:r>
      <w:r>
        <w:rPr>
          <w:rFonts w:eastAsia="黑体"/>
          <w:sz w:val="22"/>
          <w:szCs w:val="22"/>
        </w:rPr>
        <w:instrText xml:space="preserve"> SEQ 表 \* ARABIC </w:instrText>
      </w:r>
      <w:r>
        <w:rPr>
          <w:rFonts w:eastAsia="黑体"/>
          <w:sz w:val="22"/>
          <w:szCs w:val="22"/>
        </w:rPr>
        <w:fldChar w:fldCharType="separate"/>
      </w:r>
      <w:r>
        <w:rPr>
          <w:rFonts w:eastAsia="黑体"/>
          <w:sz w:val="22"/>
          <w:szCs w:val="22"/>
        </w:rPr>
        <w:t>2</w:t>
      </w:r>
      <w:r>
        <w:rPr>
          <w:rFonts w:eastAsia="黑体"/>
          <w:sz w:val="22"/>
          <w:szCs w:val="22"/>
        </w:rPr>
        <w:fldChar w:fldCharType="end"/>
      </w:r>
      <w:r>
        <w:rPr>
          <w:rFonts w:eastAsia="黑体"/>
          <w:sz w:val="22"/>
          <w:szCs w:val="22"/>
        </w:rPr>
        <w:t xml:space="preserve"> </w:t>
      </w:r>
      <w:r>
        <w:rPr>
          <w:rFonts w:hint="eastAsia" w:eastAsia="黑体"/>
          <w:sz w:val="22"/>
          <w:szCs w:val="22"/>
        </w:rPr>
        <w:t>附属</w:t>
      </w:r>
      <w:r>
        <w:rPr>
          <w:rFonts w:eastAsia="黑体"/>
          <w:sz w:val="22"/>
          <w:szCs w:val="22"/>
        </w:rPr>
        <w:t>设施养护运维</w:t>
      </w:r>
      <w:r>
        <w:rPr>
          <w:rFonts w:hint="eastAsia" w:eastAsia="黑体"/>
          <w:sz w:val="22"/>
          <w:szCs w:val="22"/>
        </w:rPr>
        <w:t>季度</w:t>
      </w:r>
      <w:r>
        <w:rPr>
          <w:rFonts w:eastAsia="黑体"/>
          <w:sz w:val="22"/>
          <w:szCs w:val="22"/>
        </w:rPr>
        <w:t>考核专项加分表</w:t>
      </w:r>
    </w:p>
    <w:tbl>
      <w:tblPr>
        <w:tblStyle w:val="38"/>
        <w:tblW w:w="8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98"/>
        <w:gridCol w:w="4657"/>
        <w:gridCol w:w="2045"/>
      </w:tblGrid>
      <w:tr w14:paraId="0CF1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504FAF48">
            <w:pPr>
              <w:jc w:val="center"/>
              <w:rPr>
                <w:rFonts w:eastAsia="仿宋_GB2312"/>
                <w:b/>
                <w:bCs/>
                <w:kern w:val="0"/>
              </w:rPr>
            </w:pPr>
            <w:r>
              <w:rPr>
                <w:rFonts w:eastAsia="仿宋_GB2312"/>
                <w:b/>
                <w:bCs/>
                <w:kern w:val="0"/>
              </w:rPr>
              <w:t>序号</w:t>
            </w:r>
          </w:p>
        </w:tc>
        <w:tc>
          <w:tcPr>
            <w:tcW w:w="1298" w:type="dxa"/>
            <w:vAlign w:val="center"/>
          </w:tcPr>
          <w:p w14:paraId="1C0448FB">
            <w:pPr>
              <w:jc w:val="center"/>
              <w:rPr>
                <w:rFonts w:eastAsia="仿宋_GB2312"/>
                <w:b/>
                <w:bCs/>
                <w:kern w:val="0"/>
              </w:rPr>
            </w:pPr>
            <w:r>
              <w:rPr>
                <w:rFonts w:eastAsia="仿宋_GB2312"/>
                <w:b/>
                <w:bCs/>
                <w:kern w:val="0"/>
              </w:rPr>
              <w:t>分类</w:t>
            </w:r>
          </w:p>
        </w:tc>
        <w:tc>
          <w:tcPr>
            <w:tcW w:w="4657" w:type="dxa"/>
            <w:vAlign w:val="center"/>
          </w:tcPr>
          <w:p w14:paraId="6B708745">
            <w:pPr>
              <w:jc w:val="center"/>
              <w:rPr>
                <w:rFonts w:eastAsia="仿宋_GB2312"/>
                <w:b/>
                <w:bCs/>
                <w:kern w:val="0"/>
              </w:rPr>
            </w:pPr>
            <w:r>
              <w:rPr>
                <w:rFonts w:eastAsia="仿宋_GB2312"/>
                <w:b/>
                <w:bCs/>
                <w:kern w:val="0"/>
              </w:rPr>
              <w:t>加分事由</w:t>
            </w:r>
          </w:p>
        </w:tc>
        <w:tc>
          <w:tcPr>
            <w:tcW w:w="2045" w:type="dxa"/>
            <w:vAlign w:val="center"/>
          </w:tcPr>
          <w:p w14:paraId="570243D9">
            <w:pPr>
              <w:jc w:val="center"/>
              <w:rPr>
                <w:rFonts w:eastAsia="仿宋_GB2312"/>
                <w:b/>
                <w:bCs/>
                <w:kern w:val="0"/>
              </w:rPr>
            </w:pPr>
            <w:r>
              <w:rPr>
                <w:rFonts w:eastAsia="仿宋_GB2312"/>
                <w:b/>
                <w:bCs/>
                <w:kern w:val="0"/>
              </w:rPr>
              <w:t>加分准则</w:t>
            </w:r>
          </w:p>
        </w:tc>
      </w:tr>
      <w:tr w14:paraId="3A3D3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30129650">
            <w:pPr>
              <w:jc w:val="center"/>
              <w:rPr>
                <w:rFonts w:eastAsia="仿宋_GB2312"/>
                <w:kern w:val="0"/>
              </w:rPr>
            </w:pPr>
            <w:r>
              <w:rPr>
                <w:rFonts w:eastAsia="仿宋_GB2312"/>
                <w:kern w:val="0"/>
              </w:rPr>
              <w:t>1</w:t>
            </w:r>
          </w:p>
        </w:tc>
        <w:tc>
          <w:tcPr>
            <w:tcW w:w="1298" w:type="dxa"/>
            <w:vMerge w:val="restart"/>
            <w:vAlign w:val="center"/>
          </w:tcPr>
          <w:p w14:paraId="541D4684">
            <w:pPr>
              <w:jc w:val="center"/>
              <w:rPr>
                <w:rFonts w:eastAsia="仿宋_GB2312"/>
                <w:kern w:val="0"/>
              </w:rPr>
            </w:pPr>
            <w:r>
              <w:rPr>
                <w:rFonts w:hint="eastAsia" w:eastAsia="仿宋_GB2312"/>
                <w:kern w:val="0"/>
              </w:rPr>
              <w:t>宣传与公众服务</w:t>
            </w:r>
          </w:p>
        </w:tc>
        <w:tc>
          <w:tcPr>
            <w:tcW w:w="4657" w:type="dxa"/>
            <w:vAlign w:val="center"/>
          </w:tcPr>
          <w:p w14:paraId="02270C6D">
            <w:pPr>
              <w:rPr>
                <w:rFonts w:eastAsia="仿宋_GB2312"/>
                <w:kern w:val="0"/>
              </w:rPr>
            </w:pPr>
            <w:r>
              <w:rPr>
                <w:rFonts w:eastAsia="仿宋_GB2312"/>
                <w:kern w:val="0"/>
              </w:rPr>
              <w:t>通讯稿被上海市道运中心微信公众号或其它新闻媒介采纳发布。</w:t>
            </w:r>
          </w:p>
        </w:tc>
        <w:tc>
          <w:tcPr>
            <w:tcW w:w="2045" w:type="dxa"/>
            <w:vAlign w:val="center"/>
          </w:tcPr>
          <w:p w14:paraId="2F14563D">
            <w:pPr>
              <w:rPr>
                <w:rFonts w:eastAsia="仿宋_GB2312"/>
                <w:kern w:val="0"/>
              </w:rPr>
            </w:pPr>
            <w:r>
              <w:rPr>
                <w:rFonts w:eastAsia="仿宋_GB2312"/>
                <w:kern w:val="0"/>
              </w:rPr>
              <w:t>每次加2分</w:t>
            </w:r>
          </w:p>
        </w:tc>
      </w:tr>
      <w:tr w14:paraId="3EA4F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592E2071">
            <w:pPr>
              <w:jc w:val="center"/>
              <w:rPr>
                <w:rFonts w:eastAsia="仿宋_GB2312"/>
                <w:kern w:val="0"/>
              </w:rPr>
            </w:pPr>
            <w:r>
              <w:rPr>
                <w:rFonts w:eastAsia="仿宋_GB2312"/>
                <w:kern w:val="0"/>
              </w:rPr>
              <w:t>2</w:t>
            </w:r>
          </w:p>
        </w:tc>
        <w:tc>
          <w:tcPr>
            <w:tcW w:w="1298" w:type="dxa"/>
            <w:vMerge w:val="continue"/>
            <w:vAlign w:val="center"/>
          </w:tcPr>
          <w:p w14:paraId="599F7D1F">
            <w:pPr>
              <w:jc w:val="center"/>
              <w:rPr>
                <w:rFonts w:eastAsia="仿宋_GB2312"/>
                <w:kern w:val="0"/>
              </w:rPr>
            </w:pPr>
          </w:p>
        </w:tc>
        <w:tc>
          <w:tcPr>
            <w:tcW w:w="4657" w:type="dxa"/>
            <w:vAlign w:val="center"/>
          </w:tcPr>
          <w:p w14:paraId="568FE195">
            <w:pPr>
              <w:rPr>
                <w:rFonts w:eastAsia="仿宋_GB2312"/>
                <w:kern w:val="0"/>
              </w:rPr>
            </w:pPr>
            <w:r>
              <w:rPr>
                <w:rFonts w:eastAsia="仿宋_GB2312"/>
                <w:kern w:val="0"/>
              </w:rPr>
              <w:t>妥善处理人民来信、来电、来访等诉求工单和社会投诉，被录用至热线处置工单优秀案例。</w:t>
            </w:r>
          </w:p>
        </w:tc>
        <w:tc>
          <w:tcPr>
            <w:tcW w:w="2045" w:type="dxa"/>
            <w:vAlign w:val="center"/>
          </w:tcPr>
          <w:p w14:paraId="68CDEA5E">
            <w:pPr>
              <w:rPr>
                <w:rFonts w:eastAsia="仿宋_GB2312"/>
                <w:kern w:val="0"/>
              </w:rPr>
            </w:pPr>
            <w:r>
              <w:rPr>
                <w:rFonts w:eastAsia="仿宋_GB2312"/>
                <w:kern w:val="0"/>
              </w:rPr>
              <w:t>每次加2分</w:t>
            </w:r>
          </w:p>
        </w:tc>
      </w:tr>
      <w:tr w14:paraId="7CB0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5ACFD277">
            <w:pPr>
              <w:jc w:val="center"/>
              <w:rPr>
                <w:rFonts w:eastAsia="仿宋_GB2312"/>
                <w:kern w:val="0"/>
              </w:rPr>
            </w:pPr>
            <w:r>
              <w:rPr>
                <w:rFonts w:eastAsia="仿宋_GB2312"/>
                <w:kern w:val="0"/>
              </w:rPr>
              <w:t>3</w:t>
            </w:r>
          </w:p>
        </w:tc>
        <w:tc>
          <w:tcPr>
            <w:tcW w:w="1298" w:type="dxa"/>
            <w:vMerge w:val="restart"/>
            <w:vAlign w:val="center"/>
          </w:tcPr>
          <w:p w14:paraId="71CA10D2">
            <w:pPr>
              <w:jc w:val="center"/>
              <w:rPr>
                <w:rFonts w:eastAsia="仿宋_GB2312"/>
                <w:kern w:val="0"/>
              </w:rPr>
            </w:pPr>
            <w:r>
              <w:rPr>
                <w:rFonts w:eastAsia="仿宋_GB2312"/>
                <w:kern w:val="0"/>
              </w:rPr>
              <w:t>行业示范带头作用</w:t>
            </w:r>
          </w:p>
        </w:tc>
        <w:tc>
          <w:tcPr>
            <w:tcW w:w="4657" w:type="dxa"/>
            <w:vAlign w:val="center"/>
          </w:tcPr>
          <w:p w14:paraId="6FF43036">
            <w:pPr>
              <w:rPr>
                <w:rFonts w:eastAsia="仿宋_GB2312"/>
                <w:kern w:val="0"/>
              </w:rPr>
            </w:pPr>
            <w:r>
              <w:rPr>
                <w:rFonts w:eastAsia="仿宋_GB2312"/>
                <w:kern w:val="0"/>
              </w:rPr>
              <w:t>当</w:t>
            </w:r>
            <w:r>
              <w:rPr>
                <w:rFonts w:hint="eastAsia" w:eastAsia="仿宋_GB2312"/>
                <w:kern w:val="0"/>
              </w:rPr>
              <w:t>季度</w:t>
            </w:r>
            <w:r>
              <w:rPr>
                <w:rFonts w:eastAsia="仿宋_GB2312"/>
                <w:kern w:val="0"/>
              </w:rPr>
              <w:t>在各类专项评比中获奖。</w:t>
            </w:r>
          </w:p>
        </w:tc>
        <w:tc>
          <w:tcPr>
            <w:tcW w:w="2045" w:type="dxa"/>
            <w:vAlign w:val="center"/>
          </w:tcPr>
          <w:p w14:paraId="05EA856D">
            <w:pPr>
              <w:rPr>
                <w:rFonts w:eastAsia="仿宋_GB2312"/>
                <w:kern w:val="0"/>
              </w:rPr>
            </w:pPr>
            <w:r>
              <w:rPr>
                <w:rFonts w:eastAsia="仿宋_GB2312"/>
                <w:kern w:val="0"/>
              </w:rPr>
              <w:t>一等奖每项加3分</w:t>
            </w:r>
          </w:p>
          <w:p w14:paraId="110D592D">
            <w:pPr>
              <w:rPr>
                <w:rFonts w:eastAsia="仿宋_GB2312"/>
                <w:kern w:val="0"/>
              </w:rPr>
            </w:pPr>
            <w:r>
              <w:rPr>
                <w:rFonts w:eastAsia="仿宋_GB2312"/>
                <w:kern w:val="0"/>
              </w:rPr>
              <w:t>二等奖每项加2分</w:t>
            </w:r>
          </w:p>
          <w:p w14:paraId="4822DE20">
            <w:pPr>
              <w:rPr>
                <w:rFonts w:eastAsia="仿宋_GB2312"/>
                <w:kern w:val="0"/>
              </w:rPr>
            </w:pPr>
            <w:r>
              <w:rPr>
                <w:rFonts w:eastAsia="仿宋_GB2312"/>
                <w:kern w:val="0"/>
              </w:rPr>
              <w:t>三等奖每项加1分</w:t>
            </w:r>
          </w:p>
        </w:tc>
      </w:tr>
      <w:tr w14:paraId="64B0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13E4138B">
            <w:pPr>
              <w:jc w:val="center"/>
              <w:rPr>
                <w:rFonts w:eastAsia="仿宋_GB2312"/>
                <w:kern w:val="0"/>
              </w:rPr>
            </w:pPr>
            <w:r>
              <w:rPr>
                <w:rFonts w:eastAsia="仿宋_GB2312"/>
                <w:kern w:val="0"/>
              </w:rPr>
              <w:t>4</w:t>
            </w:r>
          </w:p>
        </w:tc>
        <w:tc>
          <w:tcPr>
            <w:tcW w:w="1298" w:type="dxa"/>
            <w:vMerge w:val="continue"/>
            <w:vAlign w:val="center"/>
          </w:tcPr>
          <w:p w14:paraId="2FCE64C8">
            <w:pPr>
              <w:rPr>
                <w:rFonts w:eastAsia="仿宋_GB2312"/>
                <w:kern w:val="0"/>
              </w:rPr>
            </w:pPr>
          </w:p>
        </w:tc>
        <w:tc>
          <w:tcPr>
            <w:tcW w:w="4657" w:type="dxa"/>
            <w:vAlign w:val="center"/>
          </w:tcPr>
          <w:p w14:paraId="1BFD29B8">
            <w:pPr>
              <w:rPr>
                <w:rFonts w:eastAsia="仿宋_GB2312"/>
                <w:kern w:val="0"/>
              </w:rPr>
            </w:pPr>
            <w:r>
              <w:rPr>
                <w:rFonts w:eastAsia="仿宋_GB2312"/>
                <w:kern w:val="0"/>
              </w:rPr>
              <w:t>养护设施获得市级或行业级奖项。</w:t>
            </w:r>
          </w:p>
        </w:tc>
        <w:tc>
          <w:tcPr>
            <w:tcW w:w="2045" w:type="dxa"/>
            <w:vAlign w:val="center"/>
          </w:tcPr>
          <w:p w14:paraId="5A36423F">
            <w:pPr>
              <w:rPr>
                <w:rFonts w:eastAsia="仿宋_GB2312"/>
                <w:kern w:val="0"/>
              </w:rPr>
            </w:pPr>
            <w:r>
              <w:rPr>
                <w:rFonts w:eastAsia="仿宋_GB2312"/>
                <w:kern w:val="0"/>
              </w:rPr>
              <w:t>市级每项加5分</w:t>
            </w:r>
          </w:p>
          <w:p w14:paraId="6E9852E2">
            <w:pPr>
              <w:rPr>
                <w:rFonts w:eastAsia="仿宋_GB2312"/>
                <w:kern w:val="0"/>
              </w:rPr>
            </w:pPr>
            <w:r>
              <w:rPr>
                <w:rFonts w:eastAsia="仿宋_GB2312"/>
                <w:kern w:val="0"/>
              </w:rPr>
              <w:t>行业级每项加3分</w:t>
            </w:r>
          </w:p>
        </w:tc>
      </w:tr>
    </w:tbl>
    <w:p w14:paraId="68E20252"/>
    <w:p w14:paraId="417FF96D">
      <w:pPr>
        <w:widowControl/>
        <w:spacing w:after="180" w:line="259" w:lineRule="auto"/>
      </w:pPr>
      <w:r>
        <w:br w:type="page"/>
      </w:r>
    </w:p>
    <w:p w14:paraId="6590AB2E">
      <w:pPr>
        <w:spacing w:line="360" w:lineRule="auto"/>
        <w:rPr>
          <w:rFonts w:eastAsia="华文中宋"/>
          <w:b/>
          <w:sz w:val="28"/>
          <w:szCs w:val="28"/>
        </w:rPr>
      </w:pPr>
      <w:r>
        <w:rPr>
          <w:rFonts w:hint="eastAsia" w:eastAsia="华文中宋"/>
          <w:b/>
          <w:sz w:val="28"/>
          <w:szCs w:val="28"/>
        </w:rPr>
        <w:t>附表三：道路养护现场安全标准化检查表</w:t>
      </w:r>
    </w:p>
    <w:p w14:paraId="7A03E2B7">
      <w:pPr>
        <w:spacing w:line="360" w:lineRule="auto"/>
        <w:ind w:right="720" w:firstLine="210" w:firstLineChars="100"/>
        <w:rPr>
          <w:rFonts w:ascii="仿宋" w:hAnsi="仿宋" w:eastAsia="仿宋" w:cs="Arial Unicode MS"/>
          <w:color w:val="000000"/>
          <w:kern w:val="0"/>
        </w:rPr>
      </w:pPr>
      <w:r>
        <w:rPr>
          <w:rFonts w:hint="eastAsia" w:ascii="仿宋" w:hAnsi="仿宋" w:eastAsia="仿宋" w:cs="Arial Unicode MS"/>
          <w:color w:val="000000"/>
          <w:kern w:val="0"/>
        </w:rPr>
        <w:t xml:space="preserve">项目名称：                     养护单位：                   </w:t>
      </w:r>
    </w:p>
    <w:tbl>
      <w:tblPr>
        <w:tblStyle w:val="3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4320"/>
        <w:gridCol w:w="780"/>
        <w:gridCol w:w="880"/>
        <w:gridCol w:w="760"/>
        <w:gridCol w:w="720"/>
      </w:tblGrid>
      <w:tr w14:paraId="439C2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9620" w:type="dxa"/>
            <w:gridSpan w:val="7"/>
            <w:vAlign w:val="center"/>
          </w:tcPr>
          <w:p w14:paraId="021D92FA">
            <w:pPr>
              <w:jc w:val="center"/>
              <w:rPr>
                <w:rFonts w:eastAsia="仿宋_GB2312"/>
                <w:kern w:val="0"/>
              </w:rPr>
            </w:pPr>
            <w:r>
              <w:rPr>
                <w:rFonts w:hint="eastAsia" w:eastAsia="仿宋_GB2312"/>
                <w:kern w:val="0"/>
              </w:rPr>
              <w:t>道路养护现场安全标准化检查表</w:t>
            </w:r>
          </w:p>
        </w:tc>
      </w:tr>
      <w:tr w14:paraId="056E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080" w:type="dxa"/>
            <w:vMerge w:val="restart"/>
            <w:vAlign w:val="center"/>
          </w:tcPr>
          <w:p w14:paraId="58223537">
            <w:pPr>
              <w:rPr>
                <w:rFonts w:eastAsia="仿宋_GB2312"/>
                <w:kern w:val="0"/>
              </w:rPr>
            </w:pPr>
            <w:r>
              <w:rPr>
                <w:rFonts w:hint="eastAsia" w:eastAsia="仿宋_GB2312"/>
                <w:kern w:val="0"/>
              </w:rPr>
              <w:t>检查项目</w:t>
            </w:r>
          </w:p>
        </w:tc>
        <w:tc>
          <w:tcPr>
            <w:tcW w:w="1080" w:type="dxa"/>
            <w:vMerge w:val="restart"/>
            <w:vAlign w:val="center"/>
          </w:tcPr>
          <w:p w14:paraId="3360772B">
            <w:pPr>
              <w:rPr>
                <w:rFonts w:eastAsia="仿宋_GB2312"/>
                <w:kern w:val="0"/>
              </w:rPr>
            </w:pPr>
            <w:r>
              <w:rPr>
                <w:rFonts w:hint="eastAsia" w:eastAsia="仿宋_GB2312"/>
                <w:kern w:val="0"/>
              </w:rPr>
              <w:t>检查内容</w:t>
            </w:r>
          </w:p>
        </w:tc>
        <w:tc>
          <w:tcPr>
            <w:tcW w:w="4320" w:type="dxa"/>
            <w:vMerge w:val="restart"/>
            <w:vAlign w:val="center"/>
          </w:tcPr>
          <w:p w14:paraId="16C86D96">
            <w:pPr>
              <w:jc w:val="center"/>
              <w:rPr>
                <w:rFonts w:eastAsia="仿宋_GB2312"/>
                <w:kern w:val="0"/>
              </w:rPr>
            </w:pPr>
            <w:r>
              <w:rPr>
                <w:rFonts w:hint="eastAsia" w:eastAsia="仿宋_GB2312"/>
                <w:kern w:val="0"/>
              </w:rPr>
              <w:t>现场检查扣分标准</w:t>
            </w:r>
          </w:p>
        </w:tc>
        <w:tc>
          <w:tcPr>
            <w:tcW w:w="780" w:type="dxa"/>
            <w:vMerge w:val="restart"/>
            <w:vAlign w:val="center"/>
          </w:tcPr>
          <w:p w14:paraId="2220D97A">
            <w:pPr>
              <w:jc w:val="center"/>
              <w:rPr>
                <w:rFonts w:eastAsia="仿宋_GB2312"/>
                <w:kern w:val="0"/>
              </w:rPr>
            </w:pPr>
            <w:r>
              <w:rPr>
                <w:rFonts w:hint="eastAsia" w:eastAsia="仿宋_GB2312"/>
                <w:kern w:val="0"/>
              </w:rPr>
              <w:t>标准分</w:t>
            </w:r>
          </w:p>
        </w:tc>
        <w:tc>
          <w:tcPr>
            <w:tcW w:w="2360" w:type="dxa"/>
            <w:gridSpan w:val="3"/>
            <w:vAlign w:val="center"/>
          </w:tcPr>
          <w:p w14:paraId="6143E9D2">
            <w:pPr>
              <w:jc w:val="center"/>
              <w:rPr>
                <w:rFonts w:eastAsia="仿宋_GB2312"/>
                <w:kern w:val="0"/>
              </w:rPr>
            </w:pPr>
            <w:r>
              <w:rPr>
                <w:rFonts w:hint="eastAsia" w:eastAsia="仿宋_GB2312"/>
                <w:kern w:val="0"/>
              </w:rPr>
              <w:t>检查结果</w:t>
            </w:r>
          </w:p>
        </w:tc>
      </w:tr>
      <w:tr w14:paraId="36BD2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0" w:type="auto"/>
            <w:vMerge w:val="continue"/>
            <w:vAlign w:val="center"/>
          </w:tcPr>
          <w:p w14:paraId="694C4086">
            <w:pPr>
              <w:rPr>
                <w:rFonts w:eastAsia="仿宋_GB2312"/>
                <w:kern w:val="0"/>
              </w:rPr>
            </w:pPr>
          </w:p>
        </w:tc>
        <w:tc>
          <w:tcPr>
            <w:tcW w:w="0" w:type="auto"/>
            <w:vMerge w:val="continue"/>
            <w:vAlign w:val="center"/>
          </w:tcPr>
          <w:p w14:paraId="2D54534F">
            <w:pPr>
              <w:rPr>
                <w:rFonts w:eastAsia="仿宋_GB2312"/>
                <w:kern w:val="0"/>
              </w:rPr>
            </w:pPr>
          </w:p>
        </w:tc>
        <w:tc>
          <w:tcPr>
            <w:tcW w:w="0" w:type="auto"/>
            <w:vMerge w:val="continue"/>
            <w:vAlign w:val="center"/>
          </w:tcPr>
          <w:p w14:paraId="170CD67E">
            <w:pPr>
              <w:rPr>
                <w:rFonts w:eastAsia="仿宋_GB2312"/>
                <w:kern w:val="0"/>
              </w:rPr>
            </w:pPr>
          </w:p>
        </w:tc>
        <w:tc>
          <w:tcPr>
            <w:tcW w:w="0" w:type="auto"/>
            <w:vMerge w:val="continue"/>
            <w:vAlign w:val="center"/>
          </w:tcPr>
          <w:p w14:paraId="628D5C9D">
            <w:pPr>
              <w:rPr>
                <w:rFonts w:eastAsia="仿宋_GB2312"/>
                <w:kern w:val="0"/>
              </w:rPr>
            </w:pPr>
          </w:p>
        </w:tc>
        <w:tc>
          <w:tcPr>
            <w:tcW w:w="880" w:type="dxa"/>
            <w:vAlign w:val="center"/>
          </w:tcPr>
          <w:p w14:paraId="6426DFC1">
            <w:pPr>
              <w:rPr>
                <w:rFonts w:eastAsia="仿宋_GB2312"/>
                <w:kern w:val="0"/>
              </w:rPr>
            </w:pPr>
            <w:r>
              <w:rPr>
                <w:rFonts w:hint="eastAsia" w:eastAsia="仿宋_GB2312"/>
                <w:kern w:val="0"/>
              </w:rPr>
              <w:t>扣分情况</w:t>
            </w:r>
          </w:p>
        </w:tc>
        <w:tc>
          <w:tcPr>
            <w:tcW w:w="760" w:type="dxa"/>
            <w:vAlign w:val="center"/>
          </w:tcPr>
          <w:p w14:paraId="4262DE75">
            <w:pPr>
              <w:rPr>
                <w:rFonts w:eastAsia="仿宋_GB2312"/>
                <w:kern w:val="0"/>
              </w:rPr>
            </w:pPr>
            <w:r>
              <w:rPr>
                <w:rFonts w:hint="eastAsia" w:eastAsia="仿宋_GB2312"/>
                <w:kern w:val="0"/>
              </w:rPr>
              <w:t>扣分</w:t>
            </w:r>
          </w:p>
        </w:tc>
        <w:tc>
          <w:tcPr>
            <w:tcW w:w="720" w:type="dxa"/>
            <w:vAlign w:val="center"/>
          </w:tcPr>
          <w:p w14:paraId="65FD0532">
            <w:pPr>
              <w:rPr>
                <w:rFonts w:eastAsia="仿宋_GB2312"/>
                <w:kern w:val="0"/>
              </w:rPr>
            </w:pPr>
            <w:r>
              <w:rPr>
                <w:rFonts w:hint="eastAsia" w:eastAsia="仿宋_GB2312"/>
                <w:kern w:val="0"/>
              </w:rPr>
              <w:t>得分</w:t>
            </w:r>
          </w:p>
        </w:tc>
      </w:tr>
      <w:tr w14:paraId="11FB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80" w:type="dxa"/>
            <w:vMerge w:val="restart"/>
            <w:vAlign w:val="center"/>
          </w:tcPr>
          <w:p w14:paraId="12C3B290">
            <w:pPr>
              <w:rPr>
                <w:rFonts w:eastAsia="仿宋_GB2312"/>
                <w:kern w:val="0"/>
              </w:rPr>
            </w:pPr>
            <w:r>
              <w:rPr>
                <w:rFonts w:hint="eastAsia" w:eastAsia="仿宋_GB2312"/>
                <w:kern w:val="0"/>
              </w:rPr>
              <w:t>制度管理（2分）</w:t>
            </w:r>
          </w:p>
        </w:tc>
        <w:tc>
          <w:tcPr>
            <w:tcW w:w="1080" w:type="dxa"/>
            <w:vAlign w:val="center"/>
          </w:tcPr>
          <w:p w14:paraId="78A5FCCD">
            <w:pPr>
              <w:rPr>
                <w:rFonts w:eastAsia="仿宋_GB2312"/>
                <w:kern w:val="0"/>
              </w:rPr>
            </w:pPr>
            <w:r>
              <w:rPr>
                <w:rFonts w:hint="eastAsia" w:eastAsia="仿宋_GB2312"/>
                <w:kern w:val="0"/>
              </w:rPr>
              <w:t>制度建立</w:t>
            </w:r>
          </w:p>
        </w:tc>
        <w:tc>
          <w:tcPr>
            <w:tcW w:w="4320" w:type="dxa"/>
            <w:vAlign w:val="center"/>
          </w:tcPr>
          <w:p w14:paraId="12E0310C">
            <w:pPr>
              <w:rPr>
                <w:rFonts w:eastAsia="仿宋_GB2312"/>
                <w:kern w:val="0"/>
              </w:rPr>
            </w:pPr>
            <w:r>
              <w:rPr>
                <w:rFonts w:hint="eastAsia" w:eastAsia="仿宋_GB2312"/>
                <w:kern w:val="0"/>
              </w:rPr>
              <w:t>1、安全生产责任制度、检查制度、特种作业管理制度、动火管理制度、安措经费使用管理制度、安全交底制度、带班制度、事故报告与处理制度、安全考核奖罚制度等。每缺一项扣0.5分。</w:t>
            </w:r>
          </w:p>
        </w:tc>
        <w:tc>
          <w:tcPr>
            <w:tcW w:w="780" w:type="dxa"/>
            <w:vMerge w:val="restart"/>
            <w:vAlign w:val="center"/>
          </w:tcPr>
          <w:p w14:paraId="3DC6547A">
            <w:pPr>
              <w:jc w:val="center"/>
              <w:rPr>
                <w:rFonts w:eastAsia="仿宋_GB2312"/>
                <w:kern w:val="0"/>
              </w:rPr>
            </w:pPr>
            <w:r>
              <w:rPr>
                <w:rFonts w:hint="eastAsia" w:eastAsia="仿宋_GB2312"/>
                <w:kern w:val="0"/>
              </w:rPr>
              <w:t>2</w:t>
            </w:r>
          </w:p>
        </w:tc>
        <w:tc>
          <w:tcPr>
            <w:tcW w:w="880" w:type="dxa"/>
            <w:vAlign w:val="center"/>
          </w:tcPr>
          <w:p w14:paraId="7CA3B238">
            <w:pPr>
              <w:rPr>
                <w:rFonts w:eastAsia="仿宋_GB2312"/>
                <w:kern w:val="0"/>
              </w:rPr>
            </w:pPr>
          </w:p>
        </w:tc>
        <w:tc>
          <w:tcPr>
            <w:tcW w:w="760" w:type="dxa"/>
            <w:vAlign w:val="center"/>
          </w:tcPr>
          <w:p w14:paraId="2EF90FBF">
            <w:pPr>
              <w:rPr>
                <w:rFonts w:eastAsia="仿宋_GB2312"/>
                <w:kern w:val="0"/>
              </w:rPr>
            </w:pPr>
          </w:p>
        </w:tc>
        <w:tc>
          <w:tcPr>
            <w:tcW w:w="720" w:type="dxa"/>
            <w:vAlign w:val="center"/>
          </w:tcPr>
          <w:p w14:paraId="23DDE08A">
            <w:pPr>
              <w:rPr>
                <w:rFonts w:eastAsia="仿宋_GB2312"/>
                <w:kern w:val="0"/>
              </w:rPr>
            </w:pPr>
          </w:p>
        </w:tc>
      </w:tr>
      <w:tr w14:paraId="57CA8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0" w:type="auto"/>
            <w:vMerge w:val="continue"/>
            <w:vAlign w:val="center"/>
          </w:tcPr>
          <w:p w14:paraId="04D75179">
            <w:pPr>
              <w:rPr>
                <w:rFonts w:eastAsia="仿宋_GB2312"/>
                <w:kern w:val="0"/>
              </w:rPr>
            </w:pPr>
          </w:p>
        </w:tc>
        <w:tc>
          <w:tcPr>
            <w:tcW w:w="1080" w:type="dxa"/>
            <w:vAlign w:val="center"/>
          </w:tcPr>
          <w:p w14:paraId="535D491A">
            <w:pPr>
              <w:rPr>
                <w:rFonts w:eastAsia="仿宋_GB2312"/>
                <w:kern w:val="0"/>
              </w:rPr>
            </w:pPr>
            <w:r>
              <w:rPr>
                <w:rFonts w:hint="eastAsia" w:eastAsia="仿宋_GB2312"/>
                <w:kern w:val="0"/>
              </w:rPr>
              <w:t>资质、资格</w:t>
            </w:r>
          </w:p>
        </w:tc>
        <w:tc>
          <w:tcPr>
            <w:tcW w:w="4320" w:type="dxa"/>
            <w:vAlign w:val="center"/>
          </w:tcPr>
          <w:p w14:paraId="3CCA427D">
            <w:pPr>
              <w:rPr>
                <w:rFonts w:eastAsia="仿宋_GB2312"/>
                <w:kern w:val="0"/>
              </w:rPr>
            </w:pPr>
            <w:r>
              <w:rPr>
                <w:rFonts w:hint="eastAsia" w:eastAsia="仿宋_GB2312"/>
                <w:kern w:val="0"/>
              </w:rPr>
              <w:t>2、企业总包、分包资质不符规定，考评为不合格。养护企业无安全许可证的“三类”人员必须参加“贯标”培训，每缺一类人员扣0.5分。</w:t>
            </w:r>
          </w:p>
        </w:tc>
        <w:tc>
          <w:tcPr>
            <w:tcW w:w="780" w:type="dxa"/>
            <w:vMerge w:val="continue"/>
            <w:vAlign w:val="center"/>
          </w:tcPr>
          <w:p w14:paraId="3665794C">
            <w:pPr>
              <w:rPr>
                <w:rFonts w:eastAsia="仿宋_GB2312"/>
                <w:kern w:val="0"/>
              </w:rPr>
            </w:pPr>
          </w:p>
        </w:tc>
        <w:tc>
          <w:tcPr>
            <w:tcW w:w="880" w:type="dxa"/>
            <w:vAlign w:val="center"/>
          </w:tcPr>
          <w:p w14:paraId="6DEB21D0">
            <w:pPr>
              <w:rPr>
                <w:rFonts w:eastAsia="仿宋_GB2312"/>
                <w:kern w:val="0"/>
              </w:rPr>
            </w:pPr>
          </w:p>
        </w:tc>
        <w:tc>
          <w:tcPr>
            <w:tcW w:w="760" w:type="dxa"/>
            <w:vAlign w:val="center"/>
          </w:tcPr>
          <w:p w14:paraId="707D1428">
            <w:pPr>
              <w:rPr>
                <w:rFonts w:eastAsia="仿宋_GB2312"/>
                <w:kern w:val="0"/>
              </w:rPr>
            </w:pPr>
          </w:p>
        </w:tc>
        <w:tc>
          <w:tcPr>
            <w:tcW w:w="720" w:type="dxa"/>
            <w:vAlign w:val="center"/>
          </w:tcPr>
          <w:p w14:paraId="097B3C71">
            <w:pPr>
              <w:rPr>
                <w:rFonts w:eastAsia="仿宋_GB2312"/>
                <w:kern w:val="0"/>
              </w:rPr>
            </w:pPr>
          </w:p>
        </w:tc>
      </w:tr>
      <w:tr w14:paraId="1A3F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0" w:type="auto"/>
            <w:vMerge w:val="continue"/>
            <w:vAlign w:val="center"/>
          </w:tcPr>
          <w:p w14:paraId="0F0CDF8B">
            <w:pPr>
              <w:rPr>
                <w:rFonts w:eastAsia="仿宋_GB2312"/>
                <w:kern w:val="0"/>
              </w:rPr>
            </w:pPr>
          </w:p>
        </w:tc>
        <w:tc>
          <w:tcPr>
            <w:tcW w:w="1080" w:type="dxa"/>
            <w:vAlign w:val="center"/>
          </w:tcPr>
          <w:p w14:paraId="7BE88221">
            <w:pPr>
              <w:rPr>
                <w:rFonts w:eastAsia="仿宋_GB2312"/>
                <w:kern w:val="0"/>
              </w:rPr>
            </w:pPr>
            <w:r>
              <w:rPr>
                <w:rFonts w:hint="eastAsia" w:eastAsia="仿宋_GB2312"/>
                <w:kern w:val="0"/>
              </w:rPr>
              <w:t>危险源控制</w:t>
            </w:r>
          </w:p>
        </w:tc>
        <w:tc>
          <w:tcPr>
            <w:tcW w:w="4320" w:type="dxa"/>
            <w:vAlign w:val="center"/>
          </w:tcPr>
          <w:p w14:paraId="21D51364">
            <w:pPr>
              <w:rPr>
                <w:rFonts w:eastAsia="仿宋_GB2312"/>
                <w:kern w:val="0"/>
              </w:rPr>
            </w:pPr>
            <w:r>
              <w:rPr>
                <w:rFonts w:hint="eastAsia" w:eastAsia="仿宋_GB2312"/>
                <w:kern w:val="0"/>
              </w:rPr>
              <w:t>4、安全专项方案未辨识、审核的；每项扣0.5分；未按应急预案要求落实应急物资储备和演练的，危险品及有毒有害物品管理规定的每项扣0.5分。</w:t>
            </w:r>
          </w:p>
        </w:tc>
        <w:tc>
          <w:tcPr>
            <w:tcW w:w="780" w:type="dxa"/>
            <w:vMerge w:val="continue"/>
            <w:vAlign w:val="center"/>
          </w:tcPr>
          <w:p w14:paraId="0655B049">
            <w:pPr>
              <w:rPr>
                <w:rFonts w:eastAsia="仿宋_GB2312"/>
                <w:kern w:val="0"/>
              </w:rPr>
            </w:pPr>
          </w:p>
        </w:tc>
        <w:tc>
          <w:tcPr>
            <w:tcW w:w="880" w:type="dxa"/>
            <w:vAlign w:val="center"/>
          </w:tcPr>
          <w:p w14:paraId="2058828A">
            <w:pPr>
              <w:rPr>
                <w:rFonts w:eastAsia="仿宋_GB2312"/>
                <w:kern w:val="0"/>
              </w:rPr>
            </w:pPr>
          </w:p>
        </w:tc>
        <w:tc>
          <w:tcPr>
            <w:tcW w:w="760" w:type="dxa"/>
            <w:vAlign w:val="center"/>
          </w:tcPr>
          <w:p w14:paraId="7E94AD70">
            <w:pPr>
              <w:rPr>
                <w:rFonts w:eastAsia="仿宋_GB2312"/>
                <w:kern w:val="0"/>
              </w:rPr>
            </w:pPr>
          </w:p>
        </w:tc>
        <w:tc>
          <w:tcPr>
            <w:tcW w:w="720" w:type="dxa"/>
            <w:vAlign w:val="center"/>
          </w:tcPr>
          <w:p w14:paraId="28CEA291">
            <w:pPr>
              <w:rPr>
                <w:rFonts w:eastAsia="仿宋_GB2312"/>
                <w:kern w:val="0"/>
              </w:rPr>
            </w:pPr>
          </w:p>
        </w:tc>
      </w:tr>
      <w:tr w14:paraId="31A8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14:paraId="0B2CB5E9">
            <w:pPr>
              <w:rPr>
                <w:rFonts w:eastAsia="仿宋_GB2312"/>
                <w:kern w:val="0"/>
              </w:rPr>
            </w:pPr>
          </w:p>
        </w:tc>
        <w:tc>
          <w:tcPr>
            <w:tcW w:w="1080" w:type="dxa"/>
            <w:vAlign w:val="center"/>
          </w:tcPr>
          <w:p w14:paraId="4D4B56E1">
            <w:pPr>
              <w:rPr>
                <w:rFonts w:eastAsia="仿宋_GB2312"/>
                <w:kern w:val="0"/>
              </w:rPr>
            </w:pPr>
            <w:r>
              <w:rPr>
                <w:rFonts w:hint="eastAsia" w:eastAsia="仿宋_GB2312"/>
                <w:kern w:val="0"/>
              </w:rPr>
              <w:t>安全经费</w:t>
            </w:r>
          </w:p>
        </w:tc>
        <w:tc>
          <w:tcPr>
            <w:tcW w:w="4320" w:type="dxa"/>
            <w:vAlign w:val="center"/>
          </w:tcPr>
          <w:p w14:paraId="5E50C828">
            <w:pPr>
              <w:rPr>
                <w:rFonts w:eastAsia="仿宋_GB2312"/>
                <w:kern w:val="0"/>
              </w:rPr>
            </w:pPr>
            <w:r>
              <w:rPr>
                <w:rFonts w:hint="eastAsia" w:eastAsia="仿宋_GB2312"/>
                <w:kern w:val="0"/>
              </w:rPr>
              <w:t>5、未制定专项计划、建立专项台账、未审批、未专款专用的；每项扣0.5分。</w:t>
            </w:r>
          </w:p>
        </w:tc>
        <w:tc>
          <w:tcPr>
            <w:tcW w:w="780" w:type="dxa"/>
            <w:vMerge w:val="continue"/>
            <w:vAlign w:val="center"/>
          </w:tcPr>
          <w:p w14:paraId="5C1B9F3D">
            <w:pPr>
              <w:rPr>
                <w:rFonts w:eastAsia="仿宋_GB2312"/>
                <w:kern w:val="0"/>
              </w:rPr>
            </w:pPr>
          </w:p>
        </w:tc>
        <w:tc>
          <w:tcPr>
            <w:tcW w:w="880" w:type="dxa"/>
            <w:vAlign w:val="center"/>
          </w:tcPr>
          <w:p w14:paraId="2AB8D8E7">
            <w:pPr>
              <w:rPr>
                <w:rFonts w:eastAsia="仿宋_GB2312"/>
                <w:kern w:val="0"/>
              </w:rPr>
            </w:pPr>
          </w:p>
        </w:tc>
        <w:tc>
          <w:tcPr>
            <w:tcW w:w="760" w:type="dxa"/>
            <w:vAlign w:val="center"/>
          </w:tcPr>
          <w:p w14:paraId="1065E56C">
            <w:pPr>
              <w:rPr>
                <w:rFonts w:eastAsia="仿宋_GB2312"/>
                <w:kern w:val="0"/>
              </w:rPr>
            </w:pPr>
          </w:p>
        </w:tc>
        <w:tc>
          <w:tcPr>
            <w:tcW w:w="720" w:type="dxa"/>
            <w:vAlign w:val="center"/>
          </w:tcPr>
          <w:p w14:paraId="301F08FF">
            <w:pPr>
              <w:rPr>
                <w:rFonts w:eastAsia="仿宋_GB2312"/>
                <w:kern w:val="0"/>
              </w:rPr>
            </w:pPr>
          </w:p>
        </w:tc>
      </w:tr>
      <w:tr w14:paraId="4089C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0" w:type="auto"/>
            <w:vMerge w:val="continue"/>
            <w:vAlign w:val="center"/>
          </w:tcPr>
          <w:p w14:paraId="393D3E68">
            <w:pPr>
              <w:rPr>
                <w:rFonts w:eastAsia="仿宋_GB2312"/>
                <w:kern w:val="0"/>
              </w:rPr>
            </w:pPr>
          </w:p>
        </w:tc>
        <w:tc>
          <w:tcPr>
            <w:tcW w:w="1080" w:type="dxa"/>
            <w:vAlign w:val="center"/>
          </w:tcPr>
          <w:p w14:paraId="7D900128">
            <w:pPr>
              <w:rPr>
                <w:rFonts w:eastAsia="仿宋_GB2312"/>
                <w:kern w:val="0"/>
              </w:rPr>
            </w:pPr>
            <w:r>
              <w:rPr>
                <w:rFonts w:hint="eastAsia" w:eastAsia="仿宋_GB2312"/>
                <w:kern w:val="0"/>
              </w:rPr>
              <w:t>从业人员  维权</w:t>
            </w:r>
          </w:p>
        </w:tc>
        <w:tc>
          <w:tcPr>
            <w:tcW w:w="4320" w:type="dxa"/>
            <w:vAlign w:val="center"/>
          </w:tcPr>
          <w:p w14:paraId="18895285">
            <w:pPr>
              <w:rPr>
                <w:rFonts w:eastAsia="仿宋_GB2312"/>
                <w:kern w:val="0"/>
              </w:rPr>
            </w:pPr>
            <w:r>
              <w:rPr>
                <w:rFonts w:hint="eastAsia" w:eastAsia="仿宋_GB2312"/>
                <w:kern w:val="0"/>
              </w:rPr>
              <w:t>6、无用工手续；未按规定办理相关保险；未按标准发放劳动防护用品的；每项扣0.5分。</w:t>
            </w:r>
          </w:p>
        </w:tc>
        <w:tc>
          <w:tcPr>
            <w:tcW w:w="780" w:type="dxa"/>
            <w:vMerge w:val="continue"/>
            <w:vAlign w:val="center"/>
          </w:tcPr>
          <w:p w14:paraId="672F7CE0">
            <w:pPr>
              <w:rPr>
                <w:rFonts w:eastAsia="仿宋_GB2312"/>
                <w:kern w:val="0"/>
              </w:rPr>
            </w:pPr>
          </w:p>
        </w:tc>
        <w:tc>
          <w:tcPr>
            <w:tcW w:w="880" w:type="dxa"/>
            <w:vAlign w:val="center"/>
          </w:tcPr>
          <w:p w14:paraId="23D67EEF">
            <w:pPr>
              <w:rPr>
                <w:rFonts w:eastAsia="仿宋_GB2312"/>
                <w:kern w:val="0"/>
              </w:rPr>
            </w:pPr>
          </w:p>
        </w:tc>
        <w:tc>
          <w:tcPr>
            <w:tcW w:w="760" w:type="dxa"/>
            <w:vAlign w:val="center"/>
          </w:tcPr>
          <w:p w14:paraId="76D05D54">
            <w:pPr>
              <w:rPr>
                <w:rFonts w:eastAsia="仿宋_GB2312"/>
                <w:kern w:val="0"/>
              </w:rPr>
            </w:pPr>
          </w:p>
        </w:tc>
        <w:tc>
          <w:tcPr>
            <w:tcW w:w="720" w:type="dxa"/>
            <w:vAlign w:val="center"/>
          </w:tcPr>
          <w:p w14:paraId="32995CCC">
            <w:pPr>
              <w:rPr>
                <w:rFonts w:eastAsia="仿宋_GB2312"/>
                <w:kern w:val="0"/>
              </w:rPr>
            </w:pPr>
          </w:p>
        </w:tc>
      </w:tr>
      <w:tr w14:paraId="175A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80" w:type="dxa"/>
            <w:vMerge w:val="restart"/>
            <w:vAlign w:val="center"/>
          </w:tcPr>
          <w:p w14:paraId="01796A9C">
            <w:pPr>
              <w:rPr>
                <w:rFonts w:eastAsia="仿宋_GB2312"/>
                <w:kern w:val="0"/>
              </w:rPr>
            </w:pPr>
            <w:r>
              <w:rPr>
                <w:rFonts w:hint="eastAsia" w:eastAsia="仿宋_GB2312"/>
                <w:kern w:val="0"/>
              </w:rPr>
              <w:t>现场管理  （3）分</w:t>
            </w:r>
          </w:p>
        </w:tc>
        <w:tc>
          <w:tcPr>
            <w:tcW w:w="1080" w:type="dxa"/>
            <w:vAlign w:val="center"/>
          </w:tcPr>
          <w:p w14:paraId="29FBA24A">
            <w:pPr>
              <w:rPr>
                <w:rFonts w:eastAsia="仿宋_GB2312"/>
                <w:kern w:val="0"/>
              </w:rPr>
            </w:pPr>
            <w:r>
              <w:rPr>
                <w:rFonts w:hint="eastAsia" w:eastAsia="仿宋_GB2312"/>
                <w:kern w:val="0"/>
              </w:rPr>
              <w:t>安全教育  交底</w:t>
            </w:r>
          </w:p>
        </w:tc>
        <w:tc>
          <w:tcPr>
            <w:tcW w:w="4320" w:type="dxa"/>
            <w:vAlign w:val="center"/>
          </w:tcPr>
          <w:p w14:paraId="358DAC87">
            <w:pPr>
              <w:rPr>
                <w:rFonts w:eastAsia="仿宋_GB2312"/>
                <w:kern w:val="0"/>
              </w:rPr>
            </w:pPr>
            <w:r>
              <w:rPr>
                <w:rFonts w:hint="eastAsia" w:eastAsia="仿宋_GB2312"/>
                <w:kern w:val="0"/>
              </w:rPr>
              <w:t>1、未进行三级教育、安全贯标培训的；未根据各工种的特点进行上岗安全交底、交底无书面记录的；每项扣0.5分。</w:t>
            </w:r>
          </w:p>
        </w:tc>
        <w:tc>
          <w:tcPr>
            <w:tcW w:w="780" w:type="dxa"/>
            <w:vMerge w:val="restart"/>
            <w:vAlign w:val="center"/>
          </w:tcPr>
          <w:p w14:paraId="17208C80">
            <w:pPr>
              <w:ind w:firstLine="210" w:firstLineChars="100"/>
              <w:rPr>
                <w:rFonts w:eastAsia="仿宋_GB2312"/>
                <w:kern w:val="0"/>
              </w:rPr>
            </w:pPr>
            <w:r>
              <w:rPr>
                <w:rFonts w:hint="eastAsia" w:eastAsia="仿宋_GB2312"/>
                <w:kern w:val="0"/>
              </w:rPr>
              <w:t>3</w:t>
            </w:r>
          </w:p>
        </w:tc>
        <w:tc>
          <w:tcPr>
            <w:tcW w:w="880" w:type="dxa"/>
            <w:vAlign w:val="center"/>
          </w:tcPr>
          <w:p w14:paraId="56BAD760">
            <w:pPr>
              <w:rPr>
                <w:rFonts w:eastAsia="仿宋_GB2312"/>
                <w:kern w:val="0"/>
              </w:rPr>
            </w:pPr>
          </w:p>
        </w:tc>
        <w:tc>
          <w:tcPr>
            <w:tcW w:w="760" w:type="dxa"/>
            <w:vAlign w:val="center"/>
          </w:tcPr>
          <w:p w14:paraId="58E565A6">
            <w:pPr>
              <w:rPr>
                <w:rFonts w:eastAsia="仿宋_GB2312"/>
                <w:kern w:val="0"/>
              </w:rPr>
            </w:pPr>
          </w:p>
        </w:tc>
        <w:tc>
          <w:tcPr>
            <w:tcW w:w="720" w:type="dxa"/>
            <w:vAlign w:val="center"/>
          </w:tcPr>
          <w:p w14:paraId="73798118">
            <w:pPr>
              <w:rPr>
                <w:rFonts w:eastAsia="仿宋_GB2312"/>
                <w:kern w:val="0"/>
              </w:rPr>
            </w:pPr>
          </w:p>
        </w:tc>
      </w:tr>
      <w:tr w14:paraId="30FD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1080" w:type="dxa"/>
            <w:vMerge w:val="continue"/>
            <w:vAlign w:val="center"/>
          </w:tcPr>
          <w:p w14:paraId="04762FF8">
            <w:pPr>
              <w:rPr>
                <w:rFonts w:eastAsia="仿宋_GB2312"/>
                <w:kern w:val="0"/>
              </w:rPr>
            </w:pPr>
          </w:p>
        </w:tc>
        <w:tc>
          <w:tcPr>
            <w:tcW w:w="1080" w:type="dxa"/>
            <w:vAlign w:val="center"/>
          </w:tcPr>
          <w:p w14:paraId="451AE69B">
            <w:pPr>
              <w:rPr>
                <w:rFonts w:eastAsia="仿宋_GB2312"/>
                <w:kern w:val="0"/>
              </w:rPr>
            </w:pPr>
            <w:r>
              <w:rPr>
                <w:rFonts w:hint="eastAsia" w:eastAsia="仿宋_GB2312"/>
                <w:kern w:val="0"/>
              </w:rPr>
              <w:t>作业           控制与              防护</w:t>
            </w:r>
          </w:p>
        </w:tc>
        <w:tc>
          <w:tcPr>
            <w:tcW w:w="4320" w:type="dxa"/>
            <w:vAlign w:val="center"/>
          </w:tcPr>
          <w:p w14:paraId="340D93EA">
            <w:pPr>
              <w:rPr>
                <w:rFonts w:eastAsia="仿宋_GB2312"/>
                <w:kern w:val="0"/>
              </w:rPr>
            </w:pPr>
            <w:r>
              <w:rPr>
                <w:rFonts w:hint="eastAsia" w:eastAsia="仿宋_GB2312"/>
                <w:kern w:val="0"/>
              </w:rPr>
              <w:t>2、未按规范标准（专项方案）布设和撤除安全作业控制区的；各类施工（交通）标志、标牌制作不符规范标准等；安全围护设施的设置不符规范标准要求或缺失；车辆、机具违反进出现场、停放要求的；每项扣0.5分。</w:t>
            </w:r>
          </w:p>
        </w:tc>
        <w:tc>
          <w:tcPr>
            <w:tcW w:w="780" w:type="dxa"/>
            <w:vMerge w:val="continue"/>
            <w:noWrap/>
            <w:vAlign w:val="center"/>
          </w:tcPr>
          <w:p w14:paraId="07F0360D">
            <w:pPr>
              <w:rPr>
                <w:rFonts w:eastAsia="仿宋_GB2312"/>
                <w:kern w:val="0"/>
              </w:rPr>
            </w:pPr>
          </w:p>
        </w:tc>
        <w:tc>
          <w:tcPr>
            <w:tcW w:w="880" w:type="dxa"/>
            <w:vAlign w:val="center"/>
          </w:tcPr>
          <w:p w14:paraId="2556537C">
            <w:pPr>
              <w:rPr>
                <w:rFonts w:eastAsia="仿宋_GB2312"/>
                <w:kern w:val="0"/>
              </w:rPr>
            </w:pPr>
          </w:p>
        </w:tc>
        <w:tc>
          <w:tcPr>
            <w:tcW w:w="760" w:type="dxa"/>
            <w:vAlign w:val="center"/>
          </w:tcPr>
          <w:p w14:paraId="7BCD8FD0">
            <w:pPr>
              <w:rPr>
                <w:rFonts w:eastAsia="仿宋_GB2312"/>
                <w:kern w:val="0"/>
              </w:rPr>
            </w:pPr>
          </w:p>
        </w:tc>
        <w:tc>
          <w:tcPr>
            <w:tcW w:w="720" w:type="dxa"/>
            <w:vAlign w:val="center"/>
          </w:tcPr>
          <w:p w14:paraId="1813219D">
            <w:pPr>
              <w:rPr>
                <w:rFonts w:eastAsia="仿宋_GB2312"/>
                <w:kern w:val="0"/>
              </w:rPr>
            </w:pPr>
          </w:p>
        </w:tc>
      </w:tr>
      <w:tr w14:paraId="3442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80" w:type="dxa"/>
            <w:vMerge w:val="continue"/>
            <w:vAlign w:val="center"/>
          </w:tcPr>
          <w:p w14:paraId="0141007C">
            <w:pPr>
              <w:rPr>
                <w:rFonts w:eastAsia="仿宋_GB2312"/>
                <w:kern w:val="0"/>
              </w:rPr>
            </w:pPr>
          </w:p>
        </w:tc>
        <w:tc>
          <w:tcPr>
            <w:tcW w:w="1080" w:type="dxa"/>
            <w:vAlign w:val="center"/>
          </w:tcPr>
          <w:p w14:paraId="35BC4706">
            <w:pPr>
              <w:rPr>
                <w:rFonts w:eastAsia="仿宋_GB2312"/>
                <w:kern w:val="0"/>
              </w:rPr>
            </w:pPr>
            <w:r>
              <w:rPr>
                <w:rFonts w:hint="eastAsia" w:eastAsia="仿宋_GB2312"/>
                <w:kern w:val="0"/>
              </w:rPr>
              <w:t>人员配备</w:t>
            </w:r>
          </w:p>
        </w:tc>
        <w:tc>
          <w:tcPr>
            <w:tcW w:w="4320" w:type="dxa"/>
            <w:vAlign w:val="center"/>
          </w:tcPr>
          <w:p w14:paraId="12FD90F1">
            <w:pPr>
              <w:rPr>
                <w:rFonts w:eastAsia="仿宋_GB2312"/>
                <w:kern w:val="0"/>
              </w:rPr>
            </w:pPr>
            <w:r>
              <w:rPr>
                <w:rFonts w:hint="eastAsia" w:eastAsia="仿宋_GB2312"/>
                <w:kern w:val="0"/>
              </w:rPr>
              <w:t>3、安全员不到位；班组未按要求配置安全协管员的；每项扣1分；相关人员无安全证书、资料不全的；每项扣0.5分；</w:t>
            </w:r>
          </w:p>
        </w:tc>
        <w:tc>
          <w:tcPr>
            <w:tcW w:w="780" w:type="dxa"/>
            <w:vMerge w:val="continue"/>
            <w:noWrap/>
            <w:vAlign w:val="center"/>
          </w:tcPr>
          <w:p w14:paraId="24AE31BD">
            <w:pPr>
              <w:rPr>
                <w:rFonts w:eastAsia="仿宋_GB2312"/>
                <w:kern w:val="0"/>
              </w:rPr>
            </w:pPr>
          </w:p>
        </w:tc>
        <w:tc>
          <w:tcPr>
            <w:tcW w:w="880" w:type="dxa"/>
            <w:vAlign w:val="center"/>
          </w:tcPr>
          <w:p w14:paraId="49B6DE60">
            <w:pPr>
              <w:rPr>
                <w:rFonts w:eastAsia="仿宋_GB2312"/>
                <w:kern w:val="0"/>
              </w:rPr>
            </w:pPr>
          </w:p>
        </w:tc>
        <w:tc>
          <w:tcPr>
            <w:tcW w:w="760" w:type="dxa"/>
            <w:vAlign w:val="center"/>
          </w:tcPr>
          <w:p w14:paraId="077DE3FE">
            <w:pPr>
              <w:rPr>
                <w:rFonts w:eastAsia="仿宋_GB2312"/>
                <w:kern w:val="0"/>
              </w:rPr>
            </w:pPr>
          </w:p>
        </w:tc>
        <w:tc>
          <w:tcPr>
            <w:tcW w:w="720" w:type="dxa"/>
            <w:vAlign w:val="center"/>
          </w:tcPr>
          <w:p w14:paraId="03A035F5">
            <w:pPr>
              <w:rPr>
                <w:rFonts w:eastAsia="仿宋_GB2312"/>
                <w:kern w:val="0"/>
              </w:rPr>
            </w:pPr>
          </w:p>
        </w:tc>
      </w:tr>
      <w:tr w14:paraId="63D32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vAlign w:val="center"/>
          </w:tcPr>
          <w:p w14:paraId="7DA7F49E">
            <w:pPr>
              <w:rPr>
                <w:rFonts w:eastAsia="仿宋_GB2312"/>
                <w:kern w:val="0"/>
              </w:rPr>
            </w:pPr>
            <w:r>
              <w:rPr>
                <w:rFonts w:hint="eastAsia" w:eastAsia="仿宋_GB2312"/>
                <w:kern w:val="0"/>
              </w:rPr>
              <w:t>检查项目</w:t>
            </w:r>
          </w:p>
        </w:tc>
        <w:tc>
          <w:tcPr>
            <w:tcW w:w="1080" w:type="dxa"/>
            <w:vAlign w:val="center"/>
          </w:tcPr>
          <w:p w14:paraId="2F605460">
            <w:pPr>
              <w:rPr>
                <w:rFonts w:eastAsia="仿宋_GB2312"/>
                <w:kern w:val="0"/>
              </w:rPr>
            </w:pPr>
            <w:r>
              <w:rPr>
                <w:rFonts w:hint="eastAsia" w:eastAsia="仿宋_GB2312"/>
                <w:kern w:val="0"/>
              </w:rPr>
              <w:t>检查内容</w:t>
            </w:r>
          </w:p>
        </w:tc>
        <w:tc>
          <w:tcPr>
            <w:tcW w:w="4320" w:type="dxa"/>
            <w:vAlign w:val="center"/>
          </w:tcPr>
          <w:p w14:paraId="1D91ADD6">
            <w:pPr>
              <w:rPr>
                <w:rFonts w:eastAsia="仿宋_GB2312"/>
                <w:kern w:val="0"/>
              </w:rPr>
            </w:pPr>
            <w:r>
              <w:rPr>
                <w:rFonts w:hint="eastAsia" w:eastAsia="仿宋_GB2312"/>
                <w:kern w:val="0"/>
              </w:rPr>
              <w:t>现场检查扣分标准</w:t>
            </w:r>
          </w:p>
        </w:tc>
        <w:tc>
          <w:tcPr>
            <w:tcW w:w="780" w:type="dxa"/>
            <w:noWrap/>
            <w:vAlign w:val="center"/>
          </w:tcPr>
          <w:p w14:paraId="78C69EBD">
            <w:pPr>
              <w:rPr>
                <w:rFonts w:eastAsia="仿宋_GB2312"/>
                <w:kern w:val="0"/>
              </w:rPr>
            </w:pPr>
            <w:r>
              <w:rPr>
                <w:rFonts w:hint="eastAsia" w:eastAsia="仿宋_GB2312"/>
                <w:kern w:val="0"/>
              </w:rPr>
              <w:t>标准分</w:t>
            </w:r>
          </w:p>
        </w:tc>
        <w:tc>
          <w:tcPr>
            <w:tcW w:w="880" w:type="dxa"/>
            <w:vAlign w:val="center"/>
          </w:tcPr>
          <w:p w14:paraId="76C4BB1B">
            <w:pPr>
              <w:rPr>
                <w:rFonts w:eastAsia="仿宋_GB2312"/>
                <w:kern w:val="0"/>
              </w:rPr>
            </w:pPr>
            <w:r>
              <w:rPr>
                <w:rFonts w:hint="eastAsia" w:eastAsia="仿宋_GB2312"/>
                <w:kern w:val="0"/>
              </w:rPr>
              <w:t>扣分情况</w:t>
            </w:r>
          </w:p>
        </w:tc>
        <w:tc>
          <w:tcPr>
            <w:tcW w:w="760" w:type="dxa"/>
            <w:vAlign w:val="center"/>
          </w:tcPr>
          <w:p w14:paraId="744B0426">
            <w:pPr>
              <w:rPr>
                <w:rFonts w:eastAsia="仿宋_GB2312"/>
                <w:kern w:val="0"/>
              </w:rPr>
            </w:pPr>
            <w:r>
              <w:rPr>
                <w:rFonts w:hint="eastAsia" w:eastAsia="仿宋_GB2312"/>
                <w:kern w:val="0"/>
              </w:rPr>
              <w:t>扣分</w:t>
            </w:r>
          </w:p>
        </w:tc>
        <w:tc>
          <w:tcPr>
            <w:tcW w:w="720" w:type="dxa"/>
            <w:vAlign w:val="center"/>
          </w:tcPr>
          <w:p w14:paraId="7CEB240E">
            <w:pPr>
              <w:rPr>
                <w:rFonts w:eastAsia="仿宋_GB2312"/>
                <w:kern w:val="0"/>
              </w:rPr>
            </w:pPr>
            <w:r>
              <w:rPr>
                <w:rFonts w:hint="eastAsia" w:eastAsia="仿宋_GB2312"/>
                <w:kern w:val="0"/>
              </w:rPr>
              <w:t>实得分</w:t>
            </w:r>
          </w:p>
        </w:tc>
      </w:tr>
      <w:tr w14:paraId="1C192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restart"/>
            <w:vAlign w:val="center"/>
          </w:tcPr>
          <w:p w14:paraId="37DEFD3C">
            <w:pPr>
              <w:rPr>
                <w:rFonts w:eastAsia="仿宋_GB2312"/>
                <w:kern w:val="0"/>
              </w:rPr>
            </w:pPr>
            <w:r>
              <w:rPr>
                <w:rFonts w:hint="eastAsia" w:eastAsia="仿宋_GB2312"/>
                <w:kern w:val="0"/>
              </w:rPr>
              <w:t>现场管理  （3）分</w:t>
            </w:r>
          </w:p>
        </w:tc>
        <w:tc>
          <w:tcPr>
            <w:tcW w:w="1080" w:type="dxa"/>
            <w:vAlign w:val="center"/>
          </w:tcPr>
          <w:p w14:paraId="00A5AE22">
            <w:pPr>
              <w:rPr>
                <w:rFonts w:eastAsia="仿宋_GB2312"/>
                <w:kern w:val="0"/>
              </w:rPr>
            </w:pPr>
            <w:r>
              <w:rPr>
                <w:rFonts w:hint="eastAsia" w:eastAsia="仿宋_GB2312"/>
                <w:kern w:val="0"/>
              </w:rPr>
              <w:t>车辆设置</w:t>
            </w:r>
          </w:p>
        </w:tc>
        <w:tc>
          <w:tcPr>
            <w:tcW w:w="4320" w:type="dxa"/>
            <w:vAlign w:val="center"/>
          </w:tcPr>
          <w:p w14:paraId="6F15FED4">
            <w:pPr>
              <w:rPr>
                <w:rFonts w:eastAsia="仿宋_GB2312"/>
                <w:kern w:val="0"/>
              </w:rPr>
            </w:pPr>
            <w:r>
              <w:rPr>
                <w:rFonts w:hint="eastAsia" w:eastAsia="仿宋_GB2312"/>
                <w:kern w:val="0"/>
              </w:rPr>
              <w:t>4、未按规定配备移动式标志车辆和作业人员乘用车辆或不符标准要求；养护作业车辆未设置安全警示灯牌、标识；每项扣0.5分</w:t>
            </w:r>
          </w:p>
        </w:tc>
        <w:tc>
          <w:tcPr>
            <w:tcW w:w="780" w:type="dxa"/>
            <w:vMerge w:val="restart"/>
            <w:noWrap/>
            <w:vAlign w:val="center"/>
          </w:tcPr>
          <w:p w14:paraId="39DDF8DD">
            <w:pPr>
              <w:jc w:val="center"/>
              <w:rPr>
                <w:rFonts w:eastAsia="仿宋_GB2312"/>
                <w:kern w:val="0"/>
              </w:rPr>
            </w:pPr>
            <w:r>
              <w:rPr>
                <w:rFonts w:hint="eastAsia" w:eastAsia="仿宋_GB2312"/>
                <w:kern w:val="0"/>
              </w:rPr>
              <w:t>3</w:t>
            </w:r>
          </w:p>
        </w:tc>
        <w:tc>
          <w:tcPr>
            <w:tcW w:w="880" w:type="dxa"/>
            <w:vAlign w:val="center"/>
          </w:tcPr>
          <w:p w14:paraId="13A1003E">
            <w:pPr>
              <w:rPr>
                <w:rFonts w:eastAsia="仿宋_GB2312"/>
                <w:kern w:val="0"/>
              </w:rPr>
            </w:pPr>
          </w:p>
        </w:tc>
        <w:tc>
          <w:tcPr>
            <w:tcW w:w="760" w:type="dxa"/>
            <w:vAlign w:val="center"/>
          </w:tcPr>
          <w:p w14:paraId="229308B7">
            <w:pPr>
              <w:rPr>
                <w:rFonts w:eastAsia="仿宋_GB2312"/>
                <w:kern w:val="0"/>
              </w:rPr>
            </w:pPr>
          </w:p>
        </w:tc>
        <w:tc>
          <w:tcPr>
            <w:tcW w:w="720" w:type="dxa"/>
            <w:vAlign w:val="center"/>
          </w:tcPr>
          <w:p w14:paraId="7DC2252D">
            <w:pPr>
              <w:rPr>
                <w:rFonts w:eastAsia="仿宋_GB2312"/>
                <w:kern w:val="0"/>
              </w:rPr>
            </w:pPr>
          </w:p>
        </w:tc>
      </w:tr>
      <w:tr w14:paraId="4E59E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continue"/>
            <w:vAlign w:val="center"/>
          </w:tcPr>
          <w:p w14:paraId="0B1CFE99">
            <w:pPr>
              <w:rPr>
                <w:rFonts w:eastAsia="仿宋_GB2312"/>
                <w:kern w:val="0"/>
              </w:rPr>
            </w:pPr>
          </w:p>
        </w:tc>
        <w:tc>
          <w:tcPr>
            <w:tcW w:w="1080" w:type="dxa"/>
            <w:vAlign w:val="center"/>
          </w:tcPr>
          <w:p w14:paraId="725FFA76">
            <w:pPr>
              <w:rPr>
                <w:rFonts w:eastAsia="仿宋_GB2312"/>
                <w:kern w:val="0"/>
              </w:rPr>
            </w:pPr>
            <w:r>
              <w:rPr>
                <w:rFonts w:hint="eastAsia" w:eastAsia="仿宋_GB2312"/>
                <w:kern w:val="0"/>
              </w:rPr>
              <w:t>夜间作业</w:t>
            </w:r>
          </w:p>
        </w:tc>
        <w:tc>
          <w:tcPr>
            <w:tcW w:w="4320" w:type="dxa"/>
            <w:vAlign w:val="center"/>
          </w:tcPr>
          <w:p w14:paraId="67187AA0">
            <w:pPr>
              <w:rPr>
                <w:rFonts w:eastAsia="仿宋_GB2312"/>
                <w:kern w:val="0"/>
              </w:rPr>
            </w:pPr>
            <w:r>
              <w:rPr>
                <w:rFonts w:hint="eastAsia" w:eastAsia="仿宋_GB2312"/>
                <w:kern w:val="0"/>
              </w:rPr>
              <w:t>5、未按规范标准要求设置高度清晰频闪警示灯、导向灯牌或缺失的每项扣0.5分。</w:t>
            </w:r>
          </w:p>
        </w:tc>
        <w:tc>
          <w:tcPr>
            <w:tcW w:w="780" w:type="dxa"/>
            <w:vMerge w:val="continue"/>
            <w:noWrap/>
            <w:vAlign w:val="center"/>
          </w:tcPr>
          <w:p w14:paraId="31252C69">
            <w:pPr>
              <w:jc w:val="center"/>
              <w:rPr>
                <w:rFonts w:eastAsia="仿宋_GB2312"/>
                <w:kern w:val="0"/>
              </w:rPr>
            </w:pPr>
          </w:p>
        </w:tc>
        <w:tc>
          <w:tcPr>
            <w:tcW w:w="880" w:type="dxa"/>
            <w:vAlign w:val="center"/>
          </w:tcPr>
          <w:p w14:paraId="7A257B47">
            <w:pPr>
              <w:rPr>
                <w:rFonts w:eastAsia="仿宋_GB2312"/>
                <w:kern w:val="0"/>
              </w:rPr>
            </w:pPr>
          </w:p>
        </w:tc>
        <w:tc>
          <w:tcPr>
            <w:tcW w:w="760" w:type="dxa"/>
            <w:vAlign w:val="center"/>
          </w:tcPr>
          <w:p w14:paraId="0AF74968">
            <w:pPr>
              <w:rPr>
                <w:rFonts w:eastAsia="仿宋_GB2312"/>
                <w:kern w:val="0"/>
              </w:rPr>
            </w:pPr>
          </w:p>
        </w:tc>
        <w:tc>
          <w:tcPr>
            <w:tcW w:w="720" w:type="dxa"/>
            <w:vAlign w:val="center"/>
          </w:tcPr>
          <w:p w14:paraId="4BC7E2F0">
            <w:pPr>
              <w:rPr>
                <w:rFonts w:eastAsia="仿宋_GB2312"/>
                <w:kern w:val="0"/>
              </w:rPr>
            </w:pPr>
          </w:p>
        </w:tc>
      </w:tr>
      <w:tr w14:paraId="3A73A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vMerge w:val="continue"/>
            <w:vAlign w:val="center"/>
          </w:tcPr>
          <w:p w14:paraId="6A246284">
            <w:pPr>
              <w:rPr>
                <w:rFonts w:eastAsia="仿宋_GB2312"/>
                <w:kern w:val="0"/>
              </w:rPr>
            </w:pPr>
          </w:p>
        </w:tc>
        <w:tc>
          <w:tcPr>
            <w:tcW w:w="1080" w:type="dxa"/>
            <w:vAlign w:val="center"/>
          </w:tcPr>
          <w:p w14:paraId="10E44ADB">
            <w:pPr>
              <w:rPr>
                <w:rFonts w:eastAsia="仿宋_GB2312"/>
                <w:kern w:val="0"/>
              </w:rPr>
            </w:pPr>
            <w:r>
              <w:rPr>
                <w:rFonts w:hint="eastAsia" w:eastAsia="仿宋_GB2312"/>
                <w:kern w:val="0"/>
              </w:rPr>
              <w:t>现场防护</w:t>
            </w:r>
          </w:p>
        </w:tc>
        <w:tc>
          <w:tcPr>
            <w:tcW w:w="4320" w:type="dxa"/>
            <w:vAlign w:val="center"/>
          </w:tcPr>
          <w:p w14:paraId="2118726D">
            <w:pPr>
              <w:rPr>
                <w:rFonts w:eastAsia="仿宋_GB2312"/>
                <w:kern w:val="0"/>
              </w:rPr>
            </w:pPr>
            <w:r>
              <w:rPr>
                <w:rFonts w:hint="eastAsia" w:eastAsia="仿宋_GB2312"/>
                <w:kern w:val="0"/>
              </w:rPr>
              <w:t>6、现场未设置安全提示、警示标识标牌安全防护不符规范要求的每项扣0.5分。</w:t>
            </w:r>
          </w:p>
        </w:tc>
        <w:tc>
          <w:tcPr>
            <w:tcW w:w="780" w:type="dxa"/>
            <w:vMerge w:val="continue"/>
            <w:noWrap/>
            <w:vAlign w:val="center"/>
          </w:tcPr>
          <w:p w14:paraId="41EA8249">
            <w:pPr>
              <w:jc w:val="center"/>
              <w:rPr>
                <w:rFonts w:eastAsia="仿宋_GB2312"/>
                <w:kern w:val="0"/>
              </w:rPr>
            </w:pPr>
          </w:p>
        </w:tc>
        <w:tc>
          <w:tcPr>
            <w:tcW w:w="880" w:type="dxa"/>
            <w:vAlign w:val="center"/>
          </w:tcPr>
          <w:p w14:paraId="5C94F752">
            <w:pPr>
              <w:rPr>
                <w:rFonts w:eastAsia="仿宋_GB2312"/>
                <w:kern w:val="0"/>
              </w:rPr>
            </w:pPr>
          </w:p>
        </w:tc>
        <w:tc>
          <w:tcPr>
            <w:tcW w:w="760" w:type="dxa"/>
            <w:vAlign w:val="center"/>
          </w:tcPr>
          <w:p w14:paraId="59E0E598">
            <w:pPr>
              <w:rPr>
                <w:rFonts w:eastAsia="仿宋_GB2312"/>
                <w:kern w:val="0"/>
              </w:rPr>
            </w:pPr>
          </w:p>
        </w:tc>
        <w:tc>
          <w:tcPr>
            <w:tcW w:w="720" w:type="dxa"/>
            <w:vAlign w:val="center"/>
          </w:tcPr>
          <w:p w14:paraId="23D4EC23">
            <w:pPr>
              <w:rPr>
                <w:rFonts w:eastAsia="仿宋_GB2312"/>
                <w:kern w:val="0"/>
              </w:rPr>
            </w:pPr>
          </w:p>
        </w:tc>
      </w:tr>
      <w:tr w14:paraId="2455E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0" w:type="auto"/>
            <w:vMerge w:val="continue"/>
            <w:vAlign w:val="center"/>
          </w:tcPr>
          <w:p w14:paraId="02EB7F9B">
            <w:pPr>
              <w:rPr>
                <w:rFonts w:eastAsia="仿宋_GB2312"/>
                <w:kern w:val="0"/>
              </w:rPr>
            </w:pPr>
          </w:p>
        </w:tc>
        <w:tc>
          <w:tcPr>
            <w:tcW w:w="1080" w:type="dxa"/>
            <w:vAlign w:val="center"/>
          </w:tcPr>
          <w:p w14:paraId="1F8B1475">
            <w:pPr>
              <w:rPr>
                <w:rFonts w:eastAsia="仿宋_GB2312"/>
                <w:kern w:val="0"/>
              </w:rPr>
            </w:pPr>
            <w:r>
              <w:rPr>
                <w:rFonts w:hint="eastAsia" w:eastAsia="仿宋_GB2312"/>
                <w:kern w:val="0"/>
              </w:rPr>
              <w:t>人员防护</w:t>
            </w:r>
          </w:p>
        </w:tc>
        <w:tc>
          <w:tcPr>
            <w:tcW w:w="4320" w:type="dxa"/>
            <w:vAlign w:val="center"/>
          </w:tcPr>
          <w:p w14:paraId="359C9A5C">
            <w:pPr>
              <w:rPr>
                <w:rFonts w:eastAsia="仿宋_GB2312"/>
                <w:kern w:val="0"/>
              </w:rPr>
            </w:pPr>
            <w:r>
              <w:rPr>
                <w:rFonts w:hint="eastAsia" w:eastAsia="仿宋_GB2312"/>
                <w:kern w:val="0"/>
              </w:rPr>
              <w:t>7、养护施工作业人员未穿着统一桔红色带有反光功能工作套装、管理人员未穿反光背心进入现场的；未正确使用劳动防护用品的；每发现一人扣0.5分。</w:t>
            </w:r>
          </w:p>
        </w:tc>
        <w:tc>
          <w:tcPr>
            <w:tcW w:w="780" w:type="dxa"/>
            <w:vMerge w:val="continue"/>
            <w:noWrap/>
            <w:vAlign w:val="center"/>
          </w:tcPr>
          <w:p w14:paraId="53DA7B56">
            <w:pPr>
              <w:jc w:val="center"/>
              <w:rPr>
                <w:rFonts w:eastAsia="仿宋_GB2312"/>
                <w:kern w:val="0"/>
              </w:rPr>
            </w:pPr>
          </w:p>
        </w:tc>
        <w:tc>
          <w:tcPr>
            <w:tcW w:w="880" w:type="dxa"/>
            <w:vAlign w:val="center"/>
          </w:tcPr>
          <w:p w14:paraId="7FBA69C1">
            <w:pPr>
              <w:rPr>
                <w:rFonts w:eastAsia="仿宋_GB2312"/>
                <w:kern w:val="0"/>
              </w:rPr>
            </w:pPr>
          </w:p>
        </w:tc>
        <w:tc>
          <w:tcPr>
            <w:tcW w:w="760" w:type="dxa"/>
            <w:vAlign w:val="center"/>
          </w:tcPr>
          <w:p w14:paraId="2D781750">
            <w:pPr>
              <w:rPr>
                <w:rFonts w:eastAsia="仿宋_GB2312"/>
                <w:kern w:val="0"/>
              </w:rPr>
            </w:pPr>
          </w:p>
        </w:tc>
        <w:tc>
          <w:tcPr>
            <w:tcW w:w="720" w:type="dxa"/>
            <w:vAlign w:val="center"/>
          </w:tcPr>
          <w:p w14:paraId="732317D3">
            <w:pPr>
              <w:rPr>
                <w:rFonts w:eastAsia="仿宋_GB2312"/>
                <w:kern w:val="0"/>
              </w:rPr>
            </w:pPr>
          </w:p>
        </w:tc>
      </w:tr>
      <w:tr w14:paraId="12B7A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vMerge w:val="continue"/>
            <w:vAlign w:val="center"/>
          </w:tcPr>
          <w:p w14:paraId="0EEF5473">
            <w:pPr>
              <w:rPr>
                <w:rFonts w:eastAsia="仿宋_GB2312"/>
                <w:kern w:val="0"/>
              </w:rPr>
            </w:pPr>
          </w:p>
        </w:tc>
        <w:tc>
          <w:tcPr>
            <w:tcW w:w="1080" w:type="dxa"/>
            <w:vAlign w:val="center"/>
          </w:tcPr>
          <w:p w14:paraId="0E87664B">
            <w:pPr>
              <w:rPr>
                <w:rFonts w:eastAsia="仿宋_GB2312"/>
                <w:kern w:val="0"/>
              </w:rPr>
            </w:pPr>
            <w:r>
              <w:rPr>
                <w:rFonts w:hint="eastAsia" w:eastAsia="仿宋_GB2312"/>
                <w:kern w:val="0"/>
              </w:rPr>
              <w:t>安全检查</w:t>
            </w:r>
          </w:p>
        </w:tc>
        <w:tc>
          <w:tcPr>
            <w:tcW w:w="4320" w:type="dxa"/>
            <w:vAlign w:val="center"/>
          </w:tcPr>
          <w:p w14:paraId="7B6C0CA8">
            <w:pPr>
              <w:rPr>
                <w:rFonts w:eastAsia="仿宋_GB2312"/>
                <w:kern w:val="0"/>
              </w:rPr>
            </w:pPr>
            <w:r>
              <w:rPr>
                <w:rFonts w:hint="eastAsia" w:eastAsia="仿宋_GB2312"/>
                <w:kern w:val="0"/>
              </w:rPr>
              <w:t>8、未按制度落实班组每周安全检查、企业领导带队每季安全检查；安全隐患整改未做到“三定”的；每项扣0.5分；</w:t>
            </w:r>
          </w:p>
        </w:tc>
        <w:tc>
          <w:tcPr>
            <w:tcW w:w="780" w:type="dxa"/>
            <w:vMerge w:val="continue"/>
            <w:noWrap/>
            <w:vAlign w:val="center"/>
          </w:tcPr>
          <w:p w14:paraId="7B2E78D2">
            <w:pPr>
              <w:jc w:val="center"/>
              <w:rPr>
                <w:rFonts w:eastAsia="仿宋_GB2312"/>
                <w:kern w:val="0"/>
              </w:rPr>
            </w:pPr>
          </w:p>
        </w:tc>
        <w:tc>
          <w:tcPr>
            <w:tcW w:w="880" w:type="dxa"/>
            <w:vAlign w:val="center"/>
          </w:tcPr>
          <w:p w14:paraId="40DE10CB">
            <w:pPr>
              <w:rPr>
                <w:rFonts w:eastAsia="仿宋_GB2312"/>
                <w:kern w:val="0"/>
              </w:rPr>
            </w:pPr>
          </w:p>
        </w:tc>
        <w:tc>
          <w:tcPr>
            <w:tcW w:w="760" w:type="dxa"/>
            <w:vAlign w:val="center"/>
          </w:tcPr>
          <w:p w14:paraId="22370301">
            <w:pPr>
              <w:rPr>
                <w:rFonts w:eastAsia="仿宋_GB2312"/>
                <w:kern w:val="0"/>
              </w:rPr>
            </w:pPr>
          </w:p>
        </w:tc>
        <w:tc>
          <w:tcPr>
            <w:tcW w:w="720" w:type="dxa"/>
            <w:vAlign w:val="center"/>
          </w:tcPr>
          <w:p w14:paraId="337B0D3D">
            <w:pPr>
              <w:rPr>
                <w:rFonts w:eastAsia="仿宋_GB2312"/>
                <w:kern w:val="0"/>
              </w:rPr>
            </w:pPr>
          </w:p>
        </w:tc>
      </w:tr>
      <w:tr w14:paraId="400A4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14:paraId="2AD2253F">
            <w:pPr>
              <w:rPr>
                <w:rFonts w:eastAsia="仿宋_GB2312"/>
                <w:kern w:val="0"/>
              </w:rPr>
            </w:pPr>
          </w:p>
        </w:tc>
        <w:tc>
          <w:tcPr>
            <w:tcW w:w="1080" w:type="dxa"/>
            <w:vAlign w:val="center"/>
          </w:tcPr>
          <w:p w14:paraId="5AEBA4A6">
            <w:pPr>
              <w:rPr>
                <w:rFonts w:eastAsia="仿宋_GB2312"/>
                <w:kern w:val="0"/>
              </w:rPr>
            </w:pPr>
            <w:r>
              <w:rPr>
                <w:rFonts w:hint="eastAsia" w:eastAsia="仿宋_GB2312"/>
                <w:kern w:val="0"/>
              </w:rPr>
              <w:t xml:space="preserve">设施、设备      </w:t>
            </w:r>
          </w:p>
        </w:tc>
        <w:tc>
          <w:tcPr>
            <w:tcW w:w="4320" w:type="dxa"/>
            <w:vAlign w:val="center"/>
          </w:tcPr>
          <w:p w14:paraId="1D184814">
            <w:pPr>
              <w:rPr>
                <w:rFonts w:eastAsia="仿宋_GB2312"/>
                <w:kern w:val="0"/>
              </w:rPr>
            </w:pPr>
            <w:r>
              <w:rPr>
                <w:rFonts w:hint="eastAsia" w:eastAsia="仿宋_GB2312"/>
                <w:kern w:val="0"/>
              </w:rPr>
              <w:t>9、使用不符安全要求的设施设备、电器、机具；每项扣0.5分。</w:t>
            </w:r>
          </w:p>
        </w:tc>
        <w:tc>
          <w:tcPr>
            <w:tcW w:w="780" w:type="dxa"/>
            <w:vMerge w:val="continue"/>
            <w:noWrap/>
            <w:vAlign w:val="center"/>
          </w:tcPr>
          <w:p w14:paraId="4791DD97">
            <w:pPr>
              <w:jc w:val="center"/>
              <w:rPr>
                <w:rFonts w:eastAsia="仿宋_GB2312"/>
                <w:kern w:val="0"/>
              </w:rPr>
            </w:pPr>
          </w:p>
        </w:tc>
        <w:tc>
          <w:tcPr>
            <w:tcW w:w="880" w:type="dxa"/>
            <w:vAlign w:val="center"/>
          </w:tcPr>
          <w:p w14:paraId="41EEB7C8">
            <w:pPr>
              <w:rPr>
                <w:rFonts w:eastAsia="仿宋_GB2312"/>
                <w:kern w:val="0"/>
              </w:rPr>
            </w:pPr>
          </w:p>
        </w:tc>
        <w:tc>
          <w:tcPr>
            <w:tcW w:w="760" w:type="dxa"/>
            <w:vAlign w:val="center"/>
          </w:tcPr>
          <w:p w14:paraId="7E0D49E5">
            <w:pPr>
              <w:rPr>
                <w:rFonts w:eastAsia="仿宋_GB2312"/>
                <w:kern w:val="0"/>
              </w:rPr>
            </w:pPr>
          </w:p>
        </w:tc>
        <w:tc>
          <w:tcPr>
            <w:tcW w:w="720" w:type="dxa"/>
            <w:vAlign w:val="center"/>
          </w:tcPr>
          <w:p w14:paraId="5ED8D904">
            <w:pPr>
              <w:rPr>
                <w:rFonts w:eastAsia="仿宋_GB2312"/>
                <w:kern w:val="0"/>
              </w:rPr>
            </w:pPr>
          </w:p>
        </w:tc>
      </w:tr>
      <w:tr w14:paraId="5428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0" w:type="auto"/>
            <w:vMerge w:val="continue"/>
            <w:vAlign w:val="center"/>
          </w:tcPr>
          <w:p w14:paraId="665EAD16">
            <w:pPr>
              <w:rPr>
                <w:rFonts w:eastAsia="仿宋_GB2312"/>
                <w:kern w:val="0"/>
              </w:rPr>
            </w:pPr>
          </w:p>
        </w:tc>
        <w:tc>
          <w:tcPr>
            <w:tcW w:w="1080" w:type="dxa"/>
            <w:vMerge w:val="restart"/>
            <w:vAlign w:val="center"/>
          </w:tcPr>
          <w:p w14:paraId="59231E73">
            <w:pPr>
              <w:rPr>
                <w:rFonts w:eastAsia="仿宋_GB2312"/>
                <w:kern w:val="0"/>
              </w:rPr>
            </w:pPr>
            <w:r>
              <w:rPr>
                <w:rFonts w:hint="eastAsia" w:eastAsia="仿宋_GB2312"/>
                <w:kern w:val="0"/>
              </w:rPr>
              <w:t>用电</w:t>
            </w:r>
          </w:p>
        </w:tc>
        <w:tc>
          <w:tcPr>
            <w:tcW w:w="4320" w:type="dxa"/>
            <w:vAlign w:val="center"/>
          </w:tcPr>
          <w:p w14:paraId="33540C7A">
            <w:pPr>
              <w:rPr>
                <w:rFonts w:eastAsia="仿宋_GB2312"/>
                <w:kern w:val="0"/>
              </w:rPr>
            </w:pPr>
            <w:r>
              <w:rPr>
                <w:rFonts w:hint="eastAsia" w:eastAsia="仿宋_GB2312"/>
                <w:kern w:val="0"/>
              </w:rPr>
              <w:t>10、现场用电不规范；不符三级配电两级保护要求；用电未采用“一机、一箱、一闸、一漏”要求的；每项扣0.5分。</w:t>
            </w:r>
          </w:p>
        </w:tc>
        <w:tc>
          <w:tcPr>
            <w:tcW w:w="780" w:type="dxa"/>
            <w:vMerge w:val="continue"/>
            <w:noWrap/>
            <w:vAlign w:val="center"/>
          </w:tcPr>
          <w:p w14:paraId="3A6F70F9">
            <w:pPr>
              <w:jc w:val="center"/>
              <w:rPr>
                <w:rFonts w:eastAsia="仿宋_GB2312"/>
                <w:kern w:val="0"/>
              </w:rPr>
            </w:pPr>
          </w:p>
        </w:tc>
        <w:tc>
          <w:tcPr>
            <w:tcW w:w="880" w:type="dxa"/>
            <w:vAlign w:val="center"/>
          </w:tcPr>
          <w:p w14:paraId="604DD353">
            <w:pPr>
              <w:rPr>
                <w:rFonts w:eastAsia="仿宋_GB2312"/>
                <w:kern w:val="0"/>
              </w:rPr>
            </w:pPr>
          </w:p>
        </w:tc>
        <w:tc>
          <w:tcPr>
            <w:tcW w:w="760" w:type="dxa"/>
            <w:vAlign w:val="center"/>
          </w:tcPr>
          <w:p w14:paraId="24B1134F">
            <w:pPr>
              <w:rPr>
                <w:rFonts w:eastAsia="仿宋_GB2312"/>
                <w:kern w:val="0"/>
              </w:rPr>
            </w:pPr>
          </w:p>
        </w:tc>
        <w:tc>
          <w:tcPr>
            <w:tcW w:w="720" w:type="dxa"/>
            <w:vAlign w:val="center"/>
          </w:tcPr>
          <w:p w14:paraId="383E96B7">
            <w:pPr>
              <w:rPr>
                <w:rFonts w:eastAsia="仿宋_GB2312"/>
                <w:kern w:val="0"/>
              </w:rPr>
            </w:pPr>
          </w:p>
        </w:tc>
      </w:tr>
      <w:tr w14:paraId="28A75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14:paraId="39C9DD6E">
            <w:pPr>
              <w:rPr>
                <w:rFonts w:eastAsia="仿宋_GB2312"/>
                <w:kern w:val="0"/>
              </w:rPr>
            </w:pPr>
          </w:p>
        </w:tc>
        <w:tc>
          <w:tcPr>
            <w:tcW w:w="0" w:type="auto"/>
            <w:vMerge w:val="continue"/>
            <w:vAlign w:val="center"/>
          </w:tcPr>
          <w:p w14:paraId="10408F11">
            <w:pPr>
              <w:rPr>
                <w:rFonts w:eastAsia="仿宋_GB2312"/>
                <w:kern w:val="0"/>
              </w:rPr>
            </w:pPr>
          </w:p>
        </w:tc>
        <w:tc>
          <w:tcPr>
            <w:tcW w:w="4320" w:type="dxa"/>
            <w:vAlign w:val="center"/>
          </w:tcPr>
          <w:p w14:paraId="17BD4B4E">
            <w:pPr>
              <w:rPr>
                <w:rFonts w:eastAsia="仿宋_GB2312"/>
                <w:kern w:val="0"/>
              </w:rPr>
            </w:pPr>
            <w:r>
              <w:rPr>
                <w:rFonts w:hint="eastAsia" w:eastAsia="仿宋_GB2312"/>
                <w:kern w:val="0"/>
              </w:rPr>
              <w:t>11、未按规定要求对电气设备进行定期检查、检测、记录不全的；每项扣0.5分。</w:t>
            </w:r>
          </w:p>
        </w:tc>
        <w:tc>
          <w:tcPr>
            <w:tcW w:w="780" w:type="dxa"/>
            <w:vMerge w:val="continue"/>
            <w:noWrap/>
            <w:vAlign w:val="center"/>
          </w:tcPr>
          <w:p w14:paraId="53FEB7CA">
            <w:pPr>
              <w:jc w:val="center"/>
              <w:rPr>
                <w:rFonts w:eastAsia="仿宋_GB2312"/>
                <w:kern w:val="0"/>
              </w:rPr>
            </w:pPr>
          </w:p>
        </w:tc>
        <w:tc>
          <w:tcPr>
            <w:tcW w:w="880" w:type="dxa"/>
            <w:vAlign w:val="center"/>
          </w:tcPr>
          <w:p w14:paraId="6DDDB305">
            <w:pPr>
              <w:rPr>
                <w:rFonts w:eastAsia="仿宋_GB2312"/>
                <w:kern w:val="0"/>
              </w:rPr>
            </w:pPr>
          </w:p>
        </w:tc>
        <w:tc>
          <w:tcPr>
            <w:tcW w:w="760" w:type="dxa"/>
            <w:vAlign w:val="center"/>
          </w:tcPr>
          <w:p w14:paraId="6D29C392">
            <w:pPr>
              <w:rPr>
                <w:rFonts w:eastAsia="仿宋_GB2312"/>
                <w:kern w:val="0"/>
              </w:rPr>
            </w:pPr>
          </w:p>
        </w:tc>
        <w:tc>
          <w:tcPr>
            <w:tcW w:w="720" w:type="dxa"/>
            <w:vAlign w:val="center"/>
          </w:tcPr>
          <w:p w14:paraId="7640A282">
            <w:pPr>
              <w:rPr>
                <w:rFonts w:eastAsia="仿宋_GB2312"/>
                <w:kern w:val="0"/>
              </w:rPr>
            </w:pPr>
          </w:p>
        </w:tc>
      </w:tr>
      <w:tr w14:paraId="24A90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80" w:type="dxa"/>
            <w:vAlign w:val="center"/>
          </w:tcPr>
          <w:p w14:paraId="372BE735">
            <w:pPr>
              <w:jc w:val="center"/>
              <w:rPr>
                <w:rFonts w:eastAsia="仿宋_GB2312"/>
                <w:kern w:val="0"/>
              </w:rPr>
            </w:pPr>
            <w:r>
              <w:rPr>
                <w:rFonts w:hint="eastAsia" w:eastAsia="仿宋_GB2312"/>
                <w:kern w:val="0"/>
              </w:rPr>
              <w:t>合计</w:t>
            </w:r>
          </w:p>
        </w:tc>
        <w:tc>
          <w:tcPr>
            <w:tcW w:w="5400" w:type="dxa"/>
            <w:gridSpan w:val="2"/>
            <w:vAlign w:val="center"/>
          </w:tcPr>
          <w:p w14:paraId="2A51B3C6">
            <w:pPr>
              <w:rPr>
                <w:rFonts w:eastAsia="仿宋_GB2312"/>
                <w:kern w:val="0"/>
              </w:rPr>
            </w:pPr>
          </w:p>
        </w:tc>
        <w:tc>
          <w:tcPr>
            <w:tcW w:w="780" w:type="dxa"/>
            <w:vAlign w:val="center"/>
          </w:tcPr>
          <w:p w14:paraId="1B6A6C67">
            <w:pPr>
              <w:jc w:val="center"/>
              <w:rPr>
                <w:rFonts w:eastAsia="仿宋_GB2312"/>
                <w:kern w:val="0"/>
              </w:rPr>
            </w:pPr>
            <w:r>
              <w:rPr>
                <w:rFonts w:hint="eastAsia" w:eastAsia="仿宋_GB2312"/>
                <w:kern w:val="0"/>
              </w:rPr>
              <w:t>5</w:t>
            </w:r>
          </w:p>
        </w:tc>
        <w:tc>
          <w:tcPr>
            <w:tcW w:w="880" w:type="dxa"/>
            <w:vAlign w:val="center"/>
          </w:tcPr>
          <w:p w14:paraId="5CCD6B1B">
            <w:pPr>
              <w:rPr>
                <w:rFonts w:eastAsia="仿宋_GB2312"/>
                <w:kern w:val="0"/>
              </w:rPr>
            </w:pPr>
          </w:p>
        </w:tc>
        <w:tc>
          <w:tcPr>
            <w:tcW w:w="760" w:type="dxa"/>
            <w:vAlign w:val="center"/>
          </w:tcPr>
          <w:p w14:paraId="4F92D3C8">
            <w:pPr>
              <w:rPr>
                <w:rFonts w:eastAsia="仿宋_GB2312"/>
                <w:kern w:val="0"/>
              </w:rPr>
            </w:pPr>
          </w:p>
        </w:tc>
        <w:tc>
          <w:tcPr>
            <w:tcW w:w="720" w:type="dxa"/>
            <w:vAlign w:val="center"/>
          </w:tcPr>
          <w:p w14:paraId="4ED38BDA">
            <w:pPr>
              <w:rPr>
                <w:rFonts w:eastAsia="仿宋_GB2312"/>
                <w:kern w:val="0"/>
              </w:rPr>
            </w:pPr>
          </w:p>
        </w:tc>
      </w:tr>
    </w:tbl>
    <w:p w14:paraId="04B60BCE">
      <w:pPr>
        <w:ind w:right="720" w:firstLine="210" w:firstLineChars="100"/>
        <w:rPr>
          <w:rFonts w:ascii="仿宋" w:hAnsi="仿宋" w:eastAsia="仿宋" w:cs="Arial Unicode MS"/>
          <w:color w:val="000000"/>
          <w:kern w:val="0"/>
        </w:rPr>
      </w:pPr>
      <w:r>
        <w:rPr>
          <w:rFonts w:hint="eastAsia" w:ascii="仿宋" w:hAnsi="仿宋" w:eastAsia="仿宋" w:cs="Arial Unicode MS"/>
          <w:color w:val="000000"/>
          <w:kern w:val="0"/>
        </w:rPr>
        <w:t xml:space="preserve">检查人员：   </w:t>
      </w:r>
    </w:p>
    <w:p w14:paraId="56EF94C2">
      <w:pPr>
        <w:ind w:right="720" w:firstLine="210" w:firstLineChars="100"/>
        <w:rPr>
          <w:rFonts w:ascii="仿宋" w:hAnsi="仿宋" w:eastAsia="仿宋" w:cs="Arial Unicode MS"/>
          <w:color w:val="000000"/>
          <w:kern w:val="0"/>
        </w:rPr>
      </w:pPr>
      <w:r>
        <w:rPr>
          <w:rFonts w:hint="eastAsia" w:ascii="仿宋" w:hAnsi="仿宋" w:eastAsia="仿宋" w:cs="Arial Unicode MS"/>
          <w:color w:val="000000"/>
          <w:kern w:val="0"/>
        </w:rPr>
        <w:t xml:space="preserve">设施负责人签字：              </w:t>
      </w:r>
    </w:p>
    <w:p w14:paraId="402AB5C9">
      <w:pPr>
        <w:ind w:right="720" w:firstLine="210" w:firstLineChars="100"/>
        <w:rPr>
          <w:rFonts w:ascii="仿宋" w:hAnsi="仿宋" w:eastAsia="仿宋" w:cs="Arial Unicode MS"/>
          <w:color w:val="000000"/>
          <w:kern w:val="0"/>
        </w:rPr>
      </w:pPr>
      <w:r>
        <w:rPr>
          <w:rFonts w:hint="eastAsia" w:ascii="仿宋" w:hAnsi="仿宋" w:eastAsia="仿宋" w:cs="Arial Unicode MS"/>
          <w:color w:val="000000"/>
          <w:kern w:val="0"/>
        </w:rPr>
        <w:t>日期：      年      月     日</w:t>
      </w:r>
    </w:p>
    <w:p w14:paraId="418CBBA8">
      <w:pPr>
        <w:spacing w:before="120" w:beforeLines="50" w:after="120" w:afterLines="50" w:line="360" w:lineRule="auto"/>
        <w:jc w:val="center"/>
        <w:textAlignment w:val="auto"/>
        <w:rPr>
          <w:rFonts w:ascii="Times New Roman" w:hAnsi="华文中宋" w:eastAsia="华文中宋"/>
          <w:b/>
          <w:kern w:val="0"/>
          <w:sz w:val="32"/>
          <w:szCs w:val="32"/>
        </w:rPr>
      </w:pPr>
    </w:p>
    <w:p w14:paraId="4F07FB7D">
      <w:pPr>
        <w:spacing w:before="120" w:beforeLines="50" w:after="120" w:afterLines="50" w:line="360" w:lineRule="auto"/>
        <w:jc w:val="both"/>
        <w:textAlignment w:val="auto"/>
        <w:rPr>
          <w:rFonts w:ascii="Times New Roman" w:hAnsi="华文中宋" w:eastAsia="华文中宋"/>
          <w:b/>
          <w:kern w:val="0"/>
          <w:sz w:val="32"/>
          <w:szCs w:val="32"/>
        </w:rPr>
      </w:pPr>
      <w:r>
        <w:rPr>
          <w:rFonts w:hint="eastAsia" w:ascii="Times New Roman" w:hAnsi="华文中宋" w:eastAsia="华文中宋"/>
          <w:b/>
          <w:kern w:val="0"/>
          <w:sz w:val="32"/>
          <w:szCs w:val="32"/>
        </w:rPr>
        <w:br w:type="page"/>
      </w:r>
    </w:p>
    <w:p w14:paraId="0047D3FD">
      <w:pPr>
        <w:spacing w:before="120" w:beforeLines="50" w:after="120" w:afterLines="50" w:line="360" w:lineRule="auto"/>
        <w:jc w:val="center"/>
        <w:textAlignment w:val="auto"/>
        <w:rPr>
          <w:rFonts w:ascii="Times New Roman" w:hAnsi="华文中宋" w:eastAsia="华文中宋"/>
          <w:b/>
          <w:kern w:val="0"/>
          <w:sz w:val="32"/>
          <w:szCs w:val="32"/>
        </w:rPr>
      </w:pPr>
      <w:r>
        <w:rPr>
          <w:rFonts w:hint="eastAsia" w:ascii="Times New Roman" w:hAnsi="华文中宋" w:eastAsia="华文中宋"/>
          <w:b/>
          <w:kern w:val="0"/>
          <w:sz w:val="32"/>
          <w:szCs w:val="32"/>
        </w:rPr>
        <w:t>附录八  市管设施下部涂装保洁内业资料清单</w:t>
      </w:r>
      <w:bookmarkEnd w:id="15"/>
    </w:p>
    <w:tbl>
      <w:tblPr>
        <w:tblStyle w:val="37"/>
        <w:tblW w:w="10349" w:type="dxa"/>
        <w:jc w:val="center"/>
        <w:tblLayout w:type="autofit"/>
        <w:tblCellMar>
          <w:top w:w="0" w:type="dxa"/>
          <w:left w:w="108" w:type="dxa"/>
          <w:bottom w:w="0" w:type="dxa"/>
          <w:right w:w="108" w:type="dxa"/>
        </w:tblCellMar>
      </w:tblPr>
      <w:tblGrid>
        <w:gridCol w:w="724"/>
        <w:gridCol w:w="3700"/>
        <w:gridCol w:w="2636"/>
        <w:gridCol w:w="1134"/>
        <w:gridCol w:w="2155"/>
      </w:tblGrid>
      <w:tr w14:paraId="67CAF9DC">
        <w:tblPrEx>
          <w:tblCellMar>
            <w:top w:w="0" w:type="dxa"/>
            <w:left w:w="108" w:type="dxa"/>
            <w:bottom w:w="0" w:type="dxa"/>
            <w:right w:w="108" w:type="dxa"/>
          </w:tblCellMar>
        </w:tblPrEx>
        <w:trPr>
          <w:trHeight w:val="454" w:hRule="exact"/>
          <w:jc w:val="center"/>
        </w:trPr>
        <w:tc>
          <w:tcPr>
            <w:tcW w:w="724" w:type="dxa"/>
            <w:tcBorders>
              <w:top w:val="single" w:color="auto" w:sz="4" w:space="0"/>
              <w:left w:val="single" w:color="auto" w:sz="4" w:space="0"/>
              <w:bottom w:val="single" w:color="auto" w:sz="4" w:space="0"/>
              <w:right w:val="single" w:color="auto" w:sz="4" w:space="0"/>
            </w:tcBorders>
            <w:shd w:val="clear" w:color="auto" w:fill="D9D9D9"/>
            <w:vAlign w:val="center"/>
          </w:tcPr>
          <w:p w14:paraId="5E9C41C3">
            <w:pPr>
              <w:jc w:val="center"/>
              <w:textAlignment w:val="auto"/>
              <w:rPr>
                <w:rFonts w:ascii="黑体" w:hAnsi="黑体" w:eastAsia="黑体"/>
                <w:b/>
                <w:bCs/>
                <w:color w:val="000000"/>
                <w:kern w:val="0"/>
                <w:sz w:val="20"/>
                <w:szCs w:val="20"/>
              </w:rPr>
            </w:pPr>
            <w:r>
              <w:rPr>
                <w:rFonts w:ascii="黑体" w:hAnsi="黑体" w:eastAsia="黑体"/>
                <w:b/>
                <w:bCs/>
                <w:color w:val="000000"/>
                <w:kern w:val="0"/>
                <w:sz w:val="20"/>
                <w:szCs w:val="20"/>
              </w:rPr>
              <w:t>序号</w:t>
            </w:r>
          </w:p>
        </w:tc>
        <w:tc>
          <w:tcPr>
            <w:tcW w:w="3700" w:type="dxa"/>
            <w:tcBorders>
              <w:top w:val="single" w:color="auto" w:sz="4" w:space="0"/>
              <w:left w:val="nil"/>
              <w:bottom w:val="single" w:color="auto" w:sz="4" w:space="0"/>
              <w:right w:val="single" w:color="auto" w:sz="4" w:space="0"/>
            </w:tcBorders>
            <w:shd w:val="clear" w:color="auto" w:fill="D9D9D9"/>
            <w:vAlign w:val="center"/>
          </w:tcPr>
          <w:p w14:paraId="2B93C02B">
            <w:pPr>
              <w:jc w:val="center"/>
              <w:textAlignment w:val="auto"/>
              <w:rPr>
                <w:rFonts w:ascii="黑体" w:hAnsi="黑体" w:eastAsia="黑体"/>
                <w:b/>
                <w:bCs/>
                <w:color w:val="000000"/>
                <w:kern w:val="0"/>
                <w:sz w:val="20"/>
                <w:szCs w:val="20"/>
              </w:rPr>
            </w:pPr>
            <w:r>
              <w:rPr>
                <w:rFonts w:ascii="黑体" w:hAnsi="黑体" w:eastAsia="黑体"/>
                <w:b/>
                <w:bCs/>
                <w:color w:val="000000"/>
                <w:kern w:val="0"/>
                <w:sz w:val="20"/>
                <w:szCs w:val="20"/>
              </w:rPr>
              <w:t>审核文件</w:t>
            </w:r>
          </w:p>
        </w:tc>
        <w:tc>
          <w:tcPr>
            <w:tcW w:w="2636" w:type="dxa"/>
            <w:tcBorders>
              <w:top w:val="single" w:color="auto" w:sz="4" w:space="0"/>
              <w:left w:val="nil"/>
              <w:bottom w:val="single" w:color="auto" w:sz="4" w:space="0"/>
              <w:right w:val="single" w:color="auto" w:sz="4" w:space="0"/>
            </w:tcBorders>
            <w:shd w:val="clear" w:color="auto" w:fill="D9D9D9"/>
            <w:vAlign w:val="center"/>
          </w:tcPr>
          <w:p w14:paraId="5E3FE9D1">
            <w:pPr>
              <w:jc w:val="center"/>
              <w:textAlignment w:val="auto"/>
              <w:rPr>
                <w:rFonts w:ascii="黑体" w:hAnsi="黑体" w:eastAsia="黑体"/>
                <w:b/>
                <w:bCs/>
                <w:color w:val="000000"/>
                <w:kern w:val="0"/>
                <w:sz w:val="20"/>
                <w:szCs w:val="20"/>
              </w:rPr>
            </w:pPr>
            <w:r>
              <w:rPr>
                <w:rFonts w:ascii="黑体" w:hAnsi="黑体" w:eastAsia="黑体"/>
                <w:b/>
                <w:bCs/>
                <w:color w:val="000000"/>
                <w:kern w:val="0"/>
                <w:sz w:val="20"/>
                <w:szCs w:val="20"/>
              </w:rPr>
              <w:t>细化文件</w:t>
            </w:r>
          </w:p>
        </w:tc>
        <w:tc>
          <w:tcPr>
            <w:tcW w:w="1134" w:type="dxa"/>
            <w:tcBorders>
              <w:top w:val="single" w:color="auto" w:sz="4" w:space="0"/>
              <w:left w:val="nil"/>
              <w:bottom w:val="single" w:color="auto" w:sz="4" w:space="0"/>
              <w:right w:val="single" w:color="auto" w:sz="4" w:space="0"/>
            </w:tcBorders>
            <w:shd w:val="clear" w:color="auto" w:fill="D9D9D9"/>
            <w:vAlign w:val="center"/>
          </w:tcPr>
          <w:p w14:paraId="54F9D99B">
            <w:pPr>
              <w:jc w:val="center"/>
              <w:textAlignment w:val="auto"/>
              <w:rPr>
                <w:rFonts w:ascii="黑体" w:hAnsi="黑体" w:eastAsia="黑体"/>
                <w:b/>
                <w:bCs/>
                <w:color w:val="000000"/>
                <w:kern w:val="0"/>
                <w:sz w:val="20"/>
                <w:szCs w:val="20"/>
              </w:rPr>
            </w:pPr>
            <w:r>
              <w:rPr>
                <w:rFonts w:ascii="黑体" w:hAnsi="黑体" w:eastAsia="黑体"/>
                <w:b/>
                <w:bCs/>
                <w:color w:val="000000"/>
                <w:kern w:val="0"/>
                <w:sz w:val="20"/>
                <w:szCs w:val="20"/>
              </w:rPr>
              <w:t>频次</w:t>
            </w:r>
          </w:p>
        </w:tc>
        <w:tc>
          <w:tcPr>
            <w:tcW w:w="2155" w:type="dxa"/>
            <w:tcBorders>
              <w:top w:val="single" w:color="auto" w:sz="4" w:space="0"/>
              <w:left w:val="nil"/>
              <w:bottom w:val="single" w:color="auto" w:sz="4" w:space="0"/>
              <w:right w:val="single" w:color="auto" w:sz="4" w:space="0"/>
            </w:tcBorders>
            <w:shd w:val="clear" w:color="auto" w:fill="D9D9D9"/>
            <w:vAlign w:val="center"/>
          </w:tcPr>
          <w:p w14:paraId="101DF19E">
            <w:pPr>
              <w:jc w:val="center"/>
              <w:textAlignment w:val="auto"/>
              <w:rPr>
                <w:rFonts w:ascii="黑体" w:hAnsi="黑体" w:eastAsia="黑体"/>
                <w:b/>
                <w:bCs/>
                <w:color w:val="000000"/>
                <w:kern w:val="0"/>
                <w:sz w:val="20"/>
                <w:szCs w:val="20"/>
              </w:rPr>
            </w:pPr>
            <w:r>
              <w:rPr>
                <w:rFonts w:ascii="黑体" w:hAnsi="黑体" w:eastAsia="黑体"/>
                <w:b/>
                <w:bCs/>
                <w:color w:val="000000"/>
                <w:kern w:val="0"/>
                <w:sz w:val="20"/>
                <w:szCs w:val="20"/>
              </w:rPr>
              <w:t>备注</w:t>
            </w:r>
          </w:p>
        </w:tc>
      </w:tr>
      <w:tr w14:paraId="6BE9E041">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noWrap/>
            <w:vAlign w:val="center"/>
          </w:tcPr>
          <w:p w14:paraId="70E0675A">
            <w:pPr>
              <w:numPr>
                <w:ilvl w:val="0"/>
                <w:numId w:val="7"/>
              </w:numPr>
              <w:topLinePunct w:val="0"/>
              <w:adjustRightInd/>
              <w:snapToGrid/>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项目管理基本资料</w:t>
            </w:r>
          </w:p>
        </w:tc>
      </w:tr>
      <w:tr w14:paraId="4956183A">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064D017F">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nil"/>
              <w:bottom w:val="single" w:color="auto" w:sz="4" w:space="0"/>
              <w:right w:val="single" w:color="auto" w:sz="4" w:space="0"/>
            </w:tcBorders>
            <w:noWrap/>
            <w:vAlign w:val="center"/>
          </w:tcPr>
          <w:p w14:paraId="533F1D8F">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中标通知书、合同</w:t>
            </w:r>
          </w:p>
        </w:tc>
        <w:tc>
          <w:tcPr>
            <w:tcW w:w="2636" w:type="dxa"/>
            <w:tcBorders>
              <w:top w:val="nil"/>
              <w:left w:val="nil"/>
              <w:bottom w:val="single" w:color="auto" w:sz="4" w:space="0"/>
              <w:right w:val="single" w:color="auto" w:sz="4" w:space="0"/>
            </w:tcBorders>
            <w:noWrap/>
            <w:vAlign w:val="center"/>
          </w:tcPr>
          <w:p w14:paraId="375DC82C">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23D515EE">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noWrap/>
            <w:vAlign w:val="center"/>
          </w:tcPr>
          <w:p w14:paraId="40B70C0D">
            <w:pPr>
              <w:jc w:val="center"/>
              <w:textAlignment w:val="auto"/>
              <w:rPr>
                <w:rFonts w:ascii="仿宋_GB2312" w:hAnsi="Times New Roman" w:eastAsia="仿宋_GB2312"/>
                <w:color w:val="000000"/>
                <w:kern w:val="0"/>
                <w:sz w:val="20"/>
                <w:szCs w:val="20"/>
              </w:rPr>
            </w:pPr>
          </w:p>
        </w:tc>
      </w:tr>
      <w:tr w14:paraId="59593C82">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06EC4A2E">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2</w:t>
            </w:r>
          </w:p>
        </w:tc>
        <w:tc>
          <w:tcPr>
            <w:tcW w:w="3700" w:type="dxa"/>
            <w:tcBorders>
              <w:top w:val="nil"/>
              <w:left w:val="nil"/>
              <w:bottom w:val="single" w:color="auto" w:sz="4" w:space="0"/>
              <w:right w:val="single" w:color="auto" w:sz="4" w:space="0"/>
            </w:tcBorders>
            <w:noWrap/>
            <w:vAlign w:val="center"/>
          </w:tcPr>
          <w:p w14:paraId="31E689C6">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设施量汇总清单</w:t>
            </w:r>
          </w:p>
        </w:tc>
        <w:tc>
          <w:tcPr>
            <w:tcW w:w="2636" w:type="dxa"/>
            <w:tcBorders>
              <w:top w:val="nil"/>
              <w:left w:val="nil"/>
              <w:bottom w:val="single" w:color="auto" w:sz="4" w:space="0"/>
              <w:right w:val="single" w:color="auto" w:sz="4" w:space="0"/>
            </w:tcBorders>
            <w:noWrap/>
            <w:vAlign w:val="center"/>
          </w:tcPr>
          <w:p w14:paraId="74403A35">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5F05F5D1">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noWrap/>
            <w:vAlign w:val="center"/>
          </w:tcPr>
          <w:p w14:paraId="02B448CB">
            <w:pPr>
              <w:jc w:val="center"/>
              <w:textAlignment w:val="auto"/>
              <w:rPr>
                <w:rFonts w:ascii="仿宋_GB2312" w:hAnsi="Times New Roman" w:eastAsia="仿宋_GB2312"/>
                <w:color w:val="000000"/>
                <w:kern w:val="0"/>
                <w:sz w:val="20"/>
                <w:szCs w:val="20"/>
              </w:rPr>
            </w:pPr>
          </w:p>
        </w:tc>
      </w:tr>
      <w:tr w14:paraId="0E513D02">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4F7319E0">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3</w:t>
            </w:r>
          </w:p>
        </w:tc>
        <w:tc>
          <w:tcPr>
            <w:tcW w:w="3700" w:type="dxa"/>
            <w:tcBorders>
              <w:top w:val="nil"/>
              <w:left w:val="nil"/>
              <w:bottom w:val="single" w:color="auto" w:sz="4" w:space="0"/>
              <w:right w:val="single" w:color="auto" w:sz="4" w:space="0"/>
            </w:tcBorders>
            <w:vAlign w:val="center"/>
          </w:tcPr>
          <w:p w14:paraId="0DB47E45">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养护大纲（计划）方案</w:t>
            </w:r>
          </w:p>
        </w:tc>
        <w:tc>
          <w:tcPr>
            <w:tcW w:w="2636" w:type="dxa"/>
            <w:tcBorders>
              <w:top w:val="nil"/>
              <w:left w:val="nil"/>
              <w:bottom w:val="single" w:color="auto" w:sz="4" w:space="0"/>
              <w:right w:val="single" w:color="auto" w:sz="4" w:space="0"/>
            </w:tcBorders>
            <w:vAlign w:val="center"/>
          </w:tcPr>
          <w:p w14:paraId="605CD303">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641811E6">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0A738F68">
            <w:pPr>
              <w:jc w:val="center"/>
              <w:textAlignment w:val="auto"/>
              <w:rPr>
                <w:rFonts w:ascii="仿宋_GB2312" w:hAnsi="Times New Roman" w:eastAsia="仿宋_GB2312"/>
                <w:color w:val="000000"/>
                <w:kern w:val="0"/>
                <w:sz w:val="20"/>
                <w:szCs w:val="20"/>
              </w:rPr>
            </w:pPr>
          </w:p>
        </w:tc>
      </w:tr>
      <w:tr w14:paraId="47D3EC1B">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5D9E405B">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4</w:t>
            </w:r>
          </w:p>
        </w:tc>
        <w:tc>
          <w:tcPr>
            <w:tcW w:w="3700" w:type="dxa"/>
            <w:vMerge w:val="restart"/>
            <w:tcBorders>
              <w:top w:val="nil"/>
              <w:left w:val="single" w:color="auto" w:sz="4" w:space="0"/>
              <w:bottom w:val="single" w:color="000000" w:sz="4" w:space="0"/>
              <w:right w:val="single" w:color="auto" w:sz="4" w:space="0"/>
            </w:tcBorders>
            <w:vAlign w:val="center"/>
          </w:tcPr>
          <w:p w14:paraId="1B17B99A">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日常养护运行专项方案</w:t>
            </w:r>
          </w:p>
        </w:tc>
        <w:tc>
          <w:tcPr>
            <w:tcW w:w="2636" w:type="dxa"/>
            <w:tcBorders>
              <w:top w:val="nil"/>
              <w:left w:val="nil"/>
              <w:bottom w:val="single" w:color="auto" w:sz="4" w:space="0"/>
              <w:right w:val="single" w:color="auto" w:sz="4" w:space="0"/>
            </w:tcBorders>
            <w:vAlign w:val="center"/>
          </w:tcPr>
          <w:p w14:paraId="78381AEA">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日常巡视专项养护方案</w:t>
            </w:r>
          </w:p>
        </w:tc>
        <w:tc>
          <w:tcPr>
            <w:tcW w:w="1134" w:type="dxa"/>
            <w:tcBorders>
              <w:top w:val="nil"/>
              <w:left w:val="nil"/>
              <w:bottom w:val="single" w:color="auto" w:sz="4" w:space="0"/>
              <w:right w:val="single" w:color="auto" w:sz="4" w:space="0"/>
            </w:tcBorders>
            <w:vAlign w:val="center"/>
          </w:tcPr>
          <w:p w14:paraId="1B6D7846">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51ABD33F">
            <w:pPr>
              <w:jc w:val="center"/>
              <w:textAlignment w:val="auto"/>
              <w:rPr>
                <w:rFonts w:ascii="仿宋_GB2312" w:hAnsi="Times New Roman" w:eastAsia="仿宋_GB2312"/>
                <w:color w:val="000000"/>
                <w:kern w:val="0"/>
                <w:sz w:val="20"/>
                <w:szCs w:val="20"/>
              </w:rPr>
            </w:pPr>
          </w:p>
        </w:tc>
      </w:tr>
      <w:tr w14:paraId="227A77D4">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815A7F2">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5</w:t>
            </w:r>
          </w:p>
        </w:tc>
        <w:tc>
          <w:tcPr>
            <w:tcW w:w="3700" w:type="dxa"/>
            <w:vMerge w:val="continue"/>
            <w:tcBorders>
              <w:top w:val="nil"/>
              <w:left w:val="single" w:color="auto" w:sz="4" w:space="0"/>
              <w:bottom w:val="single" w:color="000000" w:sz="4" w:space="0"/>
              <w:right w:val="single" w:color="auto" w:sz="4" w:space="0"/>
            </w:tcBorders>
            <w:vAlign w:val="center"/>
          </w:tcPr>
          <w:p w14:paraId="61D8A41D">
            <w:pPr>
              <w:jc w:val="center"/>
              <w:textAlignment w:val="auto"/>
              <w:rPr>
                <w:rFonts w:ascii="仿宋_GB2312" w:hAnsi="Times New Roman" w:eastAsia="仿宋_GB2312"/>
                <w:color w:val="000000"/>
                <w:kern w:val="0"/>
                <w:sz w:val="20"/>
                <w:szCs w:val="20"/>
              </w:rPr>
            </w:pPr>
          </w:p>
        </w:tc>
        <w:tc>
          <w:tcPr>
            <w:tcW w:w="2636" w:type="dxa"/>
            <w:tcBorders>
              <w:top w:val="nil"/>
              <w:left w:val="nil"/>
              <w:bottom w:val="single" w:color="auto" w:sz="4" w:space="0"/>
              <w:right w:val="single" w:color="auto" w:sz="4" w:space="0"/>
            </w:tcBorders>
            <w:vAlign w:val="center"/>
          </w:tcPr>
          <w:p w14:paraId="4F1CC506">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重大活动保障专项养护方案</w:t>
            </w:r>
          </w:p>
        </w:tc>
        <w:tc>
          <w:tcPr>
            <w:tcW w:w="1134" w:type="dxa"/>
            <w:tcBorders>
              <w:top w:val="nil"/>
              <w:left w:val="nil"/>
              <w:bottom w:val="single" w:color="auto" w:sz="4" w:space="0"/>
              <w:right w:val="single" w:color="auto" w:sz="4" w:space="0"/>
            </w:tcBorders>
            <w:vAlign w:val="center"/>
          </w:tcPr>
          <w:p w14:paraId="1DBF64E1">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528DBC37">
            <w:pPr>
              <w:jc w:val="center"/>
              <w:textAlignment w:val="auto"/>
              <w:rPr>
                <w:rFonts w:ascii="仿宋_GB2312" w:hAnsi="Times New Roman" w:eastAsia="仿宋_GB2312"/>
                <w:color w:val="000000"/>
                <w:kern w:val="0"/>
                <w:sz w:val="20"/>
                <w:szCs w:val="20"/>
              </w:rPr>
            </w:pPr>
          </w:p>
        </w:tc>
      </w:tr>
      <w:tr w14:paraId="0D9FD0FF">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4F53BE6E">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6</w:t>
            </w:r>
          </w:p>
        </w:tc>
        <w:tc>
          <w:tcPr>
            <w:tcW w:w="3700" w:type="dxa"/>
            <w:tcBorders>
              <w:top w:val="nil"/>
              <w:left w:val="nil"/>
              <w:bottom w:val="single" w:color="auto" w:sz="4" w:space="0"/>
              <w:right w:val="single" w:color="auto" w:sz="4" w:space="0"/>
            </w:tcBorders>
            <w:vAlign w:val="center"/>
          </w:tcPr>
          <w:p w14:paraId="5ABD6790">
            <w:pPr>
              <w:jc w:val="center"/>
              <w:textAlignment w:val="auto"/>
              <w:rPr>
                <w:rFonts w:ascii="仿宋_GB2312" w:hAnsi="Times New Roman" w:eastAsia="仿宋_GB2312"/>
                <w:color w:val="000000"/>
                <w:kern w:val="0"/>
                <w:sz w:val="20"/>
                <w:szCs w:val="20"/>
              </w:rPr>
            </w:pPr>
            <w:r>
              <w:rPr>
                <w:rFonts w:hint="eastAsia" w:ascii="仿宋_GB2312" w:hAnsi="宋体" w:eastAsia="仿宋_GB2312"/>
                <w:sz w:val="20"/>
                <w:szCs w:val="20"/>
              </w:rPr>
              <w:t>主要材料供应单位汇总台帐</w:t>
            </w:r>
          </w:p>
        </w:tc>
        <w:tc>
          <w:tcPr>
            <w:tcW w:w="2636" w:type="dxa"/>
            <w:tcBorders>
              <w:top w:val="nil"/>
              <w:left w:val="nil"/>
              <w:bottom w:val="single" w:color="auto" w:sz="4" w:space="0"/>
              <w:right w:val="single" w:color="auto" w:sz="4" w:space="0"/>
            </w:tcBorders>
            <w:vAlign w:val="center"/>
          </w:tcPr>
          <w:p w14:paraId="2F3AE4D7">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0169EAAB">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575C5E70">
            <w:pPr>
              <w:jc w:val="center"/>
              <w:textAlignment w:val="auto"/>
              <w:rPr>
                <w:rFonts w:ascii="仿宋_GB2312" w:hAnsi="Times New Roman" w:eastAsia="仿宋_GB2312"/>
                <w:color w:val="000000"/>
                <w:kern w:val="0"/>
                <w:sz w:val="20"/>
                <w:szCs w:val="20"/>
              </w:rPr>
            </w:pPr>
          </w:p>
        </w:tc>
      </w:tr>
      <w:tr w14:paraId="0B51EF81">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47219191">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7</w:t>
            </w:r>
          </w:p>
        </w:tc>
        <w:tc>
          <w:tcPr>
            <w:tcW w:w="3700" w:type="dxa"/>
            <w:tcBorders>
              <w:top w:val="nil"/>
              <w:left w:val="nil"/>
              <w:bottom w:val="single" w:color="auto" w:sz="4" w:space="0"/>
              <w:right w:val="single" w:color="auto" w:sz="4" w:space="0"/>
            </w:tcBorders>
            <w:vAlign w:val="center"/>
          </w:tcPr>
          <w:p w14:paraId="6DDA33BA">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养护机械设备台账及相关合格证</w:t>
            </w:r>
          </w:p>
        </w:tc>
        <w:tc>
          <w:tcPr>
            <w:tcW w:w="2636" w:type="dxa"/>
            <w:tcBorders>
              <w:top w:val="nil"/>
              <w:left w:val="nil"/>
              <w:bottom w:val="single" w:color="auto" w:sz="4" w:space="0"/>
              <w:right w:val="single" w:color="auto" w:sz="4" w:space="0"/>
            </w:tcBorders>
            <w:vAlign w:val="center"/>
          </w:tcPr>
          <w:p w14:paraId="66FF4E6B">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巡视车、登高车等</w:t>
            </w:r>
          </w:p>
        </w:tc>
        <w:tc>
          <w:tcPr>
            <w:tcW w:w="1134" w:type="dxa"/>
            <w:tcBorders>
              <w:top w:val="nil"/>
              <w:left w:val="nil"/>
              <w:bottom w:val="single" w:color="auto" w:sz="4" w:space="0"/>
              <w:right w:val="single" w:color="auto" w:sz="4" w:space="0"/>
            </w:tcBorders>
            <w:vAlign w:val="center"/>
          </w:tcPr>
          <w:p w14:paraId="6B7055C8">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4F97BD9C">
            <w:pPr>
              <w:jc w:val="center"/>
              <w:textAlignment w:val="auto"/>
              <w:rPr>
                <w:rFonts w:ascii="仿宋_GB2312" w:hAnsi="Times New Roman" w:eastAsia="仿宋_GB2312"/>
                <w:color w:val="000000"/>
                <w:kern w:val="0"/>
                <w:sz w:val="20"/>
                <w:szCs w:val="20"/>
              </w:rPr>
            </w:pPr>
          </w:p>
        </w:tc>
      </w:tr>
      <w:tr w14:paraId="53B3C8E7">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615DD591">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8</w:t>
            </w:r>
          </w:p>
        </w:tc>
        <w:tc>
          <w:tcPr>
            <w:tcW w:w="3700" w:type="dxa"/>
            <w:tcBorders>
              <w:top w:val="nil"/>
              <w:left w:val="nil"/>
              <w:bottom w:val="single" w:color="auto" w:sz="4" w:space="0"/>
              <w:right w:val="single" w:color="auto" w:sz="4" w:space="0"/>
            </w:tcBorders>
            <w:vAlign w:val="center"/>
          </w:tcPr>
          <w:p w14:paraId="67D7143C">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企业安全诚信考核表</w:t>
            </w:r>
          </w:p>
        </w:tc>
        <w:tc>
          <w:tcPr>
            <w:tcW w:w="2636" w:type="dxa"/>
            <w:tcBorders>
              <w:top w:val="nil"/>
              <w:left w:val="nil"/>
              <w:bottom w:val="single" w:color="auto" w:sz="4" w:space="0"/>
              <w:right w:val="single" w:color="auto" w:sz="4" w:space="0"/>
            </w:tcBorders>
            <w:vAlign w:val="center"/>
          </w:tcPr>
          <w:p w14:paraId="4130259A">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6F1F5CAF">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21339A51">
            <w:pPr>
              <w:jc w:val="center"/>
              <w:textAlignment w:val="auto"/>
              <w:rPr>
                <w:rFonts w:ascii="仿宋_GB2312" w:hAnsi="Times New Roman" w:eastAsia="仿宋_GB2312"/>
                <w:color w:val="000000"/>
                <w:kern w:val="0"/>
                <w:sz w:val="20"/>
                <w:szCs w:val="20"/>
              </w:rPr>
            </w:pPr>
          </w:p>
        </w:tc>
      </w:tr>
      <w:tr w14:paraId="30A8D53F">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14:paraId="332F1797">
            <w:pPr>
              <w:numPr>
                <w:ilvl w:val="0"/>
                <w:numId w:val="7"/>
              </w:numPr>
              <w:topLinePunct w:val="0"/>
              <w:adjustRightInd/>
              <w:snapToGrid/>
              <w:jc w:val="center"/>
              <w:textAlignment w:val="auto"/>
              <w:rPr>
                <w:rFonts w:ascii="仿宋_GB2312" w:hAnsi="Times New Roman" w:eastAsia="仿宋_GB2312"/>
                <w:color w:val="000000"/>
                <w:kern w:val="0"/>
                <w:sz w:val="20"/>
                <w:szCs w:val="20"/>
              </w:rPr>
            </w:pPr>
            <w:r>
              <w:rPr>
                <w:rFonts w:hint="eastAsia" w:ascii="仿宋_GB2312" w:hAnsi="宋体" w:eastAsia="仿宋_GB2312"/>
                <w:color w:val="000000"/>
                <w:kern w:val="0"/>
                <w:sz w:val="20"/>
                <w:szCs w:val="20"/>
              </w:rPr>
              <w:t>养护过程管理资料</w:t>
            </w:r>
          </w:p>
        </w:tc>
      </w:tr>
      <w:tr w14:paraId="14EE05B4">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5809A01C">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nil"/>
              <w:bottom w:val="single" w:color="auto" w:sz="4" w:space="0"/>
              <w:right w:val="single" w:color="auto" w:sz="4" w:space="0"/>
            </w:tcBorders>
            <w:vAlign w:val="center"/>
          </w:tcPr>
          <w:p w14:paraId="0450444B">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月度日常养护工作计划</w:t>
            </w:r>
          </w:p>
        </w:tc>
        <w:tc>
          <w:tcPr>
            <w:tcW w:w="2636" w:type="dxa"/>
            <w:tcBorders>
              <w:top w:val="nil"/>
              <w:left w:val="nil"/>
              <w:bottom w:val="single" w:color="auto" w:sz="4" w:space="0"/>
              <w:right w:val="single" w:color="auto" w:sz="4" w:space="0"/>
            </w:tcBorders>
            <w:vAlign w:val="center"/>
          </w:tcPr>
          <w:p w14:paraId="165896DD">
            <w:pPr>
              <w:jc w:val="center"/>
              <w:textAlignment w:val="auto"/>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5FA056CD">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252EF15B">
            <w:pPr>
              <w:jc w:val="center"/>
              <w:textAlignment w:val="auto"/>
              <w:rPr>
                <w:rFonts w:ascii="仿宋_GB2312" w:hAnsi="Times New Roman" w:eastAsia="仿宋_GB2312"/>
                <w:kern w:val="0"/>
                <w:sz w:val="20"/>
                <w:szCs w:val="20"/>
              </w:rPr>
            </w:pPr>
          </w:p>
        </w:tc>
      </w:tr>
      <w:tr w14:paraId="1F13B6EE">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0A5D9579">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2</w:t>
            </w:r>
          </w:p>
        </w:tc>
        <w:tc>
          <w:tcPr>
            <w:tcW w:w="3700" w:type="dxa"/>
            <w:tcBorders>
              <w:top w:val="nil"/>
              <w:left w:val="nil"/>
              <w:bottom w:val="single" w:color="auto" w:sz="4" w:space="0"/>
              <w:right w:val="single" w:color="auto" w:sz="4" w:space="0"/>
            </w:tcBorders>
            <w:vAlign w:val="center"/>
          </w:tcPr>
          <w:p w14:paraId="433BF695">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月度养护运行工作小结</w:t>
            </w:r>
            <w:r>
              <w:rPr>
                <w:rFonts w:hint="eastAsia" w:ascii="仿宋_GB2312" w:hAnsi="Times New Roman" w:eastAsia="仿宋_GB2312"/>
                <w:color w:val="auto"/>
                <w:kern w:val="0"/>
                <w:sz w:val="20"/>
                <w:szCs w:val="20"/>
              </w:rPr>
              <w:t>（月报）</w:t>
            </w:r>
          </w:p>
        </w:tc>
        <w:tc>
          <w:tcPr>
            <w:tcW w:w="2636" w:type="dxa"/>
            <w:tcBorders>
              <w:top w:val="nil"/>
              <w:left w:val="nil"/>
              <w:bottom w:val="single" w:color="auto" w:sz="4" w:space="0"/>
              <w:right w:val="single" w:color="auto" w:sz="4" w:space="0"/>
            </w:tcBorders>
            <w:vAlign w:val="center"/>
          </w:tcPr>
          <w:p w14:paraId="6E6F91BC">
            <w:pPr>
              <w:jc w:val="center"/>
              <w:textAlignment w:val="auto"/>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4936D0CF">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56F5643F">
            <w:pPr>
              <w:jc w:val="center"/>
              <w:textAlignment w:val="auto"/>
              <w:rPr>
                <w:rFonts w:ascii="仿宋_GB2312" w:hAnsi="Times New Roman" w:eastAsia="仿宋_GB2312"/>
                <w:kern w:val="0"/>
                <w:sz w:val="20"/>
                <w:szCs w:val="20"/>
              </w:rPr>
            </w:pPr>
          </w:p>
        </w:tc>
      </w:tr>
      <w:tr w14:paraId="1F8ADA0B">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525D8D78">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3</w:t>
            </w:r>
          </w:p>
        </w:tc>
        <w:tc>
          <w:tcPr>
            <w:tcW w:w="3700" w:type="dxa"/>
            <w:tcBorders>
              <w:top w:val="nil"/>
              <w:left w:val="nil"/>
              <w:bottom w:val="single" w:color="auto" w:sz="4" w:space="0"/>
              <w:right w:val="single" w:color="auto" w:sz="4" w:space="0"/>
            </w:tcBorders>
            <w:vAlign w:val="center"/>
          </w:tcPr>
          <w:p w14:paraId="6A091998">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业主、监理指令回复记录</w:t>
            </w:r>
          </w:p>
        </w:tc>
        <w:tc>
          <w:tcPr>
            <w:tcW w:w="2636" w:type="dxa"/>
            <w:tcBorders>
              <w:top w:val="nil"/>
              <w:left w:val="nil"/>
              <w:bottom w:val="single" w:color="auto" w:sz="4" w:space="0"/>
              <w:right w:val="single" w:color="auto" w:sz="4" w:space="0"/>
            </w:tcBorders>
            <w:vAlign w:val="center"/>
          </w:tcPr>
          <w:p w14:paraId="7A27D6B9">
            <w:pPr>
              <w:jc w:val="center"/>
              <w:textAlignment w:val="auto"/>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656576BC">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按时</w:t>
            </w:r>
          </w:p>
        </w:tc>
        <w:tc>
          <w:tcPr>
            <w:tcW w:w="2155" w:type="dxa"/>
            <w:tcBorders>
              <w:top w:val="nil"/>
              <w:left w:val="nil"/>
              <w:bottom w:val="single" w:color="auto" w:sz="4" w:space="0"/>
              <w:right w:val="single" w:color="auto" w:sz="4" w:space="0"/>
            </w:tcBorders>
            <w:vAlign w:val="center"/>
          </w:tcPr>
          <w:p w14:paraId="0088EA22">
            <w:pPr>
              <w:jc w:val="center"/>
              <w:textAlignment w:val="auto"/>
              <w:rPr>
                <w:rFonts w:ascii="仿宋_GB2312" w:hAnsi="Times New Roman" w:eastAsia="仿宋_GB2312"/>
                <w:kern w:val="0"/>
                <w:sz w:val="20"/>
                <w:szCs w:val="20"/>
              </w:rPr>
            </w:pPr>
          </w:p>
        </w:tc>
      </w:tr>
      <w:tr w14:paraId="63D27D1A">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CDB9A9C">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4</w:t>
            </w:r>
          </w:p>
        </w:tc>
        <w:tc>
          <w:tcPr>
            <w:tcW w:w="3700" w:type="dxa"/>
            <w:tcBorders>
              <w:top w:val="nil"/>
              <w:left w:val="nil"/>
              <w:bottom w:val="single" w:color="auto" w:sz="4" w:space="0"/>
              <w:right w:val="single" w:color="auto" w:sz="4" w:space="0"/>
            </w:tcBorders>
            <w:vAlign w:val="center"/>
          </w:tcPr>
          <w:p w14:paraId="7FC72401">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媒体曝光、人民来信投诉处理月度汇总</w:t>
            </w:r>
          </w:p>
        </w:tc>
        <w:tc>
          <w:tcPr>
            <w:tcW w:w="2636" w:type="dxa"/>
            <w:tcBorders>
              <w:top w:val="nil"/>
              <w:left w:val="nil"/>
              <w:bottom w:val="single" w:color="auto" w:sz="4" w:space="0"/>
              <w:right w:val="single" w:color="auto" w:sz="4" w:space="0"/>
            </w:tcBorders>
            <w:vAlign w:val="center"/>
          </w:tcPr>
          <w:p w14:paraId="15BD2DF1">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15984441">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0D7F32F4">
            <w:pPr>
              <w:jc w:val="center"/>
              <w:textAlignment w:val="auto"/>
              <w:rPr>
                <w:rFonts w:ascii="仿宋_GB2312" w:hAnsi="Times New Roman" w:eastAsia="仿宋_GB2312"/>
                <w:kern w:val="0"/>
                <w:sz w:val="20"/>
                <w:szCs w:val="20"/>
              </w:rPr>
            </w:pPr>
          </w:p>
        </w:tc>
      </w:tr>
      <w:tr w14:paraId="76BDE28F">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14:paraId="1D162CB5">
            <w:pPr>
              <w:numPr>
                <w:ilvl w:val="0"/>
                <w:numId w:val="7"/>
              </w:numPr>
              <w:topLinePunct w:val="0"/>
              <w:adjustRightInd/>
              <w:snapToGrid/>
              <w:jc w:val="center"/>
              <w:textAlignment w:val="auto"/>
              <w:rPr>
                <w:rFonts w:ascii="仿宋_GB2312" w:hAnsi="Times New Roman" w:eastAsia="仿宋_GB2312"/>
                <w:color w:val="000000"/>
                <w:kern w:val="0"/>
                <w:sz w:val="20"/>
                <w:szCs w:val="20"/>
              </w:rPr>
            </w:pPr>
            <w:r>
              <w:rPr>
                <w:rFonts w:hint="eastAsia" w:ascii="仿宋_GB2312" w:hAnsi="宋体" w:eastAsia="仿宋_GB2312"/>
                <w:color w:val="000000"/>
                <w:kern w:val="0"/>
                <w:sz w:val="20"/>
                <w:szCs w:val="20"/>
              </w:rPr>
              <w:t>安全管理资料</w:t>
            </w:r>
          </w:p>
        </w:tc>
      </w:tr>
      <w:tr w14:paraId="38992D10">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vAlign w:val="center"/>
          </w:tcPr>
          <w:p w14:paraId="6DA97ABD">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single" w:color="auto" w:sz="4" w:space="0"/>
              <w:bottom w:val="single" w:color="000000" w:sz="4" w:space="0"/>
              <w:right w:val="single" w:color="auto" w:sz="4" w:space="0"/>
            </w:tcBorders>
            <w:vAlign w:val="center"/>
          </w:tcPr>
          <w:p w14:paraId="19D688FE">
            <w:pPr>
              <w:jc w:val="center"/>
              <w:textAlignment w:val="auto"/>
              <w:rPr>
                <w:rFonts w:ascii="仿宋_GB2312" w:hAnsi="Times New Roman" w:eastAsia="仿宋_GB2312"/>
                <w:kern w:val="0"/>
                <w:sz w:val="20"/>
                <w:szCs w:val="20"/>
              </w:rPr>
            </w:pPr>
            <w:r>
              <w:rPr>
                <w:rFonts w:hint="eastAsia" w:ascii="仿宋_GB2312" w:hAnsi="Times New Roman" w:eastAsia="仿宋_GB2312"/>
                <w:kern w:val="0"/>
                <w:sz w:val="20"/>
                <w:szCs w:val="20"/>
              </w:rPr>
              <w:t>各类应急预案</w:t>
            </w:r>
          </w:p>
        </w:tc>
        <w:tc>
          <w:tcPr>
            <w:tcW w:w="2636" w:type="dxa"/>
            <w:tcBorders>
              <w:top w:val="nil"/>
              <w:left w:val="nil"/>
              <w:bottom w:val="single" w:color="auto" w:sz="4" w:space="0"/>
              <w:right w:val="single" w:color="auto" w:sz="4" w:space="0"/>
            </w:tcBorders>
            <w:vAlign w:val="center"/>
          </w:tcPr>
          <w:p w14:paraId="56523424">
            <w:pPr>
              <w:jc w:val="center"/>
              <w:textAlignment w:val="auto"/>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2AA727F0">
            <w:pPr>
              <w:jc w:val="center"/>
              <w:textAlignment w:val="auto"/>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69B3FA60">
            <w:pPr>
              <w:jc w:val="center"/>
              <w:textAlignment w:val="auto"/>
              <w:rPr>
                <w:rFonts w:ascii="仿宋_GB2312" w:hAnsi="Times New Roman" w:eastAsia="仿宋_GB2312"/>
                <w:kern w:val="0"/>
                <w:sz w:val="20"/>
                <w:szCs w:val="20"/>
              </w:rPr>
            </w:pPr>
          </w:p>
        </w:tc>
      </w:tr>
    </w:tbl>
    <w:p w14:paraId="67627FC6">
      <w:pPr>
        <w:spacing w:line="500" w:lineRule="exact"/>
        <w:jc w:val="center"/>
        <w:textAlignment w:val="auto"/>
        <w:rPr>
          <w:rFonts w:ascii="Times New Roman" w:hAnsi="Times New Roman"/>
          <w:b/>
          <w:bCs/>
          <w:sz w:val="32"/>
          <w:szCs w:val="32"/>
        </w:rPr>
      </w:pPr>
      <w:r>
        <w:rPr>
          <w:rFonts w:ascii="Times New Roman" w:hAnsi="Times New Roman"/>
          <w:b/>
          <w:bCs/>
          <w:sz w:val="32"/>
          <w:szCs w:val="32"/>
        </w:rPr>
        <w:br w:type="page"/>
      </w:r>
    </w:p>
    <w:p w14:paraId="48CCBB47">
      <w:pPr>
        <w:spacing w:before="120" w:beforeLines="50" w:after="120" w:afterLines="50" w:line="360" w:lineRule="auto"/>
        <w:jc w:val="center"/>
        <w:textAlignment w:val="auto"/>
        <w:rPr>
          <w:rFonts w:ascii="Times New Roman" w:hAnsi="华文中宋" w:eastAsia="华文中宋"/>
          <w:b/>
          <w:kern w:val="0"/>
          <w:sz w:val="32"/>
          <w:szCs w:val="32"/>
        </w:rPr>
      </w:pPr>
      <w:r>
        <w:rPr>
          <w:rFonts w:hint="eastAsia" w:ascii="Times New Roman" w:hAnsi="华文中宋" w:eastAsia="华文中宋"/>
          <w:b/>
          <w:kern w:val="0"/>
          <w:sz w:val="32"/>
          <w:szCs w:val="32"/>
        </w:rPr>
        <w:t>附录九  市管设施下部涂装保洁季度考核评分表</w:t>
      </w:r>
    </w:p>
    <w:tbl>
      <w:tblPr>
        <w:tblStyle w:val="393"/>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539"/>
        <w:gridCol w:w="5103"/>
        <w:gridCol w:w="1418"/>
        <w:gridCol w:w="1417"/>
      </w:tblGrid>
      <w:tr w14:paraId="4109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343" w:type="dxa"/>
            <w:gridSpan w:val="5"/>
            <w:vAlign w:val="center"/>
          </w:tcPr>
          <w:p w14:paraId="71395F4B">
            <w:pPr>
              <w:jc w:val="center"/>
              <w:textAlignment w:val="auto"/>
              <w:rPr>
                <w:rFonts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6 </w:t>
            </w:r>
            <w:r>
              <w:rPr>
                <w:rFonts w:hint="eastAsia" w:ascii="黑体" w:hAnsi="黑体" w:eastAsia="黑体"/>
                <w:kern w:val="0"/>
                <w:sz w:val="28"/>
                <w:szCs w:val="32"/>
              </w:rPr>
              <w:t>市管设施下部涂装保洁季度定量考核评分表</w:t>
            </w:r>
          </w:p>
        </w:tc>
      </w:tr>
      <w:tr w14:paraId="2455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08" w:type="dxa"/>
            <w:gridSpan w:val="3"/>
            <w:vMerge w:val="restart"/>
            <w:vAlign w:val="center"/>
          </w:tcPr>
          <w:p w14:paraId="2B06D188">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考核设施：</w:t>
            </w:r>
          </w:p>
        </w:tc>
        <w:tc>
          <w:tcPr>
            <w:tcW w:w="2835" w:type="dxa"/>
            <w:gridSpan w:val="2"/>
            <w:vAlign w:val="center"/>
          </w:tcPr>
          <w:p w14:paraId="3FA126AC">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检查日期：</w:t>
            </w:r>
          </w:p>
        </w:tc>
      </w:tr>
      <w:tr w14:paraId="6E45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08" w:type="dxa"/>
            <w:gridSpan w:val="3"/>
            <w:vMerge w:val="continue"/>
            <w:vAlign w:val="center"/>
          </w:tcPr>
          <w:p w14:paraId="7C4DF9A2">
            <w:pPr>
              <w:jc w:val="both"/>
              <w:textAlignment w:val="auto"/>
              <w:rPr>
                <w:rFonts w:ascii="仿宋_GB2312" w:hAnsi="宋体" w:eastAsia="仿宋_GB2312"/>
                <w:kern w:val="0"/>
                <w:sz w:val="24"/>
                <w:szCs w:val="28"/>
                <w:u w:val="single"/>
              </w:rPr>
            </w:pPr>
          </w:p>
        </w:tc>
        <w:tc>
          <w:tcPr>
            <w:tcW w:w="2835" w:type="dxa"/>
            <w:gridSpan w:val="2"/>
            <w:vAlign w:val="center"/>
          </w:tcPr>
          <w:p w14:paraId="566EA892">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检查人员：</w:t>
            </w:r>
          </w:p>
        </w:tc>
      </w:tr>
      <w:tr w14:paraId="2E78B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6" w:type="dxa"/>
            <w:vAlign w:val="center"/>
          </w:tcPr>
          <w:p w14:paraId="088DDE2B">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序号</w:t>
            </w:r>
          </w:p>
        </w:tc>
        <w:tc>
          <w:tcPr>
            <w:tcW w:w="1539" w:type="dxa"/>
            <w:vAlign w:val="center"/>
          </w:tcPr>
          <w:p w14:paraId="4590CD32">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项目</w:t>
            </w:r>
          </w:p>
        </w:tc>
        <w:tc>
          <w:tcPr>
            <w:tcW w:w="5103" w:type="dxa"/>
            <w:vAlign w:val="center"/>
          </w:tcPr>
          <w:p w14:paraId="5F1CCC22">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评分标准</w:t>
            </w:r>
          </w:p>
        </w:tc>
        <w:tc>
          <w:tcPr>
            <w:tcW w:w="1418" w:type="dxa"/>
            <w:vAlign w:val="center"/>
          </w:tcPr>
          <w:p w14:paraId="6ED00D70">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标准分</w:t>
            </w:r>
          </w:p>
        </w:tc>
        <w:tc>
          <w:tcPr>
            <w:tcW w:w="1417" w:type="dxa"/>
            <w:vAlign w:val="center"/>
          </w:tcPr>
          <w:p w14:paraId="3EA080C4">
            <w:pPr>
              <w:spacing w:line="240" w:lineRule="exact"/>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考核得分</w:t>
            </w:r>
          </w:p>
        </w:tc>
      </w:tr>
      <w:tr w14:paraId="18B74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66" w:type="dxa"/>
            <w:vAlign w:val="center"/>
          </w:tcPr>
          <w:p w14:paraId="68BBA887">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w:t>
            </w:r>
          </w:p>
        </w:tc>
        <w:tc>
          <w:tcPr>
            <w:tcW w:w="1539" w:type="dxa"/>
            <w:vAlign w:val="center"/>
          </w:tcPr>
          <w:p w14:paraId="023D3204">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巡查覆盖率</w:t>
            </w:r>
          </w:p>
        </w:tc>
        <w:tc>
          <w:tcPr>
            <w:tcW w:w="5103" w:type="dxa"/>
            <w:vAlign w:val="center"/>
          </w:tcPr>
          <w:p w14:paraId="00B4774F">
            <w:pPr>
              <w:textAlignment w:val="auto"/>
              <w:rPr>
                <w:rFonts w:ascii="仿宋_GB2312" w:hAnsi="宋体" w:eastAsia="仿宋_GB2312"/>
                <w:kern w:val="0"/>
                <w:sz w:val="20"/>
                <w:szCs w:val="20"/>
              </w:rPr>
            </w:pPr>
            <w:r>
              <w:rPr>
                <w:rFonts w:hint="eastAsia" w:ascii="仿宋_GB2312" w:hAnsi="宋体" w:eastAsia="仿宋_GB2312"/>
                <w:kern w:val="0"/>
                <w:sz w:val="20"/>
                <w:szCs w:val="20"/>
              </w:rPr>
              <w:t>满分 10 分。养护单位应每3天对各自负责范围内的高架涂装层进行全覆盖巡查。巡视车辆GPS 巡查数据覆盖率达到里程的 90%以上，巡查覆盖率不合格的扣 1 分/天，扣完为止。</w:t>
            </w:r>
          </w:p>
        </w:tc>
        <w:tc>
          <w:tcPr>
            <w:tcW w:w="1418" w:type="dxa"/>
            <w:vAlign w:val="center"/>
          </w:tcPr>
          <w:p w14:paraId="2651B97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10</w:t>
            </w:r>
          </w:p>
        </w:tc>
        <w:tc>
          <w:tcPr>
            <w:tcW w:w="1417" w:type="dxa"/>
            <w:vAlign w:val="center"/>
          </w:tcPr>
          <w:p w14:paraId="2845CC31">
            <w:pPr>
              <w:jc w:val="center"/>
              <w:textAlignment w:val="auto"/>
              <w:rPr>
                <w:rFonts w:ascii="仿宋_GB2312" w:hAnsi="宋体" w:eastAsia="仿宋_GB2312"/>
                <w:kern w:val="0"/>
                <w:sz w:val="20"/>
                <w:szCs w:val="20"/>
              </w:rPr>
            </w:pPr>
          </w:p>
        </w:tc>
      </w:tr>
      <w:tr w14:paraId="6D87E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66" w:type="dxa"/>
            <w:vAlign w:val="center"/>
          </w:tcPr>
          <w:p w14:paraId="4B3A2D8A">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（2）</w:t>
            </w:r>
          </w:p>
        </w:tc>
        <w:tc>
          <w:tcPr>
            <w:tcW w:w="1539" w:type="dxa"/>
            <w:vAlign w:val="center"/>
          </w:tcPr>
          <w:p w14:paraId="11F1DD0B">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病害处置率</w:t>
            </w:r>
          </w:p>
        </w:tc>
        <w:tc>
          <w:tcPr>
            <w:tcW w:w="5103" w:type="dxa"/>
            <w:vAlign w:val="center"/>
          </w:tcPr>
          <w:p w14:paraId="06B998F6">
            <w:pPr>
              <w:textAlignment w:val="auto"/>
              <w:rPr>
                <w:rFonts w:ascii="仿宋_GB2312" w:hAnsi="宋体" w:eastAsia="仿宋_GB2312"/>
                <w:kern w:val="0"/>
                <w:sz w:val="20"/>
                <w:szCs w:val="20"/>
              </w:rPr>
            </w:pPr>
            <w:r>
              <w:rPr>
                <w:rFonts w:hint="eastAsia" w:ascii="仿宋_GB2312" w:hAnsi="宋体" w:eastAsia="仿宋_GB2312"/>
                <w:kern w:val="0"/>
                <w:sz w:val="20"/>
                <w:szCs w:val="20"/>
              </w:rPr>
              <w:t>满分 20 分。养护单位日常巡查发现的病害应及时录入至养护在线监管系统，并由监理单位复核其处置情况，在规定的处置时限内完成闭环。</w:t>
            </w:r>
          </w:p>
          <w:p w14:paraId="192DBE0E">
            <w:pPr>
              <w:textAlignment w:val="auto"/>
              <w:rPr>
                <w:rFonts w:ascii="仿宋_GB2312" w:hAnsi="宋体" w:eastAsia="仿宋_GB2312"/>
                <w:kern w:val="0"/>
                <w:sz w:val="20"/>
                <w:szCs w:val="20"/>
              </w:rPr>
            </w:pPr>
            <w:r>
              <w:rPr>
                <w:rFonts w:hint="eastAsia" w:ascii="仿宋_GB2312" w:hAnsi="宋体" w:eastAsia="仿宋_GB2312"/>
                <w:kern w:val="0"/>
                <w:sz w:val="20"/>
                <w:szCs w:val="20"/>
              </w:rPr>
              <w:t>（1）每季度上报养护在线监管系统的病害数量应达到相应标准，上报数量不少于180个/季度。未达到季度上报养护在线监管系统病害数量的扣 3 分。</w:t>
            </w:r>
          </w:p>
          <w:p w14:paraId="0AE0EAC4">
            <w:pPr>
              <w:textAlignment w:val="auto"/>
              <w:rPr>
                <w:rFonts w:ascii="仿宋_GB2312" w:hAnsi="宋体" w:eastAsia="仿宋_GB2312"/>
                <w:kern w:val="0"/>
                <w:sz w:val="20"/>
                <w:szCs w:val="20"/>
              </w:rPr>
            </w:pPr>
            <w:r>
              <w:rPr>
                <w:rFonts w:hint="eastAsia" w:ascii="仿宋_GB2312" w:hAnsi="宋体" w:eastAsia="仿宋_GB2312"/>
                <w:kern w:val="0"/>
                <w:sz w:val="20"/>
                <w:szCs w:val="20"/>
              </w:rPr>
              <w:t>（2）病害按规定要求已处置完成，数量不少于 240个/季度（含业主、监理上报病害）。未按规定要求处置完成的扣 2 分。</w:t>
            </w:r>
          </w:p>
          <w:p w14:paraId="719B2636">
            <w:pPr>
              <w:textAlignment w:val="auto"/>
              <w:rPr>
                <w:rFonts w:ascii="仿宋_GB2312" w:hAnsi="宋体" w:eastAsia="仿宋_GB2312"/>
                <w:kern w:val="0"/>
                <w:sz w:val="20"/>
                <w:szCs w:val="20"/>
              </w:rPr>
            </w:pPr>
            <w:r>
              <w:rPr>
                <w:rFonts w:hint="eastAsia" w:ascii="仿宋_GB2312" w:hAnsi="宋体" w:eastAsia="仿宋_GB2312"/>
                <w:kern w:val="0"/>
                <w:sz w:val="20"/>
                <w:szCs w:val="20"/>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tc>
        <w:tc>
          <w:tcPr>
            <w:tcW w:w="1418" w:type="dxa"/>
            <w:vAlign w:val="center"/>
          </w:tcPr>
          <w:p w14:paraId="6815CA9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20</w:t>
            </w:r>
          </w:p>
        </w:tc>
        <w:tc>
          <w:tcPr>
            <w:tcW w:w="1417" w:type="dxa"/>
            <w:vAlign w:val="center"/>
          </w:tcPr>
          <w:p w14:paraId="270B09E8">
            <w:pPr>
              <w:jc w:val="center"/>
              <w:textAlignment w:val="auto"/>
              <w:rPr>
                <w:rFonts w:ascii="仿宋_GB2312" w:hAnsi="宋体" w:eastAsia="仿宋_GB2312"/>
                <w:kern w:val="0"/>
                <w:sz w:val="20"/>
                <w:szCs w:val="20"/>
              </w:rPr>
            </w:pPr>
          </w:p>
        </w:tc>
      </w:tr>
      <w:tr w14:paraId="2CA2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14:paraId="11070F1A">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（3）</w:t>
            </w:r>
          </w:p>
        </w:tc>
        <w:tc>
          <w:tcPr>
            <w:tcW w:w="1539" w:type="dxa"/>
            <w:vAlign w:val="center"/>
          </w:tcPr>
          <w:p w14:paraId="56DB0A46">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计划执行率</w:t>
            </w:r>
          </w:p>
        </w:tc>
        <w:tc>
          <w:tcPr>
            <w:tcW w:w="5103" w:type="dxa"/>
            <w:vAlign w:val="center"/>
          </w:tcPr>
          <w:p w14:paraId="2C25F141">
            <w:pPr>
              <w:textAlignment w:val="auto"/>
              <w:rPr>
                <w:rFonts w:ascii="仿宋_GB2312" w:hAnsi="宋体" w:eastAsia="仿宋_GB2312"/>
                <w:kern w:val="0"/>
                <w:sz w:val="20"/>
                <w:szCs w:val="20"/>
              </w:rPr>
            </w:pPr>
            <w:r>
              <w:rPr>
                <w:rFonts w:hint="eastAsia" w:ascii="仿宋_GB2312" w:hAnsi="宋体" w:eastAsia="仿宋_GB2312"/>
                <w:kern w:val="0"/>
                <w:sz w:val="20"/>
                <w:szCs w:val="20"/>
              </w:rPr>
              <w:t>满分10分。养护单位应每周报送保洁作业计划，并填写实际完成情况，由监理单位进行审核，结果为已完成或未完成。对考核时间内的每日计划完成情况进行统计，季度计划执行率应达到100%，每降低1%扣2分，扣完为止。若因特殊原因出现未完成情况，需进行说明，由监理单位进行审核。</w:t>
            </w:r>
          </w:p>
        </w:tc>
        <w:tc>
          <w:tcPr>
            <w:tcW w:w="1418" w:type="dxa"/>
            <w:vAlign w:val="center"/>
          </w:tcPr>
          <w:p w14:paraId="46A50B9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20</w:t>
            </w:r>
          </w:p>
        </w:tc>
        <w:tc>
          <w:tcPr>
            <w:tcW w:w="1417" w:type="dxa"/>
            <w:vAlign w:val="center"/>
          </w:tcPr>
          <w:p w14:paraId="44B9F2C0">
            <w:pPr>
              <w:jc w:val="center"/>
              <w:textAlignment w:val="auto"/>
              <w:rPr>
                <w:rFonts w:ascii="仿宋_GB2312" w:hAnsi="宋体" w:eastAsia="仿宋_GB2312"/>
                <w:kern w:val="0"/>
                <w:sz w:val="20"/>
                <w:szCs w:val="20"/>
              </w:rPr>
            </w:pPr>
          </w:p>
        </w:tc>
      </w:tr>
      <w:tr w14:paraId="55CED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14:paraId="70858E8B">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（4）</w:t>
            </w:r>
          </w:p>
        </w:tc>
        <w:tc>
          <w:tcPr>
            <w:tcW w:w="1539" w:type="dxa"/>
            <w:vAlign w:val="center"/>
          </w:tcPr>
          <w:p w14:paraId="4EBA6EE5">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内业提交情况</w:t>
            </w:r>
          </w:p>
        </w:tc>
        <w:tc>
          <w:tcPr>
            <w:tcW w:w="5103" w:type="dxa"/>
            <w:vAlign w:val="center"/>
          </w:tcPr>
          <w:p w14:paraId="613D1F88">
            <w:pPr>
              <w:textAlignment w:val="auto"/>
              <w:rPr>
                <w:rFonts w:ascii="仿宋_GB2312" w:hAnsi="宋体" w:eastAsia="仿宋_GB2312"/>
                <w:kern w:val="0"/>
                <w:sz w:val="20"/>
                <w:szCs w:val="20"/>
              </w:rPr>
            </w:pPr>
            <w:r>
              <w:rPr>
                <w:rFonts w:hint="eastAsia" w:ascii="仿宋_GB2312" w:hAnsi="宋体" w:eastAsia="仿宋_GB2312"/>
                <w:kern w:val="0"/>
                <w:sz w:val="20"/>
                <w:szCs w:val="20"/>
              </w:rPr>
              <w:t>满分10分。养护单位应安排相对固定的人员负责保洁信息化系统管理工作，要求内业资料按时上报且齐全，及时反馈系统问题。保洁内业资料目录详见附录八，若未按时提交，扣2分/项，扣完为止。</w:t>
            </w:r>
          </w:p>
        </w:tc>
        <w:tc>
          <w:tcPr>
            <w:tcW w:w="1418" w:type="dxa"/>
            <w:vAlign w:val="center"/>
          </w:tcPr>
          <w:p w14:paraId="00EF842B">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10</w:t>
            </w:r>
          </w:p>
        </w:tc>
        <w:tc>
          <w:tcPr>
            <w:tcW w:w="1417" w:type="dxa"/>
            <w:vAlign w:val="center"/>
          </w:tcPr>
          <w:p w14:paraId="7FAE1E57">
            <w:pPr>
              <w:jc w:val="center"/>
              <w:textAlignment w:val="auto"/>
              <w:rPr>
                <w:rFonts w:ascii="仿宋_GB2312" w:hAnsi="宋体" w:eastAsia="仿宋_GB2312"/>
                <w:kern w:val="0"/>
                <w:sz w:val="20"/>
                <w:szCs w:val="20"/>
              </w:rPr>
            </w:pPr>
          </w:p>
        </w:tc>
      </w:tr>
      <w:tr w14:paraId="2E447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gridSpan w:val="2"/>
            <w:vAlign w:val="center"/>
          </w:tcPr>
          <w:p w14:paraId="7BF5B663">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保洁季度</w:t>
            </w:r>
          </w:p>
          <w:p w14:paraId="1C62DB5E">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定量得分</w:t>
            </w:r>
          </w:p>
        </w:tc>
        <w:tc>
          <w:tcPr>
            <w:tcW w:w="5103" w:type="dxa"/>
            <w:vAlign w:val="center"/>
          </w:tcPr>
          <w:p w14:paraId="1786721A">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（1）~（4）得分总和</w:t>
            </w:r>
          </w:p>
        </w:tc>
        <w:tc>
          <w:tcPr>
            <w:tcW w:w="1418" w:type="dxa"/>
            <w:vAlign w:val="center"/>
          </w:tcPr>
          <w:p w14:paraId="1BD417D4">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60</w:t>
            </w:r>
          </w:p>
        </w:tc>
        <w:tc>
          <w:tcPr>
            <w:tcW w:w="1417" w:type="dxa"/>
            <w:tcBorders>
              <w:bottom w:val="single" w:color="auto" w:sz="4" w:space="0"/>
            </w:tcBorders>
            <w:vAlign w:val="center"/>
          </w:tcPr>
          <w:p w14:paraId="32A2E553">
            <w:pPr>
              <w:jc w:val="center"/>
              <w:textAlignment w:val="auto"/>
              <w:rPr>
                <w:rFonts w:ascii="仿宋_GB2312" w:hAnsi="宋体" w:eastAsia="仿宋_GB2312"/>
                <w:kern w:val="0"/>
                <w:sz w:val="20"/>
                <w:szCs w:val="20"/>
              </w:rPr>
            </w:pPr>
          </w:p>
        </w:tc>
      </w:tr>
    </w:tbl>
    <w:p w14:paraId="144912C9">
      <w:pPr>
        <w:spacing w:line="500" w:lineRule="exact"/>
        <w:jc w:val="both"/>
        <w:textAlignment w:val="auto"/>
        <w:rPr>
          <w:rFonts w:ascii="Times New Roman" w:hAnsi="Times New Roman"/>
          <w:szCs w:val="21"/>
        </w:rPr>
      </w:pPr>
    </w:p>
    <w:p w14:paraId="52625D52">
      <w:pPr>
        <w:spacing w:line="500" w:lineRule="exact"/>
        <w:jc w:val="both"/>
        <w:textAlignment w:val="auto"/>
        <w:rPr>
          <w:rFonts w:ascii="Times New Roman" w:hAnsi="Times New Roman"/>
          <w:szCs w:val="21"/>
        </w:rPr>
      </w:pPr>
      <w:r>
        <w:rPr>
          <w:rFonts w:ascii="Times New Roman" w:hAnsi="Times New Roman"/>
          <w:szCs w:val="21"/>
        </w:rPr>
        <w:br w:type="page"/>
      </w:r>
    </w:p>
    <w:tbl>
      <w:tblPr>
        <w:tblStyle w:val="393"/>
        <w:tblpPr w:leftFromText="180" w:rightFromText="180" w:vertAnchor="page" w:horzAnchor="page" w:tblpX="658" w:tblpY="1427"/>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721"/>
        <w:gridCol w:w="1855"/>
        <w:gridCol w:w="2977"/>
        <w:gridCol w:w="992"/>
        <w:gridCol w:w="1417"/>
        <w:gridCol w:w="1418"/>
      </w:tblGrid>
      <w:tr w14:paraId="5E20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7"/>
            <w:vAlign w:val="center"/>
          </w:tcPr>
          <w:p w14:paraId="22A2E463">
            <w:pPr>
              <w:jc w:val="center"/>
              <w:textAlignment w:val="auto"/>
              <w:rPr>
                <w:rFonts w:ascii="宋体" w:hAnsi="宋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7 </w:t>
            </w:r>
            <w:r>
              <w:rPr>
                <w:rFonts w:hint="eastAsia" w:ascii="黑体" w:hAnsi="黑体" w:eastAsia="黑体"/>
                <w:kern w:val="0"/>
                <w:sz w:val="28"/>
                <w:szCs w:val="32"/>
              </w:rPr>
              <w:t>市管设施下部涂装保洁季度定性考核评分表</w:t>
            </w:r>
          </w:p>
        </w:tc>
      </w:tr>
      <w:tr w14:paraId="180F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516" w:type="dxa"/>
            <w:gridSpan w:val="4"/>
            <w:vMerge w:val="restart"/>
            <w:vAlign w:val="center"/>
          </w:tcPr>
          <w:p w14:paraId="1F50B450">
            <w:pPr>
              <w:jc w:val="both"/>
              <w:textAlignment w:val="auto"/>
              <w:rPr>
                <w:rFonts w:ascii="仿宋_GB2312" w:hAnsi="宋体" w:eastAsia="仿宋_GB2312"/>
                <w:kern w:val="0"/>
                <w:sz w:val="24"/>
                <w:szCs w:val="20"/>
              </w:rPr>
            </w:pPr>
            <w:r>
              <w:rPr>
                <w:rFonts w:hint="eastAsia" w:ascii="仿宋_GB2312" w:hAnsi="宋体" w:eastAsia="仿宋_GB2312"/>
                <w:kern w:val="0"/>
                <w:sz w:val="24"/>
                <w:szCs w:val="20"/>
              </w:rPr>
              <w:t>考核设施：</w:t>
            </w:r>
          </w:p>
        </w:tc>
        <w:tc>
          <w:tcPr>
            <w:tcW w:w="3827" w:type="dxa"/>
            <w:gridSpan w:val="3"/>
            <w:vAlign w:val="center"/>
          </w:tcPr>
          <w:p w14:paraId="76222C70">
            <w:pPr>
              <w:jc w:val="both"/>
              <w:textAlignment w:val="auto"/>
              <w:rPr>
                <w:rFonts w:ascii="仿宋_GB2312" w:hAnsi="宋体" w:eastAsia="仿宋_GB2312"/>
                <w:kern w:val="0"/>
                <w:sz w:val="24"/>
                <w:szCs w:val="20"/>
              </w:rPr>
            </w:pPr>
            <w:r>
              <w:rPr>
                <w:rFonts w:hint="eastAsia" w:ascii="仿宋_GB2312" w:hAnsi="宋体" w:eastAsia="仿宋_GB2312"/>
                <w:kern w:val="0"/>
                <w:sz w:val="24"/>
                <w:szCs w:val="20"/>
              </w:rPr>
              <w:t>检查日期：</w:t>
            </w:r>
          </w:p>
        </w:tc>
      </w:tr>
      <w:tr w14:paraId="3F5D6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516" w:type="dxa"/>
            <w:gridSpan w:val="4"/>
            <w:vMerge w:val="continue"/>
            <w:vAlign w:val="center"/>
          </w:tcPr>
          <w:p w14:paraId="2E74826C">
            <w:pPr>
              <w:jc w:val="both"/>
              <w:textAlignment w:val="auto"/>
              <w:rPr>
                <w:rFonts w:ascii="仿宋_GB2312" w:hAnsi="宋体" w:eastAsia="仿宋_GB2312"/>
                <w:kern w:val="0"/>
                <w:sz w:val="24"/>
                <w:szCs w:val="20"/>
                <w:u w:val="single"/>
              </w:rPr>
            </w:pPr>
          </w:p>
        </w:tc>
        <w:tc>
          <w:tcPr>
            <w:tcW w:w="3827" w:type="dxa"/>
            <w:gridSpan w:val="3"/>
            <w:vAlign w:val="center"/>
          </w:tcPr>
          <w:p w14:paraId="46BC42D9">
            <w:pPr>
              <w:jc w:val="both"/>
              <w:textAlignment w:val="auto"/>
              <w:rPr>
                <w:rFonts w:ascii="仿宋_GB2312" w:hAnsi="宋体" w:eastAsia="仿宋_GB2312"/>
                <w:kern w:val="0"/>
                <w:sz w:val="24"/>
                <w:szCs w:val="20"/>
              </w:rPr>
            </w:pPr>
            <w:r>
              <w:rPr>
                <w:rFonts w:hint="eastAsia" w:ascii="仿宋_GB2312" w:hAnsi="宋体" w:eastAsia="仿宋_GB2312"/>
                <w:kern w:val="0"/>
                <w:sz w:val="24"/>
                <w:szCs w:val="20"/>
              </w:rPr>
              <w:t>检查人员：</w:t>
            </w:r>
          </w:p>
        </w:tc>
      </w:tr>
      <w:tr w14:paraId="227A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63" w:type="dxa"/>
            <w:vAlign w:val="center"/>
          </w:tcPr>
          <w:p w14:paraId="7C84001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序号</w:t>
            </w:r>
          </w:p>
        </w:tc>
        <w:tc>
          <w:tcPr>
            <w:tcW w:w="2576" w:type="dxa"/>
            <w:gridSpan w:val="2"/>
            <w:vAlign w:val="center"/>
          </w:tcPr>
          <w:p w14:paraId="6F05725C">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项目</w:t>
            </w:r>
          </w:p>
        </w:tc>
        <w:tc>
          <w:tcPr>
            <w:tcW w:w="2977" w:type="dxa"/>
            <w:vAlign w:val="center"/>
          </w:tcPr>
          <w:p w14:paraId="3F01302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评分标准</w:t>
            </w:r>
          </w:p>
        </w:tc>
        <w:tc>
          <w:tcPr>
            <w:tcW w:w="992" w:type="dxa"/>
            <w:vAlign w:val="center"/>
          </w:tcPr>
          <w:p w14:paraId="2BA218D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标准分</w:t>
            </w:r>
          </w:p>
        </w:tc>
        <w:tc>
          <w:tcPr>
            <w:tcW w:w="1417" w:type="dxa"/>
            <w:vAlign w:val="center"/>
          </w:tcPr>
          <w:p w14:paraId="049F0E67">
            <w:pPr>
              <w:spacing w:line="240" w:lineRule="exact"/>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考核得分</w:t>
            </w:r>
          </w:p>
        </w:tc>
        <w:tc>
          <w:tcPr>
            <w:tcW w:w="1418" w:type="dxa"/>
            <w:vAlign w:val="center"/>
          </w:tcPr>
          <w:p w14:paraId="64F83E49">
            <w:pPr>
              <w:spacing w:line="240" w:lineRule="exact"/>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检查记录</w:t>
            </w:r>
          </w:p>
        </w:tc>
      </w:tr>
      <w:tr w14:paraId="0D829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4E6311CD">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w:t>
            </w:r>
          </w:p>
        </w:tc>
        <w:tc>
          <w:tcPr>
            <w:tcW w:w="721" w:type="dxa"/>
            <w:vMerge w:val="restart"/>
            <w:vAlign w:val="center"/>
          </w:tcPr>
          <w:p w14:paraId="49AECEAC">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外场检查</w:t>
            </w:r>
          </w:p>
        </w:tc>
        <w:tc>
          <w:tcPr>
            <w:tcW w:w="1855" w:type="dxa"/>
            <w:vAlign w:val="center"/>
          </w:tcPr>
          <w:p w14:paraId="523B7739">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涂装层(2米以下)</w:t>
            </w:r>
          </w:p>
        </w:tc>
        <w:tc>
          <w:tcPr>
            <w:tcW w:w="2977" w:type="dxa"/>
            <w:vAlign w:val="center"/>
          </w:tcPr>
          <w:p w14:paraId="4E599E46">
            <w:pPr>
              <w:jc w:val="both"/>
              <w:textAlignment w:val="auto"/>
              <w:rPr>
                <w:rFonts w:ascii="仿宋_GB2312" w:hAnsi="宋体" w:eastAsia="仿宋_GB2312"/>
                <w:kern w:val="0"/>
                <w:sz w:val="20"/>
                <w:szCs w:val="20"/>
              </w:rPr>
            </w:pPr>
            <w:r>
              <w:rPr>
                <w:rFonts w:hint="eastAsia" w:ascii="仿宋_GB2312" w:hAnsi="宋体" w:eastAsia="仿宋_GB2312"/>
                <w:kern w:val="0"/>
                <w:sz w:val="20"/>
                <w:szCs w:val="20"/>
              </w:rPr>
              <w:t>表面清洁，无明显泥尘、污垢，雨后三天无泥渍、污渍。不合格扣0.5分/处。</w:t>
            </w:r>
          </w:p>
        </w:tc>
        <w:tc>
          <w:tcPr>
            <w:tcW w:w="992" w:type="dxa"/>
            <w:vAlign w:val="center"/>
          </w:tcPr>
          <w:p w14:paraId="5F19B1BA">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10</w:t>
            </w:r>
          </w:p>
        </w:tc>
        <w:tc>
          <w:tcPr>
            <w:tcW w:w="1417" w:type="dxa"/>
            <w:vAlign w:val="center"/>
          </w:tcPr>
          <w:p w14:paraId="77C425A7">
            <w:pPr>
              <w:jc w:val="center"/>
              <w:textAlignment w:val="auto"/>
              <w:rPr>
                <w:rFonts w:ascii="仿宋_GB2312" w:hAnsi="宋体" w:eastAsia="仿宋_GB2312"/>
                <w:kern w:val="0"/>
                <w:sz w:val="20"/>
                <w:szCs w:val="20"/>
              </w:rPr>
            </w:pPr>
          </w:p>
        </w:tc>
        <w:tc>
          <w:tcPr>
            <w:tcW w:w="1418" w:type="dxa"/>
            <w:vAlign w:val="center"/>
          </w:tcPr>
          <w:p w14:paraId="3AE565E3">
            <w:pPr>
              <w:jc w:val="center"/>
              <w:textAlignment w:val="auto"/>
              <w:rPr>
                <w:rFonts w:ascii="仿宋_GB2312" w:hAnsi="宋体" w:eastAsia="仿宋_GB2312"/>
                <w:kern w:val="0"/>
                <w:sz w:val="20"/>
                <w:szCs w:val="20"/>
              </w:rPr>
            </w:pPr>
          </w:p>
        </w:tc>
      </w:tr>
      <w:tr w14:paraId="5E78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65DFE81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(2)</w:t>
            </w:r>
          </w:p>
        </w:tc>
        <w:tc>
          <w:tcPr>
            <w:tcW w:w="721" w:type="dxa"/>
            <w:vMerge w:val="continue"/>
            <w:vAlign w:val="center"/>
          </w:tcPr>
          <w:p w14:paraId="59D7042E">
            <w:pPr>
              <w:jc w:val="center"/>
              <w:textAlignment w:val="auto"/>
              <w:rPr>
                <w:rFonts w:ascii="仿宋_GB2312" w:hAnsi="宋体" w:eastAsia="仿宋_GB2312"/>
                <w:kern w:val="0"/>
                <w:sz w:val="20"/>
                <w:szCs w:val="20"/>
              </w:rPr>
            </w:pPr>
          </w:p>
        </w:tc>
        <w:tc>
          <w:tcPr>
            <w:tcW w:w="1855" w:type="dxa"/>
            <w:vAlign w:val="center"/>
          </w:tcPr>
          <w:p w14:paraId="28C84C67">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涂装层(2米以上)</w:t>
            </w:r>
          </w:p>
        </w:tc>
        <w:tc>
          <w:tcPr>
            <w:tcW w:w="2977" w:type="dxa"/>
            <w:vAlign w:val="center"/>
          </w:tcPr>
          <w:p w14:paraId="2727D047">
            <w:pPr>
              <w:jc w:val="both"/>
              <w:textAlignment w:val="auto"/>
              <w:rPr>
                <w:rFonts w:ascii="仿宋_GB2312" w:hAnsi="宋体" w:eastAsia="仿宋_GB2312"/>
                <w:kern w:val="0"/>
                <w:sz w:val="20"/>
                <w:szCs w:val="20"/>
              </w:rPr>
            </w:pPr>
            <w:r>
              <w:rPr>
                <w:rFonts w:hint="eastAsia" w:ascii="仿宋_GB2312" w:hAnsi="宋体" w:eastAsia="仿宋_GB2312"/>
                <w:kern w:val="0"/>
                <w:sz w:val="20"/>
                <w:szCs w:val="20"/>
              </w:rPr>
              <w:t>表面清洁，无明显泥尘、污垢，雨后三天无污渍。不合格扣0.5分/处。</w:t>
            </w:r>
          </w:p>
        </w:tc>
        <w:tc>
          <w:tcPr>
            <w:tcW w:w="992" w:type="dxa"/>
            <w:vAlign w:val="center"/>
          </w:tcPr>
          <w:p w14:paraId="3D6E0ADC">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10</w:t>
            </w:r>
          </w:p>
        </w:tc>
        <w:tc>
          <w:tcPr>
            <w:tcW w:w="1417" w:type="dxa"/>
            <w:vAlign w:val="center"/>
          </w:tcPr>
          <w:p w14:paraId="41A3764F">
            <w:pPr>
              <w:jc w:val="center"/>
              <w:textAlignment w:val="auto"/>
              <w:rPr>
                <w:rFonts w:ascii="仿宋_GB2312" w:hAnsi="宋体" w:eastAsia="仿宋_GB2312"/>
                <w:kern w:val="0"/>
                <w:sz w:val="20"/>
                <w:szCs w:val="20"/>
              </w:rPr>
            </w:pPr>
          </w:p>
        </w:tc>
        <w:tc>
          <w:tcPr>
            <w:tcW w:w="1418" w:type="dxa"/>
            <w:vAlign w:val="center"/>
          </w:tcPr>
          <w:p w14:paraId="36FE8D1E">
            <w:pPr>
              <w:jc w:val="center"/>
              <w:textAlignment w:val="auto"/>
              <w:rPr>
                <w:rFonts w:ascii="仿宋_GB2312" w:hAnsi="宋体" w:eastAsia="仿宋_GB2312"/>
                <w:kern w:val="0"/>
                <w:sz w:val="20"/>
                <w:szCs w:val="20"/>
              </w:rPr>
            </w:pPr>
          </w:p>
        </w:tc>
      </w:tr>
      <w:tr w14:paraId="4876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4EAA7D4D">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（3）</w:t>
            </w:r>
          </w:p>
        </w:tc>
        <w:tc>
          <w:tcPr>
            <w:tcW w:w="721" w:type="dxa"/>
            <w:vMerge w:val="continue"/>
            <w:vAlign w:val="center"/>
          </w:tcPr>
          <w:p w14:paraId="7D95E071">
            <w:pPr>
              <w:jc w:val="center"/>
              <w:textAlignment w:val="auto"/>
              <w:rPr>
                <w:rFonts w:ascii="仿宋_GB2312" w:hAnsi="宋体" w:eastAsia="仿宋_GB2312"/>
                <w:kern w:val="0"/>
                <w:sz w:val="20"/>
                <w:szCs w:val="20"/>
              </w:rPr>
            </w:pPr>
          </w:p>
        </w:tc>
        <w:tc>
          <w:tcPr>
            <w:tcW w:w="1855" w:type="dxa"/>
            <w:vAlign w:val="center"/>
          </w:tcPr>
          <w:p w14:paraId="79D03759">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涂装层修补</w:t>
            </w:r>
          </w:p>
        </w:tc>
        <w:tc>
          <w:tcPr>
            <w:tcW w:w="2977" w:type="dxa"/>
            <w:vAlign w:val="center"/>
          </w:tcPr>
          <w:p w14:paraId="43E84B8A">
            <w:pPr>
              <w:jc w:val="both"/>
              <w:textAlignment w:val="auto"/>
              <w:rPr>
                <w:rFonts w:ascii="仿宋_GB2312" w:hAnsi="宋体" w:eastAsia="仿宋_GB2312"/>
                <w:kern w:val="0"/>
                <w:sz w:val="20"/>
                <w:szCs w:val="20"/>
              </w:rPr>
            </w:pPr>
            <w:r>
              <w:rPr>
                <w:rFonts w:hint="eastAsia" w:ascii="仿宋_GB2312" w:hAnsi="宋体" w:eastAsia="仿宋_GB2312"/>
                <w:kern w:val="0"/>
                <w:sz w:val="20"/>
                <w:szCs w:val="20"/>
              </w:rPr>
              <w:t>表面光滑、洁净、色泽均匀、无抹纹。不合格扣0.5分/处。</w:t>
            </w:r>
          </w:p>
        </w:tc>
        <w:tc>
          <w:tcPr>
            <w:tcW w:w="992" w:type="dxa"/>
            <w:vAlign w:val="center"/>
          </w:tcPr>
          <w:p w14:paraId="41A6D0DD">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5</w:t>
            </w:r>
          </w:p>
        </w:tc>
        <w:tc>
          <w:tcPr>
            <w:tcW w:w="1417" w:type="dxa"/>
            <w:vAlign w:val="center"/>
          </w:tcPr>
          <w:p w14:paraId="37A77F0F">
            <w:pPr>
              <w:jc w:val="center"/>
              <w:textAlignment w:val="auto"/>
              <w:rPr>
                <w:rFonts w:ascii="仿宋_GB2312" w:hAnsi="宋体" w:eastAsia="仿宋_GB2312"/>
                <w:kern w:val="0"/>
                <w:sz w:val="20"/>
                <w:szCs w:val="20"/>
              </w:rPr>
            </w:pPr>
          </w:p>
        </w:tc>
        <w:tc>
          <w:tcPr>
            <w:tcW w:w="1418" w:type="dxa"/>
            <w:vAlign w:val="center"/>
          </w:tcPr>
          <w:p w14:paraId="2FC234F2">
            <w:pPr>
              <w:jc w:val="center"/>
              <w:textAlignment w:val="auto"/>
              <w:rPr>
                <w:rFonts w:ascii="仿宋_GB2312" w:hAnsi="宋体" w:eastAsia="仿宋_GB2312"/>
                <w:kern w:val="0"/>
                <w:sz w:val="20"/>
                <w:szCs w:val="20"/>
              </w:rPr>
            </w:pPr>
          </w:p>
        </w:tc>
      </w:tr>
      <w:tr w14:paraId="7317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7219FBB0">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（4）</w:t>
            </w:r>
          </w:p>
        </w:tc>
        <w:tc>
          <w:tcPr>
            <w:tcW w:w="721" w:type="dxa"/>
            <w:vMerge w:val="continue"/>
            <w:vAlign w:val="center"/>
          </w:tcPr>
          <w:p w14:paraId="69D9852C">
            <w:pPr>
              <w:jc w:val="center"/>
              <w:textAlignment w:val="auto"/>
              <w:rPr>
                <w:rFonts w:ascii="仿宋_GB2312" w:hAnsi="宋体" w:eastAsia="仿宋_GB2312"/>
                <w:kern w:val="0"/>
                <w:sz w:val="20"/>
                <w:szCs w:val="20"/>
              </w:rPr>
            </w:pPr>
          </w:p>
        </w:tc>
        <w:tc>
          <w:tcPr>
            <w:tcW w:w="1855" w:type="dxa"/>
            <w:vAlign w:val="center"/>
          </w:tcPr>
          <w:p w14:paraId="58D6DB19">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滴水线</w:t>
            </w:r>
          </w:p>
        </w:tc>
        <w:tc>
          <w:tcPr>
            <w:tcW w:w="2977" w:type="dxa"/>
            <w:vAlign w:val="center"/>
          </w:tcPr>
          <w:p w14:paraId="45A0406C">
            <w:pPr>
              <w:jc w:val="both"/>
              <w:textAlignment w:val="auto"/>
              <w:rPr>
                <w:rFonts w:ascii="仿宋_GB2312" w:hAnsi="宋体" w:eastAsia="仿宋_GB2312"/>
                <w:kern w:val="0"/>
                <w:sz w:val="20"/>
                <w:szCs w:val="20"/>
              </w:rPr>
            </w:pPr>
            <w:r>
              <w:rPr>
                <w:rFonts w:hint="eastAsia" w:ascii="仿宋_GB2312" w:hAnsi="宋体" w:eastAsia="仿宋_GB2312"/>
                <w:kern w:val="0"/>
                <w:sz w:val="20"/>
                <w:szCs w:val="20"/>
              </w:rPr>
              <w:t>无明显积尘、污垢、锈蚀。不合格扣0.5分/处。</w:t>
            </w:r>
          </w:p>
        </w:tc>
        <w:tc>
          <w:tcPr>
            <w:tcW w:w="992" w:type="dxa"/>
            <w:vAlign w:val="center"/>
          </w:tcPr>
          <w:p w14:paraId="2FD4501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5</w:t>
            </w:r>
          </w:p>
        </w:tc>
        <w:tc>
          <w:tcPr>
            <w:tcW w:w="1417" w:type="dxa"/>
            <w:vAlign w:val="center"/>
          </w:tcPr>
          <w:p w14:paraId="7F12636A">
            <w:pPr>
              <w:jc w:val="center"/>
              <w:textAlignment w:val="auto"/>
              <w:rPr>
                <w:rFonts w:ascii="仿宋_GB2312" w:hAnsi="宋体" w:eastAsia="仿宋_GB2312"/>
                <w:kern w:val="0"/>
                <w:sz w:val="20"/>
                <w:szCs w:val="20"/>
              </w:rPr>
            </w:pPr>
          </w:p>
        </w:tc>
        <w:tc>
          <w:tcPr>
            <w:tcW w:w="1418" w:type="dxa"/>
            <w:vAlign w:val="center"/>
          </w:tcPr>
          <w:p w14:paraId="7F7CD583">
            <w:pPr>
              <w:jc w:val="center"/>
              <w:textAlignment w:val="auto"/>
              <w:rPr>
                <w:rFonts w:ascii="仿宋_GB2312" w:hAnsi="宋体" w:eastAsia="仿宋_GB2312"/>
                <w:kern w:val="0"/>
                <w:sz w:val="20"/>
                <w:szCs w:val="20"/>
              </w:rPr>
            </w:pPr>
          </w:p>
        </w:tc>
      </w:tr>
      <w:tr w14:paraId="559A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78FC90D6">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（5）</w:t>
            </w:r>
          </w:p>
        </w:tc>
        <w:tc>
          <w:tcPr>
            <w:tcW w:w="2576" w:type="dxa"/>
            <w:gridSpan w:val="2"/>
            <w:vAlign w:val="center"/>
          </w:tcPr>
          <w:p w14:paraId="0C4D6AA4">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安全管理</w:t>
            </w:r>
          </w:p>
        </w:tc>
        <w:tc>
          <w:tcPr>
            <w:tcW w:w="2977" w:type="dxa"/>
            <w:vAlign w:val="center"/>
          </w:tcPr>
          <w:p w14:paraId="1100C3AA">
            <w:pPr>
              <w:rPr>
                <w:rFonts w:eastAsia="仿宋_GB2312"/>
                <w:kern w:val="0"/>
              </w:rPr>
            </w:pPr>
            <w:r>
              <w:rPr>
                <w:rFonts w:hint="eastAsia" w:eastAsia="仿宋_GB2312"/>
                <w:kern w:val="0"/>
              </w:rPr>
              <w:t>1、道路养护现场安全标准化落实情况（5分）</w:t>
            </w:r>
          </w:p>
          <w:p w14:paraId="655EF911">
            <w:pPr>
              <w:rPr>
                <w:rFonts w:eastAsia="仿宋_GB2312"/>
                <w:kern w:val="0"/>
              </w:rPr>
            </w:pPr>
            <w:r>
              <w:rPr>
                <w:rFonts w:hint="eastAsia" w:eastAsia="仿宋_GB2312"/>
                <w:kern w:val="0"/>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季对现场养护安全标准化落实情况进行检查，总分5分，扣完为止。检查考核表详见附表三。</w:t>
            </w:r>
          </w:p>
          <w:p w14:paraId="0785F6BE">
            <w:pPr>
              <w:rPr>
                <w:rFonts w:eastAsia="仿宋_GB2312"/>
                <w:kern w:val="0"/>
              </w:rPr>
            </w:pPr>
            <w:r>
              <w:rPr>
                <w:rFonts w:hint="eastAsia" w:eastAsia="仿宋_GB2312"/>
                <w:kern w:val="0"/>
              </w:rPr>
              <w:t>2、市道运中心安全应急系统填报（1分）</w:t>
            </w:r>
          </w:p>
          <w:p w14:paraId="39578A46">
            <w:pPr>
              <w:rPr>
                <w:rFonts w:eastAsia="仿宋_GB2312"/>
                <w:kern w:val="0"/>
              </w:rPr>
            </w:pPr>
            <w:r>
              <w:rPr>
                <w:rFonts w:hint="eastAsia" w:eastAsia="仿宋_GB2312"/>
                <w:kern w:val="0"/>
              </w:rPr>
              <w:t>恶劣天气发生预警信息，需要填报应急物资人员出动情况信息时，养护单位应该规定时间内填报相关信息，未及时填报每次扣0.5分，总分1分，扣完为止。</w:t>
            </w:r>
          </w:p>
          <w:p w14:paraId="6E60828F">
            <w:pPr>
              <w:rPr>
                <w:rFonts w:eastAsia="仿宋_GB2312"/>
                <w:kern w:val="0"/>
              </w:rPr>
            </w:pPr>
            <w:r>
              <w:rPr>
                <w:rFonts w:hint="eastAsia" w:eastAsia="仿宋_GB2312"/>
                <w:kern w:val="0"/>
              </w:rPr>
              <w:t>3、安全文件宣贯及学习，安全内业资料（2分）</w:t>
            </w:r>
          </w:p>
          <w:p w14:paraId="077D8DB5">
            <w:pPr>
              <w:rPr>
                <w:rFonts w:eastAsia="仿宋_GB2312"/>
                <w:kern w:val="0"/>
              </w:rPr>
            </w:pPr>
            <w:r>
              <w:rPr>
                <w:rFonts w:hint="eastAsia" w:eastAsia="仿宋_GB2312"/>
                <w:kern w:val="0"/>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p w14:paraId="76B1FFA4">
            <w:pPr>
              <w:rPr>
                <w:rFonts w:eastAsia="仿宋_GB2312"/>
                <w:kern w:val="0"/>
              </w:rPr>
            </w:pPr>
            <w:r>
              <w:rPr>
                <w:rFonts w:hint="eastAsia" w:eastAsia="仿宋_GB2312"/>
                <w:kern w:val="0"/>
              </w:rPr>
              <w:t>4、养护基地管理（2分）</w:t>
            </w:r>
          </w:p>
          <w:p w14:paraId="25A91AD6">
            <w:pPr>
              <w:rPr>
                <w:rFonts w:eastAsia="仿宋_GB2312"/>
                <w:kern w:val="0"/>
              </w:rPr>
            </w:pPr>
            <w:r>
              <w:rPr>
                <w:rFonts w:hint="eastAsia" w:eastAsia="仿宋_GB2312"/>
                <w:kern w:val="0"/>
              </w:rPr>
              <w:t>养护单位日常养护做好管理中心及应急基地的管理。使用桥下空间的需符合《上海市道路桥梁桥下空间内设施设置准则》；设施负责人或监理单位每季对现场养护安全标准化落实情况进行检查，总分2分，扣完为止。检查考核表详见附表四。</w:t>
            </w:r>
          </w:p>
          <w:p w14:paraId="637738B7">
            <w:pPr>
              <w:rPr>
                <w:rFonts w:eastAsia="仿宋_GB2312"/>
                <w:kern w:val="0"/>
              </w:rPr>
            </w:pPr>
            <w:r>
              <w:rPr>
                <w:rFonts w:hint="eastAsia" w:eastAsia="仿宋_GB2312"/>
                <w:kern w:val="0"/>
              </w:rPr>
              <w:t>5、安全生产事故</w:t>
            </w:r>
          </w:p>
          <w:p w14:paraId="6FC7AE6D">
            <w:pPr>
              <w:jc w:val="both"/>
              <w:textAlignment w:val="auto"/>
              <w:rPr>
                <w:rFonts w:ascii="仿宋_GB2312" w:hAnsi="Yu Mincho" w:eastAsia="仿宋_GB2312"/>
                <w:kern w:val="0"/>
                <w:sz w:val="20"/>
                <w:szCs w:val="20"/>
              </w:rPr>
            </w:pPr>
            <w:r>
              <w:rPr>
                <w:rFonts w:hint="eastAsia" w:eastAsia="仿宋_GB2312"/>
                <w:kern w:val="0"/>
              </w:rPr>
              <w:t>养护单位要确保主体设施、附属设施运行安全，无安全隐患。日常养护项目、专项整治项目、养护基地不得发生安全生产事故。发生单次有责事故造成1人及以上死亡的扣10分，单次有责事故扣5分；总分10分，扣完为止。</w:t>
            </w:r>
            <w:r>
              <w:rPr>
                <w:rFonts w:hint="eastAsia" w:ascii="仿宋_GB2312" w:hAnsi="宋体" w:eastAsia="仿宋_GB2312"/>
                <w:kern w:val="0"/>
                <w:sz w:val="20"/>
                <w:szCs w:val="20"/>
              </w:rPr>
              <w:t>。</w:t>
            </w:r>
          </w:p>
        </w:tc>
        <w:tc>
          <w:tcPr>
            <w:tcW w:w="992" w:type="dxa"/>
            <w:vAlign w:val="center"/>
          </w:tcPr>
          <w:p w14:paraId="5A7B85A8">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10</w:t>
            </w:r>
          </w:p>
        </w:tc>
        <w:tc>
          <w:tcPr>
            <w:tcW w:w="1417" w:type="dxa"/>
            <w:vAlign w:val="center"/>
          </w:tcPr>
          <w:p w14:paraId="4FC353D3">
            <w:pPr>
              <w:jc w:val="center"/>
              <w:textAlignment w:val="auto"/>
              <w:rPr>
                <w:rFonts w:ascii="仿宋_GB2312" w:hAnsi="宋体" w:eastAsia="仿宋_GB2312"/>
                <w:kern w:val="0"/>
                <w:sz w:val="20"/>
                <w:szCs w:val="20"/>
              </w:rPr>
            </w:pPr>
          </w:p>
        </w:tc>
        <w:tc>
          <w:tcPr>
            <w:tcW w:w="1418" w:type="dxa"/>
            <w:vAlign w:val="center"/>
          </w:tcPr>
          <w:p w14:paraId="13739EAC">
            <w:pPr>
              <w:jc w:val="center"/>
              <w:textAlignment w:val="auto"/>
              <w:rPr>
                <w:rFonts w:ascii="仿宋_GB2312" w:hAnsi="宋体" w:eastAsia="仿宋_GB2312"/>
                <w:kern w:val="0"/>
                <w:sz w:val="20"/>
                <w:szCs w:val="20"/>
              </w:rPr>
            </w:pPr>
          </w:p>
        </w:tc>
      </w:tr>
      <w:tr w14:paraId="61248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gridSpan w:val="3"/>
            <w:vAlign w:val="center"/>
          </w:tcPr>
          <w:p w14:paraId="30584002">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保洁季度</w:t>
            </w:r>
          </w:p>
          <w:p w14:paraId="449C56D5">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定性得分</w:t>
            </w:r>
          </w:p>
        </w:tc>
        <w:tc>
          <w:tcPr>
            <w:tcW w:w="2977" w:type="dxa"/>
            <w:vAlign w:val="center"/>
          </w:tcPr>
          <w:p w14:paraId="3CBBF582">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（1）~（5）得分总和</w:t>
            </w:r>
          </w:p>
        </w:tc>
        <w:tc>
          <w:tcPr>
            <w:tcW w:w="992" w:type="dxa"/>
            <w:vAlign w:val="center"/>
          </w:tcPr>
          <w:p w14:paraId="11C644AF">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40</w:t>
            </w:r>
          </w:p>
        </w:tc>
        <w:tc>
          <w:tcPr>
            <w:tcW w:w="1417" w:type="dxa"/>
            <w:tcBorders>
              <w:bottom w:val="single" w:color="auto" w:sz="4" w:space="0"/>
            </w:tcBorders>
            <w:vAlign w:val="center"/>
          </w:tcPr>
          <w:p w14:paraId="7E45B9D9">
            <w:pPr>
              <w:jc w:val="center"/>
              <w:textAlignment w:val="auto"/>
              <w:rPr>
                <w:rFonts w:ascii="仿宋_GB2312" w:hAnsi="宋体" w:eastAsia="仿宋_GB2312"/>
                <w:kern w:val="0"/>
                <w:sz w:val="20"/>
                <w:szCs w:val="20"/>
              </w:rPr>
            </w:pPr>
          </w:p>
        </w:tc>
        <w:tc>
          <w:tcPr>
            <w:tcW w:w="1418" w:type="dxa"/>
            <w:tcBorders>
              <w:bottom w:val="single" w:color="auto" w:sz="4" w:space="0"/>
            </w:tcBorders>
            <w:vAlign w:val="center"/>
          </w:tcPr>
          <w:p w14:paraId="53F7B696">
            <w:pPr>
              <w:jc w:val="center"/>
              <w:textAlignment w:val="auto"/>
              <w:rPr>
                <w:rFonts w:ascii="仿宋_GB2312" w:hAnsi="宋体" w:eastAsia="仿宋_GB2312"/>
                <w:kern w:val="0"/>
                <w:sz w:val="20"/>
                <w:szCs w:val="20"/>
              </w:rPr>
            </w:pPr>
          </w:p>
        </w:tc>
      </w:tr>
    </w:tbl>
    <w:p w14:paraId="50C11BD7">
      <w:pPr>
        <w:spacing w:line="500" w:lineRule="exact"/>
        <w:jc w:val="both"/>
        <w:textAlignment w:val="auto"/>
        <w:rPr>
          <w:rFonts w:ascii="Times New Roman" w:hAnsi="Times New Roman"/>
          <w:szCs w:val="21"/>
        </w:rPr>
      </w:pPr>
      <w:r>
        <w:rPr>
          <w:rFonts w:ascii="Times New Roman" w:hAnsi="Times New Roman"/>
          <w:szCs w:val="21"/>
        </w:rPr>
        <w:br w:type="page"/>
      </w:r>
    </w:p>
    <w:tbl>
      <w:tblPr>
        <w:tblStyle w:val="38"/>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6"/>
        <w:gridCol w:w="859"/>
        <w:gridCol w:w="4242"/>
        <w:gridCol w:w="1556"/>
        <w:gridCol w:w="708"/>
      </w:tblGrid>
      <w:tr w14:paraId="49726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647" w:type="dxa"/>
            <w:gridSpan w:val="6"/>
            <w:vAlign w:val="center"/>
          </w:tcPr>
          <w:p w14:paraId="1B55E658">
            <w:pPr>
              <w:jc w:val="center"/>
              <w:rPr>
                <w:rFonts w:eastAsia="仿宋_GB2312"/>
                <w:kern w:val="0"/>
              </w:rPr>
            </w:pPr>
            <w:r>
              <w:rPr>
                <w:rFonts w:hint="eastAsia" w:ascii="黑体" w:hAnsi="黑体" w:eastAsia="黑体"/>
                <w:kern w:val="0"/>
                <w:sz w:val="28"/>
                <w:szCs w:val="32"/>
              </w:rPr>
              <w:t>表8 市管设施下部涂装保洁季度专项考核评分表</w:t>
            </w:r>
          </w:p>
        </w:tc>
      </w:tr>
      <w:tr w14:paraId="236E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restart"/>
            <w:vAlign w:val="center"/>
          </w:tcPr>
          <w:p w14:paraId="45B09D02">
            <w:pPr>
              <w:rPr>
                <w:rFonts w:eastAsia="仿宋_GB2312"/>
                <w:kern w:val="0"/>
              </w:rPr>
            </w:pPr>
            <w:r>
              <w:rPr>
                <w:rFonts w:eastAsia="仿宋_GB2312"/>
                <w:kern w:val="0"/>
              </w:rPr>
              <w:t xml:space="preserve">考核设施：                   </w:t>
            </w:r>
          </w:p>
        </w:tc>
        <w:tc>
          <w:tcPr>
            <w:tcW w:w="2264" w:type="dxa"/>
            <w:gridSpan w:val="2"/>
            <w:vAlign w:val="center"/>
          </w:tcPr>
          <w:p w14:paraId="23843EEE">
            <w:pPr>
              <w:rPr>
                <w:rFonts w:eastAsia="仿宋_GB2312"/>
                <w:kern w:val="0"/>
              </w:rPr>
            </w:pPr>
            <w:r>
              <w:rPr>
                <w:rFonts w:eastAsia="仿宋_GB2312"/>
                <w:kern w:val="0"/>
              </w:rPr>
              <w:t>检查日期：</w:t>
            </w:r>
          </w:p>
        </w:tc>
      </w:tr>
      <w:tr w14:paraId="6FCE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continue"/>
            <w:vAlign w:val="center"/>
          </w:tcPr>
          <w:p w14:paraId="704DBE4E">
            <w:pPr>
              <w:rPr>
                <w:rFonts w:eastAsia="仿宋_GB2312"/>
                <w:kern w:val="0"/>
              </w:rPr>
            </w:pPr>
          </w:p>
        </w:tc>
        <w:tc>
          <w:tcPr>
            <w:tcW w:w="2264" w:type="dxa"/>
            <w:gridSpan w:val="2"/>
            <w:vAlign w:val="center"/>
          </w:tcPr>
          <w:p w14:paraId="718AAAFF">
            <w:pPr>
              <w:rPr>
                <w:rFonts w:eastAsia="仿宋_GB2312"/>
                <w:kern w:val="0"/>
              </w:rPr>
            </w:pPr>
            <w:r>
              <w:rPr>
                <w:rFonts w:eastAsia="仿宋_GB2312"/>
                <w:kern w:val="0"/>
              </w:rPr>
              <w:t>检查人员：</w:t>
            </w:r>
          </w:p>
        </w:tc>
      </w:tr>
      <w:tr w14:paraId="798F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14:paraId="711EEE02">
            <w:pPr>
              <w:rPr>
                <w:rFonts w:eastAsia="仿宋_GB2312"/>
                <w:kern w:val="0"/>
              </w:rPr>
            </w:pPr>
            <w:r>
              <w:rPr>
                <w:rFonts w:eastAsia="仿宋_GB2312"/>
                <w:kern w:val="0"/>
              </w:rPr>
              <w:t>分类</w:t>
            </w:r>
          </w:p>
        </w:tc>
        <w:tc>
          <w:tcPr>
            <w:tcW w:w="856" w:type="dxa"/>
            <w:vAlign w:val="center"/>
          </w:tcPr>
          <w:p w14:paraId="4A9DA6E8">
            <w:pPr>
              <w:rPr>
                <w:rFonts w:eastAsia="仿宋_GB2312"/>
                <w:kern w:val="0"/>
              </w:rPr>
            </w:pPr>
            <w:r>
              <w:rPr>
                <w:rFonts w:eastAsia="仿宋_GB2312"/>
                <w:kern w:val="0"/>
              </w:rPr>
              <w:t>序号</w:t>
            </w:r>
          </w:p>
        </w:tc>
        <w:tc>
          <w:tcPr>
            <w:tcW w:w="859" w:type="dxa"/>
            <w:vAlign w:val="center"/>
          </w:tcPr>
          <w:p w14:paraId="1D18E694">
            <w:pPr>
              <w:rPr>
                <w:rFonts w:eastAsia="仿宋_GB2312"/>
                <w:kern w:val="0"/>
              </w:rPr>
            </w:pPr>
            <w:r>
              <w:rPr>
                <w:rFonts w:eastAsia="仿宋_GB2312"/>
                <w:kern w:val="0"/>
              </w:rPr>
              <w:t>项目</w:t>
            </w:r>
          </w:p>
        </w:tc>
        <w:tc>
          <w:tcPr>
            <w:tcW w:w="4242" w:type="dxa"/>
            <w:vAlign w:val="center"/>
          </w:tcPr>
          <w:p w14:paraId="5F527C81">
            <w:pPr>
              <w:rPr>
                <w:rFonts w:eastAsia="仿宋_GB2312"/>
                <w:kern w:val="0"/>
              </w:rPr>
            </w:pPr>
            <w:r>
              <w:rPr>
                <w:rFonts w:eastAsia="仿宋_GB2312"/>
                <w:kern w:val="0"/>
              </w:rPr>
              <w:t>评分标准</w:t>
            </w:r>
          </w:p>
        </w:tc>
        <w:tc>
          <w:tcPr>
            <w:tcW w:w="1556" w:type="dxa"/>
            <w:vAlign w:val="center"/>
          </w:tcPr>
          <w:p w14:paraId="7A7F384D">
            <w:pPr>
              <w:rPr>
                <w:rFonts w:eastAsia="仿宋_GB2312"/>
                <w:kern w:val="0"/>
              </w:rPr>
            </w:pPr>
            <w:r>
              <w:rPr>
                <w:rFonts w:eastAsia="仿宋_GB2312"/>
                <w:kern w:val="0"/>
              </w:rPr>
              <w:t>标准分</w:t>
            </w:r>
          </w:p>
        </w:tc>
        <w:tc>
          <w:tcPr>
            <w:tcW w:w="708" w:type="dxa"/>
            <w:vAlign w:val="center"/>
          </w:tcPr>
          <w:p w14:paraId="7D9FE133">
            <w:pPr>
              <w:rPr>
                <w:rFonts w:eastAsia="仿宋_GB2312"/>
                <w:kern w:val="0"/>
              </w:rPr>
            </w:pPr>
            <w:r>
              <w:rPr>
                <w:rFonts w:eastAsia="仿宋_GB2312"/>
                <w:kern w:val="0"/>
              </w:rPr>
              <w:t>考核得分</w:t>
            </w:r>
          </w:p>
        </w:tc>
      </w:tr>
      <w:tr w14:paraId="29D3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14:paraId="095DBA72">
            <w:pPr>
              <w:rPr>
                <w:rFonts w:eastAsia="仿宋_GB2312"/>
                <w:kern w:val="0"/>
              </w:rPr>
            </w:pPr>
            <w:r>
              <w:rPr>
                <w:rFonts w:eastAsia="仿宋_GB2312"/>
                <w:kern w:val="0"/>
              </w:rPr>
              <w:t>扣分</w:t>
            </w:r>
          </w:p>
        </w:tc>
        <w:tc>
          <w:tcPr>
            <w:tcW w:w="856" w:type="dxa"/>
            <w:vAlign w:val="center"/>
          </w:tcPr>
          <w:p w14:paraId="6BC66F91">
            <w:pPr>
              <w:jc w:val="center"/>
              <w:rPr>
                <w:rFonts w:eastAsia="仿宋_GB2312"/>
                <w:kern w:val="0"/>
              </w:rPr>
            </w:pPr>
            <w:r>
              <w:rPr>
                <w:rFonts w:eastAsia="仿宋_GB2312"/>
                <w:kern w:val="0"/>
              </w:rPr>
              <w:t>1</w:t>
            </w:r>
          </w:p>
        </w:tc>
        <w:tc>
          <w:tcPr>
            <w:tcW w:w="859" w:type="dxa"/>
            <w:vMerge w:val="restart"/>
            <w:vAlign w:val="center"/>
          </w:tcPr>
          <w:p w14:paraId="36B30ACF">
            <w:pPr>
              <w:rPr>
                <w:rFonts w:eastAsia="仿宋_GB2312"/>
                <w:kern w:val="0"/>
              </w:rPr>
            </w:pPr>
            <w:r>
              <w:rPr>
                <w:rFonts w:eastAsia="仿宋_GB2312"/>
                <w:kern w:val="0"/>
              </w:rPr>
              <w:t>管理要求</w:t>
            </w:r>
          </w:p>
          <w:p w14:paraId="0DB267DE">
            <w:pPr>
              <w:rPr>
                <w:rFonts w:eastAsia="仿宋_GB2312"/>
                <w:kern w:val="0"/>
              </w:rPr>
            </w:pPr>
            <w:r>
              <w:rPr>
                <w:rFonts w:eastAsia="仿宋_GB2312"/>
                <w:kern w:val="0"/>
              </w:rPr>
              <w:t>执行</w:t>
            </w:r>
          </w:p>
        </w:tc>
        <w:tc>
          <w:tcPr>
            <w:tcW w:w="4242" w:type="dxa"/>
            <w:vAlign w:val="center"/>
          </w:tcPr>
          <w:p w14:paraId="104759C3">
            <w:pPr>
              <w:rPr>
                <w:rFonts w:eastAsia="仿宋_GB2312"/>
                <w:kern w:val="0"/>
              </w:rPr>
            </w:pPr>
            <w:r>
              <w:rPr>
                <w:rFonts w:eastAsia="仿宋_GB2312"/>
                <w:kern w:val="0"/>
              </w:rPr>
              <w:t>社会舆论和信访投诉：</w:t>
            </w:r>
          </w:p>
          <w:p w14:paraId="1C4B4477">
            <w:pPr>
              <w:rPr>
                <w:rFonts w:eastAsia="仿宋_GB2312"/>
                <w:kern w:val="0"/>
              </w:rPr>
            </w:pPr>
            <w:r>
              <w:rPr>
                <w:rFonts w:eastAsia="仿宋_GB2312"/>
                <w:kern w:val="0"/>
              </w:rPr>
              <w:t>未在规定时间内及时妥善处理人民来信、来电、来访等诉求工单和社会投诉，每次扣2分；</w:t>
            </w:r>
          </w:p>
          <w:p w14:paraId="0E8E4CAB">
            <w:pPr>
              <w:rPr>
                <w:rFonts w:eastAsia="仿宋_GB2312"/>
                <w:kern w:val="0"/>
              </w:rPr>
            </w:pPr>
            <w:r>
              <w:rPr>
                <w:rFonts w:eastAsia="仿宋_GB2312"/>
                <w:kern w:val="0"/>
              </w:rPr>
              <w:t>行业、业主、上级部门点名批评或书面通报，每次扣3分；</w:t>
            </w:r>
          </w:p>
          <w:p w14:paraId="042001E2">
            <w:pPr>
              <w:rPr>
                <w:rFonts w:eastAsia="仿宋_GB2312"/>
                <w:kern w:val="0"/>
              </w:rPr>
            </w:pPr>
            <w:r>
              <w:rPr>
                <w:rFonts w:eastAsia="仿宋_GB2312"/>
                <w:kern w:val="0"/>
              </w:rPr>
              <w:t>有责并被社会新闻媒体公开负面报道或造成严重舆情影响，每次扣5分。</w:t>
            </w:r>
          </w:p>
        </w:tc>
        <w:tc>
          <w:tcPr>
            <w:tcW w:w="1556" w:type="dxa"/>
            <w:vAlign w:val="center"/>
          </w:tcPr>
          <w:p w14:paraId="5AF4F2B2">
            <w:pPr>
              <w:rPr>
                <w:rFonts w:eastAsia="仿宋_GB2312"/>
                <w:kern w:val="0"/>
              </w:rPr>
            </w:pPr>
            <w:r>
              <w:rPr>
                <w:rFonts w:eastAsia="仿宋_GB2312"/>
                <w:kern w:val="0"/>
              </w:rPr>
              <w:t>扣2~5分</w:t>
            </w:r>
            <w:r>
              <w:rPr>
                <w:rFonts w:hint="eastAsia" w:eastAsia="仿宋_GB2312"/>
                <w:kern w:val="0"/>
              </w:rPr>
              <w:t>/次</w:t>
            </w:r>
          </w:p>
        </w:tc>
        <w:tc>
          <w:tcPr>
            <w:tcW w:w="708" w:type="dxa"/>
            <w:vAlign w:val="center"/>
          </w:tcPr>
          <w:p w14:paraId="020F8E54">
            <w:pPr>
              <w:rPr>
                <w:rFonts w:eastAsia="仿宋_GB2312"/>
                <w:kern w:val="0"/>
              </w:rPr>
            </w:pPr>
          </w:p>
        </w:tc>
      </w:tr>
      <w:tr w14:paraId="44420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40BABFA5">
            <w:pPr>
              <w:rPr>
                <w:rFonts w:eastAsia="仿宋_GB2312"/>
                <w:kern w:val="0"/>
              </w:rPr>
            </w:pPr>
          </w:p>
        </w:tc>
        <w:tc>
          <w:tcPr>
            <w:tcW w:w="856" w:type="dxa"/>
            <w:vAlign w:val="center"/>
          </w:tcPr>
          <w:p w14:paraId="5756FDD3">
            <w:pPr>
              <w:jc w:val="center"/>
              <w:rPr>
                <w:rFonts w:eastAsia="仿宋_GB2312"/>
                <w:kern w:val="0"/>
              </w:rPr>
            </w:pPr>
            <w:r>
              <w:rPr>
                <w:rFonts w:eastAsia="仿宋_GB2312"/>
                <w:kern w:val="0"/>
              </w:rPr>
              <w:t>2</w:t>
            </w:r>
          </w:p>
        </w:tc>
        <w:tc>
          <w:tcPr>
            <w:tcW w:w="859" w:type="dxa"/>
            <w:vMerge w:val="continue"/>
            <w:vAlign w:val="center"/>
          </w:tcPr>
          <w:p w14:paraId="3F545C2C">
            <w:pPr>
              <w:jc w:val="center"/>
              <w:rPr>
                <w:rFonts w:eastAsia="仿宋_GB2312"/>
                <w:kern w:val="0"/>
              </w:rPr>
            </w:pPr>
          </w:p>
        </w:tc>
        <w:tc>
          <w:tcPr>
            <w:tcW w:w="4242" w:type="dxa"/>
            <w:vAlign w:val="center"/>
          </w:tcPr>
          <w:p w14:paraId="2260D9A1">
            <w:pPr>
              <w:rPr>
                <w:rFonts w:eastAsia="仿宋_GB2312"/>
                <w:kern w:val="0"/>
              </w:rPr>
            </w:pPr>
            <w:r>
              <w:rPr>
                <w:rFonts w:eastAsia="仿宋_GB2312"/>
                <w:kern w:val="0"/>
              </w:rPr>
              <w:t>人员车辆和设施资源管理：</w:t>
            </w:r>
          </w:p>
          <w:p w14:paraId="7889C090">
            <w:pPr>
              <w:rPr>
                <w:rFonts w:eastAsia="仿宋_GB2312"/>
                <w:kern w:val="0"/>
              </w:rPr>
            </w:pPr>
            <w:r>
              <w:rPr>
                <w:rFonts w:eastAsia="仿宋_GB2312"/>
                <w:kern w:val="0"/>
              </w:rPr>
              <w:t>项目管理人员、车辆设备和材料未按招标文件所规定的数量、规格配置到位，每次每项扣1分；</w:t>
            </w:r>
          </w:p>
          <w:p w14:paraId="57AD54AA">
            <w:pPr>
              <w:rPr>
                <w:rFonts w:eastAsia="仿宋_GB2312"/>
                <w:kern w:val="0"/>
              </w:rPr>
            </w:pPr>
            <w:r>
              <w:rPr>
                <w:rFonts w:eastAsia="仿宋_GB2312"/>
                <w:kern w:val="0"/>
              </w:rPr>
              <w:t>擅自出租、出借、挪用设施设备和违规使用或侵占附属设施、应标资源，造成恶劣影响，每次扣5分。</w:t>
            </w:r>
          </w:p>
        </w:tc>
        <w:tc>
          <w:tcPr>
            <w:tcW w:w="1556" w:type="dxa"/>
            <w:vAlign w:val="center"/>
          </w:tcPr>
          <w:p w14:paraId="2F95DD71">
            <w:pPr>
              <w:rPr>
                <w:rFonts w:eastAsia="仿宋_GB2312"/>
                <w:kern w:val="0"/>
              </w:rPr>
            </w:pPr>
            <w:r>
              <w:rPr>
                <w:rFonts w:eastAsia="仿宋_GB2312"/>
                <w:kern w:val="0"/>
              </w:rPr>
              <w:t>扣1~5</w:t>
            </w:r>
            <w:r>
              <w:rPr>
                <w:rFonts w:hint="eastAsia" w:eastAsia="仿宋_GB2312"/>
                <w:kern w:val="0"/>
              </w:rPr>
              <w:t>分/次</w:t>
            </w:r>
          </w:p>
        </w:tc>
        <w:tc>
          <w:tcPr>
            <w:tcW w:w="708" w:type="dxa"/>
            <w:vAlign w:val="center"/>
          </w:tcPr>
          <w:p w14:paraId="235D102B">
            <w:pPr>
              <w:rPr>
                <w:rFonts w:eastAsia="仿宋_GB2312"/>
                <w:kern w:val="0"/>
              </w:rPr>
            </w:pPr>
          </w:p>
        </w:tc>
      </w:tr>
      <w:tr w14:paraId="5226A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34E56968">
            <w:pPr>
              <w:rPr>
                <w:rFonts w:eastAsia="仿宋_GB2312"/>
                <w:kern w:val="0"/>
              </w:rPr>
            </w:pPr>
          </w:p>
        </w:tc>
        <w:tc>
          <w:tcPr>
            <w:tcW w:w="856" w:type="dxa"/>
            <w:vAlign w:val="center"/>
          </w:tcPr>
          <w:p w14:paraId="60098063">
            <w:pPr>
              <w:jc w:val="center"/>
              <w:rPr>
                <w:rFonts w:eastAsia="仿宋_GB2312"/>
                <w:kern w:val="0"/>
              </w:rPr>
            </w:pPr>
            <w:r>
              <w:rPr>
                <w:rFonts w:eastAsia="仿宋_GB2312"/>
                <w:kern w:val="0"/>
              </w:rPr>
              <w:t>3</w:t>
            </w:r>
          </w:p>
        </w:tc>
        <w:tc>
          <w:tcPr>
            <w:tcW w:w="859" w:type="dxa"/>
            <w:vMerge w:val="continue"/>
            <w:vAlign w:val="center"/>
          </w:tcPr>
          <w:p w14:paraId="678F4C59">
            <w:pPr>
              <w:jc w:val="center"/>
              <w:rPr>
                <w:rFonts w:eastAsia="仿宋_GB2312"/>
                <w:kern w:val="0"/>
              </w:rPr>
            </w:pPr>
          </w:p>
        </w:tc>
        <w:tc>
          <w:tcPr>
            <w:tcW w:w="4242" w:type="dxa"/>
            <w:vAlign w:val="center"/>
          </w:tcPr>
          <w:p w14:paraId="7F70F23B">
            <w:pPr>
              <w:rPr>
                <w:rFonts w:eastAsia="仿宋_GB2312"/>
                <w:kern w:val="0"/>
              </w:rPr>
            </w:pPr>
            <w:r>
              <w:rPr>
                <w:rFonts w:eastAsia="仿宋_GB2312"/>
                <w:kern w:val="0"/>
              </w:rPr>
              <w:t>重要条款响应：</w:t>
            </w:r>
          </w:p>
          <w:p w14:paraId="2B09C3F6">
            <w:pPr>
              <w:rPr>
                <w:rFonts w:eastAsia="仿宋_GB2312"/>
                <w:kern w:val="0"/>
              </w:rPr>
            </w:pPr>
            <w:r>
              <w:rPr>
                <w:rFonts w:eastAsia="仿宋_GB2312"/>
                <w:kern w:val="0"/>
              </w:rPr>
              <w:t>在网签合同生成后的15日内（国家法定节假日除外），未提交软件版投标报价文件，每次扣2分；</w:t>
            </w:r>
          </w:p>
          <w:p w14:paraId="30AF7807">
            <w:pPr>
              <w:rPr>
                <w:rFonts w:eastAsia="仿宋_GB2312"/>
                <w:kern w:val="0"/>
              </w:rPr>
            </w:pPr>
            <w:r>
              <w:rPr>
                <w:rFonts w:eastAsia="仿宋_GB2312"/>
                <w:kern w:val="0"/>
              </w:rPr>
              <w:t>未严格按照养护资金监管相关管理办法及要求提供相关依据、配合实施请款工作，每次扣2分。</w:t>
            </w:r>
          </w:p>
        </w:tc>
        <w:tc>
          <w:tcPr>
            <w:tcW w:w="1556" w:type="dxa"/>
            <w:vAlign w:val="center"/>
          </w:tcPr>
          <w:p w14:paraId="569C7F35">
            <w:pPr>
              <w:rPr>
                <w:rFonts w:eastAsia="仿宋_GB2312"/>
                <w:kern w:val="0"/>
              </w:rPr>
            </w:pPr>
            <w:r>
              <w:rPr>
                <w:rFonts w:eastAsia="仿宋_GB2312"/>
                <w:kern w:val="0"/>
              </w:rPr>
              <w:t>扣2分</w:t>
            </w:r>
            <w:r>
              <w:rPr>
                <w:rFonts w:hint="eastAsia" w:eastAsia="仿宋_GB2312"/>
                <w:kern w:val="0"/>
              </w:rPr>
              <w:t>/次</w:t>
            </w:r>
          </w:p>
        </w:tc>
        <w:tc>
          <w:tcPr>
            <w:tcW w:w="708" w:type="dxa"/>
            <w:vAlign w:val="center"/>
          </w:tcPr>
          <w:p w14:paraId="4CC8E5DA">
            <w:pPr>
              <w:rPr>
                <w:rFonts w:eastAsia="仿宋_GB2312"/>
                <w:kern w:val="0"/>
              </w:rPr>
            </w:pPr>
          </w:p>
        </w:tc>
      </w:tr>
      <w:tr w14:paraId="433D7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3105B5BF">
            <w:pPr>
              <w:rPr>
                <w:rFonts w:eastAsia="仿宋_GB2312"/>
                <w:kern w:val="0"/>
              </w:rPr>
            </w:pPr>
          </w:p>
        </w:tc>
        <w:tc>
          <w:tcPr>
            <w:tcW w:w="856" w:type="dxa"/>
            <w:vAlign w:val="center"/>
          </w:tcPr>
          <w:p w14:paraId="431A2BC4">
            <w:pPr>
              <w:jc w:val="center"/>
              <w:rPr>
                <w:rFonts w:eastAsia="仿宋_GB2312"/>
                <w:kern w:val="0"/>
              </w:rPr>
            </w:pPr>
            <w:r>
              <w:rPr>
                <w:rFonts w:eastAsia="仿宋_GB2312"/>
                <w:kern w:val="0"/>
              </w:rPr>
              <w:t>4</w:t>
            </w:r>
          </w:p>
        </w:tc>
        <w:tc>
          <w:tcPr>
            <w:tcW w:w="859" w:type="dxa"/>
            <w:vMerge w:val="continue"/>
            <w:vAlign w:val="center"/>
          </w:tcPr>
          <w:p w14:paraId="5E0DCDB3">
            <w:pPr>
              <w:jc w:val="center"/>
              <w:rPr>
                <w:rFonts w:eastAsia="仿宋_GB2312"/>
                <w:kern w:val="0"/>
              </w:rPr>
            </w:pPr>
          </w:p>
        </w:tc>
        <w:tc>
          <w:tcPr>
            <w:tcW w:w="4242" w:type="dxa"/>
            <w:vAlign w:val="center"/>
          </w:tcPr>
          <w:p w14:paraId="52994184">
            <w:pPr>
              <w:rPr>
                <w:rFonts w:eastAsia="仿宋_GB2312"/>
                <w:kern w:val="0"/>
              </w:rPr>
            </w:pPr>
            <w:r>
              <w:rPr>
                <w:rFonts w:eastAsia="仿宋_GB2312"/>
                <w:kern w:val="0"/>
              </w:rPr>
              <w:t>智慧化工作推进：</w:t>
            </w:r>
          </w:p>
          <w:p w14:paraId="5C733799">
            <w:pPr>
              <w:rPr>
                <w:rFonts w:eastAsia="仿宋_GB2312"/>
                <w:kern w:val="0"/>
              </w:rPr>
            </w:pPr>
            <w:r>
              <w:rPr>
                <w:rFonts w:eastAsia="仿宋_GB2312"/>
                <w:kern w:val="0"/>
              </w:rPr>
              <w:t>未配置智能巡检设备或智能巡检设备未处于良好运行状态的，每次扣1分；</w:t>
            </w:r>
          </w:p>
          <w:p w14:paraId="4B28CFD5">
            <w:pPr>
              <w:rPr>
                <w:rFonts w:eastAsia="仿宋_GB2312"/>
                <w:kern w:val="0"/>
              </w:rPr>
            </w:pPr>
            <w:r>
              <w:rPr>
                <w:rFonts w:eastAsia="仿宋_GB2312"/>
                <w:kern w:val="0"/>
              </w:rPr>
              <w:t>未按要求响应落实智慧化、信息化管理工作，由云路或中心发现未按要求报送数据、附件，每次扣2分。</w:t>
            </w:r>
          </w:p>
        </w:tc>
        <w:tc>
          <w:tcPr>
            <w:tcW w:w="1556" w:type="dxa"/>
            <w:vAlign w:val="center"/>
          </w:tcPr>
          <w:p w14:paraId="77BA03C1">
            <w:pPr>
              <w:rPr>
                <w:rFonts w:eastAsia="仿宋_GB2312"/>
                <w:kern w:val="0"/>
              </w:rPr>
            </w:pPr>
            <w:r>
              <w:rPr>
                <w:rFonts w:eastAsia="仿宋_GB2312"/>
                <w:kern w:val="0"/>
              </w:rPr>
              <w:t>扣1~2分</w:t>
            </w:r>
            <w:r>
              <w:rPr>
                <w:rFonts w:hint="eastAsia" w:eastAsia="仿宋_GB2312"/>
                <w:kern w:val="0"/>
              </w:rPr>
              <w:t>/次</w:t>
            </w:r>
          </w:p>
        </w:tc>
        <w:tc>
          <w:tcPr>
            <w:tcW w:w="708" w:type="dxa"/>
            <w:vAlign w:val="center"/>
          </w:tcPr>
          <w:p w14:paraId="362EFA1A">
            <w:pPr>
              <w:rPr>
                <w:rFonts w:eastAsia="仿宋_GB2312"/>
                <w:kern w:val="0"/>
              </w:rPr>
            </w:pPr>
          </w:p>
        </w:tc>
      </w:tr>
      <w:tr w14:paraId="7CAAC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28CB13EC">
            <w:pPr>
              <w:rPr>
                <w:rFonts w:eastAsia="仿宋_GB2312"/>
                <w:kern w:val="0"/>
              </w:rPr>
            </w:pPr>
          </w:p>
        </w:tc>
        <w:tc>
          <w:tcPr>
            <w:tcW w:w="856" w:type="dxa"/>
            <w:vAlign w:val="center"/>
          </w:tcPr>
          <w:p w14:paraId="11C80B3F">
            <w:pPr>
              <w:jc w:val="center"/>
              <w:rPr>
                <w:rFonts w:eastAsia="仿宋_GB2312"/>
                <w:kern w:val="0"/>
              </w:rPr>
            </w:pPr>
            <w:r>
              <w:rPr>
                <w:rFonts w:eastAsia="仿宋_GB2312"/>
                <w:kern w:val="0"/>
              </w:rPr>
              <w:t>5</w:t>
            </w:r>
          </w:p>
        </w:tc>
        <w:tc>
          <w:tcPr>
            <w:tcW w:w="859" w:type="dxa"/>
            <w:vAlign w:val="center"/>
          </w:tcPr>
          <w:p w14:paraId="42642071">
            <w:pPr>
              <w:jc w:val="center"/>
              <w:rPr>
                <w:rFonts w:eastAsia="仿宋_GB2312"/>
                <w:kern w:val="0"/>
              </w:rPr>
            </w:pPr>
            <w:r>
              <w:rPr>
                <w:rFonts w:eastAsia="仿宋_GB2312"/>
                <w:kern w:val="0"/>
              </w:rPr>
              <w:t>养护作业</w:t>
            </w:r>
          </w:p>
        </w:tc>
        <w:tc>
          <w:tcPr>
            <w:tcW w:w="4242" w:type="dxa"/>
            <w:vAlign w:val="center"/>
          </w:tcPr>
          <w:p w14:paraId="163D5D81">
            <w:pPr>
              <w:rPr>
                <w:rFonts w:eastAsia="仿宋_GB2312"/>
                <w:kern w:val="0"/>
              </w:rPr>
            </w:pPr>
            <w:r>
              <w:rPr>
                <w:rFonts w:eastAsia="仿宋_GB2312"/>
                <w:kern w:val="0"/>
              </w:rPr>
              <w:t>对市道运中心委托的第三方单位（专业检测、专业网格化巡查等）发现的问题、病害或缺陷，未及时整改或采取措施，每次扣1分；</w:t>
            </w:r>
          </w:p>
          <w:p w14:paraId="4B38D828">
            <w:pPr>
              <w:rPr>
                <w:rFonts w:eastAsia="仿宋_GB2312"/>
                <w:kern w:val="0"/>
              </w:rPr>
            </w:pPr>
            <w:r>
              <w:rPr>
                <w:rFonts w:eastAsia="仿宋_GB2312"/>
                <w:kern w:val="0"/>
              </w:rPr>
              <w:t>未针对各类检测报告中指出的问题进行有效处置，造成设施病害缺陷加剧、人员财产损失或影响正常通行，每次扣3分。</w:t>
            </w:r>
          </w:p>
        </w:tc>
        <w:tc>
          <w:tcPr>
            <w:tcW w:w="1556" w:type="dxa"/>
            <w:vAlign w:val="center"/>
          </w:tcPr>
          <w:p w14:paraId="5EC95C82">
            <w:pPr>
              <w:rPr>
                <w:rFonts w:eastAsia="仿宋_GB2312"/>
                <w:kern w:val="0"/>
              </w:rPr>
            </w:pPr>
            <w:r>
              <w:rPr>
                <w:rFonts w:eastAsia="仿宋_GB2312"/>
                <w:kern w:val="0"/>
              </w:rPr>
              <w:t>扣1~3分</w:t>
            </w:r>
            <w:r>
              <w:rPr>
                <w:rFonts w:hint="eastAsia" w:eastAsia="仿宋_GB2312"/>
                <w:kern w:val="0"/>
              </w:rPr>
              <w:t>/次</w:t>
            </w:r>
          </w:p>
        </w:tc>
        <w:tc>
          <w:tcPr>
            <w:tcW w:w="708" w:type="dxa"/>
            <w:vAlign w:val="center"/>
          </w:tcPr>
          <w:p w14:paraId="6DEEC93B">
            <w:pPr>
              <w:rPr>
                <w:rFonts w:eastAsia="仿宋_GB2312"/>
                <w:kern w:val="0"/>
              </w:rPr>
            </w:pPr>
          </w:p>
        </w:tc>
      </w:tr>
      <w:tr w14:paraId="0DD67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3F7DC661">
            <w:pPr>
              <w:rPr>
                <w:rFonts w:eastAsia="仿宋_GB2312"/>
                <w:kern w:val="0"/>
              </w:rPr>
            </w:pPr>
          </w:p>
        </w:tc>
        <w:tc>
          <w:tcPr>
            <w:tcW w:w="856" w:type="dxa"/>
            <w:vAlign w:val="center"/>
          </w:tcPr>
          <w:p w14:paraId="57304EFA">
            <w:pPr>
              <w:jc w:val="center"/>
              <w:rPr>
                <w:rFonts w:eastAsia="仿宋_GB2312"/>
                <w:kern w:val="0"/>
              </w:rPr>
            </w:pPr>
            <w:r>
              <w:rPr>
                <w:rFonts w:eastAsia="仿宋_GB2312"/>
                <w:kern w:val="0"/>
              </w:rPr>
              <w:t>6</w:t>
            </w:r>
          </w:p>
        </w:tc>
        <w:tc>
          <w:tcPr>
            <w:tcW w:w="859" w:type="dxa"/>
            <w:vAlign w:val="center"/>
          </w:tcPr>
          <w:p w14:paraId="7352C18E">
            <w:pPr>
              <w:jc w:val="center"/>
              <w:rPr>
                <w:rFonts w:eastAsia="仿宋_GB2312"/>
                <w:kern w:val="0"/>
              </w:rPr>
            </w:pPr>
            <w:r>
              <w:rPr>
                <w:rFonts w:eastAsia="仿宋_GB2312"/>
                <w:kern w:val="0"/>
              </w:rPr>
              <w:t>运维保障</w:t>
            </w:r>
          </w:p>
        </w:tc>
        <w:tc>
          <w:tcPr>
            <w:tcW w:w="4242" w:type="dxa"/>
            <w:vAlign w:val="center"/>
          </w:tcPr>
          <w:p w14:paraId="48D864A3">
            <w:pPr>
              <w:rPr>
                <w:rFonts w:eastAsia="仿宋_GB2312"/>
                <w:kern w:val="0"/>
              </w:rPr>
            </w:pPr>
            <w:r>
              <w:rPr>
                <w:rFonts w:eastAsia="仿宋_GB2312"/>
                <w:kern w:val="0"/>
              </w:rPr>
              <w:t>未能按时、保质保量完成重大任务或指令要求，每次扣3分；</w:t>
            </w:r>
          </w:p>
          <w:p w14:paraId="3099AB64">
            <w:pPr>
              <w:rPr>
                <w:rFonts w:eastAsia="仿宋_GB2312"/>
                <w:kern w:val="0"/>
              </w:rPr>
            </w:pPr>
            <w:r>
              <w:rPr>
                <w:rFonts w:eastAsia="仿宋_GB2312"/>
                <w:kern w:val="0"/>
              </w:rPr>
              <w:t>风险隐患、险情或重大事件存在不报、瞒报、误报、处置不力，造成设施人员财产损失或严重影响交通运行，每次扣3分。</w:t>
            </w:r>
          </w:p>
        </w:tc>
        <w:tc>
          <w:tcPr>
            <w:tcW w:w="1556" w:type="dxa"/>
            <w:vAlign w:val="center"/>
          </w:tcPr>
          <w:p w14:paraId="1250DD91">
            <w:pPr>
              <w:rPr>
                <w:rFonts w:eastAsia="仿宋_GB2312"/>
                <w:kern w:val="0"/>
              </w:rPr>
            </w:pPr>
            <w:r>
              <w:rPr>
                <w:rFonts w:eastAsia="仿宋_GB2312"/>
                <w:kern w:val="0"/>
              </w:rPr>
              <w:t>扣3分</w:t>
            </w:r>
            <w:r>
              <w:rPr>
                <w:rFonts w:hint="eastAsia" w:eastAsia="仿宋_GB2312"/>
                <w:kern w:val="0"/>
              </w:rPr>
              <w:t>/次</w:t>
            </w:r>
          </w:p>
        </w:tc>
        <w:tc>
          <w:tcPr>
            <w:tcW w:w="708" w:type="dxa"/>
            <w:vAlign w:val="center"/>
          </w:tcPr>
          <w:p w14:paraId="4350CD08">
            <w:pPr>
              <w:rPr>
                <w:rFonts w:eastAsia="仿宋_GB2312"/>
                <w:kern w:val="0"/>
              </w:rPr>
            </w:pPr>
          </w:p>
        </w:tc>
      </w:tr>
      <w:tr w14:paraId="5EE4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14:paraId="78D5ED91">
            <w:pPr>
              <w:rPr>
                <w:rFonts w:eastAsia="仿宋_GB2312"/>
                <w:kern w:val="0"/>
              </w:rPr>
            </w:pPr>
          </w:p>
        </w:tc>
        <w:tc>
          <w:tcPr>
            <w:tcW w:w="856" w:type="dxa"/>
            <w:vAlign w:val="center"/>
          </w:tcPr>
          <w:p w14:paraId="4207C292">
            <w:pPr>
              <w:jc w:val="center"/>
              <w:rPr>
                <w:rFonts w:eastAsia="仿宋_GB2312"/>
                <w:kern w:val="0"/>
              </w:rPr>
            </w:pPr>
            <w:r>
              <w:rPr>
                <w:rFonts w:eastAsia="仿宋_GB2312"/>
                <w:kern w:val="0"/>
              </w:rPr>
              <w:t>7</w:t>
            </w:r>
          </w:p>
        </w:tc>
        <w:tc>
          <w:tcPr>
            <w:tcW w:w="859" w:type="dxa"/>
            <w:vAlign w:val="center"/>
          </w:tcPr>
          <w:p w14:paraId="3EC02E49">
            <w:pPr>
              <w:jc w:val="center"/>
              <w:rPr>
                <w:rFonts w:eastAsia="仿宋_GB2312"/>
                <w:kern w:val="0"/>
              </w:rPr>
            </w:pPr>
            <w:r>
              <w:rPr>
                <w:rFonts w:eastAsia="仿宋_GB2312"/>
                <w:kern w:val="0"/>
              </w:rPr>
              <w:t>安全生产和应急处置</w:t>
            </w:r>
          </w:p>
        </w:tc>
        <w:tc>
          <w:tcPr>
            <w:tcW w:w="4242" w:type="dxa"/>
            <w:vAlign w:val="center"/>
          </w:tcPr>
          <w:p w14:paraId="6DBC78CA">
            <w:pPr>
              <w:rPr>
                <w:rFonts w:eastAsia="仿宋_GB2312"/>
                <w:kern w:val="0"/>
              </w:rPr>
            </w:pPr>
            <w:r>
              <w:rPr>
                <w:rFonts w:eastAsia="仿宋_GB2312"/>
                <w:kern w:val="0"/>
              </w:rPr>
              <w:t>因养护运维作业质量不达标，影响设施运行安全或交通运行、受到行业主管部门严肃批评问责或引起社会舆论反响等，每次扣3分；</w:t>
            </w:r>
          </w:p>
          <w:p w14:paraId="7272C827">
            <w:pPr>
              <w:rPr>
                <w:rFonts w:eastAsia="仿宋_GB2312"/>
                <w:kern w:val="0"/>
              </w:rPr>
            </w:pPr>
            <w:r>
              <w:rPr>
                <w:rFonts w:eastAsia="仿宋_GB2312"/>
                <w:kern w:val="0"/>
              </w:rPr>
              <w:t>因养护运维管理或作业行为的缺失、违规，造成设施人员财产损失或导致第三方发生安全事故、引起次生灾害，每次扣5分；</w:t>
            </w:r>
          </w:p>
          <w:p w14:paraId="38757A3A">
            <w:pPr>
              <w:rPr>
                <w:rFonts w:eastAsia="仿宋_GB2312"/>
                <w:kern w:val="0"/>
              </w:rPr>
            </w:pPr>
            <w:r>
              <w:rPr>
                <w:rFonts w:eastAsia="仿宋_GB2312"/>
                <w:kern w:val="0"/>
              </w:rPr>
              <w:t>发生有责生产安全事故，造成人员死亡、重伤或致使设施出现重大结构安全隐患，每次扣10分。</w:t>
            </w:r>
          </w:p>
        </w:tc>
        <w:tc>
          <w:tcPr>
            <w:tcW w:w="1556" w:type="dxa"/>
            <w:vAlign w:val="center"/>
          </w:tcPr>
          <w:p w14:paraId="0DDED8DE">
            <w:pPr>
              <w:rPr>
                <w:rFonts w:eastAsia="仿宋_GB2312"/>
                <w:kern w:val="0"/>
              </w:rPr>
            </w:pPr>
            <w:r>
              <w:rPr>
                <w:rFonts w:eastAsia="仿宋_GB2312"/>
                <w:kern w:val="0"/>
              </w:rPr>
              <w:t>扣3~10分</w:t>
            </w:r>
            <w:r>
              <w:rPr>
                <w:rFonts w:hint="eastAsia" w:eastAsia="仿宋_GB2312"/>
                <w:kern w:val="0"/>
              </w:rPr>
              <w:t>/次</w:t>
            </w:r>
          </w:p>
        </w:tc>
        <w:tc>
          <w:tcPr>
            <w:tcW w:w="708" w:type="dxa"/>
            <w:vAlign w:val="center"/>
          </w:tcPr>
          <w:p w14:paraId="39326F4D">
            <w:pPr>
              <w:rPr>
                <w:rFonts w:eastAsia="仿宋_GB2312"/>
                <w:kern w:val="0"/>
              </w:rPr>
            </w:pPr>
          </w:p>
        </w:tc>
      </w:tr>
      <w:tr w14:paraId="4480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6" w:type="dxa"/>
            <w:vMerge w:val="continue"/>
          </w:tcPr>
          <w:p w14:paraId="060FA935">
            <w:pPr>
              <w:rPr>
                <w:rFonts w:eastAsia="仿宋_GB2312"/>
                <w:kern w:val="0"/>
              </w:rPr>
            </w:pPr>
          </w:p>
        </w:tc>
        <w:tc>
          <w:tcPr>
            <w:tcW w:w="856" w:type="dxa"/>
            <w:vAlign w:val="center"/>
          </w:tcPr>
          <w:p w14:paraId="21DAF9FF">
            <w:pPr>
              <w:jc w:val="center"/>
              <w:rPr>
                <w:rFonts w:eastAsia="仿宋_GB2312"/>
                <w:kern w:val="0"/>
              </w:rPr>
            </w:pPr>
            <w:r>
              <w:rPr>
                <w:rFonts w:eastAsia="仿宋_GB2312"/>
                <w:kern w:val="0"/>
              </w:rPr>
              <w:t>8</w:t>
            </w:r>
          </w:p>
        </w:tc>
        <w:tc>
          <w:tcPr>
            <w:tcW w:w="859" w:type="dxa"/>
            <w:vMerge w:val="restart"/>
            <w:vAlign w:val="center"/>
          </w:tcPr>
          <w:p w14:paraId="68B577C3">
            <w:pPr>
              <w:jc w:val="center"/>
              <w:rPr>
                <w:rFonts w:eastAsia="仿宋_GB2312"/>
                <w:kern w:val="0"/>
              </w:rPr>
            </w:pPr>
            <w:r>
              <w:rPr>
                <w:rFonts w:hint="eastAsia" w:eastAsia="仿宋_GB2312"/>
                <w:kern w:val="0"/>
              </w:rPr>
              <w:t>宣传与公众服务</w:t>
            </w:r>
          </w:p>
        </w:tc>
        <w:tc>
          <w:tcPr>
            <w:tcW w:w="4242" w:type="dxa"/>
            <w:vAlign w:val="center"/>
          </w:tcPr>
          <w:p w14:paraId="14C062A9">
            <w:pPr>
              <w:rPr>
                <w:rFonts w:eastAsia="仿宋_GB2312"/>
                <w:kern w:val="0"/>
              </w:rPr>
            </w:pPr>
            <w:r>
              <w:rPr>
                <w:rFonts w:eastAsia="仿宋_GB2312"/>
                <w:kern w:val="0"/>
              </w:rPr>
              <w:t>通讯稿被上海市道运中心微信公众号采纳。</w:t>
            </w:r>
          </w:p>
        </w:tc>
        <w:tc>
          <w:tcPr>
            <w:tcW w:w="1556" w:type="dxa"/>
            <w:vAlign w:val="center"/>
          </w:tcPr>
          <w:p w14:paraId="3395B9AC">
            <w:pPr>
              <w:rPr>
                <w:rFonts w:eastAsia="仿宋_GB2312"/>
                <w:kern w:val="0"/>
              </w:rPr>
            </w:pPr>
            <w:r>
              <w:rPr>
                <w:rFonts w:eastAsia="仿宋_GB2312"/>
                <w:kern w:val="0"/>
              </w:rPr>
              <w:t>加2分</w:t>
            </w:r>
            <w:r>
              <w:rPr>
                <w:rFonts w:hint="eastAsia" w:eastAsia="仿宋_GB2312"/>
                <w:kern w:val="0"/>
              </w:rPr>
              <w:t>/次</w:t>
            </w:r>
          </w:p>
        </w:tc>
        <w:tc>
          <w:tcPr>
            <w:tcW w:w="708" w:type="dxa"/>
            <w:vAlign w:val="center"/>
          </w:tcPr>
          <w:p w14:paraId="1200D1E1">
            <w:pPr>
              <w:rPr>
                <w:rFonts w:eastAsia="仿宋_GB2312"/>
                <w:kern w:val="0"/>
              </w:rPr>
            </w:pPr>
          </w:p>
        </w:tc>
      </w:tr>
      <w:tr w14:paraId="4E04F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0D404B13">
            <w:pPr>
              <w:rPr>
                <w:rFonts w:eastAsia="仿宋_GB2312"/>
                <w:kern w:val="0"/>
              </w:rPr>
            </w:pPr>
          </w:p>
        </w:tc>
        <w:tc>
          <w:tcPr>
            <w:tcW w:w="856" w:type="dxa"/>
            <w:vAlign w:val="center"/>
          </w:tcPr>
          <w:p w14:paraId="768CD4E4">
            <w:pPr>
              <w:jc w:val="center"/>
              <w:rPr>
                <w:rFonts w:eastAsia="仿宋_GB2312"/>
                <w:kern w:val="0"/>
              </w:rPr>
            </w:pPr>
            <w:r>
              <w:rPr>
                <w:rFonts w:eastAsia="仿宋_GB2312"/>
                <w:kern w:val="0"/>
              </w:rPr>
              <w:t>9</w:t>
            </w:r>
          </w:p>
        </w:tc>
        <w:tc>
          <w:tcPr>
            <w:tcW w:w="859" w:type="dxa"/>
            <w:vMerge w:val="continue"/>
            <w:vAlign w:val="center"/>
          </w:tcPr>
          <w:p w14:paraId="13D0297D">
            <w:pPr>
              <w:jc w:val="center"/>
              <w:rPr>
                <w:rFonts w:eastAsia="仿宋_GB2312"/>
                <w:kern w:val="0"/>
              </w:rPr>
            </w:pPr>
          </w:p>
        </w:tc>
        <w:tc>
          <w:tcPr>
            <w:tcW w:w="4242" w:type="dxa"/>
            <w:vAlign w:val="center"/>
          </w:tcPr>
          <w:p w14:paraId="33D46139">
            <w:pPr>
              <w:rPr>
                <w:rFonts w:eastAsia="仿宋_GB2312"/>
                <w:kern w:val="0"/>
              </w:rPr>
            </w:pPr>
            <w:r>
              <w:rPr>
                <w:rFonts w:eastAsia="仿宋_GB2312"/>
                <w:kern w:val="0"/>
              </w:rPr>
              <w:t>妥善处理人民来信、来电、来访等诉求工单和社会投诉，被录用至热线处置工单优秀案例。</w:t>
            </w:r>
          </w:p>
        </w:tc>
        <w:tc>
          <w:tcPr>
            <w:tcW w:w="1556" w:type="dxa"/>
            <w:vAlign w:val="center"/>
          </w:tcPr>
          <w:p w14:paraId="75A2A61D">
            <w:pPr>
              <w:rPr>
                <w:rFonts w:eastAsia="仿宋_GB2312"/>
                <w:kern w:val="0"/>
              </w:rPr>
            </w:pPr>
            <w:r>
              <w:rPr>
                <w:rFonts w:eastAsia="仿宋_GB2312"/>
                <w:kern w:val="0"/>
              </w:rPr>
              <w:t>加2分</w:t>
            </w:r>
            <w:r>
              <w:rPr>
                <w:rFonts w:hint="eastAsia" w:eastAsia="仿宋_GB2312"/>
                <w:kern w:val="0"/>
              </w:rPr>
              <w:t>/次</w:t>
            </w:r>
          </w:p>
        </w:tc>
        <w:tc>
          <w:tcPr>
            <w:tcW w:w="708" w:type="dxa"/>
            <w:vAlign w:val="center"/>
          </w:tcPr>
          <w:p w14:paraId="7BCBA1A4">
            <w:pPr>
              <w:rPr>
                <w:rFonts w:eastAsia="仿宋_GB2312"/>
                <w:kern w:val="0"/>
              </w:rPr>
            </w:pPr>
          </w:p>
        </w:tc>
      </w:tr>
      <w:tr w14:paraId="603D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3025BFA6">
            <w:pPr>
              <w:rPr>
                <w:rFonts w:eastAsia="仿宋_GB2312"/>
                <w:kern w:val="0"/>
              </w:rPr>
            </w:pPr>
          </w:p>
        </w:tc>
        <w:tc>
          <w:tcPr>
            <w:tcW w:w="856" w:type="dxa"/>
            <w:vAlign w:val="center"/>
          </w:tcPr>
          <w:p w14:paraId="33362144">
            <w:pPr>
              <w:jc w:val="center"/>
              <w:rPr>
                <w:rFonts w:eastAsia="仿宋_GB2312"/>
                <w:kern w:val="0"/>
              </w:rPr>
            </w:pPr>
            <w:r>
              <w:rPr>
                <w:rFonts w:eastAsia="仿宋_GB2312"/>
                <w:kern w:val="0"/>
              </w:rPr>
              <w:t>10</w:t>
            </w:r>
          </w:p>
        </w:tc>
        <w:tc>
          <w:tcPr>
            <w:tcW w:w="859" w:type="dxa"/>
            <w:vMerge w:val="restart"/>
            <w:vAlign w:val="center"/>
          </w:tcPr>
          <w:p w14:paraId="3EA6FF00">
            <w:pPr>
              <w:jc w:val="center"/>
              <w:rPr>
                <w:rFonts w:eastAsia="仿宋_GB2312"/>
                <w:kern w:val="0"/>
              </w:rPr>
            </w:pPr>
            <w:r>
              <w:rPr>
                <w:rFonts w:eastAsia="仿宋_GB2312"/>
                <w:kern w:val="0"/>
              </w:rPr>
              <w:t>行业示范带头作用</w:t>
            </w:r>
          </w:p>
        </w:tc>
        <w:tc>
          <w:tcPr>
            <w:tcW w:w="4242" w:type="dxa"/>
            <w:vAlign w:val="center"/>
          </w:tcPr>
          <w:p w14:paraId="27917FEA">
            <w:pPr>
              <w:rPr>
                <w:rFonts w:eastAsia="仿宋_GB2312"/>
                <w:kern w:val="0"/>
              </w:rPr>
            </w:pPr>
            <w:r>
              <w:rPr>
                <w:rFonts w:eastAsia="仿宋_GB2312"/>
                <w:kern w:val="0"/>
              </w:rPr>
              <w:t>当</w:t>
            </w:r>
            <w:r>
              <w:rPr>
                <w:rFonts w:hint="eastAsia" w:eastAsia="仿宋_GB2312"/>
                <w:kern w:val="0"/>
              </w:rPr>
              <w:t>季度</w:t>
            </w:r>
            <w:r>
              <w:rPr>
                <w:rFonts w:eastAsia="仿宋_GB2312"/>
                <w:kern w:val="0"/>
              </w:rPr>
              <w:t>在各类专项评比中获奖。</w:t>
            </w:r>
          </w:p>
        </w:tc>
        <w:tc>
          <w:tcPr>
            <w:tcW w:w="1556" w:type="dxa"/>
            <w:vAlign w:val="center"/>
          </w:tcPr>
          <w:p w14:paraId="13E4F07A">
            <w:pPr>
              <w:rPr>
                <w:rFonts w:eastAsia="仿宋_GB2312"/>
                <w:kern w:val="0"/>
              </w:rPr>
            </w:pPr>
            <w:r>
              <w:rPr>
                <w:rFonts w:eastAsia="仿宋_GB2312"/>
                <w:kern w:val="0"/>
              </w:rPr>
              <w:t>一等奖加3分</w:t>
            </w:r>
            <w:r>
              <w:rPr>
                <w:rFonts w:hint="eastAsia" w:eastAsia="仿宋_GB2312"/>
                <w:kern w:val="0"/>
              </w:rPr>
              <w:t>/项</w:t>
            </w:r>
          </w:p>
          <w:p w14:paraId="50EA4233">
            <w:pPr>
              <w:rPr>
                <w:rFonts w:eastAsia="仿宋_GB2312"/>
                <w:kern w:val="0"/>
              </w:rPr>
            </w:pPr>
            <w:r>
              <w:rPr>
                <w:rFonts w:eastAsia="仿宋_GB2312"/>
                <w:kern w:val="0"/>
              </w:rPr>
              <w:t>二等奖加2分</w:t>
            </w:r>
            <w:r>
              <w:rPr>
                <w:rFonts w:hint="eastAsia" w:eastAsia="仿宋_GB2312"/>
                <w:kern w:val="0"/>
              </w:rPr>
              <w:t>/项</w:t>
            </w:r>
          </w:p>
          <w:p w14:paraId="45FA7C1D">
            <w:pPr>
              <w:rPr>
                <w:rFonts w:eastAsia="仿宋_GB2312"/>
                <w:kern w:val="0"/>
              </w:rPr>
            </w:pPr>
            <w:r>
              <w:rPr>
                <w:rFonts w:eastAsia="仿宋_GB2312"/>
                <w:kern w:val="0"/>
              </w:rPr>
              <w:t>三等奖加1分</w:t>
            </w:r>
            <w:r>
              <w:rPr>
                <w:rFonts w:hint="eastAsia" w:eastAsia="仿宋_GB2312"/>
                <w:kern w:val="0"/>
              </w:rPr>
              <w:t>/项</w:t>
            </w:r>
          </w:p>
        </w:tc>
        <w:tc>
          <w:tcPr>
            <w:tcW w:w="708" w:type="dxa"/>
            <w:vAlign w:val="center"/>
          </w:tcPr>
          <w:p w14:paraId="3578395B">
            <w:pPr>
              <w:rPr>
                <w:rFonts w:eastAsia="仿宋_GB2312"/>
                <w:kern w:val="0"/>
              </w:rPr>
            </w:pPr>
          </w:p>
        </w:tc>
      </w:tr>
      <w:tr w14:paraId="7F041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247CAF94">
            <w:pPr>
              <w:rPr>
                <w:rFonts w:eastAsia="仿宋_GB2312"/>
                <w:kern w:val="0"/>
              </w:rPr>
            </w:pPr>
          </w:p>
        </w:tc>
        <w:tc>
          <w:tcPr>
            <w:tcW w:w="856" w:type="dxa"/>
            <w:vAlign w:val="center"/>
          </w:tcPr>
          <w:p w14:paraId="5E6875E3">
            <w:pPr>
              <w:jc w:val="center"/>
              <w:rPr>
                <w:rFonts w:eastAsia="仿宋_GB2312"/>
                <w:kern w:val="0"/>
              </w:rPr>
            </w:pPr>
            <w:r>
              <w:rPr>
                <w:rFonts w:eastAsia="仿宋_GB2312"/>
                <w:kern w:val="0"/>
              </w:rPr>
              <w:t>11</w:t>
            </w:r>
          </w:p>
        </w:tc>
        <w:tc>
          <w:tcPr>
            <w:tcW w:w="859" w:type="dxa"/>
            <w:vMerge w:val="continue"/>
            <w:vAlign w:val="center"/>
          </w:tcPr>
          <w:p w14:paraId="687F7D59">
            <w:pPr>
              <w:rPr>
                <w:rFonts w:eastAsia="仿宋_GB2312"/>
                <w:kern w:val="0"/>
              </w:rPr>
            </w:pPr>
          </w:p>
        </w:tc>
        <w:tc>
          <w:tcPr>
            <w:tcW w:w="4242" w:type="dxa"/>
            <w:vAlign w:val="center"/>
          </w:tcPr>
          <w:p w14:paraId="7DF8B125">
            <w:pPr>
              <w:rPr>
                <w:rFonts w:eastAsia="仿宋_GB2312"/>
                <w:kern w:val="0"/>
              </w:rPr>
            </w:pPr>
            <w:r>
              <w:rPr>
                <w:rFonts w:eastAsia="仿宋_GB2312"/>
                <w:kern w:val="0"/>
              </w:rPr>
              <w:t>养护设施获得市级或行业级奖项。</w:t>
            </w:r>
          </w:p>
        </w:tc>
        <w:tc>
          <w:tcPr>
            <w:tcW w:w="1556" w:type="dxa"/>
            <w:vAlign w:val="center"/>
          </w:tcPr>
          <w:p w14:paraId="48B0D546">
            <w:pPr>
              <w:rPr>
                <w:rFonts w:eastAsia="仿宋_GB2312"/>
                <w:kern w:val="0"/>
              </w:rPr>
            </w:pPr>
            <w:r>
              <w:rPr>
                <w:rFonts w:eastAsia="仿宋_GB2312"/>
                <w:kern w:val="0"/>
              </w:rPr>
              <w:t>市级加5分</w:t>
            </w:r>
            <w:r>
              <w:rPr>
                <w:rFonts w:hint="eastAsia" w:eastAsia="仿宋_GB2312"/>
                <w:kern w:val="0"/>
              </w:rPr>
              <w:t>/项</w:t>
            </w:r>
          </w:p>
          <w:p w14:paraId="42F2A995">
            <w:pPr>
              <w:rPr>
                <w:rFonts w:eastAsia="仿宋_GB2312"/>
                <w:kern w:val="0"/>
              </w:rPr>
            </w:pPr>
            <w:r>
              <w:rPr>
                <w:rFonts w:eastAsia="仿宋_GB2312"/>
                <w:kern w:val="0"/>
              </w:rPr>
              <w:t>行业级加3分</w:t>
            </w:r>
            <w:r>
              <w:rPr>
                <w:rFonts w:hint="eastAsia" w:eastAsia="仿宋_GB2312"/>
                <w:kern w:val="0"/>
              </w:rPr>
              <w:t>/项</w:t>
            </w:r>
          </w:p>
        </w:tc>
        <w:tc>
          <w:tcPr>
            <w:tcW w:w="708" w:type="dxa"/>
            <w:vAlign w:val="center"/>
          </w:tcPr>
          <w:p w14:paraId="72609A15">
            <w:pPr>
              <w:rPr>
                <w:rFonts w:eastAsia="仿宋_GB2312"/>
                <w:kern w:val="0"/>
              </w:rPr>
            </w:pPr>
          </w:p>
        </w:tc>
      </w:tr>
      <w:tr w14:paraId="002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gridSpan w:val="3"/>
          </w:tcPr>
          <w:p w14:paraId="5B525547">
            <w:pPr>
              <w:jc w:val="center"/>
              <w:rPr>
                <w:rFonts w:eastAsia="仿宋_GB2312"/>
                <w:kern w:val="0"/>
              </w:rPr>
            </w:pPr>
            <w:r>
              <w:rPr>
                <w:rFonts w:eastAsia="仿宋_GB2312"/>
                <w:kern w:val="0"/>
              </w:rPr>
              <w:t>设施</w:t>
            </w:r>
            <w:r>
              <w:rPr>
                <w:rFonts w:hint="eastAsia" w:eastAsia="仿宋_GB2312"/>
                <w:kern w:val="0"/>
              </w:rPr>
              <w:t>季</w:t>
            </w:r>
            <w:r>
              <w:rPr>
                <w:rFonts w:eastAsia="仿宋_GB2312"/>
                <w:kern w:val="0"/>
              </w:rPr>
              <w:t>度</w:t>
            </w:r>
          </w:p>
          <w:p w14:paraId="009E7DA8">
            <w:pPr>
              <w:jc w:val="center"/>
              <w:rPr>
                <w:rFonts w:eastAsia="仿宋_GB2312"/>
                <w:kern w:val="0"/>
              </w:rPr>
            </w:pPr>
            <w:r>
              <w:rPr>
                <w:rFonts w:eastAsia="仿宋_GB2312"/>
                <w:kern w:val="0"/>
              </w:rPr>
              <w:t>专项得分</w:t>
            </w:r>
          </w:p>
        </w:tc>
        <w:tc>
          <w:tcPr>
            <w:tcW w:w="4242" w:type="dxa"/>
            <w:vAlign w:val="center"/>
          </w:tcPr>
          <w:p w14:paraId="5B4748FB">
            <w:pPr>
              <w:rPr>
                <w:rFonts w:eastAsia="仿宋_GB2312"/>
                <w:kern w:val="0"/>
              </w:rPr>
            </w:pPr>
            <w:r>
              <w:rPr>
                <w:rFonts w:eastAsia="仿宋_GB2312"/>
                <w:kern w:val="0"/>
              </w:rPr>
              <w:t>（1）~（11）得分总和</w:t>
            </w:r>
          </w:p>
        </w:tc>
        <w:tc>
          <w:tcPr>
            <w:tcW w:w="2264" w:type="dxa"/>
            <w:gridSpan w:val="2"/>
            <w:vAlign w:val="center"/>
          </w:tcPr>
          <w:p w14:paraId="58C7B2CE">
            <w:pPr>
              <w:rPr>
                <w:rFonts w:eastAsia="仿宋_GB2312"/>
                <w:kern w:val="0"/>
              </w:rPr>
            </w:pPr>
          </w:p>
        </w:tc>
      </w:tr>
    </w:tbl>
    <w:p w14:paraId="68C6D5EE">
      <w:pPr>
        <w:spacing w:line="500" w:lineRule="exact"/>
        <w:jc w:val="both"/>
        <w:textAlignment w:val="auto"/>
        <w:rPr>
          <w:rFonts w:ascii="Times New Roman" w:hAnsi="Times New Roman"/>
          <w:sz w:val="18"/>
          <w:szCs w:val="18"/>
        </w:rPr>
      </w:pPr>
      <w:r>
        <w:rPr>
          <w:rFonts w:ascii="Times New Roman" w:hAnsi="Times New Roman"/>
          <w:sz w:val="18"/>
          <w:szCs w:val="18"/>
        </w:rPr>
        <w:br w:type="page"/>
      </w:r>
    </w:p>
    <w:p w14:paraId="2F0A0586">
      <w:pPr>
        <w:spacing w:line="500" w:lineRule="exact"/>
        <w:jc w:val="both"/>
        <w:textAlignment w:val="auto"/>
        <w:rPr>
          <w:rFonts w:ascii="Times New Roman" w:hAnsi="Times New Roman"/>
          <w:sz w:val="18"/>
          <w:szCs w:val="18"/>
        </w:rPr>
      </w:pPr>
    </w:p>
    <w:tbl>
      <w:tblPr>
        <w:tblStyle w:val="393"/>
        <w:tblpPr w:leftFromText="142" w:rightFromText="142" w:vertAnchor="text" w:horzAnchor="margin" w:tblpXSpec="center" w:tblpY="110"/>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442"/>
        <w:gridCol w:w="3944"/>
        <w:gridCol w:w="851"/>
        <w:gridCol w:w="3143"/>
      </w:tblGrid>
      <w:tr w14:paraId="64C4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5"/>
            <w:vAlign w:val="center"/>
          </w:tcPr>
          <w:p w14:paraId="2E82A36C">
            <w:pPr>
              <w:jc w:val="center"/>
              <w:textAlignment w:val="auto"/>
              <w:rPr>
                <w:rFonts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9 </w:t>
            </w:r>
            <w:r>
              <w:rPr>
                <w:rFonts w:hint="eastAsia" w:ascii="黑体" w:hAnsi="黑体" w:eastAsia="黑体"/>
                <w:kern w:val="0"/>
                <w:sz w:val="28"/>
                <w:szCs w:val="32"/>
              </w:rPr>
              <w:t>市管设施下部涂装保洁季度考核评分总表</w:t>
            </w:r>
          </w:p>
        </w:tc>
      </w:tr>
      <w:tr w14:paraId="29A5B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restart"/>
            <w:vAlign w:val="center"/>
          </w:tcPr>
          <w:p w14:paraId="55F8004D">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考核设施：</w:t>
            </w:r>
          </w:p>
        </w:tc>
        <w:tc>
          <w:tcPr>
            <w:tcW w:w="3994" w:type="dxa"/>
            <w:gridSpan w:val="2"/>
            <w:vAlign w:val="center"/>
          </w:tcPr>
          <w:p w14:paraId="2630652A">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检查日期：</w:t>
            </w:r>
          </w:p>
        </w:tc>
      </w:tr>
      <w:tr w14:paraId="1F4DA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continue"/>
          </w:tcPr>
          <w:p w14:paraId="54A6ED38">
            <w:pPr>
              <w:jc w:val="both"/>
              <w:textAlignment w:val="auto"/>
              <w:rPr>
                <w:rFonts w:ascii="仿宋_GB2312" w:hAnsi="宋体" w:eastAsia="仿宋_GB2312"/>
                <w:kern w:val="0"/>
                <w:sz w:val="24"/>
                <w:szCs w:val="28"/>
                <w:u w:val="single"/>
              </w:rPr>
            </w:pPr>
          </w:p>
        </w:tc>
        <w:tc>
          <w:tcPr>
            <w:tcW w:w="3994" w:type="dxa"/>
            <w:gridSpan w:val="2"/>
            <w:vAlign w:val="center"/>
          </w:tcPr>
          <w:p w14:paraId="22E75251">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检查人员：</w:t>
            </w:r>
          </w:p>
        </w:tc>
      </w:tr>
      <w:tr w14:paraId="497FD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Align w:val="center"/>
          </w:tcPr>
          <w:p w14:paraId="0005D0E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序号</w:t>
            </w:r>
          </w:p>
        </w:tc>
        <w:tc>
          <w:tcPr>
            <w:tcW w:w="1442" w:type="dxa"/>
            <w:vAlign w:val="center"/>
          </w:tcPr>
          <w:p w14:paraId="7A2B4A56">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项目</w:t>
            </w:r>
          </w:p>
        </w:tc>
        <w:tc>
          <w:tcPr>
            <w:tcW w:w="3944" w:type="dxa"/>
            <w:vAlign w:val="center"/>
          </w:tcPr>
          <w:p w14:paraId="69CFB615">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考核内容</w:t>
            </w:r>
          </w:p>
        </w:tc>
        <w:tc>
          <w:tcPr>
            <w:tcW w:w="851" w:type="dxa"/>
            <w:vAlign w:val="center"/>
          </w:tcPr>
          <w:p w14:paraId="60894088">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标准分</w:t>
            </w:r>
          </w:p>
        </w:tc>
        <w:tc>
          <w:tcPr>
            <w:tcW w:w="3143" w:type="dxa"/>
            <w:vAlign w:val="center"/>
          </w:tcPr>
          <w:p w14:paraId="0C7D99BF">
            <w:pPr>
              <w:spacing w:line="240" w:lineRule="exact"/>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考核得分</w:t>
            </w:r>
          </w:p>
        </w:tc>
      </w:tr>
      <w:tr w14:paraId="25AF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963" w:type="dxa"/>
            <w:vMerge w:val="restart"/>
            <w:vAlign w:val="center"/>
          </w:tcPr>
          <w:p w14:paraId="494B2DD7">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(1)</w:t>
            </w:r>
          </w:p>
        </w:tc>
        <w:tc>
          <w:tcPr>
            <w:tcW w:w="1442" w:type="dxa"/>
            <w:vMerge w:val="restart"/>
            <w:vAlign w:val="center"/>
          </w:tcPr>
          <w:p w14:paraId="642A5E5B">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定量考核</w:t>
            </w:r>
          </w:p>
        </w:tc>
        <w:tc>
          <w:tcPr>
            <w:tcW w:w="3944" w:type="dxa"/>
            <w:vAlign w:val="center"/>
          </w:tcPr>
          <w:p w14:paraId="4872AD50">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巡查覆盖率（10）</w:t>
            </w:r>
          </w:p>
        </w:tc>
        <w:tc>
          <w:tcPr>
            <w:tcW w:w="851" w:type="dxa"/>
            <w:vMerge w:val="restart"/>
            <w:vAlign w:val="center"/>
          </w:tcPr>
          <w:p w14:paraId="726FB13F">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60</w:t>
            </w:r>
          </w:p>
        </w:tc>
        <w:tc>
          <w:tcPr>
            <w:tcW w:w="3143" w:type="dxa"/>
            <w:vMerge w:val="restart"/>
            <w:vAlign w:val="center"/>
          </w:tcPr>
          <w:p w14:paraId="41EFC043">
            <w:pPr>
              <w:jc w:val="center"/>
              <w:textAlignment w:val="auto"/>
              <w:rPr>
                <w:rFonts w:ascii="仿宋_GB2312" w:hAnsi="宋体" w:eastAsia="仿宋_GB2312"/>
                <w:kern w:val="0"/>
                <w:sz w:val="20"/>
                <w:szCs w:val="20"/>
              </w:rPr>
            </w:pPr>
          </w:p>
        </w:tc>
      </w:tr>
      <w:tr w14:paraId="798A7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5E8AC6C3">
            <w:pPr>
              <w:jc w:val="center"/>
              <w:textAlignment w:val="auto"/>
              <w:rPr>
                <w:rFonts w:ascii="仿宋_GB2312" w:hAnsi="宋体" w:eastAsia="仿宋_GB2312"/>
                <w:kern w:val="0"/>
                <w:sz w:val="20"/>
                <w:szCs w:val="20"/>
              </w:rPr>
            </w:pPr>
          </w:p>
        </w:tc>
        <w:tc>
          <w:tcPr>
            <w:tcW w:w="1442" w:type="dxa"/>
            <w:vMerge w:val="continue"/>
            <w:vAlign w:val="center"/>
          </w:tcPr>
          <w:p w14:paraId="0CF7FFEF">
            <w:pPr>
              <w:jc w:val="center"/>
              <w:textAlignment w:val="auto"/>
              <w:rPr>
                <w:rFonts w:ascii="仿宋_GB2312" w:hAnsi="宋体" w:eastAsia="仿宋_GB2312"/>
                <w:color w:val="000000"/>
                <w:kern w:val="0"/>
                <w:sz w:val="20"/>
                <w:szCs w:val="20"/>
              </w:rPr>
            </w:pPr>
          </w:p>
        </w:tc>
        <w:tc>
          <w:tcPr>
            <w:tcW w:w="3944" w:type="dxa"/>
            <w:vAlign w:val="center"/>
          </w:tcPr>
          <w:p w14:paraId="2122262E">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病害处置率（20）</w:t>
            </w:r>
          </w:p>
        </w:tc>
        <w:tc>
          <w:tcPr>
            <w:tcW w:w="851" w:type="dxa"/>
            <w:vMerge w:val="continue"/>
            <w:vAlign w:val="center"/>
          </w:tcPr>
          <w:p w14:paraId="361F6896">
            <w:pPr>
              <w:jc w:val="center"/>
              <w:textAlignment w:val="auto"/>
              <w:rPr>
                <w:rFonts w:ascii="仿宋_GB2312" w:hAnsi="宋体" w:eastAsia="仿宋_GB2312"/>
                <w:kern w:val="0"/>
                <w:sz w:val="20"/>
                <w:szCs w:val="20"/>
              </w:rPr>
            </w:pPr>
          </w:p>
        </w:tc>
        <w:tc>
          <w:tcPr>
            <w:tcW w:w="3143" w:type="dxa"/>
            <w:vMerge w:val="continue"/>
            <w:vAlign w:val="center"/>
          </w:tcPr>
          <w:p w14:paraId="6DFC0CF8">
            <w:pPr>
              <w:jc w:val="center"/>
              <w:textAlignment w:val="auto"/>
              <w:rPr>
                <w:rFonts w:ascii="仿宋_GB2312" w:hAnsi="宋体" w:eastAsia="仿宋_GB2312"/>
                <w:kern w:val="0"/>
                <w:sz w:val="20"/>
                <w:szCs w:val="20"/>
              </w:rPr>
            </w:pPr>
          </w:p>
        </w:tc>
      </w:tr>
      <w:tr w14:paraId="2756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4FB9C11A">
            <w:pPr>
              <w:jc w:val="center"/>
              <w:textAlignment w:val="auto"/>
              <w:rPr>
                <w:rFonts w:ascii="仿宋_GB2312" w:hAnsi="宋体" w:eastAsia="仿宋_GB2312"/>
                <w:kern w:val="0"/>
                <w:sz w:val="20"/>
                <w:szCs w:val="20"/>
              </w:rPr>
            </w:pPr>
          </w:p>
        </w:tc>
        <w:tc>
          <w:tcPr>
            <w:tcW w:w="1442" w:type="dxa"/>
            <w:vMerge w:val="continue"/>
            <w:vAlign w:val="center"/>
          </w:tcPr>
          <w:p w14:paraId="2431D7A4">
            <w:pPr>
              <w:jc w:val="center"/>
              <w:textAlignment w:val="auto"/>
              <w:rPr>
                <w:rFonts w:ascii="仿宋_GB2312" w:hAnsi="宋体" w:eastAsia="仿宋_GB2312"/>
                <w:color w:val="000000"/>
                <w:kern w:val="0"/>
                <w:sz w:val="20"/>
                <w:szCs w:val="20"/>
              </w:rPr>
            </w:pPr>
          </w:p>
        </w:tc>
        <w:tc>
          <w:tcPr>
            <w:tcW w:w="3944" w:type="dxa"/>
            <w:vAlign w:val="center"/>
          </w:tcPr>
          <w:p w14:paraId="272A7636">
            <w:pPr>
              <w:jc w:val="center"/>
              <w:textAlignment w:val="auto"/>
              <w:rPr>
                <w:rFonts w:ascii="仿宋_GB2312" w:hAnsi="宋体" w:eastAsia="仿宋_GB2312"/>
                <w:color w:val="000000"/>
                <w:kern w:val="0"/>
                <w:sz w:val="20"/>
                <w:szCs w:val="20"/>
              </w:rPr>
            </w:pPr>
            <w:r>
              <w:rPr>
                <w:rFonts w:hint="eastAsia" w:ascii="仿宋_GB2312" w:hAnsi="宋体" w:eastAsia="仿宋_GB2312"/>
                <w:kern w:val="0"/>
                <w:sz w:val="20"/>
                <w:szCs w:val="20"/>
              </w:rPr>
              <w:t>计划执行率（20）</w:t>
            </w:r>
          </w:p>
        </w:tc>
        <w:tc>
          <w:tcPr>
            <w:tcW w:w="851" w:type="dxa"/>
            <w:vMerge w:val="continue"/>
            <w:vAlign w:val="center"/>
          </w:tcPr>
          <w:p w14:paraId="2305C1F9">
            <w:pPr>
              <w:jc w:val="center"/>
              <w:textAlignment w:val="auto"/>
              <w:rPr>
                <w:rFonts w:ascii="仿宋_GB2312" w:hAnsi="宋体" w:eastAsia="仿宋_GB2312"/>
                <w:kern w:val="0"/>
                <w:sz w:val="20"/>
                <w:szCs w:val="20"/>
              </w:rPr>
            </w:pPr>
          </w:p>
        </w:tc>
        <w:tc>
          <w:tcPr>
            <w:tcW w:w="3143" w:type="dxa"/>
            <w:vMerge w:val="continue"/>
            <w:vAlign w:val="center"/>
          </w:tcPr>
          <w:p w14:paraId="2EEF2475">
            <w:pPr>
              <w:jc w:val="center"/>
              <w:textAlignment w:val="auto"/>
              <w:rPr>
                <w:rFonts w:ascii="仿宋_GB2312" w:hAnsi="宋体" w:eastAsia="仿宋_GB2312"/>
                <w:kern w:val="0"/>
                <w:sz w:val="20"/>
                <w:szCs w:val="20"/>
              </w:rPr>
            </w:pPr>
          </w:p>
        </w:tc>
      </w:tr>
      <w:tr w14:paraId="05186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37244C63">
            <w:pPr>
              <w:jc w:val="center"/>
              <w:textAlignment w:val="auto"/>
              <w:rPr>
                <w:rFonts w:ascii="仿宋_GB2312" w:hAnsi="宋体" w:eastAsia="仿宋_GB2312"/>
                <w:kern w:val="0"/>
                <w:sz w:val="20"/>
                <w:szCs w:val="20"/>
              </w:rPr>
            </w:pPr>
          </w:p>
        </w:tc>
        <w:tc>
          <w:tcPr>
            <w:tcW w:w="1442" w:type="dxa"/>
            <w:vMerge w:val="continue"/>
            <w:vAlign w:val="center"/>
          </w:tcPr>
          <w:p w14:paraId="069351CD">
            <w:pPr>
              <w:jc w:val="center"/>
              <w:textAlignment w:val="auto"/>
              <w:rPr>
                <w:rFonts w:ascii="仿宋_GB2312" w:hAnsi="宋体" w:eastAsia="仿宋_GB2312"/>
                <w:color w:val="000000"/>
                <w:kern w:val="0"/>
                <w:sz w:val="20"/>
                <w:szCs w:val="20"/>
              </w:rPr>
            </w:pPr>
          </w:p>
        </w:tc>
        <w:tc>
          <w:tcPr>
            <w:tcW w:w="3944" w:type="dxa"/>
            <w:vAlign w:val="center"/>
          </w:tcPr>
          <w:p w14:paraId="5CB5E529">
            <w:pPr>
              <w:jc w:val="center"/>
              <w:textAlignment w:val="auto"/>
              <w:rPr>
                <w:rFonts w:ascii="仿宋_GB2312" w:hAnsi="宋体" w:eastAsia="仿宋_GB2312"/>
                <w:kern w:val="0"/>
                <w:sz w:val="20"/>
                <w:szCs w:val="20"/>
              </w:rPr>
            </w:pPr>
            <w:r>
              <w:rPr>
                <w:rFonts w:hint="eastAsia" w:ascii="仿宋_GB2312" w:hAnsi="宋体" w:eastAsia="仿宋_GB2312"/>
                <w:color w:val="000000"/>
                <w:kern w:val="0"/>
                <w:sz w:val="20"/>
                <w:szCs w:val="20"/>
              </w:rPr>
              <w:t>内业提交情况（10）</w:t>
            </w:r>
          </w:p>
        </w:tc>
        <w:tc>
          <w:tcPr>
            <w:tcW w:w="851" w:type="dxa"/>
            <w:vMerge w:val="continue"/>
            <w:vAlign w:val="center"/>
          </w:tcPr>
          <w:p w14:paraId="49253EDE">
            <w:pPr>
              <w:jc w:val="center"/>
              <w:textAlignment w:val="auto"/>
              <w:rPr>
                <w:rFonts w:ascii="仿宋_GB2312" w:hAnsi="宋体" w:eastAsia="仿宋_GB2312"/>
                <w:kern w:val="0"/>
                <w:sz w:val="20"/>
                <w:szCs w:val="20"/>
              </w:rPr>
            </w:pPr>
          </w:p>
        </w:tc>
        <w:tc>
          <w:tcPr>
            <w:tcW w:w="3143" w:type="dxa"/>
            <w:vMerge w:val="continue"/>
            <w:vAlign w:val="center"/>
          </w:tcPr>
          <w:p w14:paraId="34E9B6D9">
            <w:pPr>
              <w:jc w:val="center"/>
              <w:textAlignment w:val="auto"/>
              <w:rPr>
                <w:rFonts w:ascii="仿宋_GB2312" w:hAnsi="宋体" w:eastAsia="仿宋_GB2312"/>
                <w:kern w:val="0"/>
                <w:sz w:val="20"/>
                <w:szCs w:val="20"/>
              </w:rPr>
            </w:pPr>
          </w:p>
        </w:tc>
      </w:tr>
      <w:tr w14:paraId="645D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14:paraId="135D533C">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(2)</w:t>
            </w:r>
          </w:p>
        </w:tc>
        <w:tc>
          <w:tcPr>
            <w:tcW w:w="1442" w:type="dxa"/>
            <w:vMerge w:val="restart"/>
            <w:vAlign w:val="center"/>
          </w:tcPr>
          <w:p w14:paraId="7E4EDBB7">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定性考核</w:t>
            </w:r>
          </w:p>
        </w:tc>
        <w:tc>
          <w:tcPr>
            <w:tcW w:w="3944" w:type="dxa"/>
            <w:vAlign w:val="center"/>
          </w:tcPr>
          <w:p w14:paraId="32500127">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外场检查（30）</w:t>
            </w:r>
          </w:p>
        </w:tc>
        <w:tc>
          <w:tcPr>
            <w:tcW w:w="851" w:type="dxa"/>
            <w:vMerge w:val="restart"/>
            <w:vAlign w:val="center"/>
          </w:tcPr>
          <w:p w14:paraId="424910C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40</w:t>
            </w:r>
          </w:p>
        </w:tc>
        <w:tc>
          <w:tcPr>
            <w:tcW w:w="3143" w:type="dxa"/>
            <w:vMerge w:val="restart"/>
            <w:vAlign w:val="center"/>
          </w:tcPr>
          <w:p w14:paraId="08168E4C">
            <w:pPr>
              <w:jc w:val="center"/>
              <w:textAlignment w:val="auto"/>
              <w:rPr>
                <w:rFonts w:ascii="仿宋_GB2312" w:hAnsi="宋体" w:eastAsia="仿宋_GB2312"/>
                <w:kern w:val="0"/>
                <w:sz w:val="20"/>
                <w:szCs w:val="20"/>
              </w:rPr>
            </w:pPr>
          </w:p>
        </w:tc>
      </w:tr>
      <w:tr w14:paraId="045A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7B219B81">
            <w:pPr>
              <w:jc w:val="center"/>
              <w:textAlignment w:val="auto"/>
              <w:rPr>
                <w:rFonts w:ascii="仿宋_GB2312" w:hAnsi="宋体" w:eastAsia="仿宋_GB2312"/>
                <w:kern w:val="0"/>
                <w:sz w:val="20"/>
                <w:szCs w:val="20"/>
              </w:rPr>
            </w:pPr>
          </w:p>
        </w:tc>
        <w:tc>
          <w:tcPr>
            <w:tcW w:w="1442" w:type="dxa"/>
            <w:vMerge w:val="continue"/>
            <w:vAlign w:val="center"/>
          </w:tcPr>
          <w:p w14:paraId="53578E30">
            <w:pPr>
              <w:jc w:val="center"/>
              <w:textAlignment w:val="auto"/>
              <w:rPr>
                <w:rFonts w:ascii="仿宋_GB2312" w:hAnsi="宋体" w:eastAsia="仿宋_GB2312"/>
                <w:color w:val="000000"/>
                <w:kern w:val="0"/>
                <w:sz w:val="20"/>
                <w:szCs w:val="20"/>
              </w:rPr>
            </w:pPr>
          </w:p>
        </w:tc>
        <w:tc>
          <w:tcPr>
            <w:tcW w:w="3944" w:type="dxa"/>
            <w:vAlign w:val="center"/>
          </w:tcPr>
          <w:p w14:paraId="60F697AF">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安全管理（10）</w:t>
            </w:r>
          </w:p>
        </w:tc>
        <w:tc>
          <w:tcPr>
            <w:tcW w:w="851" w:type="dxa"/>
            <w:vMerge w:val="continue"/>
            <w:vAlign w:val="center"/>
          </w:tcPr>
          <w:p w14:paraId="6F260304">
            <w:pPr>
              <w:jc w:val="center"/>
              <w:textAlignment w:val="auto"/>
              <w:rPr>
                <w:rFonts w:ascii="仿宋_GB2312" w:hAnsi="宋体" w:eastAsia="仿宋_GB2312"/>
                <w:kern w:val="0"/>
                <w:sz w:val="20"/>
                <w:szCs w:val="20"/>
              </w:rPr>
            </w:pPr>
          </w:p>
        </w:tc>
        <w:tc>
          <w:tcPr>
            <w:tcW w:w="3143" w:type="dxa"/>
            <w:vMerge w:val="continue"/>
            <w:vAlign w:val="center"/>
          </w:tcPr>
          <w:p w14:paraId="204EA69E">
            <w:pPr>
              <w:jc w:val="center"/>
              <w:textAlignment w:val="auto"/>
              <w:rPr>
                <w:rFonts w:ascii="仿宋_GB2312" w:hAnsi="宋体" w:eastAsia="仿宋_GB2312"/>
                <w:kern w:val="0"/>
                <w:sz w:val="20"/>
                <w:szCs w:val="20"/>
              </w:rPr>
            </w:pPr>
          </w:p>
        </w:tc>
      </w:tr>
      <w:tr w14:paraId="35C8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14:paraId="2888BB4E">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(3)</w:t>
            </w:r>
          </w:p>
        </w:tc>
        <w:tc>
          <w:tcPr>
            <w:tcW w:w="1442" w:type="dxa"/>
            <w:vMerge w:val="restart"/>
            <w:vAlign w:val="center"/>
          </w:tcPr>
          <w:p w14:paraId="20865D9B">
            <w:pPr>
              <w:jc w:val="center"/>
              <w:textAlignment w:val="auto"/>
              <w:rPr>
                <w:rFonts w:ascii="仿宋_GB2312" w:hAnsi="宋体" w:eastAsia="仿宋_GB2312"/>
                <w:color w:val="000000"/>
                <w:kern w:val="0"/>
                <w:sz w:val="20"/>
                <w:szCs w:val="20"/>
              </w:rPr>
            </w:pPr>
            <w:r>
              <w:rPr>
                <w:rFonts w:hint="eastAsia" w:ascii="仿宋_GB2312" w:hAnsi="宋体" w:eastAsia="仿宋_GB2312"/>
                <w:color w:val="000000"/>
                <w:kern w:val="0"/>
                <w:sz w:val="20"/>
                <w:szCs w:val="20"/>
              </w:rPr>
              <w:t>专项考核</w:t>
            </w:r>
          </w:p>
        </w:tc>
        <w:tc>
          <w:tcPr>
            <w:tcW w:w="3944" w:type="dxa"/>
            <w:vAlign w:val="center"/>
          </w:tcPr>
          <w:p w14:paraId="5DC1B49C">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管理要求执行</w:t>
            </w:r>
          </w:p>
        </w:tc>
        <w:tc>
          <w:tcPr>
            <w:tcW w:w="851" w:type="dxa"/>
            <w:vMerge w:val="restart"/>
            <w:vAlign w:val="center"/>
          </w:tcPr>
          <w:p w14:paraId="6B3AB271">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w:t>
            </w:r>
          </w:p>
        </w:tc>
        <w:tc>
          <w:tcPr>
            <w:tcW w:w="3143" w:type="dxa"/>
            <w:vMerge w:val="restart"/>
            <w:vAlign w:val="center"/>
          </w:tcPr>
          <w:p w14:paraId="45DC76DC">
            <w:pPr>
              <w:jc w:val="center"/>
              <w:textAlignment w:val="auto"/>
              <w:rPr>
                <w:rFonts w:ascii="仿宋_GB2312" w:hAnsi="宋体" w:eastAsia="仿宋_GB2312"/>
                <w:kern w:val="0"/>
                <w:sz w:val="20"/>
                <w:szCs w:val="20"/>
              </w:rPr>
            </w:pPr>
          </w:p>
        </w:tc>
      </w:tr>
      <w:tr w14:paraId="0E4B7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716D0218">
            <w:pPr>
              <w:jc w:val="center"/>
              <w:textAlignment w:val="auto"/>
              <w:rPr>
                <w:rFonts w:ascii="宋体" w:hAnsi="宋体"/>
                <w:kern w:val="0"/>
                <w:sz w:val="20"/>
                <w:szCs w:val="20"/>
              </w:rPr>
            </w:pPr>
          </w:p>
        </w:tc>
        <w:tc>
          <w:tcPr>
            <w:tcW w:w="1442" w:type="dxa"/>
            <w:vMerge w:val="continue"/>
            <w:vAlign w:val="center"/>
          </w:tcPr>
          <w:p w14:paraId="7DF634CC">
            <w:pPr>
              <w:jc w:val="center"/>
              <w:textAlignment w:val="auto"/>
              <w:rPr>
                <w:rFonts w:ascii="宋体" w:hAnsi="宋体"/>
                <w:color w:val="000000"/>
                <w:kern w:val="0"/>
                <w:sz w:val="20"/>
                <w:szCs w:val="20"/>
              </w:rPr>
            </w:pPr>
          </w:p>
        </w:tc>
        <w:tc>
          <w:tcPr>
            <w:tcW w:w="3944" w:type="dxa"/>
            <w:vAlign w:val="center"/>
          </w:tcPr>
          <w:p w14:paraId="69546D78">
            <w:pPr>
              <w:jc w:val="center"/>
              <w:textAlignment w:val="auto"/>
              <w:rPr>
                <w:rFonts w:ascii="仿宋_GB2312" w:hAnsi="Yu Mincho" w:eastAsia="仿宋_GB2312"/>
                <w:kern w:val="0"/>
                <w:sz w:val="20"/>
                <w:szCs w:val="20"/>
              </w:rPr>
            </w:pPr>
            <w:r>
              <w:rPr>
                <w:rFonts w:hint="eastAsia" w:ascii="仿宋_GB2312" w:hAnsi="Yu Mincho" w:eastAsia="仿宋_GB2312"/>
                <w:kern w:val="0"/>
                <w:sz w:val="20"/>
                <w:szCs w:val="20"/>
              </w:rPr>
              <w:t>养护作业</w:t>
            </w:r>
          </w:p>
        </w:tc>
        <w:tc>
          <w:tcPr>
            <w:tcW w:w="851" w:type="dxa"/>
            <w:vMerge w:val="continue"/>
            <w:vAlign w:val="center"/>
          </w:tcPr>
          <w:p w14:paraId="66F87C11">
            <w:pPr>
              <w:jc w:val="center"/>
              <w:textAlignment w:val="auto"/>
              <w:rPr>
                <w:rFonts w:ascii="宋体" w:hAnsi="宋体"/>
                <w:kern w:val="0"/>
                <w:sz w:val="20"/>
                <w:szCs w:val="20"/>
              </w:rPr>
            </w:pPr>
          </w:p>
        </w:tc>
        <w:tc>
          <w:tcPr>
            <w:tcW w:w="3143" w:type="dxa"/>
            <w:vMerge w:val="continue"/>
            <w:vAlign w:val="center"/>
          </w:tcPr>
          <w:p w14:paraId="65BC9275">
            <w:pPr>
              <w:jc w:val="center"/>
              <w:textAlignment w:val="auto"/>
              <w:rPr>
                <w:rFonts w:ascii="宋体" w:hAnsi="宋体"/>
                <w:kern w:val="0"/>
                <w:sz w:val="20"/>
                <w:szCs w:val="20"/>
              </w:rPr>
            </w:pPr>
          </w:p>
        </w:tc>
      </w:tr>
      <w:tr w14:paraId="5D2D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010C20AD">
            <w:pPr>
              <w:jc w:val="center"/>
              <w:textAlignment w:val="auto"/>
              <w:rPr>
                <w:rFonts w:ascii="宋体" w:hAnsi="宋体"/>
                <w:kern w:val="0"/>
                <w:sz w:val="20"/>
                <w:szCs w:val="20"/>
              </w:rPr>
            </w:pPr>
          </w:p>
        </w:tc>
        <w:tc>
          <w:tcPr>
            <w:tcW w:w="1442" w:type="dxa"/>
            <w:vMerge w:val="continue"/>
            <w:vAlign w:val="center"/>
          </w:tcPr>
          <w:p w14:paraId="494E3D7A">
            <w:pPr>
              <w:jc w:val="center"/>
              <w:textAlignment w:val="auto"/>
              <w:rPr>
                <w:rFonts w:ascii="宋体" w:hAnsi="宋体"/>
                <w:color w:val="000000"/>
                <w:kern w:val="0"/>
                <w:sz w:val="20"/>
                <w:szCs w:val="20"/>
              </w:rPr>
            </w:pPr>
          </w:p>
        </w:tc>
        <w:tc>
          <w:tcPr>
            <w:tcW w:w="3944" w:type="dxa"/>
            <w:vAlign w:val="center"/>
          </w:tcPr>
          <w:p w14:paraId="599946BD">
            <w:pPr>
              <w:jc w:val="center"/>
              <w:textAlignment w:val="auto"/>
              <w:rPr>
                <w:rFonts w:ascii="仿宋_GB2312" w:hAnsi="Yu Mincho" w:eastAsia="仿宋_GB2312"/>
                <w:kern w:val="0"/>
                <w:sz w:val="20"/>
                <w:szCs w:val="20"/>
              </w:rPr>
            </w:pPr>
            <w:r>
              <w:rPr>
                <w:rFonts w:hint="eastAsia" w:ascii="仿宋_GB2312" w:hAnsi="Yu Mincho" w:eastAsia="仿宋_GB2312"/>
                <w:kern w:val="0"/>
                <w:sz w:val="20"/>
                <w:szCs w:val="20"/>
              </w:rPr>
              <w:t>运行保障</w:t>
            </w:r>
          </w:p>
        </w:tc>
        <w:tc>
          <w:tcPr>
            <w:tcW w:w="851" w:type="dxa"/>
            <w:vMerge w:val="continue"/>
            <w:vAlign w:val="center"/>
          </w:tcPr>
          <w:p w14:paraId="683BA8A9">
            <w:pPr>
              <w:jc w:val="center"/>
              <w:textAlignment w:val="auto"/>
              <w:rPr>
                <w:rFonts w:ascii="宋体" w:hAnsi="宋体"/>
                <w:kern w:val="0"/>
                <w:sz w:val="20"/>
                <w:szCs w:val="20"/>
              </w:rPr>
            </w:pPr>
          </w:p>
        </w:tc>
        <w:tc>
          <w:tcPr>
            <w:tcW w:w="3143" w:type="dxa"/>
            <w:vMerge w:val="continue"/>
            <w:vAlign w:val="center"/>
          </w:tcPr>
          <w:p w14:paraId="53C239BA">
            <w:pPr>
              <w:jc w:val="center"/>
              <w:textAlignment w:val="auto"/>
              <w:rPr>
                <w:rFonts w:ascii="宋体" w:hAnsi="宋体"/>
                <w:kern w:val="0"/>
                <w:sz w:val="20"/>
                <w:szCs w:val="20"/>
              </w:rPr>
            </w:pPr>
          </w:p>
        </w:tc>
      </w:tr>
      <w:tr w14:paraId="78F89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36E2766D">
            <w:pPr>
              <w:jc w:val="center"/>
              <w:textAlignment w:val="auto"/>
              <w:rPr>
                <w:rFonts w:ascii="宋体" w:hAnsi="宋体"/>
                <w:kern w:val="0"/>
                <w:sz w:val="20"/>
                <w:szCs w:val="20"/>
              </w:rPr>
            </w:pPr>
          </w:p>
        </w:tc>
        <w:tc>
          <w:tcPr>
            <w:tcW w:w="1442" w:type="dxa"/>
            <w:vMerge w:val="continue"/>
            <w:vAlign w:val="center"/>
          </w:tcPr>
          <w:p w14:paraId="28E5F1F1">
            <w:pPr>
              <w:jc w:val="center"/>
              <w:textAlignment w:val="auto"/>
              <w:rPr>
                <w:rFonts w:ascii="宋体" w:hAnsi="宋体"/>
                <w:color w:val="000000"/>
                <w:kern w:val="0"/>
                <w:sz w:val="20"/>
                <w:szCs w:val="20"/>
              </w:rPr>
            </w:pPr>
          </w:p>
        </w:tc>
        <w:tc>
          <w:tcPr>
            <w:tcW w:w="3944" w:type="dxa"/>
            <w:vAlign w:val="center"/>
          </w:tcPr>
          <w:p w14:paraId="187F62D3">
            <w:pPr>
              <w:jc w:val="center"/>
              <w:textAlignment w:val="auto"/>
              <w:rPr>
                <w:rFonts w:ascii="仿宋_GB2312" w:hAnsi="Yu Mincho" w:eastAsia="仿宋_GB2312"/>
                <w:kern w:val="0"/>
                <w:sz w:val="20"/>
                <w:szCs w:val="20"/>
              </w:rPr>
            </w:pPr>
            <w:r>
              <w:rPr>
                <w:rFonts w:hint="eastAsia" w:ascii="仿宋_GB2312" w:hAnsi="Yu Mincho" w:eastAsia="仿宋_GB2312"/>
                <w:kern w:val="0"/>
                <w:sz w:val="20"/>
                <w:szCs w:val="20"/>
              </w:rPr>
              <w:t>安全生产和应急处置</w:t>
            </w:r>
          </w:p>
        </w:tc>
        <w:tc>
          <w:tcPr>
            <w:tcW w:w="851" w:type="dxa"/>
            <w:vMerge w:val="continue"/>
            <w:vAlign w:val="center"/>
          </w:tcPr>
          <w:p w14:paraId="69FEFBF0">
            <w:pPr>
              <w:jc w:val="center"/>
              <w:textAlignment w:val="auto"/>
              <w:rPr>
                <w:rFonts w:ascii="宋体" w:hAnsi="宋体"/>
                <w:kern w:val="0"/>
                <w:sz w:val="20"/>
                <w:szCs w:val="20"/>
              </w:rPr>
            </w:pPr>
          </w:p>
        </w:tc>
        <w:tc>
          <w:tcPr>
            <w:tcW w:w="3143" w:type="dxa"/>
            <w:vMerge w:val="continue"/>
            <w:vAlign w:val="center"/>
          </w:tcPr>
          <w:p w14:paraId="7614045F">
            <w:pPr>
              <w:jc w:val="center"/>
              <w:textAlignment w:val="auto"/>
              <w:rPr>
                <w:rFonts w:ascii="宋体" w:hAnsi="宋体"/>
                <w:kern w:val="0"/>
                <w:sz w:val="20"/>
                <w:szCs w:val="20"/>
              </w:rPr>
            </w:pPr>
          </w:p>
        </w:tc>
      </w:tr>
      <w:tr w14:paraId="6390A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73BABB07">
            <w:pPr>
              <w:jc w:val="center"/>
              <w:textAlignment w:val="auto"/>
              <w:rPr>
                <w:rFonts w:ascii="宋体" w:hAnsi="宋体"/>
                <w:kern w:val="0"/>
                <w:sz w:val="20"/>
                <w:szCs w:val="20"/>
              </w:rPr>
            </w:pPr>
          </w:p>
        </w:tc>
        <w:tc>
          <w:tcPr>
            <w:tcW w:w="1442" w:type="dxa"/>
            <w:vMerge w:val="continue"/>
            <w:vAlign w:val="center"/>
          </w:tcPr>
          <w:p w14:paraId="5DA5DF92">
            <w:pPr>
              <w:jc w:val="center"/>
              <w:textAlignment w:val="auto"/>
              <w:rPr>
                <w:rFonts w:ascii="宋体" w:hAnsi="宋体"/>
                <w:color w:val="000000"/>
                <w:kern w:val="0"/>
                <w:sz w:val="20"/>
                <w:szCs w:val="20"/>
              </w:rPr>
            </w:pPr>
          </w:p>
        </w:tc>
        <w:tc>
          <w:tcPr>
            <w:tcW w:w="3944" w:type="dxa"/>
            <w:vAlign w:val="center"/>
          </w:tcPr>
          <w:p w14:paraId="3F7ED0C3">
            <w:pPr>
              <w:jc w:val="center"/>
              <w:textAlignment w:val="auto"/>
              <w:rPr>
                <w:rFonts w:ascii="仿宋_GB2312" w:hAnsi="Yu Mincho" w:eastAsia="仿宋_GB2312"/>
                <w:kern w:val="0"/>
                <w:sz w:val="20"/>
                <w:szCs w:val="20"/>
              </w:rPr>
            </w:pPr>
            <w:r>
              <w:rPr>
                <w:rFonts w:hint="eastAsia" w:ascii="仿宋_GB2312" w:hAnsi="Yu Mincho" w:eastAsia="仿宋_GB2312"/>
                <w:kern w:val="0"/>
                <w:sz w:val="20"/>
                <w:szCs w:val="20"/>
              </w:rPr>
              <w:t>宣传与公众服务</w:t>
            </w:r>
          </w:p>
        </w:tc>
        <w:tc>
          <w:tcPr>
            <w:tcW w:w="851" w:type="dxa"/>
            <w:vMerge w:val="continue"/>
            <w:vAlign w:val="center"/>
          </w:tcPr>
          <w:p w14:paraId="7F1B91D1">
            <w:pPr>
              <w:jc w:val="center"/>
              <w:textAlignment w:val="auto"/>
              <w:rPr>
                <w:rFonts w:ascii="宋体" w:hAnsi="宋体"/>
                <w:kern w:val="0"/>
                <w:sz w:val="20"/>
                <w:szCs w:val="20"/>
              </w:rPr>
            </w:pPr>
          </w:p>
        </w:tc>
        <w:tc>
          <w:tcPr>
            <w:tcW w:w="3143" w:type="dxa"/>
            <w:vMerge w:val="continue"/>
            <w:vAlign w:val="center"/>
          </w:tcPr>
          <w:p w14:paraId="5FB5FBFB">
            <w:pPr>
              <w:jc w:val="center"/>
              <w:textAlignment w:val="auto"/>
              <w:rPr>
                <w:rFonts w:ascii="宋体" w:hAnsi="宋体"/>
                <w:kern w:val="0"/>
                <w:sz w:val="20"/>
                <w:szCs w:val="20"/>
              </w:rPr>
            </w:pPr>
          </w:p>
        </w:tc>
      </w:tr>
      <w:tr w14:paraId="619E8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963" w:type="dxa"/>
            <w:vMerge w:val="continue"/>
            <w:vAlign w:val="center"/>
          </w:tcPr>
          <w:p w14:paraId="4029BB3F">
            <w:pPr>
              <w:jc w:val="center"/>
              <w:textAlignment w:val="auto"/>
              <w:rPr>
                <w:rFonts w:ascii="宋体" w:hAnsi="宋体"/>
                <w:kern w:val="0"/>
                <w:sz w:val="20"/>
                <w:szCs w:val="20"/>
              </w:rPr>
            </w:pPr>
          </w:p>
        </w:tc>
        <w:tc>
          <w:tcPr>
            <w:tcW w:w="1442" w:type="dxa"/>
            <w:vMerge w:val="continue"/>
            <w:vAlign w:val="center"/>
          </w:tcPr>
          <w:p w14:paraId="1C01409F">
            <w:pPr>
              <w:jc w:val="center"/>
              <w:textAlignment w:val="auto"/>
              <w:rPr>
                <w:rFonts w:ascii="宋体" w:hAnsi="宋体"/>
                <w:color w:val="000000"/>
                <w:kern w:val="0"/>
                <w:sz w:val="20"/>
                <w:szCs w:val="20"/>
              </w:rPr>
            </w:pPr>
          </w:p>
        </w:tc>
        <w:tc>
          <w:tcPr>
            <w:tcW w:w="3944" w:type="dxa"/>
            <w:vAlign w:val="center"/>
          </w:tcPr>
          <w:p w14:paraId="7718DA57">
            <w:pPr>
              <w:jc w:val="center"/>
              <w:textAlignment w:val="auto"/>
              <w:rPr>
                <w:rFonts w:ascii="仿宋_GB2312" w:hAnsi="宋体" w:eastAsia="仿宋_GB2312"/>
                <w:kern w:val="0"/>
                <w:sz w:val="20"/>
                <w:szCs w:val="20"/>
              </w:rPr>
            </w:pPr>
            <w:r>
              <w:rPr>
                <w:rFonts w:hint="eastAsia" w:ascii="仿宋_GB2312" w:hAnsi="Yu Mincho" w:eastAsia="仿宋_GB2312"/>
                <w:kern w:val="0"/>
                <w:sz w:val="20"/>
                <w:szCs w:val="20"/>
              </w:rPr>
              <w:t>行业示范带头作用</w:t>
            </w:r>
          </w:p>
        </w:tc>
        <w:tc>
          <w:tcPr>
            <w:tcW w:w="851" w:type="dxa"/>
            <w:vMerge w:val="continue"/>
            <w:vAlign w:val="center"/>
          </w:tcPr>
          <w:p w14:paraId="0F7D3FDB">
            <w:pPr>
              <w:jc w:val="center"/>
              <w:textAlignment w:val="auto"/>
              <w:rPr>
                <w:rFonts w:ascii="宋体" w:hAnsi="宋体"/>
                <w:kern w:val="0"/>
                <w:sz w:val="20"/>
                <w:szCs w:val="20"/>
              </w:rPr>
            </w:pPr>
          </w:p>
        </w:tc>
        <w:tc>
          <w:tcPr>
            <w:tcW w:w="3143" w:type="dxa"/>
            <w:vMerge w:val="continue"/>
            <w:vAlign w:val="center"/>
          </w:tcPr>
          <w:p w14:paraId="53077EF6">
            <w:pPr>
              <w:jc w:val="center"/>
              <w:textAlignment w:val="auto"/>
              <w:rPr>
                <w:rFonts w:ascii="宋体" w:hAnsi="宋体"/>
                <w:kern w:val="0"/>
                <w:sz w:val="20"/>
                <w:szCs w:val="20"/>
              </w:rPr>
            </w:pPr>
          </w:p>
        </w:tc>
      </w:tr>
      <w:tr w14:paraId="20E3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2"/>
            <w:vAlign w:val="center"/>
          </w:tcPr>
          <w:p w14:paraId="1A55737C">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保洁季度</w:t>
            </w:r>
          </w:p>
          <w:p w14:paraId="5B3C29D2">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考核得分</w:t>
            </w:r>
          </w:p>
        </w:tc>
        <w:tc>
          <w:tcPr>
            <w:tcW w:w="3944" w:type="dxa"/>
            <w:vAlign w:val="center"/>
          </w:tcPr>
          <w:p w14:paraId="2E1D4BF6">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（1）~（3）得分总和</w:t>
            </w:r>
          </w:p>
        </w:tc>
        <w:tc>
          <w:tcPr>
            <w:tcW w:w="851" w:type="dxa"/>
            <w:vAlign w:val="center"/>
          </w:tcPr>
          <w:p w14:paraId="34F7DAB5">
            <w:pPr>
              <w:jc w:val="center"/>
              <w:textAlignment w:val="auto"/>
              <w:rPr>
                <w:rFonts w:ascii="宋体" w:hAnsi="宋体"/>
                <w:b/>
                <w:bCs/>
                <w:kern w:val="0"/>
                <w:sz w:val="20"/>
                <w:szCs w:val="20"/>
              </w:rPr>
            </w:pPr>
            <w:r>
              <w:rPr>
                <w:rFonts w:ascii="宋体" w:hAnsi="宋体"/>
                <w:b/>
                <w:bCs/>
                <w:kern w:val="0"/>
                <w:sz w:val="20"/>
                <w:szCs w:val="20"/>
              </w:rPr>
              <w:t>-</w:t>
            </w:r>
          </w:p>
        </w:tc>
        <w:tc>
          <w:tcPr>
            <w:tcW w:w="3143" w:type="dxa"/>
            <w:vAlign w:val="center"/>
          </w:tcPr>
          <w:p w14:paraId="238E3064">
            <w:pPr>
              <w:jc w:val="center"/>
              <w:textAlignment w:val="auto"/>
              <w:rPr>
                <w:rFonts w:ascii="宋体" w:hAnsi="宋体"/>
                <w:kern w:val="0"/>
                <w:sz w:val="20"/>
                <w:szCs w:val="20"/>
              </w:rPr>
            </w:pPr>
          </w:p>
        </w:tc>
      </w:tr>
    </w:tbl>
    <w:p w14:paraId="46A67838">
      <w:pPr>
        <w:spacing w:line="500" w:lineRule="exact"/>
        <w:ind w:firstLine="420" w:firstLineChars="200"/>
        <w:jc w:val="both"/>
        <w:textAlignment w:val="auto"/>
        <w:rPr>
          <w:rFonts w:ascii="Times New Roman" w:hAnsi="Times New Roman"/>
          <w:szCs w:val="21"/>
        </w:rPr>
      </w:pPr>
    </w:p>
    <w:p w14:paraId="7B5EE28B">
      <w:pPr>
        <w:spacing w:line="500" w:lineRule="exact"/>
        <w:ind w:firstLine="422" w:firstLineChars="200"/>
        <w:jc w:val="both"/>
        <w:textAlignment w:val="auto"/>
        <w:rPr>
          <w:rFonts w:ascii="宋体" w:hAnsi="宋体"/>
          <w:b/>
          <w:bCs/>
          <w:szCs w:val="21"/>
        </w:rPr>
      </w:pPr>
      <w:r>
        <w:rPr>
          <w:rFonts w:ascii="宋体" w:hAnsi="宋体"/>
          <w:b/>
          <w:bCs/>
          <w:szCs w:val="21"/>
        </w:rPr>
        <w:br w:type="page"/>
      </w:r>
    </w:p>
    <w:p w14:paraId="0225E569">
      <w:pPr>
        <w:spacing w:before="120" w:beforeLines="50" w:after="120" w:afterLines="50" w:line="360" w:lineRule="auto"/>
        <w:jc w:val="center"/>
        <w:textAlignment w:val="auto"/>
        <w:rPr>
          <w:rFonts w:ascii="Times New Roman" w:hAnsi="华文中宋" w:eastAsia="华文中宋"/>
          <w:b/>
          <w:kern w:val="0"/>
          <w:sz w:val="32"/>
          <w:szCs w:val="32"/>
        </w:rPr>
      </w:pPr>
      <w:r>
        <w:rPr>
          <w:rFonts w:hint="eastAsia" w:ascii="Times New Roman" w:hAnsi="华文中宋" w:eastAsia="华文中宋"/>
          <w:b/>
          <w:kern w:val="0"/>
          <w:sz w:val="32"/>
          <w:szCs w:val="32"/>
        </w:rPr>
        <w:t>附录十  市管设施下部涂装保洁年度考核评分表</w:t>
      </w:r>
    </w:p>
    <w:tbl>
      <w:tblPr>
        <w:tblStyle w:val="39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2127"/>
        <w:gridCol w:w="2810"/>
        <w:gridCol w:w="1017"/>
        <w:gridCol w:w="1984"/>
      </w:tblGrid>
      <w:tr w14:paraId="334B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355" w:type="dxa"/>
            <w:gridSpan w:val="5"/>
            <w:vAlign w:val="center"/>
          </w:tcPr>
          <w:p w14:paraId="02DEAAD1">
            <w:pPr>
              <w:jc w:val="center"/>
              <w:textAlignment w:val="auto"/>
              <w:rPr>
                <w:rFonts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10 </w:t>
            </w:r>
            <w:r>
              <w:rPr>
                <w:rFonts w:hint="eastAsia" w:ascii="黑体" w:hAnsi="黑体" w:eastAsia="黑体"/>
                <w:kern w:val="0"/>
                <w:sz w:val="28"/>
                <w:szCs w:val="32"/>
              </w:rPr>
              <w:t>市管设施下部涂装保洁年度考核评分表</w:t>
            </w:r>
          </w:p>
        </w:tc>
      </w:tr>
      <w:tr w14:paraId="1313D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4" w:type="dxa"/>
            <w:gridSpan w:val="3"/>
            <w:vMerge w:val="restart"/>
            <w:vAlign w:val="center"/>
          </w:tcPr>
          <w:p w14:paraId="7A3F64D7">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考核设施：</w:t>
            </w:r>
          </w:p>
        </w:tc>
        <w:tc>
          <w:tcPr>
            <w:tcW w:w="3001" w:type="dxa"/>
            <w:gridSpan w:val="2"/>
            <w:vAlign w:val="center"/>
          </w:tcPr>
          <w:p w14:paraId="6D0C7C92">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检查日期：</w:t>
            </w:r>
          </w:p>
        </w:tc>
      </w:tr>
      <w:tr w14:paraId="4F08B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4" w:type="dxa"/>
            <w:gridSpan w:val="3"/>
            <w:vMerge w:val="continue"/>
            <w:vAlign w:val="center"/>
          </w:tcPr>
          <w:p w14:paraId="7C760CCE">
            <w:pPr>
              <w:jc w:val="both"/>
              <w:textAlignment w:val="auto"/>
              <w:rPr>
                <w:rFonts w:ascii="仿宋_GB2312" w:hAnsi="宋体" w:eastAsia="仿宋_GB2312"/>
                <w:kern w:val="0"/>
                <w:sz w:val="24"/>
                <w:szCs w:val="28"/>
              </w:rPr>
            </w:pPr>
          </w:p>
        </w:tc>
        <w:tc>
          <w:tcPr>
            <w:tcW w:w="3001" w:type="dxa"/>
            <w:gridSpan w:val="2"/>
            <w:vAlign w:val="center"/>
          </w:tcPr>
          <w:p w14:paraId="57D63053">
            <w:pPr>
              <w:jc w:val="both"/>
              <w:textAlignment w:val="auto"/>
              <w:rPr>
                <w:rFonts w:ascii="仿宋_GB2312" w:hAnsi="宋体" w:eastAsia="仿宋_GB2312"/>
                <w:kern w:val="0"/>
                <w:sz w:val="24"/>
                <w:szCs w:val="28"/>
              </w:rPr>
            </w:pPr>
            <w:r>
              <w:rPr>
                <w:rFonts w:hint="eastAsia" w:ascii="仿宋_GB2312" w:hAnsi="宋体" w:eastAsia="仿宋_GB2312"/>
                <w:kern w:val="0"/>
                <w:sz w:val="24"/>
                <w:szCs w:val="28"/>
              </w:rPr>
              <w:t>检查人员：</w:t>
            </w:r>
          </w:p>
        </w:tc>
      </w:tr>
      <w:tr w14:paraId="5BF9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Align w:val="center"/>
          </w:tcPr>
          <w:p w14:paraId="1BC0235D">
            <w:pPr>
              <w:jc w:val="center"/>
              <w:textAlignment w:val="auto"/>
              <w:rPr>
                <w:rFonts w:ascii="宋体" w:hAnsi="宋体"/>
                <w:kern w:val="0"/>
                <w:sz w:val="20"/>
                <w:szCs w:val="20"/>
              </w:rPr>
            </w:pPr>
            <w:r>
              <w:rPr>
                <w:rFonts w:hint="eastAsia" w:ascii="宋体" w:hAnsi="宋体"/>
                <w:kern w:val="0"/>
                <w:sz w:val="20"/>
                <w:szCs w:val="20"/>
              </w:rPr>
              <w:t>项目</w:t>
            </w:r>
          </w:p>
        </w:tc>
        <w:tc>
          <w:tcPr>
            <w:tcW w:w="2127" w:type="dxa"/>
            <w:vAlign w:val="center"/>
          </w:tcPr>
          <w:p w14:paraId="351965CD">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考核内容</w:t>
            </w:r>
          </w:p>
        </w:tc>
        <w:tc>
          <w:tcPr>
            <w:tcW w:w="2810" w:type="dxa"/>
            <w:vAlign w:val="center"/>
          </w:tcPr>
          <w:p w14:paraId="2A633A19">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考核得分</w:t>
            </w:r>
          </w:p>
        </w:tc>
        <w:tc>
          <w:tcPr>
            <w:tcW w:w="1017" w:type="dxa"/>
            <w:vAlign w:val="center"/>
          </w:tcPr>
          <w:p w14:paraId="3BB895A4">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标准分</w:t>
            </w:r>
          </w:p>
        </w:tc>
        <w:tc>
          <w:tcPr>
            <w:tcW w:w="1984" w:type="dxa"/>
            <w:vAlign w:val="center"/>
          </w:tcPr>
          <w:p w14:paraId="33519623">
            <w:pPr>
              <w:spacing w:line="240" w:lineRule="exact"/>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考核总分</w:t>
            </w:r>
          </w:p>
        </w:tc>
      </w:tr>
      <w:tr w14:paraId="46627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restart"/>
            <w:vAlign w:val="center"/>
          </w:tcPr>
          <w:p w14:paraId="0E2BF8A1">
            <w:pPr>
              <w:jc w:val="center"/>
              <w:textAlignment w:val="auto"/>
              <w:rPr>
                <w:rFonts w:ascii="宋体" w:hAnsi="宋体"/>
                <w:color w:val="000000"/>
                <w:kern w:val="0"/>
                <w:sz w:val="20"/>
                <w:szCs w:val="20"/>
              </w:rPr>
            </w:pPr>
            <w:r>
              <w:rPr>
                <w:rFonts w:hint="eastAsia" w:ascii="宋体" w:hAnsi="宋体"/>
                <w:color w:val="000000"/>
                <w:kern w:val="0"/>
                <w:sz w:val="20"/>
                <w:szCs w:val="20"/>
              </w:rPr>
              <w:t>季度考核分</w:t>
            </w:r>
          </w:p>
        </w:tc>
        <w:tc>
          <w:tcPr>
            <w:tcW w:w="2127" w:type="dxa"/>
            <w:vAlign w:val="center"/>
          </w:tcPr>
          <w:p w14:paraId="47EDE09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第一次考核</w:t>
            </w:r>
          </w:p>
        </w:tc>
        <w:tc>
          <w:tcPr>
            <w:tcW w:w="2810" w:type="dxa"/>
            <w:vAlign w:val="center"/>
          </w:tcPr>
          <w:p w14:paraId="0BCD4810">
            <w:pPr>
              <w:jc w:val="center"/>
              <w:textAlignment w:val="auto"/>
              <w:rPr>
                <w:rFonts w:ascii="仿宋_GB2312" w:hAnsi="宋体" w:eastAsia="仿宋_GB2312"/>
                <w:kern w:val="0"/>
                <w:sz w:val="20"/>
                <w:szCs w:val="20"/>
              </w:rPr>
            </w:pPr>
          </w:p>
        </w:tc>
        <w:tc>
          <w:tcPr>
            <w:tcW w:w="1017" w:type="dxa"/>
            <w:vMerge w:val="restart"/>
            <w:vAlign w:val="center"/>
          </w:tcPr>
          <w:p w14:paraId="5D524D6D">
            <w:pPr>
              <w:jc w:val="center"/>
              <w:textAlignment w:val="auto"/>
              <w:rPr>
                <w:rFonts w:ascii="仿宋_GB2312" w:hAnsi="宋体" w:eastAsia="仿宋_GB2312"/>
                <w:kern w:val="0"/>
                <w:sz w:val="20"/>
                <w:szCs w:val="20"/>
              </w:rPr>
            </w:pPr>
          </w:p>
        </w:tc>
        <w:tc>
          <w:tcPr>
            <w:tcW w:w="1984" w:type="dxa"/>
            <w:vMerge w:val="restart"/>
            <w:vAlign w:val="center"/>
          </w:tcPr>
          <w:p w14:paraId="3971309B">
            <w:pPr>
              <w:jc w:val="center"/>
              <w:textAlignment w:val="auto"/>
              <w:rPr>
                <w:rFonts w:ascii="仿宋_GB2312" w:hAnsi="宋体" w:eastAsia="仿宋_GB2312"/>
                <w:kern w:val="0"/>
                <w:sz w:val="20"/>
                <w:szCs w:val="20"/>
              </w:rPr>
            </w:pPr>
          </w:p>
        </w:tc>
      </w:tr>
      <w:tr w14:paraId="195FA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14:paraId="4A1312E5">
            <w:pPr>
              <w:jc w:val="center"/>
              <w:textAlignment w:val="auto"/>
              <w:rPr>
                <w:rFonts w:ascii="宋体" w:hAnsi="宋体"/>
                <w:color w:val="000000"/>
                <w:kern w:val="0"/>
                <w:sz w:val="20"/>
                <w:szCs w:val="20"/>
              </w:rPr>
            </w:pPr>
          </w:p>
        </w:tc>
        <w:tc>
          <w:tcPr>
            <w:tcW w:w="2127" w:type="dxa"/>
            <w:vAlign w:val="center"/>
          </w:tcPr>
          <w:p w14:paraId="58C8ABE3">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第二次考核</w:t>
            </w:r>
          </w:p>
        </w:tc>
        <w:tc>
          <w:tcPr>
            <w:tcW w:w="2810" w:type="dxa"/>
            <w:vAlign w:val="center"/>
          </w:tcPr>
          <w:p w14:paraId="2577155C">
            <w:pPr>
              <w:jc w:val="center"/>
              <w:textAlignment w:val="auto"/>
              <w:rPr>
                <w:rFonts w:ascii="仿宋_GB2312" w:hAnsi="宋体" w:eastAsia="仿宋_GB2312"/>
                <w:kern w:val="0"/>
                <w:sz w:val="20"/>
                <w:szCs w:val="20"/>
              </w:rPr>
            </w:pPr>
          </w:p>
        </w:tc>
        <w:tc>
          <w:tcPr>
            <w:tcW w:w="1017" w:type="dxa"/>
            <w:vMerge w:val="continue"/>
            <w:vAlign w:val="center"/>
          </w:tcPr>
          <w:p w14:paraId="647B217E">
            <w:pPr>
              <w:jc w:val="center"/>
              <w:textAlignment w:val="auto"/>
              <w:rPr>
                <w:rFonts w:ascii="仿宋_GB2312" w:hAnsi="宋体" w:eastAsia="仿宋_GB2312"/>
                <w:kern w:val="0"/>
                <w:sz w:val="20"/>
                <w:szCs w:val="20"/>
              </w:rPr>
            </w:pPr>
          </w:p>
        </w:tc>
        <w:tc>
          <w:tcPr>
            <w:tcW w:w="1984" w:type="dxa"/>
            <w:vMerge w:val="continue"/>
            <w:vAlign w:val="center"/>
          </w:tcPr>
          <w:p w14:paraId="62C0CC04">
            <w:pPr>
              <w:jc w:val="center"/>
              <w:textAlignment w:val="auto"/>
              <w:rPr>
                <w:rFonts w:ascii="仿宋_GB2312" w:hAnsi="宋体" w:eastAsia="仿宋_GB2312"/>
                <w:kern w:val="0"/>
                <w:sz w:val="20"/>
                <w:szCs w:val="20"/>
              </w:rPr>
            </w:pPr>
          </w:p>
        </w:tc>
      </w:tr>
      <w:tr w14:paraId="5113B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14:paraId="06D18AD4">
            <w:pPr>
              <w:jc w:val="center"/>
              <w:textAlignment w:val="auto"/>
              <w:rPr>
                <w:rFonts w:ascii="宋体" w:hAnsi="宋体"/>
                <w:color w:val="000000"/>
                <w:kern w:val="0"/>
                <w:sz w:val="20"/>
                <w:szCs w:val="20"/>
              </w:rPr>
            </w:pPr>
          </w:p>
        </w:tc>
        <w:tc>
          <w:tcPr>
            <w:tcW w:w="2127" w:type="dxa"/>
            <w:vAlign w:val="center"/>
          </w:tcPr>
          <w:p w14:paraId="2FC7A32F">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第三次考核</w:t>
            </w:r>
          </w:p>
        </w:tc>
        <w:tc>
          <w:tcPr>
            <w:tcW w:w="2810" w:type="dxa"/>
            <w:vAlign w:val="center"/>
          </w:tcPr>
          <w:p w14:paraId="18CC1672">
            <w:pPr>
              <w:jc w:val="center"/>
              <w:textAlignment w:val="auto"/>
              <w:rPr>
                <w:rFonts w:ascii="仿宋_GB2312" w:hAnsi="宋体" w:eastAsia="仿宋_GB2312"/>
                <w:kern w:val="0"/>
                <w:sz w:val="20"/>
                <w:szCs w:val="20"/>
              </w:rPr>
            </w:pPr>
          </w:p>
        </w:tc>
        <w:tc>
          <w:tcPr>
            <w:tcW w:w="1017" w:type="dxa"/>
            <w:vMerge w:val="continue"/>
            <w:vAlign w:val="center"/>
          </w:tcPr>
          <w:p w14:paraId="6885DB1E">
            <w:pPr>
              <w:jc w:val="center"/>
              <w:textAlignment w:val="auto"/>
              <w:rPr>
                <w:rFonts w:ascii="仿宋_GB2312" w:hAnsi="宋体" w:eastAsia="仿宋_GB2312"/>
                <w:kern w:val="0"/>
                <w:sz w:val="20"/>
                <w:szCs w:val="20"/>
              </w:rPr>
            </w:pPr>
          </w:p>
        </w:tc>
        <w:tc>
          <w:tcPr>
            <w:tcW w:w="1984" w:type="dxa"/>
            <w:vMerge w:val="continue"/>
            <w:vAlign w:val="center"/>
          </w:tcPr>
          <w:p w14:paraId="72340794">
            <w:pPr>
              <w:jc w:val="center"/>
              <w:textAlignment w:val="auto"/>
              <w:rPr>
                <w:rFonts w:ascii="仿宋_GB2312" w:hAnsi="宋体" w:eastAsia="仿宋_GB2312"/>
                <w:kern w:val="0"/>
                <w:sz w:val="20"/>
                <w:szCs w:val="20"/>
              </w:rPr>
            </w:pPr>
          </w:p>
        </w:tc>
      </w:tr>
      <w:tr w14:paraId="3A80E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14:paraId="7C94D4DF">
            <w:pPr>
              <w:jc w:val="center"/>
              <w:textAlignment w:val="auto"/>
              <w:rPr>
                <w:rFonts w:ascii="宋体" w:hAnsi="宋体"/>
                <w:color w:val="000000"/>
                <w:kern w:val="0"/>
                <w:sz w:val="20"/>
                <w:szCs w:val="20"/>
              </w:rPr>
            </w:pPr>
          </w:p>
        </w:tc>
        <w:tc>
          <w:tcPr>
            <w:tcW w:w="2127" w:type="dxa"/>
            <w:vAlign w:val="center"/>
          </w:tcPr>
          <w:p w14:paraId="74B77056">
            <w:pPr>
              <w:jc w:val="center"/>
              <w:textAlignment w:val="auto"/>
              <w:rPr>
                <w:rFonts w:ascii="仿宋_GB2312" w:hAnsi="宋体" w:eastAsia="仿宋_GB2312"/>
                <w:kern w:val="0"/>
                <w:sz w:val="20"/>
                <w:szCs w:val="20"/>
              </w:rPr>
            </w:pPr>
            <w:r>
              <w:rPr>
                <w:rFonts w:hint="eastAsia" w:ascii="仿宋_GB2312" w:hAnsi="宋体" w:eastAsia="仿宋_GB2312"/>
                <w:kern w:val="0"/>
                <w:sz w:val="20"/>
                <w:szCs w:val="20"/>
              </w:rPr>
              <w:t>第四次考核</w:t>
            </w:r>
          </w:p>
        </w:tc>
        <w:tc>
          <w:tcPr>
            <w:tcW w:w="2810" w:type="dxa"/>
            <w:vAlign w:val="center"/>
          </w:tcPr>
          <w:p w14:paraId="3C5D80DD">
            <w:pPr>
              <w:jc w:val="center"/>
              <w:textAlignment w:val="auto"/>
              <w:rPr>
                <w:rFonts w:ascii="仿宋_GB2312" w:hAnsi="宋体" w:eastAsia="仿宋_GB2312"/>
                <w:kern w:val="0"/>
                <w:sz w:val="20"/>
                <w:szCs w:val="20"/>
              </w:rPr>
            </w:pPr>
          </w:p>
        </w:tc>
        <w:tc>
          <w:tcPr>
            <w:tcW w:w="1017" w:type="dxa"/>
            <w:vMerge w:val="continue"/>
            <w:vAlign w:val="center"/>
          </w:tcPr>
          <w:p w14:paraId="6A256E3B">
            <w:pPr>
              <w:jc w:val="center"/>
              <w:textAlignment w:val="auto"/>
              <w:rPr>
                <w:rFonts w:ascii="仿宋_GB2312" w:hAnsi="宋体" w:eastAsia="仿宋_GB2312"/>
                <w:kern w:val="0"/>
                <w:sz w:val="20"/>
                <w:szCs w:val="20"/>
              </w:rPr>
            </w:pPr>
          </w:p>
        </w:tc>
        <w:tc>
          <w:tcPr>
            <w:tcW w:w="1984" w:type="dxa"/>
            <w:vMerge w:val="continue"/>
            <w:vAlign w:val="center"/>
          </w:tcPr>
          <w:p w14:paraId="3902C65E">
            <w:pPr>
              <w:jc w:val="center"/>
              <w:textAlignment w:val="auto"/>
              <w:rPr>
                <w:rFonts w:ascii="仿宋_GB2312" w:hAnsi="宋体" w:eastAsia="仿宋_GB2312"/>
                <w:kern w:val="0"/>
                <w:sz w:val="20"/>
                <w:szCs w:val="20"/>
              </w:rPr>
            </w:pPr>
          </w:p>
        </w:tc>
      </w:tr>
      <w:tr w14:paraId="637C2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vAlign w:val="center"/>
          </w:tcPr>
          <w:p w14:paraId="7DC83975">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保洁年度</w:t>
            </w:r>
          </w:p>
          <w:p w14:paraId="0551341F">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考核得分</w:t>
            </w:r>
          </w:p>
        </w:tc>
        <w:tc>
          <w:tcPr>
            <w:tcW w:w="4937" w:type="dxa"/>
            <w:gridSpan w:val="2"/>
            <w:vAlign w:val="center"/>
          </w:tcPr>
          <w:p w14:paraId="17492B0F">
            <w:pPr>
              <w:jc w:val="center"/>
              <w:textAlignment w:val="auto"/>
              <w:rPr>
                <w:rFonts w:ascii="仿宋_GB2312" w:hAnsi="宋体" w:eastAsia="仿宋_GB2312"/>
                <w:b/>
                <w:bCs/>
                <w:kern w:val="0"/>
                <w:sz w:val="20"/>
                <w:szCs w:val="20"/>
              </w:rPr>
            </w:pPr>
            <w:r>
              <w:rPr>
                <w:rFonts w:hint="eastAsia" w:ascii="仿宋_GB2312" w:hAnsi="宋体" w:eastAsia="仿宋_GB2312"/>
                <w:color w:val="000000"/>
                <w:kern w:val="0"/>
                <w:sz w:val="20"/>
                <w:szCs w:val="20"/>
                <w:lang w:eastAsia="ja-JP"/>
              </w:rPr>
              <w:t>各季度考核分的算术平均值</w:t>
            </w:r>
          </w:p>
        </w:tc>
        <w:tc>
          <w:tcPr>
            <w:tcW w:w="1017" w:type="dxa"/>
            <w:vAlign w:val="center"/>
          </w:tcPr>
          <w:p w14:paraId="6D058EDA">
            <w:pPr>
              <w:jc w:val="center"/>
              <w:textAlignment w:val="auto"/>
              <w:rPr>
                <w:rFonts w:ascii="仿宋_GB2312" w:hAnsi="宋体" w:eastAsia="仿宋_GB2312"/>
                <w:b/>
                <w:bCs/>
                <w:kern w:val="0"/>
                <w:sz w:val="20"/>
                <w:szCs w:val="20"/>
              </w:rPr>
            </w:pPr>
            <w:r>
              <w:rPr>
                <w:rFonts w:hint="eastAsia" w:ascii="仿宋_GB2312" w:hAnsi="宋体" w:eastAsia="仿宋_GB2312"/>
                <w:b/>
                <w:bCs/>
                <w:kern w:val="0"/>
                <w:sz w:val="20"/>
                <w:szCs w:val="20"/>
              </w:rPr>
              <w:t>-</w:t>
            </w:r>
          </w:p>
        </w:tc>
        <w:tc>
          <w:tcPr>
            <w:tcW w:w="1984" w:type="dxa"/>
            <w:tcBorders>
              <w:bottom w:val="single" w:color="auto" w:sz="4" w:space="0"/>
            </w:tcBorders>
            <w:vAlign w:val="center"/>
          </w:tcPr>
          <w:p w14:paraId="09462813">
            <w:pPr>
              <w:jc w:val="center"/>
              <w:textAlignment w:val="auto"/>
              <w:rPr>
                <w:rFonts w:ascii="仿宋_GB2312" w:hAnsi="宋体" w:eastAsia="仿宋_GB2312"/>
                <w:kern w:val="0"/>
                <w:sz w:val="20"/>
                <w:szCs w:val="20"/>
              </w:rPr>
            </w:pPr>
          </w:p>
        </w:tc>
      </w:tr>
    </w:tbl>
    <w:p w14:paraId="2C6B44CA">
      <w:pPr>
        <w:textAlignment w:val="auto"/>
        <w:rPr>
          <w:rFonts w:ascii="Cambria Math" w:hAnsi="Cambria Math" w:cs="Cambria Math"/>
          <w:sz w:val="20"/>
          <w:szCs w:val="20"/>
        </w:rPr>
      </w:pPr>
      <w:r>
        <w:rPr>
          <w:rFonts w:hint="eastAsia" w:ascii="仿宋" w:hAnsi="仿宋" w:eastAsia="仿宋"/>
          <w:sz w:val="20"/>
          <w:szCs w:val="20"/>
        </w:rPr>
        <w:t>备</w:t>
      </w:r>
      <w:r>
        <w:rPr>
          <w:rFonts w:ascii="仿宋" w:hAnsi="仿宋" w:eastAsia="仿宋"/>
          <w:sz w:val="20"/>
          <w:szCs w:val="20"/>
        </w:rPr>
        <w:t>注：</w:t>
      </w:r>
      <w:r>
        <w:rPr>
          <w:rFonts w:hint="eastAsia" w:ascii="仿宋" w:hAnsi="仿宋" w:eastAsia="仿宋"/>
          <w:sz w:val="20"/>
          <w:szCs w:val="20"/>
        </w:rPr>
        <w:t>下部保洁无年度检测分，年度考核期间各季度考核分的算术平均值即为年度考核得分。</w:t>
      </w:r>
    </w:p>
    <w:p w14:paraId="2A3AB7F3">
      <w:pPr>
        <w:spacing w:line="500" w:lineRule="exact"/>
        <w:ind w:firstLine="422" w:firstLineChars="200"/>
        <w:jc w:val="both"/>
        <w:textAlignment w:val="auto"/>
        <w:rPr>
          <w:rFonts w:ascii="宋体" w:hAnsi="宋体"/>
          <w:b/>
          <w:bCs/>
          <w:szCs w:val="21"/>
        </w:rPr>
      </w:pPr>
    </w:p>
    <w:p w14:paraId="09C43886">
      <w:pPr>
        <w:spacing w:line="360" w:lineRule="auto"/>
        <w:jc w:val="both"/>
        <w:rPr>
          <w:rFonts w:ascii="宋体" w:hAnsi="宋体"/>
          <w:snapToGrid w:val="0"/>
          <w:szCs w:val="21"/>
        </w:rPr>
      </w:pPr>
      <w:r>
        <w:rPr>
          <w:rFonts w:ascii="Times New Roman" w:hAnsi="Times New Roman"/>
          <w:b/>
          <w:bCs/>
          <w:sz w:val="32"/>
          <w:szCs w:val="32"/>
        </w:rPr>
        <w:br w:type="page"/>
      </w:r>
    </w:p>
    <w:p w14:paraId="47B91943">
      <w:pPr>
        <w:spacing w:line="360" w:lineRule="auto"/>
        <w:jc w:val="both"/>
        <w:outlineLvl w:val="0"/>
        <w:rPr>
          <w:rFonts w:ascii="宋体" w:hAnsi="宋体"/>
          <w:b/>
          <w:bCs/>
          <w:snapToGrid w:val="0"/>
          <w:szCs w:val="21"/>
        </w:rPr>
      </w:pPr>
      <w:r>
        <w:rPr>
          <w:rFonts w:hint="eastAsia" w:ascii="宋体" w:hAnsi="宋体"/>
          <w:b/>
          <w:bCs/>
          <w:snapToGrid w:val="0"/>
          <w:szCs w:val="21"/>
        </w:rPr>
        <w:t>附件二：养护维修工作量清单（另行提供）</w:t>
      </w:r>
    </w:p>
    <w:p w14:paraId="77764656">
      <w:pPr>
        <w:spacing w:line="360" w:lineRule="auto"/>
        <w:jc w:val="both"/>
        <w:rPr>
          <w:rFonts w:hint="eastAsia" w:ascii="宋体" w:hAnsi="宋体" w:eastAsia="宋体"/>
          <w:snapToGrid w:val="0"/>
          <w:szCs w:val="21"/>
          <w:lang w:eastAsia="zh-CN"/>
        </w:rPr>
      </w:pPr>
      <w:r>
        <w:rPr>
          <w:rFonts w:hint="eastAsia" w:ascii="宋体" w:hAnsi="宋体"/>
          <w:snapToGrid w:val="0"/>
          <w:szCs w:val="21"/>
        </w:rPr>
        <w:t>★</w:t>
      </w:r>
      <w:r>
        <w:rPr>
          <w:rFonts w:hint="eastAsia" w:ascii="宋体" w:hAnsi="宋体"/>
          <w:snapToGrid w:val="0"/>
          <w:szCs w:val="21"/>
          <w:lang w:eastAsia="zh-CN"/>
        </w:rPr>
        <w:t>投标人</w:t>
      </w:r>
      <w:r>
        <w:rPr>
          <w:rFonts w:hint="eastAsia" w:ascii="宋体" w:hAnsi="宋体"/>
          <w:snapToGrid w:val="0"/>
          <w:szCs w:val="21"/>
        </w:rPr>
        <w:t>不得对采购人提供的《工作量清单》表内工作量进行缩减，否则视为投标无效</w:t>
      </w:r>
      <w:r>
        <w:rPr>
          <w:rFonts w:hint="eastAsia" w:ascii="宋体" w:hAnsi="宋体"/>
          <w:snapToGrid w:val="0"/>
          <w:szCs w:val="21"/>
          <w:lang w:eastAsia="zh-CN"/>
        </w:rPr>
        <w:t>。</w:t>
      </w:r>
    </w:p>
    <w:p w14:paraId="30FC09B7">
      <w:pPr>
        <w:spacing w:line="360" w:lineRule="auto"/>
        <w:jc w:val="both"/>
        <w:outlineLvl w:val="0"/>
        <w:rPr>
          <w:rFonts w:hint="eastAsia" w:ascii="宋体" w:hAnsi="宋体"/>
          <w:b/>
          <w:bCs/>
          <w:snapToGrid w:val="0"/>
          <w:szCs w:val="21"/>
        </w:rPr>
      </w:pPr>
    </w:p>
    <w:p w14:paraId="0F7549BB">
      <w:pPr>
        <w:spacing w:line="360" w:lineRule="auto"/>
        <w:jc w:val="both"/>
        <w:outlineLvl w:val="0"/>
        <w:rPr>
          <w:rFonts w:ascii="宋体" w:hAnsi="宋体"/>
          <w:b/>
          <w:bCs/>
          <w:snapToGrid w:val="0"/>
          <w:szCs w:val="21"/>
        </w:rPr>
      </w:pPr>
      <w:r>
        <w:rPr>
          <w:rFonts w:hint="eastAsia" w:ascii="宋体" w:hAnsi="宋体"/>
          <w:b/>
          <w:bCs/>
          <w:snapToGrid w:val="0"/>
          <w:szCs w:val="21"/>
        </w:rPr>
        <w:t>附件三：设施设备量清单（另行提供）</w:t>
      </w:r>
    </w:p>
    <w:p w14:paraId="219A4169">
      <w:pPr>
        <w:spacing w:line="360" w:lineRule="auto"/>
        <w:jc w:val="both"/>
        <w:rPr>
          <w:rFonts w:ascii="宋体" w:hAnsi="宋体"/>
          <w:snapToGrid w:val="0"/>
          <w:szCs w:val="21"/>
        </w:rPr>
      </w:pPr>
    </w:p>
    <w:p w14:paraId="35CC0EA5">
      <w:pPr>
        <w:spacing w:line="360" w:lineRule="auto"/>
        <w:jc w:val="both"/>
        <w:rPr>
          <w:rFonts w:ascii="宋体" w:hAnsi="宋体"/>
          <w:snapToGrid w:val="0"/>
          <w:szCs w:val="21"/>
        </w:rPr>
      </w:pPr>
    </w:p>
    <w:sectPr>
      <w:footerReference r:id="rId3" w:type="even"/>
      <w:pgSz w:w="11906" w:h="16838"/>
      <w:pgMar w:top="1361" w:right="1361" w:bottom="1361"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隶书">
    <w:altName w:val="方正隶书_GBK"/>
    <w:panose1 w:val="02010509060101010101"/>
    <w:charset w:val="86"/>
    <w:family w:val="modern"/>
    <w:pitch w:val="default"/>
    <w:sig w:usb0="00000000" w:usb1="00000000" w:usb2="00000010" w:usb3="00000000" w:csb0="00040000" w:csb1="00000000"/>
  </w:font>
  <w:font w:name="方正隶书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楷体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Tahoma">
    <w:altName w:val="DejaVu Sans"/>
    <w:panose1 w:val="020B0604030504040204"/>
    <w:charset w:val="00"/>
    <w:family w:val="swiss"/>
    <w:pitch w:val="default"/>
    <w:sig w:usb0="00000000" w:usb1="00000000" w:usb2="00000029" w:usb3="00000000" w:csb0="000101FF" w:csb1="00000000"/>
  </w:font>
  <w:font w:name="楷体">
    <w:altName w:val="楷体_GB2312"/>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86"/>
    <w:family w:val="swiss"/>
    <w:pitch w:val="default"/>
    <w:sig w:usb0="00000000" w:usb1="00000000" w:usb2="0000003F" w:usb3="00000000" w:csb0="003F01FF"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Cambria Math">
    <w:altName w:val="DejaVu Math TeX Gyre"/>
    <w:panose1 w:val="02040503050406030204"/>
    <w:charset w:val="00"/>
    <w:family w:val="roman"/>
    <w:pitch w:val="default"/>
    <w:sig w:usb0="00000000" w:usb1="00000000" w:usb2="02000000" w:usb3="00000000" w:csb0="0000019F" w:csb1="00000000"/>
  </w:font>
  <w:font w:name="DejaVu Math TeX Gyre">
    <w:panose1 w:val="02000503000000000000"/>
    <w:charset w:val="00"/>
    <w:family w:val="auto"/>
    <w:pitch w:val="default"/>
    <w:sig w:usb0="A10000EF" w:usb1="4201F9EE" w:usb2="02000000" w:usb3="00000000" w:csb0="60000193" w:csb1="0DD40000"/>
  </w:font>
  <w:font w:name="仿宋">
    <w:altName w:val="仿宋_GB2312"/>
    <w:panose1 w:val="02010609060101010101"/>
    <w:charset w:val="86"/>
    <w:family w:val="modern"/>
    <w:pitch w:val="default"/>
    <w:sig w:usb0="00000000" w:usb1="00000000" w:usb2="00000016" w:usb3="00000000" w:csb0="00040001" w:csb1="00000000"/>
  </w:font>
  <w:font w:name="Yu Mincho">
    <w:altName w:val="方正书宋_GBK"/>
    <w:panose1 w:val="00000000000000000000"/>
    <w:charset w:val="80"/>
    <w:family w:val="roman"/>
    <w:pitch w:val="default"/>
    <w:sig w:usb0="00000000" w:usb1="0000000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42"/>
      </w:rPr>
      <w:id w:val="1966849730"/>
      <w:docPartObj>
        <w:docPartGallery w:val="autotext"/>
      </w:docPartObj>
    </w:sdtPr>
    <w:sdtEndPr>
      <w:rPr>
        <w:rStyle w:val="42"/>
      </w:rPr>
    </w:sdtEndPr>
    <w:sdtContent>
      <w:p w14:paraId="2ADD45C8">
        <w:pPr>
          <w:pStyle w:val="25"/>
          <w:framePr w:wrap="auto" w:vAnchor="text" w:hAnchor="margin" w:xAlign="center" w:y="1"/>
          <w:rPr>
            <w:rStyle w:val="42"/>
          </w:rPr>
        </w:pPr>
        <w:r>
          <w:rPr>
            <w:rStyle w:val="42"/>
          </w:rPr>
          <w:fldChar w:fldCharType="begin"/>
        </w:r>
        <w:r>
          <w:rPr>
            <w:rStyle w:val="42"/>
          </w:rPr>
          <w:instrText xml:space="preserve"> PAGE </w:instrText>
        </w:r>
        <w:r>
          <w:rPr>
            <w:rStyle w:val="42"/>
          </w:rPr>
          <w:fldChar w:fldCharType="separate"/>
        </w:r>
        <w:r>
          <w:rPr>
            <w:rStyle w:val="42"/>
          </w:rPr>
          <w:t>1</w:t>
        </w:r>
        <w:r>
          <w:rPr>
            <w:rStyle w:val="42"/>
          </w:rPr>
          <w:fldChar w:fldCharType="end"/>
        </w:r>
      </w:p>
    </w:sdtContent>
  </w:sdt>
  <w:p w14:paraId="05CADE67">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2"/>
      <w:numFmt w:val="decimal"/>
      <w:lvlText w:val="%1"/>
      <w:lvlJc w:val="left"/>
      <w:pPr>
        <w:tabs>
          <w:tab w:val="left" w:pos="425"/>
        </w:tabs>
        <w:ind w:left="425" w:hanging="425"/>
      </w:pPr>
    </w:lvl>
    <w:lvl w:ilvl="1" w:tentative="0">
      <w:start w:val="2"/>
      <w:numFmt w:val="decimal"/>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pStyle w:val="5"/>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926"/>
        </w:tabs>
        <w:ind w:left="3260" w:hanging="1134"/>
      </w:pPr>
    </w:lvl>
    <w:lvl w:ilvl="6" w:tentative="0">
      <w:start w:val="1"/>
      <w:numFmt w:val="decimal"/>
      <w:lvlText w:val="%1.%2.%3.%4.%5.%6.%7"/>
      <w:lvlJc w:val="left"/>
      <w:pPr>
        <w:tabs>
          <w:tab w:val="left" w:pos="471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922"/>
        </w:tabs>
        <w:ind w:left="5102" w:hanging="1700"/>
      </w:pPr>
    </w:lvl>
  </w:abstractNum>
  <w:abstractNum w:abstractNumId="1">
    <w:nsid w:val="07938C92"/>
    <w:multiLevelType w:val="singleLevel"/>
    <w:tmpl w:val="07938C92"/>
    <w:lvl w:ilvl="0" w:tentative="0">
      <w:start w:val="2"/>
      <w:numFmt w:val="chineseCounting"/>
      <w:suff w:val="nothing"/>
      <w:lvlText w:val="（%1）"/>
      <w:lvlJc w:val="left"/>
      <w:rPr>
        <w:rFonts w:hint="eastAsia"/>
      </w:rPr>
    </w:lvl>
  </w:abstractNum>
  <w:abstractNum w:abstractNumId="2">
    <w:nsid w:val="11C27D60"/>
    <w:multiLevelType w:val="multilevel"/>
    <w:tmpl w:val="11C27D60"/>
    <w:lvl w:ilvl="0" w:tentative="0">
      <w:start w:val="1"/>
      <w:numFmt w:val="japaneseCounting"/>
      <w:lvlText w:val="第%1条"/>
      <w:lvlJc w:val="left"/>
      <w:pPr>
        <w:ind w:left="1110" w:hanging="11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B4ADA"/>
    <w:multiLevelType w:val="multilevel"/>
    <w:tmpl w:val="30AB4ADA"/>
    <w:lvl w:ilvl="0" w:tentative="0">
      <w:start w:val="1"/>
      <w:numFmt w:val="decimal"/>
      <w:lvlText w:val="(%1)"/>
      <w:lvlJc w:val="left"/>
      <w:pPr>
        <w:tabs>
          <w:tab w:val="left" w:pos="845"/>
        </w:tabs>
        <w:ind w:left="845"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62"/>
      <w:lvlText w:val="%3."/>
      <w:lvlJc w:val="right"/>
      <w:pPr>
        <w:tabs>
          <w:tab w:val="left" w:pos="1260"/>
        </w:tabs>
        <w:ind w:left="1260" w:hanging="420"/>
      </w:pPr>
    </w:lvl>
    <w:lvl w:ilvl="3" w:tentative="0">
      <w:start w:val="1"/>
      <w:numFmt w:val="decimal"/>
      <w:pStyle w:val="35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BB747D5"/>
    <w:multiLevelType w:val="multilevel"/>
    <w:tmpl w:val="5BB747D5"/>
    <w:lvl w:ilvl="0" w:tentative="0">
      <w:start w:val="1"/>
      <w:numFmt w:val="japaneseCounting"/>
      <w:lvlText w:val="第%1章"/>
      <w:lvlJc w:val="left"/>
      <w:pPr>
        <w:ind w:left="1792" w:hanging="123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5">
    <w:nsid w:val="5BD83592"/>
    <w:multiLevelType w:val="multilevel"/>
    <w:tmpl w:val="5BD83592"/>
    <w:lvl w:ilvl="0" w:tentative="0">
      <w:start w:val="1"/>
      <w:numFmt w:val="japaneseCounting"/>
      <w:lvlText w:val="%1、"/>
      <w:lvlJc w:val="left"/>
      <w:pPr>
        <w:ind w:left="400" w:hanging="400"/>
      </w:pPr>
      <w:rPr>
        <w:rFonts w:hint="default" w:ascii="宋体" w:hAnsi="宋体" w:eastAsia="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03E6D9D"/>
    <w:multiLevelType w:val="multilevel"/>
    <w:tmpl w:val="603E6D9D"/>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3"/>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4YmIxNzI4ZGQ3ZWQ1ZDA0YzA0YjM3YjI4NzdkMWUifQ=="/>
    <w:docVar w:name="KSO_WPS_MARK_KEY" w:val="c3fb30f2-d639-4644-91b7-cea44f77d85f"/>
  </w:docVars>
  <w:rsids>
    <w:rsidRoot w:val="009F3C28"/>
    <w:rsid w:val="00003AAF"/>
    <w:rsid w:val="0000456C"/>
    <w:rsid w:val="000052D3"/>
    <w:rsid w:val="00006966"/>
    <w:rsid w:val="00007FD9"/>
    <w:rsid w:val="000113A1"/>
    <w:rsid w:val="000135FD"/>
    <w:rsid w:val="0001468D"/>
    <w:rsid w:val="00024D5F"/>
    <w:rsid w:val="00031DA9"/>
    <w:rsid w:val="00037134"/>
    <w:rsid w:val="0004389B"/>
    <w:rsid w:val="000472A0"/>
    <w:rsid w:val="000508EA"/>
    <w:rsid w:val="00050D89"/>
    <w:rsid w:val="00051475"/>
    <w:rsid w:val="00057228"/>
    <w:rsid w:val="00057879"/>
    <w:rsid w:val="000626C7"/>
    <w:rsid w:val="00066006"/>
    <w:rsid w:val="0007008F"/>
    <w:rsid w:val="0007674C"/>
    <w:rsid w:val="00083AC4"/>
    <w:rsid w:val="000936B8"/>
    <w:rsid w:val="00094A94"/>
    <w:rsid w:val="00095FB2"/>
    <w:rsid w:val="000976C7"/>
    <w:rsid w:val="000A268E"/>
    <w:rsid w:val="000A3D7D"/>
    <w:rsid w:val="000B28A5"/>
    <w:rsid w:val="000C42A1"/>
    <w:rsid w:val="000D5609"/>
    <w:rsid w:val="000D7D2E"/>
    <w:rsid w:val="000E376E"/>
    <w:rsid w:val="000E773C"/>
    <w:rsid w:val="000F04EE"/>
    <w:rsid w:val="000F2C80"/>
    <w:rsid w:val="00106A29"/>
    <w:rsid w:val="0011052E"/>
    <w:rsid w:val="001114D5"/>
    <w:rsid w:val="00115F45"/>
    <w:rsid w:val="001305F1"/>
    <w:rsid w:val="001310BB"/>
    <w:rsid w:val="0014093B"/>
    <w:rsid w:val="00142C6B"/>
    <w:rsid w:val="00142F08"/>
    <w:rsid w:val="001449EA"/>
    <w:rsid w:val="0015057E"/>
    <w:rsid w:val="00181507"/>
    <w:rsid w:val="00185094"/>
    <w:rsid w:val="00193C71"/>
    <w:rsid w:val="00196495"/>
    <w:rsid w:val="001A0FDA"/>
    <w:rsid w:val="001A1A97"/>
    <w:rsid w:val="001A58CD"/>
    <w:rsid w:val="001A5E8E"/>
    <w:rsid w:val="001A664E"/>
    <w:rsid w:val="001A7436"/>
    <w:rsid w:val="001B2D72"/>
    <w:rsid w:val="001B6002"/>
    <w:rsid w:val="001C0E11"/>
    <w:rsid w:val="001C4D9A"/>
    <w:rsid w:val="001D1D5B"/>
    <w:rsid w:val="001D3A0F"/>
    <w:rsid w:val="001D3E8D"/>
    <w:rsid w:val="001D4B7A"/>
    <w:rsid w:val="001D56DF"/>
    <w:rsid w:val="001D63EF"/>
    <w:rsid w:val="001E3856"/>
    <w:rsid w:val="00200FFE"/>
    <w:rsid w:val="0021183D"/>
    <w:rsid w:val="002136BF"/>
    <w:rsid w:val="00215316"/>
    <w:rsid w:val="00225E42"/>
    <w:rsid w:val="00230DB5"/>
    <w:rsid w:val="0023150A"/>
    <w:rsid w:val="002360E6"/>
    <w:rsid w:val="00236AFB"/>
    <w:rsid w:val="00240224"/>
    <w:rsid w:val="00242EFB"/>
    <w:rsid w:val="00253CEE"/>
    <w:rsid w:val="00254E60"/>
    <w:rsid w:val="002614C3"/>
    <w:rsid w:val="0026263F"/>
    <w:rsid w:val="00266BC3"/>
    <w:rsid w:val="0028076D"/>
    <w:rsid w:val="00285430"/>
    <w:rsid w:val="0028740D"/>
    <w:rsid w:val="00294298"/>
    <w:rsid w:val="0029496C"/>
    <w:rsid w:val="00297599"/>
    <w:rsid w:val="002A32FE"/>
    <w:rsid w:val="002B7449"/>
    <w:rsid w:val="002C3370"/>
    <w:rsid w:val="002C6534"/>
    <w:rsid w:val="002D1A15"/>
    <w:rsid w:val="002E1229"/>
    <w:rsid w:val="002E3241"/>
    <w:rsid w:val="002E490E"/>
    <w:rsid w:val="002F0CBE"/>
    <w:rsid w:val="002F35BD"/>
    <w:rsid w:val="002F784A"/>
    <w:rsid w:val="00300072"/>
    <w:rsid w:val="00305FDC"/>
    <w:rsid w:val="00311F54"/>
    <w:rsid w:val="00312A64"/>
    <w:rsid w:val="0031356D"/>
    <w:rsid w:val="00313D9D"/>
    <w:rsid w:val="00320659"/>
    <w:rsid w:val="00330E07"/>
    <w:rsid w:val="00331642"/>
    <w:rsid w:val="003357E9"/>
    <w:rsid w:val="003363CE"/>
    <w:rsid w:val="0034219B"/>
    <w:rsid w:val="00342432"/>
    <w:rsid w:val="0034614C"/>
    <w:rsid w:val="003479E3"/>
    <w:rsid w:val="00350CB3"/>
    <w:rsid w:val="00360B86"/>
    <w:rsid w:val="00361959"/>
    <w:rsid w:val="0036724B"/>
    <w:rsid w:val="00374E55"/>
    <w:rsid w:val="00374EBC"/>
    <w:rsid w:val="00393839"/>
    <w:rsid w:val="00396142"/>
    <w:rsid w:val="003B2F6B"/>
    <w:rsid w:val="003C1743"/>
    <w:rsid w:val="003C4149"/>
    <w:rsid w:val="003C4A05"/>
    <w:rsid w:val="003C653A"/>
    <w:rsid w:val="003C6BCB"/>
    <w:rsid w:val="003C6DED"/>
    <w:rsid w:val="003D0C65"/>
    <w:rsid w:val="003D1266"/>
    <w:rsid w:val="003D57D2"/>
    <w:rsid w:val="003D65E8"/>
    <w:rsid w:val="003E3567"/>
    <w:rsid w:val="003E6814"/>
    <w:rsid w:val="003F1DAE"/>
    <w:rsid w:val="003F213B"/>
    <w:rsid w:val="003F4395"/>
    <w:rsid w:val="003F4AD7"/>
    <w:rsid w:val="00411AB7"/>
    <w:rsid w:val="004244F3"/>
    <w:rsid w:val="00425C5C"/>
    <w:rsid w:val="00425FD8"/>
    <w:rsid w:val="00430E52"/>
    <w:rsid w:val="0043557E"/>
    <w:rsid w:val="00435758"/>
    <w:rsid w:val="00437BB7"/>
    <w:rsid w:val="004405B5"/>
    <w:rsid w:val="00443B6F"/>
    <w:rsid w:val="00446B1A"/>
    <w:rsid w:val="00454696"/>
    <w:rsid w:val="00457BFD"/>
    <w:rsid w:val="00460817"/>
    <w:rsid w:val="0046138B"/>
    <w:rsid w:val="00462131"/>
    <w:rsid w:val="00466AA0"/>
    <w:rsid w:val="00470A90"/>
    <w:rsid w:val="0047104D"/>
    <w:rsid w:val="00471340"/>
    <w:rsid w:val="0048304D"/>
    <w:rsid w:val="00486928"/>
    <w:rsid w:val="00491AEF"/>
    <w:rsid w:val="004A1718"/>
    <w:rsid w:val="004A1DAA"/>
    <w:rsid w:val="004A510C"/>
    <w:rsid w:val="004A5228"/>
    <w:rsid w:val="004A5AF8"/>
    <w:rsid w:val="004B5F22"/>
    <w:rsid w:val="004B7956"/>
    <w:rsid w:val="004C0D6C"/>
    <w:rsid w:val="004C47C0"/>
    <w:rsid w:val="004C5EE1"/>
    <w:rsid w:val="004D0886"/>
    <w:rsid w:val="004E0492"/>
    <w:rsid w:val="004E183B"/>
    <w:rsid w:val="004E2B31"/>
    <w:rsid w:val="004E4CC3"/>
    <w:rsid w:val="004F17BE"/>
    <w:rsid w:val="00500F72"/>
    <w:rsid w:val="00504D3E"/>
    <w:rsid w:val="00507B8F"/>
    <w:rsid w:val="00511DF0"/>
    <w:rsid w:val="00515141"/>
    <w:rsid w:val="00517A28"/>
    <w:rsid w:val="00523927"/>
    <w:rsid w:val="00532F64"/>
    <w:rsid w:val="0053342A"/>
    <w:rsid w:val="00534985"/>
    <w:rsid w:val="00537C6C"/>
    <w:rsid w:val="005409DE"/>
    <w:rsid w:val="005527E1"/>
    <w:rsid w:val="00554EBC"/>
    <w:rsid w:val="00555465"/>
    <w:rsid w:val="00555BC5"/>
    <w:rsid w:val="0055604A"/>
    <w:rsid w:val="00564243"/>
    <w:rsid w:val="00564B27"/>
    <w:rsid w:val="005737D1"/>
    <w:rsid w:val="00573E35"/>
    <w:rsid w:val="005858DE"/>
    <w:rsid w:val="00586D0C"/>
    <w:rsid w:val="00592988"/>
    <w:rsid w:val="0059765C"/>
    <w:rsid w:val="005A5AE8"/>
    <w:rsid w:val="005A7430"/>
    <w:rsid w:val="005B1F4D"/>
    <w:rsid w:val="005B2817"/>
    <w:rsid w:val="005B6488"/>
    <w:rsid w:val="005C31B4"/>
    <w:rsid w:val="005C3474"/>
    <w:rsid w:val="005C573C"/>
    <w:rsid w:val="005D2F0E"/>
    <w:rsid w:val="005D6C37"/>
    <w:rsid w:val="005D7CEC"/>
    <w:rsid w:val="005E25FB"/>
    <w:rsid w:val="005F112F"/>
    <w:rsid w:val="005F2145"/>
    <w:rsid w:val="005F22DA"/>
    <w:rsid w:val="005F2E52"/>
    <w:rsid w:val="005F510F"/>
    <w:rsid w:val="005F6CEE"/>
    <w:rsid w:val="005F720C"/>
    <w:rsid w:val="00600D81"/>
    <w:rsid w:val="00606325"/>
    <w:rsid w:val="00617321"/>
    <w:rsid w:val="00617E3B"/>
    <w:rsid w:val="0062145D"/>
    <w:rsid w:val="00624069"/>
    <w:rsid w:val="006254A8"/>
    <w:rsid w:val="006255FB"/>
    <w:rsid w:val="006279DC"/>
    <w:rsid w:val="00630F54"/>
    <w:rsid w:val="00635F30"/>
    <w:rsid w:val="00636093"/>
    <w:rsid w:val="00640133"/>
    <w:rsid w:val="00641C95"/>
    <w:rsid w:val="006429F3"/>
    <w:rsid w:val="00646567"/>
    <w:rsid w:val="00656C24"/>
    <w:rsid w:val="00663622"/>
    <w:rsid w:val="00665CF4"/>
    <w:rsid w:val="00665DE5"/>
    <w:rsid w:val="00671592"/>
    <w:rsid w:val="00671C75"/>
    <w:rsid w:val="00680B24"/>
    <w:rsid w:val="00684012"/>
    <w:rsid w:val="00684D97"/>
    <w:rsid w:val="006957A8"/>
    <w:rsid w:val="00697246"/>
    <w:rsid w:val="006A4A57"/>
    <w:rsid w:val="006B6B5A"/>
    <w:rsid w:val="006C05AA"/>
    <w:rsid w:val="006C3A6A"/>
    <w:rsid w:val="006C409A"/>
    <w:rsid w:val="006C4749"/>
    <w:rsid w:val="006C622A"/>
    <w:rsid w:val="006D072A"/>
    <w:rsid w:val="006D488E"/>
    <w:rsid w:val="006E4DE5"/>
    <w:rsid w:val="006F0E13"/>
    <w:rsid w:val="006F4074"/>
    <w:rsid w:val="00700B37"/>
    <w:rsid w:val="00701FD3"/>
    <w:rsid w:val="00704FB1"/>
    <w:rsid w:val="00714350"/>
    <w:rsid w:val="00714904"/>
    <w:rsid w:val="00736292"/>
    <w:rsid w:val="0074061A"/>
    <w:rsid w:val="007461FF"/>
    <w:rsid w:val="00746316"/>
    <w:rsid w:val="00750A30"/>
    <w:rsid w:val="00751AFF"/>
    <w:rsid w:val="00751B06"/>
    <w:rsid w:val="007529FA"/>
    <w:rsid w:val="00753F9E"/>
    <w:rsid w:val="00762AE8"/>
    <w:rsid w:val="00762D64"/>
    <w:rsid w:val="00765E95"/>
    <w:rsid w:val="0077027D"/>
    <w:rsid w:val="0077509E"/>
    <w:rsid w:val="00775203"/>
    <w:rsid w:val="00780935"/>
    <w:rsid w:val="00782078"/>
    <w:rsid w:val="0078380C"/>
    <w:rsid w:val="0078503F"/>
    <w:rsid w:val="00791D08"/>
    <w:rsid w:val="007942A7"/>
    <w:rsid w:val="007955B9"/>
    <w:rsid w:val="00795F3E"/>
    <w:rsid w:val="00797407"/>
    <w:rsid w:val="007A0D31"/>
    <w:rsid w:val="007A4FB9"/>
    <w:rsid w:val="007B51E1"/>
    <w:rsid w:val="007C2C6A"/>
    <w:rsid w:val="007C4FCF"/>
    <w:rsid w:val="007C739D"/>
    <w:rsid w:val="007D05B3"/>
    <w:rsid w:val="007D144A"/>
    <w:rsid w:val="007D2FFD"/>
    <w:rsid w:val="007D690F"/>
    <w:rsid w:val="007D69D5"/>
    <w:rsid w:val="007D798E"/>
    <w:rsid w:val="007D7FA9"/>
    <w:rsid w:val="007E2370"/>
    <w:rsid w:val="00806C5F"/>
    <w:rsid w:val="00813254"/>
    <w:rsid w:val="00813A7A"/>
    <w:rsid w:val="00814B2E"/>
    <w:rsid w:val="00815D3E"/>
    <w:rsid w:val="0082094E"/>
    <w:rsid w:val="00822DB0"/>
    <w:rsid w:val="0082543E"/>
    <w:rsid w:val="008279C3"/>
    <w:rsid w:val="00830FF5"/>
    <w:rsid w:val="00833C8F"/>
    <w:rsid w:val="00836333"/>
    <w:rsid w:val="008437E6"/>
    <w:rsid w:val="008468FD"/>
    <w:rsid w:val="00846A37"/>
    <w:rsid w:val="00850D0D"/>
    <w:rsid w:val="0085320D"/>
    <w:rsid w:val="00857B24"/>
    <w:rsid w:val="008614AC"/>
    <w:rsid w:val="008631DC"/>
    <w:rsid w:val="008643D5"/>
    <w:rsid w:val="00865CE0"/>
    <w:rsid w:val="00870323"/>
    <w:rsid w:val="008716F7"/>
    <w:rsid w:val="00872C28"/>
    <w:rsid w:val="008747A3"/>
    <w:rsid w:val="00875596"/>
    <w:rsid w:val="0087723A"/>
    <w:rsid w:val="0088111C"/>
    <w:rsid w:val="00881B4D"/>
    <w:rsid w:val="008832F5"/>
    <w:rsid w:val="008852BE"/>
    <w:rsid w:val="00885370"/>
    <w:rsid w:val="008869D9"/>
    <w:rsid w:val="00887D8A"/>
    <w:rsid w:val="00897D65"/>
    <w:rsid w:val="00897D6B"/>
    <w:rsid w:val="008A1354"/>
    <w:rsid w:val="008A5F15"/>
    <w:rsid w:val="008B0CE3"/>
    <w:rsid w:val="008B4DE1"/>
    <w:rsid w:val="008B4E56"/>
    <w:rsid w:val="008B5A18"/>
    <w:rsid w:val="008C2423"/>
    <w:rsid w:val="008C33EE"/>
    <w:rsid w:val="008C624F"/>
    <w:rsid w:val="008C7C14"/>
    <w:rsid w:val="008D1C22"/>
    <w:rsid w:val="008D656D"/>
    <w:rsid w:val="008D6F2A"/>
    <w:rsid w:val="008E3B2A"/>
    <w:rsid w:val="008E4191"/>
    <w:rsid w:val="008E5C08"/>
    <w:rsid w:val="008E5D09"/>
    <w:rsid w:val="008E5E64"/>
    <w:rsid w:val="008E78D9"/>
    <w:rsid w:val="008F2572"/>
    <w:rsid w:val="008F3A19"/>
    <w:rsid w:val="008F52D0"/>
    <w:rsid w:val="009031D2"/>
    <w:rsid w:val="00905195"/>
    <w:rsid w:val="00906A75"/>
    <w:rsid w:val="00912E82"/>
    <w:rsid w:val="00917682"/>
    <w:rsid w:val="00930FB7"/>
    <w:rsid w:val="009316D1"/>
    <w:rsid w:val="00932151"/>
    <w:rsid w:val="00932DCD"/>
    <w:rsid w:val="009408EF"/>
    <w:rsid w:val="00950367"/>
    <w:rsid w:val="00951E68"/>
    <w:rsid w:val="00955A59"/>
    <w:rsid w:val="00960B02"/>
    <w:rsid w:val="0096104B"/>
    <w:rsid w:val="00964C55"/>
    <w:rsid w:val="0097121D"/>
    <w:rsid w:val="00976588"/>
    <w:rsid w:val="0098588B"/>
    <w:rsid w:val="0098600C"/>
    <w:rsid w:val="00987171"/>
    <w:rsid w:val="00993F3E"/>
    <w:rsid w:val="00995B25"/>
    <w:rsid w:val="009968A9"/>
    <w:rsid w:val="009A05A7"/>
    <w:rsid w:val="009A22C3"/>
    <w:rsid w:val="009A5494"/>
    <w:rsid w:val="009A5933"/>
    <w:rsid w:val="009B34FE"/>
    <w:rsid w:val="009B63A0"/>
    <w:rsid w:val="009C14E8"/>
    <w:rsid w:val="009C182C"/>
    <w:rsid w:val="009C5CDE"/>
    <w:rsid w:val="009C7BE6"/>
    <w:rsid w:val="009C7D7F"/>
    <w:rsid w:val="009D3F3E"/>
    <w:rsid w:val="009D4738"/>
    <w:rsid w:val="009D4AB4"/>
    <w:rsid w:val="009F095C"/>
    <w:rsid w:val="009F18CC"/>
    <w:rsid w:val="009F3C28"/>
    <w:rsid w:val="009F4B36"/>
    <w:rsid w:val="009F4BDC"/>
    <w:rsid w:val="009F6B0E"/>
    <w:rsid w:val="009F6F06"/>
    <w:rsid w:val="009F751B"/>
    <w:rsid w:val="009F75E8"/>
    <w:rsid w:val="00A04000"/>
    <w:rsid w:val="00A04BEF"/>
    <w:rsid w:val="00A04C2F"/>
    <w:rsid w:val="00A0517F"/>
    <w:rsid w:val="00A05295"/>
    <w:rsid w:val="00A060F3"/>
    <w:rsid w:val="00A100E9"/>
    <w:rsid w:val="00A14E89"/>
    <w:rsid w:val="00A166B6"/>
    <w:rsid w:val="00A20333"/>
    <w:rsid w:val="00A234A9"/>
    <w:rsid w:val="00A23B83"/>
    <w:rsid w:val="00A25B88"/>
    <w:rsid w:val="00A37E60"/>
    <w:rsid w:val="00A40E5F"/>
    <w:rsid w:val="00A41282"/>
    <w:rsid w:val="00A44736"/>
    <w:rsid w:val="00A462EC"/>
    <w:rsid w:val="00A51180"/>
    <w:rsid w:val="00A5267B"/>
    <w:rsid w:val="00A55A08"/>
    <w:rsid w:val="00A56F72"/>
    <w:rsid w:val="00A57519"/>
    <w:rsid w:val="00A674C0"/>
    <w:rsid w:val="00A8400A"/>
    <w:rsid w:val="00A85AF3"/>
    <w:rsid w:val="00A86D5B"/>
    <w:rsid w:val="00A91705"/>
    <w:rsid w:val="00A945A6"/>
    <w:rsid w:val="00A97073"/>
    <w:rsid w:val="00AA1B68"/>
    <w:rsid w:val="00AA2886"/>
    <w:rsid w:val="00AA4A89"/>
    <w:rsid w:val="00AA5A0A"/>
    <w:rsid w:val="00AB1123"/>
    <w:rsid w:val="00AB2405"/>
    <w:rsid w:val="00AC2E2D"/>
    <w:rsid w:val="00AC306A"/>
    <w:rsid w:val="00AD1D60"/>
    <w:rsid w:val="00AD25F9"/>
    <w:rsid w:val="00AD5AFA"/>
    <w:rsid w:val="00AD5E7F"/>
    <w:rsid w:val="00AD6458"/>
    <w:rsid w:val="00AE0150"/>
    <w:rsid w:val="00AE133D"/>
    <w:rsid w:val="00AE1BC8"/>
    <w:rsid w:val="00AE1BF7"/>
    <w:rsid w:val="00AE2A1B"/>
    <w:rsid w:val="00AE3A16"/>
    <w:rsid w:val="00AF027C"/>
    <w:rsid w:val="00AF02A0"/>
    <w:rsid w:val="00AF24C3"/>
    <w:rsid w:val="00AF31E7"/>
    <w:rsid w:val="00AF5F8C"/>
    <w:rsid w:val="00AF6228"/>
    <w:rsid w:val="00B04FDA"/>
    <w:rsid w:val="00B20512"/>
    <w:rsid w:val="00B220B8"/>
    <w:rsid w:val="00B23A7D"/>
    <w:rsid w:val="00B27A3E"/>
    <w:rsid w:val="00B30C90"/>
    <w:rsid w:val="00B30F83"/>
    <w:rsid w:val="00B33620"/>
    <w:rsid w:val="00B34386"/>
    <w:rsid w:val="00B43A51"/>
    <w:rsid w:val="00B44C1D"/>
    <w:rsid w:val="00B54DF9"/>
    <w:rsid w:val="00B61770"/>
    <w:rsid w:val="00B65C28"/>
    <w:rsid w:val="00B76B83"/>
    <w:rsid w:val="00B8452B"/>
    <w:rsid w:val="00B856EE"/>
    <w:rsid w:val="00B857AD"/>
    <w:rsid w:val="00B9066B"/>
    <w:rsid w:val="00B90F6F"/>
    <w:rsid w:val="00B92F9E"/>
    <w:rsid w:val="00B94CEA"/>
    <w:rsid w:val="00B963BC"/>
    <w:rsid w:val="00BA1483"/>
    <w:rsid w:val="00BA2E47"/>
    <w:rsid w:val="00BA34CB"/>
    <w:rsid w:val="00BA40F4"/>
    <w:rsid w:val="00BB5B6F"/>
    <w:rsid w:val="00BC0E22"/>
    <w:rsid w:val="00BE18AF"/>
    <w:rsid w:val="00BE48B3"/>
    <w:rsid w:val="00BE5D8B"/>
    <w:rsid w:val="00BF2876"/>
    <w:rsid w:val="00BF54CE"/>
    <w:rsid w:val="00BF578C"/>
    <w:rsid w:val="00BF748D"/>
    <w:rsid w:val="00C057C7"/>
    <w:rsid w:val="00C06A8D"/>
    <w:rsid w:val="00C1029C"/>
    <w:rsid w:val="00C26ABC"/>
    <w:rsid w:val="00C27798"/>
    <w:rsid w:val="00C30ACE"/>
    <w:rsid w:val="00C33BF2"/>
    <w:rsid w:val="00C36723"/>
    <w:rsid w:val="00C3691D"/>
    <w:rsid w:val="00C37F33"/>
    <w:rsid w:val="00C429AA"/>
    <w:rsid w:val="00C4380A"/>
    <w:rsid w:val="00C47608"/>
    <w:rsid w:val="00C5092D"/>
    <w:rsid w:val="00C51EE2"/>
    <w:rsid w:val="00C6769B"/>
    <w:rsid w:val="00C71615"/>
    <w:rsid w:val="00C74AC0"/>
    <w:rsid w:val="00C83E88"/>
    <w:rsid w:val="00C85FE9"/>
    <w:rsid w:val="00C860EA"/>
    <w:rsid w:val="00C92947"/>
    <w:rsid w:val="00C9717E"/>
    <w:rsid w:val="00CA13C3"/>
    <w:rsid w:val="00CA2214"/>
    <w:rsid w:val="00CA4889"/>
    <w:rsid w:val="00CB1850"/>
    <w:rsid w:val="00CB1B75"/>
    <w:rsid w:val="00CC2CBB"/>
    <w:rsid w:val="00CC7628"/>
    <w:rsid w:val="00CD0281"/>
    <w:rsid w:val="00CD5F97"/>
    <w:rsid w:val="00CE49BC"/>
    <w:rsid w:val="00CE67BF"/>
    <w:rsid w:val="00CE76A1"/>
    <w:rsid w:val="00CF2E9C"/>
    <w:rsid w:val="00D07051"/>
    <w:rsid w:val="00D12D2F"/>
    <w:rsid w:val="00D13710"/>
    <w:rsid w:val="00D23E60"/>
    <w:rsid w:val="00D3174C"/>
    <w:rsid w:val="00D32FCE"/>
    <w:rsid w:val="00D346AB"/>
    <w:rsid w:val="00D34A08"/>
    <w:rsid w:val="00D35560"/>
    <w:rsid w:val="00D41FA0"/>
    <w:rsid w:val="00D47F8F"/>
    <w:rsid w:val="00D52940"/>
    <w:rsid w:val="00D54FF4"/>
    <w:rsid w:val="00D56DE4"/>
    <w:rsid w:val="00D61B46"/>
    <w:rsid w:val="00D8189F"/>
    <w:rsid w:val="00D8495E"/>
    <w:rsid w:val="00D84F06"/>
    <w:rsid w:val="00D86044"/>
    <w:rsid w:val="00D8695D"/>
    <w:rsid w:val="00D94914"/>
    <w:rsid w:val="00D94C71"/>
    <w:rsid w:val="00DA078F"/>
    <w:rsid w:val="00DA19BE"/>
    <w:rsid w:val="00DA4C5E"/>
    <w:rsid w:val="00DA7658"/>
    <w:rsid w:val="00DB3193"/>
    <w:rsid w:val="00DB6A59"/>
    <w:rsid w:val="00DB703E"/>
    <w:rsid w:val="00DC209C"/>
    <w:rsid w:val="00DC241E"/>
    <w:rsid w:val="00DC714B"/>
    <w:rsid w:val="00DE49B0"/>
    <w:rsid w:val="00DE6220"/>
    <w:rsid w:val="00DF3439"/>
    <w:rsid w:val="00E05523"/>
    <w:rsid w:val="00E056D6"/>
    <w:rsid w:val="00E122C1"/>
    <w:rsid w:val="00E20F26"/>
    <w:rsid w:val="00E27C33"/>
    <w:rsid w:val="00E44171"/>
    <w:rsid w:val="00E444F7"/>
    <w:rsid w:val="00E44B3F"/>
    <w:rsid w:val="00E46605"/>
    <w:rsid w:val="00E52DE6"/>
    <w:rsid w:val="00E563F9"/>
    <w:rsid w:val="00E658AF"/>
    <w:rsid w:val="00E67C6C"/>
    <w:rsid w:val="00E75EDD"/>
    <w:rsid w:val="00E75F71"/>
    <w:rsid w:val="00E9020D"/>
    <w:rsid w:val="00E905B1"/>
    <w:rsid w:val="00E926EE"/>
    <w:rsid w:val="00EA0BC3"/>
    <w:rsid w:val="00EA46AA"/>
    <w:rsid w:val="00EB1890"/>
    <w:rsid w:val="00EB1EAC"/>
    <w:rsid w:val="00EB4540"/>
    <w:rsid w:val="00EB6CE5"/>
    <w:rsid w:val="00EC2D93"/>
    <w:rsid w:val="00ED3A53"/>
    <w:rsid w:val="00ED4287"/>
    <w:rsid w:val="00ED7DB3"/>
    <w:rsid w:val="00EE1735"/>
    <w:rsid w:val="00EE194D"/>
    <w:rsid w:val="00EE401B"/>
    <w:rsid w:val="00EE52F3"/>
    <w:rsid w:val="00EF0BD8"/>
    <w:rsid w:val="00EF25C3"/>
    <w:rsid w:val="00F011BF"/>
    <w:rsid w:val="00F0229A"/>
    <w:rsid w:val="00F03796"/>
    <w:rsid w:val="00F04B10"/>
    <w:rsid w:val="00F10F1D"/>
    <w:rsid w:val="00F11028"/>
    <w:rsid w:val="00F25807"/>
    <w:rsid w:val="00F25B9D"/>
    <w:rsid w:val="00F32981"/>
    <w:rsid w:val="00F360F9"/>
    <w:rsid w:val="00F36705"/>
    <w:rsid w:val="00F40595"/>
    <w:rsid w:val="00F41B6B"/>
    <w:rsid w:val="00F44DD0"/>
    <w:rsid w:val="00F455BC"/>
    <w:rsid w:val="00F47601"/>
    <w:rsid w:val="00F47827"/>
    <w:rsid w:val="00F56558"/>
    <w:rsid w:val="00F57302"/>
    <w:rsid w:val="00F579A4"/>
    <w:rsid w:val="00F618B5"/>
    <w:rsid w:val="00F63154"/>
    <w:rsid w:val="00F64E17"/>
    <w:rsid w:val="00F7087F"/>
    <w:rsid w:val="00F713C3"/>
    <w:rsid w:val="00F76A6D"/>
    <w:rsid w:val="00F837AB"/>
    <w:rsid w:val="00F919BB"/>
    <w:rsid w:val="00F94832"/>
    <w:rsid w:val="00FA163A"/>
    <w:rsid w:val="00FA441F"/>
    <w:rsid w:val="00FB12B1"/>
    <w:rsid w:val="00FB1A33"/>
    <w:rsid w:val="00FC2C3F"/>
    <w:rsid w:val="00FC4D94"/>
    <w:rsid w:val="00FC6934"/>
    <w:rsid w:val="00FD42DA"/>
    <w:rsid w:val="00FE5EC9"/>
    <w:rsid w:val="00FE7F1D"/>
    <w:rsid w:val="00FF387B"/>
    <w:rsid w:val="00FF5DBD"/>
    <w:rsid w:val="01E4364B"/>
    <w:rsid w:val="020255DA"/>
    <w:rsid w:val="028C47E9"/>
    <w:rsid w:val="03F107CC"/>
    <w:rsid w:val="050D6C52"/>
    <w:rsid w:val="05917228"/>
    <w:rsid w:val="067577F9"/>
    <w:rsid w:val="076E16F2"/>
    <w:rsid w:val="08762226"/>
    <w:rsid w:val="08F12DC3"/>
    <w:rsid w:val="096E4E82"/>
    <w:rsid w:val="0A0B269C"/>
    <w:rsid w:val="0AA47D81"/>
    <w:rsid w:val="0B005F1C"/>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61E671F"/>
    <w:rsid w:val="16C519F8"/>
    <w:rsid w:val="174C2783"/>
    <w:rsid w:val="17CD749A"/>
    <w:rsid w:val="18080D66"/>
    <w:rsid w:val="180F082F"/>
    <w:rsid w:val="184A4865"/>
    <w:rsid w:val="18910E95"/>
    <w:rsid w:val="18B04E35"/>
    <w:rsid w:val="1B4F25E6"/>
    <w:rsid w:val="1CA03585"/>
    <w:rsid w:val="1CAA4493"/>
    <w:rsid w:val="1CDF3B2A"/>
    <w:rsid w:val="1D2109B3"/>
    <w:rsid w:val="1D7644E2"/>
    <w:rsid w:val="1F485A62"/>
    <w:rsid w:val="1FC31B28"/>
    <w:rsid w:val="20974BB9"/>
    <w:rsid w:val="210C2DC4"/>
    <w:rsid w:val="215E343C"/>
    <w:rsid w:val="22583EFD"/>
    <w:rsid w:val="22F2729C"/>
    <w:rsid w:val="234C0E46"/>
    <w:rsid w:val="246065A9"/>
    <w:rsid w:val="25F211C5"/>
    <w:rsid w:val="26592A51"/>
    <w:rsid w:val="27AA0FB2"/>
    <w:rsid w:val="282D52E1"/>
    <w:rsid w:val="28897809"/>
    <w:rsid w:val="28BE1833"/>
    <w:rsid w:val="28D202CC"/>
    <w:rsid w:val="297536FB"/>
    <w:rsid w:val="29933D47"/>
    <w:rsid w:val="29F52A7C"/>
    <w:rsid w:val="2B920D55"/>
    <w:rsid w:val="2C3E23A2"/>
    <w:rsid w:val="2CD5539D"/>
    <w:rsid w:val="2CDE7D2D"/>
    <w:rsid w:val="2D49615A"/>
    <w:rsid w:val="2D584B67"/>
    <w:rsid w:val="2DA907C3"/>
    <w:rsid w:val="2DBD58A5"/>
    <w:rsid w:val="2E8E096D"/>
    <w:rsid w:val="2F266DBF"/>
    <w:rsid w:val="2F631C4A"/>
    <w:rsid w:val="2F6B056E"/>
    <w:rsid w:val="30232088"/>
    <w:rsid w:val="3073310C"/>
    <w:rsid w:val="30782C0F"/>
    <w:rsid w:val="30EF5972"/>
    <w:rsid w:val="31673619"/>
    <w:rsid w:val="317B5FA6"/>
    <w:rsid w:val="32A51FD4"/>
    <w:rsid w:val="334C7BFA"/>
    <w:rsid w:val="33BB606C"/>
    <w:rsid w:val="35492DCC"/>
    <w:rsid w:val="36157C82"/>
    <w:rsid w:val="36405F7D"/>
    <w:rsid w:val="37122244"/>
    <w:rsid w:val="37646CF7"/>
    <w:rsid w:val="3790083E"/>
    <w:rsid w:val="37903539"/>
    <w:rsid w:val="3805122C"/>
    <w:rsid w:val="38111509"/>
    <w:rsid w:val="382175A5"/>
    <w:rsid w:val="383374BF"/>
    <w:rsid w:val="3869593B"/>
    <w:rsid w:val="387C64B5"/>
    <w:rsid w:val="394551CE"/>
    <w:rsid w:val="39A460F8"/>
    <w:rsid w:val="3A8C2E48"/>
    <w:rsid w:val="3B2E23D2"/>
    <w:rsid w:val="3D004BF7"/>
    <w:rsid w:val="3E7F140E"/>
    <w:rsid w:val="3E8F7255"/>
    <w:rsid w:val="3EA21AE5"/>
    <w:rsid w:val="40FC2E5B"/>
    <w:rsid w:val="43962AEF"/>
    <w:rsid w:val="43AF64F0"/>
    <w:rsid w:val="45406320"/>
    <w:rsid w:val="459A22C0"/>
    <w:rsid w:val="46765B61"/>
    <w:rsid w:val="46AE6F33"/>
    <w:rsid w:val="4761087A"/>
    <w:rsid w:val="476C711C"/>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AF2069"/>
    <w:rsid w:val="52CC4866"/>
    <w:rsid w:val="5382152B"/>
    <w:rsid w:val="53DA3115"/>
    <w:rsid w:val="540E28F4"/>
    <w:rsid w:val="54E35FFA"/>
    <w:rsid w:val="55B00AB8"/>
    <w:rsid w:val="56412C14"/>
    <w:rsid w:val="57831D16"/>
    <w:rsid w:val="58895E0A"/>
    <w:rsid w:val="58EC27F2"/>
    <w:rsid w:val="59401C6C"/>
    <w:rsid w:val="59A72F25"/>
    <w:rsid w:val="5A074538"/>
    <w:rsid w:val="5A1C09BD"/>
    <w:rsid w:val="5ABC71EA"/>
    <w:rsid w:val="5BD7470F"/>
    <w:rsid w:val="5C520904"/>
    <w:rsid w:val="5CA90A11"/>
    <w:rsid w:val="5CB0704A"/>
    <w:rsid w:val="5DB062C3"/>
    <w:rsid w:val="5DF21F7F"/>
    <w:rsid w:val="5ECF5150"/>
    <w:rsid w:val="5F6D7533"/>
    <w:rsid w:val="5FB567E4"/>
    <w:rsid w:val="60320161"/>
    <w:rsid w:val="60B62355"/>
    <w:rsid w:val="61374B25"/>
    <w:rsid w:val="61526439"/>
    <w:rsid w:val="619A2136"/>
    <w:rsid w:val="62D916A8"/>
    <w:rsid w:val="62E30E34"/>
    <w:rsid w:val="63065872"/>
    <w:rsid w:val="63392A57"/>
    <w:rsid w:val="64971E0A"/>
    <w:rsid w:val="65F31E15"/>
    <w:rsid w:val="668279D5"/>
    <w:rsid w:val="670D4A21"/>
    <w:rsid w:val="67334BBF"/>
    <w:rsid w:val="675B2367"/>
    <w:rsid w:val="67D11EA1"/>
    <w:rsid w:val="67D17A3D"/>
    <w:rsid w:val="67E104CE"/>
    <w:rsid w:val="680074AC"/>
    <w:rsid w:val="685F585F"/>
    <w:rsid w:val="69F3315F"/>
    <w:rsid w:val="6B990F28"/>
    <w:rsid w:val="6BA37623"/>
    <w:rsid w:val="6BFC160C"/>
    <w:rsid w:val="6C6B0957"/>
    <w:rsid w:val="6D6B41F6"/>
    <w:rsid w:val="6E90727C"/>
    <w:rsid w:val="6F3351AD"/>
    <w:rsid w:val="70813B3F"/>
    <w:rsid w:val="7081672F"/>
    <w:rsid w:val="70F86666"/>
    <w:rsid w:val="70F9191D"/>
    <w:rsid w:val="71B17625"/>
    <w:rsid w:val="71F272E6"/>
    <w:rsid w:val="723D0AFC"/>
    <w:rsid w:val="73992FB6"/>
    <w:rsid w:val="73FD559C"/>
    <w:rsid w:val="75722A45"/>
    <w:rsid w:val="75E044E4"/>
    <w:rsid w:val="7621477C"/>
    <w:rsid w:val="7635037C"/>
    <w:rsid w:val="764C3824"/>
    <w:rsid w:val="76714436"/>
    <w:rsid w:val="7715546B"/>
    <w:rsid w:val="785E1CB7"/>
    <w:rsid w:val="788E0645"/>
    <w:rsid w:val="7B0B3EAF"/>
    <w:rsid w:val="7BDE06A1"/>
    <w:rsid w:val="7C57180B"/>
    <w:rsid w:val="7CE41E52"/>
    <w:rsid w:val="7D0A5F6A"/>
    <w:rsid w:val="7D387BFF"/>
    <w:rsid w:val="7DD4587F"/>
    <w:rsid w:val="7DDC172F"/>
    <w:rsid w:val="7E4412E8"/>
    <w:rsid w:val="7E607661"/>
    <w:rsid w:val="7EBBB420"/>
    <w:rsid w:val="7F0A04A3"/>
    <w:rsid w:val="7F721BA4"/>
    <w:rsid w:val="9BED7B9F"/>
    <w:rsid w:val="FFBF1C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99"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opLinePunct/>
      <w:adjustRightInd w:val="0"/>
      <w:snapToGrid w:val="0"/>
      <w:textAlignment w:val="center"/>
    </w:pPr>
    <w:rPr>
      <w:rFonts w:ascii="Calibri" w:hAnsi="Calibri" w:eastAsia="宋体" w:cs="Times New Roman"/>
      <w:kern w:val="2"/>
      <w:sz w:val="21"/>
      <w:szCs w:val="24"/>
      <w:lang w:val="en-US" w:eastAsia="zh-CN" w:bidi="ar-SA"/>
    </w:rPr>
  </w:style>
  <w:style w:type="paragraph" w:styleId="2">
    <w:name w:val="heading 1"/>
    <w:basedOn w:val="1"/>
    <w:next w:val="1"/>
    <w:link w:val="48"/>
    <w:qFormat/>
    <w:uiPriority w:val="9"/>
    <w:pPr>
      <w:keepNext/>
      <w:keepLines/>
      <w:spacing w:before="340" w:after="330" w:line="576" w:lineRule="auto"/>
      <w:outlineLvl w:val="0"/>
    </w:pPr>
    <w:rPr>
      <w:b/>
      <w:kern w:val="44"/>
      <w:sz w:val="44"/>
      <w:szCs w:val="20"/>
      <w:lang w:val="zh-CN"/>
    </w:rPr>
  </w:style>
  <w:style w:type="paragraph" w:styleId="3">
    <w:name w:val="heading 2"/>
    <w:basedOn w:val="1"/>
    <w:next w:val="1"/>
    <w:link w:val="4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autoRedefine/>
    <w:unhideWhenUsed/>
    <w:qFormat/>
    <w:uiPriority w:val="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51"/>
    <w:autoRedefine/>
    <w:qFormat/>
    <w:uiPriority w:val="9"/>
    <w:pPr>
      <w:keepNext/>
      <w:numPr>
        <w:ilvl w:val="3"/>
        <w:numId w:val="1"/>
      </w:numPr>
      <w:spacing w:before="240" w:after="60" w:line="360" w:lineRule="auto"/>
      <w:ind w:left="0" w:firstLine="0"/>
      <w:outlineLvl w:val="3"/>
    </w:pPr>
    <w:rPr>
      <w:rFonts w:ascii="宋体" w:hAnsi="Arial"/>
      <w:b/>
      <w:kern w:val="0"/>
      <w:sz w:val="24"/>
      <w:szCs w:val="20"/>
    </w:rPr>
  </w:style>
  <w:style w:type="paragraph" w:styleId="6">
    <w:name w:val="heading 5"/>
    <w:basedOn w:val="1"/>
    <w:next w:val="1"/>
    <w:link w:val="52"/>
    <w:autoRedefine/>
    <w:qFormat/>
    <w:uiPriority w:val="9"/>
    <w:pPr>
      <w:keepNext/>
      <w:keepLines/>
      <w:spacing w:before="280" w:after="290" w:line="376" w:lineRule="atLeast"/>
      <w:textAlignment w:val="baseline"/>
      <w:outlineLvl w:val="4"/>
    </w:pPr>
    <w:rPr>
      <w:rFonts w:ascii="宋体" w:eastAsia="仿宋_GB2312"/>
      <w:b/>
      <w:kern w:val="0"/>
      <w:sz w:val="28"/>
      <w:szCs w:val="20"/>
    </w:rPr>
  </w:style>
  <w:style w:type="paragraph" w:styleId="7">
    <w:name w:val="heading 6"/>
    <w:basedOn w:val="1"/>
    <w:next w:val="1"/>
    <w:link w:val="102"/>
    <w:autoRedefine/>
    <w:qFormat/>
    <w:uiPriority w:val="9"/>
    <w:pPr>
      <w:keepNext/>
      <w:keepLines/>
      <w:tabs>
        <w:tab w:val="left" w:pos="992"/>
      </w:tabs>
      <w:spacing w:before="240" w:after="64" w:line="320" w:lineRule="atLeast"/>
      <w:textAlignment w:val="baseline"/>
      <w:outlineLvl w:val="5"/>
    </w:pPr>
    <w:rPr>
      <w:rFonts w:ascii="Arial" w:hAnsi="Arial" w:eastAsia="黑体"/>
      <w:b/>
      <w:kern w:val="0"/>
      <w:sz w:val="24"/>
      <w:szCs w:val="20"/>
    </w:rPr>
  </w:style>
  <w:style w:type="paragraph" w:styleId="8">
    <w:name w:val="heading 7"/>
    <w:basedOn w:val="1"/>
    <w:next w:val="1"/>
    <w:link w:val="103"/>
    <w:autoRedefine/>
    <w:qFormat/>
    <w:uiPriority w:val="9"/>
    <w:pPr>
      <w:keepNext/>
      <w:keepLines/>
      <w:tabs>
        <w:tab w:val="left" w:pos="1571"/>
      </w:tabs>
      <w:spacing w:before="240" w:after="64" w:line="320" w:lineRule="atLeast"/>
      <w:textAlignment w:val="baseline"/>
      <w:outlineLvl w:val="6"/>
    </w:pPr>
    <w:rPr>
      <w:rFonts w:ascii="宋体" w:hAnsi="Times New Roman" w:eastAsia="仿宋_GB2312"/>
      <w:b/>
      <w:kern w:val="0"/>
      <w:sz w:val="24"/>
      <w:szCs w:val="20"/>
    </w:rPr>
  </w:style>
  <w:style w:type="paragraph" w:styleId="9">
    <w:name w:val="heading 8"/>
    <w:basedOn w:val="1"/>
    <w:next w:val="1"/>
    <w:link w:val="104"/>
    <w:autoRedefine/>
    <w:qFormat/>
    <w:uiPriority w:val="9"/>
    <w:pPr>
      <w:keepNext/>
      <w:keepLines/>
      <w:spacing w:before="240" w:after="64" w:line="320" w:lineRule="atLeast"/>
      <w:textAlignment w:val="baseline"/>
      <w:outlineLvl w:val="7"/>
    </w:pPr>
    <w:rPr>
      <w:rFonts w:ascii="Arial" w:hAnsi="Arial" w:eastAsia="黑体"/>
      <w:kern w:val="0"/>
      <w:sz w:val="24"/>
      <w:szCs w:val="20"/>
    </w:rPr>
  </w:style>
  <w:style w:type="paragraph" w:styleId="10">
    <w:name w:val="heading 9"/>
    <w:basedOn w:val="1"/>
    <w:next w:val="1"/>
    <w:link w:val="105"/>
    <w:autoRedefine/>
    <w:qFormat/>
    <w:uiPriority w:val="9"/>
    <w:pPr>
      <w:keepNext/>
      <w:keepLines/>
      <w:spacing w:before="240" w:after="64" w:line="320" w:lineRule="atLeast"/>
      <w:textAlignment w:val="baseline"/>
      <w:outlineLvl w:val="8"/>
    </w:pPr>
    <w:rPr>
      <w:rFonts w:ascii="Arial" w:hAnsi="Arial" w:eastAsia="黑体"/>
      <w:kern w:val="0"/>
      <w:sz w:val="28"/>
      <w:szCs w:val="2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5"/>
    </w:pPr>
    <w:rPr>
      <w:rFonts w:ascii="Times New Roman" w:hAnsi="Times New Roman"/>
      <w:szCs w:val="20"/>
    </w:rPr>
  </w:style>
  <w:style w:type="paragraph" w:styleId="12">
    <w:name w:val="caption"/>
    <w:basedOn w:val="1"/>
    <w:next w:val="1"/>
    <w:autoRedefine/>
    <w:qFormat/>
    <w:uiPriority w:val="35"/>
    <w:pPr>
      <w:spacing w:after="200"/>
    </w:pPr>
    <w:rPr>
      <w:b/>
      <w:bCs/>
      <w:color w:val="4F81BD"/>
      <w:kern w:val="0"/>
      <w:sz w:val="18"/>
      <w:szCs w:val="18"/>
      <w:lang w:eastAsia="en-US" w:bidi="en-US"/>
    </w:rPr>
  </w:style>
  <w:style w:type="paragraph" w:styleId="13">
    <w:name w:val="Document Map"/>
    <w:basedOn w:val="1"/>
    <w:link w:val="106"/>
    <w:autoRedefine/>
    <w:qFormat/>
    <w:uiPriority w:val="0"/>
    <w:pPr>
      <w:shd w:val="clear" w:color="auto" w:fill="000080"/>
    </w:pPr>
    <w:rPr>
      <w:rFonts w:asciiTheme="minorHAnsi" w:hAnsiTheme="minorHAnsi" w:eastAsiaTheme="minorEastAsia" w:cstheme="minorBidi"/>
    </w:rPr>
  </w:style>
  <w:style w:type="paragraph" w:styleId="14">
    <w:name w:val="annotation text"/>
    <w:basedOn w:val="1"/>
    <w:link w:val="53"/>
    <w:autoRedefine/>
    <w:unhideWhenUsed/>
    <w:qFormat/>
    <w:uiPriority w:val="99"/>
  </w:style>
  <w:style w:type="paragraph" w:styleId="15">
    <w:name w:val="Body Text 3"/>
    <w:basedOn w:val="1"/>
    <w:link w:val="107"/>
    <w:autoRedefine/>
    <w:qFormat/>
    <w:uiPriority w:val="0"/>
    <w:pPr>
      <w:spacing w:after="120"/>
    </w:pPr>
    <w:rPr>
      <w:rFonts w:asciiTheme="minorHAnsi" w:hAnsiTheme="minorHAnsi" w:eastAsiaTheme="minorEastAsia" w:cstheme="minorBidi"/>
      <w:sz w:val="16"/>
      <w:szCs w:val="16"/>
    </w:rPr>
  </w:style>
  <w:style w:type="paragraph" w:styleId="16">
    <w:name w:val="Body Text"/>
    <w:basedOn w:val="1"/>
    <w:link w:val="54"/>
    <w:autoRedefine/>
    <w:qFormat/>
    <w:uiPriority w:val="0"/>
    <w:pPr>
      <w:spacing w:line="320" w:lineRule="atLeast"/>
    </w:pPr>
    <w:rPr>
      <w:rFonts w:eastAsia="隶书"/>
      <w:b/>
      <w:kern w:val="0"/>
      <w:sz w:val="44"/>
      <w:szCs w:val="20"/>
    </w:rPr>
  </w:style>
  <w:style w:type="paragraph" w:styleId="17">
    <w:name w:val="Body Text Indent"/>
    <w:basedOn w:val="1"/>
    <w:link w:val="55"/>
    <w:autoRedefine/>
    <w:unhideWhenUsed/>
    <w:qFormat/>
    <w:uiPriority w:val="0"/>
    <w:pPr>
      <w:spacing w:after="120"/>
      <w:ind w:left="420" w:leftChars="200"/>
    </w:pPr>
    <w:rPr>
      <w:rFonts w:ascii="宋体" w:hAnsi="宋体"/>
      <w:sz w:val="28"/>
      <w:szCs w:val="22"/>
    </w:rPr>
  </w:style>
  <w:style w:type="paragraph" w:styleId="18">
    <w:name w:val="List 2"/>
    <w:basedOn w:val="1"/>
    <w:autoRedefine/>
    <w:qFormat/>
    <w:uiPriority w:val="0"/>
    <w:pPr>
      <w:ind w:left="100" w:leftChars="200" w:hanging="200" w:hangingChars="200"/>
    </w:pPr>
    <w:rPr>
      <w:rFonts w:ascii="Times New Roman" w:hAnsi="Times New Roman"/>
      <w:sz w:val="28"/>
    </w:rPr>
  </w:style>
  <w:style w:type="paragraph" w:styleId="19">
    <w:name w:val="toc 3"/>
    <w:basedOn w:val="1"/>
    <w:next w:val="1"/>
    <w:autoRedefine/>
    <w:qFormat/>
    <w:uiPriority w:val="0"/>
    <w:pPr>
      <w:tabs>
        <w:tab w:val="left" w:pos="1680"/>
        <w:tab w:val="right" w:leader="dot" w:pos="9743"/>
      </w:tabs>
    </w:pPr>
    <w:rPr>
      <w:rFonts w:ascii="Times New Roman" w:hAnsi="Times New Roman"/>
      <w:b/>
      <w:szCs w:val="21"/>
    </w:rPr>
  </w:style>
  <w:style w:type="paragraph" w:styleId="20">
    <w:name w:val="Plain Text"/>
    <w:basedOn w:val="1"/>
    <w:link w:val="56"/>
    <w:autoRedefine/>
    <w:qFormat/>
    <w:uiPriority w:val="0"/>
    <w:rPr>
      <w:rFonts w:ascii="宋体" w:hAnsi="Courier New"/>
      <w:szCs w:val="20"/>
    </w:rPr>
  </w:style>
  <w:style w:type="paragraph" w:styleId="21">
    <w:name w:val="Date"/>
    <w:basedOn w:val="1"/>
    <w:next w:val="1"/>
    <w:link w:val="108"/>
    <w:autoRedefine/>
    <w:qFormat/>
    <w:uiPriority w:val="0"/>
    <w:rPr>
      <w:rFonts w:asciiTheme="minorHAnsi" w:hAnsiTheme="minorHAnsi" w:eastAsiaTheme="minorEastAsia" w:cstheme="minorBidi"/>
      <w:szCs w:val="22"/>
    </w:rPr>
  </w:style>
  <w:style w:type="paragraph" w:styleId="22">
    <w:name w:val="Body Text Indent 2"/>
    <w:basedOn w:val="1"/>
    <w:link w:val="100"/>
    <w:autoRedefine/>
    <w:unhideWhenUsed/>
    <w:qFormat/>
    <w:uiPriority w:val="0"/>
    <w:pPr>
      <w:spacing w:after="120" w:line="480" w:lineRule="auto"/>
      <w:ind w:left="420" w:leftChars="200"/>
    </w:pPr>
  </w:style>
  <w:style w:type="paragraph" w:styleId="23">
    <w:name w:val="endnote text"/>
    <w:basedOn w:val="1"/>
    <w:link w:val="386"/>
    <w:semiHidden/>
    <w:unhideWhenUsed/>
    <w:qFormat/>
    <w:uiPriority w:val="99"/>
    <w:pPr>
      <w:topLinePunct w:val="0"/>
      <w:adjustRightInd/>
      <w:textAlignment w:val="auto"/>
    </w:pPr>
    <w:rPr>
      <w:rFonts w:ascii="Times New Roman" w:hAnsi="Times New Roman"/>
      <w:szCs w:val="21"/>
    </w:rPr>
  </w:style>
  <w:style w:type="paragraph" w:styleId="24">
    <w:name w:val="Balloon Text"/>
    <w:basedOn w:val="1"/>
    <w:link w:val="57"/>
    <w:autoRedefine/>
    <w:qFormat/>
    <w:uiPriority w:val="99"/>
    <w:rPr>
      <w:rFonts w:asciiTheme="minorHAnsi" w:hAnsiTheme="minorHAnsi" w:eastAsiaTheme="minorEastAsia" w:cstheme="minorBidi"/>
      <w:sz w:val="18"/>
      <w:szCs w:val="18"/>
    </w:rPr>
  </w:style>
  <w:style w:type="paragraph" w:styleId="25">
    <w:name w:val="footer"/>
    <w:basedOn w:val="1"/>
    <w:link w:val="58"/>
    <w:autoRedefine/>
    <w:qFormat/>
    <w:uiPriority w:val="99"/>
    <w:pPr>
      <w:tabs>
        <w:tab w:val="center" w:pos="4153"/>
        <w:tab w:val="right" w:pos="8306"/>
      </w:tabs>
    </w:pPr>
    <w:rPr>
      <w:sz w:val="18"/>
      <w:szCs w:val="18"/>
    </w:rPr>
  </w:style>
  <w:style w:type="paragraph" w:styleId="26">
    <w:name w:val="header"/>
    <w:basedOn w:val="1"/>
    <w:link w:val="59"/>
    <w:autoRedefine/>
    <w:qFormat/>
    <w:uiPriority w:val="99"/>
    <w:pPr>
      <w:pBdr>
        <w:bottom w:val="single" w:color="auto" w:sz="6" w:space="1"/>
      </w:pBdr>
      <w:tabs>
        <w:tab w:val="center" w:pos="4153"/>
        <w:tab w:val="right" w:pos="8306"/>
      </w:tabs>
    </w:pPr>
    <w:rPr>
      <w:sz w:val="18"/>
      <w:szCs w:val="18"/>
    </w:rPr>
  </w:style>
  <w:style w:type="paragraph" w:styleId="27">
    <w:name w:val="toc 1"/>
    <w:basedOn w:val="1"/>
    <w:next w:val="1"/>
    <w:autoRedefine/>
    <w:qFormat/>
    <w:uiPriority w:val="0"/>
    <w:rPr>
      <w:rFonts w:ascii="Times New Roman" w:hAnsi="Times New Roman"/>
      <w:szCs w:val="20"/>
    </w:rPr>
  </w:style>
  <w:style w:type="paragraph" w:styleId="28">
    <w:name w:val="Subtitle"/>
    <w:basedOn w:val="1"/>
    <w:next w:val="1"/>
    <w:link w:val="109"/>
    <w:autoRedefine/>
    <w:qFormat/>
    <w:uiPriority w:val="11"/>
    <w:pPr>
      <w:spacing w:before="240" w:after="60" w:line="312" w:lineRule="auto"/>
      <w:outlineLvl w:val="1"/>
    </w:pPr>
    <w:rPr>
      <w:rFonts w:ascii="黑体" w:hAnsi="黑体" w:eastAsia="黑体" w:cstheme="minorBidi"/>
      <w:bCs/>
      <w:kern w:val="28"/>
      <w:sz w:val="24"/>
      <w:szCs w:val="32"/>
    </w:rPr>
  </w:style>
  <w:style w:type="paragraph" w:styleId="29">
    <w:name w:val="List"/>
    <w:basedOn w:val="1"/>
    <w:autoRedefine/>
    <w:qFormat/>
    <w:uiPriority w:val="0"/>
    <w:pPr>
      <w:ind w:left="200" w:hanging="200" w:hangingChars="200"/>
    </w:pPr>
    <w:rPr>
      <w:rFonts w:ascii="Times New Roman" w:hAnsi="Times New Roman"/>
    </w:rPr>
  </w:style>
  <w:style w:type="paragraph" w:styleId="30">
    <w:name w:val="footnote text"/>
    <w:basedOn w:val="1"/>
    <w:link w:val="101"/>
    <w:autoRedefine/>
    <w:semiHidden/>
    <w:unhideWhenUsed/>
    <w:qFormat/>
    <w:uiPriority w:val="99"/>
    <w:rPr>
      <w:rFonts w:ascii="Times New Roman" w:hAnsi="Times New Roman"/>
      <w:sz w:val="18"/>
      <w:szCs w:val="18"/>
    </w:rPr>
  </w:style>
  <w:style w:type="paragraph" w:styleId="31">
    <w:name w:val="Body Text Indent 3"/>
    <w:basedOn w:val="1"/>
    <w:link w:val="60"/>
    <w:autoRedefine/>
    <w:qFormat/>
    <w:uiPriority w:val="0"/>
    <w:pPr>
      <w:spacing w:after="120"/>
      <w:ind w:left="420" w:leftChars="200"/>
    </w:pPr>
    <w:rPr>
      <w:rFonts w:asciiTheme="minorHAnsi" w:hAnsiTheme="minorHAnsi" w:eastAsiaTheme="minorEastAsia" w:cstheme="minorBidi"/>
      <w:sz w:val="16"/>
      <w:szCs w:val="16"/>
    </w:rPr>
  </w:style>
  <w:style w:type="paragraph" w:styleId="32">
    <w:name w:val="Body Text 2"/>
    <w:basedOn w:val="1"/>
    <w:link w:val="110"/>
    <w:autoRedefine/>
    <w:unhideWhenUsed/>
    <w:qFormat/>
    <w:uiPriority w:val="0"/>
    <w:pPr>
      <w:spacing w:after="120" w:line="480" w:lineRule="auto"/>
    </w:pPr>
    <w:rPr>
      <w:rFonts w:asciiTheme="minorHAnsi" w:hAnsiTheme="minorHAnsi" w:eastAsiaTheme="minorEastAsia" w:cstheme="minorBidi"/>
    </w:rPr>
  </w:style>
  <w:style w:type="paragraph" w:styleId="33">
    <w:name w:val="HTML Preformatted"/>
    <w:basedOn w:val="1"/>
    <w:link w:val="111"/>
    <w:autoRedefine/>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cs="Arial" w:eastAsiaTheme="minorEastAsia"/>
      <w:szCs w:val="21"/>
    </w:rPr>
  </w:style>
  <w:style w:type="paragraph" w:styleId="34">
    <w:name w:val="Normal (Web)"/>
    <w:basedOn w:val="1"/>
    <w:autoRedefine/>
    <w:qFormat/>
    <w:uiPriority w:val="0"/>
    <w:pPr>
      <w:spacing w:before="100" w:beforeAutospacing="1" w:after="100" w:afterAutospacing="1"/>
    </w:pPr>
    <w:rPr>
      <w:rFonts w:ascii="宋体" w:hAnsi="宋体"/>
      <w:kern w:val="0"/>
      <w:sz w:val="24"/>
    </w:rPr>
  </w:style>
  <w:style w:type="paragraph" w:styleId="35">
    <w:name w:val="Title"/>
    <w:basedOn w:val="1"/>
    <w:next w:val="1"/>
    <w:link w:val="112"/>
    <w:autoRedefine/>
    <w:qFormat/>
    <w:uiPriority w:val="10"/>
    <w:pPr>
      <w:spacing w:before="240" w:after="60"/>
      <w:outlineLvl w:val="0"/>
    </w:pPr>
    <w:rPr>
      <w:rFonts w:ascii="Cambria" w:hAnsi="Cambria" w:eastAsiaTheme="minorEastAsia" w:cstheme="minorBidi"/>
      <w:b/>
      <w:bCs/>
      <w:sz w:val="32"/>
      <w:szCs w:val="32"/>
    </w:rPr>
  </w:style>
  <w:style w:type="paragraph" w:styleId="36">
    <w:name w:val="annotation subject"/>
    <w:basedOn w:val="14"/>
    <w:next w:val="14"/>
    <w:link w:val="61"/>
    <w:autoRedefine/>
    <w:qFormat/>
    <w:uiPriority w:val="99"/>
    <w:rPr>
      <w:rFonts w:asciiTheme="minorHAnsi" w:hAnsiTheme="minorHAnsi" w:eastAsiaTheme="minorEastAsia" w:cstheme="minorBidi"/>
      <w:b/>
      <w:bCs/>
    </w:rPr>
  </w:style>
  <w:style w:type="table" w:styleId="38">
    <w:name w:val="Table Grid"/>
    <w:basedOn w:val="3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autoRedefine/>
    <w:qFormat/>
    <w:uiPriority w:val="0"/>
    <w:rPr>
      <w:b/>
      <w:bCs/>
    </w:rPr>
  </w:style>
  <w:style w:type="character" w:styleId="41">
    <w:name w:val="endnote reference"/>
    <w:basedOn w:val="39"/>
    <w:semiHidden/>
    <w:unhideWhenUsed/>
    <w:qFormat/>
    <w:uiPriority w:val="99"/>
    <w:rPr>
      <w:vertAlign w:val="superscript"/>
    </w:rPr>
  </w:style>
  <w:style w:type="character" w:styleId="42">
    <w:name w:val="page number"/>
    <w:autoRedefine/>
    <w:qFormat/>
    <w:uiPriority w:val="99"/>
  </w:style>
  <w:style w:type="character" w:styleId="43">
    <w:name w:val="FollowedHyperlink"/>
    <w:autoRedefine/>
    <w:unhideWhenUsed/>
    <w:qFormat/>
    <w:uiPriority w:val="99"/>
    <w:rPr>
      <w:color w:val="954F72"/>
      <w:u w:val="single"/>
    </w:rPr>
  </w:style>
  <w:style w:type="character" w:styleId="44">
    <w:name w:val="Emphasis"/>
    <w:autoRedefine/>
    <w:qFormat/>
    <w:uiPriority w:val="20"/>
    <w:rPr>
      <w:color w:val="CC0033"/>
    </w:rPr>
  </w:style>
  <w:style w:type="character" w:styleId="45">
    <w:name w:val="Hyperlink"/>
    <w:autoRedefine/>
    <w:qFormat/>
    <w:uiPriority w:val="99"/>
    <w:rPr>
      <w:color w:val="0000FF"/>
      <w:u w:val="single"/>
    </w:rPr>
  </w:style>
  <w:style w:type="character" w:styleId="46">
    <w:name w:val="annotation reference"/>
    <w:autoRedefine/>
    <w:unhideWhenUsed/>
    <w:qFormat/>
    <w:uiPriority w:val="99"/>
    <w:rPr>
      <w:sz w:val="21"/>
      <w:szCs w:val="21"/>
    </w:rPr>
  </w:style>
  <w:style w:type="character" w:styleId="47">
    <w:name w:val="footnote reference"/>
    <w:basedOn w:val="39"/>
    <w:autoRedefine/>
    <w:semiHidden/>
    <w:unhideWhenUsed/>
    <w:qFormat/>
    <w:uiPriority w:val="99"/>
    <w:rPr>
      <w:vertAlign w:val="superscript"/>
    </w:rPr>
  </w:style>
  <w:style w:type="character" w:customStyle="1" w:styleId="48">
    <w:name w:val="标题 1 字符"/>
    <w:basedOn w:val="39"/>
    <w:link w:val="2"/>
    <w:autoRedefine/>
    <w:qFormat/>
    <w:uiPriority w:val="9"/>
    <w:rPr>
      <w:rFonts w:ascii="Calibri" w:hAnsi="Calibri" w:eastAsia="宋体" w:cs="Times New Roman"/>
      <w:b/>
      <w:kern w:val="44"/>
      <w:sz w:val="44"/>
      <w:szCs w:val="20"/>
      <w:lang w:val="zh-CN" w:eastAsia="zh-CN"/>
    </w:rPr>
  </w:style>
  <w:style w:type="character" w:customStyle="1" w:styleId="49">
    <w:name w:val="标题 2 字符"/>
    <w:basedOn w:val="39"/>
    <w:link w:val="3"/>
    <w:autoRedefine/>
    <w:qFormat/>
    <w:uiPriority w:val="9"/>
    <w:rPr>
      <w:rFonts w:asciiTheme="majorHAnsi" w:hAnsiTheme="majorHAnsi" w:eastAsiaTheme="majorEastAsia" w:cstheme="majorBidi"/>
      <w:b/>
      <w:bCs/>
      <w:kern w:val="2"/>
      <w:sz w:val="32"/>
      <w:szCs w:val="32"/>
    </w:rPr>
  </w:style>
  <w:style w:type="character" w:customStyle="1" w:styleId="50">
    <w:name w:val="标题 3 字符"/>
    <w:basedOn w:val="39"/>
    <w:link w:val="4"/>
    <w:autoRedefine/>
    <w:qFormat/>
    <w:uiPriority w:val="9"/>
    <w:rPr>
      <w:rFonts w:ascii="Times New Roman" w:hAnsi="Times New Roman" w:eastAsia="宋体" w:cs="Times New Roman"/>
      <w:b/>
      <w:bCs/>
      <w:kern w:val="2"/>
      <w:sz w:val="32"/>
      <w:szCs w:val="32"/>
    </w:rPr>
  </w:style>
  <w:style w:type="character" w:customStyle="1" w:styleId="51">
    <w:name w:val="标题 4 字符"/>
    <w:basedOn w:val="39"/>
    <w:link w:val="5"/>
    <w:autoRedefine/>
    <w:qFormat/>
    <w:uiPriority w:val="9"/>
    <w:rPr>
      <w:rFonts w:ascii="宋体" w:hAnsi="Arial" w:eastAsia="宋体" w:cs="Times New Roman"/>
      <w:b/>
      <w:kern w:val="0"/>
      <w:sz w:val="24"/>
      <w:szCs w:val="20"/>
    </w:rPr>
  </w:style>
  <w:style w:type="character" w:customStyle="1" w:styleId="52">
    <w:name w:val="标题 5 字符"/>
    <w:basedOn w:val="39"/>
    <w:link w:val="6"/>
    <w:autoRedefine/>
    <w:qFormat/>
    <w:uiPriority w:val="9"/>
    <w:rPr>
      <w:rFonts w:ascii="宋体" w:hAnsi="Calibri" w:eastAsia="仿宋_GB2312" w:cs="Times New Roman"/>
      <w:b/>
      <w:kern w:val="0"/>
      <w:sz w:val="28"/>
      <w:szCs w:val="20"/>
    </w:rPr>
  </w:style>
  <w:style w:type="character" w:customStyle="1" w:styleId="53">
    <w:name w:val="批注文字 字符1"/>
    <w:basedOn w:val="39"/>
    <w:link w:val="14"/>
    <w:autoRedefine/>
    <w:semiHidden/>
    <w:qFormat/>
    <w:uiPriority w:val="99"/>
    <w:rPr>
      <w:rFonts w:ascii="Calibri" w:hAnsi="Calibri" w:eastAsia="宋体" w:cs="Times New Roman"/>
      <w:szCs w:val="24"/>
    </w:rPr>
  </w:style>
  <w:style w:type="character" w:customStyle="1" w:styleId="54">
    <w:name w:val="正文文本 字符"/>
    <w:basedOn w:val="39"/>
    <w:link w:val="16"/>
    <w:autoRedefine/>
    <w:qFormat/>
    <w:uiPriority w:val="99"/>
    <w:rPr>
      <w:rFonts w:ascii="Calibri" w:hAnsi="Calibri" w:eastAsia="隶书" w:cs="Times New Roman"/>
      <w:b/>
      <w:kern w:val="0"/>
      <w:sz w:val="44"/>
      <w:szCs w:val="20"/>
    </w:rPr>
  </w:style>
  <w:style w:type="character" w:customStyle="1" w:styleId="55">
    <w:name w:val="正文文本缩进 字符"/>
    <w:basedOn w:val="39"/>
    <w:link w:val="17"/>
    <w:autoRedefine/>
    <w:qFormat/>
    <w:uiPriority w:val="99"/>
    <w:rPr>
      <w:rFonts w:ascii="宋体" w:hAnsi="宋体" w:eastAsia="宋体" w:cs="Times New Roman"/>
      <w:sz w:val="28"/>
    </w:rPr>
  </w:style>
  <w:style w:type="character" w:customStyle="1" w:styleId="56">
    <w:name w:val="纯文本 字符"/>
    <w:basedOn w:val="39"/>
    <w:link w:val="20"/>
    <w:autoRedefine/>
    <w:qFormat/>
    <w:uiPriority w:val="99"/>
    <w:rPr>
      <w:rFonts w:ascii="宋体" w:hAnsi="Courier New" w:eastAsia="宋体" w:cs="Times New Roman"/>
      <w:szCs w:val="20"/>
    </w:rPr>
  </w:style>
  <w:style w:type="character" w:customStyle="1" w:styleId="57">
    <w:name w:val="批注框文本 字符"/>
    <w:link w:val="24"/>
    <w:autoRedefine/>
    <w:qFormat/>
    <w:uiPriority w:val="99"/>
    <w:rPr>
      <w:sz w:val="18"/>
      <w:szCs w:val="18"/>
    </w:rPr>
  </w:style>
  <w:style w:type="character" w:customStyle="1" w:styleId="58">
    <w:name w:val="页脚 字符"/>
    <w:basedOn w:val="39"/>
    <w:link w:val="25"/>
    <w:autoRedefine/>
    <w:qFormat/>
    <w:uiPriority w:val="99"/>
    <w:rPr>
      <w:rFonts w:ascii="Calibri" w:hAnsi="Calibri" w:eastAsia="宋体" w:cs="Times New Roman"/>
      <w:sz w:val="18"/>
      <w:szCs w:val="18"/>
    </w:rPr>
  </w:style>
  <w:style w:type="character" w:customStyle="1" w:styleId="59">
    <w:name w:val="页眉 字符"/>
    <w:basedOn w:val="39"/>
    <w:link w:val="26"/>
    <w:autoRedefine/>
    <w:qFormat/>
    <w:uiPriority w:val="99"/>
    <w:rPr>
      <w:rFonts w:ascii="Calibri" w:hAnsi="Calibri" w:eastAsia="宋体" w:cs="Times New Roman"/>
      <w:sz w:val="18"/>
      <w:szCs w:val="18"/>
    </w:rPr>
  </w:style>
  <w:style w:type="character" w:customStyle="1" w:styleId="60">
    <w:name w:val="正文文本缩进 3 字符"/>
    <w:link w:val="31"/>
    <w:autoRedefine/>
    <w:qFormat/>
    <w:uiPriority w:val="99"/>
    <w:rPr>
      <w:sz w:val="16"/>
      <w:szCs w:val="16"/>
    </w:rPr>
  </w:style>
  <w:style w:type="character" w:customStyle="1" w:styleId="61">
    <w:name w:val="批注主题 字符"/>
    <w:link w:val="36"/>
    <w:autoRedefine/>
    <w:qFormat/>
    <w:uiPriority w:val="99"/>
    <w:rPr>
      <w:b/>
      <w:bCs/>
      <w:szCs w:val="24"/>
    </w:rPr>
  </w:style>
  <w:style w:type="character" w:customStyle="1" w:styleId="62">
    <w:name w:val="批注文字 字符"/>
    <w:autoRedefine/>
    <w:qFormat/>
    <w:uiPriority w:val="99"/>
    <w:rPr>
      <w:kern w:val="2"/>
      <w:sz w:val="21"/>
      <w:szCs w:val="24"/>
    </w:rPr>
  </w:style>
  <w:style w:type="character" w:customStyle="1" w:styleId="63">
    <w:name w:val="msoins"/>
    <w:autoRedefine/>
    <w:qFormat/>
    <w:uiPriority w:val="99"/>
  </w:style>
  <w:style w:type="paragraph" w:customStyle="1" w:styleId="6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styleId="65">
    <w:name w:val="No Spacing"/>
    <w:link w:val="229"/>
    <w:autoRedefine/>
    <w:qFormat/>
    <w:uiPriority w:val="0"/>
    <w:rPr>
      <w:rFonts w:ascii="Calibri" w:hAnsi="Calibri" w:eastAsia="宋体" w:cs="Times New Roman"/>
      <w:kern w:val="2"/>
      <w:sz w:val="22"/>
      <w:szCs w:val="22"/>
      <w:lang w:val="en-US" w:eastAsia="en-US" w:bidi="en-US"/>
    </w:rPr>
  </w:style>
  <w:style w:type="paragraph" w:customStyle="1" w:styleId="66">
    <w:name w:val="font5"/>
    <w:basedOn w:val="1"/>
    <w:autoRedefine/>
    <w:qFormat/>
    <w:uiPriority w:val="0"/>
    <w:pPr>
      <w:spacing w:before="100" w:beforeAutospacing="1" w:after="100" w:afterAutospacing="1"/>
    </w:pPr>
    <w:rPr>
      <w:rFonts w:ascii="宋体" w:hAnsi="宋体" w:cs="宋体"/>
      <w:kern w:val="0"/>
      <w:sz w:val="18"/>
      <w:szCs w:val="18"/>
    </w:rPr>
  </w:style>
  <w:style w:type="paragraph" w:customStyle="1" w:styleId="67">
    <w:name w:val="xl7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68">
    <w:name w:val="xl7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character" w:customStyle="1" w:styleId="69">
    <w:name w:val="批注主题 字符1"/>
    <w:basedOn w:val="53"/>
    <w:autoRedefine/>
    <w:semiHidden/>
    <w:qFormat/>
    <w:uiPriority w:val="99"/>
    <w:rPr>
      <w:rFonts w:ascii="Calibri" w:hAnsi="Calibri" w:eastAsia="宋体" w:cs="Times New Roman"/>
      <w:b/>
      <w:bCs/>
      <w:szCs w:val="24"/>
    </w:rPr>
  </w:style>
  <w:style w:type="paragraph" w:customStyle="1" w:styleId="70">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character" w:customStyle="1" w:styleId="71">
    <w:name w:val="批注框文本 字符1"/>
    <w:basedOn w:val="39"/>
    <w:autoRedefine/>
    <w:semiHidden/>
    <w:qFormat/>
    <w:uiPriority w:val="99"/>
    <w:rPr>
      <w:rFonts w:ascii="Calibri" w:hAnsi="Calibri" w:eastAsia="宋体" w:cs="Times New Roman"/>
      <w:sz w:val="18"/>
      <w:szCs w:val="18"/>
    </w:rPr>
  </w:style>
  <w:style w:type="character" w:customStyle="1" w:styleId="72">
    <w:name w:val="正文文本缩进 3 字符1"/>
    <w:basedOn w:val="39"/>
    <w:autoRedefine/>
    <w:semiHidden/>
    <w:qFormat/>
    <w:uiPriority w:val="99"/>
    <w:rPr>
      <w:rFonts w:ascii="Calibri" w:hAnsi="Calibri" w:eastAsia="宋体" w:cs="Times New Roman"/>
      <w:sz w:val="16"/>
      <w:szCs w:val="16"/>
    </w:rPr>
  </w:style>
  <w:style w:type="paragraph" w:customStyle="1" w:styleId="73">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74">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75">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76">
    <w:name w:val="xl7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7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78">
    <w:name w:val="xl6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styleId="79">
    <w:name w:val="List Paragraph"/>
    <w:basedOn w:val="1"/>
    <w:autoRedefine/>
    <w:qFormat/>
    <w:uiPriority w:val="34"/>
    <w:pPr>
      <w:ind w:firstLine="420" w:firstLineChars="200"/>
    </w:pPr>
    <w:rPr>
      <w:szCs w:val="22"/>
    </w:rPr>
  </w:style>
  <w:style w:type="paragraph" w:customStyle="1" w:styleId="80">
    <w:name w:val="msonormal"/>
    <w:basedOn w:val="1"/>
    <w:autoRedefine/>
    <w:qFormat/>
    <w:uiPriority w:val="0"/>
    <w:pPr>
      <w:spacing w:before="100" w:beforeAutospacing="1" w:after="100" w:afterAutospacing="1"/>
    </w:pPr>
    <w:rPr>
      <w:rFonts w:ascii="宋体" w:hAnsi="宋体" w:cs="宋体"/>
      <w:kern w:val="0"/>
      <w:sz w:val="24"/>
    </w:rPr>
  </w:style>
  <w:style w:type="paragraph" w:customStyle="1" w:styleId="81">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82">
    <w:name w:val="font6"/>
    <w:basedOn w:val="1"/>
    <w:autoRedefine/>
    <w:qFormat/>
    <w:uiPriority w:val="0"/>
    <w:pPr>
      <w:spacing w:before="100" w:beforeAutospacing="1" w:after="100" w:afterAutospacing="1"/>
    </w:pPr>
    <w:rPr>
      <w:rFonts w:ascii="宋体" w:hAnsi="宋体" w:cs="宋体"/>
      <w:kern w:val="0"/>
      <w:sz w:val="18"/>
      <w:szCs w:val="18"/>
    </w:rPr>
  </w:style>
  <w:style w:type="paragraph" w:customStyle="1" w:styleId="83">
    <w:name w:val="xl7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84">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85">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kern w:val="0"/>
      <w:sz w:val="20"/>
      <w:szCs w:val="20"/>
    </w:rPr>
  </w:style>
  <w:style w:type="paragraph" w:customStyle="1" w:styleId="86">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kern w:val="0"/>
      <w:sz w:val="20"/>
      <w:szCs w:val="20"/>
    </w:rPr>
  </w:style>
  <w:style w:type="paragraph" w:customStyle="1" w:styleId="87">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kern w:val="0"/>
      <w:sz w:val="20"/>
      <w:szCs w:val="20"/>
    </w:rPr>
  </w:style>
  <w:style w:type="paragraph" w:customStyle="1" w:styleId="88">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89">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90">
    <w:name w:val="xl8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 w:val="20"/>
      <w:szCs w:val="20"/>
    </w:rPr>
  </w:style>
  <w:style w:type="paragraph" w:customStyle="1" w:styleId="91">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92">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rPr>
  </w:style>
  <w:style w:type="paragraph" w:customStyle="1" w:styleId="93">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rPr>
  </w:style>
  <w:style w:type="paragraph" w:customStyle="1" w:styleId="94">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95">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96">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97">
    <w:name w:val="xl9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000000"/>
      <w:kern w:val="0"/>
      <w:sz w:val="20"/>
      <w:szCs w:val="20"/>
    </w:rPr>
  </w:style>
  <w:style w:type="paragraph" w:customStyle="1" w:styleId="98">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99">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color w:val="000000"/>
      <w:kern w:val="0"/>
      <w:sz w:val="20"/>
      <w:szCs w:val="20"/>
    </w:rPr>
  </w:style>
  <w:style w:type="character" w:customStyle="1" w:styleId="100">
    <w:name w:val="正文文本缩进 2 字符"/>
    <w:basedOn w:val="39"/>
    <w:link w:val="22"/>
    <w:autoRedefine/>
    <w:qFormat/>
    <w:uiPriority w:val="0"/>
    <w:rPr>
      <w:rFonts w:ascii="Calibri" w:hAnsi="Calibri" w:eastAsia="宋体" w:cs="Times New Roman"/>
      <w:kern w:val="2"/>
      <w:sz w:val="21"/>
      <w:szCs w:val="24"/>
    </w:rPr>
  </w:style>
  <w:style w:type="character" w:customStyle="1" w:styleId="101">
    <w:name w:val="脚注文本 字符"/>
    <w:basedOn w:val="39"/>
    <w:link w:val="30"/>
    <w:autoRedefine/>
    <w:semiHidden/>
    <w:qFormat/>
    <w:uiPriority w:val="99"/>
    <w:rPr>
      <w:rFonts w:ascii="Times New Roman" w:hAnsi="Times New Roman" w:eastAsia="宋体" w:cs="Times New Roman"/>
      <w:kern w:val="2"/>
      <w:sz w:val="18"/>
      <w:szCs w:val="18"/>
    </w:rPr>
  </w:style>
  <w:style w:type="character" w:customStyle="1" w:styleId="102">
    <w:name w:val="标题 6 字符"/>
    <w:basedOn w:val="39"/>
    <w:link w:val="7"/>
    <w:autoRedefine/>
    <w:qFormat/>
    <w:uiPriority w:val="9"/>
    <w:rPr>
      <w:rFonts w:ascii="Arial" w:hAnsi="Arial" w:eastAsia="黑体" w:cs="Times New Roman"/>
      <w:b/>
      <w:sz w:val="24"/>
    </w:rPr>
  </w:style>
  <w:style w:type="character" w:customStyle="1" w:styleId="103">
    <w:name w:val="标题 7 字符"/>
    <w:basedOn w:val="39"/>
    <w:link w:val="8"/>
    <w:autoRedefine/>
    <w:qFormat/>
    <w:uiPriority w:val="9"/>
    <w:rPr>
      <w:rFonts w:ascii="宋体" w:hAnsi="Times New Roman" w:eastAsia="仿宋_GB2312" w:cs="Times New Roman"/>
      <w:b/>
      <w:sz w:val="24"/>
    </w:rPr>
  </w:style>
  <w:style w:type="character" w:customStyle="1" w:styleId="104">
    <w:name w:val="标题 8 字符"/>
    <w:basedOn w:val="39"/>
    <w:link w:val="9"/>
    <w:autoRedefine/>
    <w:qFormat/>
    <w:uiPriority w:val="9"/>
    <w:rPr>
      <w:rFonts w:ascii="Arial" w:hAnsi="Arial" w:eastAsia="黑体" w:cs="Times New Roman"/>
      <w:sz w:val="24"/>
    </w:rPr>
  </w:style>
  <w:style w:type="character" w:customStyle="1" w:styleId="105">
    <w:name w:val="标题 9 字符"/>
    <w:basedOn w:val="39"/>
    <w:link w:val="10"/>
    <w:autoRedefine/>
    <w:qFormat/>
    <w:uiPriority w:val="9"/>
    <w:rPr>
      <w:rFonts w:ascii="Arial" w:hAnsi="Arial" w:eastAsia="黑体" w:cs="Times New Roman"/>
      <w:sz w:val="28"/>
    </w:rPr>
  </w:style>
  <w:style w:type="character" w:customStyle="1" w:styleId="106">
    <w:name w:val="文档结构图 字符"/>
    <w:basedOn w:val="39"/>
    <w:link w:val="13"/>
    <w:autoRedefine/>
    <w:qFormat/>
    <w:uiPriority w:val="0"/>
    <w:rPr>
      <w:kern w:val="2"/>
      <w:sz w:val="21"/>
      <w:szCs w:val="24"/>
      <w:shd w:val="clear" w:color="auto" w:fill="000080"/>
    </w:rPr>
  </w:style>
  <w:style w:type="character" w:customStyle="1" w:styleId="107">
    <w:name w:val="正文文本 3 字符"/>
    <w:basedOn w:val="39"/>
    <w:link w:val="15"/>
    <w:autoRedefine/>
    <w:qFormat/>
    <w:uiPriority w:val="0"/>
    <w:rPr>
      <w:kern w:val="2"/>
      <w:sz w:val="16"/>
      <w:szCs w:val="16"/>
    </w:rPr>
  </w:style>
  <w:style w:type="character" w:customStyle="1" w:styleId="108">
    <w:name w:val="日期 字符"/>
    <w:basedOn w:val="39"/>
    <w:link w:val="21"/>
    <w:autoRedefine/>
    <w:qFormat/>
    <w:uiPriority w:val="0"/>
    <w:rPr>
      <w:kern w:val="2"/>
      <w:sz w:val="21"/>
      <w:szCs w:val="22"/>
    </w:rPr>
  </w:style>
  <w:style w:type="character" w:customStyle="1" w:styleId="109">
    <w:name w:val="副标题 字符"/>
    <w:basedOn w:val="39"/>
    <w:link w:val="28"/>
    <w:autoRedefine/>
    <w:qFormat/>
    <w:uiPriority w:val="11"/>
    <w:rPr>
      <w:rFonts w:ascii="黑体" w:hAnsi="黑体" w:eastAsia="黑体"/>
      <w:bCs/>
      <w:kern w:val="28"/>
      <w:sz w:val="24"/>
      <w:szCs w:val="32"/>
    </w:rPr>
  </w:style>
  <w:style w:type="character" w:customStyle="1" w:styleId="110">
    <w:name w:val="正文文本 2 字符"/>
    <w:basedOn w:val="39"/>
    <w:link w:val="32"/>
    <w:autoRedefine/>
    <w:qFormat/>
    <w:uiPriority w:val="0"/>
    <w:rPr>
      <w:kern w:val="2"/>
      <w:sz w:val="21"/>
      <w:szCs w:val="24"/>
    </w:rPr>
  </w:style>
  <w:style w:type="character" w:customStyle="1" w:styleId="111">
    <w:name w:val="HTML 预设格式 字符"/>
    <w:basedOn w:val="39"/>
    <w:link w:val="33"/>
    <w:autoRedefine/>
    <w:qFormat/>
    <w:uiPriority w:val="99"/>
    <w:rPr>
      <w:rFonts w:ascii="Arial" w:hAnsi="Arial" w:cs="Arial"/>
      <w:kern w:val="2"/>
      <w:sz w:val="21"/>
      <w:szCs w:val="21"/>
    </w:rPr>
  </w:style>
  <w:style w:type="character" w:customStyle="1" w:styleId="112">
    <w:name w:val="标题 字符"/>
    <w:basedOn w:val="39"/>
    <w:link w:val="35"/>
    <w:autoRedefine/>
    <w:qFormat/>
    <w:uiPriority w:val="10"/>
    <w:rPr>
      <w:rFonts w:ascii="Cambria" w:hAnsi="Cambria"/>
      <w:b/>
      <w:bCs/>
      <w:kern w:val="2"/>
      <w:sz w:val="32"/>
      <w:szCs w:val="32"/>
    </w:rPr>
  </w:style>
  <w:style w:type="character" w:customStyle="1" w:styleId="113">
    <w:name w:val="标题 3 Char"/>
    <w:basedOn w:val="39"/>
    <w:autoRedefine/>
    <w:qFormat/>
    <w:uiPriority w:val="0"/>
    <w:rPr>
      <w:b/>
      <w:bCs/>
      <w:sz w:val="32"/>
      <w:szCs w:val="32"/>
    </w:rPr>
  </w:style>
  <w:style w:type="character" w:customStyle="1" w:styleId="114">
    <w:name w:val="标题 1 1 Char"/>
    <w:autoRedefine/>
    <w:qFormat/>
    <w:locked/>
    <w:uiPriority w:val="0"/>
    <w:rPr>
      <w:rFonts w:eastAsia="宋体"/>
      <w:kern w:val="2"/>
      <w:sz w:val="28"/>
      <w:szCs w:val="24"/>
      <w:lang w:val="en-US" w:eastAsia="zh-CN" w:bidi="ar-SA"/>
    </w:rPr>
  </w:style>
  <w:style w:type="character" w:customStyle="1" w:styleId="115">
    <w:name w:val="apple-style-span"/>
    <w:autoRedefine/>
    <w:qFormat/>
    <w:uiPriority w:val="0"/>
  </w:style>
  <w:style w:type="character" w:customStyle="1" w:styleId="116">
    <w:name w:val="章 Char"/>
    <w:autoRedefine/>
    <w:qFormat/>
    <w:locked/>
    <w:uiPriority w:val="0"/>
    <w:rPr>
      <w:rFonts w:eastAsia="宋体"/>
      <w:sz w:val="24"/>
      <w:lang w:val="en-US" w:eastAsia="zh-CN" w:bidi="ar-SA"/>
    </w:rPr>
  </w:style>
  <w:style w:type="character" w:customStyle="1" w:styleId="117">
    <w:name w:val="页眉 Char1"/>
    <w:autoRedefine/>
    <w:semiHidden/>
    <w:qFormat/>
    <w:uiPriority w:val="0"/>
    <w:rPr>
      <w:rFonts w:ascii="Times New Roman" w:hAnsi="Times New Roman" w:eastAsia="宋体" w:cs="Times New Roman"/>
      <w:sz w:val="18"/>
      <w:szCs w:val="18"/>
    </w:rPr>
  </w:style>
  <w:style w:type="character" w:customStyle="1" w:styleId="118">
    <w:name w:val="+正文 Char Char"/>
    <w:link w:val="119"/>
    <w:autoRedefine/>
    <w:qFormat/>
    <w:uiPriority w:val="0"/>
    <w:rPr>
      <w:rFonts w:ascii="楷体_GB2312"/>
      <w:sz w:val="24"/>
    </w:rPr>
  </w:style>
  <w:style w:type="paragraph" w:customStyle="1" w:styleId="119">
    <w:name w:val="+正文 Char Char Char"/>
    <w:basedOn w:val="1"/>
    <w:link w:val="118"/>
    <w:qFormat/>
    <w:uiPriority w:val="0"/>
    <w:pPr>
      <w:spacing w:line="360" w:lineRule="auto"/>
      <w:ind w:firstLine="200" w:firstLineChars="200"/>
    </w:pPr>
    <w:rPr>
      <w:rFonts w:ascii="楷体_GB2312" w:hAnsiTheme="minorHAnsi" w:eastAsiaTheme="minorEastAsia" w:cstheme="minorBidi"/>
      <w:kern w:val="0"/>
      <w:sz w:val="24"/>
      <w:szCs w:val="20"/>
    </w:rPr>
  </w:style>
  <w:style w:type="character" w:customStyle="1" w:styleId="120">
    <w:name w:val="（1） Char"/>
    <w:autoRedefine/>
    <w:qFormat/>
    <w:locked/>
    <w:uiPriority w:val="0"/>
    <w:rPr>
      <w:rFonts w:eastAsia="宋体"/>
      <w:b/>
      <w:sz w:val="24"/>
      <w:szCs w:val="24"/>
      <w:lang w:val="en-US" w:eastAsia="zh-CN" w:bidi="ar-SA"/>
    </w:rPr>
  </w:style>
  <w:style w:type="character" w:customStyle="1" w:styleId="121">
    <w:name w:val="批注框文本 Char"/>
    <w:autoRedefine/>
    <w:qFormat/>
    <w:locked/>
    <w:uiPriority w:val="0"/>
    <w:rPr>
      <w:sz w:val="18"/>
      <w:szCs w:val="18"/>
    </w:rPr>
  </w:style>
  <w:style w:type="character" w:customStyle="1" w:styleId="122">
    <w:name w:val="+正文 Char5 Char Char Char Char Char"/>
    <w:link w:val="123"/>
    <w:autoRedefine/>
    <w:qFormat/>
    <w:uiPriority w:val="0"/>
    <w:rPr>
      <w:rFonts w:ascii="宋体" w:hAnsi="宋体"/>
      <w:sz w:val="24"/>
    </w:rPr>
  </w:style>
  <w:style w:type="paragraph" w:customStyle="1" w:styleId="123">
    <w:name w:val="+正文 Char5 Char Char Char"/>
    <w:basedOn w:val="1"/>
    <w:link w:val="122"/>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24">
    <w:name w:val="一 Char"/>
    <w:autoRedefine/>
    <w:qFormat/>
    <w:locked/>
    <w:uiPriority w:val="0"/>
    <w:rPr>
      <w:rFonts w:eastAsia="宋体"/>
      <w:sz w:val="24"/>
      <w:szCs w:val="24"/>
      <w:lang w:val="en-US" w:eastAsia="zh-CN" w:bidi="ar-SA"/>
    </w:rPr>
  </w:style>
  <w:style w:type="character" w:customStyle="1" w:styleId="125">
    <w:name w:val="普通文字 Char Char2"/>
    <w:autoRedefine/>
    <w:qFormat/>
    <w:locked/>
    <w:uiPriority w:val="0"/>
    <w:rPr>
      <w:rFonts w:ascii="宋体" w:hAnsi="Courier New" w:eastAsia="宋体"/>
    </w:rPr>
  </w:style>
  <w:style w:type="character" w:customStyle="1" w:styleId="126">
    <w:name w:val="书籍标题3"/>
    <w:autoRedefine/>
    <w:qFormat/>
    <w:uiPriority w:val="33"/>
    <w:rPr>
      <w:b/>
      <w:bCs/>
      <w:smallCaps/>
      <w:spacing w:val="5"/>
    </w:rPr>
  </w:style>
  <w:style w:type="character" w:customStyle="1" w:styleId="127">
    <w:name w:val="文档结构图 Char"/>
    <w:autoRedefine/>
    <w:qFormat/>
    <w:locked/>
    <w:uiPriority w:val="0"/>
    <w:rPr>
      <w:szCs w:val="24"/>
      <w:shd w:val="clear" w:color="auto" w:fill="000080"/>
    </w:rPr>
  </w:style>
  <w:style w:type="character" w:customStyle="1" w:styleId="128">
    <w:name w:val="正文文本缩进 2 Char1"/>
    <w:autoRedefine/>
    <w:qFormat/>
    <w:locked/>
    <w:uiPriority w:val="0"/>
    <w:rPr>
      <w:rFonts w:ascii="Times New Roman" w:hAnsi="Times New Roman" w:eastAsia="宋体" w:cs="Times New Roman"/>
      <w:szCs w:val="24"/>
    </w:rPr>
  </w:style>
  <w:style w:type="character" w:customStyle="1" w:styleId="129">
    <w:name w:val="+正文 Char2 Char"/>
    <w:autoRedefine/>
    <w:qFormat/>
    <w:locked/>
    <w:uiPriority w:val="0"/>
    <w:rPr>
      <w:rFonts w:ascii="宋体" w:hAnsi="宋体"/>
      <w:sz w:val="24"/>
      <w:szCs w:val="28"/>
    </w:rPr>
  </w:style>
  <w:style w:type="character" w:customStyle="1" w:styleId="130">
    <w:name w:val="正文文本缩进 Char1"/>
    <w:semiHidden/>
    <w:qFormat/>
    <w:uiPriority w:val="0"/>
    <w:rPr>
      <w:rFonts w:ascii="Times New Roman" w:hAnsi="Times New Roman"/>
      <w:kern w:val="2"/>
      <w:sz w:val="21"/>
      <w:szCs w:val="24"/>
    </w:rPr>
  </w:style>
  <w:style w:type="character" w:customStyle="1" w:styleId="131">
    <w:name w:val="不明显参考3"/>
    <w:autoRedefine/>
    <w:qFormat/>
    <w:uiPriority w:val="31"/>
    <w:rPr>
      <w:smallCaps/>
      <w:color w:val="C0504D"/>
      <w:u w:val="single"/>
    </w:rPr>
  </w:style>
  <w:style w:type="character" w:customStyle="1" w:styleId="132">
    <w:name w:val="PIM 9 Char Char"/>
    <w:autoRedefine/>
    <w:qFormat/>
    <w:locked/>
    <w:uiPriority w:val="0"/>
    <w:rPr>
      <w:rFonts w:eastAsia="宋体"/>
      <w:b/>
      <w:sz w:val="24"/>
      <w:szCs w:val="24"/>
      <w:lang w:val="en-US" w:eastAsia="zh-CN" w:bidi="ar-SA"/>
    </w:rPr>
  </w:style>
  <w:style w:type="character" w:customStyle="1" w:styleId="133">
    <w:name w:val="明显引用 Char"/>
    <w:autoRedefine/>
    <w:qFormat/>
    <w:uiPriority w:val="0"/>
    <w:rPr>
      <w:rFonts w:ascii="Calibri" w:hAnsi="Calibri"/>
      <w:b/>
      <w:bCs/>
      <w:i/>
      <w:iCs/>
      <w:color w:val="4F81BD"/>
      <w:sz w:val="22"/>
      <w:lang w:eastAsia="en-US" w:bidi="en-US"/>
    </w:rPr>
  </w:style>
  <w:style w:type="paragraph" w:styleId="134">
    <w:name w:val="Intense Quote"/>
    <w:basedOn w:val="1"/>
    <w:next w:val="1"/>
    <w:link w:val="135"/>
    <w:autoRedefine/>
    <w:qFormat/>
    <w:uiPriority w:val="30"/>
    <w:pPr>
      <w:pBdr>
        <w:bottom w:val="single" w:color="4F81BD" w:sz="4" w:space="4"/>
      </w:pBdr>
      <w:spacing w:before="200" w:after="280" w:line="276" w:lineRule="auto"/>
      <w:ind w:left="936" w:right="936"/>
    </w:pPr>
    <w:rPr>
      <w:rFonts w:eastAsiaTheme="minorEastAsia" w:cstheme="minorBidi"/>
      <w:b/>
      <w:bCs/>
      <w:i/>
      <w:iCs/>
      <w:color w:val="4F81BD"/>
      <w:sz w:val="22"/>
      <w:szCs w:val="22"/>
      <w:lang w:eastAsia="en-US" w:bidi="en-US"/>
    </w:rPr>
  </w:style>
  <w:style w:type="character" w:customStyle="1" w:styleId="135">
    <w:name w:val="明显引用 字符"/>
    <w:basedOn w:val="39"/>
    <w:link w:val="134"/>
    <w:autoRedefine/>
    <w:qFormat/>
    <w:uiPriority w:val="30"/>
    <w:rPr>
      <w:rFonts w:ascii="Calibri" w:hAnsi="Calibri"/>
      <w:b/>
      <w:bCs/>
      <w:i/>
      <w:iCs/>
      <w:color w:val="4F81BD"/>
      <w:kern w:val="2"/>
      <w:sz w:val="22"/>
      <w:szCs w:val="22"/>
      <w:lang w:eastAsia="en-US" w:bidi="en-US"/>
    </w:rPr>
  </w:style>
  <w:style w:type="character" w:customStyle="1" w:styleId="136">
    <w:name w:val="+正文 Char2 Char Char"/>
    <w:link w:val="137"/>
    <w:autoRedefine/>
    <w:qFormat/>
    <w:uiPriority w:val="0"/>
    <w:rPr>
      <w:rFonts w:ascii="宋体" w:hAnsi="宋体"/>
      <w:sz w:val="24"/>
    </w:rPr>
  </w:style>
  <w:style w:type="paragraph" w:customStyle="1" w:styleId="137">
    <w:name w:val="+正文 Char2"/>
    <w:basedOn w:val="1"/>
    <w:link w:val="136"/>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38">
    <w:name w:val="ind:txt Char"/>
    <w:autoRedefine/>
    <w:qFormat/>
    <w:uiPriority w:val="0"/>
    <w:rPr>
      <w:rFonts w:eastAsia="宋体"/>
      <w:kern w:val="2"/>
      <w:sz w:val="28"/>
      <w:szCs w:val="24"/>
      <w:lang w:val="en-US" w:eastAsia="zh-CN" w:bidi="ar-SA"/>
    </w:rPr>
  </w:style>
  <w:style w:type="character" w:customStyle="1" w:styleId="139">
    <w:name w:val="明显参考1"/>
    <w:autoRedefine/>
    <w:qFormat/>
    <w:uiPriority w:val="32"/>
    <w:rPr>
      <w:b/>
      <w:bCs/>
      <w:smallCaps/>
      <w:color w:val="C0504D"/>
      <w:spacing w:val="5"/>
      <w:u w:val="single"/>
    </w:rPr>
  </w:style>
  <w:style w:type="character" w:customStyle="1" w:styleId="140">
    <w:name w:val="+1. Char Char Char"/>
    <w:link w:val="141"/>
    <w:autoRedefine/>
    <w:qFormat/>
    <w:uiPriority w:val="0"/>
    <w:rPr>
      <w:rFonts w:ascii="楷体_GB2312"/>
      <w:sz w:val="24"/>
    </w:rPr>
  </w:style>
  <w:style w:type="paragraph" w:customStyle="1" w:styleId="141">
    <w:name w:val="+1. Char"/>
    <w:basedOn w:val="119"/>
    <w:link w:val="140"/>
    <w:qFormat/>
    <w:uiPriority w:val="0"/>
    <w:pPr>
      <w:ind w:firstLine="0" w:firstLineChars="0"/>
    </w:pPr>
  </w:style>
  <w:style w:type="character" w:customStyle="1" w:styleId="142">
    <w:name w:val="书籍标题1"/>
    <w:autoRedefine/>
    <w:qFormat/>
    <w:uiPriority w:val="33"/>
    <w:rPr>
      <w:b/>
      <w:bCs/>
      <w:smallCaps/>
      <w:spacing w:val="5"/>
    </w:rPr>
  </w:style>
  <w:style w:type="character" w:customStyle="1" w:styleId="143">
    <w:name w:val="正文文本 Char1"/>
    <w:autoRedefine/>
    <w:qFormat/>
    <w:uiPriority w:val="0"/>
    <w:rPr>
      <w:rFonts w:ascii="Times New Roman" w:hAnsi="Times New Roman"/>
      <w:kern w:val="2"/>
      <w:sz w:val="21"/>
      <w:szCs w:val="24"/>
    </w:rPr>
  </w:style>
  <w:style w:type="character" w:customStyle="1" w:styleId="144">
    <w:name w:val="正文文本缩进 Char"/>
    <w:autoRedefine/>
    <w:qFormat/>
    <w:locked/>
    <w:uiPriority w:val="0"/>
    <w:rPr>
      <w:rFonts w:ascii="宋体"/>
      <w:sz w:val="28"/>
    </w:rPr>
  </w:style>
  <w:style w:type="character" w:customStyle="1" w:styleId="145">
    <w:name w:val="+正文 Char5 Char Char Char Char"/>
    <w:autoRedefine/>
    <w:qFormat/>
    <w:locked/>
    <w:uiPriority w:val="0"/>
    <w:rPr>
      <w:rFonts w:ascii="宋体" w:hAnsi="宋体"/>
      <w:sz w:val="24"/>
      <w:szCs w:val="24"/>
    </w:rPr>
  </w:style>
  <w:style w:type="character" w:customStyle="1" w:styleId="146">
    <w:name w:val="样式 (西文) 宋体 小四 黑色"/>
    <w:autoRedefine/>
    <w:qFormat/>
    <w:uiPriority w:val="0"/>
    <w:rPr>
      <w:rFonts w:hint="eastAsia" w:ascii="宋体" w:hAnsi="宋体" w:eastAsia="宋体"/>
      <w:color w:val="000000"/>
      <w:sz w:val="21"/>
    </w:rPr>
  </w:style>
  <w:style w:type="character" w:customStyle="1" w:styleId="147">
    <w:name w:val="明显强调2"/>
    <w:qFormat/>
    <w:uiPriority w:val="21"/>
    <w:rPr>
      <w:b/>
      <w:bCs/>
      <w:i/>
      <w:iCs/>
      <w:color w:val="4F81BD"/>
    </w:rPr>
  </w:style>
  <w:style w:type="character" w:customStyle="1" w:styleId="148">
    <w:name w:val="HTML 预设格式 Char1"/>
    <w:autoRedefine/>
    <w:qFormat/>
    <w:locked/>
    <w:uiPriority w:val="99"/>
    <w:rPr>
      <w:rFonts w:ascii="Arial" w:hAnsi="Arial" w:cs="Arial"/>
      <w:szCs w:val="21"/>
    </w:rPr>
  </w:style>
  <w:style w:type="character" w:customStyle="1" w:styleId="149">
    <w:name w:val="正文文本缩进 2 Char2"/>
    <w:autoRedefine/>
    <w:semiHidden/>
    <w:qFormat/>
    <w:uiPriority w:val="99"/>
    <w:rPr>
      <w:rFonts w:ascii="Times New Roman" w:hAnsi="Times New Roman" w:eastAsia="宋体" w:cs="Times New Roman"/>
      <w:szCs w:val="24"/>
    </w:rPr>
  </w:style>
  <w:style w:type="character" w:customStyle="1" w:styleId="150">
    <w:name w:val="+正文 Char Char3 Char Char Char Char"/>
    <w:link w:val="151"/>
    <w:autoRedefine/>
    <w:qFormat/>
    <w:uiPriority w:val="0"/>
    <w:rPr>
      <w:rFonts w:ascii="宋体" w:hAnsi="宋体"/>
      <w:sz w:val="24"/>
    </w:rPr>
  </w:style>
  <w:style w:type="paragraph" w:customStyle="1" w:styleId="151">
    <w:name w:val="+正文 Char Char3 Char Char"/>
    <w:basedOn w:val="1"/>
    <w:link w:val="150"/>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52">
    <w:name w:val="正文缩进 Char Char"/>
    <w:autoRedefine/>
    <w:qFormat/>
    <w:uiPriority w:val="0"/>
    <w:rPr>
      <w:rFonts w:ascii="宋体" w:hAnsi="宋体" w:eastAsia="宋体"/>
      <w:kern w:val="2"/>
      <w:sz w:val="28"/>
      <w:szCs w:val="24"/>
      <w:lang w:val="en-US" w:eastAsia="zh-CN" w:bidi="ar-SA"/>
    </w:rPr>
  </w:style>
  <w:style w:type="character" w:customStyle="1" w:styleId="153">
    <w:name w:val="style18"/>
    <w:basedOn w:val="39"/>
    <w:autoRedefine/>
    <w:qFormat/>
    <w:uiPriority w:val="0"/>
  </w:style>
  <w:style w:type="character" w:customStyle="1" w:styleId="154">
    <w:name w:val="+列表1 Char Char Char Char Char"/>
    <w:link w:val="155"/>
    <w:autoRedefine/>
    <w:qFormat/>
    <w:uiPriority w:val="0"/>
    <w:rPr>
      <w:rFonts w:ascii="宋体" w:hAnsi="宋体"/>
    </w:rPr>
  </w:style>
  <w:style w:type="paragraph" w:customStyle="1" w:styleId="155">
    <w:name w:val="+列表1 Char Char Char"/>
    <w:basedOn w:val="1"/>
    <w:link w:val="154"/>
    <w:autoRedefine/>
    <w:qFormat/>
    <w:uiPriority w:val="0"/>
    <w:rPr>
      <w:rFonts w:ascii="宋体" w:hAnsi="宋体" w:eastAsiaTheme="minorEastAsia" w:cstheme="minorBidi"/>
      <w:kern w:val="0"/>
      <w:sz w:val="20"/>
      <w:szCs w:val="20"/>
    </w:rPr>
  </w:style>
  <w:style w:type="character" w:customStyle="1" w:styleId="156">
    <w:name w:val="不明显强调1"/>
    <w:autoRedefine/>
    <w:qFormat/>
    <w:uiPriority w:val="19"/>
    <w:rPr>
      <w:i/>
      <w:iCs/>
      <w:color w:val="808080"/>
    </w:rPr>
  </w:style>
  <w:style w:type="character" w:customStyle="1" w:styleId="157">
    <w:name w:val="正文文本 3 Char"/>
    <w:autoRedefine/>
    <w:qFormat/>
    <w:locked/>
    <w:uiPriority w:val="0"/>
    <w:rPr>
      <w:sz w:val="16"/>
      <w:szCs w:val="16"/>
    </w:rPr>
  </w:style>
  <w:style w:type="character" w:customStyle="1" w:styleId="158">
    <w:name w:val="批注文字 Char2"/>
    <w:autoRedefine/>
    <w:qFormat/>
    <w:uiPriority w:val="0"/>
    <w:rPr>
      <w:rFonts w:ascii="Times New Roman" w:hAnsi="Times New Roman" w:eastAsia="宋体" w:cs="Times New Roman"/>
      <w:szCs w:val="24"/>
    </w:rPr>
  </w:style>
  <w:style w:type="character" w:customStyle="1" w:styleId="159">
    <w:name w:val="不明显参考2"/>
    <w:autoRedefine/>
    <w:qFormat/>
    <w:uiPriority w:val="31"/>
    <w:rPr>
      <w:smallCaps/>
      <w:color w:val="C0504D"/>
      <w:u w:val="single"/>
    </w:rPr>
  </w:style>
  <w:style w:type="character" w:customStyle="1" w:styleId="160">
    <w:name w:val="标题 1.1 Char"/>
    <w:qFormat/>
    <w:locked/>
    <w:uiPriority w:val="0"/>
    <w:rPr>
      <w:rFonts w:eastAsia="黑体"/>
      <w:kern w:val="2"/>
      <w:sz w:val="28"/>
      <w:szCs w:val="32"/>
      <w:lang w:val="en-US" w:eastAsia="zh-CN" w:bidi="ar-SA"/>
    </w:rPr>
  </w:style>
  <w:style w:type="character" w:customStyle="1" w:styleId="161">
    <w:name w:val="h6 Char"/>
    <w:autoRedefine/>
    <w:qFormat/>
    <w:locked/>
    <w:uiPriority w:val="0"/>
    <w:rPr>
      <w:rFonts w:eastAsia="宋体"/>
      <w:sz w:val="24"/>
      <w:szCs w:val="24"/>
      <w:lang w:val="en-US" w:eastAsia="zh-CN" w:bidi="ar-SA"/>
    </w:rPr>
  </w:style>
  <w:style w:type="character" w:customStyle="1" w:styleId="162">
    <w:name w:val="正文文本缩进 3 Char1"/>
    <w:autoRedefine/>
    <w:qFormat/>
    <w:uiPriority w:val="0"/>
    <w:rPr>
      <w:kern w:val="2"/>
      <w:sz w:val="16"/>
      <w:szCs w:val="16"/>
    </w:rPr>
  </w:style>
  <w:style w:type="character" w:customStyle="1" w:styleId="163">
    <w:name w:val="副标题 Char"/>
    <w:autoRedefine/>
    <w:qFormat/>
    <w:locked/>
    <w:uiPriority w:val="11"/>
    <w:rPr>
      <w:rFonts w:ascii="黑体" w:hAnsi="黑体" w:eastAsia="黑体"/>
      <w:bCs/>
      <w:kern w:val="28"/>
      <w:sz w:val="24"/>
      <w:szCs w:val="32"/>
    </w:rPr>
  </w:style>
  <w:style w:type="character" w:customStyle="1" w:styleId="164">
    <w:name w:val="明显引用 Char1"/>
    <w:autoRedefine/>
    <w:qFormat/>
    <w:uiPriority w:val="30"/>
    <w:rPr>
      <w:b/>
      <w:bCs/>
      <w:i/>
      <w:iCs/>
      <w:color w:val="4F81BD"/>
      <w:kern w:val="2"/>
      <w:sz w:val="21"/>
      <w:szCs w:val="24"/>
    </w:rPr>
  </w:style>
  <w:style w:type="character" w:customStyle="1" w:styleId="165">
    <w:name w:val="+正文 Char4"/>
    <w:link w:val="166"/>
    <w:autoRedefine/>
    <w:qFormat/>
    <w:uiPriority w:val="0"/>
    <w:rPr>
      <w:rFonts w:ascii="宋体" w:hAnsi="宋体"/>
      <w:sz w:val="24"/>
    </w:rPr>
  </w:style>
  <w:style w:type="paragraph" w:customStyle="1" w:styleId="166">
    <w:name w:val="+正文"/>
    <w:basedOn w:val="1"/>
    <w:link w:val="165"/>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67">
    <w:name w:val="正文文本缩进 2 Char"/>
    <w:autoRedefine/>
    <w:qFormat/>
    <w:locked/>
    <w:uiPriority w:val="0"/>
    <w:rPr>
      <w:szCs w:val="24"/>
    </w:rPr>
  </w:style>
  <w:style w:type="character" w:customStyle="1" w:styleId="168">
    <w:name w:val="日期 Char1"/>
    <w:autoRedefine/>
    <w:semiHidden/>
    <w:qFormat/>
    <w:locked/>
    <w:uiPriority w:val="99"/>
    <w:rPr>
      <w:rFonts w:ascii="Times New Roman" w:hAnsi="Times New Roman" w:eastAsia="宋体" w:cs="Times New Roman"/>
      <w:szCs w:val="20"/>
    </w:rPr>
  </w:style>
  <w:style w:type="character" w:customStyle="1" w:styleId="169">
    <w:name w:val="明显强调3"/>
    <w:autoRedefine/>
    <w:qFormat/>
    <w:uiPriority w:val="21"/>
    <w:rPr>
      <w:b/>
      <w:bCs/>
      <w:i/>
      <w:iCs/>
      <w:color w:val="4F81BD"/>
    </w:rPr>
  </w:style>
  <w:style w:type="character" w:customStyle="1" w:styleId="170">
    <w:name w:val="表文字 Char Char"/>
    <w:link w:val="171"/>
    <w:autoRedefine/>
    <w:qFormat/>
    <w:uiPriority w:val="0"/>
    <w:rPr>
      <w:rFonts w:ascii="楷体_GB2312" w:hAnsi="宋体" w:eastAsia="楷体_GB2312"/>
      <w:spacing w:val="-8"/>
      <w:sz w:val="24"/>
      <w:lang w:val="zh-CN"/>
    </w:rPr>
  </w:style>
  <w:style w:type="paragraph" w:customStyle="1" w:styleId="171">
    <w:name w:val="表文字"/>
    <w:basedOn w:val="1"/>
    <w:link w:val="170"/>
    <w:autoRedefine/>
    <w:qFormat/>
    <w:uiPriority w:val="0"/>
    <w:pPr>
      <w:spacing w:line="320" w:lineRule="exact"/>
      <w:ind w:right="-31" w:rightChars="-31" w:firstLine="448" w:firstLineChars="200"/>
    </w:pPr>
    <w:rPr>
      <w:rFonts w:ascii="楷体_GB2312" w:hAnsi="宋体" w:eastAsia="楷体_GB2312" w:cstheme="minorBidi"/>
      <w:spacing w:val="-8"/>
      <w:kern w:val="0"/>
      <w:sz w:val="24"/>
      <w:szCs w:val="20"/>
      <w:lang w:val="zh-CN"/>
    </w:rPr>
  </w:style>
  <w:style w:type="character" w:customStyle="1" w:styleId="172">
    <w:name w:val="（A） Char Char"/>
    <w:autoRedefine/>
    <w:qFormat/>
    <w:locked/>
    <w:uiPriority w:val="0"/>
    <w:rPr>
      <w:rFonts w:eastAsia="宋体"/>
      <w:b/>
      <w:sz w:val="24"/>
      <w:szCs w:val="24"/>
      <w:lang w:val="en-US" w:eastAsia="zh-CN" w:bidi="ar-SA"/>
    </w:rPr>
  </w:style>
  <w:style w:type="character" w:customStyle="1" w:styleId="173">
    <w:name w:val="列表编号3 Char"/>
    <w:autoRedefine/>
    <w:qFormat/>
    <w:locked/>
    <w:uiPriority w:val="0"/>
    <w:rPr>
      <w:rFonts w:eastAsia="宋体"/>
      <w:kern w:val="2"/>
      <w:sz w:val="32"/>
      <w:szCs w:val="32"/>
      <w:lang w:val="en-US" w:eastAsia="zh-CN" w:bidi="ar-SA"/>
    </w:rPr>
  </w:style>
  <w:style w:type="character" w:customStyle="1" w:styleId="174">
    <w:name w:val="Char Char8"/>
    <w:autoRedefine/>
    <w:qFormat/>
    <w:locked/>
    <w:uiPriority w:val="0"/>
    <w:rPr>
      <w:rFonts w:ascii="宋体" w:hAnsi="宋体" w:eastAsia="宋体"/>
      <w:b/>
      <w:kern w:val="2"/>
      <w:sz w:val="18"/>
      <w:szCs w:val="24"/>
      <w:lang w:val="en-US" w:eastAsia="zh-CN" w:bidi="ar-SA"/>
    </w:rPr>
  </w:style>
  <w:style w:type="character" w:customStyle="1" w:styleId="175">
    <w:name w:val="普通(网站) Char1"/>
    <w:autoRedefine/>
    <w:semiHidden/>
    <w:qFormat/>
    <w:locked/>
    <w:uiPriority w:val="99"/>
    <w:rPr>
      <w:rFonts w:ascii="Times New Roman" w:hAnsi="Times New Roman"/>
      <w:kern w:val="2"/>
      <w:sz w:val="18"/>
      <w:szCs w:val="18"/>
    </w:rPr>
  </w:style>
  <w:style w:type="character" w:customStyle="1" w:styleId="176">
    <w:name w:val="标题 3 Char1"/>
    <w:autoRedefine/>
    <w:semiHidden/>
    <w:qFormat/>
    <w:uiPriority w:val="0"/>
    <w:rPr>
      <w:b/>
      <w:bCs/>
      <w:kern w:val="2"/>
      <w:sz w:val="32"/>
      <w:szCs w:val="32"/>
    </w:rPr>
  </w:style>
  <w:style w:type="character" w:customStyle="1" w:styleId="177">
    <w:name w:val="日期 Char"/>
    <w:autoRedefine/>
    <w:qFormat/>
    <w:locked/>
    <w:uiPriority w:val="0"/>
  </w:style>
  <w:style w:type="character" w:customStyle="1" w:styleId="178">
    <w:name w:val="+列表1 Char Char Char Char"/>
    <w:autoRedefine/>
    <w:qFormat/>
    <w:locked/>
    <w:uiPriority w:val="0"/>
    <w:rPr>
      <w:rFonts w:ascii="宋体" w:hAnsi="宋体"/>
      <w:szCs w:val="24"/>
    </w:rPr>
  </w:style>
  <w:style w:type="character" w:customStyle="1" w:styleId="179">
    <w:name w:val="批注框文本 Char1"/>
    <w:autoRedefine/>
    <w:qFormat/>
    <w:uiPriority w:val="0"/>
    <w:rPr>
      <w:rFonts w:ascii="Times New Roman" w:hAnsi="Times New Roman"/>
      <w:kern w:val="2"/>
      <w:sz w:val="18"/>
      <w:szCs w:val="18"/>
    </w:rPr>
  </w:style>
  <w:style w:type="character" w:customStyle="1" w:styleId="180">
    <w:name w:val="正文文本缩进 3 Char2"/>
    <w:autoRedefine/>
    <w:semiHidden/>
    <w:qFormat/>
    <w:uiPriority w:val="99"/>
    <w:rPr>
      <w:rFonts w:ascii="Times New Roman" w:hAnsi="Times New Roman" w:eastAsia="宋体" w:cs="Times New Roman"/>
      <w:sz w:val="16"/>
      <w:szCs w:val="16"/>
    </w:rPr>
  </w:style>
  <w:style w:type="character" w:customStyle="1" w:styleId="181">
    <w:name w:val="样式 标题 2标题 1.1编号标题21.1head:2#2 headlinehheadlineS&amp;R2ERMH...1 Char"/>
    <w:autoRedefine/>
    <w:qFormat/>
    <w:uiPriority w:val="0"/>
    <w:rPr>
      <w:rFonts w:eastAsia="黑体"/>
      <w:b/>
      <w:bCs/>
      <w:kern w:val="2"/>
      <w:sz w:val="28"/>
      <w:szCs w:val="32"/>
      <w:lang w:val="en-US" w:eastAsia="zh-CN" w:bidi="ar-SA"/>
    </w:rPr>
  </w:style>
  <w:style w:type="character" w:customStyle="1" w:styleId="182">
    <w:name w:val="文档结构图 Char1"/>
    <w:autoRedefine/>
    <w:semiHidden/>
    <w:qFormat/>
    <w:uiPriority w:val="99"/>
    <w:rPr>
      <w:rFonts w:ascii="宋体" w:hAnsi="Times New Roman"/>
      <w:kern w:val="2"/>
      <w:sz w:val="18"/>
      <w:szCs w:val="18"/>
    </w:rPr>
  </w:style>
  <w:style w:type="character" w:customStyle="1" w:styleId="183">
    <w:name w:val="明显强调1"/>
    <w:autoRedefine/>
    <w:qFormat/>
    <w:uiPriority w:val="21"/>
    <w:rPr>
      <w:b/>
      <w:bCs/>
      <w:i/>
      <w:iCs/>
      <w:color w:val="4F81BD"/>
    </w:rPr>
  </w:style>
  <w:style w:type="character" w:customStyle="1" w:styleId="184">
    <w:name w:val="批注主题 Char2"/>
    <w:autoRedefine/>
    <w:semiHidden/>
    <w:qFormat/>
    <w:uiPriority w:val="99"/>
    <w:rPr>
      <w:rFonts w:ascii="Times New Roman" w:hAnsi="Times New Roman" w:eastAsia="宋体" w:cs="Times New Roman"/>
      <w:b/>
      <w:bCs/>
      <w:szCs w:val="24"/>
    </w:rPr>
  </w:style>
  <w:style w:type="character" w:customStyle="1" w:styleId="185">
    <w:name w:val="批注主题 Char1"/>
    <w:autoRedefine/>
    <w:qFormat/>
    <w:uiPriority w:val="0"/>
    <w:rPr>
      <w:b/>
      <w:bCs/>
      <w:kern w:val="2"/>
      <w:sz w:val="21"/>
      <w:szCs w:val="24"/>
    </w:rPr>
  </w:style>
  <w:style w:type="character" w:customStyle="1" w:styleId="186">
    <w:name w:val="+正文 Char Char5 Char Char"/>
    <w:autoRedefine/>
    <w:qFormat/>
    <w:locked/>
    <w:uiPriority w:val="0"/>
    <w:rPr>
      <w:rFonts w:ascii="宋体" w:hAnsi="宋体"/>
      <w:sz w:val="24"/>
      <w:szCs w:val="24"/>
    </w:rPr>
  </w:style>
  <w:style w:type="character" w:customStyle="1" w:styleId="187">
    <w:name w:val="纯文本 Char1"/>
    <w:autoRedefine/>
    <w:qFormat/>
    <w:locked/>
    <w:uiPriority w:val="0"/>
    <w:rPr>
      <w:rFonts w:ascii="宋体" w:hAnsi="Courier New" w:eastAsia="宋体"/>
      <w:kern w:val="2"/>
      <w:sz w:val="21"/>
      <w:lang w:val="en-US" w:eastAsia="zh-CN" w:bidi="ar-SA"/>
    </w:rPr>
  </w:style>
  <w:style w:type="character" w:customStyle="1" w:styleId="188">
    <w:name w:val="正文文本 3 Char1"/>
    <w:autoRedefine/>
    <w:semiHidden/>
    <w:qFormat/>
    <w:uiPriority w:val="0"/>
    <w:rPr>
      <w:kern w:val="2"/>
      <w:sz w:val="16"/>
      <w:szCs w:val="16"/>
    </w:rPr>
  </w:style>
  <w:style w:type="character" w:customStyle="1" w:styleId="189">
    <w:name w:val="明显引用 Char2"/>
    <w:autoRedefine/>
    <w:qFormat/>
    <w:locked/>
    <w:uiPriority w:val="30"/>
    <w:rPr>
      <w:rFonts w:ascii="Calibri" w:hAnsi="Calibri"/>
      <w:b/>
      <w:bCs/>
      <w:i/>
      <w:iCs/>
      <w:color w:val="4F81BD"/>
      <w:sz w:val="22"/>
      <w:lang w:eastAsia="en-US" w:bidi="en-US"/>
    </w:rPr>
  </w:style>
  <w:style w:type="character" w:customStyle="1" w:styleId="190">
    <w:name w:val="引用 Char2"/>
    <w:autoRedefine/>
    <w:qFormat/>
    <w:uiPriority w:val="29"/>
    <w:rPr>
      <w:rFonts w:ascii="Times New Roman" w:hAnsi="Times New Roman" w:eastAsia="宋体" w:cs="Times New Roman"/>
      <w:i/>
      <w:iCs/>
      <w:color w:val="000000"/>
      <w:szCs w:val="24"/>
    </w:rPr>
  </w:style>
  <w:style w:type="character" w:customStyle="1" w:styleId="191">
    <w:name w:val="明显引用 Char3"/>
    <w:link w:val="192"/>
    <w:autoRedefine/>
    <w:qFormat/>
    <w:uiPriority w:val="30"/>
    <w:rPr>
      <w:b/>
      <w:bCs/>
      <w:i/>
      <w:iCs/>
      <w:color w:val="4F81BD"/>
      <w:szCs w:val="24"/>
    </w:rPr>
  </w:style>
  <w:style w:type="paragraph" w:customStyle="1" w:styleId="192">
    <w:name w:val="明显引用1"/>
    <w:basedOn w:val="1"/>
    <w:next w:val="1"/>
    <w:link w:val="191"/>
    <w:autoRedefine/>
    <w:qFormat/>
    <w:uiPriority w:val="30"/>
    <w:pPr>
      <w:pBdr>
        <w:bottom w:val="single" w:color="4F81BD" w:sz="4" w:space="4"/>
      </w:pBdr>
      <w:spacing w:before="200" w:after="280"/>
      <w:ind w:left="936" w:right="936"/>
    </w:pPr>
    <w:rPr>
      <w:rFonts w:asciiTheme="minorHAnsi" w:hAnsiTheme="minorHAnsi" w:eastAsiaTheme="minorEastAsia" w:cstheme="minorBidi"/>
      <w:b/>
      <w:bCs/>
      <w:i/>
      <w:iCs/>
      <w:color w:val="4F81BD"/>
      <w:kern w:val="0"/>
      <w:sz w:val="20"/>
    </w:rPr>
  </w:style>
  <w:style w:type="character" w:customStyle="1" w:styleId="193">
    <w:name w:val="书籍标题2"/>
    <w:autoRedefine/>
    <w:qFormat/>
    <w:uiPriority w:val="33"/>
    <w:rPr>
      <w:b/>
      <w:bCs/>
      <w:smallCaps/>
      <w:spacing w:val="5"/>
    </w:rPr>
  </w:style>
  <w:style w:type="character" w:customStyle="1" w:styleId="194">
    <w:name w:val="+正文 Char Char2 Char Char"/>
    <w:autoRedefine/>
    <w:qFormat/>
    <w:locked/>
    <w:uiPriority w:val="0"/>
    <w:rPr>
      <w:rFonts w:ascii="宋体" w:hAnsi="宋体"/>
      <w:sz w:val="24"/>
      <w:szCs w:val="28"/>
    </w:rPr>
  </w:style>
  <w:style w:type="character" w:customStyle="1" w:styleId="195">
    <w:name w:val="批注框文本 Char2"/>
    <w:autoRedefine/>
    <w:semiHidden/>
    <w:qFormat/>
    <w:uiPriority w:val="99"/>
    <w:rPr>
      <w:rFonts w:ascii="Times New Roman" w:hAnsi="Times New Roman" w:eastAsia="宋体" w:cs="Times New Roman"/>
      <w:sz w:val="18"/>
      <w:szCs w:val="18"/>
    </w:rPr>
  </w:style>
  <w:style w:type="character" w:customStyle="1" w:styleId="196">
    <w:name w:val="不明显参考1"/>
    <w:autoRedefine/>
    <w:qFormat/>
    <w:uiPriority w:val="31"/>
    <w:rPr>
      <w:smallCaps/>
      <w:color w:val="C0504D"/>
      <w:u w:val="single"/>
    </w:rPr>
  </w:style>
  <w:style w:type="character" w:customStyle="1" w:styleId="197">
    <w:name w:val="不明显强调2"/>
    <w:autoRedefine/>
    <w:qFormat/>
    <w:uiPriority w:val="19"/>
    <w:rPr>
      <w:i/>
      <w:iCs/>
      <w:color w:val="808080"/>
    </w:rPr>
  </w:style>
  <w:style w:type="character" w:customStyle="1" w:styleId="198">
    <w:name w:val="+1. Char Char"/>
    <w:autoRedefine/>
    <w:qFormat/>
    <w:locked/>
    <w:uiPriority w:val="0"/>
    <w:rPr>
      <w:rFonts w:ascii="楷体_GB2312"/>
      <w:sz w:val="24"/>
      <w:szCs w:val="28"/>
    </w:rPr>
  </w:style>
  <w:style w:type="character" w:customStyle="1" w:styleId="199">
    <w:name w:val="标题 Char1"/>
    <w:autoRedefine/>
    <w:qFormat/>
    <w:uiPriority w:val="10"/>
    <w:rPr>
      <w:rFonts w:ascii="Cambria" w:hAnsi="Cambria" w:cs="Times New Roman"/>
      <w:b/>
      <w:bCs/>
      <w:kern w:val="2"/>
      <w:sz w:val="32"/>
      <w:szCs w:val="32"/>
    </w:rPr>
  </w:style>
  <w:style w:type="character" w:customStyle="1" w:styleId="200">
    <w:name w:val="正文文本 2 Char"/>
    <w:autoRedefine/>
    <w:qFormat/>
    <w:uiPriority w:val="0"/>
    <w:rPr>
      <w:szCs w:val="24"/>
    </w:rPr>
  </w:style>
  <w:style w:type="character" w:customStyle="1" w:styleId="201">
    <w:name w:val="标题 1 Char1"/>
    <w:autoRedefine/>
    <w:qFormat/>
    <w:uiPriority w:val="0"/>
    <w:rPr>
      <w:b/>
      <w:bCs/>
      <w:kern w:val="44"/>
      <w:sz w:val="44"/>
      <w:szCs w:val="44"/>
    </w:rPr>
  </w:style>
  <w:style w:type="character" w:customStyle="1" w:styleId="202">
    <w:name w:val="标题 Char"/>
    <w:autoRedefine/>
    <w:qFormat/>
    <w:locked/>
    <w:uiPriority w:val="10"/>
    <w:rPr>
      <w:rFonts w:ascii="Cambria" w:hAnsi="Cambria"/>
      <w:b/>
      <w:bCs/>
      <w:sz w:val="32"/>
      <w:szCs w:val="32"/>
    </w:rPr>
  </w:style>
  <w:style w:type="character" w:customStyle="1" w:styleId="203">
    <w:name w:val="正文文本 Char"/>
    <w:autoRedefine/>
    <w:qFormat/>
    <w:locked/>
    <w:uiPriority w:val="0"/>
    <w:rPr>
      <w:rFonts w:eastAsia="隶书"/>
      <w:b/>
      <w:sz w:val="44"/>
    </w:rPr>
  </w:style>
  <w:style w:type="character" w:customStyle="1" w:styleId="204">
    <w:name w:val="明显参考3"/>
    <w:autoRedefine/>
    <w:qFormat/>
    <w:uiPriority w:val="32"/>
    <w:rPr>
      <w:b/>
      <w:bCs/>
      <w:smallCaps/>
      <w:color w:val="C0504D"/>
      <w:spacing w:val="5"/>
      <w:u w:val="single"/>
    </w:rPr>
  </w:style>
  <w:style w:type="character" w:customStyle="1" w:styleId="205">
    <w:name w:val="表文字 Char"/>
    <w:autoRedefine/>
    <w:qFormat/>
    <w:locked/>
    <w:uiPriority w:val="0"/>
    <w:rPr>
      <w:rFonts w:ascii="楷体_GB2312" w:hAnsi="宋体" w:eastAsia="楷体_GB2312"/>
      <w:spacing w:val="-8"/>
      <w:sz w:val="24"/>
      <w:szCs w:val="24"/>
      <w:lang w:val="zh-CN"/>
    </w:rPr>
  </w:style>
  <w:style w:type="character" w:customStyle="1" w:styleId="206">
    <w:name w:val="+正文 Char Char5 Char Char Char"/>
    <w:link w:val="207"/>
    <w:autoRedefine/>
    <w:qFormat/>
    <w:uiPriority w:val="0"/>
    <w:rPr>
      <w:rFonts w:ascii="宋体" w:hAnsi="宋体"/>
      <w:sz w:val="24"/>
    </w:rPr>
  </w:style>
  <w:style w:type="paragraph" w:customStyle="1" w:styleId="207">
    <w:name w:val="+正文 Char Char5 Char"/>
    <w:basedOn w:val="1"/>
    <w:link w:val="206"/>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208">
    <w:name w:val="纯文本 Char"/>
    <w:autoRedefine/>
    <w:qFormat/>
    <w:locked/>
    <w:uiPriority w:val="0"/>
    <w:rPr>
      <w:rFonts w:ascii="宋体" w:hAnsi="Courier New"/>
    </w:rPr>
  </w:style>
  <w:style w:type="character" w:customStyle="1" w:styleId="209">
    <w:name w:val="标题 8 Char1"/>
    <w:autoRedefine/>
    <w:semiHidden/>
    <w:qFormat/>
    <w:uiPriority w:val="0"/>
    <w:rPr>
      <w:rFonts w:ascii="Cambria" w:hAnsi="Cambria" w:eastAsia="宋体" w:cs="Times New Roman"/>
      <w:kern w:val="2"/>
      <w:sz w:val="24"/>
      <w:szCs w:val="24"/>
    </w:rPr>
  </w:style>
  <w:style w:type="character" w:customStyle="1" w:styleId="210">
    <w:name w:val="不明显强调3"/>
    <w:autoRedefine/>
    <w:qFormat/>
    <w:uiPriority w:val="19"/>
    <w:rPr>
      <w:i/>
      <w:iCs/>
      <w:color w:val="808080"/>
    </w:rPr>
  </w:style>
  <w:style w:type="character" w:customStyle="1" w:styleId="211">
    <w:name w:val="规范正文 Char Char Char Char"/>
    <w:autoRedefine/>
    <w:qFormat/>
    <w:uiPriority w:val="0"/>
    <w:rPr>
      <w:rFonts w:eastAsia="宋体"/>
      <w:kern w:val="2"/>
      <w:sz w:val="24"/>
      <w:szCs w:val="24"/>
      <w:lang w:val="en-US" w:eastAsia="zh-CN" w:bidi="ar-SA"/>
    </w:rPr>
  </w:style>
  <w:style w:type="character" w:customStyle="1" w:styleId="212">
    <w:name w:val="+正文 Char Char2 Char Char Char"/>
    <w:link w:val="213"/>
    <w:autoRedefine/>
    <w:qFormat/>
    <w:uiPriority w:val="0"/>
    <w:rPr>
      <w:rFonts w:ascii="宋体" w:hAnsi="宋体"/>
      <w:sz w:val="24"/>
    </w:rPr>
  </w:style>
  <w:style w:type="paragraph" w:customStyle="1" w:styleId="213">
    <w:name w:val="+正文 Char Char2 Char"/>
    <w:basedOn w:val="1"/>
    <w:link w:val="212"/>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214">
    <w:name w:val="标题 Char2"/>
    <w:autoRedefine/>
    <w:qFormat/>
    <w:uiPriority w:val="10"/>
    <w:rPr>
      <w:rFonts w:ascii="Cambria" w:hAnsi="Cambria" w:eastAsia="宋体" w:cs="Times New Roman"/>
      <w:b/>
      <w:bCs/>
      <w:sz w:val="32"/>
      <w:szCs w:val="32"/>
    </w:rPr>
  </w:style>
  <w:style w:type="character" w:customStyle="1" w:styleId="215">
    <w:name w:val="+正文 Char Char3 Char Char Char"/>
    <w:autoRedefine/>
    <w:qFormat/>
    <w:locked/>
    <w:uiPriority w:val="0"/>
    <w:rPr>
      <w:rFonts w:ascii="宋体" w:hAnsi="宋体"/>
      <w:sz w:val="24"/>
      <w:szCs w:val="24"/>
    </w:rPr>
  </w:style>
  <w:style w:type="character" w:customStyle="1" w:styleId="216">
    <w:name w:val="批注文字 Char"/>
    <w:autoRedefine/>
    <w:qFormat/>
    <w:locked/>
    <w:uiPriority w:val="0"/>
    <w:rPr>
      <w:kern w:val="2"/>
      <w:sz w:val="21"/>
      <w:szCs w:val="24"/>
    </w:rPr>
  </w:style>
  <w:style w:type="character" w:customStyle="1" w:styleId="217">
    <w:name w:val="正文文本缩进 Char2"/>
    <w:autoRedefine/>
    <w:semiHidden/>
    <w:qFormat/>
    <w:uiPriority w:val="99"/>
    <w:rPr>
      <w:rFonts w:ascii="Times New Roman" w:hAnsi="Times New Roman" w:eastAsia="宋体" w:cs="Times New Roman"/>
      <w:szCs w:val="24"/>
    </w:rPr>
  </w:style>
  <w:style w:type="character" w:customStyle="1" w:styleId="218">
    <w:name w:val="引用 Char"/>
    <w:autoRedefine/>
    <w:qFormat/>
    <w:uiPriority w:val="0"/>
    <w:rPr>
      <w:rFonts w:ascii="Calibri" w:hAnsi="Calibri"/>
      <w:i/>
      <w:iCs/>
      <w:color w:val="000000"/>
      <w:sz w:val="22"/>
      <w:lang w:eastAsia="en-US" w:bidi="en-US"/>
    </w:rPr>
  </w:style>
  <w:style w:type="paragraph" w:styleId="219">
    <w:name w:val="Quote"/>
    <w:basedOn w:val="1"/>
    <w:next w:val="1"/>
    <w:link w:val="220"/>
    <w:autoRedefine/>
    <w:qFormat/>
    <w:uiPriority w:val="29"/>
    <w:pPr>
      <w:spacing w:after="200" w:line="276" w:lineRule="auto"/>
    </w:pPr>
    <w:rPr>
      <w:rFonts w:eastAsiaTheme="minorEastAsia" w:cstheme="minorBidi"/>
      <w:i/>
      <w:iCs/>
      <w:color w:val="000000"/>
      <w:sz w:val="22"/>
      <w:szCs w:val="22"/>
      <w:lang w:eastAsia="en-US" w:bidi="en-US"/>
    </w:rPr>
  </w:style>
  <w:style w:type="character" w:customStyle="1" w:styleId="220">
    <w:name w:val="引用 字符"/>
    <w:basedOn w:val="39"/>
    <w:link w:val="219"/>
    <w:autoRedefine/>
    <w:qFormat/>
    <w:uiPriority w:val="29"/>
    <w:rPr>
      <w:rFonts w:ascii="Calibri" w:hAnsi="Calibri"/>
      <w:i/>
      <w:iCs/>
      <w:color w:val="000000"/>
      <w:kern w:val="2"/>
      <w:sz w:val="22"/>
      <w:szCs w:val="22"/>
      <w:lang w:eastAsia="en-US" w:bidi="en-US"/>
    </w:rPr>
  </w:style>
  <w:style w:type="character" w:customStyle="1" w:styleId="221">
    <w:name w:val="明显参考2"/>
    <w:autoRedefine/>
    <w:qFormat/>
    <w:uiPriority w:val="32"/>
    <w:rPr>
      <w:b/>
      <w:bCs/>
      <w:smallCaps/>
      <w:color w:val="C0504D"/>
      <w:spacing w:val="5"/>
      <w:u w:val="single"/>
    </w:rPr>
  </w:style>
  <w:style w:type="character" w:customStyle="1" w:styleId="222">
    <w:name w:val="+标题3 Char Char"/>
    <w:link w:val="223"/>
    <w:autoRedefine/>
    <w:qFormat/>
    <w:uiPriority w:val="0"/>
    <w:rPr>
      <w:rFonts w:ascii="宋体" w:hAnsi="宋体"/>
      <w:b/>
      <w:sz w:val="32"/>
    </w:rPr>
  </w:style>
  <w:style w:type="paragraph" w:customStyle="1" w:styleId="223">
    <w:name w:val="+标题3 Char"/>
    <w:basedOn w:val="4"/>
    <w:link w:val="222"/>
    <w:autoRedefine/>
    <w:qFormat/>
    <w:uiPriority w:val="0"/>
    <w:pPr>
      <w:spacing w:line="360" w:lineRule="auto"/>
    </w:pPr>
    <w:rPr>
      <w:rFonts w:ascii="宋体" w:hAnsi="宋体" w:eastAsiaTheme="minorEastAsia" w:cstheme="minorBidi"/>
      <w:bCs w:val="0"/>
      <w:kern w:val="0"/>
      <w:szCs w:val="20"/>
    </w:rPr>
  </w:style>
  <w:style w:type="character" w:customStyle="1" w:styleId="224">
    <w:name w:val="页脚 Char1"/>
    <w:autoRedefine/>
    <w:semiHidden/>
    <w:qFormat/>
    <w:uiPriority w:val="0"/>
    <w:rPr>
      <w:rFonts w:ascii="Times New Roman" w:hAnsi="Times New Roman" w:eastAsia="宋体" w:cs="Times New Roman"/>
      <w:sz w:val="18"/>
      <w:szCs w:val="18"/>
    </w:rPr>
  </w:style>
  <w:style w:type="character" w:customStyle="1" w:styleId="225">
    <w:name w:val="批注主题 Char"/>
    <w:autoRedefine/>
    <w:qFormat/>
    <w:locked/>
    <w:uiPriority w:val="0"/>
    <w:rPr>
      <w:b/>
      <w:bCs/>
      <w:szCs w:val="24"/>
    </w:rPr>
  </w:style>
  <w:style w:type="character" w:customStyle="1" w:styleId="226">
    <w:name w:val="Char Char7"/>
    <w:autoRedefine/>
    <w:qFormat/>
    <w:locked/>
    <w:uiPriority w:val="0"/>
    <w:rPr>
      <w:rFonts w:ascii="宋体" w:hAnsi="Courier New" w:eastAsia="宋体"/>
      <w:b/>
      <w:kern w:val="2"/>
      <w:sz w:val="24"/>
      <w:szCs w:val="24"/>
      <w:lang w:val="en-US" w:eastAsia="zh-CN" w:bidi="ar-SA"/>
    </w:rPr>
  </w:style>
  <w:style w:type="character" w:customStyle="1" w:styleId="227">
    <w:name w:val="引用 Char1"/>
    <w:autoRedefine/>
    <w:qFormat/>
    <w:uiPriority w:val="29"/>
    <w:rPr>
      <w:rFonts w:ascii="Times New Roman" w:hAnsi="Times New Roman" w:eastAsia="宋体" w:cs="Times New Roman"/>
      <w:i/>
      <w:iCs/>
      <w:color w:val="000000"/>
      <w:szCs w:val="24"/>
    </w:rPr>
  </w:style>
  <w:style w:type="character" w:customStyle="1" w:styleId="228">
    <w:name w:val="批注文字 Char1"/>
    <w:autoRedefine/>
    <w:qFormat/>
    <w:uiPriority w:val="0"/>
    <w:rPr>
      <w:kern w:val="2"/>
      <w:sz w:val="21"/>
      <w:szCs w:val="24"/>
    </w:rPr>
  </w:style>
  <w:style w:type="character" w:customStyle="1" w:styleId="229">
    <w:name w:val="无间隔 字符"/>
    <w:link w:val="65"/>
    <w:autoRedefine/>
    <w:qFormat/>
    <w:uiPriority w:val="0"/>
    <w:rPr>
      <w:rFonts w:ascii="Calibri" w:hAnsi="Calibri" w:eastAsia="宋体" w:cs="Times New Roman"/>
      <w:kern w:val="2"/>
      <w:sz w:val="22"/>
      <w:szCs w:val="22"/>
      <w:lang w:eastAsia="en-US" w:bidi="en-US"/>
    </w:rPr>
  </w:style>
  <w:style w:type="character" w:customStyle="1" w:styleId="230">
    <w:name w:val="正文文本缩进 3 Char"/>
    <w:autoRedefine/>
    <w:qFormat/>
    <w:locked/>
    <w:uiPriority w:val="0"/>
    <w:rPr>
      <w:rFonts w:ascii="宋体" w:hAnsi="宋体"/>
      <w:sz w:val="24"/>
    </w:rPr>
  </w:style>
  <w:style w:type="character" w:customStyle="1" w:styleId="231">
    <w:name w:val="正文文本 2 Char1"/>
    <w:autoRedefine/>
    <w:semiHidden/>
    <w:qFormat/>
    <w:uiPriority w:val="99"/>
    <w:rPr>
      <w:rFonts w:ascii="Times New Roman" w:hAnsi="Times New Roman"/>
      <w:kern w:val="2"/>
      <w:sz w:val="21"/>
      <w:szCs w:val="24"/>
    </w:rPr>
  </w:style>
  <w:style w:type="character" w:customStyle="1" w:styleId="232">
    <w:name w:val="副标题 Char1"/>
    <w:autoRedefine/>
    <w:qFormat/>
    <w:uiPriority w:val="11"/>
    <w:rPr>
      <w:rFonts w:ascii="Cambria" w:hAnsi="Cambria" w:cs="Times New Roman"/>
      <w:b/>
      <w:bCs/>
      <w:kern w:val="28"/>
      <w:sz w:val="32"/>
      <w:szCs w:val="32"/>
    </w:rPr>
  </w:style>
  <w:style w:type="character" w:customStyle="1" w:styleId="233">
    <w:name w:val="HTML 预设格式 Char"/>
    <w:autoRedefine/>
    <w:qFormat/>
    <w:uiPriority w:val="0"/>
    <w:rPr>
      <w:rFonts w:ascii="Courier New" w:hAnsi="Courier New" w:cs="Courier New"/>
      <w:sz w:val="20"/>
      <w:szCs w:val="20"/>
    </w:rPr>
  </w:style>
  <w:style w:type="character" w:customStyle="1" w:styleId="234">
    <w:name w:val="副标题 Char2"/>
    <w:autoRedefine/>
    <w:qFormat/>
    <w:uiPriority w:val="11"/>
    <w:rPr>
      <w:rFonts w:ascii="Cambria" w:hAnsi="Cambria" w:eastAsia="宋体" w:cs="Times New Roman"/>
      <w:b/>
      <w:bCs/>
      <w:kern w:val="28"/>
      <w:sz w:val="32"/>
      <w:szCs w:val="32"/>
    </w:rPr>
  </w:style>
  <w:style w:type="character" w:customStyle="1" w:styleId="235">
    <w:name w:val="Char Char10"/>
    <w:autoRedefine/>
    <w:qFormat/>
    <w:locked/>
    <w:uiPriority w:val="0"/>
    <w:rPr>
      <w:rFonts w:ascii="仿宋_GB2312" w:eastAsia="仿宋_GB2312"/>
      <w:b/>
      <w:kern w:val="2"/>
      <w:sz w:val="24"/>
      <w:szCs w:val="24"/>
      <w:lang w:val="en-US" w:eastAsia="zh-CN" w:bidi="ar-SA"/>
    </w:rPr>
  </w:style>
  <w:style w:type="character" w:customStyle="1" w:styleId="236">
    <w:name w:val="even Char Char"/>
    <w:autoRedefine/>
    <w:qFormat/>
    <w:locked/>
    <w:uiPriority w:val="0"/>
    <w:rPr>
      <w:rFonts w:ascii="宋体" w:hAnsi="宋体" w:eastAsia="宋体"/>
      <w:b/>
      <w:kern w:val="2"/>
      <w:sz w:val="18"/>
      <w:szCs w:val="24"/>
      <w:lang w:val="en-US" w:eastAsia="zh-CN" w:bidi="ar-SA"/>
    </w:rPr>
  </w:style>
  <w:style w:type="character" w:customStyle="1" w:styleId="237">
    <w:name w:val="页脚 Char2"/>
    <w:basedOn w:val="39"/>
    <w:autoRedefine/>
    <w:semiHidden/>
    <w:qFormat/>
    <w:uiPriority w:val="99"/>
    <w:rPr>
      <w:kern w:val="2"/>
      <w:sz w:val="18"/>
      <w:szCs w:val="18"/>
    </w:rPr>
  </w:style>
  <w:style w:type="character" w:customStyle="1" w:styleId="238">
    <w:name w:val="页眉 Char2"/>
    <w:basedOn w:val="39"/>
    <w:autoRedefine/>
    <w:semiHidden/>
    <w:qFormat/>
    <w:uiPriority w:val="99"/>
    <w:rPr>
      <w:kern w:val="2"/>
      <w:sz w:val="18"/>
      <w:szCs w:val="18"/>
    </w:rPr>
  </w:style>
  <w:style w:type="paragraph" w:customStyle="1" w:styleId="239">
    <w:name w:val="xl10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b/>
      <w:bCs/>
      <w:kern w:val="0"/>
      <w:sz w:val="24"/>
    </w:rPr>
  </w:style>
  <w:style w:type="paragraph" w:customStyle="1" w:styleId="240">
    <w:name w:val="xl99"/>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b/>
      <w:bCs/>
      <w:kern w:val="0"/>
      <w:sz w:val="22"/>
      <w:szCs w:val="22"/>
    </w:rPr>
  </w:style>
  <w:style w:type="paragraph" w:customStyle="1" w:styleId="241">
    <w:name w:val="xl4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42">
    <w:name w:val="font8"/>
    <w:basedOn w:val="1"/>
    <w:autoRedefine/>
    <w:qFormat/>
    <w:uiPriority w:val="0"/>
    <w:pPr>
      <w:spacing w:before="100" w:beforeAutospacing="1" w:after="100" w:afterAutospacing="1"/>
    </w:pPr>
    <w:rPr>
      <w:rFonts w:hint="eastAsia" w:ascii="宋体" w:hAnsi="宋体"/>
      <w:b/>
      <w:bCs/>
      <w:kern w:val="0"/>
      <w:sz w:val="20"/>
      <w:szCs w:val="20"/>
    </w:rPr>
  </w:style>
  <w:style w:type="paragraph" w:customStyle="1" w:styleId="243">
    <w:name w:val="Char Char Char Char"/>
    <w:basedOn w:val="1"/>
    <w:next w:val="1"/>
    <w:autoRedefine/>
    <w:qFormat/>
    <w:uiPriority w:val="0"/>
    <w:pPr>
      <w:spacing w:after="160" w:line="240" w:lineRule="exact"/>
    </w:pPr>
    <w:rPr>
      <w:rFonts w:ascii="Verdana" w:hAnsi="Verdana"/>
      <w:kern w:val="0"/>
      <w:sz w:val="20"/>
      <w:szCs w:val="20"/>
      <w:lang w:eastAsia="en-US"/>
    </w:rPr>
  </w:style>
  <w:style w:type="paragraph" w:customStyle="1" w:styleId="244">
    <w:name w:val="引用3"/>
    <w:basedOn w:val="1"/>
    <w:next w:val="1"/>
    <w:autoRedefine/>
    <w:qFormat/>
    <w:uiPriority w:val="0"/>
    <w:rPr>
      <w:i/>
      <w:iCs/>
      <w:color w:val="000000"/>
      <w:kern w:val="0"/>
      <w:sz w:val="22"/>
      <w:szCs w:val="22"/>
      <w:lang w:eastAsia="en-US" w:bidi="en-US"/>
    </w:rPr>
  </w:style>
  <w:style w:type="paragraph" w:customStyle="1" w:styleId="245">
    <w:name w:val="xl2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46">
    <w:name w:val="xl51"/>
    <w:basedOn w:val="1"/>
    <w:autoRedefine/>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kern w:val="0"/>
      <w:sz w:val="20"/>
      <w:szCs w:val="20"/>
    </w:rPr>
  </w:style>
  <w:style w:type="paragraph" w:customStyle="1" w:styleId="247">
    <w:name w:val="+列表1"/>
    <w:basedOn w:val="1"/>
    <w:autoRedefine/>
    <w:qFormat/>
    <w:uiPriority w:val="0"/>
    <w:rPr>
      <w:rFonts w:ascii="Times New Roman" w:hAnsi="Times New Roman"/>
    </w:rPr>
  </w:style>
  <w:style w:type="paragraph" w:customStyle="1" w:styleId="248">
    <w:name w:val="xl3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Narrow" w:hAnsi="Arial Narrow"/>
      <w:kern w:val="0"/>
      <w:sz w:val="20"/>
      <w:szCs w:val="20"/>
    </w:rPr>
  </w:style>
  <w:style w:type="paragraph" w:customStyle="1" w:styleId="249">
    <w:name w:val="xl2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50">
    <w:name w:val="font11"/>
    <w:basedOn w:val="1"/>
    <w:autoRedefine/>
    <w:qFormat/>
    <w:uiPriority w:val="0"/>
    <w:pPr>
      <w:spacing w:before="100" w:beforeAutospacing="1" w:after="100" w:afterAutospacing="1"/>
    </w:pPr>
    <w:rPr>
      <w:rFonts w:hint="eastAsia" w:ascii="宋体" w:hAnsi="宋体"/>
      <w:kern w:val="0"/>
      <w:sz w:val="20"/>
      <w:szCs w:val="20"/>
    </w:rPr>
  </w:style>
  <w:style w:type="paragraph" w:customStyle="1" w:styleId="251">
    <w:name w:val="正文文本 23"/>
    <w:basedOn w:val="1"/>
    <w:autoRedefine/>
    <w:qFormat/>
    <w:uiPriority w:val="0"/>
    <w:rPr>
      <w:rFonts w:ascii="宋体" w:hAnsi="Times New Roman"/>
      <w:i/>
      <w:sz w:val="28"/>
      <w:szCs w:val="20"/>
    </w:rPr>
  </w:style>
  <w:style w:type="paragraph" w:customStyle="1" w:styleId="252">
    <w:name w:val="规范正文 Char Char"/>
    <w:basedOn w:val="1"/>
    <w:autoRedefine/>
    <w:qFormat/>
    <w:uiPriority w:val="0"/>
    <w:pPr>
      <w:spacing w:line="360" w:lineRule="auto"/>
      <w:ind w:left="227" w:firstLine="454"/>
      <w:textAlignment w:val="baseline"/>
    </w:pPr>
    <w:rPr>
      <w:rFonts w:ascii="Times New Roman" w:hAnsi="Times New Roman"/>
      <w:kern w:val="0"/>
      <w:sz w:val="24"/>
      <w:szCs w:val="20"/>
    </w:rPr>
  </w:style>
  <w:style w:type="paragraph" w:customStyle="1" w:styleId="253">
    <w:name w:val="xl49"/>
    <w:basedOn w:val="1"/>
    <w:autoRedefine/>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kern w:val="0"/>
      <w:sz w:val="20"/>
      <w:szCs w:val="20"/>
    </w:rPr>
  </w:style>
  <w:style w:type="paragraph" w:customStyle="1" w:styleId="254">
    <w:name w:val="IBM 正文"/>
    <w:basedOn w:val="1"/>
    <w:autoRedefine/>
    <w:qFormat/>
    <w:uiPriority w:val="0"/>
    <w:pPr>
      <w:spacing w:line="400" w:lineRule="exact"/>
    </w:pPr>
    <w:rPr>
      <w:rFonts w:ascii="Times New Roman" w:hAnsi="Times New Roman"/>
      <w:spacing w:val="20"/>
      <w:sz w:val="24"/>
    </w:rPr>
  </w:style>
  <w:style w:type="paragraph" w:customStyle="1" w:styleId="255">
    <w:name w:val="msoplaintextcxspmiddle"/>
    <w:basedOn w:val="1"/>
    <w:autoRedefine/>
    <w:qFormat/>
    <w:uiPriority w:val="0"/>
    <w:pPr>
      <w:spacing w:before="100" w:after="100"/>
    </w:pPr>
    <w:rPr>
      <w:rFonts w:ascii="宋体" w:hAnsi="宋体"/>
      <w:b/>
      <w:color w:val="000000"/>
      <w:kern w:val="0"/>
      <w:sz w:val="18"/>
    </w:rPr>
  </w:style>
  <w:style w:type="paragraph" w:customStyle="1" w:styleId="256">
    <w:name w:val="xl96"/>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2"/>
      <w:szCs w:val="22"/>
    </w:rPr>
  </w:style>
  <w:style w:type="paragraph" w:customStyle="1" w:styleId="257">
    <w:name w:val="无间隔2"/>
    <w:basedOn w:val="1"/>
    <w:autoRedefine/>
    <w:qFormat/>
    <w:uiPriority w:val="0"/>
    <w:rPr>
      <w:rFonts w:ascii="宋体" w:hAnsi="宋体"/>
      <w:kern w:val="0"/>
      <w:sz w:val="24"/>
      <w:szCs w:val="32"/>
      <w:lang w:eastAsia="en-US" w:bidi="en-US"/>
    </w:rPr>
  </w:style>
  <w:style w:type="paragraph" w:customStyle="1" w:styleId="258">
    <w:name w:val="Default Text"/>
    <w:basedOn w:val="1"/>
    <w:qFormat/>
    <w:uiPriority w:val="0"/>
    <w:pPr>
      <w:overflowPunct w:val="0"/>
      <w:autoSpaceDE w:val="0"/>
      <w:autoSpaceDN w:val="0"/>
      <w:textAlignment w:val="baseline"/>
    </w:pPr>
    <w:rPr>
      <w:rFonts w:ascii="Times New Roman" w:hAnsi="Times New Roman" w:eastAsia="仿宋_GB2312"/>
      <w:kern w:val="0"/>
      <w:sz w:val="24"/>
      <w:szCs w:val="20"/>
      <w:lang w:val="en-GB"/>
    </w:rPr>
  </w:style>
  <w:style w:type="paragraph" w:customStyle="1" w:styleId="259">
    <w:name w:val="Char Char11"/>
    <w:basedOn w:val="1"/>
    <w:autoRedefine/>
    <w:qFormat/>
    <w:uiPriority w:val="0"/>
    <w:pPr>
      <w:spacing w:before="312" w:after="160" w:line="240" w:lineRule="exact"/>
    </w:pPr>
    <w:rPr>
      <w:rFonts w:ascii="Verdana" w:hAnsi="Verdana" w:cs="Verdana"/>
      <w:b/>
      <w:kern w:val="0"/>
      <w:sz w:val="20"/>
      <w:lang w:eastAsia="en-US"/>
    </w:rPr>
  </w:style>
  <w:style w:type="paragraph" w:customStyle="1" w:styleId="260">
    <w:name w:val="msoplaintextcxsplast"/>
    <w:basedOn w:val="1"/>
    <w:autoRedefine/>
    <w:qFormat/>
    <w:uiPriority w:val="0"/>
    <w:pPr>
      <w:spacing w:before="100" w:after="100"/>
    </w:pPr>
    <w:rPr>
      <w:rFonts w:ascii="宋体" w:hAnsi="宋体"/>
      <w:b/>
      <w:color w:val="000000"/>
      <w:kern w:val="0"/>
      <w:sz w:val="18"/>
    </w:rPr>
  </w:style>
  <w:style w:type="paragraph" w:customStyle="1" w:styleId="261">
    <w:name w:val="xl3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262">
    <w:name w:val="一级条标题"/>
    <w:basedOn w:val="1"/>
    <w:next w:val="1"/>
    <w:autoRedefine/>
    <w:qFormat/>
    <w:uiPriority w:val="0"/>
    <w:pPr>
      <w:numPr>
        <w:ilvl w:val="2"/>
        <w:numId w:val="2"/>
      </w:numPr>
      <w:outlineLvl w:val="2"/>
    </w:pPr>
    <w:rPr>
      <w:rFonts w:ascii="黑体" w:hAnsi="Times New Roman" w:eastAsia="黑体"/>
      <w:kern w:val="0"/>
      <w:sz w:val="24"/>
      <w:szCs w:val="20"/>
    </w:rPr>
  </w:style>
  <w:style w:type="paragraph" w:customStyle="1" w:styleId="263">
    <w:name w:val="xl56"/>
    <w:basedOn w:val="1"/>
    <w:autoRedefine/>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Times New Roman" w:hAnsi="Times New Roman"/>
      <w:kern w:val="0"/>
      <w:sz w:val="20"/>
      <w:szCs w:val="20"/>
    </w:rPr>
  </w:style>
  <w:style w:type="paragraph" w:customStyle="1" w:styleId="264">
    <w:name w:val="样式 标题 2标题 1.1编号标题21.1head:2#2 headlinehheadlineS&amp;R2ERMH...1"/>
    <w:basedOn w:val="3"/>
    <w:autoRedefine/>
    <w:qFormat/>
    <w:uiPriority w:val="0"/>
    <w:pPr>
      <w:tabs>
        <w:tab w:val="left" w:pos="576"/>
      </w:tabs>
      <w:spacing w:before="0" w:after="0" w:line="360" w:lineRule="atLeast"/>
      <w:ind w:left="576" w:hanging="576"/>
    </w:pPr>
    <w:rPr>
      <w:rFonts w:ascii="Times New Roman" w:hAnsi="Times New Roman" w:eastAsia="黑体" w:cs="Times New Roman"/>
      <w:sz w:val="28"/>
    </w:rPr>
  </w:style>
  <w:style w:type="paragraph" w:customStyle="1" w:styleId="265">
    <w:name w:val="Char Char"/>
    <w:basedOn w:val="1"/>
    <w:autoRedefine/>
    <w:qFormat/>
    <w:uiPriority w:val="0"/>
    <w:pPr>
      <w:spacing w:after="160" w:line="240" w:lineRule="exact"/>
    </w:pPr>
    <w:rPr>
      <w:rFonts w:ascii="Verdana" w:hAnsi="Verdana" w:cs="Verdana"/>
      <w:kern w:val="0"/>
      <w:sz w:val="20"/>
      <w:szCs w:val="20"/>
      <w:lang w:eastAsia="en-US"/>
    </w:rPr>
  </w:style>
  <w:style w:type="paragraph" w:customStyle="1" w:styleId="266">
    <w:name w:val="msonormalcxspmiddle"/>
    <w:basedOn w:val="1"/>
    <w:autoRedefine/>
    <w:qFormat/>
    <w:uiPriority w:val="0"/>
    <w:pPr>
      <w:spacing w:before="100" w:beforeAutospacing="1" w:after="100" w:afterAutospacing="1"/>
    </w:pPr>
    <w:rPr>
      <w:rFonts w:ascii="宋体" w:hAnsi="宋体" w:cs="宋体"/>
      <w:kern w:val="0"/>
      <w:sz w:val="24"/>
    </w:rPr>
  </w:style>
  <w:style w:type="paragraph" w:customStyle="1" w:styleId="267">
    <w:name w:val="列出段落1"/>
    <w:basedOn w:val="1"/>
    <w:autoRedefine/>
    <w:qFormat/>
    <w:uiPriority w:val="0"/>
    <w:pPr>
      <w:ind w:firstLine="420" w:firstLineChars="200"/>
    </w:pPr>
    <w:rPr>
      <w:rFonts w:ascii="Times New Roman" w:hAnsi="Times New Roman"/>
      <w:szCs w:val="20"/>
    </w:rPr>
  </w:style>
  <w:style w:type="paragraph" w:customStyle="1" w:styleId="268">
    <w:name w:val="样式4"/>
    <w:basedOn w:val="1"/>
    <w:autoRedefine/>
    <w:qFormat/>
    <w:uiPriority w:val="0"/>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69">
    <w:name w:val="引用2"/>
    <w:basedOn w:val="1"/>
    <w:next w:val="1"/>
    <w:autoRedefine/>
    <w:qFormat/>
    <w:uiPriority w:val="0"/>
    <w:rPr>
      <w:i/>
      <w:iCs/>
      <w:color w:val="000000"/>
      <w:kern w:val="0"/>
      <w:sz w:val="22"/>
      <w:szCs w:val="22"/>
      <w:lang w:eastAsia="en-US" w:bidi="en-US"/>
    </w:rPr>
  </w:style>
  <w:style w:type="paragraph" w:customStyle="1" w:styleId="270">
    <w:name w:val="xl42"/>
    <w:basedOn w:val="1"/>
    <w:autoRedefine/>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71">
    <w:name w:val="样式 标题 2标题 1.1编号标题21.1head:2#2 headlinehheadlineS&amp;R2ERMH..."/>
    <w:basedOn w:val="3"/>
    <w:autoRedefine/>
    <w:qFormat/>
    <w:uiPriority w:val="0"/>
    <w:pPr>
      <w:tabs>
        <w:tab w:val="left" w:pos="576"/>
      </w:tabs>
      <w:spacing w:before="0" w:after="0" w:line="360" w:lineRule="atLeast"/>
      <w:ind w:left="576" w:hanging="576"/>
      <w:outlineLvl w:val="2"/>
    </w:pPr>
    <w:rPr>
      <w:rFonts w:ascii="Times New Roman" w:hAnsi="Times New Roman" w:eastAsia="宋体" w:cs="Times New Roman"/>
      <w:b w:val="0"/>
      <w:bCs w:val="0"/>
      <w:kern w:val="0"/>
      <w:sz w:val="28"/>
      <w:szCs w:val="24"/>
    </w:rPr>
  </w:style>
  <w:style w:type="paragraph" w:customStyle="1" w:styleId="272">
    <w:name w:val="xl94"/>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b/>
      <w:bCs/>
      <w:kern w:val="0"/>
      <w:szCs w:val="21"/>
    </w:rPr>
  </w:style>
  <w:style w:type="paragraph" w:customStyle="1" w:styleId="273">
    <w:name w:val="样式 标题 4 + 左侧:  0 厘米 悬挂缩进: 8.64 字符 行距: 最小值 18.8 磅"/>
    <w:basedOn w:val="5"/>
    <w:autoRedefine/>
    <w:qFormat/>
    <w:uiPriority w:val="0"/>
    <w:pPr>
      <w:keepLines/>
      <w:numPr>
        <w:ilvl w:val="0"/>
        <w:numId w:val="0"/>
      </w:numPr>
      <w:spacing w:before="120" w:after="120"/>
      <w:ind w:left="862" w:hanging="862"/>
    </w:pPr>
    <w:rPr>
      <w:rFonts w:ascii="Arial"/>
      <w:bCs/>
      <w:kern w:val="2"/>
      <w:szCs w:val="24"/>
    </w:rPr>
  </w:style>
  <w:style w:type="paragraph" w:customStyle="1" w:styleId="274">
    <w:name w:val="Char Char3"/>
    <w:basedOn w:val="1"/>
    <w:next w:val="17"/>
    <w:autoRedefine/>
    <w:qFormat/>
    <w:uiPriority w:val="0"/>
    <w:pPr>
      <w:spacing w:line="360" w:lineRule="auto"/>
      <w:ind w:left="-360" w:firstLine="570"/>
    </w:pPr>
    <w:rPr>
      <w:rFonts w:ascii="仿宋_GB2312" w:hAnsi="Times New Roman" w:eastAsia="仿宋_GB2312"/>
      <w:b/>
      <w:sz w:val="24"/>
      <w:szCs w:val="20"/>
    </w:rPr>
  </w:style>
  <w:style w:type="paragraph" w:customStyle="1" w:styleId="275">
    <w:name w:val="Char"/>
    <w:basedOn w:val="1"/>
    <w:next w:val="1"/>
    <w:autoRedefine/>
    <w:qFormat/>
    <w:uiPriority w:val="0"/>
    <w:pPr>
      <w:spacing w:after="160" w:line="240" w:lineRule="exact"/>
    </w:pPr>
    <w:rPr>
      <w:rFonts w:ascii="Verdana" w:hAnsi="Verdana"/>
      <w:kern w:val="0"/>
      <w:sz w:val="20"/>
      <w:szCs w:val="20"/>
      <w:lang w:eastAsia="en-US"/>
    </w:rPr>
  </w:style>
  <w:style w:type="paragraph" w:customStyle="1" w:styleId="276">
    <w:name w:val="默认段落字体 Para Char Char Char Char"/>
    <w:basedOn w:val="1"/>
    <w:autoRedefine/>
    <w:qFormat/>
    <w:uiPriority w:val="0"/>
    <w:rPr>
      <w:rFonts w:ascii="Times New Roman" w:hAnsi="Times New Roman"/>
    </w:rPr>
  </w:style>
  <w:style w:type="paragraph" w:customStyle="1" w:styleId="277">
    <w:name w:val="xl59"/>
    <w:basedOn w:val="1"/>
    <w:autoRedefine/>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78">
    <w:name w:val="正文文本 22"/>
    <w:basedOn w:val="1"/>
    <w:autoRedefine/>
    <w:qFormat/>
    <w:uiPriority w:val="0"/>
    <w:rPr>
      <w:rFonts w:ascii="宋体" w:hAnsi="Times New Roman"/>
      <w:i/>
      <w:sz w:val="28"/>
      <w:szCs w:val="20"/>
    </w:rPr>
  </w:style>
  <w:style w:type="paragraph" w:customStyle="1" w:styleId="279">
    <w:name w:val="xl48"/>
    <w:basedOn w:val="1"/>
    <w:autoRedefine/>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280">
    <w:name w:val="列出段落3"/>
    <w:basedOn w:val="1"/>
    <w:autoRedefine/>
    <w:qFormat/>
    <w:uiPriority w:val="0"/>
    <w:pPr>
      <w:ind w:firstLine="420" w:firstLineChars="200"/>
    </w:pPr>
    <w:rPr>
      <w:rFonts w:ascii="Times New Roman" w:hAnsi="Times New Roman"/>
      <w:szCs w:val="20"/>
    </w:rPr>
  </w:style>
  <w:style w:type="paragraph" w:customStyle="1" w:styleId="281">
    <w:name w:val="xl44"/>
    <w:basedOn w:val="1"/>
    <w:autoRedefine/>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82">
    <w:name w:val="acxsplast"/>
    <w:basedOn w:val="1"/>
    <w:autoRedefine/>
    <w:qFormat/>
    <w:uiPriority w:val="0"/>
    <w:pPr>
      <w:spacing w:before="100" w:beforeAutospacing="1" w:after="100" w:afterAutospacing="1"/>
    </w:pPr>
    <w:rPr>
      <w:rFonts w:ascii="宋体" w:hAnsi="宋体" w:cs="宋体"/>
      <w:kern w:val="0"/>
      <w:sz w:val="24"/>
    </w:rPr>
  </w:style>
  <w:style w:type="paragraph" w:customStyle="1" w:styleId="283">
    <w:name w:val="样式 标题 3 + (中文) 黑体 小四 非加粗 段前: 7.8 磅 段后: 0 磅 行距: 固定值 20 磅"/>
    <w:basedOn w:val="4"/>
    <w:autoRedefine/>
    <w:qFormat/>
    <w:uiPriority w:val="0"/>
    <w:pPr>
      <w:spacing w:before="0" w:after="0" w:line="400" w:lineRule="exact"/>
    </w:pPr>
    <w:rPr>
      <w:rFonts w:eastAsia="黑体" w:cs="宋体"/>
      <w:b w:val="0"/>
      <w:bCs w:val="0"/>
      <w:sz w:val="24"/>
      <w:szCs w:val="20"/>
    </w:rPr>
  </w:style>
  <w:style w:type="paragraph" w:customStyle="1" w:styleId="284">
    <w:name w:val="xl3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85">
    <w:name w:val="xl103"/>
    <w:basedOn w:val="1"/>
    <w:autoRedefine/>
    <w:qFormat/>
    <w:uiPriority w:val="0"/>
    <w:pPr>
      <w:pBdr>
        <w:top w:val="single" w:color="auto" w:sz="4" w:space="0"/>
        <w:left w:val="single" w:color="auto" w:sz="4" w:space="0"/>
        <w:bottom w:val="single" w:color="auto" w:sz="4" w:space="0"/>
      </w:pBdr>
      <w:shd w:val="clear" w:color="000000" w:fill="FFFFFF"/>
      <w:spacing w:before="100" w:beforeAutospacing="1" w:after="100" w:afterAutospacing="1"/>
    </w:pPr>
    <w:rPr>
      <w:rFonts w:ascii="宋体" w:hAnsi="宋体" w:cs="宋体"/>
      <w:kern w:val="0"/>
      <w:sz w:val="24"/>
    </w:rPr>
  </w:style>
  <w:style w:type="paragraph" w:customStyle="1" w:styleId="286">
    <w:name w:val="Char Char5"/>
    <w:basedOn w:val="1"/>
    <w:autoRedefine/>
    <w:qFormat/>
    <w:uiPriority w:val="0"/>
    <w:pPr>
      <w:spacing w:after="160" w:line="240" w:lineRule="exact"/>
    </w:pPr>
    <w:rPr>
      <w:rFonts w:ascii="Verdana" w:hAnsi="Verdana" w:cs="Verdana"/>
      <w:kern w:val="0"/>
      <w:sz w:val="20"/>
      <w:szCs w:val="20"/>
      <w:lang w:eastAsia="en-US"/>
    </w:rPr>
  </w:style>
  <w:style w:type="paragraph" w:customStyle="1" w:styleId="287">
    <w:name w:val="表格"/>
    <w:basedOn w:val="1"/>
    <w:autoRedefine/>
    <w:qFormat/>
    <w:uiPriority w:val="0"/>
    <w:pPr>
      <w:tabs>
        <w:tab w:val="left" w:pos="1080"/>
      </w:tabs>
    </w:pPr>
    <w:rPr>
      <w:rFonts w:ascii="Times New Roman" w:hAnsi="Times New Roman"/>
      <w:szCs w:val="21"/>
    </w:rPr>
  </w:style>
  <w:style w:type="paragraph" w:customStyle="1" w:styleId="288">
    <w:name w:val="TOC 标题2"/>
    <w:basedOn w:val="2"/>
    <w:next w:val="1"/>
    <w:autoRedefine/>
    <w:qFormat/>
    <w:uiPriority w:val="39"/>
    <w:pPr>
      <w:spacing w:before="480" w:after="0" w:line="276" w:lineRule="auto"/>
      <w:outlineLvl w:val="9"/>
    </w:pPr>
    <w:rPr>
      <w:rFonts w:ascii="Cambria" w:hAnsi="Cambria"/>
      <w:bCs/>
      <w:color w:val="365F91"/>
      <w:kern w:val="0"/>
      <w:sz w:val="28"/>
      <w:szCs w:val="28"/>
      <w:lang w:val="en-US" w:eastAsia="en-US" w:bidi="en-US"/>
    </w:rPr>
  </w:style>
  <w:style w:type="paragraph" w:customStyle="1" w:styleId="289">
    <w:name w:val="四号楷体缩进2"/>
    <w:basedOn w:val="1"/>
    <w:autoRedefine/>
    <w:qFormat/>
    <w:uiPriority w:val="0"/>
    <w:pPr>
      <w:spacing w:line="520" w:lineRule="exact"/>
      <w:ind w:firstLine="200" w:firstLineChars="200"/>
    </w:pPr>
    <w:rPr>
      <w:rFonts w:ascii="Times New Roman" w:hAnsi="Times New Roman" w:eastAsia="楷体_GB2312"/>
      <w:sz w:val="28"/>
      <w:szCs w:val="28"/>
    </w:rPr>
  </w:style>
  <w:style w:type="paragraph" w:customStyle="1" w:styleId="290">
    <w:name w:val="xl3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91">
    <w:name w:val="bb"/>
    <w:basedOn w:val="1"/>
    <w:autoRedefine/>
    <w:qFormat/>
    <w:uiPriority w:val="34"/>
    <w:pPr>
      <w:spacing w:before="100" w:beforeAutospacing="1" w:after="100" w:afterAutospacing="1"/>
    </w:pPr>
    <w:rPr>
      <w:rFonts w:ascii="宋体" w:hAnsi="宋体" w:cs="宋体"/>
      <w:b/>
      <w:bCs/>
      <w:color w:val="990000"/>
      <w:kern w:val="0"/>
      <w:szCs w:val="21"/>
    </w:rPr>
  </w:style>
  <w:style w:type="paragraph" w:customStyle="1" w:styleId="292">
    <w:name w:val="明显引用2"/>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293">
    <w:name w:val="xl57"/>
    <w:basedOn w:val="1"/>
    <w:autoRedefine/>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94">
    <w:name w:val="+列表2"/>
    <w:basedOn w:val="1"/>
    <w:autoRedefine/>
    <w:qFormat/>
    <w:uiPriority w:val="0"/>
    <w:rPr>
      <w:rFonts w:ascii="Times New Roman" w:hAnsi="Times New Roman"/>
      <w:sz w:val="18"/>
      <w:szCs w:val="21"/>
    </w:rPr>
  </w:style>
  <w:style w:type="paragraph" w:customStyle="1" w:styleId="295">
    <w:name w:val="xl3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296">
    <w:name w:val="xl62"/>
    <w:basedOn w:val="1"/>
    <w:autoRedefine/>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宋体" w:hAnsi="宋体"/>
      <w:kern w:val="0"/>
      <w:sz w:val="20"/>
      <w:szCs w:val="20"/>
    </w:rPr>
  </w:style>
  <w:style w:type="paragraph" w:customStyle="1" w:styleId="297">
    <w:name w:val="xl52"/>
    <w:basedOn w:val="1"/>
    <w:autoRedefine/>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rFonts w:ascii="宋体" w:hAnsi="宋体"/>
      <w:kern w:val="0"/>
      <w:sz w:val="20"/>
      <w:szCs w:val="20"/>
    </w:rPr>
  </w:style>
  <w:style w:type="paragraph" w:customStyle="1" w:styleId="298">
    <w:name w:val="xl4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299">
    <w:name w:val="TOC 标题1"/>
    <w:basedOn w:val="2"/>
    <w:next w:val="1"/>
    <w:autoRedefine/>
    <w:qFormat/>
    <w:uiPriority w:val="39"/>
    <w:pPr>
      <w:spacing w:before="480" w:after="0" w:line="276" w:lineRule="auto"/>
      <w:outlineLvl w:val="9"/>
    </w:pPr>
    <w:rPr>
      <w:rFonts w:ascii="Cambria" w:hAnsi="Cambria"/>
      <w:bCs/>
      <w:color w:val="365F91"/>
      <w:kern w:val="0"/>
      <w:sz w:val="28"/>
      <w:szCs w:val="28"/>
      <w:lang w:val="en-US" w:eastAsia="en-US" w:bidi="en-US"/>
    </w:rPr>
  </w:style>
  <w:style w:type="paragraph" w:customStyle="1" w:styleId="300">
    <w:name w:val="无间隔1"/>
    <w:basedOn w:val="1"/>
    <w:autoRedefine/>
    <w:qFormat/>
    <w:uiPriority w:val="0"/>
    <w:rPr>
      <w:rFonts w:ascii="宋体" w:hAnsi="宋体"/>
      <w:sz w:val="24"/>
      <w:szCs w:val="32"/>
      <w:lang w:eastAsia="en-US" w:bidi="en-US"/>
    </w:rPr>
  </w:style>
  <w:style w:type="paragraph" w:customStyle="1" w:styleId="301">
    <w:name w:val="样式1"/>
    <w:basedOn w:val="1"/>
    <w:autoRedefine/>
    <w:qFormat/>
    <w:uiPriority w:val="0"/>
    <w:pPr>
      <w:tabs>
        <w:tab w:val="left" w:pos="547"/>
        <w:tab w:val="left" w:pos="1080"/>
      </w:tabs>
      <w:spacing w:line="480" w:lineRule="atLeast"/>
    </w:pPr>
    <w:rPr>
      <w:rFonts w:ascii="Times New Roman" w:hAnsi="Times New Roman" w:eastAsia="黑体"/>
      <w:b/>
      <w:sz w:val="44"/>
    </w:rPr>
  </w:style>
  <w:style w:type="paragraph" w:customStyle="1" w:styleId="302">
    <w:name w:val="四号楷体"/>
    <w:autoRedefine/>
    <w:qFormat/>
    <w:uiPriority w:val="0"/>
    <w:pPr>
      <w:spacing w:line="560" w:lineRule="exact"/>
      <w:jc w:val="both"/>
    </w:pPr>
    <w:rPr>
      <w:rFonts w:ascii="Times New Roman" w:hAnsi="Times New Roman" w:eastAsia="楷体_GB2312" w:cs="Times New Roman"/>
      <w:kern w:val="2"/>
      <w:sz w:val="28"/>
      <w:szCs w:val="28"/>
      <w:lang w:val="en-US" w:eastAsia="zh-CN" w:bidi="ar-SA"/>
    </w:rPr>
  </w:style>
  <w:style w:type="paragraph" w:customStyle="1" w:styleId="303">
    <w:name w:val="font7"/>
    <w:basedOn w:val="1"/>
    <w:autoRedefine/>
    <w:qFormat/>
    <w:uiPriority w:val="0"/>
    <w:pPr>
      <w:spacing w:before="100" w:beforeAutospacing="1" w:after="100" w:afterAutospacing="1"/>
    </w:pPr>
    <w:rPr>
      <w:rFonts w:ascii="Times New Roman" w:hAnsi="Times New Roman"/>
      <w:kern w:val="0"/>
      <w:sz w:val="20"/>
      <w:szCs w:val="20"/>
    </w:rPr>
  </w:style>
  <w:style w:type="paragraph" w:customStyle="1" w:styleId="304">
    <w:name w:val="a3cxspmiddle"/>
    <w:basedOn w:val="1"/>
    <w:autoRedefine/>
    <w:qFormat/>
    <w:uiPriority w:val="0"/>
    <w:pPr>
      <w:spacing w:before="100" w:after="100"/>
    </w:pPr>
    <w:rPr>
      <w:rFonts w:ascii="宋体" w:hAnsi="宋体"/>
      <w:b/>
      <w:color w:val="000000"/>
      <w:kern w:val="0"/>
      <w:sz w:val="18"/>
    </w:rPr>
  </w:style>
  <w:style w:type="paragraph" w:customStyle="1" w:styleId="305">
    <w:name w:val="样式 标题 4标题4样式标题 4，标题4样式 + 段前: 0 磅"/>
    <w:basedOn w:val="5"/>
    <w:autoRedefine/>
    <w:qFormat/>
    <w:uiPriority w:val="0"/>
    <w:pPr>
      <w:numPr>
        <w:ilvl w:val="0"/>
        <w:numId w:val="0"/>
      </w:numPr>
      <w:tabs>
        <w:tab w:val="left" w:pos="864"/>
      </w:tabs>
      <w:spacing w:before="0" w:after="0"/>
      <w:ind w:left="851" w:hanging="851"/>
    </w:pPr>
    <w:rPr>
      <w:rFonts w:hAnsi="Times New Roman" w:cs="宋体"/>
      <w:bCs/>
      <w:kern w:val="2"/>
      <w:szCs w:val="24"/>
    </w:rPr>
  </w:style>
  <w:style w:type="paragraph" w:customStyle="1" w:styleId="306">
    <w:name w:val="明显引用3"/>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07">
    <w:name w:val="xl2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08">
    <w:name w:val="无间隔3"/>
    <w:basedOn w:val="1"/>
    <w:autoRedefine/>
    <w:qFormat/>
    <w:uiPriority w:val="0"/>
    <w:rPr>
      <w:rFonts w:ascii="宋体" w:hAnsi="宋体"/>
      <w:kern w:val="0"/>
      <w:sz w:val="24"/>
      <w:szCs w:val="32"/>
      <w:lang w:eastAsia="en-US" w:bidi="en-US"/>
    </w:rPr>
  </w:style>
  <w:style w:type="paragraph" w:customStyle="1" w:styleId="309">
    <w:name w:val="xl53"/>
    <w:basedOn w:val="1"/>
    <w:autoRedefine/>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10">
    <w:name w:val="font12"/>
    <w:basedOn w:val="1"/>
    <w:autoRedefine/>
    <w:qFormat/>
    <w:uiPriority w:val="0"/>
    <w:pPr>
      <w:spacing w:before="100" w:beforeAutospacing="1" w:after="100" w:afterAutospacing="1"/>
    </w:pPr>
    <w:rPr>
      <w:rFonts w:ascii="Times New Roman" w:hAnsi="Times New Roman"/>
      <w:kern w:val="0"/>
      <w:sz w:val="20"/>
      <w:szCs w:val="20"/>
    </w:rPr>
  </w:style>
  <w:style w:type="paragraph" w:customStyle="1" w:styleId="311">
    <w:name w:val="Char Char1 Char Char Char Char Char1 Char Char Char Char"/>
    <w:basedOn w:val="13"/>
    <w:autoRedefine/>
    <w:qFormat/>
    <w:uiPriority w:val="0"/>
    <w:rPr>
      <w:rFonts w:ascii="Tahoma" w:hAnsi="Tahoma" w:eastAsia="仿宋_GB2312"/>
      <w:sz w:val="30"/>
      <w:szCs w:val="30"/>
    </w:rPr>
  </w:style>
  <w:style w:type="paragraph" w:customStyle="1" w:styleId="312">
    <w:name w:val="xl2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13">
    <w:name w:val="xl5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14">
    <w:name w:val="样式2"/>
    <w:basedOn w:val="1"/>
    <w:autoRedefine/>
    <w:qFormat/>
    <w:uiPriority w:val="0"/>
    <w:pPr>
      <w:tabs>
        <w:tab w:val="left" w:pos="425"/>
        <w:tab w:val="left" w:pos="547"/>
        <w:tab w:val="left" w:pos="1050"/>
        <w:tab w:val="left" w:pos="1080"/>
        <w:tab w:val="left" w:pos="1275"/>
      </w:tabs>
      <w:spacing w:line="360" w:lineRule="auto"/>
      <w:ind w:left="1275" w:hanging="705"/>
    </w:pPr>
    <w:rPr>
      <w:rFonts w:ascii="Times New Roman" w:hAnsi="Times New Roman" w:eastAsia="仿宋_GB2312"/>
      <w:sz w:val="24"/>
    </w:rPr>
  </w:style>
  <w:style w:type="paragraph" w:customStyle="1" w:styleId="315">
    <w:name w:val="xl50"/>
    <w:basedOn w:val="1"/>
    <w:autoRedefine/>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kern w:val="0"/>
      <w:sz w:val="20"/>
      <w:szCs w:val="20"/>
    </w:rPr>
  </w:style>
  <w:style w:type="paragraph" w:customStyle="1" w:styleId="316">
    <w:name w:val="xl54"/>
    <w:basedOn w:val="1"/>
    <w:autoRedefine/>
    <w:qFormat/>
    <w:uiPriority w:val="0"/>
    <w:pPr>
      <w:spacing w:before="100" w:beforeAutospacing="1" w:after="100" w:afterAutospacing="1"/>
    </w:pPr>
    <w:rPr>
      <w:rFonts w:ascii="宋体" w:hAnsi="宋体"/>
      <w:kern w:val="0"/>
      <w:sz w:val="20"/>
      <w:szCs w:val="20"/>
    </w:rPr>
  </w:style>
  <w:style w:type="paragraph" w:customStyle="1" w:styleId="317">
    <w:name w:val="xl105"/>
    <w:basedOn w:val="1"/>
    <w:autoRedefine/>
    <w:qFormat/>
    <w:uiPriority w:val="0"/>
    <w:pPr>
      <w:pBdr>
        <w:top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4"/>
    </w:rPr>
  </w:style>
  <w:style w:type="paragraph" w:customStyle="1" w:styleId="318">
    <w:name w:val="xl3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19">
    <w:name w:val="编号项"/>
    <w:basedOn w:val="1"/>
    <w:autoRedefine/>
    <w:qFormat/>
    <w:uiPriority w:val="0"/>
    <w:pPr>
      <w:tabs>
        <w:tab w:val="left" w:pos="1020"/>
      </w:tabs>
      <w:ind w:left="1020" w:hanging="525"/>
    </w:pPr>
    <w:rPr>
      <w:rFonts w:ascii="Times New Roman" w:hAnsi="Times New Roman"/>
    </w:rPr>
  </w:style>
  <w:style w:type="paragraph" w:customStyle="1" w:styleId="320">
    <w:name w:val="xl107"/>
    <w:basedOn w:val="1"/>
    <w:autoRedefine/>
    <w:qFormat/>
    <w:uiPriority w:val="0"/>
    <w:pPr>
      <w:pBdr>
        <w:top w:val="single" w:color="auto" w:sz="4" w:space="0"/>
        <w:bottom w:val="single" w:color="auto" w:sz="4" w:space="0"/>
      </w:pBdr>
      <w:shd w:val="clear" w:color="000000" w:fill="FFFFFF"/>
      <w:spacing w:before="100" w:beforeAutospacing="1" w:after="100" w:afterAutospacing="1"/>
    </w:pPr>
    <w:rPr>
      <w:rFonts w:ascii="宋体" w:hAnsi="宋体" w:cs="宋体"/>
      <w:kern w:val="0"/>
      <w:szCs w:val="21"/>
    </w:rPr>
  </w:style>
  <w:style w:type="paragraph" w:customStyle="1" w:styleId="321">
    <w:name w:val="TOC 标题3"/>
    <w:basedOn w:val="2"/>
    <w:next w:val="1"/>
    <w:autoRedefine/>
    <w:qFormat/>
    <w:uiPriority w:val="39"/>
    <w:pPr>
      <w:spacing w:before="480" w:after="0" w:line="276" w:lineRule="auto"/>
      <w:outlineLvl w:val="9"/>
    </w:pPr>
    <w:rPr>
      <w:rFonts w:ascii="Cambria" w:hAnsi="Cambria"/>
      <w:bCs/>
      <w:color w:val="365F91"/>
      <w:kern w:val="0"/>
      <w:sz w:val="28"/>
      <w:szCs w:val="28"/>
      <w:lang w:val="en-US" w:eastAsia="en-US" w:bidi="en-US"/>
    </w:rPr>
  </w:style>
  <w:style w:type="paragraph" w:customStyle="1" w:styleId="322">
    <w:name w:val="默认段落字体 Para Char Char Char Char Char Char Char Char Char1 Char Char Char Char"/>
    <w:basedOn w:val="1"/>
    <w:autoRedefine/>
    <w:qFormat/>
    <w:uiPriority w:val="0"/>
    <w:rPr>
      <w:rFonts w:ascii="Tahoma" w:hAnsi="Tahoma"/>
      <w:sz w:val="24"/>
      <w:szCs w:val="20"/>
    </w:rPr>
  </w:style>
  <w:style w:type="paragraph" w:customStyle="1" w:styleId="323">
    <w:name w:val="xl45"/>
    <w:basedOn w:val="1"/>
    <w:autoRedefine/>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24">
    <w:name w:val="xl97"/>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2"/>
      <w:szCs w:val="22"/>
    </w:rPr>
  </w:style>
  <w:style w:type="paragraph" w:customStyle="1" w:styleId="325">
    <w:name w:val="Char Char31"/>
    <w:basedOn w:val="1"/>
    <w:next w:val="17"/>
    <w:autoRedefine/>
    <w:qFormat/>
    <w:uiPriority w:val="0"/>
    <w:pPr>
      <w:spacing w:line="360" w:lineRule="auto"/>
      <w:ind w:left="-360" w:firstLine="570"/>
    </w:pPr>
    <w:rPr>
      <w:rFonts w:ascii="仿宋_GB2312" w:hAnsi="Times New Roman" w:eastAsia="仿宋_GB2312"/>
      <w:b/>
      <w:sz w:val="24"/>
      <w:szCs w:val="20"/>
    </w:rPr>
  </w:style>
  <w:style w:type="paragraph" w:customStyle="1" w:styleId="326">
    <w:name w:val="Char2"/>
    <w:basedOn w:val="1"/>
    <w:autoRedefine/>
    <w:qFormat/>
    <w:uiPriority w:val="0"/>
    <w:pPr>
      <w:spacing w:line="400" w:lineRule="exact"/>
    </w:pPr>
    <w:rPr>
      <w:rFonts w:ascii="Tahoma" w:hAnsi="Tahoma"/>
      <w:sz w:val="24"/>
      <w:szCs w:val="20"/>
    </w:rPr>
  </w:style>
  <w:style w:type="paragraph" w:customStyle="1" w:styleId="327">
    <w:name w:val="样式 首行缩进:  2 字符"/>
    <w:basedOn w:val="1"/>
    <w:autoRedefine/>
    <w:qFormat/>
    <w:uiPriority w:val="0"/>
    <w:pPr>
      <w:spacing w:line="360" w:lineRule="auto"/>
      <w:ind w:firstLine="200" w:firstLineChars="200"/>
    </w:pPr>
    <w:rPr>
      <w:rFonts w:ascii="Times New Roman" w:hAnsi="Times New Roman"/>
      <w:sz w:val="24"/>
    </w:rPr>
  </w:style>
  <w:style w:type="paragraph" w:customStyle="1" w:styleId="328">
    <w:name w:val="xl104"/>
    <w:basedOn w:val="1"/>
    <w:autoRedefine/>
    <w:qFormat/>
    <w:uiPriority w:val="0"/>
    <w:pPr>
      <w:pBdr>
        <w:top w:val="single" w:color="auto" w:sz="4" w:space="0"/>
        <w:bottom w:val="single" w:color="auto" w:sz="4" w:space="0"/>
      </w:pBdr>
      <w:shd w:val="clear" w:color="000000" w:fill="FFFFFF"/>
      <w:spacing w:before="100" w:beforeAutospacing="1" w:after="100" w:afterAutospacing="1"/>
    </w:pPr>
    <w:rPr>
      <w:rFonts w:ascii="宋体" w:hAnsi="宋体" w:cs="宋体"/>
      <w:kern w:val="0"/>
      <w:sz w:val="24"/>
    </w:rPr>
  </w:style>
  <w:style w:type="paragraph" w:customStyle="1" w:styleId="329">
    <w:name w:val="xl3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30">
    <w:name w:val="+标题2"/>
    <w:basedOn w:val="3"/>
    <w:autoRedefine/>
    <w:qFormat/>
    <w:uiPriority w:val="0"/>
    <w:pPr>
      <w:tabs>
        <w:tab w:val="left" w:pos="1440"/>
      </w:tabs>
      <w:spacing w:before="120" w:after="120" w:line="360" w:lineRule="auto"/>
      <w:ind w:left="1440" w:hanging="360"/>
    </w:pPr>
    <w:rPr>
      <w:rFonts w:ascii="Times New Roman" w:hAnsi="Times New Roman" w:eastAsia="宋体" w:cs="Times New Roman"/>
      <w:sz w:val="24"/>
      <w:szCs w:val="28"/>
    </w:rPr>
  </w:style>
  <w:style w:type="paragraph" w:customStyle="1" w:styleId="331">
    <w:name w:val="font10"/>
    <w:basedOn w:val="1"/>
    <w:autoRedefine/>
    <w:qFormat/>
    <w:uiPriority w:val="0"/>
    <w:pPr>
      <w:spacing w:before="100" w:beforeAutospacing="1" w:after="100" w:afterAutospacing="1"/>
    </w:pPr>
    <w:rPr>
      <w:rFonts w:ascii="Arial Narrow" w:hAnsi="Arial Narrow"/>
      <w:kern w:val="0"/>
      <w:sz w:val="20"/>
      <w:szCs w:val="20"/>
    </w:rPr>
  </w:style>
  <w:style w:type="paragraph" w:customStyle="1" w:styleId="332">
    <w:name w:val="正文样式"/>
    <w:autoRedefine/>
    <w:qFormat/>
    <w:uiPriority w:val="0"/>
    <w:pPr>
      <w:adjustRightInd w:val="0"/>
      <w:snapToGrid w:val="0"/>
      <w:spacing w:line="360" w:lineRule="auto"/>
      <w:ind w:firstLine="482"/>
      <w:jc w:val="both"/>
    </w:pPr>
    <w:rPr>
      <w:rFonts w:ascii="宋体" w:hAnsi="Times New Roman" w:eastAsia="宋体" w:cs="宋体"/>
      <w:kern w:val="2"/>
      <w:sz w:val="24"/>
      <w:lang w:val="en-US" w:eastAsia="zh-CN" w:bidi="ar-SA"/>
    </w:rPr>
  </w:style>
  <w:style w:type="paragraph" w:customStyle="1" w:styleId="333">
    <w:name w:val="font9"/>
    <w:basedOn w:val="1"/>
    <w:autoRedefine/>
    <w:qFormat/>
    <w:uiPriority w:val="0"/>
    <w:pPr>
      <w:spacing w:before="100" w:beforeAutospacing="1" w:after="100" w:afterAutospacing="1"/>
    </w:pPr>
    <w:rPr>
      <w:rFonts w:ascii="Times New Roman" w:hAnsi="Times New Roman"/>
      <w:b/>
      <w:bCs/>
      <w:kern w:val="0"/>
      <w:sz w:val="20"/>
      <w:szCs w:val="20"/>
    </w:rPr>
  </w:style>
  <w:style w:type="paragraph" w:customStyle="1" w:styleId="334">
    <w:name w:val="样式 标题 2 + 小二 段前: 0.5 行 段后: 0.5 行"/>
    <w:basedOn w:val="3"/>
    <w:autoRedefine/>
    <w:qFormat/>
    <w:uiPriority w:val="0"/>
    <w:pPr>
      <w:keepLines w:val="0"/>
      <w:spacing w:beforeLines="50" w:afterLines="50" w:line="360" w:lineRule="auto"/>
    </w:pPr>
    <w:rPr>
      <w:rFonts w:ascii="宋体" w:hAnsi="Times New Roman" w:eastAsia="宋体" w:cs="Times New Roman"/>
      <w:sz w:val="30"/>
      <w:szCs w:val="30"/>
    </w:rPr>
  </w:style>
  <w:style w:type="paragraph" w:customStyle="1" w:styleId="335">
    <w:name w:val="正文文本 21"/>
    <w:basedOn w:val="1"/>
    <w:autoRedefine/>
    <w:qFormat/>
    <w:uiPriority w:val="0"/>
    <w:rPr>
      <w:rFonts w:ascii="宋体" w:hAnsi="Times New Roman"/>
      <w:i/>
      <w:sz w:val="28"/>
      <w:szCs w:val="20"/>
    </w:rPr>
  </w:style>
  <w:style w:type="paragraph" w:customStyle="1" w:styleId="336">
    <w:name w:val="_Style 186"/>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7">
    <w:name w:val="样式7"/>
    <w:basedOn w:val="1"/>
    <w:autoRedefine/>
    <w:qFormat/>
    <w:uiPriority w:val="34"/>
    <w:pPr>
      <w:spacing w:line="500" w:lineRule="exact"/>
    </w:pPr>
    <w:rPr>
      <w:rFonts w:ascii="宋体" w:hAnsi="Times New Roman"/>
      <w:b/>
      <w:sz w:val="32"/>
      <w:szCs w:val="20"/>
    </w:rPr>
  </w:style>
  <w:style w:type="paragraph" w:customStyle="1" w:styleId="338">
    <w:name w:val="规范正文 Char Char Char"/>
    <w:basedOn w:val="1"/>
    <w:autoRedefine/>
    <w:qFormat/>
    <w:uiPriority w:val="0"/>
    <w:pPr>
      <w:spacing w:line="360" w:lineRule="auto"/>
      <w:ind w:left="227" w:firstLine="454"/>
      <w:textAlignment w:val="baseline"/>
    </w:pPr>
    <w:rPr>
      <w:rFonts w:ascii="Times New Roman" w:hAnsi="Times New Roman"/>
      <w:sz w:val="24"/>
    </w:rPr>
  </w:style>
  <w:style w:type="paragraph" w:customStyle="1" w:styleId="339">
    <w:name w:val="xl6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40">
    <w:name w:val="样式 宋体 小四 首行缩进:  1.11 厘米 行距: 1.5 倍行距"/>
    <w:basedOn w:val="1"/>
    <w:autoRedefine/>
    <w:qFormat/>
    <w:uiPriority w:val="0"/>
    <w:pPr>
      <w:spacing w:line="360" w:lineRule="auto"/>
      <w:ind w:left="708" w:leftChars="337" w:firstLine="1"/>
    </w:pPr>
    <w:rPr>
      <w:rFonts w:ascii="宋体" w:hAnsi="Times New Roman"/>
      <w:sz w:val="24"/>
      <w:szCs w:val="20"/>
    </w:rPr>
  </w:style>
  <w:style w:type="paragraph" w:customStyle="1" w:styleId="341">
    <w:name w:val="xl61"/>
    <w:basedOn w:val="1"/>
    <w:autoRedefine/>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pPr>
    <w:rPr>
      <w:rFonts w:ascii="宋体" w:hAnsi="宋体"/>
      <w:kern w:val="0"/>
      <w:sz w:val="20"/>
      <w:szCs w:val="20"/>
    </w:rPr>
  </w:style>
  <w:style w:type="paragraph" w:customStyle="1" w:styleId="342">
    <w:name w:val="xl43"/>
    <w:basedOn w:val="1"/>
    <w:autoRedefine/>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宋体" w:hAnsi="宋体"/>
      <w:kern w:val="0"/>
      <w:sz w:val="20"/>
      <w:szCs w:val="20"/>
    </w:rPr>
  </w:style>
  <w:style w:type="paragraph" w:customStyle="1" w:styleId="343">
    <w:name w:val="+标题3"/>
    <w:basedOn w:val="4"/>
    <w:autoRedefine/>
    <w:qFormat/>
    <w:uiPriority w:val="0"/>
    <w:pPr>
      <w:tabs>
        <w:tab w:val="left" w:pos="2160"/>
      </w:tabs>
      <w:spacing w:before="120" w:after="120" w:line="360" w:lineRule="auto"/>
      <w:ind w:left="2160" w:hanging="360"/>
    </w:pPr>
    <w:rPr>
      <w:sz w:val="24"/>
      <w:szCs w:val="28"/>
    </w:rPr>
  </w:style>
  <w:style w:type="paragraph" w:customStyle="1" w:styleId="344">
    <w:name w:val="xl101"/>
    <w:basedOn w:val="1"/>
    <w:autoRedefine/>
    <w:qFormat/>
    <w:uiPriority w:val="0"/>
    <w:pPr>
      <w:pBdr>
        <w:top w:val="single" w:color="auto" w:sz="4" w:space="0"/>
        <w:bottom w:val="single" w:color="auto" w:sz="4" w:space="0"/>
      </w:pBdr>
      <w:shd w:val="clear" w:color="000000" w:fill="FFFFFF"/>
      <w:spacing w:before="100" w:beforeAutospacing="1" w:after="100" w:afterAutospacing="1"/>
    </w:pPr>
    <w:rPr>
      <w:rFonts w:ascii="宋体" w:hAnsi="宋体" w:cs="宋体"/>
      <w:kern w:val="0"/>
      <w:szCs w:val="21"/>
    </w:rPr>
  </w:style>
  <w:style w:type="paragraph" w:customStyle="1" w:styleId="345">
    <w:name w:val="xl3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46">
    <w:name w:val="xl46"/>
    <w:basedOn w:val="1"/>
    <w:autoRedefine/>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宋体" w:hAnsi="宋体"/>
      <w:kern w:val="0"/>
      <w:sz w:val="20"/>
      <w:szCs w:val="20"/>
    </w:rPr>
  </w:style>
  <w:style w:type="paragraph" w:customStyle="1" w:styleId="347">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48">
    <w:name w:val="正文2字符缩进"/>
    <w:basedOn w:val="11"/>
    <w:autoRedefine/>
    <w:qFormat/>
    <w:uiPriority w:val="0"/>
    <w:pPr>
      <w:tabs>
        <w:tab w:val="left" w:pos="360"/>
        <w:tab w:val="left" w:pos="720"/>
        <w:tab w:val="left" w:pos="1260"/>
      </w:tabs>
      <w:spacing w:line="360" w:lineRule="auto"/>
      <w:ind w:left="720" w:firstLine="200" w:firstLineChars="200"/>
    </w:pPr>
    <w:rPr>
      <w:rFonts w:cs="宋体"/>
      <w:sz w:val="28"/>
    </w:rPr>
  </w:style>
  <w:style w:type="paragraph" w:customStyle="1" w:styleId="349">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50">
    <w:name w:val="二级条标题"/>
    <w:basedOn w:val="262"/>
    <w:next w:val="1"/>
    <w:qFormat/>
    <w:uiPriority w:val="0"/>
    <w:pPr>
      <w:numPr>
        <w:ilvl w:val="3"/>
      </w:numPr>
      <w:tabs>
        <w:tab w:val="left" w:pos="1290"/>
      </w:tabs>
      <w:ind w:left="1290" w:hanging="720"/>
      <w:outlineLvl w:val="3"/>
    </w:pPr>
  </w:style>
  <w:style w:type="paragraph" w:customStyle="1" w:styleId="351">
    <w:name w:val="缺省文本"/>
    <w:basedOn w:val="1"/>
    <w:autoRedefine/>
    <w:qFormat/>
    <w:uiPriority w:val="0"/>
    <w:pPr>
      <w:overflowPunct w:val="0"/>
      <w:autoSpaceDE w:val="0"/>
      <w:autoSpaceDN w:val="0"/>
      <w:spacing w:line="360" w:lineRule="auto"/>
      <w:ind w:firstLine="720"/>
      <w:textAlignment w:val="baseline"/>
    </w:pPr>
    <w:rPr>
      <w:rFonts w:ascii="宋体" w:hAnsi="Times New Roman" w:eastAsia="仿宋_GB2312"/>
      <w:kern w:val="0"/>
      <w:sz w:val="28"/>
      <w:szCs w:val="20"/>
    </w:rPr>
  </w:style>
  <w:style w:type="paragraph" w:customStyle="1" w:styleId="352">
    <w:name w:val="编号1."/>
    <w:basedOn w:val="1"/>
    <w:autoRedefine/>
    <w:qFormat/>
    <w:uiPriority w:val="0"/>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53">
    <w:name w:val="样式 标题 3列表编号31.1.1h33rd level3H3l3CTHeading 3 - oldsect..."/>
    <w:basedOn w:val="4"/>
    <w:autoRedefine/>
    <w:qFormat/>
    <w:uiPriority w:val="0"/>
    <w:pPr>
      <w:tabs>
        <w:tab w:val="left" w:pos="720"/>
      </w:tabs>
      <w:spacing w:before="0" w:after="0" w:line="360" w:lineRule="atLeast"/>
      <w:ind w:left="720" w:hanging="720"/>
    </w:pPr>
    <w:rPr>
      <w:rFonts w:cs="宋体"/>
      <w:kern w:val="0"/>
      <w:sz w:val="28"/>
      <w:szCs w:val="24"/>
    </w:rPr>
  </w:style>
  <w:style w:type="paragraph" w:customStyle="1" w:styleId="354">
    <w:name w:val="xl2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b/>
      <w:bCs/>
      <w:kern w:val="0"/>
      <w:sz w:val="20"/>
      <w:szCs w:val="20"/>
    </w:rPr>
  </w:style>
  <w:style w:type="paragraph" w:customStyle="1" w:styleId="355">
    <w:name w:val="列出段落2"/>
    <w:basedOn w:val="1"/>
    <w:autoRedefine/>
    <w:qFormat/>
    <w:uiPriority w:val="0"/>
    <w:pPr>
      <w:ind w:firstLine="420" w:firstLineChars="200"/>
    </w:pPr>
    <w:rPr>
      <w:rFonts w:ascii="Times New Roman" w:hAnsi="Times New Roman"/>
      <w:szCs w:val="20"/>
    </w:rPr>
  </w:style>
  <w:style w:type="paragraph" w:customStyle="1" w:styleId="356">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357">
    <w:name w:val="xl3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58">
    <w:name w:val="样式 标题 1 + (中文) 黑体"/>
    <w:basedOn w:val="2"/>
    <w:autoRedefine/>
    <w:qFormat/>
    <w:uiPriority w:val="0"/>
    <w:pPr>
      <w:spacing w:before="120" w:after="120" w:line="240" w:lineRule="auto"/>
    </w:pPr>
    <w:rPr>
      <w:rFonts w:ascii="Times New Roman" w:hAnsi="Times New Roman" w:eastAsia="楷体"/>
      <w:bCs/>
      <w:sz w:val="36"/>
      <w:szCs w:val="44"/>
      <w:lang w:val="en-US"/>
    </w:rPr>
  </w:style>
  <w:style w:type="paragraph" w:customStyle="1" w:styleId="359">
    <w:name w:val="xl2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60">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361">
    <w:name w:val="acxspmiddle"/>
    <w:basedOn w:val="1"/>
    <w:autoRedefine/>
    <w:qFormat/>
    <w:uiPriority w:val="0"/>
    <w:pPr>
      <w:spacing w:before="100" w:beforeAutospacing="1" w:after="100" w:afterAutospacing="1"/>
    </w:pPr>
    <w:rPr>
      <w:rFonts w:ascii="宋体" w:hAnsi="宋体" w:cs="宋体"/>
      <w:kern w:val="0"/>
      <w:sz w:val="24"/>
    </w:rPr>
  </w:style>
  <w:style w:type="paragraph" w:customStyle="1" w:styleId="362">
    <w:name w:val="xl47"/>
    <w:basedOn w:val="1"/>
    <w:autoRedefine/>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rFonts w:ascii="宋体" w:hAnsi="宋体"/>
      <w:kern w:val="0"/>
      <w:sz w:val="20"/>
      <w:szCs w:val="20"/>
    </w:rPr>
  </w:style>
  <w:style w:type="paragraph" w:customStyle="1" w:styleId="363">
    <w:name w:val="xl108"/>
    <w:basedOn w:val="1"/>
    <w:autoRedefine/>
    <w:qFormat/>
    <w:uiPriority w:val="0"/>
    <w:pPr>
      <w:pBdr>
        <w:top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Cs w:val="21"/>
    </w:rPr>
  </w:style>
  <w:style w:type="paragraph" w:customStyle="1" w:styleId="364">
    <w:name w:val="a3cxsplast"/>
    <w:basedOn w:val="1"/>
    <w:autoRedefine/>
    <w:qFormat/>
    <w:uiPriority w:val="0"/>
    <w:pPr>
      <w:spacing w:before="100" w:after="100"/>
    </w:pPr>
    <w:rPr>
      <w:rFonts w:ascii="宋体" w:hAnsi="宋体"/>
      <w:b/>
      <w:color w:val="000000"/>
      <w:kern w:val="0"/>
      <w:sz w:val="18"/>
    </w:rPr>
  </w:style>
  <w:style w:type="paragraph" w:customStyle="1" w:styleId="365">
    <w:name w:val="样式 标题 2 + 左侧:  0 厘米 首行缩进:  0 厘米 右侧:  2 字符"/>
    <w:basedOn w:val="3"/>
    <w:autoRedefine/>
    <w:qFormat/>
    <w:uiPriority w:val="0"/>
    <w:pPr>
      <w:spacing w:before="120" w:after="120" w:line="360" w:lineRule="auto"/>
      <w:ind w:right="420" w:rightChars="200"/>
    </w:pPr>
    <w:rPr>
      <w:rFonts w:ascii="Arial" w:hAnsi="Arial" w:eastAsia="黑体" w:cs="Times New Roman"/>
      <w:sz w:val="24"/>
      <w:szCs w:val="20"/>
    </w:rPr>
  </w:style>
  <w:style w:type="paragraph" w:customStyle="1" w:styleId="366">
    <w:name w:val="xl95"/>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2"/>
      <w:szCs w:val="22"/>
    </w:rPr>
  </w:style>
  <w:style w:type="paragraph" w:customStyle="1" w:styleId="367">
    <w:name w:val="msonormalcxsplast"/>
    <w:basedOn w:val="1"/>
    <w:autoRedefine/>
    <w:qFormat/>
    <w:uiPriority w:val="0"/>
    <w:pPr>
      <w:spacing w:before="100" w:beforeAutospacing="1" w:after="100" w:afterAutospacing="1"/>
    </w:pPr>
    <w:rPr>
      <w:rFonts w:ascii="宋体" w:hAnsi="宋体" w:cs="宋体"/>
      <w:kern w:val="0"/>
      <w:sz w:val="24"/>
    </w:rPr>
  </w:style>
  <w:style w:type="paragraph" w:customStyle="1" w:styleId="368">
    <w:name w:val="xl58"/>
    <w:basedOn w:val="1"/>
    <w:autoRedefine/>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69">
    <w:name w:val="样式 样式 样式 样式 样式 样式 首行缩进:  2 字符 + 首行缩进:  2 字符 + 首行缩进:  2 字符 + 首行缩进..."/>
    <w:basedOn w:val="1"/>
    <w:autoRedefine/>
    <w:qFormat/>
    <w:uiPriority w:val="0"/>
    <w:pPr>
      <w:spacing w:line="360" w:lineRule="auto"/>
      <w:ind w:firstLine="480" w:firstLineChars="200"/>
    </w:pPr>
    <w:rPr>
      <w:rFonts w:ascii="Times New Roman" w:hAnsi="Times New Roman" w:cs="宋体"/>
      <w:sz w:val="24"/>
      <w:szCs w:val="20"/>
    </w:rPr>
  </w:style>
  <w:style w:type="paragraph" w:customStyle="1" w:styleId="370">
    <w:name w:val="Char3"/>
    <w:basedOn w:val="1"/>
    <w:autoRedefine/>
    <w:qFormat/>
    <w:uiPriority w:val="0"/>
    <w:pPr>
      <w:tabs>
        <w:tab w:val="left" w:pos="794"/>
        <w:tab w:val="left" w:pos="1191"/>
        <w:tab w:val="left" w:pos="1588"/>
        <w:tab w:val="left" w:pos="1985"/>
      </w:tabs>
      <w:autoSpaceDE w:val="0"/>
      <w:autoSpaceDN w:val="0"/>
      <w:spacing w:before="136"/>
    </w:pPr>
    <w:rPr>
      <w:rFonts w:ascii="Tahoma" w:hAnsi="Tahoma"/>
      <w:kern w:val="0"/>
      <w:sz w:val="24"/>
      <w:szCs w:val="20"/>
    </w:rPr>
  </w:style>
  <w:style w:type="paragraph" w:customStyle="1" w:styleId="371">
    <w:name w:val="xl100"/>
    <w:basedOn w:val="1"/>
    <w:autoRedefine/>
    <w:qFormat/>
    <w:uiPriority w:val="0"/>
    <w:pPr>
      <w:pBdr>
        <w:top w:val="single" w:color="auto" w:sz="4" w:space="0"/>
        <w:left w:val="single" w:color="auto" w:sz="4" w:space="0"/>
        <w:bottom w:val="single" w:color="auto" w:sz="4" w:space="0"/>
      </w:pBdr>
      <w:shd w:val="clear" w:color="000000" w:fill="FFFFFF"/>
      <w:spacing w:before="100" w:beforeAutospacing="1" w:after="100" w:afterAutospacing="1"/>
    </w:pPr>
    <w:rPr>
      <w:rFonts w:ascii="宋体" w:hAnsi="宋体" w:cs="宋体"/>
      <w:kern w:val="0"/>
      <w:szCs w:val="21"/>
    </w:rPr>
  </w:style>
  <w:style w:type="paragraph" w:customStyle="1" w:styleId="372">
    <w:name w:val="xl102"/>
    <w:basedOn w:val="1"/>
    <w:autoRedefine/>
    <w:qFormat/>
    <w:uiPriority w:val="0"/>
    <w:pPr>
      <w:spacing w:before="100" w:beforeAutospacing="1" w:after="100" w:afterAutospacing="1"/>
    </w:pPr>
    <w:rPr>
      <w:rFonts w:ascii="Arial Unicode MS" w:hAnsi="Arial Unicode MS"/>
      <w:color w:val="FF0000"/>
      <w:kern w:val="0"/>
      <w:sz w:val="28"/>
      <w:szCs w:val="28"/>
    </w:rPr>
  </w:style>
  <w:style w:type="paragraph" w:customStyle="1" w:styleId="373">
    <w:name w:val="Char1 Char Char Char Char Char Char"/>
    <w:basedOn w:val="1"/>
    <w:autoRedefine/>
    <w:qFormat/>
    <w:uiPriority w:val="0"/>
    <w:pPr>
      <w:ind w:firstLine="360" w:firstLineChars="150"/>
    </w:pPr>
    <w:rPr>
      <w:rFonts w:ascii="Tahoma" w:hAnsi="Tahoma"/>
      <w:sz w:val="24"/>
      <w:szCs w:val="20"/>
    </w:rPr>
  </w:style>
  <w:style w:type="paragraph" w:customStyle="1" w:styleId="374">
    <w:name w:val="xl106"/>
    <w:basedOn w:val="1"/>
    <w:autoRedefine/>
    <w:qFormat/>
    <w:uiPriority w:val="0"/>
    <w:pPr>
      <w:pBdr>
        <w:top w:val="single" w:color="auto" w:sz="4" w:space="0"/>
        <w:left w:val="single" w:color="auto" w:sz="4" w:space="0"/>
        <w:bottom w:val="single" w:color="auto" w:sz="4" w:space="0"/>
      </w:pBdr>
      <w:shd w:val="clear" w:color="000000" w:fill="FFFFFF"/>
      <w:spacing w:before="100" w:beforeAutospacing="1" w:after="100" w:afterAutospacing="1"/>
    </w:pPr>
    <w:rPr>
      <w:rFonts w:ascii="宋体" w:hAnsi="宋体" w:cs="宋体"/>
      <w:kern w:val="0"/>
      <w:szCs w:val="21"/>
    </w:rPr>
  </w:style>
  <w:style w:type="paragraph" w:customStyle="1" w:styleId="375">
    <w:name w:val="Blockquote"/>
    <w:basedOn w:val="1"/>
    <w:autoRedefine/>
    <w:qFormat/>
    <w:uiPriority w:val="0"/>
    <w:pPr>
      <w:autoSpaceDE w:val="0"/>
      <w:autoSpaceDN w:val="0"/>
      <w:spacing w:before="100" w:after="100"/>
      <w:ind w:left="360" w:right="360"/>
    </w:pPr>
    <w:rPr>
      <w:rFonts w:ascii="Times New Roman" w:hAnsi="Times New Roman"/>
      <w:kern w:val="0"/>
      <w:sz w:val="24"/>
      <w:szCs w:val="20"/>
    </w:rPr>
  </w:style>
  <w:style w:type="paragraph" w:customStyle="1" w:styleId="376">
    <w:name w:val="正文文本 211"/>
    <w:basedOn w:val="1"/>
    <w:autoRedefine/>
    <w:qFormat/>
    <w:uiPriority w:val="0"/>
    <w:rPr>
      <w:rFonts w:ascii="宋体" w:hAnsi="Times New Roman"/>
      <w:i/>
      <w:sz w:val="28"/>
      <w:szCs w:val="20"/>
    </w:rPr>
  </w:style>
  <w:style w:type="paragraph" w:customStyle="1" w:styleId="377">
    <w:name w:val="xl60"/>
    <w:basedOn w:val="1"/>
    <w:autoRedefine/>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78">
    <w:name w:val="xl98"/>
    <w:basedOn w:val="1"/>
    <w:autoRedefine/>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kern w:val="0"/>
      <w:sz w:val="22"/>
      <w:szCs w:val="22"/>
    </w:rPr>
  </w:style>
  <w:style w:type="paragraph" w:customStyle="1" w:styleId="379">
    <w:name w:val="xl110"/>
    <w:basedOn w:val="1"/>
    <w:autoRedefine/>
    <w:qFormat/>
    <w:uiPriority w:val="0"/>
    <w:pPr>
      <w:pBdr>
        <w:bottom w:val="single" w:color="auto" w:sz="4" w:space="0"/>
      </w:pBdr>
      <w:spacing w:before="100" w:beforeAutospacing="1" w:after="100" w:afterAutospacing="1"/>
    </w:pPr>
    <w:rPr>
      <w:rFonts w:ascii="宋体" w:hAnsi="宋体" w:cs="宋体"/>
      <w:b/>
      <w:bCs/>
      <w:kern w:val="0"/>
      <w:sz w:val="28"/>
      <w:szCs w:val="28"/>
    </w:rPr>
  </w:style>
  <w:style w:type="paragraph" w:customStyle="1" w:styleId="380">
    <w:name w:val="表格文字"/>
    <w:basedOn w:val="1"/>
    <w:autoRedefine/>
    <w:qFormat/>
    <w:uiPriority w:val="34"/>
    <w:pPr>
      <w:spacing w:line="420" w:lineRule="atLeast"/>
    </w:pPr>
    <w:rPr>
      <w:rFonts w:ascii="Times New Roman" w:hAnsi="Times New Roman"/>
      <w:kern w:val="0"/>
      <w:szCs w:val="20"/>
    </w:rPr>
  </w:style>
  <w:style w:type="paragraph" w:customStyle="1" w:styleId="381">
    <w:name w:val="引用1"/>
    <w:basedOn w:val="1"/>
    <w:next w:val="1"/>
    <w:autoRedefine/>
    <w:qFormat/>
    <w:uiPriority w:val="0"/>
    <w:rPr>
      <w:i/>
      <w:iCs/>
      <w:color w:val="000000"/>
      <w:kern w:val="0"/>
      <w:sz w:val="22"/>
      <w:szCs w:val="22"/>
      <w:lang w:eastAsia="en-US" w:bidi="en-US"/>
    </w:rPr>
  </w:style>
  <w:style w:type="paragraph" w:customStyle="1" w:styleId="382">
    <w:name w:val="xl3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83">
    <w:name w:val="修订2"/>
    <w:autoRedefine/>
    <w:hidden/>
    <w:semiHidden/>
    <w:qFormat/>
    <w:uiPriority w:val="99"/>
    <w:rPr>
      <w:rFonts w:ascii="Calibri" w:hAnsi="Calibri" w:eastAsia="宋体" w:cs="Times New Roman"/>
      <w:kern w:val="2"/>
      <w:sz w:val="21"/>
      <w:szCs w:val="24"/>
      <w:lang w:val="en-US" w:eastAsia="zh-CN" w:bidi="ar-SA"/>
    </w:rPr>
  </w:style>
  <w:style w:type="character" w:customStyle="1" w:styleId="384">
    <w:name w:val="font21"/>
    <w:basedOn w:val="39"/>
    <w:qFormat/>
    <w:uiPriority w:val="0"/>
    <w:rPr>
      <w:rFonts w:hint="eastAsia" w:ascii="宋体" w:hAnsi="宋体" w:eastAsia="宋体" w:cs="宋体"/>
      <w:color w:val="FF0000"/>
      <w:sz w:val="18"/>
      <w:szCs w:val="18"/>
      <w:u w:val="none"/>
    </w:rPr>
  </w:style>
  <w:style w:type="paragraph" w:customStyle="1" w:styleId="385">
    <w:name w:val="Revision"/>
    <w:hidden/>
    <w:unhideWhenUsed/>
    <w:qFormat/>
    <w:uiPriority w:val="99"/>
    <w:rPr>
      <w:rFonts w:ascii="Calibri" w:hAnsi="Calibri" w:eastAsia="宋体" w:cs="Times New Roman"/>
      <w:kern w:val="2"/>
      <w:sz w:val="21"/>
      <w:szCs w:val="24"/>
      <w:lang w:val="en-US" w:eastAsia="zh-CN" w:bidi="ar-SA"/>
    </w:rPr>
  </w:style>
  <w:style w:type="character" w:customStyle="1" w:styleId="386">
    <w:name w:val="尾注文本 字符"/>
    <w:basedOn w:val="39"/>
    <w:link w:val="23"/>
    <w:semiHidden/>
    <w:qFormat/>
    <w:uiPriority w:val="99"/>
    <w:rPr>
      <w:kern w:val="2"/>
      <w:sz w:val="21"/>
      <w:szCs w:val="21"/>
    </w:rPr>
  </w:style>
  <w:style w:type="table" w:customStyle="1" w:styleId="387">
    <w:name w:val="网格型1"/>
    <w:basedOn w:val="37"/>
    <w:qFormat/>
    <w:uiPriority w:val="39"/>
    <w:rPr>
      <w:rFonts w:asciiTheme="minorHAnsi" w:hAnsiTheme="minorHAnsi" w:eastAsiaTheme="minorEastAsia" w:cstheme="minorBid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8">
    <w:name w:val="Placeholder Text"/>
    <w:basedOn w:val="39"/>
    <w:semiHidden/>
    <w:qFormat/>
    <w:uiPriority w:val="99"/>
    <w:rPr>
      <w:color w:val="808080"/>
    </w:rPr>
  </w:style>
  <w:style w:type="character" w:customStyle="1" w:styleId="389">
    <w:name w:val="con-all2"/>
    <w:basedOn w:val="39"/>
    <w:qFormat/>
    <w:uiPriority w:val="0"/>
  </w:style>
  <w:style w:type="character" w:customStyle="1" w:styleId="390">
    <w:name w:val="明显强调4"/>
    <w:basedOn w:val="39"/>
    <w:qFormat/>
    <w:uiPriority w:val="21"/>
    <w:rPr>
      <w:i/>
      <w:iCs/>
      <w:color w:val="0F4761"/>
    </w:rPr>
  </w:style>
  <w:style w:type="character" w:customStyle="1" w:styleId="391">
    <w:name w:val="明显参考4"/>
    <w:basedOn w:val="39"/>
    <w:qFormat/>
    <w:uiPriority w:val="32"/>
    <w:rPr>
      <w:b/>
      <w:bCs/>
      <w:smallCaps/>
      <w:color w:val="0F4761"/>
      <w:spacing w:val="5"/>
    </w:rPr>
  </w:style>
  <w:style w:type="paragraph" w:customStyle="1" w:styleId="392">
    <w:name w:val="题注1"/>
    <w:basedOn w:val="1"/>
    <w:next w:val="1"/>
    <w:autoRedefine/>
    <w:unhideWhenUsed/>
    <w:qFormat/>
    <w:uiPriority w:val="35"/>
    <w:pPr>
      <w:topLinePunct w:val="0"/>
      <w:adjustRightInd/>
      <w:snapToGrid/>
      <w:spacing w:before="180" w:beforeLines="50" w:line="600" w:lineRule="exact"/>
      <w:jc w:val="center"/>
      <w:textAlignment w:val="auto"/>
    </w:pPr>
    <w:rPr>
      <w:rFonts w:ascii="Times New Roman" w:hAnsi="Times New Roman" w:eastAsia="黑体"/>
      <w:sz w:val="22"/>
      <w:szCs w:val="22"/>
    </w:rPr>
  </w:style>
  <w:style w:type="table" w:customStyle="1" w:styleId="393">
    <w:name w:val="网格型11"/>
    <w:basedOn w:val="3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4">
    <w:name w:val="Intense Emphasis"/>
    <w:basedOn w:val="39"/>
    <w:qFormat/>
    <w:uiPriority w:val="21"/>
    <w:rPr>
      <w:i/>
      <w:iCs/>
      <w:color w:val="4472C4" w:themeColor="accent1"/>
      <w14:textFill>
        <w14:solidFill>
          <w14:schemeClr w14:val="accent1"/>
        </w14:solidFill>
      </w14:textFill>
    </w:rPr>
  </w:style>
  <w:style w:type="character" w:customStyle="1" w:styleId="395">
    <w:name w:val="Intense Reference"/>
    <w:basedOn w:val="3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53235E7B-D6F3-44FB-AD46-F4CF58564328}">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29</Pages>
  <Words>2824</Words>
  <Characters>16099</Characters>
  <Lines>134</Lines>
  <Paragraphs>37</Paragraphs>
  <TotalTime>1</TotalTime>
  <ScaleCrop>false</ScaleCrop>
  <LinksUpToDate>false</LinksUpToDate>
  <CharactersWithSpaces>18886</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2025-12-02T05:38:00Z</dcterms:created>
  <dc:creator>道运中心</dc:creator>
  <cp:lastModifiedBy>李修辞</cp:lastModifiedBy>
  <cp:lastPrinted>2022-12-03T22:08:00Z</cp:lastPrinted>
  <dcterms:modified xsi:type="dcterms:W3CDTF">2025-12-19T09:22:49Z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13A1FCD91380422F9313191C4F0025A1</vt:lpwstr>
  </property>
</Properties>
</file>