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before="0" w:after="0" w:line="560" w:lineRule="exact"/>
        <w:jc w:val="center"/>
        <w:textAlignment w:val="auto"/>
        <w:outlineLvl w:val="9"/>
        <w:rPr>
          <w:rFonts w:hint="eastAsia" w:ascii="方正小标宋简体" w:hAnsi="方正小标宋简体" w:eastAsia="方正小标宋简体" w:cs="方正小标宋简体"/>
          <w:b w:val="0"/>
          <w:bCs/>
          <w:sz w:val="38"/>
          <w:szCs w:val="38"/>
        </w:rPr>
      </w:pPr>
      <w:r>
        <w:rPr>
          <w:rFonts w:hint="eastAsia" w:ascii="方正小标宋简体" w:hAnsi="方正小标宋简体" w:eastAsia="方正小标宋简体" w:cs="方正小标宋简体"/>
          <w:b w:val="0"/>
          <w:bCs/>
          <w:sz w:val="38"/>
          <w:szCs w:val="38"/>
        </w:rPr>
        <w:t>上海市教育建设管理系统建设项目</w:t>
      </w:r>
    </w:p>
    <w:p>
      <w:pPr>
        <w:keepNext/>
        <w:keepLines/>
        <w:pageBreakBefore w:val="0"/>
        <w:widowControl w:val="0"/>
        <w:kinsoku/>
        <w:wordWrap/>
        <w:overflowPunct/>
        <w:topLinePunct w:val="0"/>
        <w:autoSpaceDE/>
        <w:autoSpaceDN/>
        <w:bidi w:val="0"/>
        <w:adjustRightInd/>
        <w:snapToGrid/>
        <w:spacing w:before="0" w:after="0" w:line="560" w:lineRule="exact"/>
        <w:jc w:val="center"/>
        <w:textAlignment w:val="auto"/>
        <w:outlineLvl w:val="9"/>
        <w:rPr>
          <w:rFonts w:hint="eastAsia" w:ascii="方正小标宋简体" w:hAnsi="方正小标宋简体" w:eastAsia="方正小标宋简体" w:cs="方正小标宋简体"/>
          <w:b w:val="0"/>
          <w:bCs/>
          <w:sz w:val="38"/>
          <w:szCs w:val="38"/>
        </w:rPr>
      </w:pPr>
      <w:r>
        <w:rPr>
          <w:rFonts w:hint="eastAsia" w:ascii="方正小标宋简体" w:hAnsi="方正小标宋简体" w:eastAsia="方正小标宋简体" w:cs="方正小标宋简体"/>
          <w:b w:val="0"/>
          <w:bCs/>
          <w:sz w:val="38"/>
          <w:szCs w:val="38"/>
        </w:rPr>
        <w:t>(2026年升级</w:t>
      </w:r>
      <w:r>
        <w:rPr>
          <w:rFonts w:hint="eastAsia" w:ascii="方正小标宋简体" w:hAnsi="方正小标宋简体" w:eastAsia="方正小标宋简体" w:cs="方正小标宋简体"/>
          <w:b w:val="0"/>
          <w:bCs/>
          <w:sz w:val="38"/>
          <w:szCs w:val="38"/>
          <w:lang w:val="en-US" w:eastAsia="zh-CN"/>
        </w:rPr>
        <w:t>改造</w:t>
      </w:r>
      <w:r>
        <w:rPr>
          <w:rFonts w:hint="eastAsia" w:ascii="方正小标宋简体" w:hAnsi="方正小标宋简体" w:eastAsia="方正小标宋简体" w:cs="方正小标宋简体"/>
          <w:b w:val="0"/>
          <w:bCs/>
          <w:sz w:val="38"/>
          <w:szCs w:val="38"/>
        </w:rPr>
        <w:t>）</w:t>
      </w:r>
      <w:r>
        <w:rPr>
          <w:rFonts w:hint="eastAsia" w:ascii="方正小标宋简体" w:hAnsi="方正小标宋简体" w:eastAsia="方正小标宋简体" w:cs="方正小标宋简体"/>
          <w:b w:val="0"/>
          <w:bCs/>
          <w:sz w:val="38"/>
          <w:szCs w:val="38"/>
          <w:lang w:eastAsia="zh-CN"/>
        </w:rPr>
        <w:t>采购</w:t>
      </w:r>
      <w:r>
        <w:rPr>
          <w:rFonts w:hint="eastAsia" w:ascii="方正小标宋简体" w:hAnsi="方正小标宋简体" w:eastAsia="方正小标宋简体" w:cs="方正小标宋简体"/>
          <w:b w:val="0"/>
          <w:bCs/>
          <w:sz w:val="38"/>
          <w:szCs w:val="38"/>
        </w:rPr>
        <w:t>需求</w:t>
      </w:r>
    </w:p>
    <w:p>
      <w:pPr>
        <w:pStyle w:val="2"/>
        <w:keepNext/>
        <w:keepLines/>
        <w:pageBreakBefore w:val="0"/>
        <w:widowControl w:val="0"/>
        <w:kinsoku/>
        <w:wordWrap/>
        <w:overflowPunct/>
        <w:topLinePunct w:val="0"/>
        <w:autoSpaceDE/>
        <w:autoSpaceDN/>
        <w:bidi w:val="0"/>
        <w:adjustRightInd/>
        <w:snapToGrid/>
        <w:spacing w:before="120" w:after="120"/>
        <w:ind w:left="0" w:leftChars="0" w:firstLine="643" w:firstLineChars="200"/>
        <w:jc w:val="left"/>
        <w:textAlignment w:val="auto"/>
        <w:rPr>
          <w:rFonts w:hint="eastAsia" w:ascii="黑体" w:hAnsi="黑体" w:eastAsia="黑体" w:cs="黑体"/>
        </w:rPr>
      </w:pPr>
      <w:r>
        <w:rPr>
          <w:rFonts w:hint="eastAsia" w:ascii="黑体" w:hAnsi="黑体" w:eastAsia="黑体" w:cs="黑体"/>
        </w:rPr>
        <w:t>项目</w:t>
      </w:r>
      <w:r>
        <w:rPr>
          <w:rFonts w:hint="eastAsia" w:ascii="黑体" w:hAnsi="黑体" w:eastAsia="黑体" w:cs="黑体"/>
          <w:lang w:val="en-US" w:eastAsia="zh-CN"/>
        </w:rPr>
        <w:t>概况</w:t>
      </w:r>
    </w:p>
    <w:p>
      <w:pPr>
        <w:pStyle w:val="3"/>
        <w:keepNext/>
        <w:keepLines/>
        <w:pageBreakBefore w:val="0"/>
        <w:widowControl w:val="0"/>
        <w:kinsoku/>
        <w:wordWrap/>
        <w:overflowPunct/>
        <w:topLinePunct w:val="0"/>
        <w:autoSpaceDE/>
        <w:autoSpaceDN/>
        <w:bidi w:val="0"/>
        <w:adjustRightInd/>
        <w:snapToGrid/>
        <w:spacing w:before="120" w:after="120" w:line="413" w:lineRule="auto"/>
        <w:ind w:left="0" w:leftChars="0" w:firstLine="602"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项目信息</w:t>
      </w:r>
    </w:p>
    <w:p>
      <w:pPr>
        <w:pageBreakBefore w:val="0"/>
        <w:widowControl w:val="0"/>
        <w:numPr>
          <w:ilvl w:val="0"/>
          <w:numId w:val="3"/>
        </w:numPr>
        <w:kinsoku/>
        <w:wordWrap/>
        <w:overflowPunct/>
        <w:topLinePunct w:val="0"/>
        <w:autoSpaceDE/>
        <w:autoSpaceDN/>
        <w:bidi w:val="0"/>
        <w:adjustRightInd/>
        <w:snapToGrid/>
        <w:spacing w:line="520" w:lineRule="exact"/>
        <w:ind w:left="0" w:leftChars="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项目名称：上海市教育建设管理系统建设项目（2026年升级改造）</w:t>
      </w:r>
    </w:p>
    <w:p>
      <w:pPr>
        <w:pageBreakBefore w:val="0"/>
        <w:widowControl w:val="0"/>
        <w:numPr>
          <w:ilvl w:val="0"/>
          <w:numId w:val="3"/>
        </w:numPr>
        <w:kinsoku/>
        <w:wordWrap/>
        <w:overflowPunct/>
        <w:topLinePunct w:val="0"/>
        <w:autoSpaceDE/>
        <w:autoSpaceDN/>
        <w:bidi w:val="0"/>
        <w:adjustRightInd/>
        <w:snapToGrid/>
        <w:spacing w:line="520" w:lineRule="exact"/>
        <w:ind w:left="0" w:leftChars="0" w:firstLine="480" w:firstLineChars="200"/>
        <w:textAlignment w:val="auto"/>
        <w:rPr>
          <w:color w:val="auto"/>
        </w:rPr>
      </w:pPr>
      <w:r>
        <w:rPr>
          <w:rFonts w:hint="eastAsia" w:asciiTheme="minorEastAsia" w:hAnsiTheme="minorEastAsia" w:eastAsiaTheme="minorEastAsia" w:cstheme="minorEastAsia"/>
          <w:color w:val="auto"/>
        </w:rPr>
        <w:t>建设内容概要：结合上海市教育建设管理系统</w:t>
      </w:r>
      <w:r>
        <w:rPr>
          <w:rFonts w:hint="eastAsia" w:asciiTheme="minorEastAsia" w:hAnsiTheme="minorEastAsia" w:cstheme="minorEastAsia"/>
          <w:color w:val="auto"/>
          <w:lang w:eastAsia="zh-CN"/>
        </w:rPr>
        <w:t>（</w:t>
      </w:r>
      <w:r>
        <w:rPr>
          <w:rFonts w:hint="eastAsia" w:asciiTheme="minorEastAsia" w:hAnsiTheme="minorEastAsia" w:cstheme="minorEastAsia"/>
          <w:color w:val="auto"/>
          <w:lang w:val="en-US" w:eastAsia="zh-CN"/>
        </w:rPr>
        <w:t>2021年建成</w:t>
      </w:r>
      <w:r>
        <w:rPr>
          <w:rFonts w:hint="eastAsia" w:asciiTheme="minorEastAsia" w:hAnsiTheme="minorEastAsia" w:cstheme="minorEastAsia"/>
          <w:color w:val="auto"/>
          <w:lang w:eastAsia="zh-CN"/>
        </w:rPr>
        <w:t>）（</w:t>
      </w:r>
      <w:r>
        <w:rPr>
          <w:rFonts w:hint="eastAsia" w:asciiTheme="minorEastAsia" w:hAnsiTheme="minorEastAsia" w:cstheme="minorEastAsia"/>
          <w:color w:val="auto"/>
          <w:lang w:val="en-US" w:eastAsia="zh-CN"/>
        </w:rPr>
        <w:t>以下简称“SEC一期”</w:t>
      </w:r>
      <w:r>
        <w:rPr>
          <w:rFonts w:hint="eastAsia" w:asciiTheme="minorEastAsia" w:hAnsiTheme="minorEastAsia" w:cstheme="minorEastAsia"/>
          <w:color w:val="auto"/>
          <w:lang w:eastAsia="zh-CN"/>
        </w:rPr>
        <w:t>）</w:t>
      </w:r>
      <w:r>
        <w:rPr>
          <w:rFonts w:hint="eastAsia" w:asciiTheme="minorEastAsia" w:hAnsiTheme="minorEastAsia" w:eastAsiaTheme="minorEastAsia" w:cstheme="minorEastAsia"/>
          <w:color w:val="auto"/>
        </w:rPr>
        <w:t>现有功能，通过数据标准化采集、智能化治理等技术功能完善，实现教育基础建设</w:t>
      </w:r>
      <w:r>
        <w:rPr>
          <w:rFonts w:hint="eastAsia"/>
          <w:color w:val="auto"/>
        </w:rPr>
        <w:t>数据高质量归集和共享协同，开展上海市教育建设系统升级改造建设。</w:t>
      </w:r>
      <w:bookmarkStart w:id="4" w:name="_GoBack"/>
      <w:bookmarkEnd w:id="4"/>
    </w:p>
    <w:p>
      <w:pPr>
        <w:pageBreakBefore w:val="0"/>
        <w:widowControl w:val="0"/>
        <w:numPr>
          <w:ilvl w:val="0"/>
          <w:numId w:val="3"/>
        </w:numPr>
        <w:kinsoku/>
        <w:wordWrap/>
        <w:overflowPunct/>
        <w:topLinePunct w:val="0"/>
        <w:autoSpaceDE/>
        <w:autoSpaceDN/>
        <w:bidi w:val="0"/>
        <w:adjustRightInd/>
        <w:snapToGrid/>
        <w:spacing w:line="520" w:lineRule="exact"/>
        <w:ind w:left="0" w:leftChars="0" w:firstLine="480" w:firstLineChars="200"/>
        <w:textAlignment w:val="auto"/>
        <w:rPr>
          <w:color w:val="auto"/>
        </w:rPr>
      </w:pPr>
      <w:r>
        <w:rPr>
          <w:color w:val="auto"/>
        </w:rPr>
        <w:t>是否按</w:t>
      </w:r>
      <w:r>
        <w:rPr>
          <w:rFonts w:hint="eastAsia"/>
          <w:color w:val="auto"/>
          <w:lang w:val="en-US" w:eastAsia="zh-CN"/>
        </w:rPr>
        <w:t>XC</w:t>
      </w:r>
      <w:r>
        <w:rPr>
          <w:color w:val="auto"/>
        </w:rPr>
        <w:t>要求建设：是</w:t>
      </w:r>
    </w:p>
    <w:p>
      <w:pPr>
        <w:pStyle w:val="3"/>
        <w:keepNext/>
        <w:keepLines/>
        <w:pageBreakBefore w:val="0"/>
        <w:widowControl w:val="0"/>
        <w:kinsoku/>
        <w:wordWrap/>
        <w:overflowPunct/>
        <w:topLinePunct w:val="0"/>
        <w:autoSpaceDE/>
        <w:autoSpaceDN/>
        <w:bidi w:val="0"/>
        <w:adjustRightInd/>
        <w:snapToGrid/>
        <w:spacing w:before="120" w:after="120" w:line="413" w:lineRule="auto"/>
        <w:ind w:left="0" w:leftChars="0" w:firstLine="602"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项目建设背景</w:t>
      </w:r>
    </w:p>
    <w:p>
      <w:pPr>
        <w:pageBreakBefore w:val="0"/>
        <w:widowControl w:val="0"/>
        <w:kinsoku/>
        <w:wordWrap/>
        <w:overflowPunct/>
        <w:topLinePunct w:val="0"/>
        <w:autoSpaceDE/>
        <w:autoSpaceDN/>
        <w:bidi w:val="0"/>
        <w:adjustRightInd/>
        <w:snapToGrid/>
        <w:spacing w:line="520" w:lineRule="exact"/>
        <w:ind w:left="0" w:firstLine="480" w:firstLineChars="200"/>
        <w:textAlignment w:val="auto"/>
      </w:pPr>
      <w:r>
        <w:t>在业务信息数据量持续攀升的背景下，市区两级管理者亟需一套完备的教育建设管理系统，以高效提炼复杂业务数据中的关键信息，支撑决策。</w:t>
      </w:r>
      <w:r>
        <w:rPr>
          <w:rFonts w:hint="eastAsia"/>
          <w:lang w:val="en-US" w:eastAsia="zh-CN"/>
        </w:rPr>
        <w:t>SEC一期</w:t>
      </w:r>
      <w:r>
        <w:t>建成后，构建了全市校舍基础信息数据库，实现</w:t>
      </w:r>
      <w:r>
        <w:rPr>
          <w:rFonts w:hint="eastAsia"/>
          <w:lang w:eastAsia="zh-CN"/>
        </w:rPr>
        <w:t>“</w:t>
      </w:r>
      <w:r>
        <w:t>一数一源</w:t>
      </w:r>
      <w:r>
        <w:rPr>
          <w:rFonts w:hint="eastAsia"/>
          <w:lang w:eastAsia="zh-CN"/>
        </w:rPr>
        <w:t>”</w:t>
      </w:r>
      <w:r>
        <w:t>向大数据中心的数据归集；基于市级教育系统实际，依托</w:t>
      </w:r>
      <w:r>
        <w:rPr>
          <w:rFonts w:hint="eastAsia"/>
          <w:lang w:val="en-US" w:eastAsia="zh-CN"/>
        </w:rPr>
        <w:t>SEC</w:t>
      </w:r>
      <w:r>
        <w:t>一期形成了教育基建、维修工程项目业务管理流程；并且基于校舍基础数据分析，提供辅助决策支持。</w:t>
      </w:r>
    </w:p>
    <w:p>
      <w:pPr>
        <w:pageBreakBefore w:val="0"/>
        <w:widowControl w:val="0"/>
        <w:kinsoku/>
        <w:wordWrap/>
        <w:overflowPunct/>
        <w:topLinePunct w:val="0"/>
        <w:autoSpaceDE/>
        <w:autoSpaceDN/>
        <w:bidi w:val="0"/>
        <w:adjustRightInd/>
        <w:snapToGrid/>
        <w:spacing w:line="520" w:lineRule="exact"/>
        <w:ind w:left="0" w:firstLine="480" w:firstLineChars="200"/>
        <w:textAlignment w:val="auto"/>
      </w:pPr>
      <w:r>
        <w:t>目前，数字技术正重塑社会治理范式，教育领域迎来数字化转型关键期。在人口结构深刻变革与教育高质量发展双重驱动下，上海以教育现代化为纲领，直面校舍管理难题，确保教育资源合理分布与高效利用</w:t>
      </w:r>
      <w:r>
        <w:rPr>
          <w:rFonts w:hint="eastAsia"/>
        </w:rPr>
        <w:t>，</w:t>
      </w:r>
      <w:r>
        <w:t>探索</w:t>
      </w:r>
      <w:r>
        <w:rPr>
          <w:rFonts w:hint="eastAsia"/>
          <w:lang w:eastAsia="zh-CN"/>
        </w:rPr>
        <w:t>“</w:t>
      </w:r>
      <w:r>
        <w:t>数据驱动+精准治理</w:t>
      </w:r>
      <w:r>
        <w:rPr>
          <w:rFonts w:hint="eastAsia"/>
          <w:lang w:eastAsia="zh-CN"/>
        </w:rPr>
        <w:t>”</w:t>
      </w:r>
      <w:r>
        <w:t>新范式，以数字化赋能教育资源配置与基建管理提质增效。此外，市教委提出建设上海教育行业数据湖和教育数字驾驶舱2.0，探索构建基于大数据的教育决策系统，并加大市、区、校一体化数字基座的建设与推广应用力度，以数字化手段实现教育资源建设、维修的精准管理，为教育高质量发展提供坚实的数字化支撑。</w:t>
      </w:r>
    </w:p>
    <w:p>
      <w:pPr>
        <w:pageBreakBefore w:val="0"/>
        <w:widowControl w:val="0"/>
        <w:kinsoku/>
        <w:wordWrap/>
        <w:overflowPunct/>
        <w:topLinePunct w:val="0"/>
        <w:autoSpaceDE/>
        <w:autoSpaceDN/>
        <w:bidi w:val="0"/>
        <w:adjustRightInd/>
        <w:snapToGrid/>
        <w:spacing w:line="520" w:lineRule="exact"/>
        <w:ind w:left="0" w:firstLine="480" w:firstLineChars="200"/>
        <w:textAlignment w:val="auto"/>
      </w:pPr>
      <w:r>
        <w:rPr>
          <w:rFonts w:hint="eastAsia" w:asciiTheme="minorEastAsia" w:hAnsiTheme="minorEastAsia" w:eastAsiaTheme="minorEastAsia" w:cstheme="minorEastAsia"/>
        </w:rPr>
        <w:t>（1）</w:t>
      </w:r>
      <w:r>
        <w:t>数字政府浪潮下教育数字化新使命。</w:t>
      </w:r>
    </w:p>
    <w:p>
      <w:pPr>
        <w:pageBreakBefore w:val="0"/>
        <w:widowControl w:val="0"/>
        <w:kinsoku/>
        <w:wordWrap/>
        <w:overflowPunct/>
        <w:topLinePunct w:val="0"/>
        <w:autoSpaceDE/>
        <w:autoSpaceDN/>
        <w:bidi w:val="0"/>
        <w:adjustRightInd/>
        <w:snapToGrid/>
        <w:spacing w:line="520" w:lineRule="exact"/>
        <w:ind w:left="0" w:firstLine="480" w:firstLineChars="200"/>
        <w:textAlignment w:val="auto"/>
      </w:pPr>
      <w:r>
        <w:t>在国家推进治理体系和治理能力现代化的大背景下，数字政府体系框架加速成熟，整体协同性、敏捷高效性、智能精准性与开放透明度持续提升，这一趋势深刻影响着教育领域，对教育数字化系统的建设、管理与服务效能提出更高标准。</w:t>
      </w:r>
    </w:p>
    <w:p>
      <w:pPr>
        <w:pageBreakBefore w:val="0"/>
        <w:widowControl w:val="0"/>
        <w:kinsoku/>
        <w:wordWrap/>
        <w:overflowPunct/>
        <w:topLinePunct w:val="0"/>
        <w:autoSpaceDE/>
        <w:autoSpaceDN/>
        <w:bidi w:val="0"/>
        <w:adjustRightInd/>
        <w:snapToGrid/>
        <w:spacing w:line="520" w:lineRule="exact"/>
        <w:ind w:left="0" w:firstLine="480" w:firstLineChars="200"/>
        <w:textAlignment w:val="auto"/>
      </w:pPr>
      <w:r>
        <w:rPr>
          <w:rFonts w:hint="eastAsia" w:asciiTheme="minorEastAsia" w:hAnsiTheme="minorEastAsia" w:eastAsiaTheme="minorEastAsia" w:cstheme="minorEastAsia"/>
        </w:rPr>
        <w:t>（2）</w:t>
      </w:r>
      <w:r>
        <w:t>教育高质量发展锚定资源配置新方向。</w:t>
      </w:r>
    </w:p>
    <w:p>
      <w:pPr>
        <w:pageBreakBefore w:val="0"/>
        <w:widowControl w:val="0"/>
        <w:kinsoku/>
        <w:wordWrap/>
        <w:overflowPunct/>
        <w:topLinePunct w:val="0"/>
        <w:autoSpaceDE/>
        <w:autoSpaceDN/>
        <w:bidi w:val="0"/>
        <w:adjustRightInd/>
        <w:snapToGrid/>
        <w:spacing w:line="520" w:lineRule="exact"/>
        <w:ind w:left="0" w:firstLine="480" w:firstLineChars="200"/>
        <w:textAlignment w:val="auto"/>
      </w:pPr>
      <w:r>
        <w:t>从国家战略部署来看，教育高质量发展已成为核心议题。2025年3月6日，</w:t>
      </w:r>
      <w:r>
        <w:rPr>
          <w:rFonts w:hint="eastAsia"/>
          <w:lang w:eastAsia="zh-CN"/>
        </w:rPr>
        <w:t>习总书记</w:t>
      </w:r>
      <w:r>
        <w:t>在全国政协联组会上明确指出“要适应人口结构变化，统筹基础教育、高等教育、职业教育，统筹政府投入和社会投入”，为教育资源配置指明方</w:t>
      </w:r>
      <w:r>
        <w:rPr>
          <w:rFonts w:hint="eastAsia"/>
        </w:rPr>
        <w:t>向。</w:t>
      </w:r>
    </w:p>
    <w:p>
      <w:pPr>
        <w:pStyle w:val="3"/>
        <w:keepNext/>
        <w:keepLines/>
        <w:pageBreakBefore w:val="0"/>
        <w:widowControl w:val="0"/>
        <w:kinsoku/>
        <w:wordWrap/>
        <w:overflowPunct/>
        <w:topLinePunct w:val="0"/>
        <w:autoSpaceDE/>
        <w:autoSpaceDN/>
        <w:bidi w:val="0"/>
        <w:adjustRightInd/>
        <w:snapToGrid/>
        <w:spacing w:before="120" w:after="120" w:line="413" w:lineRule="auto"/>
        <w:ind w:left="0" w:leftChars="0" w:firstLine="602"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项目建设依据及指导性文件（部分）</w:t>
      </w:r>
    </w:p>
    <w:p>
      <w:pPr>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1.国家政策文件：</w:t>
      </w:r>
    </w:p>
    <w:p>
      <w:pPr>
        <w:pageBreakBefore w:val="0"/>
        <w:widowControl w:val="0"/>
        <w:numPr>
          <w:ilvl w:val="0"/>
          <w:numId w:val="4"/>
        </w:numPr>
        <w:kinsoku/>
        <w:wordWrap/>
        <w:overflowPunct/>
        <w:topLinePunct w:val="0"/>
        <w:autoSpaceDE/>
        <w:autoSpaceDN/>
        <w:bidi w:val="0"/>
        <w:adjustRightInd/>
        <w:snapToGrid/>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《住房城乡建设部关于全面开展城市体检工作的指导意见》</w:t>
      </w:r>
    </w:p>
    <w:p>
      <w:pPr>
        <w:pageBreakBefore w:val="0"/>
        <w:widowControl w:val="0"/>
        <w:numPr>
          <w:ilvl w:val="0"/>
          <w:numId w:val="4"/>
        </w:numPr>
        <w:kinsoku/>
        <w:wordWrap/>
        <w:overflowPunct/>
        <w:topLinePunct w:val="0"/>
        <w:autoSpaceDE/>
        <w:autoSpaceDN/>
        <w:bidi w:val="0"/>
        <w:adjustRightInd/>
        <w:snapToGrid/>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《关于在城乡建设中加强历史文化保护传承的意见》</w:t>
      </w:r>
    </w:p>
    <w:p>
      <w:pPr>
        <w:pageBreakBefore w:val="0"/>
        <w:widowControl w:val="0"/>
        <w:numPr>
          <w:ilvl w:val="0"/>
          <w:numId w:val="4"/>
        </w:numPr>
        <w:kinsoku/>
        <w:wordWrap/>
        <w:overflowPunct/>
        <w:topLinePunct w:val="0"/>
        <w:autoSpaceDE/>
        <w:autoSpaceDN/>
        <w:bidi w:val="0"/>
        <w:adjustRightInd/>
        <w:snapToGrid/>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《教育强国建设规划纲要（2024－2035年）》</w:t>
      </w:r>
    </w:p>
    <w:p>
      <w:pPr>
        <w:pageBreakBefore w:val="0"/>
        <w:widowControl w:val="0"/>
        <w:numPr>
          <w:ilvl w:val="0"/>
          <w:numId w:val="4"/>
        </w:numPr>
        <w:kinsoku/>
        <w:wordWrap/>
        <w:overflowPunct/>
        <w:topLinePunct w:val="0"/>
        <w:autoSpaceDE/>
        <w:autoSpaceDN/>
        <w:bidi w:val="0"/>
        <w:adjustRightInd/>
        <w:snapToGrid/>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《县域学前教育普及普惠督导评估办法》</w:t>
      </w:r>
    </w:p>
    <w:p>
      <w:pPr>
        <w:pageBreakBefore w:val="0"/>
        <w:widowControl w:val="0"/>
        <w:numPr>
          <w:ilvl w:val="0"/>
          <w:numId w:val="4"/>
        </w:numPr>
        <w:kinsoku/>
        <w:wordWrap/>
        <w:overflowPunct/>
        <w:topLinePunct w:val="0"/>
        <w:autoSpaceDE/>
        <w:autoSpaceDN/>
        <w:bidi w:val="0"/>
        <w:adjustRightInd/>
        <w:snapToGrid/>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《“十四五”数字经济发展规划》</w:t>
      </w:r>
    </w:p>
    <w:p>
      <w:pPr>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2.本市政策文件</w:t>
      </w:r>
    </w:p>
    <w:p>
      <w:pPr>
        <w:pageBreakBefore w:val="0"/>
        <w:widowControl w:val="0"/>
        <w:numPr>
          <w:ilvl w:val="0"/>
          <w:numId w:val="5"/>
        </w:numPr>
        <w:kinsoku/>
        <w:wordWrap/>
        <w:overflowPunct/>
        <w:topLinePunct w:val="0"/>
        <w:autoSpaceDE/>
        <w:autoSpaceDN/>
        <w:bidi w:val="0"/>
        <w:adjustRightInd/>
        <w:snapToGrid/>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《上海教育发展“十四五”规划》</w:t>
      </w:r>
    </w:p>
    <w:p>
      <w:pPr>
        <w:pageBreakBefore w:val="0"/>
        <w:widowControl w:val="0"/>
        <w:numPr>
          <w:ilvl w:val="0"/>
          <w:numId w:val="5"/>
        </w:numPr>
        <w:kinsoku/>
        <w:wordWrap/>
        <w:overflowPunct/>
        <w:topLinePunct w:val="0"/>
        <w:autoSpaceDE/>
        <w:autoSpaceDN/>
        <w:bidi w:val="0"/>
        <w:adjustRightInd/>
        <w:snapToGrid/>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《上海市基础教育“十四五”基本建设规划》</w:t>
      </w:r>
    </w:p>
    <w:p>
      <w:pPr>
        <w:pageBreakBefore w:val="0"/>
        <w:widowControl w:val="0"/>
        <w:numPr>
          <w:ilvl w:val="0"/>
          <w:numId w:val="5"/>
        </w:numPr>
        <w:kinsoku/>
        <w:wordWrap/>
        <w:overflowPunct/>
        <w:topLinePunct w:val="0"/>
        <w:autoSpaceDE/>
        <w:autoSpaceDN/>
        <w:bidi w:val="0"/>
        <w:adjustRightInd/>
        <w:snapToGrid/>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《上海市城镇房屋安全管理三项制度工作方案（试行）》</w:t>
      </w:r>
    </w:p>
    <w:p>
      <w:pPr>
        <w:pageBreakBefore w:val="0"/>
        <w:widowControl w:val="0"/>
        <w:numPr>
          <w:ilvl w:val="0"/>
          <w:numId w:val="5"/>
        </w:numPr>
        <w:kinsoku/>
        <w:wordWrap/>
        <w:overflowPunct/>
        <w:topLinePunct w:val="0"/>
        <w:autoSpaceDE/>
        <w:autoSpaceDN/>
        <w:bidi w:val="0"/>
        <w:adjustRightInd/>
        <w:snapToGrid/>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《上海市管线管理办法》</w:t>
      </w:r>
    </w:p>
    <w:p>
      <w:pPr>
        <w:pageBreakBefore w:val="0"/>
        <w:widowControl w:val="0"/>
        <w:numPr>
          <w:ilvl w:val="0"/>
          <w:numId w:val="5"/>
        </w:numPr>
        <w:kinsoku/>
        <w:wordWrap/>
        <w:overflowPunct/>
        <w:topLinePunct w:val="0"/>
        <w:autoSpaceDE/>
        <w:autoSpaceDN/>
        <w:bidi w:val="0"/>
        <w:adjustRightInd/>
        <w:snapToGrid/>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《上海市全面推进城市数字化转型“十四五”规划》</w:t>
      </w:r>
    </w:p>
    <w:p>
      <w:pPr>
        <w:pageBreakBefore w:val="0"/>
        <w:widowControl w:val="0"/>
        <w:numPr>
          <w:ilvl w:val="0"/>
          <w:numId w:val="5"/>
        </w:numPr>
        <w:kinsoku/>
        <w:wordWrap/>
        <w:overflowPunct/>
        <w:topLinePunct w:val="0"/>
        <w:autoSpaceDE/>
        <w:autoSpaceDN/>
        <w:bidi w:val="0"/>
        <w:adjustRightInd/>
        <w:snapToGrid/>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《上海市教育委员会关于做好2024年上海市教育数字化转型工作的通知》</w:t>
      </w:r>
    </w:p>
    <w:p>
      <w:pPr>
        <w:pStyle w:val="2"/>
        <w:keepNext/>
        <w:keepLines/>
        <w:pageBreakBefore w:val="0"/>
        <w:widowControl w:val="0"/>
        <w:kinsoku/>
        <w:wordWrap/>
        <w:overflowPunct/>
        <w:topLinePunct w:val="0"/>
        <w:autoSpaceDE/>
        <w:autoSpaceDN/>
        <w:bidi w:val="0"/>
        <w:adjustRightInd/>
        <w:snapToGrid/>
        <w:spacing w:before="120" w:after="120"/>
        <w:ind w:left="0" w:leftChars="0" w:firstLine="643" w:firstLineChars="200"/>
        <w:jc w:val="left"/>
        <w:textAlignment w:val="auto"/>
        <w:rPr>
          <w:rFonts w:hint="eastAsia" w:ascii="黑体" w:hAnsi="黑体" w:eastAsia="黑体" w:cs="黑体"/>
        </w:rPr>
      </w:pPr>
      <w:r>
        <w:rPr>
          <w:rFonts w:hint="eastAsia" w:ascii="黑体" w:hAnsi="黑体" w:eastAsia="黑体" w:cs="黑体"/>
          <w:lang w:val="en-US" w:eastAsia="zh-CN"/>
        </w:rPr>
        <w:t>建设目标</w:t>
      </w:r>
    </w:p>
    <w:p>
      <w:pPr>
        <w:pageBreakBefore w:val="0"/>
        <w:widowControl w:val="0"/>
        <w:kinsoku/>
        <w:wordWrap/>
        <w:overflowPunct/>
        <w:topLinePunct w:val="0"/>
        <w:autoSpaceDE/>
        <w:autoSpaceDN/>
        <w:bidi w:val="0"/>
        <w:adjustRightInd/>
        <w:snapToGrid/>
        <w:spacing w:line="520" w:lineRule="exact"/>
        <w:ind w:left="0" w:firstLine="480" w:firstLineChars="200"/>
        <w:textAlignment w:val="auto"/>
      </w:pPr>
      <w:r>
        <w:rPr>
          <w:rFonts w:hint="eastAsia"/>
          <w:lang w:eastAsia="zh-CN"/>
        </w:rPr>
        <w:t>紧密围绕上海教育数字化转型战略，以提升基建管理效能、强化数据辅助决策、优化资源配置、保障教育公平为核心，以数据挖掘技术为支撑，通过将原数据上报、收集统计的传统功能提升为数据标准化采集、智能化治理能力，实现教育基础建设数据高质量归集和共享协同，通过系统性打造全流程、全要素的上海市教育建设系统，充分释放数据价值，推进上海教育高质量发展；同时发挥基本建设对教育内涵发展的先导性、基础性作用，高效管理和统筹利用全市教育硬件资源。</w:t>
      </w:r>
    </w:p>
    <w:p>
      <w:pPr>
        <w:pStyle w:val="2"/>
        <w:keepNext/>
        <w:keepLines/>
        <w:pageBreakBefore w:val="0"/>
        <w:widowControl w:val="0"/>
        <w:kinsoku/>
        <w:wordWrap/>
        <w:overflowPunct/>
        <w:topLinePunct w:val="0"/>
        <w:autoSpaceDE/>
        <w:autoSpaceDN/>
        <w:bidi w:val="0"/>
        <w:adjustRightInd/>
        <w:snapToGrid/>
        <w:spacing w:before="120" w:after="120"/>
        <w:ind w:left="0" w:leftChars="0" w:firstLine="643" w:firstLineChars="200"/>
        <w:jc w:val="left"/>
        <w:textAlignment w:val="auto"/>
        <w:rPr>
          <w:rFonts w:hint="eastAsia" w:ascii="黑体" w:hAnsi="黑体" w:eastAsia="黑体" w:cs="黑体"/>
        </w:rPr>
      </w:pPr>
      <w:r>
        <w:rPr>
          <w:rFonts w:hint="eastAsia" w:ascii="黑体" w:hAnsi="黑体" w:eastAsia="黑体" w:cs="黑体"/>
          <w:lang w:val="en-US" w:eastAsia="zh-CN"/>
        </w:rPr>
        <w:t>项目</w:t>
      </w:r>
      <w:r>
        <w:rPr>
          <w:rFonts w:hint="eastAsia" w:ascii="黑体" w:hAnsi="黑体" w:eastAsia="黑体" w:cs="黑体"/>
        </w:rPr>
        <w:t>建设内容</w:t>
      </w:r>
    </w:p>
    <w:p>
      <w:pPr>
        <w:pageBreakBefore w:val="0"/>
        <w:widowControl w:val="0"/>
        <w:kinsoku/>
        <w:wordWrap/>
        <w:overflowPunct/>
        <w:topLinePunct w:val="0"/>
        <w:autoSpaceDE/>
        <w:autoSpaceDN/>
        <w:bidi w:val="0"/>
        <w:adjustRightInd/>
        <w:snapToGrid/>
        <w:spacing w:line="520" w:lineRule="exact"/>
        <w:ind w:left="0" w:firstLine="480" w:firstLineChars="200"/>
        <w:textAlignment w:val="auto"/>
      </w:pPr>
      <w:r>
        <w:t>本项目升级改造</w:t>
      </w:r>
      <w:r>
        <w:rPr>
          <w:rFonts w:hint="eastAsia"/>
        </w:rPr>
        <w:t>建设包含基础数据库子系统、维修管理子系统、基建管理子系统、校园智建子系统、数据分</w:t>
      </w:r>
      <w:r>
        <w:rPr>
          <w:rFonts w:hint="eastAsia" w:asciiTheme="minorEastAsia" w:hAnsiTheme="minorEastAsia" w:eastAsiaTheme="minorEastAsia" w:cstheme="minorEastAsia"/>
        </w:rPr>
        <w:t>析子系统、用户管理子系统和密码应用改造</w:t>
      </w:r>
      <w:r>
        <w:rPr>
          <w:rFonts w:hint="eastAsia" w:asciiTheme="minorEastAsia" w:hAnsiTheme="minorEastAsia" w:cstheme="minorEastAsia"/>
          <w:lang w:val="en-US" w:eastAsia="zh-CN"/>
        </w:rPr>
        <w:t>等</w:t>
      </w:r>
      <w:r>
        <w:rPr>
          <w:rFonts w:hint="eastAsia" w:asciiTheme="minorEastAsia" w:hAnsiTheme="minorEastAsia" w:eastAsiaTheme="minorEastAsia" w:cstheme="minorEastAsia"/>
        </w:rPr>
        <w:t>7个部分，具体功能简述如下：</w:t>
      </w:r>
    </w:p>
    <w:p>
      <w:pPr>
        <w:pageBreakBefore w:val="0"/>
        <w:widowControl w:val="0"/>
        <w:numPr>
          <w:ilvl w:val="0"/>
          <w:numId w:val="6"/>
        </w:numPr>
        <w:kinsoku/>
        <w:wordWrap/>
        <w:overflowPunct/>
        <w:topLinePunct w:val="0"/>
        <w:autoSpaceDE/>
        <w:autoSpaceDN/>
        <w:bidi w:val="0"/>
        <w:adjustRightInd/>
        <w:snapToGrid/>
        <w:spacing w:line="520" w:lineRule="exact"/>
        <w:ind w:left="0" w:firstLine="480" w:firstLineChars="200"/>
        <w:textAlignment w:val="auto"/>
        <w:rPr>
          <w:b w:val="0"/>
          <w:bCs w:val="0"/>
          <w:sz w:val="24"/>
          <w:szCs w:val="24"/>
        </w:rPr>
      </w:pPr>
      <w:r>
        <w:rPr>
          <w:b w:val="0"/>
          <w:bCs w:val="0"/>
          <w:sz w:val="24"/>
          <w:szCs w:val="24"/>
        </w:rPr>
        <w:t>基础数据库子系统</w:t>
      </w:r>
    </w:p>
    <w:p>
      <w:pPr>
        <w:pageBreakBefore w:val="0"/>
        <w:widowControl w:val="0"/>
        <w:kinsoku/>
        <w:wordWrap/>
        <w:overflowPunct/>
        <w:topLinePunct w:val="0"/>
        <w:autoSpaceDE/>
        <w:autoSpaceDN/>
        <w:bidi w:val="0"/>
        <w:adjustRightInd/>
        <w:snapToGrid/>
        <w:spacing w:line="520" w:lineRule="exact"/>
        <w:ind w:left="0" w:firstLine="480" w:firstLineChars="200"/>
        <w:textAlignment w:val="auto"/>
      </w:pPr>
      <w:r>
        <w:rPr>
          <w:rFonts w:hint="eastAsia"/>
        </w:rPr>
        <w:t>基础数据库子系统主要用来掌握全市各级各类学校及委直属单位的占地、建筑现状，辅助管理和统筹利用全市教育硬件资源，该子系统形成了教育基础建设管理的数据底座。</w:t>
      </w:r>
    </w:p>
    <w:p>
      <w:pPr>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heme="minorEastAsia" w:hAnsiTheme="minorEastAsia" w:eastAsiaTheme="minorEastAsia" w:cstheme="minorEastAsia"/>
        </w:rPr>
      </w:pPr>
      <w:r>
        <w:rPr>
          <w:rFonts w:hint="eastAsia"/>
        </w:rPr>
        <w:t>该子系统</w:t>
      </w:r>
      <w:r>
        <w:rPr>
          <w:rFonts w:hint="eastAsia" w:asciiTheme="minorEastAsia" w:hAnsiTheme="minorEastAsia" w:eastAsiaTheme="minorEastAsia" w:cstheme="minorEastAsia"/>
        </w:rPr>
        <w:t>共有6个模块，分别是基础数据工作台、基础数据、数据聚集、日常管理、统计分析和标准资料。</w:t>
      </w:r>
    </w:p>
    <w:p>
      <w:pPr>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其中，新增的模块有：基础数据工作台。升级的模块有：基础数据、数据聚集以及日常管理的学校管理模块。</w:t>
      </w:r>
    </w:p>
    <w:p>
      <w:pPr>
        <w:pageBreakBefore w:val="0"/>
        <w:widowControl w:val="0"/>
        <w:kinsoku/>
        <w:wordWrap/>
        <w:overflowPunct/>
        <w:topLinePunct w:val="0"/>
        <w:autoSpaceDE/>
        <w:autoSpaceDN/>
        <w:bidi w:val="0"/>
        <w:adjustRightInd/>
        <w:snapToGrid/>
        <w:spacing w:line="520" w:lineRule="exact"/>
        <w:ind w:left="0" w:firstLine="480" w:firstLineChars="200"/>
        <w:textAlignment w:val="auto"/>
      </w:pPr>
      <w:r>
        <w:rPr>
          <w:rFonts w:hint="eastAsia"/>
        </w:rPr>
        <w:t>软件开发功能包括如下：</w:t>
      </w:r>
    </w:p>
    <w:tbl>
      <w:tblPr>
        <w:tblStyle w:val="1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34"/>
        <w:gridCol w:w="1021"/>
        <w:gridCol w:w="945"/>
        <w:gridCol w:w="945"/>
        <w:gridCol w:w="3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trPr>
        <w:tc>
          <w:tcPr>
            <w:tcW w:w="993"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子系统</w:t>
            </w:r>
          </w:p>
        </w:tc>
        <w:tc>
          <w:tcPr>
            <w:tcW w:w="1134"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模块</w:t>
            </w:r>
          </w:p>
        </w:tc>
        <w:tc>
          <w:tcPr>
            <w:tcW w:w="102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一级功能名称</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二级功能名称</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三级功能名称</w:t>
            </w:r>
          </w:p>
        </w:tc>
        <w:tc>
          <w:tcPr>
            <w:tcW w:w="3893" w:type="dxa"/>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93"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基础数据库子系统</w:t>
            </w:r>
          </w:p>
        </w:tc>
        <w:tc>
          <w:tcPr>
            <w:tcW w:w="1134"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基础数据工作台</w:t>
            </w:r>
          </w:p>
        </w:tc>
        <w:tc>
          <w:tcPr>
            <w:tcW w:w="102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学校现状概况</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893" w:type="dxa"/>
          </w:tcPr>
          <w:p>
            <w:pPr>
              <w:pStyle w:val="26"/>
              <w:spacing w:line="360" w:lineRule="auto"/>
              <w:rPr>
                <w:rFonts w:cs="Times New Roman" w:asciiTheme="minorEastAsia" w:hAnsiTheme="minorEastAsia" w:eastAsiaTheme="minorEastAsia"/>
                <w:sz w:val="22"/>
                <w:szCs w:val="22"/>
              </w:rPr>
            </w:pPr>
            <w:r>
              <w:rPr>
                <w:rFonts w:hint="eastAsia" w:cs="Times New Roman" w:asciiTheme="minorEastAsia" w:hAnsiTheme="minorEastAsia" w:eastAsiaTheme="minorEastAsia"/>
                <w:sz w:val="22"/>
                <w:szCs w:val="22"/>
              </w:rPr>
              <w:t>1.基于市、区、校三级权限分级展示填报与审核进度，统计填</w:t>
            </w:r>
            <w:r>
              <w:rPr>
                <w:rFonts w:hint="eastAsia" w:cs="Times New Roman" w:asciiTheme="minorEastAsia" w:hAnsiTheme="minorEastAsia" w:eastAsiaTheme="minorEastAsia"/>
                <w:spacing w:val="1"/>
                <w:sz w:val="22"/>
                <w:szCs w:val="22"/>
              </w:rPr>
              <w:t>报完成状态，并内置快捷入口。市级可监控</w:t>
            </w:r>
            <w:r>
              <w:rPr>
                <w:rFonts w:hint="eastAsia" w:cs="Times New Roman" w:asciiTheme="minorEastAsia" w:hAnsiTheme="minorEastAsia" w:eastAsiaTheme="minorEastAsia"/>
                <w:sz w:val="22"/>
                <w:szCs w:val="22"/>
              </w:rPr>
              <w:t>全市进度并评估各</w:t>
            </w:r>
            <w:r>
              <w:rPr>
                <w:rFonts w:hint="eastAsia" w:cs="Times New Roman" w:asciiTheme="minorEastAsia" w:hAnsiTheme="minorEastAsia" w:eastAsiaTheme="minorEastAsia"/>
                <w:spacing w:val="1"/>
                <w:sz w:val="22"/>
                <w:szCs w:val="22"/>
              </w:rPr>
              <w:t>区工作；区级统览管辖单位填报全局；校级</w:t>
            </w:r>
            <w:r>
              <w:rPr>
                <w:rFonts w:hint="eastAsia" w:cs="Times New Roman" w:asciiTheme="minorEastAsia" w:hAnsiTheme="minorEastAsia" w:eastAsiaTheme="minorEastAsia"/>
                <w:sz w:val="22"/>
                <w:szCs w:val="22"/>
              </w:rPr>
              <w:t>精准定位本单位填</w:t>
            </w:r>
            <w:r>
              <w:rPr>
                <w:rFonts w:hint="eastAsia" w:cs="Times New Roman" w:asciiTheme="minorEastAsia" w:hAnsiTheme="minorEastAsia" w:eastAsiaTheme="minorEastAsia"/>
                <w:spacing w:val="-1"/>
                <w:sz w:val="22"/>
                <w:szCs w:val="22"/>
              </w:rPr>
              <w:t>报阶段与操作记录。</w:t>
            </w:r>
          </w:p>
          <w:p>
            <w:pPr>
              <w:pStyle w:val="26"/>
              <w:spacing w:line="360" w:lineRule="auto"/>
              <w:rPr>
                <w:rFonts w:hint="eastAsia" w:cs="Times New Roman" w:asciiTheme="minorEastAsia" w:hAnsiTheme="minorEastAsia" w:eastAsiaTheme="minorEastAsia"/>
                <w:sz w:val="22"/>
                <w:szCs w:val="22"/>
              </w:rPr>
            </w:pPr>
            <w:r>
              <w:rPr>
                <w:rFonts w:hint="eastAsia" w:cs="Times New Roman" w:asciiTheme="minorEastAsia" w:hAnsiTheme="minorEastAsia" w:eastAsiaTheme="minorEastAsia"/>
                <w:spacing w:val="-1"/>
                <w:sz w:val="22"/>
                <w:szCs w:val="22"/>
              </w:rPr>
              <w:t>2.提供填报人员操作记录。</w:t>
            </w:r>
          </w:p>
          <w:p>
            <w:pPr>
              <w:widowControl/>
              <w:adjustRightInd w:val="0"/>
              <w:snapToGrid w:val="0"/>
              <w:jc w:val="left"/>
              <w:rPr>
                <w:rFonts w:hint="eastAsia" w:cs="宋体" w:asciiTheme="minorEastAsia" w:hAnsiTheme="minorEastAsia"/>
                <w:color w:val="000000"/>
                <w:kern w:val="0"/>
                <w:sz w:val="22"/>
                <w:szCs w:val="22"/>
              </w:rPr>
            </w:pPr>
            <w:r>
              <w:rPr>
                <w:rFonts w:hint="eastAsia" w:cs="Times New Roman" w:asciiTheme="minorEastAsia" w:hAnsiTheme="minorEastAsia"/>
                <w:sz w:val="22"/>
                <w:szCs w:val="22"/>
              </w:rPr>
              <w:t>3.结合动态可视化图表辅助分级监管，强化填报规范性与进度</w:t>
            </w:r>
            <w:r>
              <w:rPr>
                <w:rFonts w:hint="eastAsia" w:cs="Times New Roman" w:asciiTheme="minorEastAsia" w:hAnsiTheme="minorEastAsia"/>
                <w:spacing w:val="-1"/>
                <w:sz w:val="22"/>
                <w:szCs w:val="22"/>
              </w:rPr>
              <w:t>把控效率，满足不同层级管理需求。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基础数据</w:t>
            </w:r>
          </w:p>
        </w:tc>
        <w:tc>
          <w:tcPr>
            <w:tcW w:w="1021"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填报数据</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表单中心</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893" w:type="dxa"/>
          </w:tcPr>
          <w:p>
            <w:pPr>
              <w:pStyle w:val="26"/>
              <w:spacing w:line="360" w:lineRule="auto"/>
              <w:rPr>
                <w:rFonts w:cs="Times New Roman" w:asciiTheme="minorEastAsia" w:hAnsiTheme="minorEastAsia" w:eastAsiaTheme="minorEastAsia"/>
                <w:sz w:val="22"/>
                <w:szCs w:val="22"/>
              </w:rPr>
            </w:pPr>
            <w:r>
              <w:rPr>
                <w:rFonts w:hint="eastAsia" w:cs="Times New Roman" w:asciiTheme="minorEastAsia" w:hAnsiTheme="minorEastAsia" w:eastAsiaTheme="minorEastAsia"/>
                <w:sz w:val="22"/>
                <w:szCs w:val="22"/>
              </w:rPr>
              <w:t>1.以不同的颜色来区分各表单的类型（如需填写、由系统汇</w:t>
            </w:r>
            <w:r>
              <w:rPr>
                <w:rFonts w:hint="eastAsia" w:cs="Times New Roman" w:asciiTheme="minorEastAsia" w:hAnsiTheme="minorEastAsia" w:eastAsiaTheme="minorEastAsia"/>
                <w:spacing w:val="-1"/>
                <w:sz w:val="22"/>
                <w:szCs w:val="22"/>
              </w:rPr>
              <w:t>总）和状态（如未填写、填写中、已完成）</w:t>
            </w:r>
          </w:p>
          <w:p>
            <w:pPr>
              <w:widowControl/>
              <w:adjustRightInd w:val="0"/>
              <w:snapToGrid w:val="0"/>
              <w:jc w:val="left"/>
              <w:rPr>
                <w:rFonts w:hint="eastAsia" w:cs="宋体" w:asciiTheme="minorEastAsia" w:hAnsiTheme="minorEastAsia"/>
                <w:color w:val="000000"/>
                <w:kern w:val="0"/>
                <w:sz w:val="22"/>
                <w:szCs w:val="22"/>
              </w:rPr>
            </w:pPr>
            <w:r>
              <w:rPr>
                <w:rFonts w:hint="eastAsia" w:cs="Times New Roman" w:asciiTheme="minorEastAsia" w:hAnsiTheme="minorEastAsia"/>
                <w:sz w:val="22"/>
                <w:szCs w:val="22"/>
              </w:rPr>
              <w:t>2.显示整套报表的填报状态（如未填写、维护中、已上报、已</w:t>
            </w:r>
            <w:r>
              <w:rPr>
                <w:rFonts w:hint="eastAsia" w:cs="Times New Roman" w:asciiTheme="minorEastAsia" w:hAnsiTheme="minorEastAsia"/>
                <w:spacing w:val="-3"/>
                <w:sz w:val="22"/>
                <w:szCs w:val="22"/>
              </w:rPr>
              <w:t>通过、已退回）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2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表单填报</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893" w:type="dxa"/>
          </w:tcPr>
          <w:p>
            <w:pPr>
              <w:pStyle w:val="26"/>
              <w:spacing w:line="360" w:lineRule="auto"/>
              <w:rPr>
                <w:rFonts w:hint="eastAsia" w:cs="Times New Roman" w:asciiTheme="minorEastAsia" w:hAnsiTheme="minorEastAsia" w:eastAsiaTheme="minorEastAsia"/>
                <w:sz w:val="22"/>
                <w:szCs w:val="22"/>
              </w:rPr>
            </w:pPr>
            <w:r>
              <w:rPr>
                <w:rFonts w:hint="eastAsia" w:cs="Times New Roman" w:asciiTheme="minorEastAsia" w:hAnsiTheme="minorEastAsia" w:eastAsiaTheme="minorEastAsia"/>
                <w:sz w:val="22"/>
                <w:szCs w:val="22"/>
              </w:rPr>
              <w:t>采集与教育资源测算相关的信息，新增和升级4张表单，如学校规模表、校舍使用情况表等；支持对单表数据校验。</w:t>
            </w:r>
          </w:p>
          <w:p>
            <w:pPr>
              <w:pStyle w:val="26"/>
              <w:spacing w:line="360" w:lineRule="auto"/>
              <w:rPr>
                <w:rFonts w:hint="eastAsia" w:cs="Times New Roman" w:asciiTheme="minorEastAsia" w:hAnsiTheme="minorEastAsia" w:eastAsiaTheme="minorEastAsia"/>
                <w:sz w:val="22"/>
                <w:szCs w:val="22"/>
              </w:rPr>
            </w:pPr>
            <w:r>
              <w:rPr>
                <w:rFonts w:hint="eastAsia" w:cs="Times New Roman" w:asciiTheme="minorEastAsia" w:hAnsiTheme="minorEastAsia" w:eastAsiaTheme="minorEastAsia"/>
                <w:spacing w:val="-2"/>
                <w:sz w:val="22"/>
                <w:szCs w:val="22"/>
              </w:rPr>
              <w:t>新增表单包括：</w:t>
            </w:r>
          </w:p>
          <w:p>
            <w:pPr>
              <w:pStyle w:val="26"/>
              <w:spacing w:line="360" w:lineRule="auto"/>
              <w:rPr>
                <w:rFonts w:hint="eastAsia" w:cs="Times New Roman" w:asciiTheme="minorEastAsia" w:hAnsiTheme="minorEastAsia" w:eastAsiaTheme="minorEastAsia"/>
                <w:sz w:val="22"/>
                <w:szCs w:val="22"/>
              </w:rPr>
            </w:pPr>
            <w:r>
              <w:rPr>
                <w:rFonts w:hint="eastAsia" w:cs="Times New Roman" w:asciiTheme="minorEastAsia" w:hAnsiTheme="minorEastAsia" w:eastAsiaTheme="minorEastAsia"/>
                <w:sz w:val="22"/>
                <w:szCs w:val="22"/>
              </w:rPr>
              <w:t>①基教表6：地块（校区）规模情况表：①包括规模/实际在校生总数、规模/实际教师工总数、各学段的学生数等数据。②与数据聚集模块联动，实现在校生数数据的联动更新。</w:t>
            </w:r>
          </w:p>
          <w:p>
            <w:pPr>
              <w:pStyle w:val="26"/>
              <w:spacing w:line="360" w:lineRule="auto"/>
              <w:rPr>
                <w:rFonts w:hint="eastAsia" w:cs="Times New Roman" w:asciiTheme="minorEastAsia" w:hAnsiTheme="minorEastAsia" w:eastAsiaTheme="minorEastAsia"/>
                <w:sz w:val="22"/>
                <w:szCs w:val="22"/>
              </w:rPr>
            </w:pPr>
            <w:r>
              <w:rPr>
                <w:rFonts w:hint="eastAsia" w:cs="Times New Roman" w:asciiTheme="minorEastAsia" w:hAnsiTheme="minorEastAsia" w:eastAsiaTheme="minorEastAsia"/>
                <w:sz w:val="22"/>
                <w:szCs w:val="22"/>
              </w:rPr>
              <w:t>②表7：地块（校区）历保、文保情况，历史文化保护信息，包括历保文保名称、是否位于历史文化风貌区、照片和视频等</w:t>
            </w:r>
            <w:r>
              <w:rPr>
                <w:rFonts w:hint="eastAsia" w:cs="Times New Roman" w:asciiTheme="minorEastAsia" w:hAnsiTheme="minorEastAsia" w:eastAsiaTheme="minorEastAsia"/>
                <w:spacing w:val="-4"/>
                <w:sz w:val="22"/>
                <w:szCs w:val="22"/>
              </w:rPr>
              <w:t>数据。</w:t>
            </w:r>
          </w:p>
          <w:p>
            <w:pPr>
              <w:pStyle w:val="26"/>
              <w:spacing w:line="360" w:lineRule="auto"/>
              <w:rPr>
                <w:rFonts w:hint="eastAsia" w:cs="Times New Roman" w:asciiTheme="minorEastAsia" w:hAnsiTheme="minorEastAsia" w:eastAsiaTheme="minorEastAsia"/>
                <w:sz w:val="22"/>
                <w:szCs w:val="22"/>
              </w:rPr>
            </w:pPr>
            <w:r>
              <w:rPr>
                <w:rFonts w:hint="eastAsia" w:cs="Times New Roman" w:asciiTheme="minorEastAsia" w:hAnsiTheme="minorEastAsia" w:eastAsiaTheme="minorEastAsia"/>
                <w:spacing w:val="-2"/>
                <w:sz w:val="22"/>
                <w:szCs w:val="22"/>
              </w:rPr>
              <w:t>升级表单包括：</w:t>
            </w:r>
          </w:p>
          <w:p>
            <w:pPr>
              <w:pStyle w:val="26"/>
              <w:spacing w:line="360" w:lineRule="auto"/>
              <w:rPr>
                <w:rFonts w:hint="eastAsia" w:cs="Times New Roman" w:asciiTheme="minorEastAsia" w:hAnsiTheme="minorEastAsia" w:eastAsiaTheme="minorEastAsia"/>
                <w:sz w:val="22"/>
                <w:szCs w:val="22"/>
              </w:rPr>
            </w:pPr>
            <w:r>
              <w:rPr>
                <w:rFonts w:hint="eastAsia" w:cs="Times New Roman" w:asciiTheme="minorEastAsia" w:hAnsiTheme="minorEastAsia" w:eastAsiaTheme="minorEastAsia"/>
                <w:sz w:val="22"/>
                <w:szCs w:val="22"/>
              </w:rPr>
              <w:t>①表8：地块（校区）权证情况表：增加土地状况、房屋状况</w:t>
            </w:r>
            <w:r>
              <w:rPr>
                <w:rFonts w:hint="eastAsia" w:cs="Times New Roman" w:asciiTheme="minorEastAsia" w:hAnsiTheme="minorEastAsia" w:eastAsiaTheme="minorEastAsia"/>
                <w:spacing w:val="-1"/>
                <w:sz w:val="22"/>
                <w:szCs w:val="22"/>
              </w:rPr>
              <w:t>等数据，支持上传附件。</w:t>
            </w:r>
          </w:p>
          <w:p>
            <w:pPr>
              <w:widowControl/>
              <w:adjustRightInd w:val="0"/>
              <w:snapToGrid w:val="0"/>
              <w:jc w:val="left"/>
              <w:rPr>
                <w:rFonts w:hint="eastAsia" w:cs="宋体" w:asciiTheme="minorEastAsia" w:hAnsiTheme="minorEastAsia"/>
                <w:color w:val="000000"/>
                <w:kern w:val="0"/>
                <w:sz w:val="22"/>
                <w:szCs w:val="22"/>
              </w:rPr>
            </w:pPr>
            <w:r>
              <w:rPr>
                <w:rFonts w:hint="eastAsia" w:cs="Times New Roman" w:asciiTheme="minorEastAsia" w:hAnsiTheme="minorEastAsia"/>
                <w:sz w:val="22"/>
                <w:szCs w:val="22"/>
              </w:rPr>
              <w:t>②表10-1：地块（校区）建筑物情况表：增加对接随申办的校园物码信息， 包括建筑经纬度、物码代码、物码二维码图片链</w:t>
            </w:r>
            <w:r>
              <w:rPr>
                <w:rFonts w:hint="eastAsia" w:cs="Times New Roman" w:asciiTheme="minorEastAsia" w:hAnsiTheme="minorEastAsia"/>
                <w:spacing w:val="-3"/>
                <w:sz w:val="22"/>
                <w:szCs w:val="22"/>
              </w:rPr>
              <w:t>接等信息。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2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表单统计</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893" w:type="dxa"/>
          </w:tcPr>
          <w:p>
            <w:pPr>
              <w:pStyle w:val="26"/>
              <w:keepNext w:val="0"/>
              <w:keepLines w:val="0"/>
              <w:pageBreakBefore w:val="0"/>
              <w:widowControl/>
              <w:kinsoku/>
              <w:wordWrap/>
              <w:overflowPunct/>
              <w:topLinePunct/>
              <w:bidi w:val="0"/>
              <w:adjustRightInd w:val="0"/>
              <w:snapToGrid w:val="0"/>
              <w:spacing w:line="360" w:lineRule="auto"/>
              <w:rPr>
                <w:rFonts w:hint="eastAsia" w:cs="Times New Roman" w:asciiTheme="minorEastAsia" w:hAnsiTheme="minorEastAsia" w:eastAsiaTheme="minorEastAsia"/>
                <w:sz w:val="22"/>
                <w:szCs w:val="22"/>
              </w:rPr>
            </w:pPr>
            <w:r>
              <w:rPr>
                <w:rFonts w:hint="eastAsia" w:cs="Times New Roman" w:asciiTheme="minorEastAsia" w:hAnsiTheme="minorEastAsia" w:eastAsiaTheme="minorEastAsia"/>
                <w:spacing w:val="-1"/>
                <w:sz w:val="22"/>
                <w:szCs w:val="22"/>
              </w:rPr>
              <w:t>自动生成4张统计表，用于学校建设测算</w:t>
            </w:r>
          </w:p>
          <w:p>
            <w:pPr>
              <w:pStyle w:val="26"/>
              <w:keepNext w:val="0"/>
              <w:keepLines w:val="0"/>
              <w:pageBreakBefore w:val="0"/>
              <w:widowControl/>
              <w:kinsoku/>
              <w:wordWrap/>
              <w:overflowPunct/>
              <w:topLinePunct/>
              <w:bidi w:val="0"/>
              <w:adjustRightInd w:val="0"/>
              <w:snapToGrid w:val="0"/>
              <w:spacing w:line="360" w:lineRule="auto"/>
              <w:rPr>
                <w:rFonts w:hint="eastAsia" w:cs="Times New Roman" w:asciiTheme="minorEastAsia" w:hAnsiTheme="minorEastAsia" w:eastAsiaTheme="minorEastAsia"/>
                <w:sz w:val="22"/>
                <w:szCs w:val="22"/>
              </w:rPr>
            </w:pPr>
            <w:r>
              <w:rPr>
                <w:rFonts w:hint="eastAsia" w:cs="Times New Roman" w:asciiTheme="minorEastAsia" w:hAnsiTheme="minorEastAsia" w:eastAsiaTheme="minorEastAsia"/>
                <w:spacing w:val="-2"/>
                <w:sz w:val="22"/>
                <w:szCs w:val="22"/>
              </w:rPr>
              <w:t>新增统计表包括：</w:t>
            </w:r>
          </w:p>
          <w:p>
            <w:pPr>
              <w:pStyle w:val="26"/>
              <w:keepNext w:val="0"/>
              <w:keepLines w:val="0"/>
              <w:pageBreakBefore w:val="0"/>
              <w:widowControl/>
              <w:kinsoku/>
              <w:wordWrap/>
              <w:overflowPunct/>
              <w:topLinePunct/>
              <w:bidi w:val="0"/>
              <w:adjustRightInd w:val="0"/>
              <w:snapToGrid w:val="0"/>
              <w:spacing w:line="360" w:lineRule="auto"/>
              <w:rPr>
                <w:rFonts w:hint="eastAsia" w:asciiTheme="minorEastAsia" w:hAnsiTheme="minorEastAsia" w:eastAsiaTheme="minorEastAsia"/>
                <w:sz w:val="22"/>
                <w:szCs w:val="22"/>
              </w:rPr>
            </w:pPr>
            <w:r>
              <w:rPr>
                <w:rFonts w:hint="eastAsia" w:cs="Times New Roman" w:asciiTheme="minorEastAsia" w:hAnsiTheme="minorEastAsia" w:eastAsiaTheme="minorEastAsia"/>
                <w:sz w:val="22"/>
                <w:szCs w:val="22"/>
              </w:rPr>
              <w:t>①表2:单位/学校(机构)基本情况表：该表单约50多个字段，涵</w:t>
            </w:r>
            <w:r>
              <w:rPr>
                <w:rFonts w:hint="eastAsia" w:cs="Times New Roman" w:asciiTheme="minorEastAsia" w:hAnsiTheme="minorEastAsia" w:eastAsiaTheme="minorEastAsia"/>
                <w:spacing w:val="1"/>
                <w:sz w:val="22"/>
                <w:szCs w:val="22"/>
              </w:rPr>
              <w:t>盖基础信息、地块 / 校区概况、单个校区情</w:t>
            </w:r>
            <w:r>
              <w:rPr>
                <w:rFonts w:hint="eastAsia" w:cs="Times New Roman" w:asciiTheme="minorEastAsia" w:hAnsiTheme="minorEastAsia" w:eastAsiaTheme="minorEastAsia"/>
                <w:sz w:val="22"/>
                <w:szCs w:val="22"/>
              </w:rPr>
              <w:t>况、权属情况四大</w:t>
            </w:r>
            <w:r>
              <w:rPr>
                <w:rFonts w:hint="eastAsia" w:cs="Times New Roman" w:asciiTheme="minorEastAsia" w:hAnsiTheme="minorEastAsia" w:eastAsiaTheme="minorEastAsia"/>
                <w:spacing w:val="1"/>
                <w:sz w:val="22"/>
                <w:szCs w:val="22"/>
              </w:rPr>
              <w:t>模块，涉及名称、数量、面积、比率、产权状</w:t>
            </w:r>
            <w:r>
              <w:rPr>
                <w:rFonts w:hint="eastAsia" w:cs="Times New Roman" w:asciiTheme="minorEastAsia" w:hAnsiTheme="minorEastAsia" w:eastAsiaTheme="minorEastAsia"/>
                <w:sz w:val="22"/>
                <w:szCs w:val="22"/>
              </w:rPr>
              <w:t>态等多类数据项</w:t>
            </w:r>
            <w:r>
              <w:rPr>
                <w:rFonts w:hint="eastAsia" w:cs="Times New Roman" w:asciiTheme="minorEastAsia" w:hAnsiTheme="minorEastAsia" w:eastAsiaTheme="minorEastAsia"/>
                <w:position w:val="1"/>
                <w:sz w:val="22"/>
                <w:szCs w:val="22"/>
              </w:rPr>
              <w:t>。</w:t>
            </w:r>
            <w:r>
              <w:rPr>
                <w:rFonts w:hint="eastAsia" w:cs="Times New Roman" w:asciiTheme="minorEastAsia" w:hAnsiTheme="minorEastAsia" w:eastAsiaTheme="minorEastAsia"/>
                <w:sz w:val="22"/>
                <w:szCs w:val="22"/>
              </w:rPr>
              <w:t>②表3：单位/学校(机构)规模表：该表单聚焦基础教育模块，约10多个字段。涵盖年级数、设计规模、在校生数、教职工数</w:t>
            </w:r>
            <w:r>
              <w:rPr>
                <w:rFonts w:hint="eastAsia" w:cs="Times New Roman" w:asciiTheme="minorEastAsia" w:hAnsiTheme="minorEastAsia" w:eastAsiaTheme="minorEastAsia"/>
                <w:spacing w:val="-1"/>
                <w:sz w:val="22"/>
                <w:szCs w:val="22"/>
              </w:rPr>
              <w:t>等，涉及数据整合与统计逻辑。</w:t>
            </w:r>
            <w:r>
              <w:rPr>
                <w:rFonts w:hint="eastAsia" w:cs="Times New Roman" w:asciiTheme="minorEastAsia" w:hAnsiTheme="minorEastAsia" w:eastAsiaTheme="minorEastAsia"/>
                <w:sz w:val="22"/>
                <w:szCs w:val="22"/>
              </w:rPr>
              <w:t>③表5：地块（校区）基本情况表：该表单含地块</w:t>
            </w:r>
            <w:r>
              <w:rPr>
                <w:rFonts w:hint="eastAsia" w:cs="Times New Roman" w:asciiTheme="minorEastAsia" w:hAnsiTheme="minorEastAsia" w:eastAsiaTheme="minorEastAsia"/>
                <w:spacing w:val="20"/>
                <w:w w:val="102"/>
                <w:sz w:val="22"/>
                <w:szCs w:val="22"/>
              </w:rPr>
              <w:t xml:space="preserve"> </w:t>
            </w:r>
            <w:r>
              <w:rPr>
                <w:rFonts w:hint="eastAsia" w:cs="Times New Roman" w:asciiTheme="minorEastAsia" w:hAnsiTheme="minorEastAsia" w:eastAsiaTheme="minorEastAsia"/>
                <w:sz w:val="22"/>
                <w:szCs w:val="22"/>
              </w:rPr>
              <w:t>(校区) 概况  、建筑概况、现有用地概况、权属概况模块，约50多个字段。</w:t>
            </w:r>
            <w:r>
              <w:rPr>
                <w:rFonts w:hint="eastAsia" w:cs="Times New Roman" w:asciiTheme="minorEastAsia" w:hAnsiTheme="minorEastAsia" w:eastAsiaTheme="minorEastAsia"/>
                <w:spacing w:val="-1"/>
                <w:sz w:val="22"/>
                <w:szCs w:val="22"/>
              </w:rPr>
              <w:t>涉及班级、师生、面积、权属等统计。</w:t>
            </w:r>
            <w:r>
              <w:rPr>
                <w:rFonts w:hint="eastAsia" w:cs="Times New Roman" w:asciiTheme="minorEastAsia" w:hAnsiTheme="minorEastAsia" w:eastAsiaTheme="minorEastAsia"/>
                <w:sz w:val="22"/>
                <w:szCs w:val="22"/>
              </w:rPr>
              <w:t>④基教的表11：地块（校区）校舍使用情况汇总表：该表单分为公共字段及幼儿园、中小学、其他三类办学类型模块，约</w:t>
            </w:r>
            <w:r>
              <w:rPr>
                <w:rFonts w:hint="eastAsia" w:cs="Times New Roman" w:asciiTheme="minorEastAsia" w:hAnsiTheme="minorEastAsia" w:eastAsiaTheme="minorEastAsia"/>
                <w:spacing w:val="-2"/>
                <w:sz w:val="22"/>
                <w:szCs w:val="22"/>
              </w:rPr>
              <w:t>100多个字段。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2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表单勾稽关系检验</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893" w:type="dxa"/>
          </w:tcPr>
          <w:p>
            <w:pPr>
              <w:keepNext w:val="0"/>
              <w:keepLines w:val="0"/>
              <w:pageBreakBefore w:val="0"/>
              <w:widowControl/>
              <w:kinsoku/>
              <w:wordWrap/>
              <w:overflowPunct/>
              <w:topLinePunct/>
              <w:bidi w:val="0"/>
              <w:adjustRightInd w:val="0"/>
              <w:snapToGrid w:val="0"/>
              <w:jc w:val="left"/>
              <w:rPr>
                <w:rFonts w:hint="eastAsia" w:cs="宋体" w:asciiTheme="minorEastAsia" w:hAnsiTheme="minorEastAsia"/>
                <w:color w:val="000000"/>
                <w:kern w:val="0"/>
                <w:sz w:val="22"/>
                <w:szCs w:val="22"/>
              </w:rPr>
            </w:pPr>
            <w:r>
              <w:rPr>
                <w:rFonts w:hint="eastAsia" w:cs="Times New Roman" w:asciiTheme="minorEastAsia" w:hAnsiTheme="minorEastAsia"/>
                <w:sz w:val="22"/>
                <w:szCs w:val="22"/>
              </w:rPr>
              <w:t>自动检查各表单间的数据关系是否一致和合理，确保填报数据</w:t>
            </w:r>
            <w:r>
              <w:rPr>
                <w:rFonts w:hint="eastAsia" w:cs="Times New Roman" w:asciiTheme="minorEastAsia" w:hAnsiTheme="minorEastAsia"/>
                <w:spacing w:val="-2"/>
                <w:sz w:val="22"/>
                <w:szCs w:val="22"/>
              </w:rPr>
              <w:t>的准确性和完整性。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2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审批数据</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区级审批</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表单审核</w:t>
            </w:r>
          </w:p>
        </w:tc>
        <w:tc>
          <w:tcPr>
            <w:tcW w:w="3893" w:type="dxa"/>
          </w:tcPr>
          <w:p>
            <w:pPr>
              <w:keepNext w:val="0"/>
              <w:keepLines w:val="0"/>
              <w:pageBreakBefore w:val="0"/>
              <w:widowControl/>
              <w:kinsoku/>
              <w:wordWrap/>
              <w:overflowPunct/>
              <w:topLinePunct/>
              <w:bidi w:val="0"/>
              <w:adjustRightInd w:val="0"/>
              <w:snapToGrid w:val="0"/>
              <w:jc w:val="left"/>
              <w:rPr>
                <w:rFonts w:hint="eastAsia" w:cs="宋体" w:asciiTheme="minorEastAsia" w:hAnsiTheme="minorEastAsia"/>
                <w:color w:val="000000"/>
                <w:kern w:val="0"/>
                <w:sz w:val="22"/>
                <w:szCs w:val="22"/>
              </w:rPr>
            </w:pPr>
            <w:r>
              <w:rPr>
                <w:rFonts w:hint="eastAsia" w:cs="Times New Roman" w:asciiTheme="minorEastAsia" w:hAnsiTheme="minorEastAsia"/>
                <w:sz w:val="22"/>
                <w:szCs w:val="22"/>
              </w:rPr>
              <w:t>区级用户按用户权限查看、审批本级下属的学校表</w:t>
            </w:r>
            <w:r>
              <w:rPr>
                <w:rFonts w:hint="eastAsia" w:cs="Times New Roman" w:asciiTheme="minorEastAsia" w:hAnsiTheme="minorEastAsia"/>
                <w:spacing w:val="-1"/>
                <w:sz w:val="22"/>
                <w:szCs w:val="22"/>
              </w:rPr>
              <w:t>单详情。区级用户可编辑本级下属的基教学校表单数据。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2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审批数据</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区级审批</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数据导出</w:t>
            </w:r>
          </w:p>
        </w:tc>
        <w:tc>
          <w:tcPr>
            <w:tcW w:w="3893" w:type="dxa"/>
          </w:tcPr>
          <w:p>
            <w:pPr>
              <w:keepNext w:val="0"/>
              <w:keepLines w:val="0"/>
              <w:pageBreakBefore w:val="0"/>
              <w:widowControl/>
              <w:kinsoku/>
              <w:wordWrap/>
              <w:overflowPunct/>
              <w:topLinePunct/>
              <w:bidi w:val="0"/>
              <w:adjustRightInd w:val="0"/>
              <w:snapToGrid w:val="0"/>
              <w:jc w:val="left"/>
              <w:rPr>
                <w:rFonts w:hint="eastAsia" w:cs="宋体" w:asciiTheme="minorEastAsia" w:hAnsiTheme="minorEastAsia"/>
                <w:color w:val="000000"/>
                <w:kern w:val="0"/>
                <w:sz w:val="22"/>
                <w:szCs w:val="22"/>
              </w:rPr>
            </w:pPr>
            <w:r>
              <w:rPr>
                <w:rFonts w:hint="eastAsia" w:cs="Times New Roman" w:asciiTheme="minorEastAsia" w:hAnsiTheme="minorEastAsia"/>
                <w:sz w:val="22"/>
                <w:szCs w:val="22"/>
              </w:rPr>
              <w:t>增加数据导出功能，按用户权限导出管辖范围下所有学校的基</w:t>
            </w:r>
            <w:r>
              <w:rPr>
                <w:rFonts w:hint="eastAsia" w:cs="Times New Roman" w:asciiTheme="minorEastAsia" w:hAnsiTheme="minorEastAsia"/>
                <w:spacing w:val="-2"/>
                <w:sz w:val="22"/>
                <w:szCs w:val="22"/>
              </w:rPr>
              <w:t>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数据聚集</w:t>
            </w:r>
          </w:p>
        </w:tc>
        <w:tc>
          <w:tcPr>
            <w:tcW w:w="102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893" w:type="dxa"/>
          </w:tcPr>
          <w:p>
            <w:pPr>
              <w:widowControl/>
              <w:adjustRightInd w:val="0"/>
              <w:snapToGrid w:val="0"/>
              <w:jc w:val="left"/>
              <w:rPr>
                <w:rFonts w:hint="eastAsia" w:cs="宋体" w:asciiTheme="minorEastAsia" w:hAnsiTheme="minorEastAsia"/>
                <w:color w:val="000000"/>
                <w:kern w:val="0"/>
                <w:sz w:val="22"/>
                <w:szCs w:val="22"/>
              </w:rPr>
            </w:pPr>
            <w:r>
              <w:rPr>
                <w:rFonts w:hint="eastAsia" w:cs="Times New Roman" w:asciiTheme="minorEastAsia" w:hAnsiTheme="minorEastAsia"/>
                <w:sz w:val="22"/>
                <w:szCs w:val="22"/>
              </w:rPr>
              <w:t>对待确认的业务归档数据或第三方接入的初始数据，进行二次数据校核，如学生数、教职工数、人口数、维修验收后的业务指标、基建竣工后的业务指标等，经判断后，采用则更新到对</w:t>
            </w:r>
            <w:r>
              <w:rPr>
                <w:rFonts w:hint="eastAsia" w:cs="Times New Roman" w:asciiTheme="minorEastAsia" w:hAnsiTheme="minorEastAsia"/>
                <w:spacing w:val="-1"/>
                <w:sz w:val="22"/>
                <w:szCs w:val="22"/>
              </w:rPr>
              <w:t>应的业务数据表中。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日常管理</w:t>
            </w:r>
          </w:p>
        </w:tc>
        <w:tc>
          <w:tcPr>
            <w:tcW w:w="102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学校管理</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学校调整</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893" w:type="dxa"/>
          </w:tcPr>
          <w:p>
            <w:pPr>
              <w:widowControl/>
              <w:adjustRightInd w:val="0"/>
              <w:snapToGrid w:val="0"/>
              <w:jc w:val="left"/>
              <w:rPr>
                <w:rFonts w:hint="eastAsia" w:cs="Times New Roman" w:asciiTheme="minorEastAsia" w:hAnsiTheme="minorEastAsia"/>
                <w:sz w:val="22"/>
                <w:szCs w:val="22"/>
              </w:rPr>
            </w:pPr>
            <w:r>
              <w:rPr>
                <w:rFonts w:cs="Times New Roman" w:asciiTheme="minorEastAsia" w:hAnsiTheme="minorEastAsia"/>
                <w:sz w:val="22"/>
                <w:szCs w:val="22"/>
              </w:rPr>
              <w:t>办学类型变更时，自动切换学校及校区基础表单，保留共性表单。</w:t>
            </w:r>
          </w:p>
        </w:tc>
      </w:tr>
    </w:tbl>
    <w:p>
      <w:pPr>
        <w:keepNext w:val="0"/>
        <w:keepLines w:val="0"/>
        <w:pageBreakBefore w:val="0"/>
        <w:widowControl w:val="0"/>
        <w:numPr>
          <w:ilvl w:val="0"/>
          <w:numId w:val="6"/>
        </w:numPr>
        <w:kinsoku/>
        <w:wordWrap/>
        <w:overflowPunct/>
        <w:topLinePunct w:val="0"/>
        <w:autoSpaceDE/>
        <w:autoSpaceDN/>
        <w:bidi w:val="0"/>
        <w:spacing w:line="520" w:lineRule="exact"/>
        <w:ind w:left="0" w:firstLine="480" w:firstLineChars="200"/>
        <w:textAlignment w:val="auto"/>
        <w:rPr>
          <w:b w:val="0"/>
          <w:bCs w:val="0"/>
          <w:sz w:val="24"/>
          <w:szCs w:val="24"/>
        </w:rPr>
      </w:pPr>
      <w:r>
        <w:rPr>
          <w:b w:val="0"/>
          <w:bCs w:val="0"/>
          <w:sz w:val="24"/>
          <w:szCs w:val="24"/>
        </w:rPr>
        <w:t>维修管理子系统</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pPr>
      <w:r>
        <w:rPr>
          <w:rFonts w:hint="eastAsia"/>
        </w:rPr>
        <w:t>维修管理子系统主要用于提供维修项目入库、出库、项目实施全生命周期的在线填报、审批和查询统计。实时掌握维修项目的入库、出库信息、实施信息。</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Theme="minorEastAsia" w:hAnsiTheme="minorEastAsia" w:eastAsiaTheme="minorEastAsia" w:cstheme="minorEastAsia"/>
        </w:rPr>
      </w:pPr>
      <w:r>
        <w:rPr>
          <w:rFonts w:hint="eastAsia"/>
        </w:rPr>
        <w:t>该子系统二</w:t>
      </w:r>
      <w:r>
        <w:rPr>
          <w:rFonts w:hint="eastAsia" w:asciiTheme="minorEastAsia" w:hAnsiTheme="minorEastAsia" w:eastAsiaTheme="minorEastAsia" w:cstheme="minorEastAsia"/>
        </w:rPr>
        <w:t>级模块3个，分别是维修项目工作台、维修项目管理和查询统计。</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其中新建的模块有：全过程进度的归档申请和进度审核、专项项目管理、</w:t>
      </w:r>
      <w:r>
        <w:rPr>
          <w:rFonts w:hint="eastAsia" w:asciiTheme="minorEastAsia" w:hAnsiTheme="minorEastAsia" w:eastAsiaTheme="minorEastAsia" w:cstheme="minorEastAsia"/>
          <w:highlight w:val="none"/>
        </w:rPr>
        <w:t>重点工作管理、</w:t>
      </w:r>
      <w:r>
        <w:rPr>
          <w:rFonts w:hint="eastAsia" w:asciiTheme="minorEastAsia" w:hAnsiTheme="minorEastAsia" w:eastAsiaTheme="minorEastAsia" w:cstheme="minorEastAsia"/>
        </w:rPr>
        <w:t>维修管理设置以及造价分析。升级的模块有：入库管理、出库管理、全过程的进度填报。</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pPr>
      <w:r>
        <w:rPr>
          <w:rFonts w:hint="eastAsia"/>
        </w:rPr>
        <w:t>软件开发功能</w:t>
      </w:r>
      <w:r>
        <w:rPr>
          <w:rFonts w:hint="eastAsia"/>
          <w:lang w:eastAsia="zh-CN"/>
        </w:rPr>
        <w:t>包括</w:t>
      </w:r>
      <w:r>
        <w:rPr>
          <w:rFonts w:hint="eastAsia"/>
        </w:rPr>
        <w:t>如下：</w:t>
      </w:r>
    </w:p>
    <w:tbl>
      <w:tblPr>
        <w:tblStyle w:val="1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34"/>
        <w:gridCol w:w="961"/>
        <w:gridCol w:w="975"/>
        <w:gridCol w:w="930"/>
        <w:gridCol w:w="3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blHeader/>
        </w:trPr>
        <w:tc>
          <w:tcPr>
            <w:tcW w:w="993"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子系统</w:t>
            </w:r>
          </w:p>
        </w:tc>
        <w:tc>
          <w:tcPr>
            <w:tcW w:w="1134"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模块</w:t>
            </w:r>
          </w:p>
        </w:tc>
        <w:tc>
          <w:tcPr>
            <w:tcW w:w="96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一级功能名称</w:t>
            </w:r>
          </w:p>
        </w:tc>
        <w:tc>
          <w:tcPr>
            <w:tcW w:w="97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二级功能名称</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三级功能名称</w:t>
            </w:r>
          </w:p>
        </w:tc>
        <w:tc>
          <w:tcPr>
            <w:tcW w:w="3938"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维修管理子系统</w:t>
            </w:r>
          </w:p>
        </w:tc>
        <w:tc>
          <w:tcPr>
            <w:tcW w:w="1134"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维修项目工作台</w:t>
            </w:r>
          </w:p>
        </w:tc>
        <w:tc>
          <w:tcPr>
            <w:tcW w:w="96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维修概况</w:t>
            </w:r>
          </w:p>
        </w:tc>
        <w:tc>
          <w:tcPr>
            <w:tcW w:w="97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38" w:type="dxa"/>
          </w:tcPr>
          <w:p>
            <w:pPr>
              <w:widowControl/>
              <w:adjustRightInd w:val="0"/>
              <w:snapToGrid w:val="0"/>
              <w:jc w:val="left"/>
              <w:rPr>
                <w:rFonts w:hint="eastAsia" w:ascii="宋体" w:hAnsi="宋体" w:eastAsia="宋体" w:cs="宋体"/>
                <w:color w:val="000000"/>
                <w:kern w:val="0"/>
                <w:sz w:val="22"/>
                <w:szCs w:val="22"/>
              </w:rPr>
            </w:pPr>
            <w:r>
              <w:rPr>
                <w:rFonts w:hint="eastAsia" w:ascii="宋体" w:hAnsi="宋体" w:eastAsia="宋体" w:cs="Times New Roman"/>
                <w:spacing w:val="-1"/>
                <w:sz w:val="22"/>
                <w:szCs w:val="22"/>
              </w:rPr>
              <w:t>汇总各校维修项目情况，预警等功能。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维修项目管理</w:t>
            </w:r>
          </w:p>
        </w:tc>
        <w:tc>
          <w:tcPr>
            <w:tcW w:w="961"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入库管理</w:t>
            </w:r>
          </w:p>
        </w:tc>
        <w:tc>
          <w:tcPr>
            <w:tcW w:w="97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入库申报</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38" w:type="dxa"/>
          </w:tcPr>
          <w:p>
            <w:pPr>
              <w:pStyle w:val="26"/>
              <w:spacing w:line="360" w:lineRule="auto"/>
              <w:rPr>
                <w:rFonts w:hint="eastAsia" w:ascii="宋体" w:hAnsi="宋体" w:eastAsia="宋体" w:cs="Times New Roman"/>
                <w:sz w:val="22"/>
                <w:szCs w:val="22"/>
              </w:rPr>
            </w:pPr>
            <w:r>
              <w:rPr>
                <w:rFonts w:hint="eastAsia" w:ascii="宋体" w:hAnsi="宋体" w:eastAsia="宋体" w:cs="Times New Roman"/>
                <w:sz w:val="22"/>
                <w:szCs w:val="22"/>
              </w:rPr>
              <w:t>1.增加项目申报方式，①以学校项目集形式申报，可同时申报</w:t>
            </w:r>
            <w:r>
              <w:rPr>
                <w:rFonts w:hint="eastAsia" w:ascii="宋体" w:hAnsi="宋体" w:eastAsia="宋体" w:cs="Times New Roman"/>
                <w:spacing w:val="-1"/>
                <w:sz w:val="22"/>
                <w:szCs w:val="22"/>
              </w:rPr>
              <w:t>多个项目。②按批次申报入库项目。</w:t>
            </w:r>
          </w:p>
          <w:p>
            <w:pPr>
              <w:pStyle w:val="26"/>
              <w:spacing w:line="360" w:lineRule="auto"/>
              <w:rPr>
                <w:rFonts w:hint="eastAsia" w:ascii="宋体" w:hAnsi="宋体" w:eastAsia="宋体" w:cs="Times New Roman"/>
                <w:sz w:val="22"/>
                <w:szCs w:val="22"/>
              </w:rPr>
            </w:pPr>
            <w:r>
              <w:rPr>
                <w:rFonts w:hint="eastAsia" w:ascii="宋体" w:hAnsi="宋体" w:eastAsia="宋体" w:cs="Times New Roman"/>
                <w:sz w:val="22"/>
                <w:szCs w:val="22"/>
              </w:rPr>
              <w:t>2.增加项目申报表单指标，包括学校信息表、项目基本信息表、维修内容表、维修信息表、维修计划信息的相关指标、以及</w:t>
            </w:r>
            <w:r>
              <w:rPr>
                <w:rFonts w:hint="eastAsia" w:ascii="宋体" w:hAnsi="宋体" w:eastAsia="宋体" w:cs="Times New Roman"/>
                <w:spacing w:val="-1"/>
                <w:sz w:val="22"/>
                <w:szCs w:val="22"/>
              </w:rPr>
              <w:t>各类型文件附件（如GBQ、CAD）等。</w:t>
            </w:r>
          </w:p>
          <w:p>
            <w:pPr>
              <w:pStyle w:val="26"/>
              <w:spacing w:line="360" w:lineRule="auto"/>
              <w:rPr>
                <w:rFonts w:hint="eastAsia" w:ascii="宋体" w:hAnsi="宋体" w:eastAsia="宋体" w:cs="Times New Roman"/>
                <w:sz w:val="22"/>
                <w:szCs w:val="22"/>
                <w:highlight w:val="yellow"/>
              </w:rPr>
            </w:pPr>
            <w:r>
              <w:rPr>
                <w:rFonts w:hint="eastAsia" w:ascii="宋体" w:hAnsi="宋体" w:eastAsia="宋体" w:cs="Times New Roman"/>
                <w:sz w:val="22"/>
                <w:szCs w:val="22"/>
              </w:rPr>
              <w:t>3.增加系统</w:t>
            </w:r>
            <w:r>
              <w:rPr>
                <w:rFonts w:hint="eastAsia" w:ascii="宋体" w:hAnsi="宋体" w:eastAsia="宋体" w:cs="Times New Roman"/>
                <w:sz w:val="22"/>
                <w:szCs w:val="22"/>
                <w:highlight w:val="none"/>
              </w:rPr>
              <w:t>自动触发业务规则校验</w:t>
            </w:r>
          </w:p>
          <w:p>
            <w:pPr>
              <w:pStyle w:val="26"/>
              <w:spacing w:line="360" w:lineRule="auto"/>
              <w:rPr>
                <w:rFonts w:hint="eastAsia" w:ascii="宋体" w:hAnsi="宋体" w:eastAsia="宋体" w:cs="Times New Roman"/>
                <w:sz w:val="22"/>
                <w:szCs w:val="22"/>
              </w:rPr>
            </w:pPr>
            <w:r>
              <w:rPr>
                <w:rFonts w:hint="eastAsia" w:ascii="宋体" w:hAnsi="宋体" w:eastAsia="宋体" w:cs="Times New Roman"/>
                <w:spacing w:val="-1"/>
                <w:sz w:val="22"/>
                <w:szCs w:val="22"/>
              </w:rPr>
              <w:t>4.增加关联建筑历史维修情况。</w:t>
            </w:r>
          </w:p>
          <w:p>
            <w:pPr>
              <w:widowControl/>
              <w:adjustRightInd w:val="0"/>
              <w:snapToGrid w:val="0"/>
              <w:jc w:val="left"/>
              <w:rPr>
                <w:rFonts w:hint="eastAsia" w:ascii="宋体" w:hAnsi="宋体" w:eastAsia="宋体" w:cs="宋体"/>
                <w:color w:val="000000"/>
                <w:kern w:val="0"/>
                <w:sz w:val="22"/>
                <w:szCs w:val="22"/>
              </w:rPr>
            </w:pPr>
            <w:r>
              <w:rPr>
                <w:rFonts w:hint="eastAsia" w:ascii="宋体" w:hAnsi="宋体" w:eastAsia="宋体" w:cs="Times New Roman"/>
                <w:sz w:val="22"/>
                <w:szCs w:val="22"/>
              </w:rPr>
              <w:t>5.增加维修入库项目申报书，包括按年度统计信息、维修项目</w:t>
            </w:r>
            <w:r>
              <w:rPr>
                <w:rFonts w:hint="eastAsia" w:ascii="宋体" w:hAnsi="宋体" w:eastAsia="宋体" w:cs="Times New Roman"/>
                <w:spacing w:val="1"/>
                <w:sz w:val="22"/>
                <w:szCs w:val="22"/>
              </w:rPr>
              <w:t>信息（如项目投资、建筑维修面积、室外维</w:t>
            </w:r>
            <w:r>
              <w:rPr>
                <w:rFonts w:hint="eastAsia" w:ascii="宋体" w:hAnsi="宋体" w:eastAsia="宋体" w:cs="Times New Roman"/>
                <w:sz w:val="22"/>
                <w:szCs w:val="22"/>
              </w:rPr>
              <w:t>修面积或长度或个数</w:t>
            </w:r>
            <w:r>
              <w:rPr>
                <w:rFonts w:hint="eastAsia" w:ascii="宋体" w:hAnsi="宋体" w:eastAsia="宋体" w:cs="Times New Roman"/>
                <w:spacing w:val="2"/>
                <w:sz w:val="22"/>
                <w:szCs w:val="22"/>
              </w:rPr>
              <w:t>），</w:t>
            </w:r>
            <w:r>
              <w:rPr>
                <w:rFonts w:hint="eastAsia" w:ascii="宋体" w:hAnsi="宋体" w:eastAsia="宋体" w:cs="Times New Roman"/>
                <w:sz w:val="22"/>
                <w:szCs w:val="22"/>
              </w:rPr>
              <w:t>单体建筑维修情况等。支持PDF下载功能。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6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7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入库进度</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38" w:type="dxa"/>
          </w:tcPr>
          <w:p>
            <w:pPr>
              <w:pStyle w:val="26"/>
              <w:spacing w:line="360" w:lineRule="auto"/>
              <w:rPr>
                <w:rFonts w:hint="eastAsia" w:ascii="宋体" w:hAnsi="宋体" w:eastAsia="宋体" w:cs="Times New Roman"/>
                <w:sz w:val="22"/>
                <w:szCs w:val="22"/>
              </w:rPr>
            </w:pPr>
            <w:r>
              <w:rPr>
                <w:rFonts w:hint="eastAsia" w:ascii="宋体" w:hAnsi="宋体" w:eastAsia="宋体" w:cs="Times New Roman"/>
                <w:sz w:val="22"/>
                <w:szCs w:val="22"/>
              </w:rPr>
              <w:t>1.跟踪入库项目申报进度，包括教委初审、中心初审、专家评审、教委意见、结论上报、教委批复。支持上传评审意见附</w:t>
            </w:r>
            <w:r>
              <w:rPr>
                <w:rFonts w:hint="eastAsia" w:ascii="宋体" w:hAnsi="宋体" w:eastAsia="宋体" w:cs="Times New Roman"/>
                <w:spacing w:val="-1"/>
                <w:sz w:val="22"/>
                <w:szCs w:val="22"/>
              </w:rPr>
              <w:t>件，如同意/退回意见附件。</w:t>
            </w:r>
          </w:p>
          <w:p>
            <w:pPr>
              <w:pStyle w:val="26"/>
              <w:spacing w:line="360" w:lineRule="auto"/>
              <w:rPr>
                <w:rFonts w:hint="eastAsia" w:ascii="宋体" w:hAnsi="宋体" w:eastAsia="宋体" w:cs="Times New Roman"/>
                <w:sz w:val="22"/>
                <w:szCs w:val="22"/>
              </w:rPr>
            </w:pPr>
            <w:r>
              <w:rPr>
                <w:rFonts w:hint="eastAsia" w:ascii="宋体" w:hAnsi="宋体" w:eastAsia="宋体" w:cs="Times New Roman"/>
                <w:spacing w:val="-1"/>
                <w:sz w:val="22"/>
                <w:szCs w:val="22"/>
              </w:rPr>
              <w:t>2.保留不通过、不予入库的评审记录。</w:t>
            </w:r>
          </w:p>
          <w:p>
            <w:pPr>
              <w:widowControl/>
              <w:adjustRightInd w:val="0"/>
              <w:snapToGrid w:val="0"/>
              <w:jc w:val="left"/>
              <w:rPr>
                <w:rFonts w:hint="eastAsia" w:ascii="宋体" w:hAnsi="宋体" w:eastAsia="宋体" w:cs="宋体"/>
                <w:color w:val="000000"/>
                <w:kern w:val="0"/>
                <w:sz w:val="22"/>
                <w:szCs w:val="22"/>
              </w:rPr>
            </w:pPr>
            <w:r>
              <w:rPr>
                <w:rFonts w:hint="eastAsia" w:ascii="宋体" w:hAnsi="宋体" w:eastAsia="宋体" w:cs="Times New Roman"/>
                <w:sz w:val="22"/>
                <w:szCs w:val="22"/>
              </w:rPr>
              <w:t>3.新增其他单位限额以下项目的入库申报流程，其同意入库的</w:t>
            </w:r>
            <w:r>
              <w:rPr>
                <w:rFonts w:hint="eastAsia" w:ascii="宋体" w:hAnsi="宋体" w:eastAsia="宋体" w:cs="Times New Roman"/>
                <w:spacing w:val="-1"/>
                <w:sz w:val="22"/>
                <w:szCs w:val="22"/>
              </w:rPr>
              <w:t>项目，直接进入全过程进度。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6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7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入库查询</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38" w:type="dxa"/>
          </w:tcPr>
          <w:p>
            <w:pPr>
              <w:widowControl/>
              <w:adjustRightInd w:val="0"/>
              <w:snapToGrid w:val="0"/>
              <w:jc w:val="left"/>
              <w:rPr>
                <w:rFonts w:hint="eastAsia" w:ascii="宋体" w:hAnsi="宋体" w:eastAsia="宋体" w:cs="宋体"/>
                <w:color w:val="000000"/>
                <w:kern w:val="0"/>
                <w:sz w:val="22"/>
                <w:szCs w:val="22"/>
              </w:rPr>
            </w:pPr>
            <w:r>
              <w:rPr>
                <w:rFonts w:hint="eastAsia" w:ascii="宋体" w:hAnsi="宋体" w:eastAsia="宋体" w:cs="Times New Roman"/>
                <w:sz w:val="22"/>
                <w:szCs w:val="22"/>
              </w:rPr>
              <w:t>按权限查询相关维修入库项目信息，包括项目基本信息、维修</w:t>
            </w:r>
            <w:r>
              <w:rPr>
                <w:rFonts w:hint="eastAsia" w:ascii="宋体" w:hAnsi="宋体" w:eastAsia="宋体" w:cs="Times New Roman"/>
                <w:spacing w:val="1"/>
                <w:sz w:val="22"/>
                <w:szCs w:val="22"/>
              </w:rPr>
              <w:t>信息、项目建设计划和内容、项目附件、项</w:t>
            </w:r>
            <w:r>
              <w:rPr>
                <w:rFonts w:hint="eastAsia" w:ascii="宋体" w:hAnsi="宋体" w:eastAsia="宋体" w:cs="Times New Roman"/>
                <w:sz w:val="22"/>
                <w:szCs w:val="22"/>
              </w:rPr>
              <w:t>目评审意见等。支持数据导出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61"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出库管理</w:t>
            </w:r>
          </w:p>
        </w:tc>
        <w:tc>
          <w:tcPr>
            <w:tcW w:w="97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出库申报</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38" w:type="dxa"/>
          </w:tcPr>
          <w:p>
            <w:pPr>
              <w:pStyle w:val="26"/>
              <w:spacing w:line="360" w:lineRule="auto"/>
              <w:rPr>
                <w:rFonts w:hint="eastAsia" w:ascii="宋体" w:hAnsi="宋体" w:eastAsia="宋体" w:cs="Times New Roman"/>
                <w:sz w:val="22"/>
                <w:szCs w:val="22"/>
              </w:rPr>
            </w:pPr>
            <w:r>
              <w:rPr>
                <w:rFonts w:hint="eastAsia" w:ascii="宋体" w:hAnsi="宋体" w:eastAsia="宋体" w:cs="Times New Roman"/>
                <w:sz w:val="22"/>
                <w:szCs w:val="22"/>
              </w:rPr>
              <w:t>1.升级项目申报方式，①以学校单个项目形式申报，可同时申</w:t>
            </w:r>
            <w:r>
              <w:rPr>
                <w:rFonts w:hint="eastAsia" w:ascii="宋体" w:hAnsi="宋体" w:eastAsia="宋体" w:cs="Times New Roman"/>
                <w:spacing w:val="-1"/>
                <w:sz w:val="22"/>
                <w:szCs w:val="22"/>
              </w:rPr>
              <w:t>报多个项目。②按批次申报出库项目。</w:t>
            </w:r>
          </w:p>
          <w:p>
            <w:pPr>
              <w:pStyle w:val="26"/>
              <w:spacing w:line="360" w:lineRule="auto"/>
              <w:rPr>
                <w:rFonts w:hint="eastAsia" w:ascii="宋体" w:hAnsi="宋体" w:eastAsia="宋体" w:cs="Times New Roman"/>
                <w:sz w:val="22"/>
                <w:szCs w:val="22"/>
              </w:rPr>
            </w:pPr>
            <w:r>
              <w:rPr>
                <w:rFonts w:hint="eastAsia" w:ascii="宋体" w:hAnsi="宋体" w:eastAsia="宋体" w:cs="Times New Roman"/>
                <w:sz w:val="22"/>
                <w:szCs w:val="22"/>
              </w:rPr>
              <w:t>2.增加项目申报类型，包括增补出库项目申报、入库及出库项目申报等类型，填写对应申报表单，修改入库时填报内容，增加出库概算相关内容填报和各类文件附件等信息填报。</w:t>
            </w:r>
          </w:p>
          <w:p>
            <w:pPr>
              <w:pStyle w:val="26"/>
              <w:spacing w:line="360" w:lineRule="auto"/>
              <w:rPr>
                <w:rFonts w:hint="eastAsia" w:ascii="宋体" w:hAnsi="宋体" w:eastAsia="宋体" w:cs="Times New Roman"/>
                <w:sz w:val="22"/>
                <w:szCs w:val="22"/>
              </w:rPr>
            </w:pPr>
            <w:r>
              <w:rPr>
                <w:rFonts w:hint="eastAsia" w:ascii="宋体" w:hAnsi="宋体" w:eastAsia="宋体" w:cs="Times New Roman"/>
                <w:sz w:val="22"/>
                <w:szCs w:val="22"/>
              </w:rPr>
              <w:t>3.增加系统自动</w:t>
            </w:r>
            <w:r>
              <w:rPr>
                <w:rFonts w:hint="eastAsia" w:ascii="宋体" w:hAnsi="宋体" w:eastAsia="宋体" w:cs="Times New Roman"/>
                <w:sz w:val="22"/>
                <w:szCs w:val="22"/>
                <w:lang w:val="en-US" w:eastAsia="zh-CN"/>
              </w:rPr>
              <w:t>触发</w:t>
            </w:r>
            <w:r>
              <w:rPr>
                <w:rFonts w:hint="eastAsia" w:ascii="宋体" w:hAnsi="宋体" w:eastAsia="宋体" w:cs="Times New Roman"/>
                <w:sz w:val="22"/>
                <w:szCs w:val="22"/>
              </w:rPr>
              <w:t>数据校验，如①入库三年未出库的项目不</w:t>
            </w:r>
            <w:r>
              <w:rPr>
                <w:rFonts w:hint="eastAsia" w:ascii="宋体" w:hAnsi="宋体" w:eastAsia="宋体" w:cs="Times New Roman"/>
                <w:spacing w:val="1"/>
                <w:sz w:val="22"/>
                <w:szCs w:val="22"/>
              </w:rPr>
              <w:t>得再申报出库 ②过期/作废项目不得出库 ③</w:t>
            </w:r>
            <w:r>
              <w:rPr>
                <w:rFonts w:hint="eastAsia" w:ascii="宋体" w:hAnsi="宋体" w:eastAsia="宋体" w:cs="Times New Roman"/>
                <w:sz w:val="22"/>
                <w:szCs w:val="22"/>
              </w:rPr>
              <w:t>不满足出库条件的项目可下次再申报出库等</w:t>
            </w:r>
          </w:p>
          <w:p>
            <w:pPr>
              <w:pStyle w:val="26"/>
              <w:spacing w:line="360" w:lineRule="auto"/>
              <w:rPr>
                <w:rFonts w:hint="eastAsia" w:ascii="宋体" w:hAnsi="宋体" w:eastAsia="宋体" w:cs="Times New Roman"/>
                <w:sz w:val="22"/>
                <w:szCs w:val="22"/>
              </w:rPr>
            </w:pPr>
            <w:r>
              <w:rPr>
                <w:rFonts w:hint="eastAsia" w:ascii="宋体" w:hAnsi="宋体" w:eastAsia="宋体" w:cs="Times New Roman"/>
                <w:spacing w:val="-1"/>
                <w:sz w:val="22"/>
                <w:szCs w:val="22"/>
              </w:rPr>
              <w:t>3.关联建筑历史维修情况。</w:t>
            </w:r>
          </w:p>
          <w:p>
            <w:pPr>
              <w:widowControl/>
              <w:adjustRightInd w:val="0"/>
              <w:snapToGrid w:val="0"/>
              <w:jc w:val="left"/>
              <w:rPr>
                <w:rFonts w:hint="eastAsia" w:ascii="宋体" w:hAnsi="宋体" w:eastAsia="宋体" w:cs="宋体"/>
                <w:color w:val="000000"/>
                <w:kern w:val="0"/>
                <w:sz w:val="22"/>
                <w:szCs w:val="22"/>
              </w:rPr>
            </w:pPr>
            <w:r>
              <w:rPr>
                <w:rFonts w:hint="eastAsia" w:ascii="宋体" w:hAnsi="宋体" w:eastAsia="宋体" w:cs="Times New Roman"/>
                <w:spacing w:val="-1"/>
                <w:sz w:val="22"/>
                <w:szCs w:val="22"/>
              </w:rPr>
              <w:t>4.生成并下载维修出库申报书。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6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7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出库进度</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38" w:type="dxa"/>
          </w:tcPr>
          <w:p>
            <w:pPr>
              <w:pStyle w:val="26"/>
              <w:spacing w:line="360" w:lineRule="auto"/>
              <w:rPr>
                <w:rFonts w:hint="eastAsia" w:ascii="宋体" w:hAnsi="宋体" w:eastAsia="宋体" w:cs="Times New Roman"/>
                <w:sz w:val="22"/>
                <w:szCs w:val="22"/>
              </w:rPr>
            </w:pPr>
            <w:r>
              <w:rPr>
                <w:rFonts w:hint="eastAsia" w:ascii="宋体" w:hAnsi="宋体" w:eastAsia="宋体" w:cs="Times New Roman"/>
                <w:sz w:val="22"/>
                <w:szCs w:val="22"/>
              </w:rPr>
              <w:t>1.跟踪出库项目申报进度，与入库评审环节对应。上传各评审</w:t>
            </w:r>
            <w:r>
              <w:rPr>
                <w:rFonts w:hint="eastAsia" w:ascii="宋体" w:hAnsi="宋体" w:eastAsia="宋体" w:cs="Times New Roman"/>
                <w:spacing w:val="-1"/>
                <w:sz w:val="22"/>
                <w:szCs w:val="22"/>
              </w:rPr>
              <w:t>环节的附件，如同意/退回意见附件。</w:t>
            </w:r>
          </w:p>
          <w:p>
            <w:pPr>
              <w:widowControl/>
              <w:adjustRightInd w:val="0"/>
              <w:snapToGrid w:val="0"/>
              <w:jc w:val="left"/>
              <w:rPr>
                <w:rFonts w:hint="eastAsia" w:ascii="宋体" w:hAnsi="宋体" w:eastAsia="宋体" w:cs="宋体"/>
                <w:color w:val="000000"/>
                <w:kern w:val="0"/>
                <w:sz w:val="22"/>
                <w:szCs w:val="22"/>
              </w:rPr>
            </w:pPr>
            <w:r>
              <w:rPr>
                <w:rFonts w:hint="eastAsia" w:ascii="宋体" w:hAnsi="宋体" w:eastAsia="宋体" w:cs="Times New Roman"/>
                <w:sz w:val="22"/>
                <w:szCs w:val="22"/>
              </w:rPr>
              <w:t>2.对于不通过、不同意出库的项目，直接打回到维修项</w:t>
            </w:r>
            <w:r>
              <w:rPr>
                <w:rFonts w:hint="eastAsia" w:ascii="宋体" w:hAnsi="宋体" w:eastAsia="宋体" w:cs="Times New Roman"/>
                <w:spacing w:val="-1"/>
                <w:sz w:val="22"/>
                <w:szCs w:val="22"/>
              </w:rPr>
              <w:t>目库，</w:t>
            </w:r>
            <w:r>
              <w:rPr>
                <w:rFonts w:hint="eastAsia" w:ascii="宋体" w:hAnsi="宋体" w:eastAsia="宋体" w:cs="Times New Roman"/>
                <w:sz w:val="22"/>
                <w:szCs w:val="22"/>
              </w:rPr>
              <w:t>下次可再次申报出库。同时保留不通过或不同意出库的评审记</w:t>
            </w:r>
            <w:r>
              <w:rPr>
                <w:rFonts w:hint="eastAsia" w:ascii="宋体" w:hAnsi="宋体" w:eastAsia="宋体" w:cs="Times New Roman"/>
                <w:spacing w:val="-5"/>
                <w:sz w:val="22"/>
                <w:szCs w:val="22"/>
              </w:rP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6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7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出库查询</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38" w:type="dxa"/>
          </w:tcPr>
          <w:p>
            <w:pPr>
              <w:widowControl/>
              <w:adjustRightInd w:val="0"/>
              <w:snapToGrid w:val="0"/>
              <w:jc w:val="left"/>
              <w:rPr>
                <w:rFonts w:hint="eastAsia" w:ascii="宋体" w:hAnsi="宋体" w:eastAsia="宋体" w:cs="宋体"/>
                <w:color w:val="000000"/>
                <w:kern w:val="0"/>
                <w:sz w:val="22"/>
                <w:szCs w:val="22"/>
              </w:rPr>
            </w:pPr>
            <w:r>
              <w:rPr>
                <w:rFonts w:hint="eastAsia" w:ascii="宋体" w:hAnsi="宋体" w:eastAsia="宋体" w:cs="Times New Roman"/>
                <w:sz w:val="22"/>
                <w:szCs w:val="22"/>
              </w:rPr>
              <w:t>1.按权限查询相关维修出库项目信息，包括项目基本信息、维修信息、项目建设计划和内容、项目附件、项目评审意见等。支持数据导出。2.查看曾经出库不通过、不同意出库的记录。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61"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全过程进度</w:t>
            </w:r>
          </w:p>
        </w:tc>
        <w:tc>
          <w:tcPr>
            <w:tcW w:w="97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进度填报</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38" w:type="dxa"/>
          </w:tcPr>
          <w:p>
            <w:pPr>
              <w:pStyle w:val="26"/>
              <w:spacing w:line="360" w:lineRule="auto"/>
              <w:rPr>
                <w:rFonts w:hint="eastAsia" w:ascii="宋体" w:hAnsi="宋体" w:eastAsia="宋体" w:cs="Times New Roman"/>
                <w:sz w:val="22"/>
                <w:szCs w:val="22"/>
              </w:rPr>
            </w:pPr>
            <w:r>
              <w:rPr>
                <w:rFonts w:hint="eastAsia" w:ascii="宋体" w:hAnsi="宋体" w:eastAsia="宋体" w:cs="Times New Roman"/>
                <w:sz w:val="22"/>
                <w:szCs w:val="22"/>
              </w:rPr>
              <w:t>1）支持</w:t>
            </w:r>
            <w:r>
              <w:rPr>
                <w:rFonts w:hint="eastAsia" w:ascii="宋体" w:hAnsi="宋体" w:eastAsia="宋体" w:cs="Times New Roman"/>
                <w:spacing w:val="13"/>
                <w:w w:val="103"/>
                <w:sz w:val="22"/>
                <w:szCs w:val="22"/>
              </w:rPr>
              <w:t xml:space="preserve"> </w:t>
            </w:r>
            <w:r>
              <w:rPr>
                <w:rFonts w:hint="eastAsia" w:ascii="宋体" w:hAnsi="宋体" w:eastAsia="宋体" w:cs="Times New Roman"/>
                <w:sz w:val="22"/>
                <w:szCs w:val="22"/>
              </w:rPr>
              <w:t>GBQ 造价文件、施工图纸等多格式文档上传存储，满</w:t>
            </w:r>
            <w:r>
              <w:rPr>
                <w:rFonts w:hint="eastAsia" w:ascii="宋体" w:hAnsi="宋体" w:eastAsia="宋体" w:cs="Times New Roman"/>
                <w:spacing w:val="-1"/>
                <w:sz w:val="22"/>
                <w:szCs w:val="22"/>
              </w:rPr>
              <w:t>足资料存档共享需求。</w:t>
            </w:r>
          </w:p>
          <w:p>
            <w:pPr>
              <w:pStyle w:val="26"/>
              <w:spacing w:line="360" w:lineRule="auto"/>
              <w:rPr>
                <w:rFonts w:hint="eastAsia" w:ascii="宋体" w:hAnsi="宋体" w:eastAsia="宋体" w:cs="Times New Roman"/>
                <w:sz w:val="22"/>
                <w:szCs w:val="22"/>
              </w:rPr>
            </w:pPr>
            <w:r>
              <w:rPr>
                <w:rFonts w:hint="eastAsia" w:ascii="宋体" w:hAnsi="宋体" w:eastAsia="宋体" w:cs="Times New Roman"/>
                <w:sz w:val="22"/>
                <w:szCs w:val="22"/>
              </w:rPr>
              <w:t>2）新增四大阶段业务指标填报，通过校验机制保障数据准</w:t>
            </w:r>
            <w:r>
              <w:rPr>
                <w:rFonts w:hint="eastAsia" w:ascii="宋体" w:hAnsi="宋体" w:eastAsia="宋体" w:cs="Times New Roman"/>
                <w:spacing w:val="-1"/>
                <w:sz w:val="22"/>
                <w:szCs w:val="22"/>
              </w:rPr>
              <w:t>确，减少人工误差。</w:t>
            </w:r>
          </w:p>
          <w:p>
            <w:pPr>
              <w:widowControl/>
              <w:adjustRightInd w:val="0"/>
              <w:snapToGrid w:val="0"/>
              <w:jc w:val="left"/>
              <w:rPr>
                <w:rFonts w:hint="eastAsia" w:ascii="宋体" w:hAnsi="宋体" w:eastAsia="宋体" w:cs="宋体"/>
                <w:color w:val="000000"/>
                <w:kern w:val="0"/>
                <w:sz w:val="22"/>
                <w:szCs w:val="22"/>
              </w:rPr>
            </w:pPr>
            <w:r>
              <w:rPr>
                <w:rFonts w:hint="eastAsia" w:ascii="宋体" w:hAnsi="宋体" w:eastAsia="宋体" w:cs="Times New Roman"/>
                <w:sz w:val="22"/>
                <w:szCs w:val="22"/>
              </w:rPr>
              <w:t>3）实时跟踪项目进度，进度偏差时自动预</w:t>
            </w:r>
            <w:r>
              <w:rPr>
                <w:rFonts w:hint="eastAsia" w:ascii="宋体" w:hAnsi="宋体" w:eastAsia="宋体" w:cs="Times New Roman"/>
                <w:spacing w:val="-1"/>
                <w:sz w:val="22"/>
                <w:szCs w:val="22"/>
              </w:rPr>
              <w:t>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6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7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归档申请</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38" w:type="dxa"/>
          </w:tcPr>
          <w:p>
            <w:pPr>
              <w:widowControl/>
              <w:adjustRightInd w:val="0"/>
              <w:snapToGrid w:val="0"/>
              <w:jc w:val="left"/>
              <w:rPr>
                <w:rFonts w:hint="eastAsia" w:ascii="宋体" w:hAnsi="宋体" w:eastAsia="宋体" w:cs="宋体"/>
                <w:color w:val="000000"/>
                <w:kern w:val="0"/>
                <w:sz w:val="22"/>
                <w:szCs w:val="22"/>
              </w:rPr>
            </w:pPr>
            <w:r>
              <w:rPr>
                <w:rFonts w:hint="eastAsia" w:ascii="宋体" w:hAnsi="宋体" w:eastAsia="宋体" w:cs="Times New Roman"/>
                <w:sz w:val="22"/>
                <w:szCs w:val="22"/>
              </w:rPr>
              <w:t>学校提交归档申请，填写项目归档材料</w:t>
            </w:r>
            <w:r>
              <w:rPr>
                <w:rFonts w:hint="eastAsia" w:ascii="宋体" w:hAnsi="宋体" w:eastAsia="宋体" w:cs="Times New Roman"/>
                <w:sz w:val="22"/>
                <w:szCs w:val="22"/>
                <w:highlight w:val="none"/>
              </w:rPr>
              <w:t>，填写建筑维修后相关</w:t>
            </w:r>
            <w:r>
              <w:rPr>
                <w:rFonts w:hint="eastAsia" w:ascii="宋体" w:hAnsi="宋体" w:eastAsia="宋体" w:cs="Times New Roman"/>
                <w:spacing w:val="-3"/>
                <w:sz w:val="22"/>
                <w:szCs w:val="22"/>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6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全过程进度管理</w:t>
            </w:r>
          </w:p>
        </w:tc>
        <w:tc>
          <w:tcPr>
            <w:tcW w:w="97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进度审核</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38" w:type="dxa"/>
          </w:tcPr>
          <w:p>
            <w:pPr>
              <w:widowControl/>
              <w:adjustRightInd w:val="0"/>
              <w:snapToGrid w:val="0"/>
              <w:jc w:val="left"/>
              <w:rPr>
                <w:rFonts w:hint="eastAsia" w:ascii="宋体" w:hAnsi="宋体" w:eastAsia="宋体" w:cs="宋体"/>
                <w:color w:val="000000"/>
                <w:kern w:val="0"/>
                <w:sz w:val="22"/>
                <w:szCs w:val="22"/>
              </w:rPr>
            </w:pPr>
            <w:r>
              <w:rPr>
                <w:rFonts w:hint="eastAsia" w:ascii="宋体" w:hAnsi="宋体" w:eastAsia="宋体" w:cs="Times New Roman"/>
                <w:spacing w:val="1"/>
                <w:sz w:val="22"/>
                <w:szCs w:val="22"/>
              </w:rPr>
              <w:t>①实时跟踪项目实施过程中各阶段的任务完</w:t>
            </w:r>
            <w:r>
              <w:rPr>
                <w:rFonts w:hint="eastAsia" w:ascii="宋体" w:hAnsi="宋体" w:eastAsia="宋体" w:cs="Times New Roman"/>
                <w:sz w:val="22"/>
                <w:szCs w:val="22"/>
              </w:rPr>
              <w:t>成进度，对比维修计划与实际进度。对维修项目的前期、施工、竣工、结项阶段的填报内容以及资金使用情况进行审核。②作废项目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6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专项项目管理</w:t>
            </w:r>
          </w:p>
        </w:tc>
        <w:tc>
          <w:tcPr>
            <w:tcW w:w="97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专项填报</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38" w:type="dxa"/>
          </w:tcPr>
          <w:p>
            <w:pPr>
              <w:widowControl/>
              <w:adjustRightInd w:val="0"/>
              <w:snapToGrid w:val="0"/>
              <w:jc w:val="left"/>
              <w:rPr>
                <w:rFonts w:hint="eastAsia" w:ascii="宋体" w:hAnsi="宋体" w:eastAsia="宋体" w:cs="宋体"/>
                <w:color w:val="000000"/>
                <w:kern w:val="0"/>
                <w:sz w:val="22"/>
                <w:szCs w:val="22"/>
              </w:rPr>
            </w:pPr>
            <w:r>
              <w:rPr>
                <w:rFonts w:hint="eastAsia" w:ascii="宋体" w:hAnsi="宋体" w:eastAsia="宋体" w:cs="Times New Roman"/>
                <w:sz w:val="22"/>
                <w:szCs w:val="22"/>
              </w:rPr>
              <w:t>学校填报专项维修项目，如高校的限额以下项目，支持上传相</w:t>
            </w:r>
            <w:r>
              <w:rPr>
                <w:rFonts w:hint="eastAsia" w:ascii="宋体" w:hAnsi="宋体" w:eastAsia="宋体" w:cs="Times New Roman"/>
                <w:spacing w:val="-3"/>
                <w:sz w:val="22"/>
                <w:szCs w:val="22"/>
              </w:rPr>
              <w:t>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adjustRightInd w:val="0"/>
              <w:snapToGrid w:val="0"/>
              <w:jc w:val="left"/>
              <w:rPr>
                <w:rFonts w:hint="eastAsia" w:ascii="宋体" w:hAnsi="宋体" w:eastAsia="宋体" w:cs="Arial"/>
                <w:sz w:val="22"/>
                <w:szCs w:val="22"/>
              </w:rPr>
            </w:pPr>
          </w:p>
        </w:tc>
        <w:tc>
          <w:tcPr>
            <w:tcW w:w="1134" w:type="dxa"/>
            <w:vMerge w:val="continue"/>
            <w:vAlign w:val="center"/>
          </w:tcPr>
          <w:p>
            <w:pPr>
              <w:adjustRightInd w:val="0"/>
              <w:snapToGrid w:val="0"/>
              <w:jc w:val="left"/>
              <w:rPr>
                <w:rFonts w:hint="eastAsia" w:ascii="宋体" w:hAnsi="宋体" w:eastAsia="宋体" w:cs="Arial"/>
                <w:sz w:val="22"/>
                <w:szCs w:val="22"/>
              </w:rPr>
            </w:pPr>
          </w:p>
        </w:tc>
        <w:tc>
          <w:tcPr>
            <w:tcW w:w="96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维修管理设置</w:t>
            </w:r>
          </w:p>
        </w:tc>
        <w:tc>
          <w:tcPr>
            <w:tcW w:w="97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维修批次</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维修批次</w:t>
            </w:r>
          </w:p>
        </w:tc>
        <w:tc>
          <w:tcPr>
            <w:tcW w:w="3938" w:type="dxa"/>
          </w:tcPr>
          <w:p>
            <w:pPr>
              <w:adjustRightInd w:val="0"/>
              <w:snapToGrid w:val="0"/>
              <w:jc w:val="left"/>
              <w:rPr>
                <w:rFonts w:ascii="宋体" w:hAnsi="宋体" w:eastAsia="宋体" w:cs="Arial"/>
                <w:sz w:val="22"/>
                <w:szCs w:val="22"/>
              </w:rPr>
            </w:pPr>
            <w:r>
              <w:rPr>
                <w:rFonts w:hint="eastAsia" w:ascii="宋体" w:hAnsi="宋体" w:eastAsia="宋体" w:cs="Arial"/>
                <w:sz w:val="22"/>
                <w:szCs w:val="22"/>
              </w:rPr>
              <w:t>1.用户新增、删除维修批次；</w:t>
            </w:r>
          </w:p>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2.批次可设置启用、禁用；</w:t>
            </w:r>
          </w:p>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3.学校选用批次后，该批次不可删改。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adjustRightInd w:val="0"/>
              <w:snapToGrid w:val="0"/>
              <w:jc w:val="left"/>
              <w:rPr>
                <w:rFonts w:hint="eastAsia" w:ascii="宋体" w:hAnsi="宋体" w:eastAsia="宋体" w:cs="Arial"/>
                <w:sz w:val="22"/>
                <w:szCs w:val="22"/>
              </w:rPr>
            </w:pPr>
          </w:p>
        </w:tc>
        <w:tc>
          <w:tcPr>
            <w:tcW w:w="1134" w:type="dxa"/>
            <w:vMerge w:val="continue"/>
            <w:vAlign w:val="center"/>
          </w:tcPr>
          <w:p>
            <w:pPr>
              <w:adjustRightInd w:val="0"/>
              <w:snapToGrid w:val="0"/>
              <w:jc w:val="left"/>
              <w:rPr>
                <w:rFonts w:hint="eastAsia" w:ascii="宋体" w:hAnsi="宋体" w:eastAsia="宋体" w:cs="Arial"/>
                <w:sz w:val="22"/>
                <w:szCs w:val="22"/>
              </w:rPr>
            </w:pPr>
          </w:p>
        </w:tc>
        <w:tc>
          <w:tcPr>
            <w:tcW w:w="96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维修管理设置</w:t>
            </w:r>
          </w:p>
        </w:tc>
        <w:tc>
          <w:tcPr>
            <w:tcW w:w="97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维修计划</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维修计划</w:t>
            </w:r>
          </w:p>
        </w:tc>
        <w:tc>
          <w:tcPr>
            <w:tcW w:w="3938" w:type="dxa"/>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用户根据相关维修标准，设置维修各阶段任务的实施计划。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adjustRightInd w:val="0"/>
              <w:snapToGrid w:val="0"/>
              <w:jc w:val="left"/>
              <w:rPr>
                <w:rFonts w:hint="eastAsia" w:ascii="宋体" w:hAnsi="宋体" w:eastAsia="宋体" w:cs="Arial"/>
                <w:sz w:val="22"/>
                <w:szCs w:val="22"/>
              </w:rPr>
            </w:pPr>
          </w:p>
        </w:tc>
        <w:tc>
          <w:tcPr>
            <w:tcW w:w="1134" w:type="dxa"/>
            <w:vAlign w:val="center"/>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查询统计</w:t>
            </w:r>
          </w:p>
        </w:tc>
        <w:tc>
          <w:tcPr>
            <w:tcW w:w="96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造价分析</w:t>
            </w:r>
          </w:p>
        </w:tc>
        <w:tc>
          <w:tcPr>
            <w:tcW w:w="97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维修造价统计</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38" w:type="dxa"/>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基于造价软件的数据，展示各校造价情况</w:t>
            </w:r>
          </w:p>
        </w:tc>
      </w:tr>
    </w:tbl>
    <w:p>
      <w:pPr>
        <w:keepNext w:val="0"/>
        <w:keepLines w:val="0"/>
        <w:pageBreakBefore w:val="0"/>
        <w:widowControl w:val="0"/>
        <w:numPr>
          <w:ilvl w:val="0"/>
          <w:numId w:val="6"/>
        </w:numPr>
        <w:kinsoku/>
        <w:wordWrap/>
        <w:overflowPunct/>
        <w:topLinePunct w:val="0"/>
        <w:autoSpaceDE/>
        <w:autoSpaceDN/>
        <w:bidi w:val="0"/>
        <w:spacing w:line="520" w:lineRule="exact"/>
        <w:ind w:left="0" w:firstLine="480" w:firstLineChars="200"/>
        <w:textAlignment w:val="auto"/>
        <w:rPr>
          <w:b w:val="0"/>
          <w:bCs w:val="0"/>
          <w:sz w:val="24"/>
          <w:szCs w:val="24"/>
        </w:rPr>
      </w:pPr>
      <w:r>
        <w:rPr>
          <w:b w:val="0"/>
          <w:bCs w:val="0"/>
          <w:sz w:val="24"/>
          <w:szCs w:val="24"/>
        </w:rPr>
        <w:t>基建管理子系统</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Theme="minorEastAsia" w:hAnsiTheme="minorEastAsia" w:eastAsiaTheme="minorEastAsia" w:cstheme="minorEastAsia"/>
        </w:rPr>
      </w:pPr>
      <w:r>
        <w:rPr>
          <w:rFonts w:hint="eastAsia"/>
        </w:rPr>
        <w:t>基建管理子系统主要用于各级各类单位建立规划项目库，提供基本建设项目（新建、改扩建）前期阶段、实施阶段、竣工阶段、备案阶段、审计阶段、决算阶段等全过程管理。通</w:t>
      </w:r>
      <w:r>
        <w:rPr>
          <w:rFonts w:hint="eastAsia" w:asciiTheme="minorEastAsia" w:hAnsiTheme="minorEastAsia" w:eastAsiaTheme="minorEastAsia" w:cstheme="minorEastAsia"/>
        </w:rPr>
        <w:t>过项目关键节点的数据采集，对项目建设质量、安全、进度、投资等全过程进行动态管理</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该子系统二级模块有4个，分别是基建项目工作台、区属基建、委属基建和查询统计。</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pPr>
      <w:r>
        <w:rPr>
          <w:rFonts w:hint="eastAsia"/>
        </w:rPr>
        <w:t>其中新建的模块有：基建项目工作台、规划审核、归档申请、委属基建的土地规划管理和结项阶段管理、智建智控。升级的模块有：区属基建的规划项目申报和进度填报、委属基建的立项用地管理/建设许可管理/施工许可管理/施工阶段管理/竣工阶段管理、全过程管理信息查询。</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pPr>
      <w:r>
        <w:rPr>
          <w:rFonts w:hint="eastAsia"/>
        </w:rPr>
        <w:t>软件开发功能包括如下：</w:t>
      </w:r>
    </w:p>
    <w:tbl>
      <w:tblPr>
        <w:tblStyle w:val="1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34"/>
        <w:gridCol w:w="1006"/>
        <w:gridCol w:w="960"/>
        <w:gridCol w:w="915"/>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993"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子系统</w:t>
            </w:r>
          </w:p>
        </w:tc>
        <w:tc>
          <w:tcPr>
            <w:tcW w:w="1134"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模块</w:t>
            </w:r>
          </w:p>
        </w:tc>
        <w:tc>
          <w:tcPr>
            <w:tcW w:w="1006"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一级功能名称</w:t>
            </w:r>
          </w:p>
        </w:tc>
        <w:tc>
          <w:tcPr>
            <w:tcW w:w="9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二级功能名称</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三级功能名称</w:t>
            </w:r>
          </w:p>
        </w:tc>
        <w:tc>
          <w:tcPr>
            <w:tcW w:w="3923" w:type="dxa"/>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基建管理子系统</w:t>
            </w:r>
          </w:p>
        </w:tc>
        <w:tc>
          <w:tcPr>
            <w:tcW w:w="1134"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基建项目工作台</w:t>
            </w:r>
          </w:p>
        </w:tc>
        <w:tc>
          <w:tcPr>
            <w:tcW w:w="1006"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项目概况</w:t>
            </w:r>
          </w:p>
        </w:tc>
        <w:tc>
          <w:tcPr>
            <w:tcW w:w="9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23" w:type="dxa"/>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①按市级/区级/校级用户权限展示基建项目概况 ②异常情况预警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区属基建</w:t>
            </w:r>
          </w:p>
        </w:tc>
        <w:tc>
          <w:tcPr>
            <w:tcW w:w="1006"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规划项目</w:t>
            </w:r>
          </w:p>
        </w:tc>
        <w:tc>
          <w:tcPr>
            <w:tcW w:w="9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项目申报及审核</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23" w:type="dxa"/>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区级用户填写学校建设项目，市级用户对申报的项目进行审核，通过或退回。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06"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基建进度</w:t>
            </w:r>
          </w:p>
        </w:tc>
        <w:tc>
          <w:tcPr>
            <w:tcW w:w="9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进度填报</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23" w:type="dxa"/>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区级用户按项目实际情况，分别填报前期、施工、竣工、结项阶段的情况，包括前期立项信息、施工形象进度、竣工信息、结项信息等。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06"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归档申请</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23" w:type="dxa"/>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在项目结项后，区级提交归档申请，填报归档信息。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06"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智建智控</w:t>
            </w:r>
          </w:p>
        </w:tc>
        <w:tc>
          <w:tcPr>
            <w:tcW w:w="9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规划调整</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23" w:type="dxa"/>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市级用户开放规划批次调整的窗口；</w:t>
            </w:r>
          </w:p>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区级用户修改项目批次调入调出等信息；</w:t>
            </w:r>
          </w:p>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市级用户审核项目的规划调整信息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06"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智建智控</w:t>
            </w:r>
          </w:p>
        </w:tc>
        <w:tc>
          <w:tcPr>
            <w:tcW w:w="9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进度审核</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23" w:type="dxa"/>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增加市级用户对区属学校基建项目的建设各阶段信息进行审核，通过或退回。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06"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信息查询</w:t>
            </w:r>
          </w:p>
        </w:tc>
        <w:tc>
          <w:tcPr>
            <w:tcW w:w="9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23" w:type="dxa"/>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可按批次、项目名称、办学类型、项目类型等条件查询学校建设项目，查看相关详情。支持导出查询结果数据，包括项目基本信息、各阶段信息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委属基建</w:t>
            </w:r>
          </w:p>
        </w:tc>
        <w:tc>
          <w:tcPr>
            <w:tcW w:w="1006"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全过程管理</w:t>
            </w:r>
          </w:p>
        </w:tc>
        <w:tc>
          <w:tcPr>
            <w:tcW w:w="9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前期阶段土地规划</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信息上报</w:t>
            </w:r>
          </w:p>
        </w:tc>
        <w:tc>
          <w:tcPr>
            <w:tcW w:w="3923" w:type="dxa"/>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新增上报土地规划阶段信息，包括土地相关的任务实施计划，以及上传任务佐证材料。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06"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前期阶段立项用地</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信息上报</w:t>
            </w:r>
          </w:p>
        </w:tc>
        <w:tc>
          <w:tcPr>
            <w:tcW w:w="3923" w:type="dxa"/>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增加上报立项用地阶段信息，包括10项以上的任务实施计划，上传控规情况、项建书信息、规划土地意见、项目信息报送、可研上报评审批复情况等信息和佐证材料。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06"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前期阶段建设许可</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信息上报</w:t>
            </w:r>
          </w:p>
        </w:tc>
        <w:tc>
          <w:tcPr>
            <w:tcW w:w="3923" w:type="dxa"/>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增加上报建设许可阶段信息，包括3项以上的任务实施计划，上传规划设计方案批复、施工图审图、建设许可证等信息和佐证材料。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06"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前期阶段施工许可</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信息上报</w:t>
            </w:r>
          </w:p>
        </w:tc>
        <w:tc>
          <w:tcPr>
            <w:tcW w:w="3923" w:type="dxa"/>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1.增加上报施工许可阶段信息，包括4项任务实施计划，上传报监情况、施工许可证等情况和佐证材料。</w:t>
            </w:r>
          </w:p>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2.可拆分多标段项目的填报。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06"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施工阶段</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信息上报</w:t>
            </w:r>
          </w:p>
        </w:tc>
        <w:tc>
          <w:tcPr>
            <w:tcW w:w="3923" w:type="dxa"/>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1.增加上报施工管理阶段信息，包括月度工程形象进度描述、验收佐证材料等。</w:t>
            </w:r>
          </w:p>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2.支持多标段项目的上报。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06"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竣工阶段</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信息上报</w:t>
            </w:r>
          </w:p>
        </w:tc>
        <w:tc>
          <w:tcPr>
            <w:tcW w:w="3923" w:type="dxa"/>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1.增加上报竣工验收阶段的信息，包括10项以上的任务实施计划，上传竣工验收备案、不动产登记等信息和佐证材料。</w:t>
            </w:r>
          </w:p>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2.可合并多标段项目的填报。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06"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结项阶段</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信息上报</w:t>
            </w:r>
          </w:p>
        </w:tc>
        <w:tc>
          <w:tcPr>
            <w:tcW w:w="3923" w:type="dxa"/>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新增上报项目结项阶段信息，包括5项任务实施计划，上传竣工结算情况、竣工结算备案、竣工财务决算、概算调整、财务决算批复等信息和佐证材料。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06"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信息查询</w:t>
            </w:r>
          </w:p>
        </w:tc>
        <w:tc>
          <w:tcPr>
            <w:tcW w:w="9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23" w:type="dxa"/>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市级用户查看基建项目实施详情，包括项目基本信息、建设全过程、资金使用情况、项目绩效等。导出基建项目数据，如基本信息、建设进度等。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06"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智建智控</w:t>
            </w:r>
          </w:p>
        </w:tc>
        <w:tc>
          <w:tcPr>
            <w:tcW w:w="9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基建项目动态</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信息上报</w:t>
            </w:r>
          </w:p>
        </w:tc>
        <w:tc>
          <w:tcPr>
            <w:tcW w:w="3923" w:type="dxa"/>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增加项目动态填报信息，上传多类型的项目文件，填写月度项目总体情况、备注等。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06"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参建单位管理</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信息上报</w:t>
            </w:r>
          </w:p>
        </w:tc>
        <w:tc>
          <w:tcPr>
            <w:tcW w:w="3923" w:type="dxa"/>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用户维护项目的参建单位信息，上传招标形式、中标时间、中标单位名称、中标价等信息和相关佐证材料。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06"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信息上报</w:t>
            </w:r>
          </w:p>
        </w:tc>
        <w:tc>
          <w:tcPr>
            <w:tcW w:w="3923" w:type="dxa"/>
          </w:tcPr>
          <w:p>
            <w:pPr>
              <w:adjustRightInd w:val="0"/>
              <w:snapToGrid w:val="0"/>
              <w:jc w:val="left"/>
              <w:rPr>
                <w:rFonts w:hint="eastAsia" w:ascii="宋体" w:hAnsi="宋体" w:eastAsia="宋体" w:cs="Arial"/>
                <w:sz w:val="22"/>
                <w:szCs w:val="22"/>
              </w:rPr>
            </w:pPr>
            <w:r>
              <w:rPr>
                <w:rFonts w:hint="eastAsia" w:ascii="宋体" w:hAnsi="宋体" w:eastAsia="宋体" w:cs="Arial"/>
                <w:sz w:val="22"/>
                <w:szCs w:val="22"/>
              </w:rPr>
              <w:t>学校每月上报资金使用情况，上传投资控制、资金计划和下达情况、资金执行情况、投资完成情况、资金需求等。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06"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进度审核</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23"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区级用户对基建项目各阶段上报信息进行审核，对审核通过的阶段，则学校不能修改，审核不通过的，则退回学校完善。</w:t>
            </w:r>
          </w:p>
        </w:tc>
      </w:tr>
    </w:tbl>
    <w:p>
      <w:pPr>
        <w:keepNext w:val="0"/>
        <w:keepLines w:val="0"/>
        <w:pageBreakBefore w:val="0"/>
        <w:widowControl w:val="0"/>
        <w:numPr>
          <w:ilvl w:val="0"/>
          <w:numId w:val="6"/>
        </w:numPr>
        <w:kinsoku/>
        <w:wordWrap/>
        <w:overflowPunct/>
        <w:topLinePunct w:val="0"/>
        <w:autoSpaceDE/>
        <w:autoSpaceDN/>
        <w:bidi w:val="0"/>
        <w:spacing w:line="520" w:lineRule="exact"/>
        <w:ind w:left="0" w:firstLine="480" w:firstLineChars="200"/>
        <w:textAlignment w:val="auto"/>
        <w:rPr>
          <w:b w:val="0"/>
          <w:bCs w:val="0"/>
          <w:sz w:val="24"/>
          <w:szCs w:val="24"/>
        </w:rPr>
      </w:pPr>
      <w:r>
        <w:rPr>
          <w:b w:val="0"/>
          <w:bCs w:val="0"/>
          <w:sz w:val="24"/>
          <w:szCs w:val="24"/>
        </w:rPr>
        <w:t>校园智建子系统</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pPr>
      <w:r>
        <w:t>校园智建子系统</w:t>
      </w:r>
      <w:r>
        <w:rPr>
          <w:rFonts w:hint="eastAsia"/>
        </w:rPr>
        <w:t>为</w:t>
      </w:r>
      <w:r>
        <w:t>新建模块，该子系统包括校园物</w:t>
      </w:r>
      <w:r>
        <w:rPr>
          <w:rFonts w:hint="eastAsia" w:asciiTheme="minorEastAsia" w:hAnsiTheme="minorEastAsia" w:eastAsiaTheme="minorEastAsia" w:cstheme="minorEastAsia"/>
        </w:rPr>
        <w:t>码和校园巡检2大功能模块。</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pPr>
      <w:r>
        <w:rPr>
          <w:rFonts w:hint="eastAsia"/>
        </w:rPr>
        <w:t>软件开发功能包容如下：</w:t>
      </w:r>
    </w:p>
    <w:tbl>
      <w:tblPr>
        <w:tblStyle w:val="1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34"/>
        <w:gridCol w:w="931"/>
        <w:gridCol w:w="945"/>
        <w:gridCol w:w="1020"/>
        <w:gridCol w:w="3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blHeader/>
        </w:trPr>
        <w:tc>
          <w:tcPr>
            <w:tcW w:w="993"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子系统</w:t>
            </w:r>
          </w:p>
        </w:tc>
        <w:tc>
          <w:tcPr>
            <w:tcW w:w="1134"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模块</w:t>
            </w:r>
          </w:p>
        </w:tc>
        <w:tc>
          <w:tcPr>
            <w:tcW w:w="93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一级功能名称</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二级功能名称</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三级功能名称</w:t>
            </w:r>
          </w:p>
        </w:tc>
        <w:tc>
          <w:tcPr>
            <w:tcW w:w="3908" w:type="dxa"/>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校园智建子系统</w:t>
            </w:r>
          </w:p>
        </w:tc>
        <w:tc>
          <w:tcPr>
            <w:tcW w:w="1134"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校园物码</w:t>
            </w:r>
          </w:p>
        </w:tc>
        <w:tc>
          <w:tcPr>
            <w:tcW w:w="93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建筑公共信息</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学校用户维护面向公众的建筑信息，如建成年份、建筑面积、最近一次大修年月、文保历保图片或视频等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物码激活进展</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基于随申办物码激活状态，显示各校建筑物物码激活进度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校园巡检</w:t>
            </w:r>
          </w:p>
        </w:tc>
        <w:tc>
          <w:tcPr>
            <w:tcW w:w="931"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巡检管理</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工作布置</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根据权限，支持教委相关管理部门进行学校巡检任务批量添加及发布；同时，支持单个学校或校区任务信息添加并发布，编辑任一已发布的任务并重新发布。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进度管理</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1、采招信息登记：学校根据巡检服务采购情况在线任务登记，上传采购方案，填报中标单位、中标单位负责人及联系方式、实施方案、关键时间节点等，并针对每一任务生成唯一标识的二维码。</w:t>
            </w:r>
          </w:p>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2、巡检过程成果报送及管理：巡检报告编制完成后，学校通过报告上传入口提交并流转至上级管理部门；上级管理部门完成报告审核后，填写审核意见和工作要求，并返回报告提交学</w:t>
            </w:r>
          </w:p>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校；学校根据审核意见和工作要求进行处置和完善后，再次形成成果报告，经上级部门审核后形成正式报告。</w:t>
            </w:r>
          </w:p>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3、归档管理：提供成果上传入口，按管理要求上传或递交巡检报告及有关资料，实现闭环管理。</w:t>
            </w:r>
          </w:p>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4、工作状态更新：根据实施过程填报信息，更新巡检任务状态。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动态统计分析</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巡检进程和成果的统计分析，根据权限，了解各任务状态，根据业务管理需求按建筑使用功能、房屋完损等级、消防安全等级、节能情况、巡检状态等不同维度进行统计与分析。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校舍信息采集</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依据校舍巡检数据采集表单采集校舍主体结构情况、外立面情况、室内装饰情况、设施设备情况、房屋消防安全情况、节能情况等信息数据，作为表单数据进行保存，并与学校、校园建</w:t>
            </w:r>
          </w:p>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立关联关系。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管线数据上传</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1.提供现状管线物探、新建/修管线竣工验收数据填报模板，提供数据上传入口，可选择上传数据类型。</w:t>
            </w:r>
          </w:p>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2.对上传的管线数据进行数据完整性检查，检查发现问题提示上传用户。</w:t>
            </w:r>
          </w:p>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3.上传数据入库。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校园平面图</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1、校区平面图按指定格式、尺寸、大小等标准上传。</w:t>
            </w:r>
          </w:p>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2、通过位置标定工具，在地图中点取标定点，实现平面图在地图中的空间位置、范围大小准确配准。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管线数据组织</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1、以各学校的单独校区形成唯一标识，组织管理本校区的地下管线相关数据、图纸、文档等资料。</w:t>
            </w:r>
          </w:p>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2、地下管线相关的图纸、文档等数据，作为文件数据存储管理，存储时与数据组织中的项目建立关联。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校区范围采集</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根据校方地形图中的学校范围，在GIS地图中录入校区范围，保存在数据库中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文档管理</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支持文档分类管理，可自定义创建文件夹及子文件夹，实现文件夹内不同格式文档上传。进入用户自定义的文件夹内，可点击查看相应的文件，pdf可在网页直接查看，其他格式文件通过下载查看。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校舍管理应用</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完损等级判定</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基于校舍巡检数据，依据国家及地方现行技术规范或文件，评估该校舍的主体结构完损等级、外立面完损等级、室内装饰完损等级、设施设备完损等级及相应的</w:t>
            </w:r>
            <w:r>
              <w:rPr>
                <w:rFonts w:hint="eastAsia" w:ascii="宋体" w:hAnsi="宋体" w:eastAsia="宋体" w:cs="Arial"/>
                <w:sz w:val="22"/>
                <w:szCs w:val="22"/>
                <w:highlight w:val="none"/>
              </w:rPr>
              <w:t>后续营造做法建议。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总体评价判定</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pStyle w:val="26"/>
              <w:spacing w:before="34" w:line="360" w:lineRule="auto"/>
              <w:ind w:left="48"/>
              <w:rPr>
                <w:rFonts w:hint="eastAsia" w:ascii="宋体" w:hAnsi="宋体" w:eastAsia="宋体" w:cs="Arial"/>
                <w:sz w:val="22"/>
                <w:szCs w:val="22"/>
              </w:rPr>
            </w:pPr>
            <w:r>
              <w:rPr>
                <w:rFonts w:hint="eastAsia" w:ascii="宋体" w:hAnsi="宋体" w:eastAsia="宋体" w:cs="Arial"/>
                <w:color w:val="auto"/>
                <w:kern w:val="2"/>
                <w:sz w:val="22"/>
                <w:szCs w:val="22"/>
              </w:rPr>
              <w:t>基于校舍完损等级，依据国家及地方现行技术规范或文件评估该校舍的总体评价，包括修</w:t>
            </w:r>
            <w:r>
              <w:rPr>
                <w:rFonts w:hint="eastAsia" w:ascii="宋体" w:hAnsi="宋体" w:eastAsia="宋体" w:cs="Arial"/>
                <w:color w:val="auto"/>
                <w:kern w:val="2"/>
                <w:sz w:val="22"/>
                <w:szCs w:val="22"/>
                <w:highlight w:val="none"/>
              </w:rPr>
              <w:t>缮紧迫性评级、房屋修缮方式评级</w:t>
            </w:r>
            <w:r>
              <w:rPr>
                <w:rFonts w:hint="eastAsia" w:ascii="宋体" w:hAnsi="宋体" w:eastAsia="宋体" w:cs="Arial"/>
                <w:sz w:val="22"/>
                <w:szCs w:val="22"/>
                <w:highlight w:val="none"/>
              </w:rPr>
              <w:t>、房屋修缮营造做法建议。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调查表生成</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pStyle w:val="26"/>
              <w:keepNext w:val="0"/>
              <w:keepLines w:val="0"/>
              <w:pageBreakBefore w:val="0"/>
              <w:widowControl/>
              <w:kinsoku/>
              <w:wordWrap/>
              <w:overflowPunct/>
              <w:topLinePunct/>
              <w:bidi w:val="0"/>
              <w:adjustRightInd w:val="0"/>
              <w:snapToGrid w:val="0"/>
              <w:spacing w:before="34" w:line="360" w:lineRule="auto"/>
              <w:ind w:left="0"/>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基于校舍巡检数据，综合判定的完损等级与总体评价，生成统</w:t>
            </w:r>
            <w:r>
              <w:rPr>
                <w:rFonts w:hint="eastAsia" w:ascii="宋体" w:hAnsi="宋体" w:eastAsia="宋体" w:cs="Arial"/>
                <w:sz w:val="22"/>
                <w:szCs w:val="22"/>
              </w:rPr>
              <w:t>一格式的单个校舍的巡检调查表，并支持查看、下载。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初步报告生成</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keepNext w:val="0"/>
              <w:keepLines w:val="0"/>
              <w:pageBreakBefore w:val="0"/>
              <w:widowControl/>
              <w:kinsoku/>
              <w:wordWrap/>
              <w:overflowPunct/>
              <w:topLinePunct/>
              <w:bidi w:val="0"/>
              <w:adjustRightInd w:val="0"/>
              <w:snapToGrid w:val="0"/>
              <w:ind w:left="0"/>
              <w:jc w:val="left"/>
              <w:rPr>
                <w:rFonts w:hint="eastAsia" w:ascii="宋体" w:hAnsi="宋体" w:eastAsia="宋体" w:cs="Arial"/>
                <w:sz w:val="22"/>
                <w:szCs w:val="22"/>
              </w:rPr>
            </w:pPr>
            <w:r>
              <w:rPr>
                <w:rFonts w:hint="eastAsia" w:ascii="宋体" w:hAnsi="宋体" w:eastAsia="宋体" w:cs="Arial"/>
                <w:sz w:val="22"/>
                <w:szCs w:val="22"/>
              </w:rPr>
              <w:t>梳理校舍巡检报告模板，基于校园基本信息、生成的调查表、完损等级、总体评价结果，生成校园巡检初步报告，显示和保存报告生成时间（与建筑基本信息库相关联），并支持浏览查看、下载，便于线下报告修改、复核，提高报告编制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风险评估</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基于校舍安全管理需求，结合巡检内容、影响因素及权重创建校舍风险评估模型，基于现场巡检数据及风险评估模型评估一个校园及单体建筑的安全隐患等级。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风险确认</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根据权限，结合现场巡检情况对生成的风险评估结果进行评估及修正，确认后发布风险评估结果。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风险可视化</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以可视化的形式分层展示任一学校、校区及单体建筑的风险等级情况，并支持关联查看巡检关键结论。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风险提示</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根据权限，对易造成人员安全的因素，如高坠、消防等进行风险提示。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信息查询</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校舍历年巡检情况查询，包括巡查次数，巡检时间、风险等级、巡检报告等。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管线管理应用</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管线可视化</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基于管线数据中的连接关系，开发管线成图模块，实现管点准确放置，将两点连接成线，以及准确放置管线附属物。（1）将管线平面位置在GIS地图中表达；（2）不同专业管线采用不同颜色表达；（3）管点附属物根据类型采用对应的图标表达；（4）根据权限，将权限内的校区范围与名称标签在一张地图中表达；（5）进入某校区范围后，只显示本范围管线；（6）管线看板：基于一张图汇总管线关键统计信息，如系统中管理的全市、某高校总管线长度、各专业管线长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分类控制</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1、实现不同类别管线分图层控制，通过图层列表，快速控制管线图层的显示隐藏。</w:t>
            </w:r>
          </w:p>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2、现状管线与新建管线分图层控制，用于数据对比。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信息查询</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1、管线属性信息查询：基于GIS地图上展示的管线信息，点击管线段、管点，查询对应的管线段、附属物关键信息。</w:t>
            </w:r>
          </w:p>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2、与市政管线接口查询：查询校园内的管线与外部市政管线接口。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管线统计</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1、长度统计：校区全局范围地下管线数据统计，包括总长度 、各专业管线长度。</w:t>
            </w:r>
          </w:p>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2、按管材统计：针对某一类管线，查找和梳理管线材质类型，统计各类材质管线长度。</w:t>
            </w:r>
          </w:p>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3、非开挖统计：检索并统计非开挖管线，统计各专业非开挖管线长度。</w:t>
            </w:r>
          </w:p>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4、管径统计：按管径检索并统计地下管线，检索管径等于、大于、小于某个数值，或介于某个区间的地下管线，统计长度。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附属物列表</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pStyle w:val="26"/>
              <w:spacing w:before="34" w:line="360" w:lineRule="auto"/>
              <w:ind w:left="46"/>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梳理附属物的类型，每类附属物个数，将附属物分类建立树状</w:t>
            </w:r>
            <w:r>
              <w:rPr>
                <w:rFonts w:hint="eastAsia" w:ascii="宋体" w:hAnsi="宋体" w:eastAsia="宋体" w:cs="Arial"/>
                <w:sz w:val="22"/>
                <w:szCs w:val="22"/>
              </w:rPr>
              <w:t>列表，逐个列入附属物，可点击在地图中定位。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检修提醒</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1、管线检修记录查询，查询某一年维修的管线。</w:t>
            </w:r>
          </w:p>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2、设定管线检修提醒年限，基于GIS地图服务，对埋设时间、维修时间超过指定年限的管线，发出检修提醒通知。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流向分析</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pStyle w:val="26"/>
              <w:spacing w:before="34" w:line="360" w:lineRule="auto"/>
              <w:ind w:left="46"/>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根据排水管线标高或埋深数据，计算管线流向，并用箭头表示</w:t>
            </w:r>
            <w:r>
              <w:rPr>
                <w:rFonts w:hint="eastAsia" w:ascii="宋体" w:hAnsi="宋体" w:eastAsia="宋体" w:cs="Arial"/>
                <w:sz w:val="22"/>
                <w:szCs w:val="22"/>
              </w:rPr>
              <w:t>管线流向信息。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应急抢修分析</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某处管线出现事故后，在事故地点周围圈定范围，根据空间分析筛选出范围内的地下管线，汇总关键指标，包括管线类型、管线长度，不同类型的管线管径范围等。</w:t>
            </w:r>
          </w:p>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对供水管道某处出现漏水事件后，分析找出最近的阀门。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分布图输出</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将指定范围的地下管线分布情况，按图输出，支持下载包含该范围的管线图纸。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运维证照管理</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信息上传</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1、梳理校园运维证照管理相关的数据表字段，建立表单。</w:t>
            </w:r>
          </w:p>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2、证照信息与证件附件上传。</w:t>
            </w:r>
          </w:p>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3、证照信息更新，包括修改有效期、更新证件附件等，同步维护数据库。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信息查询</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1、根据校区位置，依据类别采用不同图标将各校区运维证照在地图上进行标记，以颜色区分证照状态（有效、即将到期、过期等）。</w:t>
            </w:r>
          </w:p>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2、基于地图上的运维证照撒点图标，点击查询详细信息和证件附件。</w:t>
            </w:r>
          </w:p>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3、输入关键字，搜索查询运维证照信息。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到期提醒</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widowControl/>
              <w:adjustRightInd w:val="0"/>
              <w:snapToGrid w:val="0"/>
              <w:jc w:val="left"/>
              <w:rPr>
                <w:rFonts w:hint="eastAsia" w:ascii="宋体" w:hAnsi="宋体" w:eastAsia="宋体" w:cs="Arial"/>
                <w:sz w:val="22"/>
                <w:szCs w:val="22"/>
              </w:rPr>
            </w:pPr>
            <w:r>
              <w:rPr>
                <w:rFonts w:hint="eastAsia" w:ascii="宋体" w:hAnsi="宋体" w:eastAsia="宋体" w:cs="Arial"/>
                <w:sz w:val="22"/>
                <w:szCs w:val="22"/>
              </w:rPr>
              <w:t>根据运维证照登记的有效期，临近有效期时，系统提示用户。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证照汇总</w:t>
            </w:r>
          </w:p>
        </w:tc>
        <w:tc>
          <w:tcPr>
            <w:tcW w:w="102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08" w:type="dxa"/>
          </w:tcPr>
          <w:p>
            <w:pPr>
              <w:pStyle w:val="26"/>
              <w:spacing w:before="34" w:line="360" w:lineRule="auto"/>
              <w:ind w:left="48"/>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基于地图服务，汇总相关证照统计信息，从数量、状态等多个</w:t>
            </w:r>
            <w:r>
              <w:rPr>
                <w:rFonts w:hint="eastAsia" w:ascii="宋体" w:hAnsi="宋体" w:eastAsia="宋体" w:cs="Arial"/>
                <w:sz w:val="22"/>
                <w:szCs w:val="22"/>
              </w:rPr>
              <w:t>维度进行统计。</w:t>
            </w:r>
          </w:p>
        </w:tc>
      </w:tr>
    </w:tbl>
    <w:p>
      <w:pPr>
        <w:keepNext w:val="0"/>
        <w:keepLines w:val="0"/>
        <w:pageBreakBefore w:val="0"/>
        <w:widowControl w:val="0"/>
        <w:numPr>
          <w:ilvl w:val="0"/>
          <w:numId w:val="6"/>
        </w:numPr>
        <w:kinsoku/>
        <w:wordWrap/>
        <w:overflowPunct/>
        <w:topLinePunct w:val="0"/>
        <w:autoSpaceDE/>
        <w:autoSpaceDN/>
        <w:bidi w:val="0"/>
        <w:spacing w:line="520" w:lineRule="exact"/>
        <w:ind w:left="0" w:firstLine="480" w:firstLineChars="200"/>
        <w:textAlignment w:val="auto"/>
        <w:rPr>
          <w:b w:val="0"/>
          <w:bCs w:val="0"/>
          <w:sz w:val="24"/>
          <w:szCs w:val="24"/>
        </w:rPr>
      </w:pPr>
      <w:r>
        <w:rPr>
          <w:b w:val="0"/>
          <w:bCs w:val="0"/>
          <w:sz w:val="24"/>
          <w:szCs w:val="24"/>
        </w:rPr>
        <w:t>数据分析子系统</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Theme="minorEastAsia" w:hAnsiTheme="minorEastAsia" w:eastAsiaTheme="minorEastAsia" w:cstheme="minorEastAsia"/>
        </w:rPr>
      </w:pPr>
      <w:r>
        <w:rPr>
          <w:rFonts w:hint="eastAsia"/>
        </w:rPr>
        <w:t>数</w:t>
      </w:r>
      <w:r>
        <w:rPr>
          <w:rFonts w:hint="eastAsia" w:asciiTheme="minorEastAsia" w:hAnsiTheme="minorEastAsia" w:eastAsiaTheme="minorEastAsia" w:cstheme="minorEastAsia"/>
        </w:rPr>
        <w:t>据分析子系统通过数据仪表盘、GIS 展示、多维报表等生动活泼的数据展现形式，充分挖掘数据价值，使数据可视化，有助于用户更形象、直观地了解各类信息。</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该子系统二级模块有3个，分别是数据魔方2.0、数智引擎、业务分析卡片。</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其中新建的模块有：数智引擎和业务分析卡片。升级的模块有：数据魔方2.0。</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pPr>
      <w:r>
        <w:rPr>
          <w:rFonts w:hint="eastAsia"/>
        </w:rPr>
        <w:t>软件开发功能包括如下：</w:t>
      </w:r>
    </w:p>
    <w:tbl>
      <w:tblPr>
        <w:tblStyle w:val="1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34"/>
        <w:gridCol w:w="976"/>
        <w:gridCol w:w="915"/>
        <w:gridCol w:w="915"/>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trPr>
        <w:tc>
          <w:tcPr>
            <w:tcW w:w="993"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子系统</w:t>
            </w:r>
          </w:p>
        </w:tc>
        <w:tc>
          <w:tcPr>
            <w:tcW w:w="1134"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模块</w:t>
            </w:r>
          </w:p>
        </w:tc>
        <w:tc>
          <w:tcPr>
            <w:tcW w:w="976"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一级功能名称</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二级功能名称</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三级功能名称</w:t>
            </w:r>
          </w:p>
        </w:tc>
        <w:tc>
          <w:tcPr>
            <w:tcW w:w="4281" w:type="dxa"/>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restart"/>
            <w:vAlign w:val="center"/>
          </w:tcPr>
          <w:p>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数据分析子系统</w:t>
            </w:r>
          </w:p>
        </w:tc>
        <w:tc>
          <w:tcPr>
            <w:tcW w:w="1134" w:type="dxa"/>
            <w:vMerge w:val="restart"/>
            <w:vAlign w:val="center"/>
          </w:tcPr>
          <w:p>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数智引擎</w:t>
            </w:r>
          </w:p>
        </w:tc>
        <w:tc>
          <w:tcPr>
            <w:tcW w:w="976" w:type="dxa"/>
            <w:vMerge w:val="restart"/>
            <w:vAlign w:val="center"/>
          </w:tcPr>
          <w:p>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基础教育规划与测算</w:t>
            </w:r>
          </w:p>
        </w:tc>
        <w:tc>
          <w:tcPr>
            <w:tcW w:w="915"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生均面积测算</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学校建筑面积达标测算</w:t>
            </w:r>
          </w:p>
        </w:tc>
        <w:tc>
          <w:tcPr>
            <w:tcW w:w="4281" w:type="dxa"/>
          </w:tcPr>
          <w:p>
            <w:pPr>
              <w:pStyle w:val="26"/>
              <w:kinsoku/>
              <w:topLinePunct/>
              <w:spacing w:before="34" w:line="360" w:lineRule="auto"/>
              <w:ind w:left="45"/>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构建各学段生均面积达标测算模型，支持灵活配置各学校、各学段现有建筑面积等关键参数，结合各学段学生人数预测结果，实现对未来各学段生均建筑面积达标情况的动态预测。</w:t>
            </w:r>
          </w:p>
          <w:p>
            <w:pPr>
              <w:pStyle w:val="26"/>
              <w:kinsoku/>
              <w:topLinePunct/>
              <w:spacing w:before="34" w:line="360" w:lineRule="auto"/>
              <w:ind w:left="45"/>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支持灵活选择建筑面积标准、选择不同年份，对各学段的建筑面积达标情况进行逐年模拟测算；同时支持按街镇、区、市等</w:t>
            </w:r>
            <w:r>
              <w:rPr>
                <w:rFonts w:hint="eastAsia" w:ascii="宋体" w:hAnsi="宋体" w:eastAsia="宋体" w:cs="Arial"/>
                <w:sz w:val="22"/>
                <w:szCs w:val="22"/>
              </w:rPr>
              <w:t>行政区域层级进行筛选与分析。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76"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15"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建筑面积达标指标配置</w:t>
            </w:r>
          </w:p>
        </w:tc>
        <w:tc>
          <w:tcPr>
            <w:tcW w:w="4281" w:type="dxa"/>
          </w:tcPr>
          <w:p>
            <w:pPr>
              <w:pStyle w:val="26"/>
              <w:kinsoku/>
              <w:topLinePunct/>
              <w:spacing w:before="34" w:line="360" w:lineRule="auto"/>
              <w:ind w:left="45"/>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支持24标准、10标准、95标准、09标准等标准中 建筑面积指标的配置；</w:t>
            </w:r>
          </w:p>
          <w:p>
            <w:pPr>
              <w:pStyle w:val="26"/>
              <w:kinsoku/>
              <w:topLinePunct/>
              <w:spacing w:before="34" w:line="360" w:lineRule="auto"/>
              <w:ind w:left="45"/>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支持市、区、街镇三级面积测算所需对应的不同办学类型（公办、民办、市属）的参数映射关系配置。支持不同办学类型的学段区分配置（如九年一贯制、十二年一贯制对应的学段配置</w:t>
            </w:r>
            <w:r>
              <w:rPr>
                <w:rFonts w:hint="eastAsia" w:ascii="宋体" w:hAnsi="宋体" w:eastAsia="宋体" w:cs="Arial"/>
                <w:sz w:val="22"/>
                <w:szCs w:val="22"/>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数据魔方2.0</w:t>
            </w:r>
          </w:p>
        </w:tc>
        <w:tc>
          <w:tcPr>
            <w:tcW w:w="976"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上海教育基础建设概况</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281" w:type="dxa"/>
          </w:tcPr>
          <w:p>
            <w:pPr>
              <w:pStyle w:val="26"/>
              <w:kinsoku/>
              <w:topLinePunct/>
              <w:spacing w:before="34" w:line="360" w:lineRule="auto"/>
              <w:ind w:left="45"/>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综合展示学校建设情况，包括学校基础建设现状及各类指标的达标情况，新建项目、维修项目实施进度和资金使用情况。地图可视化学校或项目点位，支持图表下载。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业务分析卡片</w:t>
            </w:r>
          </w:p>
        </w:tc>
        <w:tc>
          <w:tcPr>
            <w:tcW w:w="976"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图表类型管理</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281" w:type="dxa"/>
          </w:tcPr>
          <w:p>
            <w:pPr>
              <w:pStyle w:val="26"/>
              <w:kinsoku/>
              <w:topLinePunct/>
              <w:spacing w:before="34" w:line="360" w:lineRule="auto"/>
              <w:ind w:left="45"/>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创建各类图表类型，以支持可视化图表的自定义配置，包括图表类型的创建、删除、编辑。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76"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切片管理</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281" w:type="dxa"/>
          </w:tcPr>
          <w:p>
            <w:pPr>
              <w:pStyle w:val="26"/>
              <w:kinsoku/>
              <w:topLinePunct/>
              <w:spacing w:before="34" w:line="360" w:lineRule="auto"/>
              <w:ind w:left="45"/>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通过切片管理将图表数据源与图表类型关联，创建可视化图表切片。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76"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页面管理</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281" w:type="dxa"/>
          </w:tcPr>
          <w:p>
            <w:pPr>
              <w:pStyle w:val="26"/>
              <w:kinsoku/>
              <w:topLinePunct/>
              <w:spacing w:before="34" w:line="360" w:lineRule="auto"/>
              <w:ind w:left="45"/>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通过页面管理组合图表切片，进行可视化页面的自定义配置，包括页面名称、页面模板等配置。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76"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卡片管理</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1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281" w:type="dxa"/>
          </w:tcPr>
          <w:p>
            <w:pPr>
              <w:pStyle w:val="26"/>
              <w:kinsoku/>
              <w:topLinePunct/>
              <w:spacing w:before="34" w:line="360" w:lineRule="auto"/>
              <w:ind w:left="45"/>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对配置的页面归类，形成一个主题下的卡片，并支持卡片的瀑布式展示方式，以及卡片的新增、删除、编辑等。</w:t>
            </w:r>
          </w:p>
        </w:tc>
      </w:tr>
    </w:tbl>
    <w:p>
      <w:pPr>
        <w:keepNext w:val="0"/>
        <w:keepLines w:val="0"/>
        <w:pageBreakBefore w:val="0"/>
        <w:widowControl w:val="0"/>
        <w:numPr>
          <w:ilvl w:val="0"/>
          <w:numId w:val="6"/>
        </w:numPr>
        <w:kinsoku/>
        <w:wordWrap/>
        <w:overflowPunct/>
        <w:topLinePunct w:val="0"/>
        <w:autoSpaceDE/>
        <w:autoSpaceDN/>
        <w:bidi w:val="0"/>
        <w:spacing w:line="520" w:lineRule="exact"/>
        <w:ind w:left="0" w:firstLine="480" w:firstLineChars="200"/>
        <w:textAlignment w:val="auto"/>
        <w:rPr>
          <w:b w:val="0"/>
          <w:bCs w:val="0"/>
          <w:sz w:val="24"/>
          <w:szCs w:val="24"/>
        </w:rPr>
      </w:pPr>
      <w:r>
        <w:rPr>
          <w:b w:val="0"/>
          <w:bCs w:val="0"/>
          <w:sz w:val="24"/>
          <w:szCs w:val="24"/>
        </w:rPr>
        <w:t>用户管理子系统</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pPr>
      <w:r>
        <w:rPr>
          <w:rFonts w:hint="eastAsia"/>
        </w:rPr>
        <w:t>用户管理子系统主要用于对系统用户、权限、公共数据、日志的管理</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Theme="minorEastAsia" w:hAnsiTheme="minorEastAsia" w:eastAsiaTheme="minorEastAsia" w:cstheme="minorEastAsia"/>
        </w:rPr>
      </w:pPr>
      <w:r>
        <w:rPr>
          <w:rFonts w:hint="eastAsia"/>
        </w:rPr>
        <w:t>该子系统二级模</w:t>
      </w:r>
      <w:r>
        <w:rPr>
          <w:rFonts w:hint="eastAsia" w:asciiTheme="minorEastAsia" w:hAnsiTheme="minorEastAsia" w:eastAsiaTheme="minorEastAsia" w:cstheme="minorEastAsia"/>
        </w:rPr>
        <w:t>块4个，分别是数据管理、数据安全、日志管理和数据共享。</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pPr>
      <w:r>
        <w:rPr>
          <w:rFonts w:hint="eastAsia" w:asciiTheme="minorEastAsia" w:hAnsiTheme="minorEastAsia" w:eastAsiaTheme="minorEastAsia" w:cstheme="minorEastAsia"/>
        </w:rPr>
        <w:t>其中新建的模块有：预警指标管理</w:t>
      </w:r>
      <w:r>
        <w:rPr>
          <w:rFonts w:hint="eastAsia"/>
        </w:rPr>
        <w:t>。升级的模块有：用户管理、权限管理、数据推送、数据对接。</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pPr>
      <w:r>
        <w:rPr>
          <w:rFonts w:hint="eastAsia"/>
        </w:rPr>
        <w:t>软件开发功能包容如下：</w:t>
      </w:r>
    </w:p>
    <w:tbl>
      <w:tblPr>
        <w:tblStyle w:val="1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34"/>
        <w:gridCol w:w="1021"/>
        <w:gridCol w:w="930"/>
        <w:gridCol w:w="945"/>
        <w:gridCol w:w="4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993" w:type="dxa"/>
            <w:vAlign w:val="center"/>
          </w:tcPr>
          <w:p>
            <w:pPr>
              <w:widowControl/>
              <w:spacing w:line="240" w:lineRule="auto"/>
              <w:jc w:val="center"/>
              <w:rPr>
                <w:rFonts w:hint="eastAsia" w:ascii="宋体" w:hAnsi="宋体" w:eastAsia="宋体" w:cs="宋体"/>
                <w:color w:val="000000"/>
                <w:kern w:val="0"/>
                <w:sz w:val="22"/>
                <w:szCs w:val="22"/>
              </w:rPr>
            </w:pPr>
            <w:bookmarkStart w:id="0" w:name="_Hlk223798837"/>
            <w:r>
              <w:rPr>
                <w:rFonts w:hint="eastAsia" w:ascii="宋体" w:hAnsi="宋体" w:eastAsia="宋体" w:cs="宋体"/>
                <w:color w:val="000000"/>
                <w:kern w:val="0"/>
                <w:sz w:val="22"/>
                <w:szCs w:val="22"/>
              </w:rPr>
              <w:t>子系统</w:t>
            </w:r>
          </w:p>
        </w:tc>
        <w:tc>
          <w:tcPr>
            <w:tcW w:w="1134"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模块</w:t>
            </w:r>
          </w:p>
        </w:tc>
        <w:tc>
          <w:tcPr>
            <w:tcW w:w="102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一级功能名称</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二级功能名称</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三级功能名称</w:t>
            </w:r>
          </w:p>
        </w:tc>
        <w:tc>
          <w:tcPr>
            <w:tcW w:w="4191" w:type="dxa"/>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功能描述</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用户管理子系统</w:t>
            </w:r>
          </w:p>
        </w:tc>
        <w:tc>
          <w:tcPr>
            <w:tcW w:w="1134"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数据管理</w:t>
            </w:r>
          </w:p>
        </w:tc>
        <w:tc>
          <w:tcPr>
            <w:tcW w:w="1021"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预警指标管理</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预警规则设置</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91" w:type="dxa"/>
          </w:tcPr>
          <w:p>
            <w:pPr>
              <w:pStyle w:val="26"/>
              <w:kinsoku/>
              <w:topLinePunct/>
              <w:spacing w:before="34" w:line="360" w:lineRule="auto"/>
              <w:ind w:left="45"/>
              <w:rPr>
                <w:rFonts w:hint="eastAsia" w:ascii="宋体" w:hAnsi="宋体" w:eastAsia="宋体" w:cs="Arial"/>
                <w:color w:val="auto"/>
                <w:kern w:val="2"/>
                <w:sz w:val="22"/>
                <w:szCs w:val="22"/>
                <w:lang w:eastAsia="zh-CN"/>
              </w:rPr>
            </w:pPr>
            <w:r>
              <w:rPr>
                <w:rFonts w:hint="eastAsia" w:ascii="宋体" w:hAnsi="宋体" w:eastAsia="宋体" w:cs="Arial"/>
                <w:color w:val="auto"/>
                <w:kern w:val="2"/>
                <w:sz w:val="22"/>
                <w:szCs w:val="22"/>
              </w:rPr>
              <w:t>设置预警规则，如表单填报完成率、项目进度偏差、资金执行率、学位缺口</w:t>
            </w:r>
            <w:r>
              <w:rPr>
                <w:rFonts w:hint="eastAsia" w:ascii="宋体" w:hAnsi="宋体" w:eastAsia="宋体" w:cs="Arial"/>
                <w:color w:val="auto"/>
                <w:kern w:val="2"/>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2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预警通知</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91" w:type="dxa"/>
          </w:tcPr>
          <w:p>
            <w:pPr>
              <w:pStyle w:val="26"/>
              <w:kinsoku/>
              <w:topLinePunct/>
              <w:spacing w:before="34" w:line="360" w:lineRule="auto"/>
              <w:ind w:left="45"/>
              <w:rPr>
                <w:rFonts w:hint="eastAsia" w:ascii="宋体" w:hAnsi="宋体" w:eastAsia="宋体" w:cs="Arial"/>
                <w:color w:val="auto"/>
                <w:kern w:val="2"/>
                <w:sz w:val="22"/>
                <w:szCs w:val="22"/>
                <w:lang w:eastAsia="zh-CN"/>
              </w:rPr>
            </w:pPr>
            <w:r>
              <w:rPr>
                <w:rFonts w:hint="eastAsia" w:ascii="宋体" w:hAnsi="宋体" w:eastAsia="宋体" w:cs="Arial"/>
                <w:color w:val="auto"/>
                <w:kern w:val="2"/>
                <w:sz w:val="22"/>
                <w:szCs w:val="22"/>
              </w:rPr>
              <w:t>根据设置的预警规则，进行监控，并支持短信通知</w:t>
            </w:r>
            <w:r>
              <w:rPr>
                <w:rFonts w:hint="eastAsia" w:ascii="宋体" w:hAnsi="宋体" w:eastAsia="宋体" w:cs="Arial"/>
                <w:color w:val="auto"/>
                <w:kern w:val="2"/>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数据安全</w:t>
            </w:r>
          </w:p>
        </w:tc>
        <w:tc>
          <w:tcPr>
            <w:tcW w:w="102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用户管理</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91" w:type="dxa"/>
          </w:tcPr>
          <w:p>
            <w:pPr>
              <w:pStyle w:val="26"/>
              <w:kinsoku/>
              <w:topLinePunct/>
              <w:spacing w:before="34" w:line="360" w:lineRule="auto"/>
              <w:ind w:left="45"/>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优化用户组织体系，支持学校、区、市三级账号创建，账号以手机号为唯一标识，按部门和角色绑定基础权限。</w:t>
            </w:r>
          </w:p>
          <w:p>
            <w:pPr>
              <w:pStyle w:val="26"/>
              <w:kinsoku/>
              <w:topLinePunct/>
              <w:spacing w:before="34" w:line="360" w:lineRule="auto"/>
              <w:ind w:left="45"/>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满足“六统一”的建设要求，集成教育统一身份认证平台，实现</w:t>
            </w:r>
            <w:r>
              <w:rPr>
                <w:rFonts w:hint="eastAsia" w:ascii="宋体" w:hAnsi="宋体" w:eastAsia="宋体" w:cs="Arial"/>
                <w:sz w:val="22"/>
                <w:szCs w:val="22"/>
              </w:rPr>
              <w:t>手机号+密码/验证码登录，登录后自动跳转至业务系统。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2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权限管理</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91" w:type="dxa"/>
          </w:tcPr>
          <w:p>
            <w:pPr>
              <w:pStyle w:val="26"/>
              <w:kinsoku/>
              <w:topLinePunct/>
              <w:spacing w:before="34" w:line="360" w:lineRule="auto"/>
              <w:ind w:left="45"/>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优化数据权限，支持基于多维度属性的细粒度数据权限管控，用户可精准定义数据访问边界。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数据共享</w:t>
            </w:r>
          </w:p>
        </w:tc>
        <w:tc>
          <w:tcPr>
            <w:tcW w:w="1021"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大数据中心数据</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数据推送</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91" w:type="dxa"/>
          </w:tcPr>
          <w:p>
            <w:pPr>
              <w:pStyle w:val="26"/>
              <w:kinsoku/>
              <w:topLinePunct/>
              <w:spacing w:before="34" w:line="360" w:lineRule="auto"/>
              <w:ind w:left="45"/>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共享民办高校业务指标数据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21"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数据对接</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91" w:type="dxa"/>
          </w:tcPr>
          <w:p>
            <w:pPr>
              <w:pStyle w:val="26"/>
              <w:kinsoku/>
              <w:topLinePunct/>
              <w:spacing w:before="34" w:line="360" w:lineRule="auto"/>
              <w:ind w:left="45"/>
              <w:rPr>
                <w:rFonts w:hint="eastAsia" w:ascii="宋体" w:hAnsi="宋体" w:eastAsia="宋体" w:cs="Arial"/>
                <w:color w:val="auto"/>
                <w:kern w:val="2"/>
                <w:sz w:val="22"/>
                <w:szCs w:val="22"/>
                <w:lang w:eastAsia="zh-CN"/>
              </w:rPr>
            </w:pPr>
            <w:r>
              <w:rPr>
                <w:rFonts w:hint="eastAsia" w:ascii="宋体" w:hAnsi="宋体" w:eastAsia="宋体" w:cs="Arial"/>
                <w:color w:val="auto"/>
                <w:kern w:val="2"/>
                <w:sz w:val="22"/>
                <w:szCs w:val="22"/>
              </w:rPr>
              <w:t>对接大数据中心数据，如人口数、学生数、教师数、不动产、建筑物物码等数据指标</w:t>
            </w:r>
            <w:r>
              <w:rPr>
                <w:rFonts w:hint="eastAsia" w:ascii="宋体" w:hAnsi="宋体" w:eastAsia="宋体" w:cs="Arial"/>
                <w:color w:val="auto"/>
                <w:kern w:val="2"/>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重点工作管理</w:t>
            </w:r>
          </w:p>
        </w:tc>
        <w:tc>
          <w:tcPr>
            <w:tcW w:w="102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发布与管理</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91" w:type="dxa"/>
          </w:tcPr>
          <w:p>
            <w:pPr>
              <w:pStyle w:val="26"/>
              <w:kinsoku/>
              <w:topLinePunct/>
              <w:spacing w:before="34" w:line="360" w:lineRule="auto"/>
              <w:ind w:left="45"/>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区级用户发布近期重点工作任务，并对反馈情况进行审核，通过或不通过。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134" w:type="dxa"/>
            <w:vMerge w:val="continue"/>
            <w:vAlign w:val="center"/>
          </w:tcPr>
          <w:p>
            <w:pPr>
              <w:widowControl/>
              <w:spacing w:line="240" w:lineRule="auto"/>
              <w:jc w:val="left"/>
              <w:rPr>
                <w:rFonts w:hint="eastAsia" w:ascii="宋体" w:hAnsi="宋体" w:eastAsia="宋体" w:cs="宋体"/>
                <w:color w:val="000000"/>
                <w:kern w:val="0"/>
                <w:sz w:val="22"/>
                <w:szCs w:val="22"/>
              </w:rPr>
            </w:pPr>
          </w:p>
        </w:tc>
        <w:tc>
          <w:tcPr>
            <w:tcW w:w="1021"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下载与反馈</w:t>
            </w:r>
          </w:p>
        </w:tc>
        <w:tc>
          <w:tcPr>
            <w:tcW w:w="93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5"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91" w:type="dxa"/>
          </w:tcPr>
          <w:p>
            <w:pPr>
              <w:pStyle w:val="26"/>
              <w:kinsoku/>
              <w:topLinePunct/>
              <w:spacing w:before="34" w:line="360" w:lineRule="auto"/>
              <w:ind w:left="45"/>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校级用户查看并下载重点工作任务材料，并反馈工作情况。</w:t>
            </w:r>
          </w:p>
        </w:tc>
      </w:tr>
    </w:tbl>
    <w:p>
      <w:pPr>
        <w:keepNext w:val="0"/>
        <w:keepLines w:val="0"/>
        <w:pageBreakBefore w:val="0"/>
        <w:widowControl w:val="0"/>
        <w:numPr>
          <w:ilvl w:val="0"/>
          <w:numId w:val="6"/>
        </w:numPr>
        <w:kinsoku/>
        <w:wordWrap/>
        <w:overflowPunct/>
        <w:topLinePunct w:val="0"/>
        <w:autoSpaceDE/>
        <w:autoSpaceDN/>
        <w:bidi w:val="0"/>
        <w:spacing w:line="520" w:lineRule="exact"/>
        <w:ind w:left="0" w:firstLine="480" w:firstLineChars="200"/>
        <w:textAlignment w:val="auto"/>
        <w:rPr>
          <w:b w:val="0"/>
          <w:bCs w:val="0"/>
          <w:sz w:val="24"/>
          <w:szCs w:val="24"/>
        </w:rPr>
      </w:pPr>
      <w:r>
        <w:rPr>
          <w:b w:val="0"/>
          <w:bCs w:val="0"/>
          <w:sz w:val="24"/>
          <w:szCs w:val="24"/>
        </w:rPr>
        <w:t>密码应用改造</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rPr>
      </w:pPr>
      <w:r>
        <w:rPr>
          <w:rFonts w:hint="eastAsia"/>
          <w:lang w:eastAsia="zh-CN"/>
        </w:rPr>
        <w:t>供应商</w:t>
      </w:r>
      <w:r>
        <w:rPr>
          <w:rFonts w:hint="eastAsia"/>
        </w:rPr>
        <w:t>需综合考虑本系统在物理和环境、网络和通信、设备和计算、应用和数据等层面的密码应用需求，设计合规、正确、有效的密码应用技术方案，以达到《密码应用基本要求》中二级指标要求，并为后续密码保障体系建设、密码应用测评和密码应用安全性评估奠定坚实基础。</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rPr>
      </w:pPr>
      <w:r>
        <w:rPr>
          <w:rFonts w:hint="eastAsia"/>
        </w:rPr>
        <w:t>密码应用对接模块如下：</w:t>
      </w:r>
    </w:p>
    <w:tbl>
      <w:tblPr>
        <w:tblStyle w:val="1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2160"/>
        <w:gridCol w:w="5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1198"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子系统</w:t>
            </w:r>
          </w:p>
        </w:tc>
        <w:tc>
          <w:tcPr>
            <w:tcW w:w="21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模块</w:t>
            </w:r>
          </w:p>
        </w:tc>
        <w:tc>
          <w:tcPr>
            <w:tcW w:w="5856" w:type="dxa"/>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98" w:type="dxa"/>
            <w:vMerge w:val="restart"/>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密码应用模块升级</w:t>
            </w:r>
          </w:p>
          <w:p>
            <w:pPr>
              <w:spacing w:line="240" w:lineRule="auto"/>
              <w:jc w:val="center"/>
              <w:rPr>
                <w:rFonts w:hint="eastAsia" w:ascii="宋体" w:hAnsi="宋体" w:eastAsia="宋体" w:cs="宋体"/>
                <w:color w:val="000000"/>
                <w:kern w:val="0"/>
                <w:sz w:val="22"/>
                <w:szCs w:val="22"/>
              </w:rPr>
            </w:pPr>
          </w:p>
        </w:tc>
        <w:tc>
          <w:tcPr>
            <w:tcW w:w="21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访问安全</w:t>
            </w:r>
          </w:p>
        </w:tc>
        <w:tc>
          <w:tcPr>
            <w:tcW w:w="5856" w:type="dxa"/>
          </w:tcPr>
          <w:p>
            <w:pPr>
              <w:pStyle w:val="26"/>
              <w:kinsoku/>
              <w:topLinePunct/>
              <w:spacing w:before="34" w:line="360" w:lineRule="auto"/>
              <w:ind w:left="45"/>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通过调用云平台安全认证网关、签名验签及数据库加密服务，实现用户身份鉴别、通信数据机密性/完整性、设备日志访问控</w:t>
            </w:r>
            <w:r>
              <w:rPr>
                <w:rFonts w:hint="eastAsia" w:ascii="宋体" w:hAnsi="宋体" w:eastAsia="宋体" w:cs="Arial"/>
                <w:sz w:val="22"/>
                <w:szCs w:val="22"/>
              </w:rPr>
              <w:t>制完整性、结构化数据存储及身份鉴别数据保护。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198" w:type="dxa"/>
            <w:vMerge w:val="continue"/>
            <w:vAlign w:val="center"/>
          </w:tcPr>
          <w:p>
            <w:pPr>
              <w:widowControl/>
              <w:spacing w:line="240" w:lineRule="auto"/>
              <w:jc w:val="center"/>
              <w:rPr>
                <w:rFonts w:hint="eastAsia" w:ascii="宋体" w:hAnsi="宋体" w:eastAsia="宋体" w:cs="宋体"/>
                <w:color w:val="000000"/>
                <w:kern w:val="0"/>
                <w:sz w:val="22"/>
                <w:szCs w:val="22"/>
              </w:rPr>
            </w:pPr>
          </w:p>
        </w:tc>
        <w:tc>
          <w:tcPr>
            <w:tcW w:w="2160" w:type="dxa"/>
            <w:vAlign w:val="center"/>
          </w:tcPr>
          <w:p>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应用系统重要数据</w:t>
            </w:r>
          </w:p>
        </w:tc>
        <w:tc>
          <w:tcPr>
            <w:tcW w:w="5856" w:type="dxa"/>
          </w:tcPr>
          <w:p>
            <w:pPr>
              <w:pStyle w:val="26"/>
              <w:kinsoku/>
              <w:topLinePunct/>
              <w:spacing w:before="34" w:line="360" w:lineRule="auto"/>
              <w:ind w:left="45"/>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（1）应用系统重要数据加解密模块</w:t>
            </w:r>
          </w:p>
          <w:p>
            <w:pPr>
              <w:pStyle w:val="26"/>
              <w:kinsoku/>
              <w:topLinePunct/>
              <w:spacing w:before="34" w:line="360" w:lineRule="auto"/>
              <w:ind w:left="45"/>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开发应用系统重要数据加解密模块，调用云平台提供的数据加密服务接口，实现登录用户身份鉴别数据等结构化数据的存储机密性保护。</w:t>
            </w:r>
          </w:p>
          <w:p>
            <w:pPr>
              <w:pStyle w:val="26"/>
              <w:kinsoku/>
              <w:topLinePunct/>
              <w:spacing w:before="34" w:line="360" w:lineRule="auto"/>
              <w:ind w:left="45"/>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（2）应用系统重要数据签名验签模块</w:t>
            </w:r>
          </w:p>
          <w:p>
            <w:pPr>
              <w:pStyle w:val="26"/>
              <w:kinsoku/>
              <w:topLinePunct/>
              <w:spacing w:before="34" w:line="360" w:lineRule="auto"/>
              <w:ind w:left="45"/>
              <w:rPr>
                <w:rFonts w:hint="eastAsia" w:ascii="宋体" w:hAnsi="宋体" w:eastAsia="宋体" w:cs="Arial"/>
                <w:color w:val="auto"/>
                <w:kern w:val="2"/>
                <w:sz w:val="22"/>
                <w:szCs w:val="22"/>
              </w:rPr>
            </w:pPr>
            <w:r>
              <w:rPr>
                <w:rFonts w:hint="eastAsia" w:ascii="宋体" w:hAnsi="宋体" w:eastAsia="宋体" w:cs="Arial"/>
                <w:color w:val="auto"/>
                <w:kern w:val="2"/>
                <w:sz w:val="22"/>
                <w:szCs w:val="22"/>
              </w:rPr>
              <w:t>开发应用系统重要数据签名验签模块，调用云平台提供的签名验签服务接口，实现登录用户身份鉴别数据、系统中学校基建</w:t>
            </w:r>
            <w:r>
              <w:rPr>
                <w:rFonts w:hint="eastAsia" w:ascii="宋体" w:hAnsi="宋体" w:eastAsia="宋体" w:cs="Arial"/>
                <w:sz w:val="22"/>
                <w:szCs w:val="22"/>
              </w:rPr>
              <w:t>数据、业务日志的存储完整性保护。</w:t>
            </w:r>
          </w:p>
        </w:tc>
      </w:tr>
    </w:tbl>
    <w:p>
      <w:pPr>
        <w:pStyle w:val="2"/>
        <w:keepNext/>
        <w:keepLines/>
        <w:pageBreakBefore w:val="0"/>
        <w:widowControl w:val="0"/>
        <w:kinsoku/>
        <w:wordWrap/>
        <w:overflowPunct/>
        <w:topLinePunct w:val="0"/>
        <w:autoSpaceDE/>
        <w:autoSpaceDN/>
        <w:bidi w:val="0"/>
        <w:adjustRightInd/>
        <w:snapToGrid/>
        <w:spacing w:before="120" w:after="120"/>
        <w:ind w:left="0" w:leftChars="0" w:firstLine="643" w:firstLineChars="200"/>
        <w:jc w:val="left"/>
        <w:textAlignment w:val="auto"/>
        <w:rPr>
          <w:rFonts w:hint="eastAsia" w:ascii="黑体" w:hAnsi="黑体" w:eastAsia="黑体" w:cs="黑体"/>
        </w:rPr>
      </w:pPr>
      <w:r>
        <w:rPr>
          <w:rFonts w:hint="eastAsia" w:ascii="黑体" w:hAnsi="黑体" w:eastAsia="黑体" w:cs="黑体"/>
          <w:lang w:val="en-US" w:eastAsia="zh-CN"/>
        </w:rPr>
        <w:t>电子政务云资源需求</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color w:val="auto"/>
          <w:highlight w:val="none"/>
          <w:lang w:val="en-US" w:eastAsia="zh-CN"/>
        </w:rPr>
      </w:pPr>
      <w:r>
        <w:rPr>
          <w:rFonts w:hint="eastAsia"/>
          <w:color w:val="auto"/>
          <w:highlight w:val="none"/>
          <w:lang w:val="en-US" w:eastAsia="zh-CN"/>
        </w:rPr>
        <w:t>本项目均部署于电子政务云虚拟机上，利旧原有政务云资源。</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default"/>
          <w:color w:val="auto"/>
          <w:highlight w:val="none"/>
          <w:lang w:val="en-US" w:eastAsia="zh-CN"/>
        </w:rPr>
      </w:pPr>
      <w:r>
        <w:rPr>
          <w:rFonts w:hint="eastAsia"/>
          <w:color w:val="auto"/>
          <w:highlight w:val="none"/>
          <w:lang w:val="en-US" w:eastAsia="zh-CN"/>
        </w:rPr>
        <w:t>拟向市大数据中心申请短信服务、密码服务等能力资源。</w:t>
      </w:r>
    </w:p>
    <w:p>
      <w:pPr>
        <w:pStyle w:val="2"/>
        <w:keepNext/>
        <w:keepLines/>
        <w:pageBreakBefore w:val="0"/>
        <w:widowControl w:val="0"/>
        <w:kinsoku/>
        <w:wordWrap/>
        <w:overflowPunct/>
        <w:topLinePunct w:val="0"/>
        <w:autoSpaceDE/>
        <w:autoSpaceDN/>
        <w:bidi w:val="0"/>
        <w:adjustRightInd/>
        <w:snapToGrid/>
        <w:spacing w:before="120" w:after="120"/>
        <w:ind w:left="0" w:leftChars="0" w:firstLine="643" w:firstLineChars="200"/>
        <w:jc w:val="left"/>
        <w:textAlignment w:val="auto"/>
        <w:rPr>
          <w:rFonts w:hint="eastAsia" w:ascii="黑体" w:hAnsi="黑体" w:eastAsia="黑体" w:cs="黑体"/>
        </w:rPr>
      </w:pPr>
      <w:r>
        <w:rPr>
          <w:rFonts w:hint="eastAsia" w:ascii="黑体" w:hAnsi="黑体" w:eastAsia="黑体" w:cs="黑体"/>
          <w:lang w:val="en-US" w:eastAsia="zh-CN"/>
        </w:rPr>
        <w:t>其他工作要求</w:t>
      </w:r>
    </w:p>
    <w:p>
      <w:pPr>
        <w:pStyle w:val="3"/>
        <w:keepNext/>
        <w:keepLines/>
        <w:pageBreakBefore w:val="0"/>
        <w:widowControl w:val="0"/>
        <w:kinsoku/>
        <w:wordWrap/>
        <w:overflowPunct/>
        <w:topLinePunct w:val="0"/>
        <w:autoSpaceDE/>
        <w:autoSpaceDN/>
        <w:bidi w:val="0"/>
        <w:adjustRightInd/>
        <w:snapToGrid/>
        <w:spacing w:before="120" w:after="120" w:line="413" w:lineRule="auto"/>
        <w:ind w:left="0" w:leftChars="0" w:firstLine="602"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售后服务要求</w:t>
      </w:r>
    </w:p>
    <w:p>
      <w:pPr>
        <w:pageBreakBefore w:val="0"/>
        <w:widowControl w:val="0"/>
        <w:kinsoku/>
        <w:wordWrap/>
        <w:overflowPunct/>
        <w:topLinePunct w:val="0"/>
        <w:autoSpaceDE/>
        <w:autoSpaceDN/>
        <w:bidi w:val="0"/>
        <w:spacing w:line="520" w:lineRule="exact"/>
        <w:ind w:left="0" w:firstLine="480" w:firstLineChars="200"/>
        <w:textAlignment w:val="auto"/>
        <w:rPr>
          <w:rFonts w:hint="eastAsia" w:asciiTheme="minorEastAsia" w:hAnsiTheme="minorEastAsia" w:eastAsiaTheme="minorEastAsia" w:cstheme="minorEastAsia"/>
        </w:rPr>
      </w:pPr>
      <w:r>
        <w:rPr>
          <w:rFonts w:hint="eastAsia"/>
          <w:lang w:eastAsia="zh-CN"/>
        </w:rPr>
        <w:t>供应商</w:t>
      </w:r>
      <w:r>
        <w:t>须承</w:t>
      </w:r>
      <w:r>
        <w:rPr>
          <w:highlight w:val="none"/>
        </w:rPr>
        <w:t>诺在项目验收合格后，对项目中定制开发软件系统，提供至少一年售后服务保障。</w:t>
      </w:r>
    </w:p>
    <w:p>
      <w:pPr>
        <w:pageBreakBefore w:val="0"/>
        <w:widowControl w:val="0"/>
        <w:kinsoku/>
        <w:wordWrap/>
        <w:overflowPunct/>
        <w:topLinePunct w:val="0"/>
        <w:autoSpaceDE/>
        <w:autoSpaceDN/>
        <w:bidi w:val="0"/>
        <w:spacing w:line="520" w:lineRule="exact"/>
        <w:ind w:left="0" w:firstLine="480" w:firstLineChars="200"/>
        <w:textAlignment w:val="auto"/>
        <w:rPr>
          <w:rFonts w:hint="eastAsia" w:asciiTheme="minorEastAsia" w:hAnsiTheme="minorEastAsia" w:eastAsiaTheme="minorEastAsia" w:cstheme="minorEastAsia"/>
        </w:rPr>
      </w:pPr>
      <w:r>
        <w:rPr>
          <w:rFonts w:hint="eastAsia"/>
          <w:lang w:eastAsia="zh-CN"/>
        </w:rPr>
        <w:t>供应商</w:t>
      </w:r>
      <w:r>
        <w:rPr>
          <w:rFonts w:hint="eastAsia" w:asciiTheme="minorEastAsia" w:hAnsiTheme="minorEastAsia" w:eastAsiaTheme="minorEastAsia" w:cstheme="minorEastAsia"/>
        </w:rPr>
        <w:t>须承诺在项目整体验收之后，至少安排1名专业运维服务人员驻场服务，提供一年的维护、升级和技术支持服务。</w:t>
      </w:r>
    </w:p>
    <w:p>
      <w:pPr>
        <w:pageBreakBefore w:val="0"/>
        <w:widowControl w:val="0"/>
        <w:kinsoku/>
        <w:wordWrap/>
        <w:overflowPunct/>
        <w:topLinePunct w:val="0"/>
        <w:autoSpaceDE/>
        <w:autoSpaceDN/>
        <w:bidi w:val="0"/>
        <w:spacing w:line="520" w:lineRule="exact"/>
        <w:ind w:left="0" w:firstLine="480" w:firstLineChars="200"/>
        <w:textAlignment w:val="auto"/>
        <w:rPr>
          <w:rFonts w:hint="eastAsia" w:asciiTheme="minorEastAsia" w:hAnsiTheme="minorEastAsia" w:eastAsiaTheme="minorEastAsia" w:cstheme="minorEastAsia"/>
          <w:lang w:val="en-US" w:eastAsia="zh-CN"/>
        </w:rPr>
      </w:pPr>
      <w:r>
        <w:rPr>
          <w:rFonts w:hint="eastAsia"/>
          <w:lang w:eastAsia="zh-CN"/>
        </w:rPr>
        <w:t>供应商</w:t>
      </w:r>
      <w:r>
        <w:rPr>
          <w:rFonts w:hint="eastAsia" w:asciiTheme="minorEastAsia" w:hAnsiTheme="minorEastAsia" w:eastAsiaTheme="minorEastAsia" w:cstheme="minorEastAsia"/>
        </w:rPr>
        <w:t>须承诺提供 7x24 小时电话热线支持，次数不限</w:t>
      </w:r>
      <w:r>
        <w:rPr>
          <w:rFonts w:hint="eastAsia" w:asciiTheme="minorEastAsia" w:hAnsiTheme="minorEastAsia" w:cstheme="minorEastAsia"/>
          <w:lang w:eastAsia="zh-CN"/>
        </w:rPr>
        <w:t>。</w:t>
      </w:r>
    </w:p>
    <w:p>
      <w:pPr>
        <w:pageBreakBefore w:val="0"/>
        <w:widowControl w:val="0"/>
        <w:kinsoku/>
        <w:wordWrap/>
        <w:overflowPunct/>
        <w:topLinePunct w:val="0"/>
        <w:autoSpaceDE/>
        <w:autoSpaceDN/>
        <w:bidi w:val="0"/>
        <w:spacing w:line="520" w:lineRule="exact"/>
        <w:ind w:left="0" w:firstLine="480" w:firstLineChars="200"/>
        <w:textAlignment w:val="auto"/>
      </w:pPr>
      <w:r>
        <w:rPr>
          <w:rFonts w:hint="eastAsia"/>
          <w:lang w:eastAsia="zh-CN"/>
        </w:rPr>
        <w:t>供应商</w:t>
      </w:r>
      <w:r>
        <w:rPr>
          <w:rFonts w:hint="eastAsia" w:asciiTheme="minorEastAsia" w:hAnsiTheme="minorEastAsia" w:eastAsiaTheme="minorEastAsia" w:cstheme="minorEastAsia"/>
        </w:rPr>
        <w:t>须承诺在服务期内系统出现问题后 30分钟内</w:t>
      </w:r>
      <w:r>
        <w:t>电话响应，如需提供现场技术支持，工程师2小时内到达现场，</w:t>
      </w:r>
      <w:r>
        <w:rPr>
          <w:rFonts w:hint="eastAsia"/>
          <w:lang w:val="en-US" w:eastAsia="zh-CN"/>
        </w:rPr>
        <w:t>并根据故障级别，在规定时间内</w:t>
      </w:r>
      <w:r>
        <w:t>解决问题。</w:t>
      </w:r>
      <w:r>
        <w:rPr>
          <w:rFonts w:hint="eastAsia"/>
          <w:lang w:eastAsia="zh-CN"/>
        </w:rPr>
        <w:t>供应商</w:t>
      </w:r>
      <w:r>
        <w:t>提供重要时期的现场运维保障服务。</w:t>
      </w:r>
    </w:p>
    <w:p>
      <w:pPr>
        <w:pStyle w:val="3"/>
        <w:keepNext/>
        <w:keepLines/>
        <w:pageBreakBefore w:val="0"/>
        <w:widowControl w:val="0"/>
        <w:kinsoku/>
        <w:wordWrap/>
        <w:overflowPunct/>
        <w:topLinePunct w:val="0"/>
        <w:autoSpaceDE/>
        <w:autoSpaceDN/>
        <w:bidi w:val="0"/>
        <w:adjustRightInd/>
        <w:snapToGrid/>
        <w:spacing w:before="120" w:after="120" w:line="413" w:lineRule="auto"/>
        <w:ind w:left="0" w:leftChars="0" w:firstLine="602"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应急响应需求</w:t>
      </w:r>
    </w:p>
    <w:p>
      <w:pPr>
        <w:pageBreakBefore w:val="0"/>
        <w:widowControl w:val="0"/>
        <w:kinsoku/>
        <w:wordWrap/>
        <w:overflowPunct/>
        <w:topLinePunct w:val="0"/>
        <w:autoSpaceDE/>
        <w:autoSpaceDN/>
        <w:bidi w:val="0"/>
        <w:spacing w:line="520" w:lineRule="exact"/>
        <w:ind w:left="0" w:firstLine="480" w:firstLineChars="200"/>
        <w:textAlignment w:val="auto"/>
        <w:rPr>
          <w:rFonts w:hint="eastAsia"/>
          <w:lang w:eastAsia="zh-CN"/>
        </w:rPr>
      </w:pPr>
      <w:r>
        <w:rPr>
          <w:rFonts w:hint="eastAsia"/>
          <w:lang w:eastAsia="zh-CN"/>
        </w:rPr>
        <w:t>供应商对系统故障应能够实时响应，若系统发生故障，接到通知后30分钟之内响应，专业工程师2小时内到达现场。特殊故障与客户沟通协商后，按照协商的方式制定解决方案并进行处理。</w:t>
      </w:r>
    </w:p>
    <w:p>
      <w:pPr>
        <w:pageBreakBefore w:val="0"/>
        <w:widowControl w:val="0"/>
        <w:kinsoku/>
        <w:wordWrap/>
        <w:overflowPunct/>
        <w:topLinePunct w:val="0"/>
        <w:autoSpaceDE/>
        <w:autoSpaceDN/>
        <w:bidi w:val="0"/>
        <w:spacing w:line="520" w:lineRule="exact"/>
        <w:ind w:left="0" w:firstLine="480" w:firstLineChars="200"/>
        <w:textAlignment w:val="auto"/>
        <w:rPr>
          <w:rFonts w:hint="eastAsia"/>
          <w:lang w:eastAsia="zh-CN"/>
        </w:rPr>
      </w:pPr>
      <w:r>
        <w:rPr>
          <w:rFonts w:hint="eastAsia"/>
          <w:lang w:eastAsia="zh-CN"/>
        </w:rPr>
        <w:t>具体故障级别及对应的应急响应要求如下：</w:t>
      </w:r>
    </w:p>
    <w:p>
      <w:pPr>
        <w:pageBreakBefore w:val="0"/>
        <w:widowControl w:val="0"/>
        <w:kinsoku/>
        <w:wordWrap/>
        <w:overflowPunct/>
        <w:topLinePunct w:val="0"/>
        <w:autoSpaceDE/>
        <w:autoSpaceDN/>
        <w:bidi w:val="0"/>
        <w:spacing w:line="520" w:lineRule="exact"/>
        <w:ind w:left="0" w:firstLine="480" w:firstLineChars="200"/>
        <w:textAlignment w:val="auto"/>
        <w:rPr>
          <w:rFonts w:hint="eastAsia"/>
          <w:lang w:eastAsia="zh-CN"/>
        </w:rPr>
      </w:pPr>
      <w:r>
        <w:rPr>
          <w:rFonts w:hint="eastAsia"/>
          <w:lang w:eastAsia="zh-CN"/>
        </w:rPr>
        <w:t>一级故障：在1小时内确诊，总故障解决时间不超过4小时。</w:t>
      </w:r>
    </w:p>
    <w:p>
      <w:pPr>
        <w:pageBreakBefore w:val="0"/>
        <w:widowControl w:val="0"/>
        <w:kinsoku/>
        <w:wordWrap/>
        <w:overflowPunct/>
        <w:topLinePunct w:val="0"/>
        <w:autoSpaceDE/>
        <w:autoSpaceDN/>
        <w:bidi w:val="0"/>
        <w:spacing w:line="520" w:lineRule="exact"/>
        <w:ind w:left="0" w:firstLine="480" w:firstLineChars="200"/>
        <w:textAlignment w:val="auto"/>
        <w:rPr>
          <w:rFonts w:hint="eastAsia"/>
          <w:lang w:eastAsia="zh-CN"/>
        </w:rPr>
      </w:pPr>
      <w:r>
        <w:rPr>
          <w:rFonts w:hint="eastAsia"/>
          <w:lang w:eastAsia="zh-CN"/>
        </w:rPr>
        <w:t>二级故障：在2小时内确诊，并在4小时内由专家到达现场确诊并解决，总故障解决时间不超过8小时；</w:t>
      </w:r>
    </w:p>
    <w:p>
      <w:pPr>
        <w:pageBreakBefore w:val="0"/>
        <w:widowControl w:val="0"/>
        <w:kinsoku/>
        <w:wordWrap/>
        <w:overflowPunct/>
        <w:topLinePunct w:val="0"/>
        <w:autoSpaceDE/>
        <w:autoSpaceDN/>
        <w:bidi w:val="0"/>
        <w:spacing w:line="520" w:lineRule="exact"/>
        <w:ind w:left="0" w:firstLine="480" w:firstLineChars="200"/>
        <w:textAlignment w:val="auto"/>
        <w:rPr>
          <w:rFonts w:hint="eastAsia"/>
          <w:lang w:eastAsia="zh-CN"/>
        </w:rPr>
      </w:pPr>
      <w:r>
        <w:rPr>
          <w:rFonts w:hint="eastAsia"/>
          <w:lang w:eastAsia="zh-CN"/>
        </w:rPr>
        <w:t>三、四级故障：在4小时内确诊故障，总故障解决时间不超过16小时。</w:t>
      </w:r>
    </w:p>
    <w:p>
      <w:pPr>
        <w:pStyle w:val="3"/>
        <w:keepNext/>
        <w:keepLines/>
        <w:pageBreakBefore w:val="0"/>
        <w:widowControl w:val="0"/>
        <w:kinsoku/>
        <w:wordWrap/>
        <w:overflowPunct/>
        <w:topLinePunct w:val="0"/>
        <w:autoSpaceDE/>
        <w:autoSpaceDN/>
        <w:bidi w:val="0"/>
        <w:adjustRightInd/>
        <w:snapToGrid/>
        <w:spacing w:before="120" w:after="120" w:line="413" w:lineRule="auto"/>
        <w:ind w:left="0" w:leftChars="0" w:firstLine="602"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培训要求</w:t>
      </w:r>
    </w:p>
    <w:p>
      <w:pPr>
        <w:pageBreakBefore w:val="0"/>
        <w:widowControl w:val="0"/>
        <w:kinsoku/>
        <w:wordWrap/>
        <w:overflowPunct/>
        <w:topLinePunct w:val="0"/>
        <w:autoSpaceDE/>
        <w:autoSpaceDN/>
        <w:bidi w:val="0"/>
        <w:spacing w:line="520" w:lineRule="exact"/>
        <w:ind w:left="0" w:firstLine="480" w:firstLineChars="200"/>
        <w:textAlignment w:val="auto"/>
      </w:pPr>
      <w:r>
        <w:rPr>
          <w:rFonts w:hint="eastAsia"/>
          <w:lang w:eastAsia="zh-CN"/>
        </w:rPr>
        <w:t>供应商</w:t>
      </w:r>
      <w:r>
        <w:t>须提供所需的培训设施和课程，以确保</w:t>
      </w:r>
      <w:r>
        <w:rPr>
          <w:rFonts w:hint="eastAsia"/>
          <w:lang w:val="en-US" w:eastAsia="zh-CN"/>
        </w:rPr>
        <w:t>采购单位</w:t>
      </w:r>
      <w:r>
        <w:t>人员能对</w:t>
      </w:r>
      <w:r>
        <w:rPr>
          <w:rFonts w:hint="eastAsia"/>
          <w:lang w:eastAsia="zh-CN"/>
        </w:rPr>
        <w:t>供应商</w:t>
      </w:r>
      <w:r>
        <w:t>所提供的系统、设备和装置的设计、日常的运作、故障和例行维护、事故的处理和解决方面等有</w:t>
      </w:r>
      <w:r>
        <w:rPr>
          <w:rFonts w:hint="eastAsia"/>
        </w:rPr>
        <w:t>全面</w:t>
      </w:r>
      <w:r>
        <w:t>的认识和了解。</w:t>
      </w:r>
    </w:p>
    <w:p>
      <w:pPr>
        <w:pageBreakBefore w:val="0"/>
        <w:widowControl w:val="0"/>
        <w:kinsoku/>
        <w:wordWrap/>
        <w:overflowPunct/>
        <w:topLinePunct w:val="0"/>
        <w:autoSpaceDE/>
        <w:autoSpaceDN/>
        <w:bidi w:val="0"/>
        <w:spacing w:line="520" w:lineRule="exact"/>
        <w:ind w:left="0" w:firstLine="480" w:firstLineChars="200"/>
        <w:textAlignment w:val="auto"/>
      </w:pPr>
      <w:r>
        <w:t>培训应于</w:t>
      </w:r>
      <w:r>
        <w:rPr>
          <w:rFonts w:hint="eastAsia"/>
        </w:rPr>
        <w:t>用户</w:t>
      </w:r>
      <w:r>
        <w:t>现场进行。</w:t>
      </w:r>
      <w:r>
        <w:rPr>
          <w:rFonts w:hint="eastAsia"/>
          <w:lang w:eastAsia="zh-CN"/>
        </w:rPr>
        <w:t>供应商</w:t>
      </w:r>
      <w:r>
        <w:t>须</w:t>
      </w:r>
      <w:r>
        <w:rPr>
          <w:rFonts w:hint="eastAsia" w:asciiTheme="minorEastAsia" w:hAnsiTheme="minorEastAsia" w:eastAsiaTheme="minorEastAsia" w:cstheme="minorEastAsia"/>
        </w:rPr>
        <w:t>预先编制1</w:t>
      </w:r>
      <w:r>
        <w:t>套详尽的培训计划，列出每项课程的大纲、培训导师资料及培训所需时间，提交</w:t>
      </w:r>
      <w:r>
        <w:rPr>
          <w:rFonts w:hint="eastAsia"/>
          <w:lang w:val="en-US" w:eastAsia="zh-CN"/>
        </w:rPr>
        <w:t>用户</w:t>
      </w:r>
      <w:r>
        <w:t>方审核。</w:t>
      </w:r>
    </w:p>
    <w:p>
      <w:pPr>
        <w:pageBreakBefore w:val="0"/>
        <w:widowControl w:val="0"/>
        <w:kinsoku/>
        <w:wordWrap/>
        <w:overflowPunct/>
        <w:topLinePunct w:val="0"/>
        <w:autoSpaceDE/>
        <w:autoSpaceDN/>
        <w:bidi w:val="0"/>
        <w:spacing w:line="520" w:lineRule="exact"/>
        <w:ind w:left="0" w:firstLine="480" w:firstLineChars="200"/>
        <w:textAlignment w:val="auto"/>
      </w:pPr>
      <w:r>
        <w:rPr>
          <w:rFonts w:hint="eastAsia"/>
          <w:lang w:eastAsia="zh-CN"/>
        </w:rPr>
        <w:t>供应商</w:t>
      </w:r>
      <w:r>
        <w:t>须委派施工项目经理进行每项培训工作，培训需以普通话作讲授所有导师的资历须先提交</w:t>
      </w:r>
      <w:r>
        <w:rPr>
          <w:rFonts w:hint="eastAsia"/>
          <w:lang w:val="en-US" w:eastAsia="zh-CN"/>
        </w:rPr>
        <w:t>用户</w:t>
      </w:r>
      <w:r>
        <w:t>方</w:t>
      </w:r>
      <w:r>
        <w:rPr>
          <w:rFonts w:hint="eastAsia"/>
        </w:rPr>
        <w:t>做</w:t>
      </w:r>
      <w:r>
        <w:t>审核认可。</w:t>
      </w:r>
    </w:p>
    <w:p>
      <w:pPr>
        <w:pageBreakBefore w:val="0"/>
        <w:widowControl w:val="0"/>
        <w:kinsoku/>
        <w:wordWrap/>
        <w:overflowPunct/>
        <w:topLinePunct w:val="0"/>
        <w:autoSpaceDE/>
        <w:autoSpaceDN/>
        <w:bidi w:val="0"/>
        <w:spacing w:line="520" w:lineRule="exact"/>
        <w:ind w:left="0" w:firstLine="480" w:firstLineChars="200"/>
        <w:textAlignment w:val="auto"/>
      </w:pPr>
      <w:r>
        <w:rPr>
          <w:rFonts w:hint="eastAsia"/>
          <w:lang w:eastAsia="zh-CN"/>
        </w:rPr>
        <w:t>供应商</w:t>
      </w:r>
      <w:r>
        <w:t>应向受训学员提供并解释有关设计资料、文件、图纸等，以便使学员对整套系统的各个方面都能熟练掌握，</w:t>
      </w:r>
    </w:p>
    <w:p>
      <w:pPr>
        <w:pageBreakBefore w:val="0"/>
        <w:widowControl w:val="0"/>
        <w:kinsoku/>
        <w:wordWrap/>
        <w:overflowPunct/>
        <w:topLinePunct w:val="0"/>
        <w:autoSpaceDE/>
        <w:autoSpaceDN/>
        <w:bidi w:val="0"/>
        <w:spacing w:line="520" w:lineRule="exact"/>
        <w:ind w:left="0" w:firstLine="480" w:firstLineChars="200"/>
        <w:textAlignment w:val="auto"/>
      </w:pPr>
      <w:r>
        <w:rPr>
          <w:rFonts w:hint="eastAsia"/>
          <w:lang w:eastAsia="zh-CN"/>
        </w:rPr>
        <w:t>供应商</w:t>
      </w:r>
      <w:r>
        <w:t>经得</w:t>
      </w:r>
      <w:r>
        <w:rPr>
          <w:rFonts w:hint="eastAsia"/>
          <w:lang w:val="en-US" w:eastAsia="zh-CN"/>
        </w:rPr>
        <w:t>采购单位项目负责人</w:t>
      </w:r>
      <w:r>
        <w:t>同意可以利用</w:t>
      </w:r>
      <w:r>
        <w:rPr>
          <w:rFonts w:hint="eastAsia"/>
        </w:rPr>
        <w:t>已</w:t>
      </w:r>
      <w:r>
        <w:t>安装测试和交工试运</w:t>
      </w:r>
      <w:r>
        <w:rPr>
          <w:rFonts w:hint="eastAsia"/>
          <w:lang w:val="en-US" w:eastAsia="zh-CN"/>
        </w:rPr>
        <w:t>行</w:t>
      </w:r>
      <w:r>
        <w:t>的</w:t>
      </w:r>
      <w:r>
        <w:rPr>
          <w:rFonts w:hint="eastAsia"/>
          <w:lang w:val="en-US" w:eastAsia="zh-CN"/>
        </w:rPr>
        <w:t>系统</w:t>
      </w:r>
      <w:r>
        <w:t>进行培训。</w:t>
      </w:r>
      <w:r>
        <w:rPr>
          <w:rFonts w:hint="eastAsia"/>
          <w:lang w:eastAsia="zh-CN"/>
        </w:rPr>
        <w:t>供应商</w:t>
      </w:r>
      <w:r>
        <w:t>应提供足够的材料、设备、样本</w:t>
      </w:r>
      <w:r>
        <w:rPr>
          <w:rFonts w:hint="eastAsia"/>
        </w:rPr>
        <w:t>、模</w:t>
      </w:r>
      <w:r>
        <w:t>型、设备内部透视资料的复印本、幻灯、影片以及</w:t>
      </w:r>
      <w:r>
        <w:rPr>
          <w:rFonts w:hint="eastAsia"/>
          <w:lang w:eastAsia="zh-CN"/>
        </w:rPr>
        <w:t>其他</w:t>
      </w:r>
      <w:r>
        <w:t>需要的培训教材文件，以便培训工作的进行。培训课程完成后，有关装备和教材将为</w:t>
      </w:r>
      <w:r>
        <w:rPr>
          <w:rFonts w:hint="eastAsia"/>
          <w:lang w:val="en-US" w:eastAsia="zh-CN"/>
        </w:rPr>
        <w:t>用户</w:t>
      </w:r>
      <w:r>
        <w:t>方所有，以便日后</w:t>
      </w:r>
      <w:r>
        <w:rPr>
          <w:rFonts w:hint="eastAsia"/>
          <w:lang w:val="en-US" w:eastAsia="zh-CN"/>
        </w:rPr>
        <w:t>用户</w:t>
      </w:r>
      <w:r>
        <w:t>方自行对</w:t>
      </w:r>
      <w:r>
        <w:rPr>
          <w:rFonts w:hint="eastAsia"/>
        </w:rPr>
        <w:t>其他员工</w:t>
      </w:r>
      <w:r>
        <w:t>进行辅助性培训之用。所有教材文件须以中文说明。上述培训所需的费用应包括在</w:t>
      </w:r>
      <w:r>
        <w:rPr>
          <w:rFonts w:hint="eastAsia"/>
          <w:lang w:eastAsia="zh-CN"/>
        </w:rPr>
        <w:t>供应商</w:t>
      </w:r>
      <w:r>
        <w:t>的</w:t>
      </w:r>
      <w:r>
        <w:rPr>
          <w:rFonts w:hint="eastAsia"/>
          <w:lang w:eastAsia="zh-CN"/>
        </w:rPr>
        <w:t>报</w:t>
      </w:r>
      <w:r>
        <w:t>价内。</w:t>
      </w:r>
    </w:p>
    <w:p>
      <w:pPr>
        <w:pStyle w:val="3"/>
        <w:keepNext/>
        <w:keepLines/>
        <w:pageBreakBefore w:val="0"/>
        <w:widowControl w:val="0"/>
        <w:kinsoku/>
        <w:wordWrap/>
        <w:overflowPunct/>
        <w:topLinePunct w:val="0"/>
        <w:autoSpaceDE/>
        <w:autoSpaceDN/>
        <w:bidi w:val="0"/>
        <w:adjustRightInd/>
        <w:snapToGrid/>
        <w:spacing w:before="120" w:after="120" w:line="413" w:lineRule="auto"/>
        <w:ind w:left="0" w:leftChars="0" w:firstLine="602"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进度要求</w:t>
      </w:r>
    </w:p>
    <w:p>
      <w:pPr>
        <w:pageBreakBefore w:val="0"/>
        <w:widowControl w:val="0"/>
        <w:kinsoku/>
        <w:wordWrap/>
        <w:overflowPunct/>
        <w:topLinePunct w:val="0"/>
        <w:autoSpaceDE/>
        <w:autoSpaceDN/>
        <w:bidi w:val="0"/>
        <w:spacing w:line="520" w:lineRule="exact"/>
        <w:ind w:left="0" w:firstLine="480" w:firstLineChars="200"/>
        <w:textAlignment w:val="auto"/>
      </w:pPr>
      <w:r>
        <w:rPr>
          <w:rFonts w:hint="eastAsia"/>
          <w:highlight w:val="none"/>
          <w:lang w:val="en-US" w:eastAsia="zh-CN"/>
        </w:rPr>
        <w:t>要求</w:t>
      </w:r>
      <w:r>
        <w:rPr>
          <w:rFonts w:hint="eastAsia" w:asciiTheme="minorEastAsia" w:hAnsiTheme="minorEastAsia" w:eastAsiaTheme="minorEastAsia" w:cstheme="minorEastAsia"/>
          <w:highlight w:val="none"/>
          <w:lang w:val="en-US" w:eastAsia="zh-CN"/>
        </w:rPr>
        <w:t>2026年11月30日前完成验收。</w:t>
      </w:r>
      <w:r>
        <w:rPr>
          <w:rFonts w:hint="eastAsia"/>
          <w:lang w:eastAsia="zh-CN"/>
        </w:rPr>
        <w:t>供应商</w:t>
      </w:r>
      <w:r>
        <w:rPr>
          <w:rFonts w:hint="eastAsia" w:asciiTheme="minorEastAsia" w:hAnsiTheme="minorEastAsia" w:eastAsiaTheme="minorEastAsia" w:cstheme="minorEastAsia"/>
        </w:rPr>
        <w:t>应在</w:t>
      </w:r>
      <w:r>
        <w:rPr>
          <w:rFonts w:hint="eastAsia" w:asciiTheme="minorEastAsia" w:hAnsiTheme="minorEastAsia" w:cstheme="minorEastAsia"/>
          <w:lang w:eastAsia="zh-CN"/>
        </w:rPr>
        <w:t>响应文件</w:t>
      </w:r>
      <w:r>
        <w:rPr>
          <w:rFonts w:hint="eastAsia" w:asciiTheme="minorEastAsia" w:hAnsiTheme="minorEastAsia" w:eastAsiaTheme="minorEastAsia" w:cstheme="minorEastAsia"/>
        </w:rPr>
        <w:t>中提供项目实施计划，并在</w:t>
      </w:r>
      <w:r>
        <w:rPr>
          <w:rFonts w:hint="eastAsia" w:asciiTheme="minorEastAsia" w:hAnsiTheme="minorEastAsia" w:cstheme="minorEastAsia"/>
          <w:lang w:eastAsia="zh-CN"/>
        </w:rPr>
        <w:t>成交</w:t>
      </w:r>
      <w:r>
        <w:rPr>
          <w:rFonts w:hint="eastAsia" w:asciiTheme="minorEastAsia" w:hAnsiTheme="minorEastAsia" w:eastAsiaTheme="minorEastAsia" w:cstheme="minorEastAsia"/>
        </w:rPr>
        <w:t>后根据项目实施情况进行必要的调整，保障项目在要求时间内完成。</w:t>
      </w:r>
    </w:p>
    <w:p>
      <w:pPr>
        <w:pStyle w:val="3"/>
        <w:keepNext/>
        <w:keepLines/>
        <w:pageBreakBefore w:val="0"/>
        <w:widowControl w:val="0"/>
        <w:kinsoku/>
        <w:wordWrap/>
        <w:overflowPunct/>
        <w:topLinePunct w:val="0"/>
        <w:autoSpaceDE/>
        <w:autoSpaceDN/>
        <w:bidi w:val="0"/>
        <w:adjustRightInd/>
        <w:snapToGrid/>
        <w:spacing w:before="120" w:after="120" w:line="413" w:lineRule="auto"/>
        <w:ind w:left="0" w:leftChars="0" w:firstLine="602"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项目团队及驻场人员要求</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pPr>
      <w:r>
        <w:rPr>
          <w:rFonts w:hint="eastAsia"/>
          <w:lang w:eastAsia="zh-CN"/>
        </w:rPr>
        <w:t>供应商</w:t>
      </w:r>
      <w:r>
        <w:t>需指派一名专职项目经理全程负责本项目的沟通、协调和管理工作。</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pPr>
      <w:r>
        <w:rPr>
          <w:rFonts w:hint="eastAsia"/>
        </w:rPr>
        <w:t>具有计算机类高级工程师职称</w:t>
      </w:r>
      <w:r>
        <w:rPr>
          <w:rFonts w:hint="eastAsia" w:asciiTheme="minorEastAsia" w:hAnsiTheme="minorEastAsia" w:eastAsiaTheme="minorEastAsia" w:cstheme="minorEastAsia"/>
        </w:rPr>
        <w:t>，同时具有10年以上信息化工作从业经验将优先考虑。</w:t>
      </w:r>
    </w:p>
    <w:p>
      <w:pPr>
        <w:pageBreakBefore w:val="0"/>
        <w:widowControl w:val="0"/>
        <w:numPr>
          <w:ilvl w:val="0"/>
          <w:numId w:val="7"/>
        </w:numPr>
        <w:kinsoku/>
        <w:wordWrap/>
        <w:overflowPunct/>
        <w:topLinePunct w:val="0"/>
        <w:autoSpaceDE/>
        <w:autoSpaceDN/>
        <w:bidi w:val="0"/>
        <w:adjustRightInd w:val="0"/>
        <w:snapToGrid w:val="0"/>
        <w:spacing w:line="520" w:lineRule="exact"/>
        <w:ind w:left="0" w:firstLine="480" w:firstLineChars="200"/>
        <w:textAlignment w:val="auto"/>
      </w:pPr>
      <w:r>
        <w:t>项目管理首先要建立管理的原则，组织，协调机制和实施办法。</w:t>
      </w:r>
      <w:r>
        <w:rPr>
          <w:rFonts w:hint="eastAsia"/>
          <w:lang w:eastAsia="zh-CN"/>
        </w:rPr>
        <w:t>供应商</w:t>
      </w:r>
      <w:r>
        <w:t>必须提供实施本项目的完整的项目管理方案，并在项目建设过程中严格执行。</w:t>
      </w:r>
    </w:p>
    <w:p>
      <w:pPr>
        <w:pageBreakBefore w:val="0"/>
        <w:widowControl w:val="0"/>
        <w:numPr>
          <w:ilvl w:val="0"/>
          <w:numId w:val="7"/>
        </w:numPr>
        <w:kinsoku/>
        <w:wordWrap/>
        <w:overflowPunct/>
        <w:topLinePunct w:val="0"/>
        <w:autoSpaceDE/>
        <w:autoSpaceDN/>
        <w:bidi w:val="0"/>
        <w:adjustRightInd w:val="0"/>
        <w:snapToGrid w:val="0"/>
        <w:spacing w:line="520" w:lineRule="exact"/>
        <w:ind w:left="0" w:firstLine="480" w:firstLineChars="200"/>
        <w:textAlignment w:val="auto"/>
      </w:pPr>
      <w:r>
        <w:t>项目计划的制定和执行要体现</w:t>
      </w:r>
      <w:r>
        <w:rPr>
          <w:rFonts w:hint="eastAsia"/>
        </w:rPr>
        <w:t>教育基建信息化建设</w:t>
      </w:r>
      <w:r>
        <w:t>类项目的特点。</w:t>
      </w:r>
    </w:p>
    <w:p>
      <w:pPr>
        <w:pageBreakBefore w:val="0"/>
        <w:widowControl w:val="0"/>
        <w:numPr>
          <w:ilvl w:val="0"/>
          <w:numId w:val="7"/>
        </w:numPr>
        <w:kinsoku/>
        <w:wordWrap/>
        <w:overflowPunct/>
        <w:topLinePunct w:val="0"/>
        <w:autoSpaceDE/>
        <w:autoSpaceDN/>
        <w:bidi w:val="0"/>
        <w:adjustRightInd w:val="0"/>
        <w:snapToGrid w:val="0"/>
        <w:spacing w:line="520" w:lineRule="exact"/>
        <w:ind w:left="0" w:firstLine="480" w:firstLineChars="200"/>
        <w:textAlignment w:val="auto"/>
      </w:pPr>
      <w:r>
        <w:t>必须高度重视对过程的管理控制，高度重视对各类文档的管理，必须建立中间环节和文档的内部测试审核制度。</w:t>
      </w:r>
    </w:p>
    <w:p>
      <w:pPr>
        <w:pageBreakBefore w:val="0"/>
        <w:widowControl w:val="0"/>
        <w:numPr>
          <w:ilvl w:val="0"/>
          <w:numId w:val="7"/>
        </w:numPr>
        <w:kinsoku/>
        <w:wordWrap/>
        <w:overflowPunct/>
        <w:topLinePunct w:val="0"/>
        <w:autoSpaceDE/>
        <w:autoSpaceDN/>
        <w:bidi w:val="0"/>
        <w:adjustRightInd w:val="0"/>
        <w:snapToGrid w:val="0"/>
        <w:spacing w:line="520" w:lineRule="exact"/>
        <w:ind w:left="0" w:firstLine="480" w:firstLineChars="200"/>
        <w:textAlignment w:val="auto"/>
      </w:pPr>
      <w:r>
        <w:t>在项目管理方案中，应充分体现</w:t>
      </w:r>
      <w:r>
        <w:rPr>
          <w:rFonts w:hint="eastAsia"/>
          <w:lang w:eastAsia="zh-CN"/>
        </w:rPr>
        <w:t>供应商</w:t>
      </w:r>
      <w:r>
        <w:t>在项目管理方面的经验和能力以及对该项目管理的设想和具体方法，以下内容必须涉及</w:t>
      </w:r>
      <w:r>
        <w:rPr>
          <w:rFonts w:hint="eastAsia"/>
        </w:rPr>
        <w:t>：</w:t>
      </w:r>
    </w:p>
    <w:p>
      <w:pPr>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（1）项目经理，项目组成员及项目组织结构。</w:t>
      </w:r>
    </w:p>
    <w:p>
      <w:pPr>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（2）项目组成员除基本信息外，必须说明专业背景，相关资质和专长；</w:t>
      </w:r>
    </w:p>
    <w:p>
      <w:pPr>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（3）组织管理（与系统集成相关）；</w:t>
      </w:r>
    </w:p>
    <w:p>
      <w:pPr>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（4）项目计划（与项目整体管理相关）；</w:t>
      </w:r>
    </w:p>
    <w:p>
      <w:pPr>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（5）文档清单，文档资料提交计划和文档质量控制办法；</w:t>
      </w:r>
    </w:p>
    <w:p>
      <w:pPr>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（6）质量控制办法；</w:t>
      </w:r>
    </w:p>
    <w:p>
      <w:pPr>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（7）项目需求变更控制和进度控制办法。</w:t>
      </w:r>
    </w:p>
    <w:p>
      <w:pPr>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 项目开展期间项目服务团队至少有4人根据甲方安排进行驻场工作。</w:t>
      </w:r>
      <w:r>
        <w:rPr>
          <w:rFonts w:hint="eastAsia"/>
          <w:lang w:eastAsia="zh-CN"/>
        </w:rPr>
        <w:t>供应商</w:t>
      </w:r>
      <w:r>
        <w:rPr>
          <w:rFonts w:hint="eastAsia" w:asciiTheme="minorEastAsia" w:hAnsiTheme="minorEastAsia" w:eastAsiaTheme="minorEastAsia" w:cstheme="minorEastAsia"/>
        </w:rPr>
        <w:t>应保持项目团队稳定。未经用户方同意，项目经理在项目整体验收前不得变更；项目实施全过程中，项目经理应保证每月在本项目现场工作时间不得少于 60%；项目团队成员变更不得大于 30%，且须经用户方同意。</w:t>
      </w:r>
    </w:p>
    <w:p>
      <w:pPr>
        <w:pageBreakBefore w:val="0"/>
        <w:widowControl w:val="0"/>
        <w:kinsoku/>
        <w:wordWrap/>
        <w:overflowPunct/>
        <w:topLinePunct w:val="0"/>
        <w:autoSpaceDE/>
        <w:autoSpaceDN/>
        <w:bidi w:val="0"/>
        <w:spacing w:line="520" w:lineRule="exact"/>
        <w:ind w:left="0" w:firstLine="480" w:firstLineChars="200"/>
        <w:textAlignment w:val="auto"/>
      </w:pPr>
      <w:r>
        <w:rPr>
          <w:rFonts w:hint="eastAsia"/>
          <w:lang w:eastAsia="zh-CN"/>
        </w:rPr>
        <w:t>供应商</w:t>
      </w:r>
      <w:r>
        <w:t>的相关服务人员需具备相应的服务能力，需提供相关证明。</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930"/>
        <w:gridCol w:w="1365"/>
        <w:gridCol w:w="2631"/>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1416" w:type="dxa"/>
            <w:shd w:val="clear" w:color="auto" w:fill="auto"/>
            <w:noWrap/>
            <w:vAlign w:val="center"/>
          </w:tcPr>
          <w:p>
            <w:pPr>
              <w:widowControl/>
              <w:spacing w:line="240" w:lineRule="auto"/>
              <w:ind w:firstLine="0" w:firstLineChars="0"/>
              <w:jc w:val="center"/>
              <w:rPr>
                <w:b/>
              </w:rPr>
            </w:pPr>
            <w:r>
              <w:rPr>
                <w:rFonts w:hint="eastAsia"/>
                <w:b/>
              </w:rPr>
              <w:t>角色</w:t>
            </w:r>
          </w:p>
        </w:tc>
        <w:tc>
          <w:tcPr>
            <w:tcW w:w="1930" w:type="dxa"/>
            <w:shd w:val="clear" w:color="auto" w:fill="auto"/>
            <w:noWrap/>
            <w:vAlign w:val="center"/>
          </w:tcPr>
          <w:p>
            <w:pPr>
              <w:widowControl/>
              <w:spacing w:line="240" w:lineRule="auto"/>
              <w:ind w:firstLine="0" w:firstLineChars="0"/>
              <w:jc w:val="center"/>
              <w:rPr>
                <w:b/>
              </w:rPr>
            </w:pPr>
            <w:r>
              <w:rPr>
                <w:rFonts w:hint="eastAsia"/>
                <w:b/>
              </w:rPr>
              <w:t>主要职责</w:t>
            </w:r>
          </w:p>
        </w:tc>
        <w:tc>
          <w:tcPr>
            <w:tcW w:w="1365" w:type="dxa"/>
            <w:shd w:val="clear" w:color="auto" w:fill="auto"/>
            <w:noWrap/>
            <w:vAlign w:val="center"/>
          </w:tcPr>
          <w:p>
            <w:pPr>
              <w:widowControl/>
              <w:spacing w:line="240" w:lineRule="auto"/>
              <w:ind w:firstLine="0" w:firstLineChars="0"/>
              <w:jc w:val="center"/>
              <w:rPr>
                <w:b/>
              </w:rPr>
            </w:pPr>
            <w:r>
              <w:rPr>
                <w:rFonts w:hint="eastAsia"/>
                <w:b/>
              </w:rPr>
              <w:t>人员数量</w:t>
            </w:r>
          </w:p>
        </w:tc>
        <w:tc>
          <w:tcPr>
            <w:tcW w:w="2631" w:type="dxa"/>
            <w:vAlign w:val="center"/>
          </w:tcPr>
          <w:p>
            <w:pPr>
              <w:widowControl/>
              <w:spacing w:line="240" w:lineRule="auto"/>
              <w:ind w:firstLine="0" w:firstLineChars="0"/>
              <w:jc w:val="center"/>
              <w:rPr>
                <w:b/>
              </w:rPr>
            </w:pPr>
            <w:r>
              <w:rPr>
                <w:rFonts w:hint="eastAsia"/>
                <w:b/>
              </w:rPr>
              <w:t>人员要求</w:t>
            </w:r>
          </w:p>
        </w:tc>
        <w:tc>
          <w:tcPr>
            <w:tcW w:w="1180" w:type="dxa"/>
            <w:shd w:val="clear" w:color="auto" w:fill="auto"/>
            <w:noWrap/>
            <w:vAlign w:val="center"/>
          </w:tcPr>
          <w:p>
            <w:pPr>
              <w:widowControl/>
              <w:spacing w:line="240" w:lineRule="auto"/>
              <w:ind w:firstLine="0" w:firstLineChars="0"/>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pPr>
            <w:r>
              <w:rPr>
                <w:rFonts w:hint="eastAsia"/>
              </w:rPr>
              <w:t>项目经理</w:t>
            </w:r>
          </w:p>
        </w:tc>
        <w:tc>
          <w:tcPr>
            <w:tcW w:w="1930" w:type="dxa"/>
            <w:shd w:val="clear" w:color="auto" w:fill="auto"/>
            <w:vAlign w:val="center"/>
          </w:tcPr>
          <w:p>
            <w:pPr>
              <w:widowControl/>
              <w:spacing w:line="240" w:lineRule="auto"/>
              <w:ind w:firstLine="0" w:firstLineChars="0"/>
              <w:jc w:val="center"/>
            </w:pPr>
            <w:r>
              <w:rPr>
                <w:rFonts w:hint="eastAsia"/>
              </w:rPr>
              <w:t>负责项目质量和进度控制</w:t>
            </w:r>
          </w:p>
        </w:tc>
        <w:tc>
          <w:tcPr>
            <w:tcW w:w="1365" w:type="dxa"/>
            <w:shd w:val="clear" w:color="auto" w:fill="auto"/>
            <w:noWrap/>
            <w:vAlign w:val="center"/>
          </w:tcPr>
          <w:p>
            <w:pPr>
              <w:widowControl/>
              <w:spacing w:line="240" w:lineRule="auto"/>
              <w:ind w:firstLine="0" w:firstLineChars="0"/>
              <w:jc w:val="center"/>
            </w:pPr>
            <w:r>
              <w:rPr>
                <w:rFonts w:hint="eastAsia"/>
                <w:lang w:val="en-US" w:eastAsia="zh-CN"/>
              </w:rPr>
              <w:t>1</w:t>
            </w:r>
            <w:r>
              <w:rPr>
                <w:rFonts w:hint="eastAsia"/>
              </w:rPr>
              <w:t>人</w:t>
            </w:r>
          </w:p>
        </w:tc>
        <w:tc>
          <w:tcPr>
            <w:tcW w:w="2631" w:type="dxa"/>
            <w:vAlign w:val="center"/>
          </w:tcPr>
          <w:p>
            <w:pPr>
              <w:widowControl/>
              <w:spacing w:line="240" w:lineRule="auto"/>
              <w:ind w:firstLine="0" w:firstLineChars="0"/>
              <w:jc w:val="center"/>
            </w:pPr>
            <w:r>
              <w:rPr>
                <w:rFonts w:hint="eastAsia"/>
                <w:lang w:val="en-US" w:eastAsia="zh-CN"/>
              </w:rPr>
              <w:t>具有硕士研究生及以上学历，具有计算机类高级工程师职称，具有工业和信息化部、人力资源社会保障部颁发的系统架构设计师证书，具有10年以上信息化工作从业经验将优先考虑。</w:t>
            </w:r>
          </w:p>
        </w:tc>
        <w:tc>
          <w:tcPr>
            <w:tcW w:w="1180" w:type="dxa"/>
            <w:shd w:val="clear" w:color="auto" w:fill="auto"/>
            <w:noWrap/>
            <w:vAlign w:val="center"/>
          </w:tcPr>
          <w:p>
            <w:pPr>
              <w:widowControl/>
              <w:spacing w:line="240" w:lineRule="auto"/>
              <w:ind w:firstLine="0" w:firstLineChars="0"/>
              <w:jc w:val="center"/>
              <w:rPr>
                <w:highlight w:val="yellow"/>
              </w:rPr>
            </w:pPr>
            <w:r>
              <w:rPr>
                <w:rFonts w:hint="eastAsia"/>
                <w:color w:val="auto"/>
                <w:highlight w:val="none"/>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rPr>
                <w:rFonts w:hint="default" w:eastAsiaTheme="minorEastAsia"/>
                <w:lang w:val="en-US" w:eastAsia="zh-CN"/>
              </w:rPr>
            </w:pPr>
            <w:r>
              <w:rPr>
                <w:rFonts w:hint="eastAsia"/>
                <w:lang w:val="en-US" w:eastAsia="zh-CN"/>
              </w:rPr>
              <w:t>技术工程师</w:t>
            </w:r>
          </w:p>
        </w:tc>
        <w:tc>
          <w:tcPr>
            <w:tcW w:w="1930" w:type="dxa"/>
            <w:shd w:val="clear" w:color="auto" w:fill="auto"/>
            <w:noWrap/>
            <w:vAlign w:val="center"/>
          </w:tcPr>
          <w:p>
            <w:pPr>
              <w:widowControl/>
              <w:spacing w:line="240" w:lineRule="auto"/>
              <w:ind w:firstLine="0" w:firstLineChars="0"/>
              <w:jc w:val="center"/>
            </w:pPr>
            <w:r>
              <w:rPr>
                <w:rFonts w:hint="eastAsia"/>
              </w:rPr>
              <w:t>负责项目具体开发与实施</w:t>
            </w:r>
          </w:p>
        </w:tc>
        <w:tc>
          <w:tcPr>
            <w:tcW w:w="1365" w:type="dxa"/>
            <w:shd w:val="clear" w:color="auto" w:fill="auto"/>
            <w:noWrap/>
            <w:vAlign w:val="center"/>
          </w:tcPr>
          <w:p>
            <w:pPr>
              <w:widowControl/>
              <w:spacing w:line="240" w:lineRule="auto"/>
              <w:ind w:firstLine="0" w:firstLineChars="0"/>
              <w:jc w:val="center"/>
            </w:pPr>
            <w:r>
              <w:rPr>
                <w:rFonts w:hint="eastAsia"/>
                <w:lang w:val="en-US" w:eastAsia="zh-CN"/>
              </w:rPr>
              <w:t>9</w:t>
            </w:r>
            <w:r>
              <w:rPr>
                <w:rFonts w:hint="eastAsia"/>
              </w:rPr>
              <w:t>人</w:t>
            </w:r>
          </w:p>
        </w:tc>
        <w:tc>
          <w:tcPr>
            <w:tcW w:w="2631" w:type="dxa"/>
            <w:shd w:val="clear" w:color="auto" w:fill="auto"/>
            <w:vAlign w:val="center"/>
          </w:tcPr>
          <w:p>
            <w:pPr>
              <w:widowControl/>
              <w:spacing w:line="240" w:lineRule="auto"/>
              <w:ind w:firstLine="0" w:firstLineChars="0"/>
              <w:jc w:val="center"/>
              <w:rPr>
                <w:rFonts w:hint="eastAsia" w:asciiTheme="minorHAnsi" w:hAnsiTheme="minorHAnsi" w:eastAsiaTheme="minorEastAsia" w:cstheme="minorBidi"/>
                <w:kern w:val="2"/>
                <w:sz w:val="24"/>
                <w:szCs w:val="24"/>
                <w:lang w:val="en-US" w:eastAsia="zh-CN" w:bidi="ar-SA"/>
              </w:rPr>
            </w:pPr>
            <w:r>
              <w:rPr>
                <w:rFonts w:hint="eastAsia"/>
                <w:lang w:val="en-US" w:eastAsia="zh-CN"/>
              </w:rPr>
              <w:t>优先考虑</w:t>
            </w:r>
            <w:r>
              <w:rPr>
                <w:rFonts w:hint="eastAsia"/>
              </w:rPr>
              <w:t>具</w:t>
            </w:r>
            <w:r>
              <w:rPr>
                <w:rFonts w:hint="eastAsia"/>
                <w:lang w:val="en-US" w:eastAsia="zh-CN"/>
              </w:rPr>
              <w:t>有</w:t>
            </w:r>
            <w:r>
              <w:rPr>
                <w:rFonts w:hint="eastAsia"/>
              </w:rPr>
              <w:t>计算机类</w:t>
            </w:r>
            <w:r>
              <w:rPr>
                <w:rFonts w:hint="eastAsia"/>
                <w:lang w:val="en-US" w:eastAsia="zh-CN"/>
              </w:rPr>
              <w:t>中/</w:t>
            </w:r>
            <w:r>
              <w:rPr>
                <w:rFonts w:hint="eastAsia"/>
              </w:rPr>
              <w:t>高级工程师职称</w:t>
            </w:r>
            <w:r>
              <w:rPr>
                <w:rFonts w:hint="eastAsia"/>
                <w:lang w:eastAsia="zh-CN"/>
              </w:rPr>
              <w:t>，</w:t>
            </w:r>
            <w:r>
              <w:rPr>
                <w:rFonts w:hint="eastAsia"/>
                <w:lang w:val="en-US" w:eastAsia="zh-CN"/>
              </w:rPr>
              <w:t>具备工业和信息化部、人力资源社会保障部颁发的计算机技术与软件专业技术资格证书</w:t>
            </w:r>
            <w:r>
              <w:rPr>
                <w:rFonts w:hint="eastAsia"/>
                <w:lang w:eastAsia="zh-CN"/>
              </w:rPr>
              <w:t>的</w:t>
            </w:r>
            <w:r>
              <w:rPr>
                <w:rFonts w:hint="eastAsia"/>
                <w:lang w:val="en-US" w:eastAsia="zh-CN"/>
              </w:rPr>
              <w:t>人员</w:t>
            </w:r>
          </w:p>
        </w:tc>
        <w:tc>
          <w:tcPr>
            <w:tcW w:w="1180" w:type="dxa"/>
            <w:shd w:val="clear" w:color="auto" w:fill="auto"/>
            <w:noWrap/>
            <w:vAlign w:val="center"/>
          </w:tcPr>
          <w:p>
            <w:pPr>
              <w:widowControl/>
              <w:spacing w:line="240" w:lineRule="auto"/>
              <w:ind w:firstLine="0" w:firstLineChars="0"/>
              <w:jc w:val="center"/>
              <w:rPr>
                <w:highlight w:val="yellow"/>
              </w:rPr>
            </w:pPr>
            <w:r>
              <w:rPr>
                <w:rFonts w:hint="eastAsia"/>
                <w:highlight w:val="none"/>
                <w:lang w:val="en-US" w:eastAsia="zh-CN"/>
              </w:rPr>
              <w:t>3人</w:t>
            </w:r>
            <w:r>
              <w:rPr>
                <w:rFonts w:hint="eastAsia"/>
                <w:highlight w:val="none"/>
              </w:rPr>
              <w:t>驻场</w:t>
            </w:r>
          </w:p>
        </w:tc>
      </w:tr>
    </w:tbl>
    <w:p>
      <w:pPr>
        <w:pageBreakBefore w:val="0"/>
        <w:widowControl w:val="0"/>
        <w:kinsoku/>
        <w:wordWrap/>
        <w:overflowPunct/>
        <w:topLinePunct w:val="0"/>
        <w:autoSpaceDE/>
        <w:autoSpaceDN/>
        <w:bidi w:val="0"/>
        <w:spacing w:line="520" w:lineRule="exact"/>
        <w:ind w:left="0" w:firstLine="480" w:firstLineChars="200"/>
        <w:textAlignment w:val="auto"/>
        <w:rPr>
          <w:highlight w:val="yellow"/>
        </w:rPr>
      </w:pPr>
      <w:r>
        <w:rPr>
          <w:rFonts w:hint="eastAsia"/>
          <w:lang w:eastAsia="zh-CN"/>
        </w:rPr>
        <w:t>供应商</w:t>
      </w:r>
      <w:r>
        <w:t>应针对本项目提供不少于</w:t>
      </w:r>
      <w:r>
        <w:rPr>
          <w:rFonts w:hint="eastAsia"/>
          <w:lang w:val="en-US" w:eastAsia="zh-CN"/>
        </w:rPr>
        <w:t>5</w:t>
      </w:r>
      <w:r>
        <w:t>人的质保期间支撑团队（其中</w:t>
      </w:r>
      <w:r>
        <w:rPr>
          <w:rFonts w:hint="eastAsia"/>
          <w:lang w:val="en-US" w:eastAsia="zh-CN"/>
        </w:rPr>
        <w:t>项目经理1</w:t>
      </w:r>
      <w:r>
        <w:t>人，技术工程师不少于</w:t>
      </w:r>
      <w:r>
        <w:rPr>
          <w:rFonts w:hint="eastAsia"/>
          <w:lang w:val="en-US" w:eastAsia="zh-CN"/>
        </w:rPr>
        <w:t>4</w:t>
      </w:r>
      <w:r>
        <w:t>人）；</w:t>
      </w:r>
      <w:r>
        <w:rPr>
          <w:rFonts w:hint="eastAsia"/>
          <w:lang w:eastAsia="zh-CN"/>
        </w:rPr>
        <w:t>供应商</w:t>
      </w:r>
      <w:r>
        <w:t>的相关服务人员需具备相应的服务能力，</w:t>
      </w:r>
      <w:r>
        <w:rPr>
          <w:highlight w:val="none"/>
        </w:rPr>
        <w:t>需提供相关证明。</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930"/>
        <w:gridCol w:w="1365"/>
        <w:gridCol w:w="2631"/>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1416" w:type="dxa"/>
            <w:shd w:val="clear" w:color="auto" w:fill="auto"/>
            <w:noWrap/>
            <w:vAlign w:val="center"/>
          </w:tcPr>
          <w:p>
            <w:pPr>
              <w:widowControl/>
              <w:spacing w:line="240" w:lineRule="auto"/>
              <w:ind w:firstLine="0" w:firstLineChars="0"/>
              <w:jc w:val="center"/>
              <w:rPr>
                <w:b/>
              </w:rPr>
            </w:pPr>
            <w:r>
              <w:rPr>
                <w:rFonts w:hint="eastAsia"/>
                <w:b/>
              </w:rPr>
              <w:t>角色</w:t>
            </w:r>
          </w:p>
        </w:tc>
        <w:tc>
          <w:tcPr>
            <w:tcW w:w="1930" w:type="dxa"/>
            <w:shd w:val="clear" w:color="auto" w:fill="auto"/>
            <w:noWrap/>
            <w:vAlign w:val="center"/>
          </w:tcPr>
          <w:p>
            <w:pPr>
              <w:widowControl/>
              <w:spacing w:line="240" w:lineRule="auto"/>
              <w:ind w:firstLine="0" w:firstLineChars="0"/>
              <w:jc w:val="center"/>
              <w:rPr>
                <w:b/>
              </w:rPr>
            </w:pPr>
            <w:r>
              <w:rPr>
                <w:rFonts w:hint="eastAsia"/>
                <w:b/>
              </w:rPr>
              <w:t>主要职责</w:t>
            </w:r>
          </w:p>
        </w:tc>
        <w:tc>
          <w:tcPr>
            <w:tcW w:w="1365" w:type="dxa"/>
            <w:shd w:val="clear" w:color="auto" w:fill="auto"/>
            <w:noWrap/>
            <w:vAlign w:val="center"/>
          </w:tcPr>
          <w:p>
            <w:pPr>
              <w:widowControl/>
              <w:spacing w:line="240" w:lineRule="auto"/>
              <w:ind w:firstLine="0" w:firstLineChars="0"/>
              <w:jc w:val="center"/>
              <w:rPr>
                <w:b/>
              </w:rPr>
            </w:pPr>
            <w:r>
              <w:rPr>
                <w:rFonts w:hint="eastAsia"/>
                <w:b/>
              </w:rPr>
              <w:t>人员数量</w:t>
            </w:r>
          </w:p>
        </w:tc>
        <w:tc>
          <w:tcPr>
            <w:tcW w:w="2631" w:type="dxa"/>
            <w:vAlign w:val="center"/>
          </w:tcPr>
          <w:p>
            <w:pPr>
              <w:widowControl/>
              <w:spacing w:line="240" w:lineRule="auto"/>
              <w:ind w:firstLine="0" w:firstLineChars="0"/>
              <w:jc w:val="center"/>
              <w:rPr>
                <w:b/>
              </w:rPr>
            </w:pPr>
            <w:r>
              <w:rPr>
                <w:rFonts w:hint="eastAsia"/>
                <w:b/>
              </w:rPr>
              <w:t>人员要求</w:t>
            </w:r>
          </w:p>
        </w:tc>
        <w:tc>
          <w:tcPr>
            <w:tcW w:w="1180" w:type="dxa"/>
            <w:shd w:val="clear" w:color="auto" w:fill="auto"/>
            <w:noWrap/>
            <w:vAlign w:val="center"/>
          </w:tcPr>
          <w:p>
            <w:pPr>
              <w:widowControl/>
              <w:spacing w:line="240" w:lineRule="auto"/>
              <w:ind w:firstLine="0" w:firstLineChars="0"/>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pPr>
            <w:r>
              <w:rPr>
                <w:rFonts w:hint="eastAsia"/>
              </w:rPr>
              <w:t>项目经理</w:t>
            </w:r>
          </w:p>
        </w:tc>
        <w:tc>
          <w:tcPr>
            <w:tcW w:w="1930" w:type="dxa"/>
            <w:shd w:val="clear" w:color="auto" w:fill="auto"/>
            <w:vAlign w:val="center"/>
          </w:tcPr>
          <w:p>
            <w:pPr>
              <w:widowControl/>
              <w:spacing w:line="240" w:lineRule="auto"/>
              <w:ind w:firstLine="0" w:firstLineChars="0"/>
              <w:jc w:val="center"/>
            </w:pPr>
            <w:r>
              <w:rPr>
                <w:rFonts w:hint="eastAsia"/>
              </w:rPr>
              <w:t>负责项目质量和进度控制</w:t>
            </w:r>
          </w:p>
        </w:tc>
        <w:tc>
          <w:tcPr>
            <w:tcW w:w="1365" w:type="dxa"/>
            <w:shd w:val="clear" w:color="auto" w:fill="auto"/>
            <w:noWrap/>
            <w:vAlign w:val="center"/>
          </w:tcPr>
          <w:p>
            <w:pPr>
              <w:widowControl/>
              <w:spacing w:line="240" w:lineRule="auto"/>
              <w:ind w:firstLine="0" w:firstLineChars="0"/>
              <w:jc w:val="center"/>
            </w:pPr>
            <w:r>
              <w:rPr>
                <w:rFonts w:hint="eastAsia"/>
                <w:lang w:val="en-US" w:eastAsia="zh-CN"/>
              </w:rPr>
              <w:t>1</w:t>
            </w:r>
            <w:r>
              <w:rPr>
                <w:rFonts w:hint="eastAsia"/>
              </w:rPr>
              <w:t>人</w:t>
            </w:r>
          </w:p>
        </w:tc>
        <w:tc>
          <w:tcPr>
            <w:tcW w:w="2631" w:type="dxa"/>
            <w:vAlign w:val="center"/>
          </w:tcPr>
          <w:p>
            <w:pPr>
              <w:widowControl/>
              <w:spacing w:line="240" w:lineRule="auto"/>
              <w:ind w:firstLine="0" w:firstLineChars="0"/>
              <w:jc w:val="center"/>
            </w:pPr>
            <w:r>
              <w:rPr>
                <w:rFonts w:hint="eastAsia"/>
                <w:lang w:val="en-US" w:eastAsia="zh-CN"/>
              </w:rPr>
              <w:t>优先考虑</w:t>
            </w:r>
            <w:r>
              <w:rPr>
                <w:rFonts w:hint="eastAsia"/>
              </w:rPr>
              <w:t>具</w:t>
            </w:r>
            <w:r>
              <w:rPr>
                <w:rFonts w:hint="eastAsia"/>
                <w:lang w:val="en-US" w:eastAsia="zh-CN"/>
              </w:rPr>
              <w:t>有</w:t>
            </w:r>
            <w:r>
              <w:rPr>
                <w:rFonts w:hint="eastAsia"/>
              </w:rPr>
              <w:t>计算机类高级工程师职称</w:t>
            </w:r>
            <w:r>
              <w:rPr>
                <w:rFonts w:hint="eastAsia"/>
                <w:lang w:eastAsia="zh-CN"/>
              </w:rPr>
              <w:t>，</w:t>
            </w:r>
            <w:r>
              <w:rPr>
                <w:rFonts w:hint="eastAsia"/>
                <w:lang w:val="en-US" w:eastAsia="zh-CN"/>
              </w:rPr>
              <w:t>具备工业和信息化部、人力资源社会保障部颁发的系统架构设计师</w:t>
            </w:r>
            <w:r>
              <w:rPr>
                <w:rFonts w:hint="eastAsia"/>
                <w:lang w:eastAsia="zh-CN"/>
              </w:rPr>
              <w:t>的</w:t>
            </w:r>
            <w:r>
              <w:rPr>
                <w:rFonts w:hint="eastAsia"/>
                <w:lang w:val="en-US" w:eastAsia="zh-CN"/>
              </w:rPr>
              <w:t>人员</w:t>
            </w:r>
          </w:p>
        </w:tc>
        <w:tc>
          <w:tcPr>
            <w:tcW w:w="1180" w:type="dxa"/>
            <w:shd w:val="clear" w:color="auto" w:fill="auto"/>
            <w:noWrap/>
            <w:vAlign w:val="center"/>
          </w:tcPr>
          <w:p>
            <w:pPr>
              <w:widowControl/>
              <w:spacing w:line="240" w:lineRule="auto"/>
              <w:ind w:firstLine="0" w:firstLineChars="0"/>
              <w:jc w:val="center"/>
              <w:rPr>
                <w:highlight w:val="yellow"/>
              </w:rPr>
            </w:pPr>
            <w:r>
              <w:rPr>
                <w:rFonts w:hint="eastAsia"/>
                <w:highlight w:val="none"/>
                <w:lang w:val="en-US" w:eastAsia="zh-CN"/>
              </w:rPr>
              <w:t>不</w:t>
            </w:r>
            <w:r>
              <w:rPr>
                <w:rFonts w:hint="eastAsia"/>
                <w:highlight w:val="none"/>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rPr>
                <w:rFonts w:hint="default" w:eastAsiaTheme="minorEastAsia"/>
                <w:lang w:val="en-US" w:eastAsia="zh-CN"/>
              </w:rPr>
            </w:pPr>
            <w:r>
              <w:rPr>
                <w:rFonts w:hint="eastAsia"/>
              </w:rPr>
              <w:t>技术工程师</w:t>
            </w:r>
          </w:p>
        </w:tc>
        <w:tc>
          <w:tcPr>
            <w:tcW w:w="1930" w:type="dxa"/>
            <w:shd w:val="clear" w:color="auto" w:fill="auto"/>
            <w:noWrap/>
            <w:vAlign w:val="center"/>
          </w:tcPr>
          <w:p>
            <w:pPr>
              <w:widowControl/>
              <w:spacing w:line="240" w:lineRule="auto"/>
              <w:ind w:firstLine="0" w:firstLineChars="0"/>
              <w:jc w:val="center"/>
            </w:pPr>
            <w:r>
              <w:rPr>
                <w:rFonts w:hint="eastAsia"/>
              </w:rPr>
              <w:t>负责项目运行维护</w:t>
            </w:r>
          </w:p>
        </w:tc>
        <w:tc>
          <w:tcPr>
            <w:tcW w:w="1365" w:type="dxa"/>
            <w:shd w:val="clear" w:color="auto" w:fill="auto"/>
            <w:noWrap/>
            <w:vAlign w:val="center"/>
          </w:tcPr>
          <w:p>
            <w:pPr>
              <w:widowControl/>
              <w:spacing w:line="240" w:lineRule="auto"/>
              <w:ind w:firstLine="0" w:firstLineChars="0"/>
              <w:jc w:val="center"/>
            </w:pPr>
            <w:r>
              <w:rPr>
                <w:rFonts w:hint="eastAsia"/>
                <w:lang w:val="en-US" w:eastAsia="zh-CN"/>
              </w:rPr>
              <w:t>4</w:t>
            </w:r>
            <w:r>
              <w:rPr>
                <w:rFonts w:hint="eastAsia"/>
              </w:rPr>
              <w:t>人</w:t>
            </w:r>
          </w:p>
        </w:tc>
        <w:tc>
          <w:tcPr>
            <w:tcW w:w="2631" w:type="dxa"/>
            <w:shd w:val="clear" w:color="auto" w:fill="auto"/>
            <w:vAlign w:val="center"/>
          </w:tcPr>
          <w:p>
            <w:pPr>
              <w:widowControl/>
              <w:spacing w:line="240" w:lineRule="auto"/>
              <w:ind w:firstLine="0" w:firstLineChars="0"/>
              <w:jc w:val="center"/>
              <w:rPr>
                <w:rFonts w:hint="eastAsia" w:asciiTheme="minorHAnsi" w:hAnsiTheme="minorHAnsi" w:eastAsiaTheme="minorEastAsia" w:cstheme="minorBidi"/>
                <w:kern w:val="2"/>
                <w:sz w:val="24"/>
                <w:szCs w:val="24"/>
                <w:lang w:val="en-US" w:eastAsia="zh-CN" w:bidi="ar-SA"/>
              </w:rPr>
            </w:pPr>
            <w:r>
              <w:rPr>
                <w:rFonts w:hint="eastAsia"/>
                <w:lang w:val="en-US" w:eastAsia="zh-CN"/>
              </w:rPr>
              <w:t>优先考虑</w:t>
            </w:r>
            <w:r>
              <w:rPr>
                <w:rFonts w:hint="eastAsia"/>
              </w:rPr>
              <w:t>具</w:t>
            </w:r>
            <w:r>
              <w:rPr>
                <w:rFonts w:hint="eastAsia"/>
                <w:lang w:val="en-US" w:eastAsia="zh-CN"/>
              </w:rPr>
              <w:t>有</w:t>
            </w:r>
            <w:r>
              <w:rPr>
                <w:rFonts w:hint="eastAsia"/>
              </w:rPr>
              <w:t>计算机类</w:t>
            </w:r>
            <w:r>
              <w:rPr>
                <w:rFonts w:hint="eastAsia"/>
                <w:lang w:val="en-US" w:eastAsia="zh-CN"/>
              </w:rPr>
              <w:t>中/</w:t>
            </w:r>
            <w:r>
              <w:rPr>
                <w:rFonts w:hint="eastAsia"/>
              </w:rPr>
              <w:t>高级工程师职称</w:t>
            </w:r>
            <w:r>
              <w:rPr>
                <w:rFonts w:hint="eastAsia"/>
                <w:lang w:eastAsia="zh-CN"/>
              </w:rPr>
              <w:t>，</w:t>
            </w:r>
            <w:r>
              <w:rPr>
                <w:rFonts w:hint="eastAsia"/>
                <w:lang w:val="en-US" w:eastAsia="zh-CN"/>
              </w:rPr>
              <w:t>具备工业和信息化部、人力资源社会保障部颁发的计算机技术与软件专业技术资格证书</w:t>
            </w:r>
            <w:r>
              <w:rPr>
                <w:rFonts w:hint="eastAsia"/>
                <w:lang w:eastAsia="zh-CN"/>
              </w:rPr>
              <w:t>的</w:t>
            </w:r>
            <w:r>
              <w:rPr>
                <w:rFonts w:hint="eastAsia"/>
                <w:lang w:val="en-US" w:eastAsia="zh-CN"/>
              </w:rPr>
              <w:t>人员</w:t>
            </w:r>
          </w:p>
        </w:tc>
        <w:tc>
          <w:tcPr>
            <w:tcW w:w="1180" w:type="dxa"/>
            <w:shd w:val="clear" w:color="auto" w:fill="auto"/>
            <w:noWrap/>
            <w:vAlign w:val="center"/>
          </w:tcPr>
          <w:p>
            <w:pPr>
              <w:widowControl/>
              <w:spacing w:line="240" w:lineRule="auto"/>
              <w:ind w:firstLine="0" w:firstLineChars="0"/>
              <w:jc w:val="center"/>
              <w:rPr>
                <w:highlight w:val="yellow"/>
              </w:rPr>
            </w:pPr>
            <w:r>
              <w:rPr>
                <w:rFonts w:hint="eastAsia"/>
                <w:highlight w:val="none"/>
                <w:lang w:val="en-US" w:eastAsia="zh-CN"/>
              </w:rPr>
              <w:t>1人</w:t>
            </w:r>
            <w:r>
              <w:rPr>
                <w:rFonts w:hint="eastAsia"/>
                <w:highlight w:val="none"/>
              </w:rPr>
              <w:t>驻场</w:t>
            </w:r>
          </w:p>
        </w:tc>
      </w:tr>
    </w:tbl>
    <w:p>
      <w:r>
        <w:rPr>
          <w:rFonts w:hint="eastAsia"/>
        </w:rPr>
        <w:t>供应商具有中国国家认证认可监督管理委员会认可的认证机构</w:t>
      </w:r>
      <w:r>
        <w:rPr>
          <w:rFonts w:hint="eastAsia"/>
          <w:lang w:eastAsia="zh-CN"/>
        </w:rPr>
        <w:t>颁发的质量管理体系认证（GB/T19001或</w:t>
      </w:r>
      <w:r>
        <w:rPr>
          <w:rFonts w:hint="eastAsia"/>
          <w:lang w:val="en-US" w:eastAsia="zh-CN"/>
        </w:rPr>
        <w:t>ISO9001</w:t>
      </w:r>
      <w:r>
        <w:rPr>
          <w:rFonts w:hint="eastAsia"/>
          <w:lang w:eastAsia="zh-CN"/>
        </w:rPr>
        <w:t>认证）的</w:t>
      </w:r>
      <w:r>
        <w:rPr>
          <w:rFonts w:hint="eastAsia"/>
        </w:rPr>
        <w:t>，具有数据信息系统相关软件著作权登记证书或专利证书</w:t>
      </w:r>
      <w:r>
        <w:rPr>
          <w:rFonts w:hint="eastAsia"/>
          <w:lang w:eastAsia="zh-CN"/>
        </w:rPr>
        <w:t>的，</w:t>
      </w:r>
      <w:r>
        <w:rPr>
          <w:rFonts w:hint="eastAsia"/>
        </w:rPr>
        <w:t>具备类似项目经验的优先考虑。</w:t>
      </w:r>
    </w:p>
    <w:p>
      <w:pPr>
        <w:pStyle w:val="3"/>
        <w:keepNext/>
        <w:keepLines/>
        <w:pageBreakBefore w:val="0"/>
        <w:widowControl w:val="0"/>
        <w:kinsoku/>
        <w:wordWrap/>
        <w:overflowPunct/>
        <w:topLinePunct w:val="0"/>
        <w:autoSpaceDE/>
        <w:autoSpaceDN/>
        <w:bidi w:val="0"/>
        <w:adjustRightInd/>
        <w:snapToGrid/>
        <w:spacing w:before="120" w:after="120" w:line="413" w:lineRule="auto"/>
        <w:ind w:left="0" w:leftChars="0" w:firstLine="602" w:firstLineChars="200"/>
        <w:textAlignment w:val="auto"/>
        <w:rPr>
          <w:rFonts w:hint="eastAsia" w:ascii="宋体" w:hAnsi="宋体" w:eastAsia="宋体" w:cs="宋体"/>
          <w:sz w:val="30"/>
          <w:szCs w:val="30"/>
          <w:lang w:val="en-US" w:eastAsia="zh-CN"/>
        </w:rPr>
      </w:pPr>
      <w:bookmarkStart w:id="1" w:name="_Toc63785511"/>
      <w:r>
        <w:rPr>
          <w:rFonts w:hint="eastAsia" w:ascii="宋体" w:hAnsi="宋体" w:eastAsia="宋体" w:cs="宋体"/>
          <w:sz w:val="30"/>
          <w:szCs w:val="30"/>
          <w:lang w:val="en-US" w:eastAsia="zh-CN"/>
        </w:rPr>
        <w:t>等级保护要求</w:t>
      </w:r>
      <w:bookmarkEnd w:id="1"/>
    </w:p>
    <w:p>
      <w:pPr>
        <w:pageBreakBefore w:val="0"/>
        <w:widowControl w:val="0"/>
        <w:kinsoku/>
        <w:wordWrap/>
        <w:overflowPunct/>
        <w:topLinePunct w:val="0"/>
        <w:autoSpaceDE/>
        <w:autoSpaceDN/>
        <w:bidi w:val="0"/>
        <w:spacing w:line="520" w:lineRule="exact"/>
        <w:ind w:left="0" w:firstLine="480" w:firstLineChars="200"/>
        <w:textAlignment w:val="auto"/>
      </w:pPr>
      <w:r>
        <w:rPr>
          <w:rFonts w:hint="eastAsia"/>
          <w:lang w:val="en-US" w:eastAsia="zh-CN"/>
        </w:rPr>
        <w:t>本</w:t>
      </w:r>
      <w:r>
        <w:t>项目</w:t>
      </w:r>
      <w:r>
        <w:rPr>
          <w:rFonts w:hint="eastAsia"/>
          <w:lang w:val="en-US" w:eastAsia="zh-CN"/>
        </w:rPr>
        <w:t>应满足网络安全等级保护2.0的二级要求建设</w:t>
      </w:r>
      <w:r>
        <w:rPr>
          <w:rFonts w:hint="eastAsia"/>
        </w:rPr>
        <w:t>。</w:t>
      </w:r>
    </w:p>
    <w:p>
      <w:pPr>
        <w:pStyle w:val="3"/>
        <w:keepNext/>
        <w:keepLines/>
        <w:pageBreakBefore w:val="0"/>
        <w:widowControl w:val="0"/>
        <w:kinsoku/>
        <w:wordWrap/>
        <w:overflowPunct/>
        <w:topLinePunct w:val="0"/>
        <w:autoSpaceDE/>
        <w:autoSpaceDN/>
        <w:bidi w:val="0"/>
        <w:adjustRightInd/>
        <w:snapToGrid/>
        <w:spacing w:before="120" w:after="120" w:line="413" w:lineRule="auto"/>
        <w:ind w:left="0" w:leftChars="0" w:firstLine="602"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商业密码应用需求</w:t>
      </w:r>
    </w:p>
    <w:p>
      <w:pPr>
        <w:pageBreakBefore w:val="0"/>
        <w:widowControl w:val="0"/>
        <w:kinsoku/>
        <w:wordWrap/>
        <w:overflowPunct/>
        <w:topLinePunct w:val="0"/>
        <w:autoSpaceDE/>
        <w:autoSpaceDN/>
        <w:bidi w:val="0"/>
        <w:spacing w:line="520" w:lineRule="exact"/>
        <w:ind w:left="0" w:firstLine="480" w:firstLineChars="200"/>
        <w:textAlignment w:val="auto"/>
      </w:pPr>
      <w:r>
        <w:rPr>
          <w:rFonts w:hint="eastAsia"/>
        </w:rPr>
        <w:t>密码资源由市政务云提供，</w:t>
      </w:r>
      <w:r>
        <w:rPr>
          <w:rFonts w:hint="eastAsia"/>
          <w:lang w:val="en-US" w:eastAsia="zh-CN"/>
        </w:rPr>
        <w:t>本项目需完成密码应用改造开发，实现与市政务云密码资源的对接</w:t>
      </w:r>
      <w:r>
        <w:rPr>
          <w:rFonts w:hint="eastAsia"/>
        </w:rPr>
        <w:t>。</w:t>
      </w:r>
    </w:p>
    <w:p>
      <w:pPr>
        <w:pStyle w:val="3"/>
        <w:keepNext/>
        <w:keepLines/>
        <w:pageBreakBefore w:val="0"/>
        <w:widowControl w:val="0"/>
        <w:kinsoku/>
        <w:wordWrap/>
        <w:overflowPunct/>
        <w:topLinePunct w:val="0"/>
        <w:autoSpaceDE/>
        <w:autoSpaceDN/>
        <w:bidi w:val="0"/>
        <w:adjustRightInd/>
        <w:snapToGrid/>
        <w:spacing w:before="120" w:after="120" w:line="413" w:lineRule="auto"/>
        <w:ind w:left="0" w:leftChars="0" w:firstLine="602" w:firstLineChars="200"/>
        <w:textAlignment w:val="auto"/>
        <w:rPr>
          <w:rFonts w:hint="eastAsia" w:ascii="宋体" w:hAnsi="宋体" w:eastAsia="宋体" w:cs="宋体"/>
          <w:sz w:val="30"/>
          <w:szCs w:val="30"/>
          <w:lang w:val="en-US" w:eastAsia="zh-CN"/>
        </w:rPr>
      </w:pPr>
      <w:bookmarkStart w:id="2" w:name="_Toc63785512"/>
      <w:r>
        <w:rPr>
          <w:rFonts w:hint="eastAsia" w:ascii="宋体" w:hAnsi="宋体" w:eastAsia="宋体" w:cs="宋体"/>
          <w:sz w:val="30"/>
          <w:szCs w:val="30"/>
          <w:lang w:val="en-US" w:eastAsia="zh-CN"/>
        </w:rPr>
        <w:t>技术文件要求</w:t>
      </w:r>
    </w:p>
    <w:p>
      <w:pPr>
        <w:pageBreakBefore w:val="0"/>
        <w:widowControl w:val="0"/>
        <w:kinsoku/>
        <w:wordWrap/>
        <w:overflowPunct/>
        <w:topLinePunct w:val="0"/>
        <w:autoSpaceDE/>
        <w:autoSpaceDN/>
        <w:bidi w:val="0"/>
        <w:spacing w:line="520" w:lineRule="exact"/>
        <w:ind w:left="0" w:firstLine="480" w:firstLineChars="200"/>
        <w:textAlignment w:val="auto"/>
        <w:rPr>
          <w:rFonts w:hint="eastAsia"/>
        </w:rPr>
      </w:pPr>
      <w:r>
        <w:rPr>
          <w:rFonts w:hint="eastAsia"/>
          <w:lang w:eastAsia="zh-CN"/>
        </w:rPr>
        <w:t>供应商</w:t>
      </w:r>
      <w:r>
        <w:rPr>
          <w:rFonts w:hint="eastAsia"/>
        </w:rPr>
        <w:t>提供的书面技术资料应能确保系统正常运行所需的管理、运营及维护有关的全套文件。技术文件应该全面、完整、详细。</w:t>
      </w:r>
      <w:r>
        <w:rPr>
          <w:rFonts w:hint="eastAsia"/>
          <w:lang w:eastAsia="zh-CN"/>
        </w:rPr>
        <w:t>供应商</w:t>
      </w:r>
      <w:r>
        <w:rPr>
          <w:rFonts w:hint="eastAsia"/>
        </w:rPr>
        <w:t>提供的技术文件至少应包括：</w:t>
      </w:r>
    </w:p>
    <w:p>
      <w:pPr>
        <w:pageBreakBefore w:val="0"/>
        <w:widowControl w:val="0"/>
        <w:kinsoku/>
        <w:wordWrap/>
        <w:overflowPunct/>
        <w:topLinePunct w:val="0"/>
        <w:autoSpaceDE/>
        <w:autoSpaceDN/>
        <w:bidi w:val="0"/>
        <w:spacing w:line="520" w:lineRule="exact"/>
        <w:ind w:left="0" w:firstLine="480" w:firstLineChars="200"/>
        <w:textAlignment w:val="auto"/>
        <w:rPr>
          <w:rFonts w:hint="eastAsia"/>
        </w:rPr>
      </w:pPr>
      <w:r>
        <w:rPr>
          <w:rFonts w:hint="eastAsia"/>
        </w:rPr>
        <w:t xml:space="preserve">－ 系统说明文件； </w:t>
      </w:r>
    </w:p>
    <w:p>
      <w:pPr>
        <w:pageBreakBefore w:val="0"/>
        <w:widowControl w:val="0"/>
        <w:kinsoku/>
        <w:wordWrap/>
        <w:overflowPunct/>
        <w:topLinePunct w:val="0"/>
        <w:autoSpaceDE/>
        <w:autoSpaceDN/>
        <w:bidi w:val="0"/>
        <w:spacing w:line="520" w:lineRule="exact"/>
        <w:ind w:left="0" w:firstLine="480" w:firstLineChars="200"/>
        <w:textAlignment w:val="auto"/>
        <w:rPr>
          <w:rFonts w:hint="eastAsia"/>
        </w:rPr>
      </w:pPr>
      <w:r>
        <w:rPr>
          <w:rFonts w:hint="eastAsia"/>
        </w:rPr>
        <w:t xml:space="preserve">－ 技术手册(安装、测试、操作、维护、故障排除等)； </w:t>
      </w:r>
    </w:p>
    <w:p>
      <w:pPr>
        <w:pageBreakBefore w:val="0"/>
        <w:widowControl w:val="0"/>
        <w:kinsoku/>
        <w:wordWrap/>
        <w:overflowPunct/>
        <w:topLinePunct w:val="0"/>
        <w:autoSpaceDE/>
        <w:autoSpaceDN/>
        <w:bidi w:val="0"/>
        <w:spacing w:line="520" w:lineRule="exact"/>
        <w:ind w:left="0" w:firstLine="480" w:firstLineChars="200"/>
        <w:textAlignment w:val="auto"/>
        <w:rPr>
          <w:rFonts w:hint="eastAsia"/>
        </w:rPr>
      </w:pPr>
      <w:r>
        <w:rPr>
          <w:rFonts w:hint="eastAsia"/>
        </w:rPr>
        <w:t>－ 项目文档，应该包括：</w:t>
      </w:r>
    </w:p>
    <w:p>
      <w:pPr>
        <w:pageBreakBefore w:val="0"/>
        <w:widowControl w:val="0"/>
        <w:kinsoku/>
        <w:wordWrap/>
        <w:overflowPunct/>
        <w:topLinePunct w:val="0"/>
        <w:autoSpaceDE/>
        <w:autoSpaceDN/>
        <w:bidi w:val="0"/>
        <w:spacing w:line="520" w:lineRule="exact"/>
        <w:ind w:left="0" w:firstLine="480" w:firstLineChars="200"/>
        <w:textAlignment w:val="auto"/>
        <w:rPr>
          <w:rFonts w:hint="eastAsia"/>
        </w:rPr>
      </w:pPr>
      <w:r>
        <w:rPr>
          <w:rFonts w:hint="eastAsia"/>
        </w:rPr>
        <w:t>(1)软件需求说明书</w:t>
      </w:r>
    </w:p>
    <w:p>
      <w:pPr>
        <w:pageBreakBefore w:val="0"/>
        <w:widowControl w:val="0"/>
        <w:kinsoku/>
        <w:wordWrap/>
        <w:overflowPunct/>
        <w:topLinePunct w:val="0"/>
        <w:autoSpaceDE/>
        <w:autoSpaceDN/>
        <w:bidi w:val="0"/>
        <w:spacing w:line="520" w:lineRule="exact"/>
        <w:ind w:left="0" w:firstLine="480" w:firstLineChars="200"/>
        <w:textAlignment w:val="auto"/>
        <w:rPr>
          <w:rFonts w:hint="eastAsia"/>
        </w:rPr>
      </w:pPr>
      <w:r>
        <w:rPr>
          <w:rFonts w:hint="eastAsia"/>
        </w:rPr>
        <w:t>(2)系统总体设计说明书</w:t>
      </w:r>
    </w:p>
    <w:p>
      <w:pPr>
        <w:pageBreakBefore w:val="0"/>
        <w:widowControl w:val="0"/>
        <w:kinsoku/>
        <w:wordWrap/>
        <w:overflowPunct/>
        <w:topLinePunct w:val="0"/>
        <w:autoSpaceDE/>
        <w:autoSpaceDN/>
        <w:bidi w:val="0"/>
        <w:spacing w:line="520" w:lineRule="exact"/>
        <w:ind w:left="0" w:firstLine="480" w:firstLineChars="200"/>
        <w:textAlignment w:val="auto"/>
        <w:rPr>
          <w:rFonts w:hint="eastAsia"/>
        </w:rPr>
      </w:pPr>
      <w:r>
        <w:rPr>
          <w:rFonts w:hint="eastAsia"/>
        </w:rPr>
        <w:t>(3)应用软件功能清单</w:t>
      </w:r>
    </w:p>
    <w:p>
      <w:pPr>
        <w:pageBreakBefore w:val="0"/>
        <w:widowControl w:val="0"/>
        <w:kinsoku/>
        <w:wordWrap/>
        <w:overflowPunct/>
        <w:topLinePunct w:val="0"/>
        <w:autoSpaceDE/>
        <w:autoSpaceDN/>
        <w:bidi w:val="0"/>
        <w:spacing w:line="520" w:lineRule="exact"/>
        <w:ind w:left="0" w:firstLine="480" w:firstLineChars="200"/>
        <w:textAlignment w:val="auto"/>
        <w:rPr>
          <w:rFonts w:hint="eastAsia"/>
        </w:rPr>
      </w:pPr>
      <w:r>
        <w:rPr>
          <w:rFonts w:hint="eastAsia"/>
        </w:rPr>
        <w:t>提供全套技术文件纸介质3套以及电子文件1套。</w:t>
      </w:r>
      <w:bookmarkEnd w:id="2"/>
    </w:p>
    <w:p/>
    <w:p>
      <w:pPr>
        <w:pStyle w:val="3"/>
        <w:keepNext/>
        <w:keepLines/>
        <w:pageBreakBefore w:val="0"/>
        <w:widowControl w:val="0"/>
        <w:kinsoku/>
        <w:wordWrap/>
        <w:overflowPunct/>
        <w:topLinePunct w:val="0"/>
        <w:autoSpaceDE/>
        <w:autoSpaceDN/>
        <w:bidi w:val="0"/>
        <w:adjustRightInd/>
        <w:snapToGrid/>
        <w:spacing w:before="120" w:after="120" w:line="413" w:lineRule="auto"/>
        <w:ind w:left="0" w:leftChars="0" w:firstLine="602"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项目验收要求</w:t>
      </w:r>
    </w:p>
    <w:p>
      <w:pPr>
        <w:pageBreakBefore w:val="0"/>
        <w:widowControl w:val="0"/>
        <w:kinsoku/>
        <w:wordWrap/>
        <w:overflowPunct/>
        <w:topLinePunct w:val="0"/>
        <w:autoSpaceDE/>
        <w:autoSpaceDN/>
        <w:bidi w:val="0"/>
        <w:spacing w:line="520" w:lineRule="exact"/>
        <w:ind w:left="0" w:firstLine="480" w:firstLineChars="200"/>
        <w:textAlignment w:val="auto"/>
      </w:pPr>
      <w:r>
        <w:t>建设内容</w:t>
      </w:r>
      <w:r>
        <w:rPr>
          <w:highlight w:val="none"/>
        </w:rPr>
        <w:t>完成后，</w:t>
      </w:r>
      <w:r>
        <w:rPr>
          <w:rFonts w:hint="eastAsia"/>
          <w:lang w:eastAsia="zh-CN"/>
        </w:rPr>
        <w:t>供应商</w:t>
      </w:r>
      <w:r>
        <w:rPr>
          <w:highlight w:val="none"/>
        </w:rPr>
        <w:t>应对相关建设内容进行完善的系统测试，并通知用户方进入系统试运行期。系统试运行为期一个月，与此同时</w:t>
      </w:r>
      <w:r>
        <w:rPr>
          <w:rFonts w:hint="eastAsia"/>
          <w:lang w:eastAsia="zh-CN"/>
        </w:rPr>
        <w:t>供应商</w:t>
      </w:r>
      <w:r>
        <w:rPr>
          <w:highlight w:val="none"/>
        </w:rPr>
        <w:t>提供试运行期系统测试文档和项目验收相关文档，并且对用户方相</w:t>
      </w:r>
      <w:r>
        <w:t>关人员提供完善的培训。</w:t>
      </w:r>
    </w:p>
    <w:p>
      <w:pPr>
        <w:pageBreakBefore w:val="0"/>
        <w:widowControl w:val="0"/>
        <w:kinsoku/>
        <w:wordWrap/>
        <w:overflowPunct/>
        <w:topLinePunct w:val="0"/>
        <w:autoSpaceDE/>
        <w:autoSpaceDN/>
        <w:bidi w:val="0"/>
        <w:spacing w:line="520" w:lineRule="exact"/>
        <w:ind w:left="0" w:firstLine="480" w:firstLineChars="200"/>
        <w:textAlignment w:val="auto"/>
      </w:pPr>
      <w:r>
        <w:rPr>
          <w:rFonts w:hint="eastAsia"/>
          <w:lang w:eastAsia="zh-CN"/>
        </w:rPr>
        <w:t>供应商</w:t>
      </w:r>
      <w:r>
        <w:t>提供全套完善的项目验收资料文档，包括配置文档、使用说明书给用户，并</w:t>
      </w:r>
      <w:r>
        <w:rPr>
          <w:rFonts w:hint="eastAsia"/>
        </w:rPr>
        <w:t>向</w:t>
      </w:r>
      <w:r>
        <w:t>用户书面提出申请项目验收，用户方在审查验收资料无误后同意召开项目验收会。</w:t>
      </w:r>
    </w:p>
    <w:p>
      <w:pPr>
        <w:pageBreakBefore w:val="0"/>
        <w:widowControl w:val="0"/>
        <w:kinsoku/>
        <w:wordWrap/>
        <w:overflowPunct/>
        <w:topLinePunct w:val="0"/>
        <w:autoSpaceDE/>
        <w:autoSpaceDN/>
        <w:bidi w:val="0"/>
        <w:spacing w:line="520" w:lineRule="exact"/>
        <w:ind w:left="0" w:firstLine="480" w:firstLineChars="200"/>
        <w:textAlignment w:val="auto"/>
      </w:pPr>
      <w:r>
        <w:t>由用户指定时间地点并邀请相关专家参加项目验收会，就项目建设内容依据验收资料文档等进行项目验收，并出具专家验收意见书作为项目验收的结论性文件。</w:t>
      </w:r>
    </w:p>
    <w:p>
      <w:pPr>
        <w:pageBreakBefore w:val="0"/>
        <w:widowControl w:val="0"/>
        <w:kinsoku/>
        <w:wordWrap/>
        <w:overflowPunct/>
        <w:topLinePunct w:val="0"/>
        <w:autoSpaceDE/>
        <w:autoSpaceDN/>
        <w:bidi w:val="0"/>
        <w:spacing w:line="520" w:lineRule="exact"/>
        <w:ind w:left="0" w:firstLine="480" w:firstLineChars="200"/>
        <w:textAlignment w:val="auto"/>
      </w:pPr>
      <w:r>
        <w:t>项目进入</w:t>
      </w:r>
      <w:r>
        <w:rPr>
          <w:rFonts w:hint="eastAsia" w:asciiTheme="minorEastAsia" w:hAnsiTheme="minorEastAsia" w:eastAsiaTheme="minorEastAsia" w:cstheme="minorEastAsia"/>
        </w:rPr>
        <w:t>运维保障期，</w:t>
      </w:r>
      <w:r>
        <w:rPr>
          <w:rFonts w:hint="eastAsia"/>
          <w:lang w:eastAsia="zh-CN"/>
        </w:rPr>
        <w:t>供应商</w:t>
      </w:r>
      <w:r>
        <w:rPr>
          <w:rFonts w:hint="eastAsia" w:asciiTheme="minorEastAsia" w:hAnsiTheme="minorEastAsia" w:eastAsiaTheme="minorEastAsia" w:cstheme="minorEastAsia"/>
        </w:rPr>
        <w:t>持续提供</w:t>
      </w:r>
      <w:r>
        <w:rPr>
          <w:rFonts w:hint="eastAsia" w:asciiTheme="minorEastAsia" w:hAnsiTheme="minorEastAsia" w:cstheme="minorEastAsia"/>
          <w:lang w:eastAsia="zh-CN"/>
        </w:rPr>
        <w:t>采购</w:t>
      </w:r>
      <w:r>
        <w:rPr>
          <w:rFonts w:hint="eastAsia" w:asciiTheme="minorEastAsia" w:hAnsiTheme="minorEastAsia" w:eastAsiaTheme="minorEastAsia" w:cstheme="minorEastAsia"/>
        </w:rPr>
        <w:t>文件要求的售后服务</w:t>
      </w:r>
      <w:r>
        <w:rPr>
          <w:rFonts w:hint="eastAsia" w:asciiTheme="minorEastAsia" w:hAnsiTheme="minorEastAsia" w:eastAsiaTheme="minorEastAsia" w:cstheme="minorEastAsia"/>
          <w:highlight w:val="none"/>
        </w:rPr>
        <w:t>。其中软件质保期为</w:t>
      </w:r>
      <w:r>
        <w:rPr>
          <w:rFonts w:hint="eastAsia" w:asciiTheme="minorEastAsia" w:hAnsiTheme="minorEastAsia" w:cstheme="minorEastAsia"/>
          <w:highlight w:val="none"/>
          <w:lang w:eastAsia="zh-CN"/>
        </w:rPr>
        <w:t>自项目验收合格之日起</w:t>
      </w:r>
      <w:r>
        <w:rPr>
          <w:rFonts w:hint="eastAsia" w:asciiTheme="minorEastAsia" w:hAnsiTheme="minorEastAsia" w:eastAsiaTheme="minorEastAsia" w:cstheme="minorEastAsia"/>
          <w:highlight w:val="none"/>
        </w:rPr>
        <w:t>1年。</w:t>
      </w:r>
    </w:p>
    <w:p>
      <w:pPr>
        <w:pStyle w:val="3"/>
        <w:keepNext/>
        <w:keepLines/>
        <w:pageBreakBefore w:val="0"/>
        <w:widowControl w:val="0"/>
        <w:kinsoku/>
        <w:wordWrap/>
        <w:overflowPunct/>
        <w:topLinePunct w:val="0"/>
        <w:autoSpaceDE/>
        <w:autoSpaceDN/>
        <w:bidi w:val="0"/>
        <w:adjustRightInd/>
        <w:snapToGrid/>
        <w:spacing w:before="120" w:after="120" w:line="413" w:lineRule="auto"/>
        <w:ind w:left="0" w:leftChars="0" w:firstLine="602"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保密要求</w:t>
      </w:r>
    </w:p>
    <w:p>
      <w:pPr>
        <w:pageBreakBefore w:val="0"/>
        <w:widowControl w:val="0"/>
        <w:kinsoku/>
        <w:wordWrap/>
        <w:overflowPunct/>
        <w:topLinePunct w:val="0"/>
        <w:autoSpaceDE/>
        <w:autoSpaceDN/>
        <w:bidi w:val="0"/>
        <w:spacing w:line="520" w:lineRule="exact"/>
        <w:ind w:left="0" w:firstLine="480" w:firstLineChars="200"/>
        <w:textAlignment w:val="auto"/>
      </w:pPr>
      <w:r>
        <w:rPr>
          <w:rFonts w:hint="eastAsia"/>
        </w:rPr>
        <w:t>未经</w:t>
      </w:r>
      <w:bookmarkStart w:id="3" w:name="OLE_LINK1"/>
      <w:r>
        <w:rPr>
          <w:rFonts w:hint="eastAsia"/>
        </w:rPr>
        <w:t>上海市教育基建管理事务中心</w:t>
      </w:r>
      <w:bookmarkEnd w:id="3"/>
      <w:r>
        <w:rPr>
          <w:rFonts w:hint="eastAsia"/>
        </w:rPr>
        <w:t>事先书面同意，</w:t>
      </w:r>
      <w:r>
        <w:rPr>
          <w:rFonts w:hint="eastAsia"/>
          <w:lang w:eastAsia="zh-CN"/>
        </w:rPr>
        <w:t>供应商</w:t>
      </w:r>
      <w:r>
        <w:rPr>
          <w:rFonts w:hint="eastAsia"/>
        </w:rPr>
        <w:t>不得将上海市教育基建管理事务中心提供的与本项目相关的任何资料（文件、规格、工作计划、图纸等）以及与本项目有关的任何资料提供给任何第三方、与本项目无关的单位和任何人。</w:t>
      </w:r>
    </w:p>
    <w:p>
      <w:pPr>
        <w:pageBreakBefore w:val="0"/>
        <w:widowControl w:val="0"/>
        <w:kinsoku/>
        <w:wordWrap/>
        <w:overflowPunct/>
        <w:topLinePunct w:val="0"/>
        <w:autoSpaceDE/>
        <w:autoSpaceDN/>
        <w:bidi w:val="0"/>
        <w:spacing w:line="520" w:lineRule="exact"/>
        <w:ind w:left="0" w:firstLine="480" w:firstLineChars="200"/>
        <w:textAlignment w:val="auto"/>
      </w:pPr>
      <w:r>
        <w:rPr>
          <w:rFonts w:hint="eastAsia"/>
          <w:lang w:eastAsia="zh-CN"/>
        </w:rPr>
        <w:t>供应商</w:t>
      </w:r>
      <w:r>
        <w:rPr>
          <w:rFonts w:hint="eastAsia"/>
        </w:rPr>
        <w:t>参与本项目建设的任何工作人员，对上述资料遵守国家有关保密规定。</w:t>
      </w:r>
    </w:p>
    <w:p>
      <w:pPr>
        <w:pageBreakBefore w:val="0"/>
        <w:widowControl w:val="0"/>
        <w:kinsoku/>
        <w:wordWrap/>
        <w:overflowPunct/>
        <w:topLinePunct w:val="0"/>
        <w:autoSpaceDE/>
        <w:autoSpaceDN/>
        <w:bidi w:val="0"/>
        <w:spacing w:line="520" w:lineRule="exact"/>
        <w:ind w:left="0" w:firstLine="480" w:firstLineChars="200"/>
        <w:textAlignment w:val="auto"/>
      </w:pPr>
      <w:r>
        <w:rPr>
          <w:rFonts w:hint="eastAsia"/>
        </w:rPr>
        <w:t>上海市教育基建管理事务中心对</w:t>
      </w:r>
      <w:r>
        <w:rPr>
          <w:rFonts w:hint="eastAsia"/>
          <w:lang w:eastAsia="zh-CN"/>
        </w:rPr>
        <w:t>供应商</w:t>
      </w:r>
      <w:r>
        <w:rPr>
          <w:rFonts w:hint="eastAsia"/>
        </w:rPr>
        <w:t>提供的</w:t>
      </w:r>
      <w:r>
        <w:rPr>
          <w:rFonts w:hint="eastAsia"/>
          <w:highlight w:val="none"/>
        </w:rPr>
        <w:t>资料</w:t>
      </w:r>
      <w:r>
        <w:rPr>
          <w:rFonts w:hint="eastAsia"/>
          <w:highlight w:val="none"/>
          <w:lang w:val="en-US" w:eastAsia="zh-CN"/>
        </w:rPr>
        <w:t>方案</w:t>
      </w:r>
      <w:r>
        <w:rPr>
          <w:rFonts w:hint="eastAsia"/>
        </w:rPr>
        <w:t>应遵守国家有关保密规定。</w:t>
      </w:r>
    </w:p>
    <w:p>
      <w:pPr>
        <w:pageBreakBefore w:val="0"/>
        <w:widowControl w:val="0"/>
        <w:kinsoku/>
        <w:wordWrap/>
        <w:overflowPunct/>
        <w:topLinePunct w:val="0"/>
        <w:autoSpaceDE/>
        <w:autoSpaceDN/>
        <w:bidi w:val="0"/>
        <w:spacing w:line="520" w:lineRule="exact"/>
        <w:ind w:left="0" w:firstLine="480" w:firstLineChars="200"/>
        <w:textAlignment w:val="auto"/>
      </w:pPr>
      <w:r>
        <w:rPr>
          <w:rFonts w:hint="eastAsia"/>
        </w:rPr>
        <w:t>经发现一方泄密，按国家有关规定处理。</w:t>
      </w:r>
    </w:p>
    <w:p>
      <w:pPr>
        <w:pStyle w:val="3"/>
        <w:keepNext/>
        <w:keepLines/>
        <w:pageBreakBefore w:val="0"/>
        <w:widowControl w:val="0"/>
        <w:kinsoku/>
        <w:wordWrap/>
        <w:overflowPunct/>
        <w:topLinePunct w:val="0"/>
        <w:autoSpaceDE/>
        <w:autoSpaceDN/>
        <w:bidi w:val="0"/>
        <w:adjustRightInd/>
        <w:snapToGrid/>
        <w:spacing w:before="120" w:after="120" w:line="413" w:lineRule="auto"/>
        <w:ind w:left="0" w:leftChars="0" w:firstLine="602"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成果和知识产权</w:t>
      </w:r>
    </w:p>
    <w:p>
      <w:pPr>
        <w:pageBreakBefore w:val="0"/>
        <w:widowControl w:val="0"/>
        <w:kinsoku/>
        <w:wordWrap/>
        <w:overflowPunct/>
        <w:topLinePunct w:val="0"/>
        <w:autoSpaceDE/>
        <w:autoSpaceDN/>
        <w:bidi w:val="0"/>
        <w:spacing w:line="520" w:lineRule="exact"/>
        <w:ind w:left="0" w:firstLine="480" w:firstLineChars="200"/>
        <w:textAlignment w:val="auto"/>
      </w:pPr>
      <w:r>
        <w:rPr>
          <w:rFonts w:hint="eastAsia"/>
          <w:lang w:val="en-US" w:eastAsia="zh-CN"/>
        </w:rPr>
        <w:t>采购方</w:t>
      </w:r>
      <w:r>
        <w:rPr>
          <w:rFonts w:hint="eastAsia"/>
        </w:rPr>
        <w:t>拥有本次项目所开发软件源代码所有权和其他相关知识产权，</w:t>
      </w:r>
      <w:r>
        <w:rPr>
          <w:rFonts w:hint="eastAsia"/>
          <w:lang w:eastAsia="zh-CN"/>
        </w:rPr>
        <w:t>供应商</w:t>
      </w:r>
      <w:r>
        <w:rPr>
          <w:rFonts w:hint="eastAsia"/>
        </w:rPr>
        <w:t>保证其所交付的服务没有侵犯任何第三人的知识产权和商业秘密等权利。</w:t>
      </w:r>
    </w:p>
    <w:p>
      <w:pPr>
        <w:pageBreakBefore w:val="0"/>
        <w:widowControl w:val="0"/>
        <w:kinsoku/>
        <w:wordWrap/>
        <w:overflowPunct/>
        <w:topLinePunct w:val="0"/>
        <w:autoSpaceDE/>
        <w:autoSpaceDN/>
        <w:bidi w:val="0"/>
        <w:spacing w:line="520" w:lineRule="exact"/>
        <w:ind w:left="0" w:firstLine="480" w:firstLineChars="200"/>
        <w:textAlignment w:val="auto"/>
        <w:rPr>
          <w:rFonts w:hint="eastAsia"/>
          <w:highlight w:val="none"/>
          <w:lang w:val="en-US" w:eastAsia="zh-CN"/>
        </w:rPr>
      </w:pPr>
    </w:p>
    <w:p>
      <w:pPr>
        <w:pageBreakBefore w:val="0"/>
        <w:widowControl/>
        <w:kinsoku/>
        <w:wordWrap/>
        <w:overflowPunct/>
        <w:topLinePunct w:val="0"/>
        <w:autoSpaceDE/>
        <w:autoSpaceDN/>
        <w:bidi w:val="0"/>
        <w:spacing w:line="240" w:lineRule="auto"/>
        <w:ind w:left="0" w:firstLine="0" w:firstLineChars="0"/>
        <w:textAlignment w:val="auto"/>
        <w:rPr>
          <w:rFonts w:hint="default"/>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E3144"/>
    <w:multiLevelType w:val="singleLevel"/>
    <w:tmpl w:val="8ECE3144"/>
    <w:lvl w:ilvl="0" w:tentative="0">
      <w:start w:val="1"/>
      <w:numFmt w:val="decimal"/>
      <w:lvlText w:val="%1."/>
      <w:lvlJc w:val="left"/>
      <w:pPr>
        <w:tabs>
          <w:tab w:val="left" w:pos="312"/>
        </w:tabs>
      </w:pPr>
      <w:rPr>
        <w:rFonts w:hint="default" w:asciiTheme="minorEastAsia" w:hAnsiTheme="minorEastAsia" w:eastAsiaTheme="minorEastAsia" w:cstheme="minorEastAsia"/>
      </w:rPr>
    </w:lvl>
  </w:abstractNum>
  <w:abstractNum w:abstractNumId="1">
    <w:nsid w:val="C947D9A4"/>
    <w:multiLevelType w:val="singleLevel"/>
    <w:tmpl w:val="C947D9A4"/>
    <w:lvl w:ilvl="0" w:tentative="0">
      <w:start w:val="1"/>
      <w:numFmt w:val="decimal"/>
      <w:lvlText w:val="%1."/>
      <w:lvlJc w:val="left"/>
      <w:pPr>
        <w:ind w:left="425" w:hanging="425"/>
      </w:pPr>
      <w:rPr>
        <w:rFonts w:hint="default" w:asciiTheme="minorEastAsia" w:hAnsiTheme="minorEastAsia" w:eastAsiaTheme="minorEastAsia" w:cstheme="minorEastAsia"/>
      </w:rPr>
    </w:lvl>
  </w:abstractNum>
  <w:abstractNum w:abstractNumId="2">
    <w:nsid w:val="E01FEB96"/>
    <w:multiLevelType w:val="singleLevel"/>
    <w:tmpl w:val="E01FEB96"/>
    <w:lvl w:ilvl="0" w:tentative="0">
      <w:start w:val="1"/>
      <w:numFmt w:val="decimal"/>
      <w:suff w:val="nothing"/>
      <w:lvlText w:val="(%1)"/>
      <w:lvlJc w:val="left"/>
      <w:pPr>
        <w:ind w:left="425" w:hanging="425"/>
      </w:pPr>
      <w:rPr>
        <w:rFonts w:hint="default"/>
      </w:rPr>
    </w:lvl>
  </w:abstractNum>
  <w:abstractNum w:abstractNumId="3">
    <w:nsid w:val="E9B036C1"/>
    <w:multiLevelType w:val="singleLevel"/>
    <w:tmpl w:val="E9B036C1"/>
    <w:lvl w:ilvl="0" w:tentative="0">
      <w:start w:val="1"/>
      <w:numFmt w:val="decimal"/>
      <w:suff w:val="nothing"/>
      <w:lvlText w:val="(%1)"/>
      <w:lvlJc w:val="left"/>
      <w:pPr>
        <w:ind w:left="425" w:hanging="425"/>
      </w:pPr>
      <w:rPr>
        <w:rFonts w:hint="default"/>
      </w:rPr>
    </w:lvl>
  </w:abstractNum>
  <w:abstractNum w:abstractNumId="4">
    <w:nsid w:val="0000002D"/>
    <w:multiLevelType w:val="singleLevel"/>
    <w:tmpl w:val="0000002D"/>
    <w:lvl w:ilvl="0" w:tentative="0">
      <w:start w:val="1"/>
      <w:numFmt w:val="bullet"/>
      <w:pStyle w:val="31"/>
      <w:lvlText w:val=""/>
      <w:lvlJc w:val="left"/>
      <w:pPr>
        <w:tabs>
          <w:tab w:val="left" w:pos="987"/>
        </w:tabs>
        <w:ind w:left="987" w:hanging="420"/>
      </w:pPr>
      <w:rPr>
        <w:rFonts w:hint="default" w:ascii="Wingdings" w:hAnsi="Wingdings"/>
      </w:rPr>
    </w:lvl>
  </w:abstractNum>
  <w:abstractNum w:abstractNumId="5">
    <w:nsid w:val="10A37714"/>
    <w:multiLevelType w:val="singleLevel"/>
    <w:tmpl w:val="10A37714"/>
    <w:lvl w:ilvl="0" w:tentative="0">
      <w:start w:val="1"/>
      <w:numFmt w:val="decimal"/>
      <w:lvlText w:val="%1."/>
      <w:lvlJc w:val="left"/>
      <w:pPr>
        <w:ind w:left="425" w:hanging="425"/>
      </w:pPr>
      <w:rPr>
        <w:rFonts w:hint="default" w:ascii="宋体" w:hAnsi="宋体" w:eastAsia="宋体" w:cstheme="minorEastAsia"/>
        <w:sz w:val="24"/>
        <w:szCs w:val="24"/>
      </w:rPr>
    </w:lvl>
  </w:abstractNum>
  <w:abstractNum w:abstractNumId="6">
    <w:nsid w:val="46F67DB1"/>
    <w:multiLevelType w:val="multilevel"/>
    <w:tmpl w:val="46F67DB1"/>
    <w:lvl w:ilvl="0" w:tentative="0">
      <w:start w:val="1"/>
      <w:numFmt w:val="chineseCounting"/>
      <w:pStyle w:val="2"/>
      <w:suff w:val="nothing"/>
      <w:lvlText w:val="%1、"/>
      <w:lvlJc w:val="left"/>
      <w:pPr>
        <w:tabs>
          <w:tab w:val="left" w:pos="420"/>
        </w:tabs>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6"/>
  </w:num>
  <w:num w:numId="2">
    <w:abstractNumId w:val="4"/>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MWQyYmIwZGIzYjE2ZWQzM2U2NmNlZjM4MGY2MTUifQ=="/>
  </w:docVars>
  <w:rsids>
    <w:rsidRoot w:val="00172A27"/>
    <w:rsid w:val="000B21D6"/>
    <w:rsid w:val="000B628E"/>
    <w:rsid w:val="000C7531"/>
    <w:rsid w:val="000E4A5C"/>
    <w:rsid w:val="00172A27"/>
    <w:rsid w:val="001D3AA4"/>
    <w:rsid w:val="00232E30"/>
    <w:rsid w:val="002D2D00"/>
    <w:rsid w:val="00544CC5"/>
    <w:rsid w:val="005B2E75"/>
    <w:rsid w:val="005C58EB"/>
    <w:rsid w:val="00784CF2"/>
    <w:rsid w:val="007A249D"/>
    <w:rsid w:val="00845FE4"/>
    <w:rsid w:val="00870FB1"/>
    <w:rsid w:val="008A6A85"/>
    <w:rsid w:val="00A8702F"/>
    <w:rsid w:val="00AB6D27"/>
    <w:rsid w:val="00AE729F"/>
    <w:rsid w:val="00B355DC"/>
    <w:rsid w:val="00B91031"/>
    <w:rsid w:val="00BA1825"/>
    <w:rsid w:val="00BD3160"/>
    <w:rsid w:val="00CD716D"/>
    <w:rsid w:val="00DE3A7C"/>
    <w:rsid w:val="00E20A32"/>
    <w:rsid w:val="00E417B5"/>
    <w:rsid w:val="00EB0C94"/>
    <w:rsid w:val="00EF0660"/>
    <w:rsid w:val="00EF107E"/>
    <w:rsid w:val="00F15A82"/>
    <w:rsid w:val="01294328"/>
    <w:rsid w:val="01E92DC0"/>
    <w:rsid w:val="046425C9"/>
    <w:rsid w:val="04C27E8C"/>
    <w:rsid w:val="05420352"/>
    <w:rsid w:val="073C51D6"/>
    <w:rsid w:val="0B146FE6"/>
    <w:rsid w:val="0C8B0F07"/>
    <w:rsid w:val="0C967405"/>
    <w:rsid w:val="0EA0143F"/>
    <w:rsid w:val="0EB562EC"/>
    <w:rsid w:val="0F9A0CC9"/>
    <w:rsid w:val="105772C0"/>
    <w:rsid w:val="12660999"/>
    <w:rsid w:val="15A10269"/>
    <w:rsid w:val="1757686F"/>
    <w:rsid w:val="18D94D16"/>
    <w:rsid w:val="191D1A17"/>
    <w:rsid w:val="198D5B01"/>
    <w:rsid w:val="19BB36C8"/>
    <w:rsid w:val="19CC602B"/>
    <w:rsid w:val="1CA613B3"/>
    <w:rsid w:val="1DE657E0"/>
    <w:rsid w:val="1F7CE86C"/>
    <w:rsid w:val="20C52ED3"/>
    <w:rsid w:val="21F26E49"/>
    <w:rsid w:val="2455791C"/>
    <w:rsid w:val="25A72F13"/>
    <w:rsid w:val="26192BF6"/>
    <w:rsid w:val="26607078"/>
    <w:rsid w:val="26AE07B6"/>
    <w:rsid w:val="29EE79BF"/>
    <w:rsid w:val="2A9F5809"/>
    <w:rsid w:val="2D766ECA"/>
    <w:rsid w:val="2DEF2105"/>
    <w:rsid w:val="2EBFC95E"/>
    <w:rsid w:val="2FDEC528"/>
    <w:rsid w:val="30221C48"/>
    <w:rsid w:val="33BC7EF6"/>
    <w:rsid w:val="33F7284C"/>
    <w:rsid w:val="36C96479"/>
    <w:rsid w:val="37CC0E5B"/>
    <w:rsid w:val="383E08A9"/>
    <w:rsid w:val="399D5FE8"/>
    <w:rsid w:val="3B7A5A8D"/>
    <w:rsid w:val="3C8F4CDD"/>
    <w:rsid w:val="3E2971C5"/>
    <w:rsid w:val="3FBCE228"/>
    <w:rsid w:val="3FD95D25"/>
    <w:rsid w:val="41E8EEB5"/>
    <w:rsid w:val="42756FAE"/>
    <w:rsid w:val="428F5A68"/>
    <w:rsid w:val="44FA3F82"/>
    <w:rsid w:val="492422C9"/>
    <w:rsid w:val="498D09E4"/>
    <w:rsid w:val="4AFF661C"/>
    <w:rsid w:val="4BBE563F"/>
    <w:rsid w:val="4C911659"/>
    <w:rsid w:val="4D1A0E7E"/>
    <w:rsid w:val="4D8A45CA"/>
    <w:rsid w:val="4DA44BEC"/>
    <w:rsid w:val="4F37B761"/>
    <w:rsid w:val="4FF260E2"/>
    <w:rsid w:val="51143E36"/>
    <w:rsid w:val="513B09DC"/>
    <w:rsid w:val="51654692"/>
    <w:rsid w:val="519A433C"/>
    <w:rsid w:val="53457BB5"/>
    <w:rsid w:val="540B7773"/>
    <w:rsid w:val="541C59A9"/>
    <w:rsid w:val="54A92AE8"/>
    <w:rsid w:val="54F96993"/>
    <w:rsid w:val="550435DE"/>
    <w:rsid w:val="55495DF7"/>
    <w:rsid w:val="57C31E94"/>
    <w:rsid w:val="58EA125B"/>
    <w:rsid w:val="59B6D581"/>
    <w:rsid w:val="59EA7E2A"/>
    <w:rsid w:val="5B6C2D6A"/>
    <w:rsid w:val="5BDBA9AC"/>
    <w:rsid w:val="5BDC66B3"/>
    <w:rsid w:val="5C5B4128"/>
    <w:rsid w:val="5C673067"/>
    <w:rsid w:val="5D353153"/>
    <w:rsid w:val="5E6BAD89"/>
    <w:rsid w:val="5FDE3F8D"/>
    <w:rsid w:val="600A4D82"/>
    <w:rsid w:val="60246800"/>
    <w:rsid w:val="61B904B1"/>
    <w:rsid w:val="620871DF"/>
    <w:rsid w:val="626B1116"/>
    <w:rsid w:val="62E5238A"/>
    <w:rsid w:val="64CD1E56"/>
    <w:rsid w:val="67CC33E9"/>
    <w:rsid w:val="68EE6175"/>
    <w:rsid w:val="6A853080"/>
    <w:rsid w:val="6ADA75EA"/>
    <w:rsid w:val="6B0625EA"/>
    <w:rsid w:val="6B0E4BB1"/>
    <w:rsid w:val="6B774505"/>
    <w:rsid w:val="6BBF16AD"/>
    <w:rsid w:val="6E5627D5"/>
    <w:rsid w:val="6EBE8654"/>
    <w:rsid w:val="71371687"/>
    <w:rsid w:val="717402AD"/>
    <w:rsid w:val="71EB5349"/>
    <w:rsid w:val="72FDC121"/>
    <w:rsid w:val="73DF082F"/>
    <w:rsid w:val="73FFFAFD"/>
    <w:rsid w:val="740A2E49"/>
    <w:rsid w:val="748E5CD4"/>
    <w:rsid w:val="75B707B4"/>
    <w:rsid w:val="75E545D3"/>
    <w:rsid w:val="76443005"/>
    <w:rsid w:val="7725752F"/>
    <w:rsid w:val="797A48CF"/>
    <w:rsid w:val="79ED4EFB"/>
    <w:rsid w:val="7CB94BEC"/>
    <w:rsid w:val="7E00035D"/>
    <w:rsid w:val="7EAD3297"/>
    <w:rsid w:val="7EFB6E0A"/>
    <w:rsid w:val="7F6F6BAF"/>
    <w:rsid w:val="7F8033C3"/>
    <w:rsid w:val="7FEF666E"/>
    <w:rsid w:val="7FEFE869"/>
    <w:rsid w:val="9EF7D6C8"/>
    <w:rsid w:val="A9F63F77"/>
    <w:rsid w:val="ACFE1BE1"/>
    <w:rsid w:val="AD7D894F"/>
    <w:rsid w:val="BA7AD4BF"/>
    <w:rsid w:val="BC77B17C"/>
    <w:rsid w:val="BE6F27E7"/>
    <w:rsid w:val="DAD276B1"/>
    <w:rsid w:val="DBABE1C5"/>
    <w:rsid w:val="DBEB9DAF"/>
    <w:rsid w:val="E5120962"/>
    <w:rsid w:val="EDEFD9CF"/>
    <w:rsid w:val="EEF796D2"/>
    <w:rsid w:val="EF557C5E"/>
    <w:rsid w:val="EFECC78E"/>
    <w:rsid w:val="EFF9581D"/>
    <w:rsid w:val="F37BB3F6"/>
    <w:rsid w:val="F3AF4397"/>
    <w:rsid w:val="F7F75BCF"/>
    <w:rsid w:val="F9FF7DE8"/>
    <w:rsid w:val="FA2FC897"/>
    <w:rsid w:val="FCCE56A1"/>
    <w:rsid w:val="FCF706F1"/>
    <w:rsid w:val="FDDF4F24"/>
    <w:rsid w:val="FDFFC689"/>
    <w:rsid w:val="FEB38F17"/>
    <w:rsid w:val="FF5A96F2"/>
    <w:rsid w:val="FF5D3C67"/>
    <w:rsid w:val="FFCE5A30"/>
    <w:rsid w:val="FFF70840"/>
    <w:rsid w:val="FFF74D20"/>
    <w:rsid w:val="FFF92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ind w:left="432" w:hanging="432"/>
      <w:jc w:val="center"/>
      <w:outlineLvl w:val="0"/>
    </w:pPr>
    <w:rPr>
      <w:b/>
      <w:kern w:val="44"/>
      <w:sz w:val="32"/>
    </w:rPr>
  </w:style>
  <w:style w:type="paragraph" w:styleId="3">
    <w:name w:val="heading 2"/>
    <w:basedOn w:val="1"/>
    <w:next w:val="1"/>
    <w:unhideWhenUsed/>
    <w:qFormat/>
    <w:uiPriority w:val="0"/>
    <w:pPr>
      <w:keepNext/>
      <w:keepLines/>
      <w:numPr>
        <w:ilvl w:val="1"/>
        <w:numId w:val="1"/>
      </w:numPr>
      <w:spacing w:before="260" w:after="260" w:line="413" w:lineRule="auto"/>
      <w:ind w:left="575" w:hanging="575"/>
      <w:jc w:val="left"/>
      <w:outlineLvl w:val="1"/>
    </w:pPr>
    <w:rPr>
      <w:rFonts w:ascii="Arial" w:hAnsi="Arial" w:eastAsia="黑体"/>
      <w:b/>
      <w:sz w:val="28"/>
    </w:rPr>
  </w:style>
  <w:style w:type="paragraph" w:styleId="4">
    <w:name w:val="heading 3"/>
    <w:basedOn w:val="1"/>
    <w:next w:val="1"/>
    <w:unhideWhenUsed/>
    <w:qFormat/>
    <w:uiPriority w:val="0"/>
    <w:pPr>
      <w:keepNext/>
      <w:keepLines/>
      <w:numPr>
        <w:ilvl w:val="2"/>
        <w:numId w:val="1"/>
      </w:numPr>
      <w:spacing w:before="260" w:after="260" w:line="413" w:lineRule="auto"/>
      <w:ind w:left="720" w:hanging="720"/>
      <w:jc w:val="left"/>
      <w:outlineLvl w:val="2"/>
    </w:pPr>
    <w:rPr>
      <w:b/>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3"/>
    <w:qFormat/>
    <w:uiPriority w:val="0"/>
    <w:pPr>
      <w:jc w:val="left"/>
    </w:pPr>
  </w:style>
  <w:style w:type="paragraph" w:styleId="12">
    <w:name w:val="footer"/>
    <w:basedOn w:val="1"/>
    <w:link w:val="22"/>
    <w:qFormat/>
    <w:uiPriority w:val="0"/>
    <w:pPr>
      <w:tabs>
        <w:tab w:val="center" w:pos="4153"/>
        <w:tab w:val="right" w:pos="8306"/>
      </w:tabs>
      <w:snapToGrid w:val="0"/>
      <w:spacing w:line="240" w:lineRule="auto"/>
      <w:jc w:val="left"/>
    </w:pPr>
    <w:rPr>
      <w:sz w:val="18"/>
      <w:szCs w:val="18"/>
    </w:rPr>
  </w:style>
  <w:style w:type="paragraph" w:styleId="13">
    <w:name w:val="header"/>
    <w:basedOn w:val="1"/>
    <w:link w:val="21"/>
    <w:qFormat/>
    <w:uiPriority w:val="0"/>
    <w:pPr>
      <w:tabs>
        <w:tab w:val="center" w:pos="4153"/>
        <w:tab w:val="right" w:pos="8306"/>
      </w:tabs>
      <w:snapToGrid w:val="0"/>
      <w:spacing w:line="240" w:lineRule="auto"/>
      <w:jc w:val="center"/>
    </w:pPr>
    <w:rPr>
      <w:sz w:val="18"/>
      <w:szCs w:val="18"/>
    </w:rPr>
  </w:style>
  <w:style w:type="paragraph" w:styleId="14">
    <w:name w:val="Normal (Web)"/>
    <w:basedOn w:val="1"/>
    <w:qFormat/>
    <w:uiPriority w:val="99"/>
    <w:pPr>
      <w:spacing w:beforeAutospacing="1" w:afterAutospacing="1" w:line="500" w:lineRule="exact"/>
      <w:ind w:firstLine="200" w:firstLineChars="200"/>
      <w:jc w:val="left"/>
    </w:pPr>
    <w:rPr>
      <w:rFonts w:ascii="Times New Roman" w:hAnsi="Times New Roman" w:eastAsia="仿宋_GB2312" w:cs="Times New Roman"/>
      <w:kern w:val="0"/>
      <w:szCs w:val="22"/>
    </w:rPr>
  </w:style>
  <w:style w:type="paragraph" w:styleId="15">
    <w:name w:val="annotation subject"/>
    <w:basedOn w:val="11"/>
    <w:next w:val="11"/>
    <w:link w:val="24"/>
    <w:qFormat/>
    <w:uiPriority w:val="0"/>
    <w:rPr>
      <w:b/>
      <w:bCs/>
    </w:rPr>
  </w:style>
  <w:style w:type="character" w:styleId="18">
    <w:name w:val="annotation reference"/>
    <w:basedOn w:val="17"/>
    <w:qFormat/>
    <w:uiPriority w:val="0"/>
    <w:rPr>
      <w:sz w:val="21"/>
      <w:szCs w:val="21"/>
    </w:rPr>
  </w:style>
  <w:style w:type="paragraph" w:customStyle="1" w:styleId="19">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 w:type="paragraph" w:customStyle="1" w:styleId="20">
    <w:name w:val="样式2"/>
    <w:basedOn w:val="1"/>
    <w:qFormat/>
    <w:uiPriority w:val="0"/>
    <w:pPr>
      <w:widowControl/>
      <w:adjustRightInd w:val="0"/>
      <w:ind w:firstLine="480"/>
    </w:pPr>
    <w:rPr>
      <w:rFonts w:ascii="宋体" w:hAnsi="宋体"/>
      <w:kern w:val="0"/>
      <w:lang w:eastAsia="en-US"/>
    </w:rPr>
  </w:style>
  <w:style w:type="character" w:customStyle="1" w:styleId="21">
    <w:name w:val="页眉 字符"/>
    <w:basedOn w:val="17"/>
    <w:link w:val="13"/>
    <w:qFormat/>
    <w:uiPriority w:val="0"/>
    <w:rPr>
      <w:rFonts w:asciiTheme="minorHAnsi" w:hAnsiTheme="minorHAnsi" w:eastAsiaTheme="minorEastAsia" w:cstheme="minorBidi"/>
      <w:kern w:val="2"/>
      <w:sz w:val="18"/>
      <w:szCs w:val="18"/>
    </w:rPr>
  </w:style>
  <w:style w:type="character" w:customStyle="1" w:styleId="22">
    <w:name w:val="页脚 字符"/>
    <w:basedOn w:val="17"/>
    <w:link w:val="12"/>
    <w:qFormat/>
    <w:uiPriority w:val="0"/>
    <w:rPr>
      <w:rFonts w:asciiTheme="minorHAnsi" w:hAnsiTheme="minorHAnsi" w:eastAsiaTheme="minorEastAsia" w:cstheme="minorBidi"/>
      <w:kern w:val="2"/>
      <w:sz w:val="18"/>
      <w:szCs w:val="18"/>
    </w:rPr>
  </w:style>
  <w:style w:type="character" w:customStyle="1" w:styleId="23">
    <w:name w:val="批注文字 字符"/>
    <w:basedOn w:val="17"/>
    <w:link w:val="11"/>
    <w:qFormat/>
    <w:uiPriority w:val="0"/>
    <w:rPr>
      <w:rFonts w:asciiTheme="minorHAnsi" w:hAnsiTheme="minorHAnsi" w:eastAsiaTheme="minorEastAsia" w:cstheme="minorBidi"/>
      <w:kern w:val="2"/>
      <w:sz w:val="24"/>
      <w:szCs w:val="24"/>
    </w:rPr>
  </w:style>
  <w:style w:type="character" w:customStyle="1" w:styleId="24">
    <w:name w:val="批注主题 字符"/>
    <w:basedOn w:val="23"/>
    <w:link w:val="15"/>
    <w:qFormat/>
    <w:uiPriority w:val="0"/>
    <w:rPr>
      <w:rFonts w:asciiTheme="minorHAnsi" w:hAnsiTheme="minorHAnsi" w:eastAsiaTheme="minorEastAsia" w:cstheme="minorBidi"/>
      <w:b/>
      <w:bCs/>
      <w:kern w:val="2"/>
      <w:sz w:val="24"/>
      <w:szCs w:val="24"/>
    </w:rPr>
  </w:style>
  <w:style w:type="paragraph" w:styleId="25">
    <w:name w:val="List Paragraph"/>
    <w:basedOn w:val="1"/>
    <w:unhideWhenUsed/>
    <w:qFormat/>
    <w:uiPriority w:val="99"/>
    <w:pPr>
      <w:ind w:firstLine="420" w:firstLineChars="200"/>
    </w:pPr>
  </w:style>
  <w:style w:type="paragraph" w:customStyle="1" w:styleId="26">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等线" w:hAnsi="等线" w:eastAsia="等线" w:cs="宋体"/>
      <w:color w:val="000000"/>
      <w:kern w:val="0"/>
      <w:sz w:val="10"/>
      <w:szCs w:val="10"/>
    </w:rPr>
  </w:style>
  <w:style w:type="character" w:customStyle="1" w:styleId="27">
    <w:name w:val="font11"/>
    <w:basedOn w:val="17"/>
    <w:qFormat/>
    <w:uiPriority w:val="0"/>
    <w:rPr>
      <w:rFonts w:hint="eastAsia" w:ascii="宋体" w:hAnsi="宋体" w:eastAsia="宋体" w:cs="宋体"/>
      <w:color w:val="000000"/>
      <w:sz w:val="28"/>
      <w:szCs w:val="28"/>
      <w:u w:val="none"/>
    </w:rPr>
  </w:style>
  <w:style w:type="character" w:customStyle="1" w:styleId="28">
    <w:name w:val="font31"/>
    <w:basedOn w:val="17"/>
    <w:qFormat/>
    <w:uiPriority w:val="0"/>
    <w:rPr>
      <w:rFonts w:hint="eastAsia" w:ascii="宋体" w:hAnsi="宋体" w:eastAsia="宋体" w:cs="宋体"/>
      <w:color w:val="FF0000"/>
      <w:sz w:val="28"/>
      <w:szCs w:val="28"/>
      <w:u w:val="none"/>
    </w:rPr>
  </w:style>
  <w:style w:type="paragraph" w:customStyle="1" w:styleId="29">
    <w:name w:val="正文正文2"/>
    <w:basedOn w:val="1"/>
    <w:qFormat/>
    <w:uiPriority w:val="0"/>
    <w:pPr>
      <w:ind w:firstLine="460"/>
    </w:pPr>
    <w:rPr>
      <w:sz w:val="21"/>
      <w:szCs w:val="21"/>
    </w:rPr>
  </w:style>
  <w:style w:type="paragraph" w:customStyle="1" w:styleId="30">
    <w:name w:val="正文缩进1"/>
    <w:basedOn w:val="1"/>
    <w:qFormat/>
    <w:uiPriority w:val="0"/>
    <w:pPr>
      <w:spacing w:line="240" w:lineRule="auto"/>
      <w:ind w:firstLine="420"/>
    </w:pPr>
    <w:rPr>
      <w:rFonts w:ascii="Times New Roman" w:hAnsi="Times New Roman"/>
      <w:sz w:val="21"/>
      <w:szCs w:val="20"/>
    </w:rPr>
  </w:style>
  <w:style w:type="paragraph" w:customStyle="1" w:styleId="31">
    <w:name w:val="可研正文"/>
    <w:basedOn w:val="1"/>
    <w:qFormat/>
    <w:uiPriority w:val="0"/>
    <w:pPr>
      <w:numPr>
        <w:ilvl w:val="0"/>
        <w:numId w:val="2"/>
      </w:numPr>
    </w:pPr>
    <w:rPr>
      <w:rFonts w:ascii="仿宋_GB2312" w:hAnsi="宋体" w:eastAsia="仿宋_GB2312"/>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9830eddc-4d2f-420f-b6f6-3366982da2a5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2A2E7964</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61473b64-11ce-47a3-9e69-c64c3ca09238</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2809C81C</paraID>
      <start xmlns="http://schemas.wps.cn/vas-ai-hub/contract-review">28</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20df2bda-5d84-4cd6-b700-9e3788ade685</errorID>
      <errorWord xmlns="http://schemas.wps.cn/vas-ai-hub/contract-review">数据</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完善数据</item>
      </candidateList>
      <explain xmlns="http://schemas.wps.cn/vas-ai-hub/contract-review"/>
      <paraID xmlns="http://schemas.wps.cn/vas-ai-hub/contract-review">2809C81C</paraID>
      <start xmlns="http://schemas.wps.cn/vas-ai-hub/contract-review">49</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64b0e439-16bf-4844-a089-f9d4a6a38bd5</errorID>
      <errorWord xmlns="http://schemas.wps.cn/vas-ai-hub/contract-review">功能完善</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功能</item>
      </candidateList>
      <explain xmlns="http://schemas.wps.cn/vas-ai-hub/contract-review"/>
      <paraID xmlns="http://schemas.wps.cn/vas-ai-hub/contract-review">2809C81C</paraID>
      <start xmlns="http://schemas.wps.cn/vas-ai-hub/contract-review">65</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b808f0a1-8296-4eb1-9d3a-fe504ffb0d19</errorID>
      <errorWord xmlns="http://schemas.wps.cn/vas-ai-hub/contract-review">改造建设</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改造</item>
      </candidateList>
      <explain xmlns="http://schemas.wps.cn/vas-ai-hub/contract-review"/>
      <paraID xmlns="http://schemas.wps.cn/vas-ai-hub/contract-review">2809C81C</paraID>
      <start xmlns="http://schemas.wps.cn/vas-ai-hub/contract-review">104</start>
      <end xmlns="http://schemas.wps.cn/vas-ai-hub/contract-review">108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25f00092-d75c-4228-a812-c7ca05271592</errorID>
      <errorWord xmlns="http://schemas.wps.cn/vas-ai-hub/contract-review">亟需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亟须</item>
      </candidateList>
      <explain xmlns="http://schemas.wps.cn/vas-ai-hub/contract-review"/>
      <paraID xmlns="http://schemas.wps.cn/vas-ai-hub/contract-review">  5572DA</paraID>
      <start xmlns="http://schemas.wps.cn/vas-ai-hub/contract-review">24</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a2c21b69-02d5-4104-8f93-00c3e3720037</errorID>
      <errorWord xmlns="http://schemas.wps.cn/vas-ai-hub/contract-review">国家推进治理体系和治理能力现代化</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推进国家治理体系和治理能力现代化</item>
      </candidateList>
      <explain xmlns="http://schemas.wps.cn/vas-ai-hub/contract-review">词汇“推进国家治理体系和治理能力现代化”在特定场景下为固定表述形式，请确认此处的“国家推进治理体系和治理能力现代化”是否存在不当。</explain>
      <paraID xmlns="http://schemas.wps.cn/vas-ai-hub/contract-review">73474E56</paraID>
      <start xmlns="http://schemas.wps.cn/vas-ai-hub/contract-review">1</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85cb0004-df01-4bab-9f6e-ec7c522e3292</errorID>
      <errorWord xmlns="http://schemas.wps.cn/vas-ai-hub/contract-review">习总书记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习近平总书记</item>
      </candidateList>
      <explain xmlns="http://schemas.wps.cn/vas-ai-hub/contract-review"/>
      <paraID xmlns="http://schemas.wps.cn/vas-ai-hub/contract-review">3B323508</paraID>
      <start xmlns="http://schemas.wps.cn/vas-ai-hub/contract-review">35</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38f42ea6-bf52-4137-aa64-bc67aee645db</errorID>
      <errorWord xmlns="http://schemas.wps.cn/vas-ai-hub/contract-review">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房和</item>
      </candidateList>
      <explain xmlns="http://schemas.wps.cn/vas-ai-hub/contract-review"/>
      <paraID xmlns="http://schemas.wps.cn/vas-ai-hub/contract-review"> 85F03EA</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766bb20f-67cf-4c0e-9800-effd192ef148</errorID>
      <errorWord xmlns="http://schemas.wps.cn/vas-ai-hub/contract-review">聚集</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聚合</item>
      </candidateList>
      <explain xmlns="http://schemas.wps.cn/vas-ai-hub/contract-review"/>
      <paraID xmlns="http://schemas.wps.cn/vas-ai-hub/contract-review">1B08D2A0</paraID>
      <start xmlns="http://schemas.wps.cn/vas-ai-hub/contract-review">29</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77927259-2e18-465e-91f6-6ce3f4081e38</errorID>
      <errorWord xmlns="http://schemas.wps.cn/vas-ai-hub/contract-review">：①</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item>
      </candidateList>
      <explain xmlns="http://schemas.wps.cn/vas-ai-hub/contract-review"/>
      <paraID xmlns="http://schemas.wps.cn/vas-ai-hub/contract-review">76FBF185</paraID>
      <start xmlns="http://schemas.wps.cn/vas-ai-hub/contract-review">17</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b94dec5f-21bc-4c39-a322-824e9f63cdfc</errorID>
      <errorWord xmlns="http://schemas.wps.cn/vas-ai-hub/contract-review">教师工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教师</item>
      </candidateList>
      <explain xmlns="http://schemas.wps.cn/vas-ai-hub/contract-review"/>
      <paraID xmlns="http://schemas.wps.cn/vas-ai-hub/contract-review">76FBF185</paraID>
      <start xmlns="http://schemas.wps.cn/vas-ai-hub/contract-review">37</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10589407-74f5-4a30-82b8-c1294eed68b0</errorID>
      <errorWord xmlns="http://schemas.wps.cn/vas-ai-hub/contract-review">情况</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情况表</item>
      </candidateList>
      <explain xmlns="http://schemas.wps.cn/vas-ai-hub/contract-review"/>
      <paraID xmlns="http://schemas.wps.cn/vas-ai-hub/contract-review"> 1732108</paraID>
      <start xmlns="http://schemas.wps.cn/vas-ai-hub/contract-review">15</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8f62f1ee-3e3d-4fc2-8d29-0c629a88a713</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E5ECC28</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8b45a331-9c18-4edb-ab7e-b3eae1284056</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386A24E0</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eb843b5f-dd9e-4d61-a650-287c1d22ecb7</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此处空格冗余，建议删除。</explain>
      <paraID xmlns="http://schemas.wps.cn/vas-ai-hub/contract-review">386A24E0</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35cea475-115c-4af4-a016-8f9404d0498d</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5A35F1F</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ed6d703a-5dc4-4c26-9349-588fbdc814d2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5A35F1F</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58b770da-4a48-4199-91f1-8f545b16ab1f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5A35F1F</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261ae6cc-c21a-4ef7-a0b7-828f221c0cc2</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5A35F1F</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e2bff96f-5076-4734-82ca-e534f50392d0</errorID>
      <errorWord xmlns="http://schemas.wps.cn/vas-ai-hub/contract-review">多个</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个</item>
      </candidateList>
      <explain xmlns="http://schemas.wps.cn/vas-ai-hub/contract-review"/>
      <paraID xmlns="http://schemas.wps.cn/vas-ai-hub/contract-review"> 5A35F1F</paraID>
      <start xmlns="http://schemas.wps.cn/vas-ai-hub/contract-review">25</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f6def46a-08b8-485d-82da-a665c0649ae5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5A35F1F</paraID>
      <start xmlns="http://schemas.wps.cn/vas-ai-hub/contract-review">97</start>
      <end xmlns="http://schemas.wps.cn/vas-ai-hub/contract-review">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234ddc61-be14-4698-85c4-1e9de93e6016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5A35F1F</paraID>
      <start xmlns="http://schemas.wps.cn/vas-ai-hub/contract-review">100</start>
      <end xmlns="http://schemas.wps.cn/vas-ai-hub/contract-review">101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b71f5500-2bef-40c3-ae22-99a3caaad876</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5A35F1F</paraID>
      <start xmlns="http://schemas.wps.cn/vas-ai-hub/contract-review">104</start>
      <end xmlns="http://schemas.wps.cn/vas-ai-hub/contract-review">105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094196ad-d302-4756-95f1-a85795f0bb5d</errorID>
      <errorWord xmlns="http://schemas.wps.cn/vas-ai-hub/contract-review">多个</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个</item>
      </candidateList>
      <explain xmlns="http://schemas.wps.cn/vas-ai-hub/contract-review"/>
      <paraID xmlns="http://schemas.wps.cn/vas-ai-hub/contract-review"> 5A35F1F</paraID>
      <start xmlns="http://schemas.wps.cn/vas-ai-hub/contract-review">120</start>
      <end xmlns="http://schemas.wps.cn/vas-ai-hub/contract-review">122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24245489-770c-4146-b8f9-c3a1498cbeee</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5A35F1F</paraID>
      <start xmlns="http://schemas.wps.cn/vas-ai-hub/contract-review">124</start>
      <end xmlns="http://schemas.wps.cn/vas-ai-hub/contract-review">125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d4fd0018-2834-4ede-b599-4f781bb769c1</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5A35F1F</paraID>
      <start xmlns="http://schemas.wps.cn/vas-ai-hub/contract-review">174</start>
      <end xmlns="http://schemas.wps.cn/vas-ai-hub/contract-review">175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1f6b2485-60da-443e-8d31-57d383457cb3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5A35F1F</paraID>
      <start xmlns="http://schemas.wps.cn/vas-ai-hub/contract-review">182</start>
      <end xmlns="http://schemas.wps.cn/vas-ai-hub/contract-review">183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21805600-f8e4-4db3-b219-7e62fee27be2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5A35F1F</paraID>
      <start xmlns="http://schemas.wps.cn/vas-ai-hub/contract-review">185</start>
      <end xmlns="http://schemas.wps.cn/vas-ai-hub/contract-review">186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1c9b5b3f-c01b-4b86-ad7b-4af6acc69aed</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此处空格冗余，建议删除。</explain>
      <paraID xmlns="http://schemas.wps.cn/vas-ai-hub/contract-review"> 5A35F1F</paraID>
      <start xmlns="http://schemas.wps.cn/vas-ai-hub/contract-review">189</start>
      <end xmlns="http://schemas.wps.cn/vas-ai-hub/contract-review">191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0ad731c2-dffb-41b3-83bb-322c86db9063</errorID>
      <errorWord xmlns="http://schemas.wps.cn/vas-ai-hub/contract-review">多个</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个</item>
      </candidateList>
      <explain xmlns="http://schemas.wps.cn/vas-ai-hub/contract-review"/>
      <paraID xmlns="http://schemas.wps.cn/vas-ai-hub/contract-review"> 5A35F1F</paraID>
      <start xmlns="http://schemas.wps.cn/vas-ai-hub/contract-review">214</start>
      <end xmlns="http://schemas.wps.cn/vas-ai-hub/contract-review">216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39cadcf4-4c61-4726-afcf-9ff5e754bfe4</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5A35F1F</paraID>
      <start xmlns="http://schemas.wps.cn/vas-ai-hub/contract-review">218</start>
      <end xmlns="http://schemas.wps.cn/vas-ai-hub/contract-review">219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149923a1-c0cf-4cb9-9c2d-66c351102c18</errorID>
      <errorWord xmlns="http://schemas.wps.cn/vas-ai-hub/contract-review">教的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教</item>
      </candidateList>
      <explain xmlns="http://schemas.wps.cn/vas-ai-hub/contract-review"/>
      <paraID xmlns="http://schemas.wps.cn/vas-ai-hub/contract-review"> 5A35F1F</paraID>
      <start xmlns="http://schemas.wps.cn/vas-ai-hub/contract-review">238</start>
      <end xmlns="http://schemas.wps.cn/vas-ai-hub/contract-review">240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a2580f29-38fd-4925-a1ba-16ac30af438d</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5A35F1F</paraID>
      <start xmlns="http://schemas.wps.cn/vas-ai-hub/contract-review">259</start>
      <end xmlns="http://schemas.wps.cn/vas-ai-hub/contract-review">260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47d74f2c-895a-4085-8a51-0a90ee2cb6db</errorID>
      <errorWord xmlns="http://schemas.wps.cn/vas-ai-hub/contract-review">多个</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个</item>
      </candidateList>
      <explain xmlns="http://schemas.wps.cn/vas-ai-hub/contract-review"/>
      <paraID xmlns="http://schemas.wps.cn/vas-ai-hub/contract-review"> 5A35F1F</paraID>
      <start xmlns="http://schemas.wps.cn/vas-ai-hub/contract-review">293</start>
      <end xmlns="http://schemas.wps.cn/vas-ai-hub/contract-review">295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23d0cd3a-702b-4f59-a5df-c6736d319fd6</errorID>
      <errorWord xmlns="http://schemas.wps.cn/vas-ai-hub/contract-review">。</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，以便</item>
      </candidateList>
      <explain xmlns="http://schemas.wps.cn/vas-ai-hub/contract-review"/>
      <paraID xmlns="http://schemas.wps.cn/vas-ai-hub/contract-review"> 13A26ED</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6aec09df-a19b-4faf-baa3-0a968d67c557</errorID>
      <errorWord xmlns="http://schemas.wps.cn/vas-ai-hub/contract-review">、</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和</item>
      </candidateList>
      <explain xmlns="http://schemas.wps.cn/vas-ai-hub/contract-review"/>
      <paraID xmlns="http://schemas.wps.cn/vas-ai-hub/contract-review"> 13A26ED</paraID>
      <start xmlns="http://schemas.wps.cn/vas-ai-hub/contract-review">62</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9d85de17-57c7-4b6b-bbed-56b1b28c88aa</errorID>
      <errorWord xmlns="http://schemas.wps.cn/vas-ai-hub/contract-review">包容</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包括</item>
      </candidateList>
      <explain xmlns="http://schemas.wps.cn/vas-ai-hub/contract-review"/>
      <paraID xmlns="http://schemas.wps.cn/vas-ai-hub/contract-review">  E6502A</paraID>
      <start xmlns="http://schemas.wps.cn/vas-ai-hub/contract-review">6</start>
      <end xmlns="http://schemas.wps.cn/vas-ai-hub/contract-review">8</end>
      <status xmlns="http://schemas.wps.cn/vas-ai-hub/contract-review">modified</status>
      <modifiedWord xmlns="http://schemas.wps.cn/vas-ai-hub/contract-review">包括</modifiedWord>
      <trackRevisions xmlns="http://schemas.wps.cn/vas-ai-hub/contract-review">false</trackRevisions>
    </reviewItem>
    <reviewItem xmlns="http://schemas.wps.cn/vas-ai-hub/contract-review">
      <errorID xmlns="http://schemas.wps.cn/vas-ai-hub/contract-review">469d871d-43b2-4a1e-a60b-1d1dc5ef6e31</errorID>
      <errorWord xmlns="http://schemas.wps.cn/vas-ai-hub/contract-review">、以及</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，以及</item>
      </candidateList>
      <explain xmlns="http://schemas.wps.cn/vas-ai-hub/contract-review">连接词前后不宜使用顿号，建议使用逗号。</explain>
      <paraID xmlns="http://schemas.wps.cn/vas-ai-hub/contract-review"> DB15839</paraID>
      <start xmlns="http://schemas.wps.cn/vas-ai-hub/contract-review">52</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5473f115-c7b1-406c-b3c7-ea826e0ee86c</errorID>
      <errorWord xmlns="http://schemas.wps.cn/vas-ai-hub/contract-review">校验</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校验功能</item>
      </candidateList>
      <explain xmlns="http://schemas.wps.cn/vas-ai-hub/contract-review"/>
      <paraID xmlns="http://schemas.wps.cn/vas-ai-hub/contract-review">4787538D</paraID>
      <start xmlns="http://schemas.wps.cn/vas-ai-hub/contract-review">14</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9cf121b5-c795-4af8-9043-4dbc68fc352a</errorID>
      <errorWord xmlns="http://schemas.wps.cn/vas-ai-hub/contract-review">。</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的功能。</item>
      </candidateList>
      <explain xmlns="http://schemas.wps.cn/vas-ai-hub/contract-review"/>
      <paraID xmlns="http://schemas.wps.cn/vas-ai-hub/contract-review">1A8E3860</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aa4c9d17-0580-4d19-ad57-c0f229035bb8</errorID>
      <errorWord xmlns="http://schemas.wps.cn/vas-ai-hub/contract-review">，</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功能，</item>
      </candidateList>
      <explain xmlns="http://schemas.wps.cn/vas-ai-hub/contract-review"/>
      <paraID xmlns="http://schemas.wps.cn/vas-ai-hub/contract-review">7E1CCA17</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faeb9128-5df8-4d91-b6a7-cb9ffe0d721e</errorID>
      <errorWord xmlns="http://schemas.wps.cn/vas-ai-hub/contract-review">导出</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导出功能。</item>
      </candidateList>
      <explain xmlns="http://schemas.wps.cn/vas-ai-hub/contract-review"/>
      <paraID xmlns="http://schemas.wps.cn/vas-ai-hub/contract-review">58987DC0</paraID>
      <start xmlns="http://schemas.wps.cn/vas-ai-hub/contract-review">57</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307daaaa-a4ce-4d58-b89c-7ce82ac33576</errorID>
      <errorWord xmlns="http://schemas.wps.cn/vas-ai-hub/contract-review">，</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功能，</item>
      </candidateList>
      <explain xmlns="http://schemas.wps.cn/vas-ai-hub/contract-review"/>
      <paraID xmlns="http://schemas.wps.cn/vas-ai-hub/contract-review">20D8C387</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93c638cc-495d-4e30-a6a5-e403ea6f37e0</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20D8C387</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1d9c286f-10d0-4eb5-be14-7d62c17e3872</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20D8C387</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e2fa8868-15a4-40c7-bd34-970e3698448b</errorID>
      <errorWord xmlns="http://schemas.wps.cn/vas-ai-hub/contract-review">等</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等。</item>
      </candidateList>
      <explain xmlns="http://schemas.wps.cn/vas-ai-hub/contract-review"/>
      <paraID xmlns="http://schemas.wps.cn/vas-ai-hub/contract-review">20D8C387</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5f0a2f57-f6df-4efc-b4f6-4338a57a5e27</errorID>
      <errorWord xmlns="http://schemas.wps.cn/vas-ai-hub/contract-review">。</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的功能。</item>
      </candidateList>
      <explain xmlns="http://schemas.wps.cn/vas-ai-hub/contract-review"/>
      <paraID xmlns="http://schemas.wps.cn/vas-ai-hub/contract-review">1FD44C1D</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19568c6e-25d4-48a9-ba1a-a21ed7ef4547</errorID>
      <errorWord xmlns="http://schemas.wps.cn/vas-ai-hub/contract-review">生成</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增加生成</item>
      </candidateList>
      <explain xmlns="http://schemas.wps.cn/vas-ai-hub/contract-review"/>
      <paraID xmlns="http://schemas.wps.cn/vas-ai-hub/contract-review">4C22CA66</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34021bd4-5636-4f4d-8972-d8cd4f100704</errorID>
      <errorWord xmlns="http://schemas.wps.cn/vas-ai-hub/contract-review">。</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的功能。</item>
      </candidateList>
      <explain xmlns="http://schemas.wps.cn/vas-ai-hub/contract-review"/>
      <paraID xmlns="http://schemas.wps.cn/vas-ai-hub/contract-review">4C22CA66</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fb0a3577-6e65-4dd3-aa15-ad7662b88025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2A735B84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ff5c0b43-a350-412b-9ce4-3365b1a3b8f7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4F6D743F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c17943f1-4215-4471-a4c7-c545bf2794b9</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19CE5A02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db4bf0c5-6c3c-4bc1-bbc0-768189183ab5</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6E2E5081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fa2f8c60-5069-49d0-bb50-005a7e4aff66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55EB36DE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1f0e9b56-5d64-4a0a-a0b8-1c89b8a3c78f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497D71FB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eef4cc25-a62f-44b0-96b8-c12b46a75211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6DB6B8F8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ea3a14b2-9997-435f-8da7-e8d2cd3f63ab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7CFD73ED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46b38322-409f-4ff4-8f24-d7c8322d48de</errorID>
      <errorWord xmlns="http://schemas.wps.cn/vas-ai-hub/contract-review">判定的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判定</item>
      </candidateList>
      <explain xmlns="http://schemas.wps.cn/vas-ai-hub/contract-review"/>
      <paraID xmlns="http://schemas.wps.cn/vas-ai-hub/contract-review">751C7363</paraID>
      <start xmlns="http://schemas.wps.cn/vas-ai-hub/contract-review">11</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40914d63-411b-4eaf-afbb-082b2b2f9170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1CFFEE73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88aaba03-8b09-497b-a14d-2bb38997a19f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6ABBB514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47f7376c-ed6c-4a05-ad39-cca748b67135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385887F9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8b5297fc-e9ed-49dc-bfb3-354b6ec2e149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43F06011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d5b25e4e-e0bf-42c0-97a5-a807666d8f71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5953A5D0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fedbf080-3cff-49ea-a2f8-7b89792bc5ed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47EF5D24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d36c2935-a939-4a31-ab43-cdd4b2664a30</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53427500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07621928-b947-472b-857e-92844fe6de0b</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7E8C9BC9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2f0843c3-0af5-4296-b104-46e3307b6d56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FEF2727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15362876-0383-441b-9dd0-d568bd2d1b6a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4BF5C5B4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4355c23d-1243-41ac-a779-24e83094a558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127A3D03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353666a8-0d62-46f2-b39e-4ae01ece9a2b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FFF104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84c18351-59b5-4538-b833-1dd5a9f3f435</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37B6C313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e2bc37bd-8fee-4c6b-89b8-0edfd1fb7847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683D83A9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9fd0fd31-a714-4c1a-b355-d3e91359c028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5956C6A1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28e33aad-d365-4f10-87f1-e9a39cb89a82</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56C77805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e1f17630-1b86-46f8-9738-47842063b824</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  3085AE</paraID>
      <start xmlns="http://schemas.wps.cn/vas-ai-hub/contract-review">81</start>
      <end xmlns="http://schemas.wps.cn/vas-ai-hub/contract-review">83</end>
      <status xmlns="http://schemas.wps.cn/vas-ai-hub/contract-review">modified</status>
      <modifiedWord xmlns="http://schemas.wps.cn/vas-ai-hub/contract-review">其他</modifiedWord>
      <trackRevisions xmlns="http://schemas.wps.cn/vas-ai-hub/contract-review">false</trackRevisions>
    </reviewItem>
    <reviewItem xmlns="http://schemas.wps.cn/vas-ai-hub/contract-review">
      <errorID xmlns="http://schemas.wps.cn/vas-ai-hub/contract-review">96fdc691-695e-4468-b729-8e9b4147fe65</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3EA89DEB</paraID>
      <start xmlns="http://schemas.wps.cn/vas-ai-hub/contract-review">80</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30064507-2702-4e16-ac69-a7f4955ef87e</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 5B1F863</paraID>
      <start xmlns="http://schemas.wps.cn/vas-ai-hub/contract-review">57</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5a13e4f4-3414-42bb-ac1b-5cae244ca069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29861E0E</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4876a17e-b2ac-478a-af99-efe68277a883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29861E0E</paraID>
      <start xmlns="http://schemas.wps.cn/vas-ai-hub/contract-review">24</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3734090a-d841-473f-84e2-c265cde7f2a2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3E1CA86B</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4407097f-4d4d-4cb7-98e9-36d4ad44484c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66E90232</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abe210c6-b189-466e-9146-f855e0abccc5</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5991B4BC</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8f3ba0dc-515d-41b9-a972-2357e89041cb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5B38FAB3</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8e9b26e3-d8a6-408d-8189-c689a18cd987</errorID>
      <errorWord xmlns="http://schemas.wps.cn/vas-ai-hub/contract-review">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有可</item>
      </candidateList>
      <explain xmlns="http://schemas.wps.cn/vas-ai-hub/contract-review"/>
      <paraID xmlns="http://schemas.wps.cn/vas-ai-hub/contract-review">3AD7317E</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5d43dd57-6671-42ac-9d02-cf7fd9eabf51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3AD7317E</paraID>
      <start xmlns="http://schemas.wps.cn/vas-ai-hub/contract-review">77</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ef275a5b-067d-4693-8694-0e49bc473d94</errorID>
      <errorWord xmlns="http://schemas.wps.cn/vas-ai-hub/contract-review">做说明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作说明</item>
      </candidateList>
      <explain xmlns="http://schemas.wps.cn/vas-ai-hub/contract-review"/>
      <paraID xmlns="http://schemas.wps.cn/vas-ai-hub/contract-review">3AD7317E</paraID>
      <start xmlns="http://schemas.wps.cn/vas-ai-hub/contract-review">135</start>
      <end xmlns="http://schemas.wps.cn/vas-ai-hub/contract-review">138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c3b80d83-01f8-4a1d-8f3f-3ff4d78a90d1</errorID>
      <errorWord xmlns="http://schemas.wps.cn/vas-ai-hub/contract-review">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一个</item>
      </candidateList>
      <explain xmlns="http://schemas.wps.cn/vas-ai-hub/contract-review"/>
      <paraID xmlns="http://schemas.wps.cn/vas-ai-hub/contract-review">5164B13D</paraID>
      <start xmlns="http://schemas.wps.cn/vas-ai-hub/contract-review">140</start>
      <end xmlns="http://schemas.wps.cn/vas-ai-hub/contract-review">141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4fd93b25-f103-4dac-84a7-842bfa5f3f68</errorID>
      <errorWord xmlns="http://schemas.wps.cn/vas-ai-hub/contract-review">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一个</item>
      </candidateList>
      <explain xmlns="http://schemas.wps.cn/vas-ai-hub/contract-review"/>
      <paraID xmlns="http://schemas.wps.cn/vas-ai-hub/contract-review">322369CC</paraID>
      <start xmlns="http://schemas.wps.cn/vas-ai-hub/contract-review">103</start>
      <end xmlns="http://schemas.wps.cn/vas-ai-hub/contract-review">104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fcced3e7-7d37-4f17-bb9a-bf332ec70955</errorID>
      <errorWord xmlns="http://schemas.wps.cn/vas-ai-hub/contract-review">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超过</item>
      </candidateList>
      <explain xmlns="http://schemas.wps.cn/vas-ai-hub/contract-review"/>
      <paraID xmlns="http://schemas.wps.cn/vas-ai-hub/contract-review">3C5240EE</paraID>
      <start xmlns="http://schemas.wps.cn/vas-ai-hub/contract-review">68</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0e45790c-d44c-4a75-9101-d4780567cc78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3C5240EE</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0853a73b-5c70-46c9-9950-c81f0a30a216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3C5240EE</paraID>
      <start xmlns="http://schemas.wps.cn/vas-ai-hub/contract-review">84</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3a2d9230-05c4-41b1-a0e9-75f05abd7cf0}">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797</Words>
  <Characters>820</Characters>
  <Lines>96</Lines>
  <Paragraphs>27</Paragraphs>
  <TotalTime>962</TotalTime>
  <ScaleCrop>false</ScaleCrop>
  <LinksUpToDate>false</LinksUpToDate>
  <CharactersWithSpaces>820</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2026-02-28T18:22:00Z</dcterms:created>
  <dc:creator>44342</dc:creator>
  <cp:lastModifiedBy>lxy</cp:lastModifiedBy>
  <dcterms:modified xsi:type="dcterms:W3CDTF">2026-04-03T09:50:10Z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2052-12.8.2.17008</vt:lpwstr>
  </property>
  <property fmtid="{D5CDD505-2E9C-101B-9397-08002B2CF9AE}" pid="3" name="KSOTemplateDocerSaveRecord">
    <vt:lpwstr>eyJoZGlkIjoiMDcwMDFmNTQ1MzFkYWNiNWI3M2RhMDUxYmNjY2Q2YmMiLCJ1c2VySWQiOiIyMjA4ODcwNjYifQ==</vt:lpwstr>
  </property>
  <property fmtid="{D5CDD505-2E9C-101B-9397-08002B2CF9AE}" pid="4" name="ICV">
    <vt:lpwstr>EAD00CA7D99164904CBBCD694E9BEEE5_43</vt:lpwstr>
  </property>
</Properties>
</file>