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r>
        <w:rPr>
          <w:rFonts w:hint="eastAsia" w:ascii="黑体" w:hAnsi="黑体" w:eastAsia="黑体"/>
          <w:sz w:val="52"/>
          <w:szCs w:val="52"/>
        </w:rPr>
        <w:t>上海市建设市场管理信息平台建设项目</w:t>
      </w:r>
      <w:r>
        <w:rPr>
          <w:rFonts w:hint="eastAsia" w:ascii="黑体" w:hAnsi="黑体" w:eastAsia="黑体"/>
          <w:sz w:val="52"/>
          <w:szCs w:val="52"/>
          <w:lang w:eastAsia="zh-CN"/>
        </w:rPr>
        <w:t>（</w:t>
      </w:r>
      <w:r>
        <w:rPr>
          <w:rFonts w:hint="eastAsia" w:ascii="黑体" w:hAnsi="黑体" w:eastAsia="黑体"/>
          <w:sz w:val="52"/>
          <w:szCs w:val="52"/>
        </w:rPr>
        <w:t>2026年升级改造</w:t>
      </w:r>
      <w:r>
        <w:rPr>
          <w:rFonts w:hint="eastAsia" w:ascii="黑体" w:hAnsi="黑体" w:eastAsia="黑体"/>
          <w:sz w:val="52"/>
          <w:szCs w:val="52"/>
          <w:lang w:eastAsia="zh-CN"/>
        </w:rPr>
        <w:t>）</w:t>
      </w:r>
    </w:p>
    <w:p>
      <w:pPr>
        <w:ind w:firstLine="0" w:firstLineChars="0"/>
        <w:jc w:val="center"/>
        <w:rPr>
          <w:rFonts w:ascii="黑体" w:hAnsi="黑体" w:eastAsia="黑体"/>
          <w:sz w:val="72"/>
          <w:szCs w:val="72"/>
        </w:rPr>
      </w:pPr>
      <w:r>
        <w:rPr>
          <w:rFonts w:hint="eastAsia" w:ascii="黑体" w:hAnsi="黑体" w:eastAsia="黑体"/>
          <w:sz w:val="52"/>
          <w:szCs w:val="52"/>
        </w:rPr>
        <w:t>采购需求</w:t>
      </w: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p>
    <w:p>
      <w:pPr>
        <w:ind w:firstLine="1040"/>
        <w:rPr>
          <w:rFonts w:ascii="黑体" w:hAnsi="黑体" w:eastAsia="黑体"/>
          <w:sz w:val="52"/>
          <w:szCs w:val="52"/>
        </w:rPr>
      </w:pPr>
    </w:p>
    <w:p/>
    <w:p/>
    <w:p/>
    <w:p/>
    <w:p/>
    <w:p>
      <w:pPr>
        <w:ind w:firstLine="1040"/>
        <w:rPr>
          <w:rFonts w:ascii="黑体" w:hAnsi="黑体" w:eastAsia="黑体"/>
          <w:sz w:val="52"/>
          <w:szCs w:val="52"/>
        </w:rPr>
      </w:pPr>
    </w:p>
    <w:p>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pPr>
      <w:bookmarkStart w:id="0" w:name="_Toc63785461"/>
      <w:r>
        <w:rPr>
          <w:rFonts w:hint="eastAsia"/>
        </w:rPr>
        <w:t>项目概况</w:t>
      </w:r>
      <w:bookmarkEnd w:id="0"/>
    </w:p>
    <w:p>
      <w:pPr>
        <w:spacing w:line="560" w:lineRule="exact"/>
      </w:pPr>
      <w:r>
        <w:rPr>
          <w:rFonts w:hint="eastAsia"/>
        </w:rPr>
        <w:t>项目背景&amp;现状：上海市建设市场管理信息平台（以下简称“建管平台”）在市委、市政府主要领导的关心和支持下，于2013年12月28日正式启动平台建设，2015年年底系统全部建成投入运行。2023年随着本市“一网通办</w:t>
      </w:r>
      <w:r>
        <w:rPr>
          <w:rFonts w:hint="eastAsia"/>
          <w:lang w:eastAsia="zh-CN"/>
        </w:rPr>
        <w:t>”“</w:t>
      </w:r>
      <w:r>
        <w:rPr>
          <w:rFonts w:hint="eastAsia"/>
        </w:rPr>
        <w:t>一网通管”和公共资源交易平台等工作的深入，在信息系统应用创新背景下，将建管平台进行</w:t>
      </w:r>
      <w:r>
        <w:rPr>
          <w:rFonts w:hint="eastAsia"/>
          <w:lang w:eastAsia="zh-CN"/>
        </w:rPr>
        <w:t>XC</w:t>
      </w:r>
      <w:r>
        <w:rPr>
          <w:rFonts w:hint="eastAsia"/>
        </w:rPr>
        <w:t>适配改造，以安全自主可控为原则，依据《国务院办公厅关于开展工程建设项目审批制度改革试点的通知》（国办发</w:t>
      </w:r>
      <w:r>
        <w:rPr>
          <w:rFonts w:hint="eastAsia"/>
          <w:lang w:eastAsia="zh-CN"/>
        </w:rPr>
        <w:t>〔2018〕33号</w:t>
      </w:r>
      <w:r>
        <w:rPr>
          <w:rFonts w:hint="eastAsia"/>
        </w:rPr>
        <w:t>）、《住房和城乡建设部工程质量安全监管司2021年工作要点》</w:t>
      </w:r>
      <w:r>
        <w:rPr>
          <w:rFonts w:hint="eastAsia"/>
          <w:lang w:eastAsia="zh-CN"/>
        </w:rPr>
        <w:t>（</w:t>
      </w:r>
      <w:r>
        <w:rPr>
          <w:rFonts w:hint="eastAsia"/>
        </w:rPr>
        <w:t>建司局函质</w:t>
      </w:r>
      <w:r>
        <w:rPr>
          <w:rFonts w:hint="eastAsia"/>
          <w:lang w:eastAsia="zh-CN"/>
        </w:rPr>
        <w:t>〔2021〕30号）</w:t>
      </w:r>
      <w:r>
        <w:rPr>
          <w:rFonts w:hint="eastAsia"/>
        </w:rPr>
        <w:t>、《上海市住房和城乡建设管理行业数字化转型实施方案》（沪建科信</w:t>
      </w:r>
      <w:r>
        <w:rPr>
          <w:rFonts w:hint="eastAsia"/>
          <w:lang w:eastAsia="zh-CN"/>
        </w:rPr>
        <w:t>〔2021〕764号</w:t>
      </w:r>
      <w:r>
        <w:rPr>
          <w:rFonts w:hint="eastAsia"/>
        </w:rPr>
        <w:t>）等相关文件要求，对系统进行适配改造，并</w:t>
      </w:r>
      <w:r>
        <w:rPr>
          <w:rFonts w:hint="eastAsia"/>
          <w:lang w:eastAsia="zh-CN"/>
        </w:rPr>
        <w:t>对</w:t>
      </w:r>
      <w:r>
        <w:rPr>
          <w:rFonts w:hint="eastAsia"/>
        </w:rPr>
        <w:t>系统进行必要的扩充和深化建设。</w:t>
      </w:r>
    </w:p>
    <w:p>
      <w:pPr>
        <w:spacing w:line="560" w:lineRule="exact"/>
      </w:pPr>
      <w:r>
        <w:rPr>
          <w:rFonts w:hint="eastAsia"/>
        </w:rPr>
        <w:t>本项目在前期项目建设和应用的基础上，根据《关于进一步深化本市建设工程招投标制度改革工作的实施意见》（沪建建管〔2024〕49号）、《上海市建设工程招标投标管理办法</w:t>
      </w:r>
      <w:r>
        <w:rPr>
          <w:rFonts w:hint="eastAsia"/>
          <w:lang w:eastAsia="zh-CN"/>
        </w:rPr>
        <w:t>实施细则</w:t>
      </w:r>
      <w:r>
        <w:rPr>
          <w:rFonts w:hint="eastAsia"/>
        </w:rPr>
        <w:t>》（沪建规范〔2024〕3号</w:t>
      </w:r>
      <w:r>
        <w:rPr>
          <w:rFonts w:hint="eastAsia"/>
          <w:lang w:eastAsia="zh-CN"/>
        </w:rPr>
        <w:t>）</w:t>
      </w:r>
      <w:r>
        <w:rPr>
          <w:rFonts w:hint="eastAsia"/>
        </w:rPr>
        <w:t>、《工程总承包招标评标办法》（沪建规范〔2024〕6号</w:t>
      </w:r>
      <w:r>
        <w:rPr>
          <w:rFonts w:hint="eastAsia"/>
          <w:lang w:eastAsia="zh-CN"/>
        </w:rPr>
        <w:t>）</w:t>
      </w:r>
      <w:r>
        <w:rPr>
          <w:rFonts w:hint="eastAsia"/>
        </w:rPr>
        <w:t>、《建设工程勘察质量管理办法》（建设部令第53号）、《上海市住宅工程质量分户验收管理办法》（沪建规范</w:t>
      </w:r>
      <w:r>
        <w:rPr>
          <w:rFonts w:hint="eastAsia"/>
          <w:lang w:eastAsia="zh-CN"/>
        </w:rPr>
        <w:t>〔2024〕</w:t>
      </w:r>
      <w:r>
        <w:rPr>
          <w:rFonts w:hint="eastAsia"/>
        </w:rPr>
        <w:t>7号）、《上海市住宅工程业主房屋质量预看房管理办法》（沪建规范联</w:t>
      </w:r>
      <w:r>
        <w:rPr>
          <w:rFonts w:hint="eastAsia"/>
          <w:lang w:eastAsia="zh-CN"/>
        </w:rPr>
        <w:t>〔2024〕</w:t>
      </w:r>
      <w:r>
        <w:rPr>
          <w:rFonts w:hint="eastAsia"/>
        </w:rPr>
        <w:t>9号）、《关于进一步加强建设工程企业资质审批管理工作的通知》（建市规〔2023〕3号）、住建部</w:t>
      </w:r>
      <w:r>
        <w:rPr>
          <w:rFonts w:hint="eastAsia"/>
          <w:lang w:eastAsia="zh-CN"/>
        </w:rPr>
        <w:t>《建设工程消防设计审查验收技术服务管理办法（征求意见稿）》《</w:t>
      </w:r>
      <w:r>
        <w:rPr>
          <w:rFonts w:hint="eastAsia"/>
        </w:rPr>
        <w:t>住建城乡建设系统安全生产治本攻坚三年行动方案（2024-2026）</w:t>
      </w:r>
      <w:r>
        <w:rPr>
          <w:rFonts w:hint="eastAsia"/>
          <w:lang w:eastAsia="zh-CN"/>
        </w:rPr>
        <w:t>》《</w:t>
      </w:r>
      <w:r>
        <w:rPr>
          <w:rFonts w:hint="eastAsia"/>
        </w:rPr>
        <w:t>住房城乡建设部办公厅关于开展建筑起重机械使用登记证书电子证照试运行工作的通知》等新的文件要求，基于实际业务开展的需要，对建设市场管理信息平台进行升级改造，以满足新的文件要求，符合新的业务流程，满足上海市建设市场管理日益多元的业务需求，提升行业管理和服务数字化水平。</w:t>
      </w:r>
    </w:p>
    <w:p>
      <w:pPr>
        <w:spacing w:line="560" w:lineRule="exact"/>
        <w:rPr>
          <w:highlight w:val="none"/>
        </w:rPr>
      </w:pPr>
      <w:r>
        <w:rPr>
          <w:rFonts w:hint="eastAsia"/>
          <w:highlight w:val="none"/>
        </w:rPr>
        <w:t>建设期限：自合同签订之日起至2026年1</w:t>
      </w:r>
      <w:r>
        <w:rPr>
          <w:rFonts w:hint="eastAsia"/>
          <w:highlight w:val="none"/>
          <w:lang w:val="en-US" w:eastAsia="zh-CN"/>
        </w:rPr>
        <w:t>1</w:t>
      </w:r>
      <w:r>
        <w:rPr>
          <w:rFonts w:hint="eastAsia"/>
          <w:highlight w:val="none"/>
        </w:rPr>
        <w:t>月</w:t>
      </w:r>
      <w:r>
        <w:rPr>
          <w:rFonts w:hint="eastAsia"/>
          <w:highlight w:val="none"/>
          <w:lang w:val="en-US" w:eastAsia="zh-CN"/>
        </w:rPr>
        <w:t>3</w:t>
      </w:r>
      <w:r>
        <w:rPr>
          <w:rFonts w:hint="eastAsia"/>
          <w:highlight w:val="none"/>
        </w:rPr>
        <w:t>0日</w:t>
      </w:r>
    </w:p>
    <w:p>
      <w:pPr>
        <w:spacing w:line="560" w:lineRule="exact"/>
        <w:rPr>
          <w:highlight w:val="none"/>
        </w:rPr>
      </w:pPr>
      <w:r>
        <w:rPr>
          <w:rFonts w:hint="eastAsia"/>
          <w:highlight w:val="none"/>
        </w:rPr>
        <w:t>建设地点：上海市徐汇区小木桥路683号</w:t>
      </w:r>
    </w:p>
    <w:p>
      <w:pPr>
        <w:spacing w:line="560" w:lineRule="exact"/>
      </w:pPr>
      <w:r>
        <w:rPr>
          <w:rFonts w:hint="eastAsia"/>
        </w:rPr>
        <w:t>预算金额：3,850,000元</w:t>
      </w:r>
    </w:p>
    <w:p>
      <w:pPr>
        <w:spacing w:line="560" w:lineRule="exact"/>
      </w:pPr>
      <w:r>
        <w:rPr>
          <w:rFonts w:hint="eastAsia"/>
        </w:rPr>
        <w:t>当年度预算金额：3,850,000元</w:t>
      </w:r>
    </w:p>
    <w:p>
      <w:pPr>
        <w:spacing w:line="560" w:lineRule="exact"/>
      </w:pPr>
      <w:r>
        <w:rPr>
          <w:rFonts w:hint="eastAsia"/>
        </w:rPr>
        <w:t>采购金额（最高限价）：3,850,000元</w:t>
      </w:r>
    </w:p>
    <w:p>
      <w:r>
        <w:rPr>
          <w:rFonts w:hint="eastAsia"/>
        </w:rPr>
        <w:t>组织形式：集中采购</w:t>
      </w:r>
    </w:p>
    <w:p>
      <w:r>
        <w:rPr>
          <w:rFonts w:hint="eastAsia"/>
        </w:rPr>
        <w:t>采购形式：竞争性磋商</w:t>
      </w:r>
    </w:p>
    <w:p>
      <w:r>
        <w:rPr>
          <w:rFonts w:hint="eastAsia"/>
        </w:rPr>
        <w:t>是否接受联合体投标：否</w:t>
      </w:r>
    </w:p>
    <w:p>
      <w:r>
        <w:t>是否按</w:t>
      </w:r>
      <w:r>
        <w:rPr>
          <w:rFonts w:hint="eastAsia"/>
          <w:lang w:eastAsia="zh-CN"/>
        </w:rPr>
        <w:t>XC</w:t>
      </w:r>
      <w:r>
        <w:t>要求建设：是</w:t>
      </w:r>
    </w:p>
    <w:p>
      <w:pPr>
        <w:tabs>
          <w:tab w:val="left" w:pos="3120"/>
        </w:tabs>
      </w:pPr>
      <w:r>
        <w:rPr>
          <w:rFonts w:hint="eastAsia"/>
        </w:rPr>
        <w:t>是否采用低代码建设：否</w:t>
      </w:r>
    </w:p>
    <w:p>
      <w:r>
        <w:rPr>
          <w:rFonts w:hint="eastAsia"/>
        </w:rPr>
        <w:t>运维后所属大系统：建设市场管理信息平台</w:t>
      </w:r>
    </w:p>
    <w:p>
      <w:pPr>
        <w:pStyle w:val="2"/>
      </w:pPr>
      <w:bookmarkStart w:id="1" w:name="_Toc47532891"/>
      <w:bookmarkEnd w:id="1"/>
      <w:bookmarkStart w:id="2" w:name="_Toc47536644"/>
      <w:bookmarkEnd w:id="2"/>
      <w:bookmarkStart w:id="3" w:name="_Toc47536272"/>
      <w:bookmarkEnd w:id="3"/>
      <w:bookmarkStart w:id="4" w:name="_Toc47539070"/>
      <w:bookmarkEnd w:id="4"/>
      <w:bookmarkStart w:id="5" w:name="_Toc47531634"/>
      <w:bookmarkEnd w:id="5"/>
      <w:bookmarkStart w:id="6" w:name="_Toc47533256"/>
      <w:bookmarkEnd w:id="6"/>
      <w:bookmarkStart w:id="7" w:name="_Toc47532255"/>
      <w:bookmarkEnd w:id="7"/>
      <w:bookmarkStart w:id="8" w:name="_Toc47537134"/>
      <w:bookmarkEnd w:id="8"/>
      <w:bookmarkStart w:id="9" w:name="_Toc48223882"/>
      <w:bookmarkStart w:id="10" w:name="_Toc63785463"/>
      <w:r>
        <w:rPr>
          <w:rFonts w:hint="eastAsia"/>
        </w:rPr>
        <w:t>建设目标</w:t>
      </w:r>
      <w:bookmarkEnd w:id="9"/>
      <w:bookmarkEnd w:id="10"/>
    </w:p>
    <w:p>
      <w:pPr>
        <w:pStyle w:val="3"/>
      </w:pPr>
      <w:r>
        <w:rPr>
          <w:rFonts w:hint="eastAsia"/>
        </w:rPr>
        <w:t>项目建设目标</w:t>
      </w:r>
    </w:p>
    <w:p>
      <w:r>
        <w:rPr>
          <w:rFonts w:hint="eastAsia"/>
        </w:rPr>
        <w:t>依据《中华人民共和国建设部令》第166号、《建设工程勘察质量管理办法》（建设部令第53号）、《关于进一步深化本市建设工程招投标制度改革工作的实施意见》（沪建建管〔2024〕49号）、《上海市建设工程监理管理办法》 上海市人民政府令第72号）、《关于进一步加强建设工程企业资质审批管理工作的通知》（建市规〔2023〕3号）等相关文件要求，在前期项目建设的基础上，基于“1+9+X”即一个基础平台、9大业务应用系统、互联X个外部相关行业数据库的整体架构，对电子招投标交易、作业人员实名制、建设工程勘察质量管理、工地视频智能监管功能模块进行升级改造，并新增电子合同管理、工程监督标准库、监理报告、一般类建筑装饰装修工程质量安全监督抽查、建筑机械管理、远程分散电子招投标、预拌混凝土质量现场监管、住宅工程质量评价信息平台、企业资质批后监管、项目业绩库、安全生产许可证动态核查、消防审验技术服务机构管理、安管人员电子化申报、“驾驶舱”专题建设功能模块，以满足上海市建设市场管理日益多元的业务需求，提升行业管理和服务数字化水平，全面支撑本市精细化管理，促进数字孪生城市建设与数字化转型发展。</w:t>
      </w:r>
    </w:p>
    <w:p>
      <w:pPr>
        <w:pStyle w:val="3"/>
        <w:rPr>
          <w:color w:val="000000"/>
        </w:rPr>
      </w:pPr>
      <w:r>
        <w:rPr>
          <w:rFonts w:hint="eastAsia"/>
          <w:color w:val="000000"/>
        </w:rPr>
        <w:t>绩效指标</w:t>
      </w:r>
    </w:p>
    <w:tbl>
      <w:tblPr>
        <w:tblStyle w:val="36"/>
        <w:tblW w:w="4998" w:type="pct"/>
        <w:tblInd w:w="0" w:type="dxa"/>
        <w:tblLayout w:type="autofit"/>
        <w:tblCellMar>
          <w:top w:w="0" w:type="dxa"/>
          <w:left w:w="108" w:type="dxa"/>
          <w:bottom w:w="0" w:type="dxa"/>
          <w:right w:w="108" w:type="dxa"/>
        </w:tblCellMar>
      </w:tblPr>
      <w:tblGrid>
        <w:gridCol w:w="788"/>
        <w:gridCol w:w="1187"/>
        <w:gridCol w:w="1331"/>
        <w:gridCol w:w="1443"/>
        <w:gridCol w:w="2148"/>
        <w:gridCol w:w="1628"/>
      </w:tblGrid>
      <w:tr>
        <w:tblPrEx>
          <w:tblCellMar>
            <w:top w:w="0" w:type="dxa"/>
            <w:left w:w="108" w:type="dxa"/>
            <w:bottom w:w="0" w:type="dxa"/>
            <w:right w:w="108" w:type="dxa"/>
          </w:tblCellMar>
        </w:tblPrEx>
        <w:trPr>
          <w:trHeight w:val="390"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bidi="ar"/>
              </w:rPr>
              <w:t>序号</w:t>
            </w: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bidi="ar"/>
              </w:rPr>
              <w:t>一级指标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bidi="ar"/>
              </w:rPr>
              <w:t>二级指标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bidi="ar"/>
              </w:rPr>
              <w:t>三级指标</w:t>
            </w:r>
          </w:p>
        </w:tc>
        <w:tc>
          <w:tcPr>
            <w:tcW w:w="1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bidi="ar"/>
              </w:rPr>
              <w:t>四级指标</w:t>
            </w:r>
          </w:p>
        </w:tc>
        <w:tc>
          <w:tcPr>
            <w:tcW w:w="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jc w:val="center"/>
              <w:textAlignment w:val="center"/>
              <w:rPr>
                <w:rFonts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bidi="ar"/>
              </w:rPr>
              <w:t>目标值</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通用指标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共性平台</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系统共享水平</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跨部门数据共享程度</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≥80%</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通用指标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产出质量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软件测试达标</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通过</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3</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通用指标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产出质量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安全事件发生次数</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≤1次</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4</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通用指标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产出质量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密码测试达标</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通过</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5</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通用指标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产出质量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安全测试达标</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通过</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6</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通用指标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产出质量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网络安全等级保护</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二级</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7</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通用指标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产出质量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一次性验收合格率</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=100%</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8</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通用指标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产出质量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系统可靠性</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≥95%</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9</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通用指标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产出时效</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项目建设周期</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≤12月</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10</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业务指标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产出数量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信息系统安全监管覆盖率</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≥90%</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11</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业务指标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产出质量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核心数据缺失率</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≤5%</w:t>
            </w:r>
          </w:p>
        </w:tc>
      </w:tr>
      <w:tr>
        <w:tblPrEx>
          <w:tblCellMar>
            <w:top w:w="0" w:type="dxa"/>
            <w:left w:w="108" w:type="dxa"/>
            <w:bottom w:w="0" w:type="dxa"/>
            <w:right w:w="108" w:type="dxa"/>
          </w:tblCellMar>
        </w:tblPrEx>
        <w:trPr>
          <w:trHeight w:val="276" w:hRule="atLeast"/>
        </w:trPr>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12</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业务指标</w:t>
            </w:r>
          </w:p>
        </w:tc>
        <w:tc>
          <w:tcPr>
            <w:tcW w:w="78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产出指标</w:t>
            </w:r>
          </w:p>
        </w:tc>
        <w:tc>
          <w:tcPr>
            <w:tcW w:w="8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产出质量</w:t>
            </w:r>
          </w:p>
        </w:tc>
        <w:tc>
          <w:tcPr>
            <w:tcW w:w="12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管理功能完善</w:t>
            </w:r>
          </w:p>
        </w:tc>
        <w:tc>
          <w:tcPr>
            <w:tcW w:w="95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asciiTheme="minorEastAsia" w:hAnsiTheme="minorEastAsia" w:eastAsiaTheme="minorEastAsia" w:cstheme="minorEastAsia"/>
                <w:color w:val="000000"/>
                <w:sz w:val="22"/>
                <w:szCs w:val="22"/>
              </w:rPr>
            </w:pPr>
            <w:r>
              <w:rPr>
                <w:rFonts w:hint="eastAsia" w:asciiTheme="minorEastAsia" w:hAnsiTheme="minorEastAsia" w:eastAsiaTheme="minorEastAsia" w:cstheme="minorEastAsia"/>
                <w:color w:val="000000"/>
                <w:kern w:val="0"/>
                <w:sz w:val="22"/>
                <w:szCs w:val="22"/>
                <w:lang w:bidi="ar"/>
              </w:rPr>
              <w:t>具备共享任务监控管理功能</w:t>
            </w:r>
          </w:p>
        </w:tc>
      </w:tr>
    </w:tbl>
    <w:p>
      <w:pPr>
        <w:pStyle w:val="2"/>
      </w:pPr>
      <w:bookmarkStart w:id="11" w:name="_Toc47532923"/>
      <w:bookmarkEnd w:id="11"/>
      <w:bookmarkStart w:id="12" w:name="_Toc47536304"/>
      <w:bookmarkEnd w:id="12"/>
      <w:bookmarkStart w:id="13" w:name="_Toc47536676"/>
      <w:bookmarkEnd w:id="13"/>
      <w:bookmarkStart w:id="14" w:name="_Toc47537166"/>
      <w:bookmarkEnd w:id="14"/>
      <w:bookmarkStart w:id="15" w:name="_Toc47533288"/>
      <w:bookmarkEnd w:id="15"/>
      <w:bookmarkStart w:id="16" w:name="_Toc47539102"/>
      <w:bookmarkEnd w:id="16"/>
      <w:r>
        <w:rPr>
          <w:rFonts w:hint="eastAsia"/>
        </w:rPr>
        <w:t>项目建设内容</w:t>
      </w:r>
    </w:p>
    <w:p>
      <w:pPr>
        <w:pStyle w:val="3"/>
      </w:pPr>
      <w:bookmarkStart w:id="17" w:name="_Toc21664"/>
      <w:r>
        <w:rPr>
          <w:rFonts w:hint="eastAsia"/>
        </w:rPr>
        <w:t>项目总体设计</w:t>
      </w:r>
      <w:bookmarkEnd w:id="17"/>
    </w:p>
    <w:p>
      <w:pPr>
        <w:pStyle w:val="4"/>
        <w:ind w:left="420" w:hanging="420"/>
      </w:pPr>
      <w:bookmarkStart w:id="18" w:name="_Toc25367"/>
      <w:r>
        <w:rPr>
          <w:rFonts w:hint="eastAsia"/>
        </w:rPr>
        <w:t>技术路线</w:t>
      </w:r>
      <w:bookmarkEnd w:id="18"/>
    </w:p>
    <w:p>
      <w:r>
        <w:rPr>
          <w:rFonts w:hint="eastAsia"/>
        </w:rPr>
        <w:t>应用系统基于B/S模式进行设计与开发。</w:t>
      </w:r>
    </w:p>
    <w:p>
      <w:r>
        <w:rPr>
          <w:rFonts w:hint="eastAsia"/>
        </w:rPr>
        <w:t>应用系统应当采用主流的前后端分离架构。前端的页面应当适配主流浏览器，并兼容PC、手机和平板等不同设备的</w:t>
      </w:r>
      <w:r>
        <w:rPr>
          <w:rFonts w:hint="eastAsia"/>
          <w:lang w:eastAsia="zh-CN"/>
        </w:rPr>
        <w:t>浏览</w:t>
      </w:r>
      <w:r>
        <w:rPr>
          <w:rFonts w:hint="eastAsia"/>
        </w:rPr>
        <w:t>需求。前端、后端的开发应当使用能提高开发效率的前后端框架。后端实现的数据交换接口应当采用主流的XML、JSON格式。</w:t>
      </w:r>
    </w:p>
    <w:p>
      <w:r>
        <w:rPr>
          <w:rFonts w:hint="eastAsia"/>
        </w:rPr>
        <w:t>数据库采用多节点的存储计算分离的分布式架构集群。多节点具备高可用性，支持水平扩展。支持分布式事务。支持混合负载HTAP能力</w:t>
      </w:r>
      <w:r>
        <w:rPr>
          <w:rFonts w:hint="eastAsia"/>
          <w:lang w:eastAsia="zh-CN"/>
        </w:rPr>
        <w:t>，</w:t>
      </w:r>
      <w:r>
        <w:rPr>
          <w:rFonts w:hint="eastAsia"/>
        </w:rPr>
        <w:t>在</w:t>
      </w:r>
      <w:r>
        <w:rPr>
          <w:rFonts w:hint="eastAsia"/>
          <w:lang w:eastAsia="zh-CN"/>
        </w:rPr>
        <w:t>处理高</w:t>
      </w:r>
      <w:r>
        <w:rPr>
          <w:rFonts w:hint="eastAsia"/>
        </w:rPr>
        <w:t>并发、事务性请求</w:t>
      </w:r>
      <w:r>
        <w:rPr>
          <w:rFonts w:hint="eastAsia"/>
          <w:lang w:eastAsia="zh-CN"/>
        </w:rPr>
        <w:t>时</w:t>
      </w:r>
      <w:r>
        <w:rPr>
          <w:rFonts w:hint="eastAsia"/>
        </w:rPr>
        <w:t>，能对分析型的复杂查询提供良好的支持。满足多节点SQL分布执行。</w:t>
      </w:r>
    </w:p>
    <w:p>
      <w:r>
        <w:rPr>
          <w:rFonts w:hint="eastAsia"/>
        </w:rPr>
        <w:t>在招标方提供的电子政务云环境中，依托已有的云资源，完成系统部署。</w:t>
      </w:r>
    </w:p>
    <w:p>
      <w:r>
        <w:rPr>
          <w:rFonts w:hint="eastAsia"/>
        </w:rPr>
        <w:t>对本项目所涉及的操作系统、数据库、中间件等系统软件集成服务，提供原厂服务，保障上海市建设市场管理信息平台的正常运行。</w:t>
      </w:r>
    </w:p>
    <w:p>
      <w:r>
        <w:rPr>
          <w:rFonts w:hint="eastAsia"/>
        </w:rPr>
        <w:t>功能模块开发应使用统一的开发模式或模板，建立</w:t>
      </w:r>
      <w:r>
        <w:rPr>
          <w:rFonts w:hint="eastAsia"/>
          <w:lang w:eastAsia="zh-CN"/>
        </w:rPr>
        <w:t>符合</w:t>
      </w:r>
      <w:r>
        <w:rPr>
          <w:rFonts w:hint="eastAsia"/>
        </w:rPr>
        <w:t>本项目要求</w:t>
      </w:r>
      <w:r>
        <w:rPr>
          <w:rFonts w:hint="eastAsia"/>
          <w:lang w:eastAsia="zh-CN"/>
        </w:rPr>
        <w:t>的</w:t>
      </w:r>
      <w:r>
        <w:rPr>
          <w:rFonts w:hint="eastAsia"/>
        </w:rPr>
        <w:t>工作流引擎、规则引擎等效率组件和工具，充分应用引擎提升代码生成效率和质量。</w:t>
      </w:r>
    </w:p>
    <w:p>
      <w:pPr>
        <w:pStyle w:val="4"/>
        <w:ind w:left="420" w:hanging="420"/>
      </w:pPr>
      <w:r>
        <w:rPr>
          <w:rFonts w:hint="eastAsia"/>
        </w:rPr>
        <w:t>功能实现</w:t>
      </w:r>
    </w:p>
    <w:p>
      <w:r>
        <w:rPr>
          <w:rFonts w:hint="eastAsia"/>
        </w:rPr>
        <w:t>根据市大数据中心要求，做好系统数据库的管理规范化、数据的标准化、完成数据编目和数据上链工作；按照中心的统一管理要求，做好前期系统的运维工作，确保系统安全、稳定运行，确保网络和数据安全，满足业务部门需求。</w:t>
      </w:r>
    </w:p>
    <w:p>
      <w:pPr>
        <w:pStyle w:val="4"/>
        <w:ind w:left="420" w:hanging="420"/>
      </w:pPr>
      <w:bookmarkStart w:id="19" w:name="_Toc4193"/>
      <w:r>
        <w:rPr>
          <w:rFonts w:hint="eastAsia"/>
        </w:rPr>
        <w:t>总体架构</w:t>
      </w:r>
      <w:bookmarkEnd w:id="19"/>
    </w:p>
    <w:p>
      <w:pPr>
        <w:rPr>
          <w:rFonts w:cs="宋体"/>
        </w:rPr>
      </w:pPr>
      <w:r>
        <w:rPr>
          <w:rFonts w:hint="eastAsia"/>
        </w:rPr>
        <w:t>本次项目将</w:t>
      </w:r>
      <w:r>
        <w:rPr>
          <w:rFonts w:hint="eastAsia" w:cs="宋体"/>
        </w:rPr>
        <w:t>基于“1+9+X”即一个基础平台、9大业务应用系统、互联X个外部相关行业数据库的整体架构，</w:t>
      </w:r>
      <w:r>
        <w:rPr>
          <w:rFonts w:hint="eastAsia"/>
        </w:rPr>
        <w:t>建设功能模块按照前期</w:t>
      </w:r>
      <w:r>
        <w:rPr>
          <w:rFonts w:hint="eastAsia" w:cs="宋体"/>
        </w:rPr>
        <w:t>“1+9+X”整体架构进行功能归并，具体内容归类到建设程序审批、电子招投标、工地现场监管、建设主体管理、建设管理统计分析5个子系统中。</w:t>
      </w:r>
    </w:p>
    <w:p>
      <w:pPr>
        <w:ind w:firstLine="420" w:firstLineChars="175"/>
      </w:pPr>
      <w:r>
        <w:rPr>
          <w:rFonts w:hint="eastAsia" w:asciiTheme="minorEastAsia" w:hAnsiTheme="minorEastAsia" w:eastAsiaTheme="minorEastAsia"/>
        </w:rPr>
        <w:t>本项目总体架构如下图：</w:t>
      </w:r>
    </w:p>
    <w:p>
      <w:pPr>
        <w:ind w:firstLine="0" w:firstLineChars="0"/>
      </w:pPr>
      <w:r>
        <w:rPr>
          <w:rFonts w:hint="eastAsia"/>
        </w:rPr>
        <w:object>
          <v:shape id="_x0000_i1025" o:spt="75" type="#_x0000_t75" style="height:380.5pt;width:41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bookmarkStart w:id="20" w:name="_Toc29348"/>
    </w:p>
    <w:p>
      <w:pPr>
        <w:pStyle w:val="4"/>
        <w:ind w:left="420" w:hanging="420"/>
      </w:pPr>
      <w:r>
        <w:rPr>
          <w:rFonts w:hint="eastAsia"/>
        </w:rPr>
        <w:t>部署环境</w:t>
      </w:r>
      <w:bookmarkEnd w:id="20"/>
    </w:p>
    <w:p>
      <w:pPr>
        <w:pStyle w:val="14"/>
        <w:numPr>
          <w:ilvl w:val="0"/>
          <w:numId w:val="0"/>
        </w:numPr>
        <w:spacing w:after="163"/>
        <w:ind w:firstLine="480" w:firstLineChars="200"/>
      </w:pPr>
      <w:r>
        <w:rPr>
          <w:rFonts w:hint="eastAsia"/>
        </w:rPr>
        <w:t>系统部署在上海市电子政务云上，依托上海市电子政务云提供网络、设备，部署环境要求以政务云实际提供为准。</w:t>
      </w:r>
    </w:p>
    <w:p>
      <w:pPr>
        <w:pStyle w:val="3"/>
      </w:pPr>
      <w:r>
        <w:rPr>
          <w:rFonts w:hint="eastAsia"/>
        </w:rPr>
        <w:t>项目建设内容</w:t>
      </w:r>
    </w:p>
    <w:p>
      <w:pPr>
        <w:pStyle w:val="14"/>
        <w:numPr>
          <w:ilvl w:val="0"/>
          <w:numId w:val="0"/>
        </w:numPr>
        <w:spacing w:after="163"/>
        <w:ind w:firstLine="480" w:firstLineChars="200"/>
      </w:pPr>
      <w:r>
        <w:rPr>
          <w:rFonts w:hint="eastAsia"/>
        </w:rPr>
        <w:t>本项目主要为软件开发，具体内容清单如下：</w:t>
      </w:r>
    </w:p>
    <w:tbl>
      <w:tblPr>
        <w:tblStyle w:val="36"/>
        <w:tblpPr w:leftFromText="180" w:rightFromText="180" w:vertAnchor="text" w:horzAnchor="page" w:tblpX="1890" w:tblpY="477"/>
        <w:tblOverlap w:val="never"/>
        <w:tblW w:w="4892" w:type="pct"/>
        <w:tblInd w:w="0" w:type="dxa"/>
        <w:tblLayout w:type="autofit"/>
        <w:tblCellMar>
          <w:top w:w="0" w:type="dxa"/>
          <w:left w:w="108" w:type="dxa"/>
          <w:bottom w:w="0" w:type="dxa"/>
          <w:right w:w="108" w:type="dxa"/>
        </w:tblCellMar>
      </w:tblPr>
      <w:tblGrid>
        <w:gridCol w:w="642"/>
        <w:gridCol w:w="972"/>
        <w:gridCol w:w="2072"/>
        <w:gridCol w:w="4658"/>
      </w:tblGrid>
      <w:tr>
        <w:tblPrEx>
          <w:tblCellMar>
            <w:top w:w="0" w:type="dxa"/>
            <w:left w:w="108" w:type="dxa"/>
            <w:bottom w:w="0" w:type="dxa"/>
            <w:right w:w="108" w:type="dxa"/>
          </w:tblCellMar>
        </w:tblPrEx>
        <w:trPr>
          <w:trHeight w:val="90" w:hRule="atLeast"/>
          <w:tblHead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序号</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应用系统名称</w:t>
            </w: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模块名称</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cs="宋体"/>
                <w:b/>
                <w:color w:val="000000"/>
                <w:kern w:val="0"/>
                <w:sz w:val="22"/>
                <w:szCs w:val="22"/>
              </w:rPr>
            </w:pPr>
            <w:r>
              <w:rPr>
                <w:rFonts w:hint="eastAsia" w:cs="宋体"/>
                <w:b/>
                <w:color w:val="000000"/>
                <w:kern w:val="0"/>
                <w:sz w:val="22"/>
                <w:szCs w:val="22"/>
              </w:rPr>
              <w:t>模块描述</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建设程序审批</w:t>
            </w: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施工许可管理-新增施工许可废止-许可申请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企业登录建管平台，在“施工许可”模块提交废止申请，上传证明材料（如合同终止协议、项目终止批复等），系统自动生成唯一申请编号，并流转至审批部门。</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施工许可管理-新增施工许可废止-部门审批</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市级审批：跨区或重大工程由市级管理部门审查；</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区级审批：非跨区项目由属地建设管理部门审查。</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审批结果通过系统实时反馈企业。</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电子招投标</w:t>
            </w: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电子评标智能化-智能清标-智能清标任务发起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采用房建市政工程施工2025评标办法的项目，招标人在开标后，评标前，通过招投标交易系统发起智能清标任务，系统向智能清标系统提交智能清标任务。</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电子评标智能化-智能清标-投标人在线清标澄清</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采用房建市政工程施工2025评标办法的项目，如果投标人对清标结果存疑，可在24小时内针对清标结果逐项在线澄清，提交澄清说明。</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电子评标智能化-智能清标-智能清标结果</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含交易系统清标结果和电子评标系统智能清标结果。采用房建市政工程施工2025评标办法的项目，招标人可通过招投标交易系统、电子评标系统查看投标人在线澄清详情。</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电子评标智能化-智能清标-评审环节智能辅助评审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采用房建市政工程施工2025评标办法的项目，在电子评标系统初步、详细评审环节增加智能辅助评审功能，根据初步评审不同的条款设定，系统自动提取投标文件对应的内容并展示给评标专家，减少评委浏览查找投标文件信息的时间。</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电子评标智能化-异常低价澄清-评标专家判定潜在异常低价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采用房建市政工程施工2025评标办法经评审的合理低价法和综合评估法的项目，在评标环节，增加潜在异常低价判定的功能</w:t>
            </w:r>
            <w:r>
              <w:rPr>
                <w:rFonts w:hint="eastAsia" w:ascii="Tahoma" w:hAnsi="Tahoma" w:cs="Tahoma"/>
                <w:color w:val="000000"/>
                <w:kern w:val="0"/>
                <w:sz w:val="22"/>
                <w:szCs w:val="22"/>
                <w:lang w:eastAsia="zh-CN"/>
              </w:rPr>
              <w:t>，在</w:t>
            </w:r>
            <w:r>
              <w:rPr>
                <w:rFonts w:hint="eastAsia" w:ascii="Tahoma" w:hAnsi="Tahoma" w:cs="Tahoma"/>
                <w:color w:val="000000"/>
                <w:kern w:val="0"/>
                <w:sz w:val="22"/>
                <w:szCs w:val="22"/>
              </w:rPr>
              <w:t>推荐中标候选人后，评标委员会按照招标文件要求对所有中标候选人按照规定计算方法进行异常低价识别。</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异常报价判断</w:t>
            </w:r>
            <w:r>
              <w:rPr>
                <w:rFonts w:hint="eastAsia" w:ascii="Tahoma" w:hAnsi="Tahoma" w:cs="Tahoma"/>
                <w:color w:val="000000"/>
                <w:kern w:val="0"/>
                <w:sz w:val="22"/>
                <w:szCs w:val="22"/>
                <w:lang w:eastAsia="zh-CN"/>
              </w:rPr>
              <w:t>涉及</w:t>
            </w:r>
            <w:r>
              <w:rPr>
                <w:rFonts w:hint="eastAsia" w:ascii="Tahoma" w:hAnsi="Tahoma" w:cs="Tahoma"/>
                <w:color w:val="000000"/>
                <w:kern w:val="0"/>
                <w:sz w:val="22"/>
                <w:szCs w:val="22"/>
              </w:rPr>
              <w:t>新的功能招标限价文件读取入库。招标限价文件是xml结构化文件，xml文件数据入库，入库</w:t>
            </w:r>
            <w:r>
              <w:rPr>
                <w:rFonts w:hint="eastAsia" w:ascii="Tahoma" w:hAnsi="Tahoma" w:cs="Tahoma"/>
                <w:color w:val="000000"/>
                <w:kern w:val="0"/>
                <w:sz w:val="22"/>
                <w:szCs w:val="22"/>
                <w:lang w:eastAsia="zh-CN"/>
              </w:rPr>
              <w:t>涉及</w:t>
            </w:r>
            <w:r>
              <w:rPr>
                <w:rFonts w:hint="eastAsia" w:ascii="Tahoma" w:hAnsi="Tahoma" w:cs="Tahoma"/>
                <w:color w:val="000000"/>
                <w:kern w:val="0"/>
                <w:sz w:val="22"/>
                <w:szCs w:val="22"/>
              </w:rPr>
              <w:t>20多张数据表。数据量几万到百万之间。</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13种评标办法项目对应的异常低价报表</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电子评标智能化-异常低价澄清-招标人发起异常低价澄清</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采用房建市政工程施工2025评标办法经评审的合理低价法和综合评估法的项目，招标人应结合本项目情况、编制的最高投标限价、市场价格等因素，综合分析中标候选人纳入甄别项范围的子目。第一中标候选人该子目经报价甄别认定为异常报价项且报价低于最高投标限价对应子目价格85%的，招标人应当向第一中标候选人发起报价澄清。</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电子评标智能化-异常低价澄清-中标候选人异常低价在线澄清</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采用房建市政工程施工2025评标办法经评审的合理低价法和综合评估法的项目，第一中标候选人收到澄清要求后，应提供本市近两年结算公开的类似子目结算价格以证明其报价的合理性，书面澄清文件应当在两个工作日内提交。</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电子评标智能化-异常低价澄清-招标人判定异常低价澄清结果</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采用房建市政工程施工2025评标办法经评审的合理低价法和综合评估法的项目，招标人应根据第一中标候选人按时提交的澄清文件，依据前款报价合理性的认定标准，判定其是否为异常低价投标。澄清通过的，确定第一中标候选人为中标人。澄清不通过的，招标人可重新招标或依序按照上述规则选择其他中标候选人进行定标。</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电子评标智能化-评标流程适配-适配智能评标功能</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重新设计从初步评审到技术标详细评审阶段的评审流程。</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支持按照投标文件逐一评审。评委可对一份投标文件从初步评审评到技术标详细评审，不需评审其他投标文件即可汇总评审结果。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支持按照初步评审条款逐一汇总，如有一条条款会汇总结果为不通过，不需评审其他条款即可否决该单位投标。</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初步评审发起投标人澄清后，评标委员会成员不需等待投标人澄清，可先对初步</w:t>
            </w:r>
            <w:r>
              <w:rPr>
                <w:rFonts w:hint="eastAsia" w:ascii="Tahoma" w:hAnsi="Tahoma" w:cs="Tahoma"/>
                <w:color w:val="000000"/>
                <w:kern w:val="0"/>
                <w:sz w:val="22"/>
                <w:szCs w:val="22"/>
                <w:lang w:eastAsia="zh-CN"/>
              </w:rPr>
              <w:t>评审</w:t>
            </w:r>
            <w:r>
              <w:rPr>
                <w:rFonts w:hint="eastAsia" w:ascii="Tahoma" w:hAnsi="Tahoma" w:cs="Tahoma"/>
                <w:color w:val="000000"/>
                <w:kern w:val="0"/>
                <w:sz w:val="22"/>
                <w:szCs w:val="22"/>
              </w:rPr>
              <w:t>通过的投标单位进行技术标详细评审。</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技术标详细评审汇总提交前，评标委员会成员可更改初步评审及详细评审的评审意见。</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lang w:eastAsia="zh-CN"/>
              </w:rPr>
              <w:t>涉及</w:t>
            </w:r>
            <w:r>
              <w:rPr>
                <w:rFonts w:hint="eastAsia" w:ascii="Tahoma" w:hAnsi="Tahoma" w:cs="Tahoma"/>
                <w:color w:val="000000"/>
                <w:kern w:val="0"/>
                <w:sz w:val="22"/>
                <w:szCs w:val="22"/>
              </w:rPr>
              <w:t>评标办法施工房建 3种、施工园林 3种、水利 3种、公路 2种 、公路养护2 种 、施工通用 3种评标办法，</w:t>
            </w:r>
            <w:r>
              <w:rPr>
                <w:rFonts w:hint="eastAsia" w:ascii="Tahoma" w:hAnsi="Tahoma" w:cs="Tahoma"/>
                <w:color w:val="000000"/>
                <w:kern w:val="0"/>
                <w:sz w:val="22"/>
                <w:szCs w:val="22"/>
                <w:lang w:eastAsia="zh-CN"/>
              </w:rPr>
              <w:t>涉及</w:t>
            </w:r>
            <w:r>
              <w:rPr>
                <w:rFonts w:hint="eastAsia" w:ascii="Tahoma" w:hAnsi="Tahoma" w:cs="Tahoma"/>
                <w:color w:val="000000"/>
                <w:kern w:val="0"/>
                <w:sz w:val="22"/>
                <w:szCs w:val="22"/>
              </w:rPr>
              <w:t>13 种评标办法全流程开发及涉及页面改造。</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功能开发增加重新评审功能，重新评审需要提取第一次评审的部分计算记过如合理低价、报价甄别等的计算结果</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电子暗标-施工暗标-技术标投标文件随机编号与信息隐藏</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采用房建市政工程施工2025评标办法暗标评审的项目，电子评标系统根据招标人选取的评标办法，在技术标初步评审、技术标详细评审等环节，对投标文件及评审资料中投标人信息进行隐藏处理，并对投标文件进行随机编号。</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投标人全文档文字部分自动进行异常关键词的规则算法及处置。在专家展示全文内容为处置后的内容。</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处理文档和大量图片附件之间的自动关联关系及对图片文件按照关联顺序排列</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定制开发暗标浏览页面，随机进行排序代码排列单位名称，保障关联对应投标文字文档整体与大量图片附件可读性和自动定位</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施工暗标的23份评标格式报告</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电子暗标-施工暗标-施工暗标解密绑定投标单位</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采用房建市政工程施工2025评标办法的项目，增加施工暗标解密功能，在技术标详细评审结束后，评标专家可对投标文件隐藏信息进行解密，解密后可查看对应投标人信息。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投标保函应用-投标保函电子验证-电子投标保函开标核验</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投标文件解密成功后，系统自动提取投标文件电子保函，核验电子保函信息，并在页面显示投标保函数据及核验结果。</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招标人页面可以查看所有投标单位电子保函核验结果，投标人页面仅可查看本单位电子保函核验结果。</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投标保函应用-投标保函核验情况查询与管理-电子投标保函更新与核实</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查询时间后半小时内，投标人如果发现投标保函信息有误，由招标代理在现场开标系统中重新录入该投标人的保函编号、银行名称重新查询保函信息，且只可重新查询一次。新增投标保函复核的功能，监管人员通过监管平台，可以使用电子保函编号、银行名称等信息定向查询投标保函的信息。投标管理页面，显示投标人投标保函信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电子招投标交易-建筑师负责制设计电子标责任建筑师述标与初评</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新增建筑师负责制设计电子标初步评审、建筑师负责制设计电子标责任建筑师述标。责任建筑师述标采用打分制。评标委员会对责任建筑师的述标情况进行打分，即各评委按第一名得1分、第二名得2分、第三名得3分，依此类推。经分数汇总后，按总得分从低到高进行排序。述标汇总得分相同的，应通过评标委员会进行表决，直至得出排序名次。评标委员会对投标人进行初步评审，通过初步评审的投标文件进行详细评审。对于未通过初步评审的单位，不再进入详细评审。</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进入详细评审的投标文件，评标委员会根据不同评标办法流程进行评审。</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电子招投标交易-建筑师负责制设计电子标评审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增建筑师负责制设计电子标商务标（综合能力）评审、技术标（技术服务）评审。评标委员会对进入商务标详细评审的投标人进行打分，以各评标委员会成员的评审分值经算术平均后为投标人的商务标得分。评标委员会对进入技术标详细评审的投标人进行打分，以各评标委员会成员的评审分值经算术平均后为投标人的技术标得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电子招投标交易-建筑师负责制设计电子标设计方案推优</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新增建筑师负责制设计电子标设计方案推优。通过初步评审的投标人，均应委派责任建筑师对设计方案进行述标，如项目概况、建筑师团队组成、设计理念、对招标文件实质性条款的响应说明等。评标委员会对述标情况和设计方案进行投票。</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当通过初步评审的投标人≥5家时，评标委员会根据投标人责任建筑师的述标情况和技术标中的设计方案投票，推选优秀设计方案。评标委员会每人5票，不得重复投票。经票数汇总后，按总票数从高到低进行排序，选取排名前5的投标人进入后续评审，票数相同则同时进入。</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当通过初步评审的投标人＜5家时，评标委员会不再投票，投标人全部进入后续评审。</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电子招投标交易-招标登记与评标报告</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满足招标人新增建筑师负责制设计招标登记，填报招标登记信息，上传招标登记附件的需求。含补充文件新增建筑师负责制设计电子标评标报告格式。</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电子招投标交易-建筑师负责制设计招标文件与公告</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增加设计建筑师负责制招投标示范文本</w:t>
            </w:r>
            <w:r>
              <w:rPr>
                <w:rFonts w:hint="eastAsia" w:ascii="Tahoma" w:hAnsi="Tahoma" w:cs="Tahoma"/>
                <w:color w:val="000000"/>
                <w:kern w:val="0"/>
                <w:sz w:val="22"/>
                <w:szCs w:val="22"/>
                <w:lang w:eastAsia="zh-CN"/>
              </w:rPr>
              <w:t>模板</w:t>
            </w:r>
            <w:r>
              <w:rPr>
                <w:rFonts w:hint="eastAsia" w:ascii="Tahoma" w:hAnsi="Tahoma" w:cs="Tahoma"/>
                <w:color w:val="000000"/>
                <w:kern w:val="0"/>
                <w:sz w:val="22"/>
                <w:szCs w:val="22"/>
              </w:rPr>
              <w:t>，完善相应电子招投标文本和数据标准。基于设计建筑师负责制招投标数据标准对建设工程电子招投标文件数据提取接口程序、招投标文件校验程序进行配套升级改造。增加建筑师负责制设计招标公告。含补充公告</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电子招投标交易-建筑师负责制设计开评标管理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采用建筑师负责制设计的项目，需公布责任建筑师姓名、注册专业和注册号，并在开标情况表中显示。采用建筑师负责制设计的项目，评标前，招标人可录入招标人代表、建筑师团队人员信息。评标结束后，系统同步评标委员会信息、评标结果及评标报告、专家评审意见表、评标决议等资料，并确认评标流程结束。</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电子招投标交易-建筑师负责制设计中标候选人公示与确定</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新增建筑师负责制设计电子标中标候选人公示表格式。建筑师负责制设计电子标项目，在当前设计招标确定中标人页面基础上，增加合作设计单位、合作设计费、投标报价是否已包含合作设计费等字段。</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采用浦东建筑师负责制的项目，设计范围不包含初步设计和方案设计的情况下，中标单位为境外企业的情况下，合作设计单位、合作设计费、投标报价是否已包含合作设计费等信息为非必填。</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新增建筑师负责制设计电子标中标结果公告格式。</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新增建筑师负责制设计电子标书面报告备案。</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电子招投标交易-建筑师负责制设计与项目监管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增建筑师负责制设计电子标事中事后监管功能。支持监管单位查询项目信息，抽取建筑师负责制设计电子标项目进行事中事后监管。项目信息报送增加浦东建筑师负责制项目和全市建筑师负责制试点项目的相关信息填报与校验，新增浦东建筑师负责制项目和全市建筑师负责制试点项目的合同信息报送</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招投标大数据智慧监管-监管待办清单</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根据监管人员日常事务内容，系统自动创建各类待办事项清单，提升监管人员工作效率。</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代办事项涉及招投标全流程监管功能</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按照招标类型划分 施工、勘察、设计、监理、勘察设计合并、总承包，材料设备 招标类型页面代表事项。</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招投标监管正常流程：招标登记、招标文件、招标公告、资格预审、开标、评标、中标候选人公示、书面报告备案 全流程</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其他辅助流程：招标异常监管（重新招标、终止招标，暂停招标）、投诉、结果备案续标、招标代理诚信，评标管理、</w:t>
            </w:r>
            <w:r>
              <w:rPr>
                <w:rFonts w:hint="eastAsia" w:ascii="Tahoma" w:hAnsi="Tahoma" w:cs="Tahoma"/>
                <w:color w:val="000000"/>
                <w:kern w:val="0"/>
                <w:sz w:val="22"/>
                <w:szCs w:val="22"/>
                <w:lang w:eastAsia="zh-CN"/>
              </w:rPr>
              <w:t>调整</w:t>
            </w:r>
            <w:r>
              <w:rPr>
                <w:rFonts w:hint="eastAsia" w:ascii="Tahoma" w:hAnsi="Tahoma" w:cs="Tahoma"/>
                <w:color w:val="000000"/>
                <w:kern w:val="0"/>
                <w:sz w:val="22"/>
                <w:szCs w:val="22"/>
              </w:rPr>
              <w:t>、处理单等功能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招投标大数据智慧监管-监管任务管理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为经办人/审核人/审定人提供新建监管任务的快捷通道，在其他待办任务栏，可以选择新建任务类型，快速打开对应任务的新建页面。</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需要对接9个招标类型、每个招标类型17个阶段功能代办事项，需要各类事项需要联动150多个页面。</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 xml:space="preserve">房建市政、园林、水利、通用、公路施工13种评标办法专家在每个评审阶段产生结果进行横向对比分析，分析算法 </w:t>
            </w:r>
            <w:r>
              <w:rPr>
                <w:rFonts w:hint="eastAsia" w:ascii="Tahoma" w:hAnsi="Tahoma" w:cs="Tahoma"/>
                <w:color w:val="000000"/>
                <w:kern w:val="0"/>
                <w:sz w:val="22"/>
                <w:szCs w:val="22"/>
                <w:lang w:eastAsia="zh-CN"/>
              </w:rPr>
              <w:t>涉及</w:t>
            </w:r>
            <w:r>
              <w:rPr>
                <w:rFonts w:hint="eastAsia" w:ascii="Tahoma" w:hAnsi="Tahoma" w:cs="Tahoma"/>
                <w:color w:val="000000"/>
                <w:kern w:val="0"/>
                <w:sz w:val="22"/>
                <w:szCs w:val="22"/>
              </w:rPr>
              <w:t>打分制、等级制的评审结果异常偏差设置规则算法，并生成分析报告。</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开发功能包括 页面显示、算法配置、权限控制、输出报表</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26</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工地现场监管</w:t>
            </w: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限额以下小型工程管理-企业申报-工程备案申请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对接</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随申办</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实名认证体系，实现建设单位/个人在线身份核验，确保登记主体真实性</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提供结构化工程备案表单，自动关联企业库/人口库预填基础信息，支持合同等附件批量上传</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移动端同时支持该功能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限额以下小型工程管理-企业申报-工期变更申请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提供标准化工期延期申请通道，支持建设单位在线提交延期申请及佐证材料</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基于历史工程数据智能推荐合理延期时长，辅助政务审批决策</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配置街道-区县两级电子审批流程，支持会签意见汇总与审批痕迹留存</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移动端同时支持该功能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限额以下小型工程管理-企业申报-完工信息申报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提供标准化工竣工信息录入界面，支持填写完工日期、验收结论等关键</w:t>
            </w:r>
            <w:r>
              <w:rPr>
                <w:rFonts w:hint="eastAsia" w:ascii="Tahoma" w:hAnsi="Tahoma" w:cs="Tahoma"/>
                <w:color w:val="000000"/>
                <w:kern w:val="0"/>
                <w:sz w:val="22"/>
                <w:szCs w:val="22"/>
                <w:lang w:eastAsia="zh-CN"/>
              </w:rPr>
              <w:t>信息</w:t>
            </w:r>
            <w:r>
              <w:rPr>
                <w:rFonts w:hint="eastAsia" w:ascii="Tahoma" w:hAnsi="Tahoma" w:cs="Tahoma"/>
                <w:color w:val="000000"/>
                <w:kern w:val="0"/>
                <w:sz w:val="22"/>
                <w:szCs w:val="22"/>
              </w:rPr>
              <w:t>允许填报工程完工相关信息（完工日期、负责人等）</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为建设单位/个人提供专门的工程完工申报功能入口</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支持上传完工证明、现场照片等相关佐证材料</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电子签章确认：完工登记需经经办人员数字签名确认，生成具有法律效力的电子竣工证明文件</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数据提交锁定：采用区块链技术实现数据上链存证，提交后自动加密锁定，防止信息篡改，确保数据真实性</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限额以下小型工程管理-企业申报-申报记录</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建设单位/个人可查看已提交的申报记录及状态</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提供申报处理、工期变更、完工信息申请进度查询功能</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支持按条件查询历史申报记录</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申报记录的修改与撤回</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同时支持移动端查询</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限额以下小型工程管理-企业申报-电子签名承诺与证明</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集成数字签名功能，在线签署安全生产承诺书，生成具有法律效力的电子承诺文件</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审核通过后自动生成电子备案证书，包含二维码防伪标识，支持在线验真</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限额以下小型工程管理-企业申报-备案实时追踪反馈</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基于业务规则自动预审备案材料，实时反馈补正意见，降低申报驳回率</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提供备案全流程状态查询功能，实时显示当前环节、预计办结时间和审批人员，且支持移动端同步查询</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限额以下小型工程管理-企业安全管理-整改方案管理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建设单位/个人可通过移动端提交整改方案和计划完成时间</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整改过程上报：支持建设单位/个人在整改过程中上传整改佐证材料和进度报告、整改结果的确认、逾期未整改预警、关键节点（检查结果、整改要求、整改确认等）向相关方推送消息提醒</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支持延期申请移动端审批，实现</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随时随地</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政务办理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限额以下小型工程管理-企业安全管理-违规与销账查看</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查看违规行为的现场照片、视频证据、定位信息、法律依据等完整数据。</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按工程名称、时间、违规类型等条件筛选违规记录，支持导出Excel/PDF格式报告。</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支持移动端同步查看</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针对</w:t>
            </w:r>
            <w:r>
              <w:rPr>
                <w:rFonts w:hint="eastAsia" w:ascii="Tahoma" w:hAnsi="Tahoma" w:cs="Tahoma"/>
                <w:color w:val="000000"/>
                <w:kern w:val="0"/>
                <w:sz w:val="22"/>
                <w:szCs w:val="22"/>
                <w:lang w:eastAsia="zh-CN"/>
              </w:rPr>
              <w:t>强制性</w:t>
            </w:r>
            <w:r>
              <w:rPr>
                <w:rFonts w:hint="eastAsia" w:ascii="Tahoma" w:hAnsi="Tahoma" w:cs="Tahoma"/>
                <w:color w:val="000000"/>
                <w:kern w:val="0"/>
                <w:sz w:val="22"/>
                <w:szCs w:val="22"/>
              </w:rPr>
              <w:t>销账的项目进行查看和追溯，同时支持移动端的管理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限额以下小型工程管理-企业安全管理-消息管理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支持按消息类型（预警通知、审批结果、整改提醒等）分类存储和展示，便于用户快速筛选和处理，多渠道的信息查看，移动端PC可同时查看处理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限额以下小型工程管理-工程二维码-动态二维码生成引擎</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基于工程唯一编码自动生成符合ISO/IEC 18004标准的QR Code，支持容错校正和加密防伪功能</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集成数字水印和时间戳技术，支持扫码记录追踪，防范二维码伪造和滥用</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关键工程信息嵌入二维码本身，确保在网络信号不佳区域仍可获取基础数据</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工程状态变更（如竣工）后自动更新二维码标识，旧码提示</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已失效</w:t>
            </w:r>
            <w:r>
              <w:rPr>
                <w:rFonts w:hint="eastAsia" w:ascii="Tahoma" w:hAnsi="Tahoma" w:cs="Tahoma"/>
                <w:color w:val="000000"/>
                <w:kern w:val="0"/>
                <w:sz w:val="22"/>
                <w:szCs w:val="22"/>
                <w:lang w:eastAsia="zh-CN"/>
              </w:rPr>
              <w:t>”</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支持按街道/片区批量生成工程二维码，配套打印模板和制作规范</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限额以下小型工程管理-工程二维码-工程数据中心对接与统计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实时关联工程审批数据库，动态集成工程名称、许可证号、空间坐标等20+项核心属性</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建立与工程审批系统的数据同步机制，确保二维码信息与业务系统实时一致</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后台记录扫码访问日志，分析扫码频率、地域分布等使用情况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限额以下小型工程管理-公示牌-动态数据绑定与推送</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实时关联工程审批数据库，自动填充建设单位资质编号、施工许可范围等30+项法定公示内容，数据准确率100%</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根据工程进度自动触发公示牌更新通知，提醒建设单位更换现场公示内容</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限额以下小型工程管理-公示牌-多格式输出下载与版本管理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生成符合GB/T 9704-2012标准的PDF/A-3格式文件，同时提供JPG/PNG等图片格式及可编辑DOCX格式，满足不同场景需求</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建设单位可通过</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随申办</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APP直接下载公示文件，支持A3/A4多种版面智能适配移动端预览</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自动保存历次公示牌生成记录，支持版本比对和变更溯源，保留完整操作日志</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限额以下小型工程管理-街道服务管理-政务通讯管理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支持查询结果导出为vCard格式，便于保存至手机通讯录</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自动显示各服务网点的办公时间及节假日安排</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提供全市街道（乡镇）政务服务机构的标准通讯录查询服务，包含业务咨询、监督投诉等专线电话</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采用政务专网传输通讯数据，防止信息泄露和滥用</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限额以下小型工程管理-街道服务管理-服务导航</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集成电子地图服务，支持查询结果的地图定位展示和导航路线规划</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基于查询历史和行为分析，智能推荐相关高频咨询业务和联系方式</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限额以下小型工程管理-信息查询-街道/区级/市级工程查询</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提供全市域工程项目的多维度高级检索，支持按行政区划、工程类型、投资规模、风险等级，支持街道/区级/市级的范围查询</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集成展示从立项到竣工的全生命周期数据，包括BIM模型、施工日志、质量检测等150+项工程要素</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限额以下小型工程管理-工程监管-工程信息申报管理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申报状态跟踪：提供申报进度可视化查询功能，建设方可实时查看当前申报所处的审核阶段及处理状态</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同时支持移动端管理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限额以下小型工程管理-工程监管-工程信息确认</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街道办事处（乡镇人民政府）用户对建设单位或个人已上报的工程信息进行确认，工程信息确认时，可查看工程信息及上传的材料信息。</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同时支持移动端操作</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限额以下小型工程管理-工程监管-完工信息核验</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街道办事处（乡镇人民政府）用户对建设单位/个人提交的完工申报材料进行线上审核，包括完工时间、完工状态等关键信息验证</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提供完工照片的数字化核验功能，支持多张照片比对、EXIF信息提取等，确保影像资料真实有效</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审核通过后生成标准化工完工确认书，经政务电子签章认证后生效，具备行政效力</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同时支持移动端操作</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限额以下小型工程管理-工程监管-辖区工程管理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提供多条件复合查询功能，支持按工程状态、项目类型、时间范围等维度筛选，实现辖区工程精准定位与快速检索</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移动端协同：支持政务移动端实时同步查询，实现</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PC端决策分析+移动端现场核验</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的协同监管模式</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限额以下小型工程管理-工程监管-安全检查任务分配</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提供安全检查任务创建与分配功能，支持按工程类型、风险等级等要素智能生成检查清单</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基于不符合项自动推荐整改措施和时限要求，提供行业标准整改方案库</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支持现场检查照片、视频上传，自动记录拍摄时间、地理位置等元数据</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一键生成标准化安全检查报告，包含问题清单、整改要求和依据条款</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电子签名确认：检查结果需经检查人员电子签名确认，确保检查记录的法律效力</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移动端：支持政务APP现场检查，实现检查记录实时上传、定位打卡等功能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限额以下小型工程管理-工程监管-检查管理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街道办事处人员可在线提交工程检查结果，包括合格/不合格判定</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针对不合格工程，需详细填写不符合要求的具体内容和整改要求</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系统自动将不合格检查结果及整改要求推送至建设单位/个人账号</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建设单位/个人通过</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随申办市民云</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APP查看检查结果和整改要求</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限额以下小型工程管理-工程监管-整改核验</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街道办事处（乡镇人民政府）用户对建设单位/个人提交的整改报告进行线上审核，验证整改要求、整改内容及佐证材料的完整性和合规性</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提供整改前后数据对比功能，支持文字描述比对和图片对比，直观展示整改效果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支持通过政务移动端进行现场整改核验，实现</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线上审核+现场验证</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的混合监管模式</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整改时效评估：自动计算整改实际完成时间与要求时间的偏差，生成整改时效评估报告</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整改验收通过后生成电子确认书，经数字签名后生效，具备行政效力</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对不符合要求的整改材料发起驳回流程，支持结构化驳回原因填写和二次整改跟踪</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限额以下小型工程管理-工程监管-整改全要素管理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支持查看整改全流程数据，包括原始检查记录、整改要求、整改责任人、整改时间节点、整改措施说明及整改佐证附件</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自动统计辖区整改及时率、整改合格率等指标，生成监管效能分析报告</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限额以下小型工程管理-工程监管-安全检查预警</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对已确认但未进行安全检查的工程自动触发预警机制</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安全检查预警统计：生成未安全检查工程的统计报表和分析数据</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预警处理跟踪：记录预警处理状态和处置时间，形成闭环管理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限额以下小型工程管理-工程监管-安全检查全周期追溯</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完整呈现工程关联的检查记录闭环，包含初始检查、整改通知、复查验证等全流程监管数据，形成完整证据链</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异常状态智能预警：自动标识超期未检、隐患逾期未改等异常工程，通过颜色编码进行分级预警（红/黄/蓝三级警示）</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安全数据导出：提供符合GB/T 31076标准的政务数据导出功能，支持Excel/PDF/XML多种格式输出</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限额以下小型工程管理-工程监管-延期完工管理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延期项目进行审核，支持街道初审→区级复核的电子化审批，记录审批意见及修改痕迹。</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预警消息推送：对超期未审批或临近延期的工程，自动推送提醒至责任单位及监管人员。</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支持政务APP提交/审批延期申请，实现现场核查与线上流程协同。</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限额以下小型工程管理-工程监管-无证管理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自动检测未持证施工工程，实时推送预警信息至监管平台，支持移动端同步查看</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限额以下小型工程管理-工程监管-违法管理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电子自动归档现场照片、勘验记录等证据，按情节自动划分一般/严重违法，关联不同处置流程（整改/处罚/移交）</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向违规主体自动推送法律法规和备案指引，降低重复违规率</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支持移动端同步查看</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限额以下小型工程管理-工程监管-工程档案</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支持在确认过程中查看工程全生命周期数据，包括基础信息、施工记录、检查报告等完整项目档案</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对不符合要求的完工申报发起补正流程，支持补正要求结构化填写和补正材料追踪</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完整记录完工确认全过程操作日志，包括审核人员、审核时间、审核意见等关键审计要素</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限额以下小型工程管理-工程监管-销账管理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提供行政强制销账申请通道，支持对拒不配合销账的建设单位/个人发起强制销账流程</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支持上传催告通知、现场核查记录、公示材料等作为强制销账的证据附件</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提供线上公示功能，支持7日公示期倒计时和异议受理处理</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多级审批：内置街道-区县两级联审机制，支持电子签批和会签意见汇总</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移动端：支持现场取证、材料上传等移动端操作，实现销账申请全流程线上化</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限额以下小型工程管理-工程监管-工程分类管理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支持管理部门自定义分类标准（如调整限额标准、风险权重），实时生效</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为工程打标（如“重点监管”“绿色施工”），支持按标签快速筛选与统计。</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限额以下小型工程管理-工程监管-统计报表</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按季度生成强制销账统计报表，分析辖区销账难点和突出问题</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自动计算辖区工程检查覆盖率、问题发现率等核心指标</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限额以下小型工程管理-市区抽查-工程抽查任务管理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支持区/市级行业主管部门创建抽查任务，按工程类型、区域等条件智能筛选抽查对象</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对不符合项需填写具体整改要求、整改期限及依据条款，系统自动关联法规库智能提示</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抽查结果通知：自动向被查单位推送检查结果及整改要求，同步抄送属地监管部门</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多级审批：支持检查结果分级审核（检查人-科室负责人-分管领导），重要问题需多重确认</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限额以下小型工程管理-完工销账检查超期预警管理-未销账工程分析</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自动统计各区域未销账工程数量及占比</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记录未销账工程的处理进度和责任人</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完工未销账</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筛选选项供街道和市区用户快速查询</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支持将未销账状态与工程类型、区域等条件组合筛选</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限额以下小型工程管理-完工销账检查超期预警管理-预警管理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对长期未销账的工程自动发送预警提醒</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预警处理跟踪：记录预警处理状态和处置时间，形成闭环管理</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向相关责任单位或负责人发送预警通知（站内信/短信）</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限额以下小型工程管理-小型项目情况总览-全市工程数据总览</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展示全市工程总数、已检查工程数、检查率、未检查工程数及检查总次数等核心指标</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数据钻取分析：支持从全市总览下钻到区县/街道层级查看详细数据</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异常数据预警：对检查率低、隐患率高、完工未销账等异常情况预警提示</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多维度对比分析：支持按时间、区域等多维度进行数据对比</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限额以下小型工程管理-小型项目情况总览-限额以下小型工程沙盘</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统计已检/未检工程数量，计算检查覆盖率形成报表</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隐患检出率分析：计算并展示检查中发现隐患的工程比例</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登记未检查率分析：统计已登记但未检查的工程数量及占比</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完工未销账监控：统计已完工但未完成核验或归档的工程数量及明细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限额以下小型工程管理-小型项目情况总览-区域分布地图展示</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基于GIS地图可视化展示各区（县）工程登记、检查、完工的空间分布情况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限额以下小型工程管理-小型项目情况总览-区域及分类统计图表</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通过柱状图/饼图等形式展示各区县工程数据对比分析，按在建、完工、停工等状态分类统计工程数量及占比</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限额以下小型工程管理-小型项目情况总览-项目登记数统计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1、按街道和按区县统计：统计并展示全市各区下辖各街道的工程数据，包括：总登记项目数（该街道所有已备案的工程项目总数），在施项目数（当前处于施工状态的项目数量），已完工项目数（已完成完工申报并通过核验的项目数量</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支持将统计结果导出为Excel/PDF格式，或自动生成可视化分析报表供决策参考</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2、登记未确认项目排名统计：支持以街道为维度，统计全市范围内的工程隐患检出率，并按街道名称分组展示统计结果。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支持同时选择街道名称和检查时间进行组合查询，精确统计符合条件的数据。</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以表格、图表（如柱状图、折线图）等形式展示统计结果，便于用户直观分析隐患检出率趋势。</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支持将统计结果导出为Excel、PDF等格式，便于用户存档或进一步</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3、登记未检查率排名统计：支持以街道为维度，统计全市各区各街道的工程未检查率，并按街道名称分组展示统计结果。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支持同时选择街道名称和工程确认时间进行组合查询，精确统计符合条件的数据。</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以表格、图表（如柱状图、饼图）等形式展示统计结果，便于用户直观分析未检查率分布情况。</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支持将统计结果导出为Excel、PDF等格式，便于用户存档或进一步分析。</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限额以下小型工程管理-小型项目情况总览-完工未销账项目排名统计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按街道和按区县：支持以街道为维度，统计全市各区各街道未办理完工销账的项目数量，按街道名称分组展示统计结果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支持同时选择街道名称和工程确认时间进行组合查询，精确统计符合条件的未销账项目数据</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以表格、柱状图等形式展示统计结果，直观呈现各区县/街道未销账项目数量对比</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支持将统计结果导出为Excel、PDF等格式，便于后续分析和存档</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限额以下小型工程管理-小型项目情况总览-完工未确认项目排名统计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按街道和按区县：以街道为维度统计全市各区各街道未确认的项目数量，按街道名称分组展示统计结果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支持街道名称与工程确认时间条件组合使用，实现精确查询统计</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通过表格、柱状图等形式直观展示各区县/街道未确认项目数量分布情况</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支持将查询统计结果导出为Excel/PDF等格式，便于后续处理和分析</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限额以下小型工程管理-小型项目情况总览-隐患检出率排名统计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按街道和按区县：以街道为维度统计全市各区各街道的工程隐患检出率，按街道名称分组展示统计结果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支持街道名称与检查时间条件组合使用，实现精确查询统计</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通过表格、折线图等形式直观展示各区县/街道检出率变化趋势</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支持将查询统计结果导出为Excel/PDF等格式，便于后续分析报告使用</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限额以下小型工程管理-小型项目情况总览-隐患整改率排名统计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按街道和按区县：以街道为维度统计全市各区各街道的工程隐患整改完成率，按街道名称分组展示统计结果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支持街道名称与工程确认时间条件组合查询，实现精准数据筛选</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通过柱状图、趋势图等形式展示各区域整改率对比和变化趋势</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支持将查询结果导出为Excel/PDF格式，并提供打印功能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限额以下小型工程管理-小型项目情况总览-建设单位情况统计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登记项目较多的建设单位统计：筛选统计限额以下工程的建设单位信息，提供项目登记时间、工程状态等辅助筛选条件</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可选配图表展示建设单位项目数量分布情况</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检查发现问题较多的建设单位统计：按建设单位维度统计限额以下工程的检查情况可选配图表展示不符合项分布情况，提供将查询结果导出为Excel文件功能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限额以下小型工程管理-小型项目情况总览-施工单位情况统计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1、登记项目较多的施工单位统计：按施工单位维度统计限额以下工程的登记项目情况，可选配柱状图等形式展示施工单位项目数量分布，提供将统计结果导出为Excel的功能</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2、按施工单位维度统计限额以下工程的检查情况</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支持将查询结果导出为Excel文件，可选配图表展示不符合项分布情况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限额以下小型工程管理-企业/个人移动应用对接“随申办”</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支持个人用户使用随申办账号通过</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随申办市民云</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APP访问小型工程管理应用</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实现与随申办系统的单点登录集成，用户认证后直接进入应用无需重复登录</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根据登录账号类型自动识别并加载对应的企业移动应用功能模块</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支持企业用户使用统一社会信用代码通过</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随申办企业云</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APP访问小型工程管理应用</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支持企业账号与统一社会信用代码的绑定验证</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根据登录账号类型自动识别并加载对应的企业移动应用功能模块</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限额以下小型工程管理-监管部门移动应用对接“随申办”</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支持市区住建委、行业主管部门、街道三类政务用户统一接入</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根据用户所属机构类型自动识别并分配对应系统权限</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记录政务用户的登录时间、操作行为等审计信息</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通过</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随申办政务云</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实现统一身份认证和单点登录</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SSO</w:t>
            </w:r>
            <w:r>
              <w:rPr>
                <w:rFonts w:hint="eastAsia" w:ascii="Tahoma" w:hAnsi="Tahoma" w:cs="Tahoma"/>
                <w:color w:val="000000"/>
                <w:kern w:val="0"/>
                <w:sz w:val="22"/>
                <w:szCs w:val="22"/>
                <w:lang w:eastAsia="zh-CN"/>
              </w:rPr>
              <w:t>）</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按用户角色展示对应的管理界面和功能模块</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对异常登录行为进行实时监测和预警</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为市区住建委用户提供全市监管视图和统计分析功能</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行业部门：为行业主管部门提供行业监管专项功能</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街道：为街道用户提供辖区工程管理和处置功能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综合管理-监理报告-监理月报上报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监理每月在规定时间内上报当月监理月报。在限期内对处置的月报进行补报</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综合管理-监理报告-监理月报查阅</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参建单位（建设单位、施工总包单位、监理单位），查阅负责项目工地每月的监理月报上报情况。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综合管理-监理报告-监理月报查阅处置处罚</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监督机构对管辖工地上报的月报在限期内进行查阅、处置、处罚。</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综合管理-监理报告-监理紧急报告查阅处置与上报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监理将施工现场重大事故隐患，施工图重大修改需由原审查机构审查而未审查施工的情况，以及发出整改通知单或工程暂停令，施工单位拒不改正或不停止施工，或建设单位拒不接受，可能产生严重后果的质量安全问题，即时向监督机构</w:t>
            </w:r>
            <w:r>
              <w:rPr>
                <w:rFonts w:hint="eastAsia" w:ascii="Tahoma" w:hAnsi="Tahoma" w:cs="Tahoma"/>
                <w:color w:val="000000"/>
                <w:kern w:val="0"/>
                <w:sz w:val="22"/>
                <w:szCs w:val="22"/>
                <w:lang w:eastAsia="zh-CN"/>
              </w:rPr>
              <w:t>提交</w:t>
            </w:r>
            <w:r>
              <w:rPr>
                <w:rFonts w:hint="eastAsia" w:ascii="Tahoma" w:hAnsi="Tahoma" w:cs="Tahoma"/>
                <w:color w:val="000000"/>
                <w:kern w:val="0"/>
                <w:sz w:val="22"/>
                <w:szCs w:val="22"/>
              </w:rPr>
              <w:t>监理报告。</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监督机构限时对管辖工地上报的紧急报告进行查阅、处置。</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综合管理-监理报告-监理报告督办监理月报及紧急报告</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以监督机构为维度统计上报的监理月报情况；以监理机构为维度统计上报的监理月报情况。对未能按时限阅处监理报告的区监督机构进行督办。</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以日期为维度统计监理紧急报告的上报、查阅、处置情况。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综合管理-监督机构及人员管理-监督人员信息维护</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根据住建部、上海市相关要求，建立监督人员库，维护监督人员信息。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综合管理-监督机构及人员管理-监督人员初次考核</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关联监督信息和人员培训信息，对监督人员和专职协助监督人员分别进行不同的初次考核。</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综合管理-监督机构及人员管理-监督人员岗位考核</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关联监督信息和人员培训信息，对监督人员和专职协助监督人员分别进行不同的岗位考核。</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综合管理-监督机构及人员管理-监督人员岗位考核抽查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管理部门在监督人员岗位考核抽查中开具的整改意见</w:t>
            </w:r>
            <w:r>
              <w:rPr>
                <w:rFonts w:hint="eastAsia" w:ascii="Tahoma" w:hAnsi="Tahoma" w:cs="Tahoma"/>
                <w:color w:val="000000"/>
                <w:kern w:val="0"/>
                <w:sz w:val="22"/>
                <w:szCs w:val="22"/>
                <w:lang w:eastAsia="zh-CN"/>
              </w:rPr>
              <w:t>，由</w:t>
            </w:r>
            <w:r>
              <w:rPr>
                <w:rFonts w:hint="eastAsia" w:ascii="Tahoma" w:hAnsi="Tahoma" w:cs="Tahoma"/>
                <w:color w:val="000000"/>
                <w:kern w:val="0"/>
                <w:sz w:val="22"/>
                <w:szCs w:val="22"/>
              </w:rPr>
              <w:t>监督机构进行整改回复后，进行最终考核抽查判定。</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综合管理-监督机构及人员管理-监督机构考核自查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关联监督信息，监督机构对本机构进行考核，回复整改情况，录入考核结果及相关附件。</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综合管理-监督机构及人员管理-监督机构考核抽查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管理机构对全市各监督机构进行相关条线的考核，录入抽查结果及相关附件，开具整改意见，复核整改情况。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综合管理-监督机构及人员管理-《房屋市政工程施工安全监督人员考核合格证书》新发申请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关联</w:t>
            </w:r>
            <w:r>
              <w:rPr>
                <w:rFonts w:hint="eastAsia" w:ascii="Tahoma" w:hAnsi="Tahoma" w:cs="Tahoma"/>
                <w:color w:val="000000"/>
                <w:kern w:val="0"/>
                <w:sz w:val="22"/>
                <w:szCs w:val="22"/>
                <w:lang w:eastAsia="zh-CN"/>
              </w:rPr>
              <w:t>监督</w:t>
            </w:r>
            <w:r>
              <w:rPr>
                <w:rFonts w:hint="eastAsia" w:ascii="Tahoma" w:hAnsi="Tahoma" w:cs="Tahoma"/>
                <w:color w:val="000000"/>
                <w:kern w:val="0"/>
                <w:sz w:val="22"/>
                <w:szCs w:val="22"/>
              </w:rPr>
              <w:t>人员的基本信息、考核信息和安全监督培训信息，对符合要求的监督人员申请新发《房屋市政工程施工安全监督人员考核合格证书》，并制作电子证照后向住建部归集。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综合管理-监督机构及人员管理-《房屋市政工程施工安全监督人员考核合格证书》延续和变更申请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关联监督及人员的基本信息、考核信息和安全监督培训信息，对已发证监督人员申请延续和变更《房屋市政工程施工安全监督人员考核合格证书》，并重新制作电子证照后向住建部归集。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综合管理-监督机构及人员管理-《房屋市政工程施工安全监督人员考核合格证书》申请管理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关联</w:t>
            </w:r>
            <w:r>
              <w:rPr>
                <w:rFonts w:hint="eastAsia" w:ascii="Tahoma" w:hAnsi="Tahoma" w:cs="Tahoma"/>
                <w:color w:val="000000"/>
                <w:kern w:val="0"/>
                <w:sz w:val="22"/>
                <w:szCs w:val="22"/>
                <w:lang w:eastAsia="zh-CN"/>
              </w:rPr>
              <w:t>监督</w:t>
            </w:r>
            <w:r>
              <w:rPr>
                <w:rFonts w:hint="eastAsia" w:ascii="Tahoma" w:hAnsi="Tahoma" w:cs="Tahoma"/>
                <w:color w:val="000000"/>
                <w:kern w:val="0"/>
                <w:sz w:val="22"/>
                <w:szCs w:val="22"/>
              </w:rPr>
              <w:t>人员的基本信息、考核信息和安全监督培训信息，对已发证监督人员申请暂停、撤销申请、恢复申请、注销申请《房屋市政工程施工安全监督人员考核合格证书》</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综合管理-监督机构及人员管理-《房屋市政工程施工安全监督人员考核合格证书》合格证数据更正管理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关联监督及人员的基本信息、考核信息和安全监督培训信息，对已发证监督人员申请合格证数据更正《房屋市政工程施工安全监督人员考核合格证书》，并重新制作电子证照后向住建部归集。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工程巡查-巡查问题录入-巡查计划清单问题录入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根据巡查计划清单，巡查人员现场实施工地现场巡查，记录问题，</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工程巡查-巡查处置-处置单据开具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巡查人员现场对发现的问题进行处置，开具“行政处置建议书”或者“暂停施工指令书”。</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工程巡查-监督数据综合查询-统计在建工程环线位置分布与形象进度</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根据项目报送信息中所在区域，对当前市总站及全市各区域在建工程环线位置分布汇总统计。据在建工程上报的最后一份监理月报，对当前在建工程形象进度汇总统计。</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工程巡查-监督数据综合查询-建设工程及完成监督工程汇总统计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对当前市总站及全市各区域暂停监督工程汇总统计，包括工地数、建安工作总量、建筑总面积、单位工程总数、单位工程类型个数等。</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对市总站及全市各区域完成监督工程汇总统计，包括工地总数、建安工作总量、建筑总面积、单位工程总数、按照项目类型分类的对应工地数、单位工程数、工作量、建筑面积等。</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工程巡查-IDI技术风险</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从IDI平台获取房屋建筑工程录入的建设工程现场质量问题、整改情况、风险等级等信息，并进行数据落地处理。</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监督人员查询工地综合信息，并关联显示IDI风险事件信息。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工程巡查-现场移动监督-工地智能提醒及预警</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关联工程监督、监理报告、安全管理、质量管理、深基坑监测系统数据，根据当前登录人数据权限，提供智能提醒的汇总功能，包括90天未到位工地提醒、监理紧急报告提醒、危险性较大分部分项工程提醒、不合格材料处置提醒、即将到期整改措施单提醒、实名制项目经理未到岗提醒、严重质量技术风险提醒等汇总数量。</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工程巡查-现场移动监督-风险提醒信息显示</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实名制项目经理未到岗提醒信息显示：在工地智能提醒及预警汇总页面中，选择“实名制项目经理未到岗提醒”，显示实名制项目经理未到岗的工地列表信息。</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严重质量技术风险提醒信息显示：在工地智能提醒及预警汇总页面中，选择“严重质量技术风险提醒”，显示未整改的严重质量技术风险列表信息。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工程巡查-现场移动监督-工地智能分析在监工程监督机构分布情况</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根据当前登录人数据权限和监督机构，智能分析在监工程分布情况。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工程巡查-现场移动监督-工地智能分析在监工程不同项目分类分布情况</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根据当前登录人数据权限和项目分类，智能分析在监工程不同项目分类分布情况。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工程消防管理-工程消防管理接收-工程消防管理工地接收</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工程监管科接收并生成工地之后，自动分配告知综合竣工验收管理科。综合竣工验收管理科负责人判断工地相关消防要求后接收工地后，方可启动工程消防管理。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工程消防管理-工程消防管理执行-监督组与任务分配</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综合竣工验收管理科负责人在接收工地后，可以指定该工地的组长、组员。</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根据监督组，对工地的消防施工质量过程监督、消防验收现场评定、其他各类检查等环节进行相应监督人员任务分配。</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工程消防管理-工程消防管理执行-通过建管平台执行消防施工质量过程监督任务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根据分配，监督人员执行消防施工质量过程监督任务，组长、组员根据各自权限和职责，通过建管平台在</w:t>
            </w:r>
            <w:r>
              <w:rPr>
                <w:rFonts w:hint="eastAsia" w:ascii="Tahoma" w:hAnsi="Tahoma" w:cs="Tahoma"/>
                <w:color w:val="000000"/>
                <w:kern w:val="0"/>
                <w:sz w:val="22"/>
                <w:szCs w:val="22"/>
                <w:lang w:eastAsia="zh-CN"/>
              </w:rPr>
              <w:t>检查表</w:t>
            </w:r>
            <w:r>
              <w:rPr>
                <w:rFonts w:hint="eastAsia" w:ascii="Tahoma" w:hAnsi="Tahoma" w:cs="Tahoma"/>
                <w:color w:val="000000"/>
                <w:kern w:val="0"/>
                <w:sz w:val="22"/>
                <w:szCs w:val="22"/>
              </w:rPr>
              <w:t>上填写相应监督检查内容。含移动端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工程消防管理-工程消防管理执行-通过建管平台执行消防验收现场评定任务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根据分配，监督人员执行消防验收现场评定任务，组长、组员根据各自权限和职责，通过建管平台在</w:t>
            </w:r>
            <w:r>
              <w:rPr>
                <w:rFonts w:hint="eastAsia" w:ascii="Tahoma" w:hAnsi="Tahoma" w:cs="Tahoma"/>
                <w:color w:val="000000"/>
                <w:kern w:val="0"/>
                <w:sz w:val="22"/>
                <w:szCs w:val="22"/>
                <w:lang w:eastAsia="zh-CN"/>
              </w:rPr>
              <w:t>检查表</w:t>
            </w:r>
            <w:r>
              <w:rPr>
                <w:rFonts w:hint="eastAsia" w:ascii="Tahoma" w:hAnsi="Tahoma" w:cs="Tahoma"/>
                <w:color w:val="000000"/>
                <w:kern w:val="0"/>
                <w:sz w:val="22"/>
                <w:szCs w:val="22"/>
              </w:rPr>
              <w:t>上填写相应评定检查内容。含移动端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工程消防管理-工程消防管理执行-行政措施单开具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根据检查情况，组长可以在移动监督或PC端开具责令改正通知单、局部暂缓施工指令单、全面停工单等行政措施单。同时根据整改单的回复，对措施单进行销项。</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工程消防管理-工程消防管理执行-行政措施单签收</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参建单位的责任人通过监督人员的移动设备现场对开具的行政措施单进行签收操作，并在打印的行政措施单中自动显示。</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基坑管理-建设单位端-项目申报确认</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新增“建设单位申报-系统自动复核-项目建项”，与联审平台打通，实现系统自动复核，减少人员投入，提高审查效率。</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基坑管理-监督机构端-监测巡查上报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根据基坑工程风险管控流程以及《建筑基坑工程监测技术标准》（GB 50497-2019）的关键条文，增加巡查上报功能，完善项目预警的机制和依据。</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基坑管理-监督机构端-工况与围护形式管理与台账</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调整工况统计规则与围护结构统计规则，按照“围护结构施工、开挖（含底板浇筑）、地下室结构施工”三个重大节点区分工况阶段，并且将“新工艺”考虑在围护结构类型的统计范围中。</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根据新的基坑管理流程与风险管控流程结合日常管理需要，新增基坑项目管理台账。</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基坑管理-监督机构端-监测企业管理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配合《上海市基坑工程管理办法》，新增监测企业管理功能，将监测企业的资质、人员、设备、项目等信息进行统一的分析和管理。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基坑管理-监督机构端-监测原始数据分析与查看</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新增对基坑监测单位每日上传原始数据分析处理功能，判断数据上传真实性。</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新增基坑监测单位接入的自动化监测数据查看模块。</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基坑管理-监督机构端-监测作业人员轨迹及月报分析</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增加监测作业人员每日行径轨迹查看功能，分析监测作业完成情况。定期对监理月报中关于基坑工程施工部分内容进行分析处理，核对监理上报结果与现有基坑项目</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基坑管理-监督机构端-市、区两级基坑月报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针对市、区两级每月统计辖区基坑项目情况，并推送相关单位确认。</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基坑管理-监督机构端-区级评价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每日统计分析各区在建基坑项目数据达标情况，每周对各区情况进行综合评价。</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建筑机械管理-机械设备备案证电子证照申领-机械设备备案证电子证照申领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机械设备首次安装或出租前，对自己拥有产权的机械设备进行产权登记，并向全国工程质量安全监管信息平台申领全国统一的建筑起重机械备案证电子证照。</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建筑机械管理-机械设备备案证电子证照变更-机械设备备案证电子证照变更</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当机械设备的产权单位或租赁企业的法定代表人、单位登记地址、设备下次评估时间发生变化时，向全国工程质量安全监管信息平台办理电子证照变更手续，保证证照信息与实际相符。</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建筑机械管理-机械设备备案证电子证照注销-机械设备备案证电子证照注销</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建筑起重机械因故报废或产权单位整体变更时，向全国工程质量安全监管信息平台办理备案注销手续，将该机械设备申请的备案证电子证照进行注销。</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建筑机械管理-机械设备备案证电子证照汇总统计-机械设备备案证电子证照汇总统计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对产权企业完成申请机械设备备案证电子证照的数据进行查看及汇总统计。</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建筑机械管理-机械设备备案证管理-机械设备备案证管理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对申领完成建筑起重机械备案证电子证照的机械设备进行后续管理。特殊情况下对于机械可进行锁定和备案证电子证照撤销。</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工地视频智能监管-智能监管-视频设备退场申请</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新增工地退场（销户）申请，由建设单位或现场项目负责人在系统中发起退场申请；</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工地视频智能监管-智能监管-视频设备退场审核</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新增工地退场（销户）审核，由管理部门在系统中审核通过后完成退场；</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预警信息相关页面添加导出功能，包括上报编号、问题类型、工地名称、预警时间、预警内容等，导出EXCEL格式数据结果</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建设工程质量检测监管信息系统-预警设置与监管数据分析</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单位管理员设置问题相关消息接收人员。其中不合格信息默认推送至工程项目见证取样人员、施工单位项目经理、监理单位项目总监、建设单位联系人，单位管理员可添加其他人员。</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显示检测量、报告数量、不合格分布及走势等检测信息统计图表。</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建设工程质量检测监管信息系统-相关方基础信息查询与管理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lang w:eastAsia="zh-CN"/>
              </w:rPr>
              <w:t>管理</w:t>
            </w:r>
            <w:r>
              <w:rPr>
                <w:rFonts w:hint="eastAsia" w:ascii="Tahoma" w:hAnsi="Tahoma" w:cs="Tahoma"/>
                <w:color w:val="000000"/>
                <w:kern w:val="0"/>
                <w:sz w:val="22"/>
                <w:szCs w:val="22"/>
              </w:rPr>
              <w:t>部门可维护企业信用记录。</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管理部门可维护个人信用记录。</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建设工程质量检测监管信息系统-项目质量检测信息查询与管理-检测设计要求、计划与制度</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设计单位填写检测要求、总计预估量，上传设计图纸。</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建设、施工、监理单位分别上传质量检测管理制度文件。</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建设单位填写含检测内容、检测批次、检测数量，上传签字盖章的计划文件。</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建设工程质量检测监管信息系统-项目质量检测信息查询与管理-检测合同信息报送</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lang w:eastAsia="zh-CN"/>
              </w:rPr>
              <w:t>（1）</w:t>
            </w:r>
            <w:r>
              <w:rPr>
                <w:rFonts w:hint="eastAsia" w:ascii="Tahoma" w:hAnsi="Tahoma" w:cs="Tahoma"/>
                <w:color w:val="000000"/>
                <w:kern w:val="0"/>
                <w:sz w:val="22"/>
                <w:szCs w:val="22"/>
              </w:rPr>
              <w:t>合同信息报送。新增合同：检测机构或委托单位通过系统报送合同信息，报送完成后双方确认、完成数字签章操作。合同信息变更：检测机构或委托单位在合同变更确定之日的15日内，通过报送系统填写变更信息，双方确认并数字签章后完成。支付信息报送：委托单位在支付完成后的15日内，通过系统填写支付情况、上传支付凭证，完成数字签章操作。</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建设工程质量检测监管信息系统-项目质量检测信息查询与管理-检测相关信息查询</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提供工程项目检测信息查询功能。检测相关信息包括委托单位信息、工程项目信息、样品信息、检测参数及检测结果、检测报告等信息，可下载电子报告文件。含移动端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建设工程质量检测监管信息系统-从业人员实名管理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含从业人员实名验证、实名验证信息查询、实名验证信息查询移动端。从业人员通过移动端检测专项程序完成实名验证，验证通过后方可开展见证取样及现场检测等相关工作。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监管部门可通过PC端程序查询从业人员实名验证信息。</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监管部门可通过移动端检测专项程序查询从业人员实名验证信息。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建设工程质量检测监管信息系统-项目质量检测过程监督-工程现场检测信息查询</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lang w:eastAsia="zh-CN"/>
              </w:rPr>
              <w:t>（1）</w:t>
            </w:r>
            <w:r>
              <w:rPr>
                <w:rFonts w:hint="eastAsia" w:ascii="Tahoma" w:hAnsi="Tahoma" w:cs="Tahoma"/>
                <w:color w:val="000000"/>
                <w:kern w:val="0"/>
                <w:sz w:val="22"/>
                <w:szCs w:val="22"/>
              </w:rPr>
              <w:t>质量监督机构可查询工程项目现场检测信息，包括检测项目、见证员及检测人员实名验证情况、工程定位及人员定位信息、现场检测照片、计划信息及计划执行信息等内容。</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以地图及列表两种方式显示24小时内上传过数据的基桩静载工程信息，包括工程名称、检测机构名称及会员编号、设备编号、桩号、数据采集状态（是否结束）。</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建设工程质量检测监管信息系统-项目质量检测过程监督-工程项目情况查看</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点击工程项目可查看基桩检测数据上传及现场检测信息情况。</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可连接检测机构视频监控系统，实现远程实时预览和回放及远程图像的抓取。</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建设工程质量检测监管信息系统-问题上报及整改处理-不合格信息接收及整改处理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检测机构出具不合格报告，系统将不合格提醒信息以短信及系统消息两种方式发送至工程项目施工单位（取样员、项目经理）、监理单位（见证员、项目总监）及建设单位相关人员。接收人员确认不合格提醒。</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施工单位项目经理处理不合格信息，填写处理说明，上传相关文件。</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建设工程质量检测监管信息系统-问题上报及整改处理-不合格信息审核与确认</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监理单位项目总监审核不合格处理情况。审核不通过时由施工单位修改不合格处理情况。</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建设单位指定联系人确认不合格处理情况。如建设单位认为处理情况不符合要求，由施工单位重新提交整改处理说明。</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建设工程质量检测监管信息系统-问题上报及整改处理-问题上报或申诉</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其他问题上报或提交，反馈详细内容，其他问题整改或申诉</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建设工程质量检测监管信息系统-问题上报及整改处理-质量监督机构审核分发与问题处理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质量监督机构审核、分发完成，系统将待处理问题通过系统消息或短信方式发送给责任单位相关人员。质量监督机构对申诉问题进行处理，可驳回申诉或重新分发。申诉驳回后由原责任单位进行整改处理，重新分发后由新的责任单位进行整改处理。</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还包括整改情况抽查及申诉处理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建设工程质量检测监管信息系统-质量检测数据统计分析-质量数据查询与统计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lang w:eastAsia="zh-CN"/>
              </w:rPr>
              <w:t>（1）</w:t>
            </w:r>
            <w:r>
              <w:rPr>
                <w:rFonts w:hint="eastAsia" w:ascii="Tahoma" w:hAnsi="Tahoma" w:cs="Tahoma"/>
                <w:color w:val="000000"/>
                <w:kern w:val="0"/>
                <w:sz w:val="22"/>
                <w:szCs w:val="22"/>
              </w:rPr>
              <w:t>不合格及异常</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2</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工地查询与统计</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人均工作量统计</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建设工程质量检测监管信息系统-质量检测数据统计分析-检测数据修改情况</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按街道和按区县：支持以街道为维度，统计全市各区各街道的工程未检查率，并按街道名称分组展示统计结果。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支持同时选择街道名称和工程确认时间进行组合查询，精确统计符合条件的数据。</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以表格、图表（如柱状图、饼图）等形式展示统计结果，便于用户直观分析未检查率分布情况。</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支持将统计结果导出为Excel、PDF等格式，便于用户存档或进一步分析。</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建设工程质量检测监管信息系统-质量检测数据统计分析-检测情况分析</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lang w:eastAsia="zh-CN"/>
              </w:rPr>
              <w:t>（2）</w:t>
            </w:r>
            <w:r>
              <w:rPr>
                <w:rFonts w:hint="eastAsia" w:ascii="Tahoma" w:hAnsi="Tahoma" w:cs="Tahoma"/>
                <w:color w:val="000000"/>
                <w:kern w:val="0"/>
                <w:sz w:val="22"/>
                <w:szCs w:val="22"/>
              </w:rPr>
              <w:t>检测计划执行情况分析</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3</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检测合格率分析</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4</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检测结果一致性分析</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5</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趋势分析</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对检测机构各年度检测量、产值进行分析，了解检测机构发展情况。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135</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建设主体管理</w:t>
            </w: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企业资质管理-企业资质电子证照国家标准建设-制作证照模板与生成</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根据国家标准定制电子证照模板，包含资质类别、等级、证书编号、二维码、发证机关等字段在照面上的显示位置</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自动提取企业资质数据（如资质类别、有效期），生成符合标准的OFD电子证照；增项、变更场景）。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企业资质管理-企业资质电子证照国家标准建设-集成电子签章</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支持批量生成（如企业资质</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集成建管平台现有电子签章系统，对生成好的电子证照进行签章，支持OFD格式电子签章，加盖发证机关公章签发证照；</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提供印章防伪验证功能。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企业资质管理-企业资质电子证照国家标准建设-证照信息变更</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企业资质信息变更（如名称、地址调整）后，自动生成新版电子证照并重新签发电子证照。</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企业资质管理-企业资质电子证照国家标准建设-电子证照申领与管理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企业用户通过建管平台申领电子证照，支持在线预览、下载OFD文件</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企业可在线填写证照用途、有效期，生成带水印的使用件（如投标专用件）；使用件与原始证照关联，防止篡改。</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企业资质管理-企业资质电子证照国家标准建设-证书验证服务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提供二维码扫描验证（通过微信扫一扫），读取最新的证照信息；</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验证接口对接国家政务服务平台权威数据库。</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企业资质常态化监管-企业资质常态化监管计算-获取在沪建设工程企业注册人员的服务程序</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按照资质常态化监管要求建立在沪建设工程企业注册人员映射数据库，建设定期获取在沪建设工程企业注册人员的服务程序。定期启动，具体获取来源及内容包括：本市建设工程企业部批注册人员，通过全国建筑市场监管公共服务平台提供的部省接口获取；市批注册人员，通过上海市建设市场管理信息平台提供的接口获取。外省市进沪建设工程企业注册人员统一从四库一平台提供的部省接口获取。</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企业资质常态化监管-企业资质常态化监管计算-定期计算服务及监控管理程序</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建设企业资质常态化监管定期计算服务程序，定期启动，在获取完成在沪建设工程企业注册人员后，按照企业资质常态化监管规则对在沪建设工程企业资质开展符合性计算，对不符合要求的企业资质，进行分类标识。资质标识分为提示、提醒和警示三种状态，具体计算规则如下：</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提示：当建设工程企业注册人员低于资质标准要求人数，但高于（或者等于）资质标准要求人数的75%，将该类企业资质标识为“提示”状态。</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提醒：当建设工程企业注册人员低于资质标准要求人数的75%，但高于（或者等于）资质标准要求人数的25%，将该类企业资质标识为“提醒”状态。</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警示：当建设工程企业注册人员低于资质标准要求人数的25%，将该类企业资质标识为“警示”状态</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资质常态化监管定期计算监控管理程序，管理部门可通过程序实时掌握每期企业注册人员获取整体情况及资质常态化监管计算整体情况；可对未完成的任务进行重新获取/计算或者补充获取/计算等操作；可查看每家企业的注册人员获取情况及资质计算情况，可针对企业资质发起重新计算。</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企业资质常态化监管-企业资质常态化监管结果公开-企业端</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含企业端和管理端，企业登录建管平台企业端，在企业电子档案系统的动态监管提示程序中查看</w:t>
            </w:r>
            <w:r>
              <w:rPr>
                <w:rFonts w:hint="eastAsia" w:ascii="Tahoma" w:hAnsi="Tahoma" w:cs="Tahoma"/>
                <w:color w:val="000000"/>
                <w:kern w:val="0"/>
                <w:sz w:val="22"/>
                <w:szCs w:val="22"/>
                <w:lang w:eastAsia="zh-CN"/>
              </w:rPr>
              <w:t>其</w:t>
            </w:r>
            <w:r>
              <w:rPr>
                <w:rFonts w:hint="eastAsia" w:ascii="Tahoma" w:hAnsi="Tahoma" w:cs="Tahoma"/>
                <w:color w:val="000000"/>
                <w:kern w:val="0"/>
                <w:sz w:val="22"/>
                <w:szCs w:val="22"/>
              </w:rPr>
              <w:t>资质标识情况（包括资质类别等级、考核要求、实际人数、资质标识等内容）、资质标识日期、资质标识时点企业注册人员详细情况等。</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管理部门用户登录建管平台管理端，在资质常态化监管程序中，查询查看企业当期或历史资质标识情况（包括资质类别等级、考核要求、实际人数、资质标识等内容）、资质标识日期、资质标识时点企业注册人员详细情况等。</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企业资质常态化监管-企业资质常态化监管统计-企业资质常态化监管统计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管理部门登录建管平台管理端，对当前在沪建设工程企业资质常态化监管结果进行统计，具体统计内容如下。</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1、第一级页面。默认显示计算时间及全市资质信息标识统计概况，可通过选择计算时间切换展示相应结果。</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2、第二级页面选择部批、市批或外省市进入第二级页面，主要展示各资质类别对应情况。</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3、第三级页面选择资质大类后进入第三级页面，按涉及的资质类别进行统计，此处不具体展开。</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统计结果以报表的形式展示，并能够输出为各种常用的文档形式。</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企业资质常态化监管-企业资质常态化监管结果对其他外部系统的影响-资质标识在资质管理的结果应用</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企业存在资质标识的，企业不得申请同类别资质的增项、升级、重组分立合并、跨省变更和延续等资质许可。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企业资质常态化监管-企业资质常态化监管结果对其他外部系统的影响-按照标识结果进行抽查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资质标识为“提示”状态的，本市抽取一定比例开展动态核查。资质标识为“提醒”状态的，本市加大对该类资质的动态核查抽取比例；资质标识为“警示”状态的，本市对该类资质全量开展动态核查。</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企业资质常态化监管-企业资质常态化监管结果对其他外部系统的影响-资质标识的结果应用</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按照建管平台承发包管理系统相关要求，提供数据接口。</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企业资质常态化监管-企业资质常态化监管结果对其他外部系统的影响-资质标识相关内容上传住建部四库一平台</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按照住建部最新政策文件要求及四库一平台数据上行接口要求，将本市建设工程企业资质标识相关内容上传住建部四库一平台。</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企业资质常态化监管-企业资质常态化监管结果应用-招投标企业资质核验-企业资质状态核验</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根据企业资质常态化监管要求，在开标环节增加投标企业资质状态核验的功能，按照招标人设定的投标人企业资质要求，逐一核对投标企业对应的企业资质状态并记录。</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企业资质常态化监管-企业资质常态化监管结果应用-招投标企业资质核验-企业资质状态分析汇总</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在评标环节对投标企业的资质进行分析、汇总，并为评标专家提供查询功能，并对企业资质状态存在异常情况进行预警，提示专家重点复核。</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人员注册资格管理-二级注册造价工程师电子证照国家标准建设-制作证照模板与电子证照生成</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根据国家标准定制电子证照模板，包含证书编号、注册专业、有效期、发证机关等字段在照面的具体位置</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自动提取注册造价师数据（如注册专业、有效期、执业印章信息），生成符合标准的OFD电子证照；</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支持批量生成（如注册变更、延续场景）。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人员注册资格管理-二级注册造价工程师电子证照国家标准建设-集成电子签章</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集成建管平台现有电子签章系统，对生成好的电子证照进行签章，支持OFD格式电子签章，加盖发证机关公章签发证照；</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提供印章防伪验证功能。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人员注册资格管理-二级注册造价工程师电子证照国家标准建设-证照信息变更与验证</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注册造价师信息变更（如姓名、单位、执业印章更换）后，自动生成新版电子证照并重新签发电子证照。提供二维码扫描验证（通过微信扫一扫），读取最新的证照信息；</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验证接口对接国家政务服务平台权威数据库。</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人员注册资格管理-二级注册造价工程师电子证照国家标准建设-电子证照申领与管理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个人用户通过建管平台申领电子证照，支持在线预览、下载OFD文件。</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用户可在线填写证照用途、有效期，生成带水印的使用件（如投标专用件）；</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使用件与原始证照关联，防止篡改。</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人员注册资格管理-注册人员继续教育管理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与继续教育信息化管理平台对接，自动同步建造师注册的继续教育学时数据（必修课、选修课、培训时间、培训机构等），生成多维度统计报表（机构培训量排名、建造师学时完成率等）。</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安全生产许可管理-安全生产许可证告知承诺事项批后监管-新建项目监管-人员配备情况及新建工地检查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调取企业安管人员数据库（含三类人员证书信息），由系统自动比对安管人员配备是否满足申报要求，产生比对异常的数据，自动给予预警，线上开具整改单提示企业整改。</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系统自动抓取企业新建项目信息，提供界面给管理部门查询，并通过系统派单组织新建工地检查，将检查记录录入系统，对检查结果进行处理。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安全生产许可管理-安全生产许可证告知承诺事项批后监管-新建项目监管-申请材料审查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通过人工审查申请材料是否满足申报要求，并提供界面由管理部门处理异常材料的企业，根据情况线上开具整改单。</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安全生产许可管理-安全生产许可证告知承诺事项批后监管-新建项目监管-跨区工地协同检查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建立跨区域监管工单流转机制，实现企业注册地监管部门将新建工地情况推送至项目所属地工程监管部门，委托开展审批后续项目监管。</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建设工程所属监管部门当发现建设工程存在拒不整改或经整改仍达不到安全生产条件的，可向企业注册地批后监管部门推送，请求开展企业安全生产条件核查的功能。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安全生产许可管理-安全生产许可证告知承诺事项批后监管-日常监管-人员配备及企业情况检查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调取企业安管人员数据库（含三类人员证书信息），由系统自动比对安管人员配备是否满足申报要求，产生比对异常的数据，给予自动预警，达到橙色预警时线上开具整改单。由系统自动标记外省市企业在沪项目，提供界面给管理部门进行筛选查询，通过系统派单生成检查任务，由检查人员录入检查结果，并联系企业注册地管理部门进行处理，将处理结果记录到企业在沪档案。</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安全生产许可管理-安全生产许可证告知承诺事项批后监管-日常监管-动态监管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基于《管理办法》第十一条要求，设置动态监管必查企业范围，由系统自动生成专项检查企业清单，各区进行检查后录入检查结果。</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安全生产许可管理-安全生产许可证告知承诺事项批后监管-动态预警中心-动态预警中心</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基于《管理办法》第十四条要求，构建智能化预警中枢，对安管人员不达标等降低安全生产条件的企业实施分级预警，通过红、橙、黄三色预警模型实现精准监管，落实</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早发现、严管控、快处置</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的监管目标。</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对接安管人员系统，每天自动计算企业安管人员配备情况；</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对接安许证动态监管检查结果数据；</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提供界面，由管理部门录入建设部推送降低安全生产条件企业等名单。</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161</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建设管理统计分析系统</w:t>
            </w: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建筑业经济数据填报-项目投资数据填报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由项目建设单位（业主单位）登录系统后，进入填报页面选择新建项目，填写各项投资明细数据；投资数据提交后系统自动归档并锁定，避免后期随意修改，确保数据可追溯性</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162</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建筑业经济数据填报-合同经济工作量填报</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新合同的合同价的组成填写；历史合同的组成的填写</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新增合同的每半年度产值计划填写；历史合同的每半年度产值计划填写</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上个月的工作量及当月的预计量的填写；历史月份工作量的填写</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建筑业经济数据填报-管理统计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通过多维度指标（投资额、月度增长率、履约偏差率等）对重点项目进行自动识别与分类，为主管部门聚焦关键项目提供支撑；用户可点击分类标签（如：</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重点监管项目</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投资放缓项目</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正常推进项目</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）快速筛选相关项目并查看详情</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系统自动计算偏差率（偏差率 = (计划 - 实际) / 计划），实时监控计划产值与实际产值的偏差情况；偏差率超过10%时，系统生成</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进度偏差提醒</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，通过消息提醒方式呈现</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各行政区、管委会所辖项目经济数据（如总产值、完成率、投资密度）进行统计排名；排名规则可灵活设定：按累计总产值、季度增速、项目数量、平均投资额等多维度组合排序；可导出为PDF/Excel，满足不同场景使用需求</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建筑业经济数据填报-管理分析</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系统根据每月实际产值变化趋势、季节性模型、施工阶段模型自动推演未来产值走势；用户可选择预测周期（如未来3个月、6个月）及模型类型（线性、加权等）进行灵活预测；系统输出预计产值、偏差区间图等辅助图表，实现项目过程</w:t>
            </w:r>
            <w:r>
              <w:rPr>
                <w:rFonts w:hint="eastAsia" w:ascii="Tahoma" w:hAnsi="Tahoma" w:cs="Tahoma"/>
                <w:color w:val="000000"/>
                <w:kern w:val="0"/>
                <w:sz w:val="22"/>
                <w:szCs w:val="22"/>
                <w:lang w:eastAsia="zh-CN"/>
              </w:rPr>
              <w:t>“</w:t>
            </w:r>
            <w:r>
              <w:rPr>
                <w:rFonts w:hint="eastAsia" w:ascii="Tahoma" w:hAnsi="Tahoma" w:cs="Tahoma"/>
                <w:color w:val="000000"/>
                <w:kern w:val="0"/>
                <w:sz w:val="22"/>
                <w:szCs w:val="22"/>
              </w:rPr>
              <w:t>可预测、可调整</w:t>
            </w:r>
            <w:r>
              <w:rPr>
                <w:rFonts w:hint="eastAsia" w:ascii="Tahoma" w:hAnsi="Tahoma" w:cs="Tahoma"/>
                <w:color w:val="000000"/>
                <w:kern w:val="0"/>
                <w:sz w:val="22"/>
                <w:szCs w:val="22"/>
                <w:lang w:eastAsia="zh-CN"/>
              </w:rPr>
              <w:t>”</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用户可选择项目、时间范围、对比方式（同比/环比），支持多维度联动筛选；系统自动生成趋势折线图、柱状图、热力图等多类型图形，提升数据可视化与理解效率</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从产值填报的完整性、及时性、计划达成率、偏差率等维度进行排名；展示各企业的排名趋势变化</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证照服务-证照模板适配</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包括以下类证照模板重新开发：</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安全生产许可管理：施工许可证、安全</w:t>
            </w:r>
            <w:r>
              <w:rPr>
                <w:rFonts w:hint="eastAsia" w:ascii="Tahoma" w:hAnsi="Tahoma" w:cs="Tahoma"/>
                <w:color w:val="000000"/>
                <w:kern w:val="0"/>
                <w:sz w:val="22"/>
                <w:szCs w:val="22"/>
                <w:lang w:eastAsia="zh-CN"/>
              </w:rPr>
              <w:t>生产许可证</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建筑机械：机械备案证、机械使用登记证、</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工程竣工验收备案：竣工备案证、</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企业资质：资质证书</w:t>
            </w:r>
          </w:p>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人员注册资格管理：注册人员证</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安全监督：安全监督人员考核合格证 ；</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证照服务-证照数据对接改造</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包含安全生产许可管理、建筑机械、工程竣工验收备案、企业资质、人员执业资格、安全监督等业务系统证照数据对接；</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证照服务-证照生成调整-证照电子签章服务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支持安全生产许可管理类、建筑机械类、工程竣工验收备案类、企业资质类、人员执业资格类、安全监督类等各类业务电子签章对接修改</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证照服务-证照生成调整-业务证照生成及下载</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包含安全生产许可管理类、建筑机械类、工程竣工验收备案类、企业资质类、人员执业资格类、安全监督类等接口改造，支持在线预览及下载功能</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报表服务-报表样式适配</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包含以下报表重新绘制：建设工程类统计报表、电子招投标类、勘察、设计类报表、施工、监理类、承包类、合同信息类、竣工备案类、总站综合管理类等的统计报表</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报表服务-业务数据对接改造</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包含综合管理、项目负责人计分管理、工程勘察质量管理系统、质量管理、工程监督、建筑机械管理、安全生产许可管理、人员注册资格管理、工程竣工验收备案、企业资质管理、项目信息报送、招投标备案、施工许可管理、合同信息报送和监管、电子招投标交易 等业务模块数据对接；</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报表服务-报表展示调整</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将各业务系统的</w:t>
            </w:r>
            <w:r>
              <w:rPr>
                <w:rFonts w:hint="eastAsia" w:ascii="Tahoma" w:hAnsi="Tahoma" w:cs="Tahoma"/>
                <w:color w:val="000000"/>
                <w:kern w:val="0"/>
                <w:sz w:val="22"/>
                <w:szCs w:val="22"/>
                <w:lang w:eastAsia="zh-CN"/>
              </w:rPr>
              <w:t>报表</w:t>
            </w:r>
            <w:r>
              <w:rPr>
                <w:rFonts w:hint="eastAsia" w:ascii="Tahoma" w:hAnsi="Tahoma" w:cs="Tahoma"/>
                <w:color w:val="000000"/>
                <w:kern w:val="0"/>
                <w:sz w:val="22"/>
                <w:szCs w:val="22"/>
              </w:rPr>
              <w:t>进行替换，确保各业务报表功能正常，包括支持多维度筛选、条件联动查询，并实现报表数据分页加载、查看详情等</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172</w:t>
            </w: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X数据交换</w:t>
            </w: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区块链-作业人员实名制工资担保支付应用-实名制工资上链数据指标管理系统-实名制工资数据目录管理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对实名制工资数据目录进行新增、修改和删除操作。实现建管平台业务数据与区块链节点的双向流转，定时或实时同步数据目录信息</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173</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区块链-作业人员实名制工资担保支付应用-实名制工资上链数据指标管理系统-实名制工资上链数据授权管理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配置管理模块通过可视化界面定义中间库数据与接收方的映射规则，结合链管理系统的授权策略实现数据按需授权。支持从时间维度、用户维度、具体数据项维度对实名制工资数据进行精准授权。</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174</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区块链-作业人员实名制工资担保支付应用-实名制工资上链数据指标管理系统-实名制工资访问权限及安全管理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对链上用户访问权限和安全进行编辑管理。角色的查看、创建、编辑、删除，以及资源的分配。资源菜单的管理、日志管理。</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175</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区块链-作业人员实名制工资担保支付应用-建管平台前置交互服务系统-工程项目数据上链存证</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从建管平台中间库读取项目各阶段数据，调用权益保障链相关合约，完成数据推送上链并记录日志</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176</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区块链-作业人员实名制工资担保支付应用-建管平台前置交互服务系统-工程项目链上数据获取</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调用权益保障链相关合约，从链上读取项目各阶段数据信息并将数据计入建管平台中间库，记录日志</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177</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区块链-作业人员实名制工资担保支付应用-实名制工资链上数据通用查询服务</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基于权益保障链开放服务平台，开发实名制工资综合查询服务，满足建管平台对于链上业务状态变更的查询统计需求</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178</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区块链-作业人员实名制工资担保支付应用-实名制工资上链数据应用服务系统-实名制工资敏感信息加密解密处理</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对实名制工资涉及的部分敏感信息加密解密处理，密钥管理，确保数据在传输与存储过程中的机密性、完整性和不可篡改性。</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179</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区块链-作业人员实名制工资担保支付应用-实名制工资上链数据应用服务系统-实名制工资数据上链与订阅</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开发实名制工资数据管理功能，定时</w:t>
            </w:r>
            <w:r>
              <w:rPr>
                <w:rFonts w:hint="eastAsia" w:ascii="Tahoma" w:hAnsi="Tahoma" w:cs="Tahoma"/>
                <w:color w:val="000000"/>
                <w:kern w:val="0"/>
                <w:sz w:val="22"/>
                <w:szCs w:val="22"/>
                <w:lang w:eastAsia="zh-CN"/>
              </w:rPr>
              <w:t>触发</w:t>
            </w:r>
            <w:r>
              <w:rPr>
                <w:rFonts w:hint="eastAsia" w:ascii="Tahoma" w:hAnsi="Tahoma" w:cs="Tahoma"/>
                <w:color w:val="000000"/>
                <w:kern w:val="0"/>
                <w:sz w:val="22"/>
                <w:szCs w:val="22"/>
              </w:rPr>
              <w:t>进行实名制工资数据上链，数据下链和数据订阅服务，进行数据处理，满足实名制工资业务数据需求。</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180</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区块链-作业人员实名制工资担保支付应用-实名制工资上链数据应用服务系统-权益保障链数据状态集成及运行情况监控</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通过调用权益保障链智能合约，集成多维度实时数据，全局监控链上实名制工资数据状态。</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通过调用权益保障链智能合约，融合建管平台业务运行数据，</w:t>
            </w:r>
            <w:r>
              <w:rPr>
                <w:rFonts w:hint="eastAsia" w:ascii="Tahoma" w:hAnsi="Tahoma" w:cs="Tahoma"/>
                <w:color w:val="000000"/>
                <w:kern w:val="0"/>
                <w:sz w:val="22"/>
                <w:szCs w:val="22"/>
                <w:lang w:eastAsia="zh-CN"/>
              </w:rPr>
              <w:t>实时</w:t>
            </w:r>
            <w:r>
              <w:rPr>
                <w:rFonts w:hint="eastAsia" w:ascii="Tahoma" w:hAnsi="Tahoma" w:cs="Tahoma"/>
                <w:color w:val="000000"/>
                <w:kern w:val="0"/>
                <w:sz w:val="22"/>
                <w:szCs w:val="22"/>
              </w:rPr>
              <w:t>监控保证金场景、工资发放场景下的链运行情况。</w:t>
            </w:r>
          </w:p>
        </w:tc>
      </w:tr>
      <w:tr>
        <w:tblPrEx>
          <w:tblCellMar>
            <w:top w:w="0" w:type="dxa"/>
            <w:left w:w="108" w:type="dxa"/>
            <w:bottom w:w="0" w:type="dxa"/>
            <w:right w:w="108" w:type="dxa"/>
          </w:tblCellMar>
        </w:tblPrEx>
        <w:trPr>
          <w:trHeight w:val="44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181</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区块链-作业人员实名制工资担保支付应用-实名制工资上链数据应用服务系统-权益保障链业务数据报表生成及预警信息推送</w:t>
            </w:r>
          </w:p>
        </w:tc>
        <w:tc>
          <w:tcPr>
            <w:tcW w:w="27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ahoma" w:hAnsi="Tahoma" w:eastAsia="宋体" w:cs="Tahoma"/>
                <w:color w:val="000000"/>
                <w:kern w:val="0"/>
                <w:sz w:val="22"/>
                <w:szCs w:val="22"/>
                <w:lang w:eastAsia="zh-CN"/>
              </w:rPr>
            </w:pPr>
            <w:r>
              <w:rPr>
                <w:rFonts w:hint="eastAsia" w:ascii="Tahoma" w:hAnsi="Tahoma" w:cs="Tahoma"/>
                <w:color w:val="000000"/>
                <w:kern w:val="0"/>
                <w:sz w:val="22"/>
                <w:szCs w:val="22"/>
              </w:rPr>
              <w:t>以丰富的图表形式，对链上业务运行数据进行分析，提供多维度统计数据，支持自定义报表生成。</w:t>
            </w:r>
          </w:p>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通过调用权益保障链智能合约，融合建管平台业务运行数据，比对业务数据发现推送工资支付异常、保证金不足、</w:t>
            </w:r>
            <w:r>
              <w:rPr>
                <w:rFonts w:hint="eastAsia" w:ascii="Tahoma" w:hAnsi="Tahoma" w:cs="Tahoma"/>
                <w:color w:val="000000"/>
                <w:kern w:val="0"/>
                <w:sz w:val="22"/>
                <w:szCs w:val="22"/>
                <w:lang w:eastAsia="zh-CN"/>
              </w:rPr>
              <w:t>未</w:t>
            </w:r>
            <w:r>
              <w:rPr>
                <w:rFonts w:hint="eastAsia" w:ascii="Tahoma" w:hAnsi="Tahoma" w:cs="Tahoma"/>
                <w:color w:val="000000"/>
                <w:kern w:val="0"/>
                <w:sz w:val="22"/>
                <w:szCs w:val="22"/>
              </w:rPr>
              <w:t>按时状态更新等异常情况，进行信息预警，实时推送预警信息，并跟踪处置进度。</w:t>
            </w:r>
          </w:p>
        </w:tc>
      </w:tr>
    </w:tbl>
    <w:p>
      <w:pPr>
        <w:pStyle w:val="14"/>
        <w:numPr>
          <w:ilvl w:val="0"/>
          <w:numId w:val="0"/>
        </w:numPr>
        <w:spacing w:after="163"/>
      </w:pPr>
    </w:p>
    <w:p/>
    <w:p/>
    <w:p>
      <w:pPr>
        <w:pStyle w:val="2"/>
      </w:pPr>
      <w:r>
        <w:rPr>
          <w:rFonts w:hint="eastAsia"/>
        </w:rPr>
        <w:t>低代码建设要求</w:t>
      </w:r>
    </w:p>
    <w:p>
      <w:pPr>
        <w:pStyle w:val="107"/>
        <w:snapToGrid w:val="0"/>
        <w:spacing w:line="360" w:lineRule="auto"/>
        <w:ind w:firstLine="480"/>
        <w:rPr>
          <w:rFonts w:ascii="宋体" w:hAnsi="宋体"/>
          <w:sz w:val="24"/>
          <w:szCs w:val="24"/>
        </w:rPr>
      </w:pPr>
      <w:r>
        <w:rPr>
          <w:rFonts w:hint="eastAsia" w:ascii="宋体" w:hAnsi="宋体"/>
          <w:sz w:val="24"/>
          <w:szCs w:val="24"/>
        </w:rPr>
        <w:t>本项目不使用低代码平台建设。</w:t>
      </w:r>
    </w:p>
    <w:p>
      <w:pPr>
        <w:pStyle w:val="2"/>
      </w:pPr>
      <w:bookmarkStart w:id="21" w:name="_Toc63785503"/>
      <w:r>
        <w:rPr>
          <w:rFonts w:hint="eastAsia"/>
        </w:rPr>
        <w:t>其他工作要求</w:t>
      </w:r>
      <w:bookmarkEnd w:id="21"/>
    </w:p>
    <w:p>
      <w:pPr>
        <w:keepNext/>
        <w:keepLines/>
        <w:numPr>
          <w:ilvl w:val="1"/>
          <w:numId w:val="4"/>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22" w:name="_Toc62209488"/>
      <w:bookmarkEnd w:id="22"/>
      <w:bookmarkStart w:id="23" w:name="_Toc61968111"/>
      <w:bookmarkEnd w:id="23"/>
      <w:bookmarkStart w:id="24" w:name="_Toc63151871"/>
      <w:bookmarkEnd w:id="24"/>
      <w:bookmarkStart w:id="25" w:name="_Toc62219358"/>
      <w:bookmarkEnd w:id="25"/>
      <w:bookmarkStart w:id="26" w:name="_Toc63585480"/>
      <w:bookmarkEnd w:id="26"/>
      <w:bookmarkStart w:id="27" w:name="_Toc63785439"/>
      <w:bookmarkEnd w:id="27"/>
      <w:bookmarkStart w:id="28" w:name="_Toc63762370"/>
      <w:bookmarkEnd w:id="28"/>
      <w:bookmarkStart w:id="29" w:name="_Toc63785504"/>
      <w:bookmarkEnd w:id="29"/>
    </w:p>
    <w:p>
      <w:pPr>
        <w:pStyle w:val="3"/>
      </w:pPr>
      <w:bookmarkStart w:id="30" w:name="_Toc63785505"/>
      <w:r>
        <w:rPr>
          <w:rFonts w:hint="eastAsia"/>
        </w:rPr>
        <w:t>售后服务要求</w:t>
      </w:r>
      <w:bookmarkEnd w:id="30"/>
    </w:p>
    <w:p>
      <w:pPr>
        <w:pStyle w:val="107"/>
        <w:snapToGrid w:val="0"/>
        <w:spacing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pPr>
        <w:pStyle w:val="107"/>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pPr>
        <w:pStyle w:val="107"/>
        <w:snapToGrid w:val="0"/>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在质量保证期内，供应商负责信息系统的运行维护工作，确保信息系统安全、稳定、可靠地运行。本项目涉及的运行维护工作范围为：上海市建设市场管理信息平台相关子系统。</w:t>
      </w:r>
    </w:p>
    <w:p>
      <w:pPr>
        <w:pStyle w:val="3"/>
      </w:pPr>
      <w:bookmarkStart w:id="31" w:name="_Toc63785506"/>
      <w:r>
        <w:rPr>
          <w:rFonts w:hint="eastAsia"/>
        </w:rPr>
        <w:t>应急响应要求</w:t>
      </w:r>
      <w:bookmarkEnd w:id="31"/>
    </w:p>
    <w:p>
      <w:pPr>
        <w:spacing w:line="600" w:lineRule="exact"/>
      </w:pPr>
      <w:r>
        <w:rPr>
          <w:rFonts w:hint="eastAsia"/>
        </w:rPr>
        <w:t>供应商对系统故障应能够实时响应，若系统发生故障，接到通知后30分钟之内响应，专业工程师2小时内到达现场。特殊故障与采购人沟通协商后，按照协商的方式制定解决方案并进行处理。</w:t>
      </w:r>
    </w:p>
    <w:p>
      <w:pPr>
        <w:spacing w:line="600" w:lineRule="exact"/>
      </w:pPr>
      <w:r>
        <w:rPr>
          <w:rFonts w:hint="eastAsia"/>
        </w:rPr>
        <w:t>具体故障级别及对应的应急响应要求如下：</w:t>
      </w:r>
    </w:p>
    <w:p>
      <w:pPr>
        <w:spacing w:line="600" w:lineRule="exact"/>
      </w:pPr>
      <w:r>
        <w:rPr>
          <w:rFonts w:hint="eastAsia"/>
        </w:rPr>
        <w:t>一级故障：在1小时内确诊，总故障解决时间不超过4小时。</w:t>
      </w:r>
    </w:p>
    <w:p>
      <w:pPr>
        <w:spacing w:line="600" w:lineRule="exact"/>
      </w:pPr>
      <w:r>
        <w:rPr>
          <w:rFonts w:hint="eastAsia"/>
        </w:rPr>
        <w:t>二级故障：在2小时内确诊，并在4小时内由专家到达现场确诊并解决，总故障解决时间不超过8小时；</w:t>
      </w:r>
    </w:p>
    <w:p>
      <w:pPr>
        <w:spacing w:line="600" w:lineRule="exact"/>
      </w:pPr>
      <w:r>
        <w:rPr>
          <w:rFonts w:hint="eastAsia"/>
        </w:rPr>
        <w:t>三、四级故障：在4小时内确诊故障，总故障解决时间不超过16小时。</w:t>
      </w:r>
    </w:p>
    <w:p>
      <w:pPr>
        <w:spacing w:line="600" w:lineRule="exact"/>
      </w:pPr>
      <w:r>
        <w:rPr>
          <w:rFonts w:hint="eastAsia"/>
        </w:rPr>
        <w:t>依据故障时间及故障范围划分故障级别，故障级别分为四级，依次为Ⅰ级（紧急）、Ⅱ级（严重）、Ⅲ级（较大）和Ⅳ级（一般），分别定义如下：</w:t>
      </w:r>
    </w:p>
    <w:p>
      <w:pPr>
        <w:spacing w:line="600" w:lineRule="exact"/>
      </w:pPr>
      <w:r>
        <w:rPr>
          <w:rFonts w:hint="eastAsia"/>
        </w:rPr>
        <w:t>Ⅰ级（紧急）故障为工作时间段（8:30——17:30）内大范围故障；</w:t>
      </w:r>
    </w:p>
    <w:p>
      <w:pPr>
        <w:spacing w:line="600" w:lineRule="exact"/>
      </w:pPr>
      <w:r>
        <w:rPr>
          <w:rFonts w:hint="eastAsia"/>
        </w:rPr>
        <w:t>Ⅱ级（严重）故障为非工作时间段（17:30——次日8:30）内大范围故障；</w:t>
      </w:r>
    </w:p>
    <w:p>
      <w:pPr>
        <w:spacing w:line="600" w:lineRule="exact"/>
      </w:pPr>
      <w:r>
        <w:rPr>
          <w:rFonts w:hint="eastAsia"/>
        </w:rPr>
        <w:t>Ⅲ级（较大）故障为工作时间段（8:30——17:30）内小范围故障；</w:t>
      </w:r>
    </w:p>
    <w:p>
      <w:pPr>
        <w:spacing w:line="600" w:lineRule="exact"/>
      </w:pPr>
      <w:r>
        <w:rPr>
          <w:rFonts w:hint="eastAsia"/>
        </w:rPr>
        <w:t>Ⅳ级（一般）故障为非工作时间段（17:30——次日8:30）内小范围故障；</w:t>
      </w:r>
    </w:p>
    <w:p>
      <w:pPr>
        <w:pStyle w:val="3"/>
      </w:pPr>
      <w:r>
        <w:rPr>
          <w:rFonts w:hint="eastAsia"/>
        </w:rPr>
        <w:t>网络与数据安全</w:t>
      </w:r>
    </w:p>
    <w:p>
      <w:r>
        <w:rPr>
          <w:rFonts w:hint="eastAsia"/>
          <w:lang w:eastAsia="zh-CN"/>
        </w:rPr>
        <w:t>（1）</w:t>
      </w:r>
      <w:r>
        <w:rPr>
          <w:rFonts w:hint="eastAsia"/>
        </w:rPr>
        <w:t>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r>
        <w:rPr>
          <w:rFonts w:hint="eastAsia"/>
          <w:lang w:eastAsia="zh-CN"/>
        </w:rPr>
        <w:t>（2）</w:t>
      </w:r>
      <w:r>
        <w:rPr>
          <w:rFonts w:hint="eastAsia"/>
        </w:rPr>
        <w:t>供应商应配合采购人开展相关安全制度和规范的制定，并根据项目实际，制定项目实施过程安全管理方案。</w:t>
      </w:r>
    </w:p>
    <w:p>
      <w:r>
        <w:rPr>
          <w:rFonts w:hint="eastAsia"/>
          <w:lang w:eastAsia="zh-CN"/>
        </w:rPr>
        <w:t>（3）</w:t>
      </w:r>
      <w:r>
        <w:rPr>
          <w:rFonts w:hint="eastAsia"/>
        </w:rPr>
        <w:t>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r>
        <w:rPr>
          <w:rFonts w:hint="eastAsia"/>
          <w:lang w:eastAsia="zh-CN"/>
        </w:rPr>
        <w:t>（4）</w:t>
      </w:r>
      <w:r>
        <w:rPr>
          <w:rFonts w:hint="eastAsia"/>
        </w:rPr>
        <w:t>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r>
        <w:rPr>
          <w:rFonts w:hint="eastAsia"/>
          <w:lang w:eastAsia="zh-CN"/>
        </w:rPr>
        <w:t>（5）</w:t>
      </w:r>
      <w:r>
        <w:rPr>
          <w:rFonts w:hint="eastAsia"/>
        </w:rPr>
        <w:t>供应商应在项目实施过程中，按照数据差异化安全防护策略，根据系统需要采取数据加密、数据访问控制、日志记录、流转监测等防护能力及相关管理流程，切实保障数据安全。</w:t>
      </w:r>
    </w:p>
    <w:p>
      <w:r>
        <w:rPr>
          <w:rFonts w:hint="eastAsia"/>
          <w:lang w:eastAsia="zh-CN"/>
        </w:rPr>
        <w:t>（6）</w:t>
      </w:r>
      <w:r>
        <w:rPr>
          <w:rFonts w:hint="eastAsia"/>
        </w:rPr>
        <w:t>供应商应按照采购人场地及人员安全管理制度，加强人员管理，配合采购人落实人员背调、入离场、终端管理、网络限制、数据权限最小化等管控措施。</w:t>
      </w:r>
    </w:p>
    <w:p>
      <w:r>
        <w:rPr>
          <w:rFonts w:hint="eastAsia"/>
          <w:lang w:eastAsia="zh-CN"/>
        </w:rPr>
        <w:t>（7）</w:t>
      </w:r>
      <w:r>
        <w:rPr>
          <w:rFonts w:hint="eastAsia"/>
        </w:rPr>
        <w:t>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r>
        <w:rPr>
          <w:rFonts w:hint="eastAsia"/>
          <w:lang w:eastAsia="zh-CN"/>
        </w:rPr>
        <w:t>（8）</w:t>
      </w:r>
      <w:r>
        <w:rPr>
          <w:rFonts w:hint="eastAsia"/>
        </w:rPr>
        <w:t>供应商应在系统免维期内承担系统安全运维管理责任，落实安全管理保障措施，包括但不限于制度修订、风险排查、应急响应、漏洞修复、重保等工作。</w:t>
      </w:r>
    </w:p>
    <w:p>
      <w:pPr>
        <w:pStyle w:val="3"/>
      </w:pPr>
      <w:bookmarkStart w:id="32" w:name="_Toc63785507"/>
      <w:r>
        <w:rPr>
          <w:rFonts w:hint="eastAsia"/>
        </w:rPr>
        <w:t>培训要求</w:t>
      </w:r>
      <w:bookmarkEnd w:id="32"/>
    </w:p>
    <w:p>
      <w:r>
        <w:rPr>
          <w:rFonts w:hint="eastAsia"/>
        </w:rPr>
        <w:t>对系统使用单位提供业务操作培训，应提供详细培训方案。</w:t>
      </w:r>
    </w:p>
    <w:p>
      <w:r>
        <w:rPr>
          <w:rFonts w:hint="eastAsia"/>
          <w:lang w:eastAsia="zh-CN"/>
        </w:rPr>
        <w:t>（1）</w:t>
      </w:r>
      <w:r>
        <w:rPr>
          <w:rFonts w:hint="eastAsia"/>
        </w:rPr>
        <w:t>在12个月的质量保证期内，提供2次与项目相关的必要培训。</w:t>
      </w:r>
    </w:p>
    <w:p>
      <w:r>
        <w:rPr>
          <w:rFonts w:hint="eastAsia"/>
          <w:lang w:eastAsia="zh-CN"/>
        </w:rPr>
        <w:t>（2）</w:t>
      </w:r>
      <w:r>
        <w:rPr>
          <w:rFonts w:hint="eastAsia"/>
        </w:rPr>
        <w:t>供应商需要开展分层次的人员培训工作，每次培训后应对参加培训人员进行测试，评估培训成果。培训应具有培训教材、培训环境和高水平的培训讲师。</w:t>
      </w:r>
    </w:p>
    <w:p>
      <w:r>
        <w:rPr>
          <w:rFonts w:hint="eastAsia"/>
          <w:lang w:eastAsia="zh-CN"/>
        </w:rPr>
        <w:t>（3）</w:t>
      </w:r>
      <w:r>
        <w:rPr>
          <w:rFonts w:hint="eastAsia"/>
        </w:rPr>
        <w:t>供应商应提供一般用户的基础操作培训和部门信息管理员的日常应用维护的培训，确保用户对象能够掌握对应的操作技能。</w:t>
      </w:r>
    </w:p>
    <w:p>
      <w:pPr>
        <w:pStyle w:val="3"/>
      </w:pPr>
      <w:bookmarkStart w:id="33" w:name="_Toc63785508"/>
      <w:r>
        <w:rPr>
          <w:rFonts w:hint="eastAsia"/>
        </w:rPr>
        <w:t>验收要求</w:t>
      </w:r>
      <w:bookmarkEnd w:id="33"/>
    </w:p>
    <w:p>
      <w:pPr>
        <w:rPr>
          <w:szCs w:val="21"/>
        </w:rPr>
      </w:pPr>
      <w:r>
        <w:rPr>
          <w:rFonts w:hint="eastAsia"/>
          <w:szCs w:val="21"/>
        </w:rPr>
        <w:t>本项目按下述方式开展验收。</w:t>
      </w:r>
    </w:p>
    <w:p>
      <w:pPr>
        <w:rPr>
          <w:szCs w:val="21"/>
        </w:rPr>
      </w:pPr>
      <w:r>
        <w:rPr>
          <w:rFonts w:hint="eastAsia"/>
          <w:szCs w:val="21"/>
        </w:rPr>
        <w:t>（</w:t>
      </w:r>
      <w:r>
        <w:rPr>
          <w:szCs w:val="21"/>
        </w:rPr>
        <w:t>1）验收分初验和终验。</w:t>
      </w:r>
    </w:p>
    <w:p>
      <w:pPr>
        <w:rPr>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rPr>
          <w:szCs w:val="21"/>
        </w:rPr>
      </w:pPr>
      <w:r>
        <w:rPr>
          <w:rFonts w:hint="eastAsia"/>
          <w:szCs w:val="21"/>
        </w:rPr>
        <w:t>（</w:t>
      </w:r>
      <w:r>
        <w:rPr>
          <w:szCs w:val="21"/>
        </w:rPr>
        <w:t>3）初验时，供应商须提供软件文档包括《用户需求说明书</w:t>
      </w:r>
      <w:r>
        <w:rPr>
          <w:rFonts w:hint="eastAsia"/>
          <w:szCs w:val="21"/>
          <w:lang w:eastAsia="zh-CN"/>
        </w:rPr>
        <w:t>》《</w:t>
      </w:r>
      <w:r>
        <w:rPr>
          <w:szCs w:val="21"/>
        </w:rPr>
        <w:t>系统概要设计说明书</w:t>
      </w:r>
      <w:r>
        <w:rPr>
          <w:rFonts w:hint="eastAsia"/>
          <w:szCs w:val="21"/>
          <w:lang w:eastAsia="zh-CN"/>
        </w:rPr>
        <w:t>》《</w:t>
      </w:r>
      <w:r>
        <w:rPr>
          <w:szCs w:val="21"/>
        </w:rPr>
        <w:t>系统详细设计说明书</w:t>
      </w:r>
      <w:r>
        <w:rPr>
          <w:rFonts w:hint="eastAsia"/>
          <w:szCs w:val="21"/>
          <w:lang w:eastAsia="zh-CN"/>
        </w:rPr>
        <w:t>》《</w:t>
      </w:r>
      <w:r>
        <w:rPr>
          <w:rFonts w:hint="eastAsia"/>
          <w:szCs w:val="21"/>
        </w:rPr>
        <w:t>三方功能需求确认单</w:t>
      </w:r>
      <w:r>
        <w:rPr>
          <w:rFonts w:hint="eastAsia"/>
          <w:szCs w:val="21"/>
          <w:lang w:eastAsia="zh-CN"/>
        </w:rPr>
        <w:t>》《</w:t>
      </w:r>
      <w:r>
        <w:rPr>
          <w:szCs w:val="21"/>
        </w:rPr>
        <w:t>测试报告</w:t>
      </w:r>
      <w:r>
        <w:rPr>
          <w:rFonts w:hint="eastAsia"/>
          <w:szCs w:val="21"/>
          <w:lang w:eastAsia="zh-CN"/>
        </w:rPr>
        <w:t>》《</w:t>
      </w:r>
      <w:r>
        <w:rPr>
          <w:szCs w:val="21"/>
        </w:rPr>
        <w:t>用户使用手册</w:t>
      </w:r>
      <w:r>
        <w:rPr>
          <w:rFonts w:hint="eastAsia"/>
          <w:szCs w:val="21"/>
          <w:lang w:eastAsia="zh-CN"/>
        </w:rPr>
        <w:t>》《</w:t>
      </w:r>
      <w:r>
        <w:rPr>
          <w:szCs w:val="21"/>
        </w:rPr>
        <w:t>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rPr>
          <w:szCs w:val="21"/>
        </w:rPr>
      </w:pPr>
      <w:r>
        <w:rPr>
          <w:rFonts w:hint="eastAsia"/>
          <w:szCs w:val="21"/>
        </w:rPr>
        <w:t>（</w:t>
      </w:r>
      <w:r>
        <w:rPr>
          <w:szCs w:val="21"/>
        </w:rPr>
        <w:t>4）自初验通过之日起，招标方享有供应商免费提供的</w:t>
      </w:r>
      <w:r>
        <w:rPr>
          <w:rFonts w:hint="eastAsia"/>
          <w:szCs w:val="21"/>
        </w:rPr>
        <w:t>xx</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pPr>
        <w:rPr>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x个工作日内发起组织专家验收会。</w:t>
      </w:r>
    </w:p>
    <w:p>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pPr>
        <w:rPr>
          <w:szCs w:val="21"/>
        </w:rPr>
      </w:pPr>
      <w:r>
        <w:rPr>
          <w:rFonts w:hint="eastAsia"/>
          <w:szCs w:val="21"/>
        </w:rPr>
        <w:t>（7</w:t>
      </w:r>
      <w:r>
        <w:rPr>
          <w:szCs w:val="21"/>
        </w:rPr>
        <w:t>）如果由于招标方原因导致本项目在终验通过前出现故障或问题，供应商应及时配合排除该方面的故障或问题。</w:t>
      </w:r>
    </w:p>
    <w:p>
      <w:pPr>
        <w:rPr>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pPr>
        <w:pStyle w:val="3"/>
      </w:pPr>
      <w:bookmarkStart w:id="34" w:name="_Toc63785509"/>
      <w:r>
        <w:rPr>
          <w:rFonts w:hint="eastAsia"/>
        </w:rPr>
        <w:t>进度要求</w:t>
      </w:r>
      <w:bookmarkEnd w:id="34"/>
    </w:p>
    <w:p>
      <w:r>
        <w:rPr>
          <w:rFonts w:hint="eastAsia"/>
        </w:rPr>
        <w:t>投标人应根据建设内容，分阶段制定合理的时间进度，并且应根据招标方要求进行调整和细化。</w:t>
      </w:r>
    </w:p>
    <w:p>
      <w:pPr>
        <w:rPr>
          <w:rFonts w:hint="eastAsia"/>
        </w:rPr>
      </w:pPr>
      <w:r>
        <w:rPr>
          <w:rFonts w:hint="eastAsia"/>
        </w:rPr>
        <w:t>总建设周期分为</w:t>
      </w:r>
      <w:r>
        <w:rPr>
          <w:rFonts w:hint="eastAsia" w:ascii="宋体" w:hAnsi="宋体" w:eastAsia="宋体" w:cs="Times New Roman"/>
          <w:kern w:val="2"/>
          <w:sz w:val="24"/>
          <w:szCs w:val="24"/>
          <w:lang w:val="en-US" w:eastAsia="zh-CN" w:bidi="ar-SA"/>
        </w:rPr>
        <w:t>3</w:t>
      </w:r>
      <w:r>
        <w:rPr>
          <w:rFonts w:hint="eastAsia"/>
        </w:rPr>
        <w:t>个阶段。</w:t>
      </w:r>
    </w:p>
    <w:p>
      <w:r>
        <w:rPr>
          <w:rFonts w:hint="eastAsia"/>
        </w:rPr>
        <w:t>第一阶段完成需求调研及系统设计。</w:t>
      </w:r>
    </w:p>
    <w:p>
      <w:pPr>
        <w:rPr>
          <w:rFonts w:hint="eastAsia" w:eastAsia="宋体"/>
          <w:lang w:eastAsia="zh-CN"/>
        </w:rPr>
      </w:pPr>
      <w:r>
        <w:rPr>
          <w:rFonts w:hint="eastAsia"/>
        </w:rPr>
        <w:t>第二阶段完成系统功能的开发建设</w:t>
      </w:r>
      <w:r>
        <w:rPr>
          <w:rFonts w:hint="eastAsia"/>
          <w:lang w:eastAsia="zh-CN"/>
        </w:rPr>
        <w:t>。</w:t>
      </w:r>
    </w:p>
    <w:p>
      <w:pPr>
        <w:rPr>
          <w:rFonts w:hint="eastAsia" w:eastAsia="宋体"/>
          <w:lang w:eastAsia="zh-CN"/>
        </w:rPr>
      </w:pPr>
      <w:r>
        <w:rPr>
          <w:rFonts w:hint="eastAsia"/>
        </w:rPr>
        <w:t>第三阶段完成系统的测试及试运行</w:t>
      </w:r>
      <w:r>
        <w:rPr>
          <w:rFonts w:hint="eastAsia"/>
          <w:lang w:eastAsia="zh-CN"/>
        </w:rPr>
        <w:t>。</w:t>
      </w:r>
    </w:p>
    <w:p>
      <w:r>
        <w:t>202</w:t>
      </w:r>
      <w:r>
        <w:rPr>
          <w:rFonts w:hint="eastAsia"/>
        </w:rPr>
        <w:t>6</w:t>
      </w:r>
      <w:r>
        <w:t>年1</w:t>
      </w:r>
      <w:r>
        <w:rPr>
          <w:rFonts w:hint="eastAsia"/>
        </w:rPr>
        <w:t>1</w:t>
      </w:r>
      <w:r>
        <w:t>月完成最终验收。</w:t>
      </w:r>
    </w:p>
    <w:p>
      <w:pPr>
        <w:pStyle w:val="3"/>
      </w:pPr>
      <w:bookmarkStart w:id="35" w:name="_Toc63785510"/>
      <w:r>
        <w:rPr>
          <w:rFonts w:hint="eastAsia"/>
        </w:rPr>
        <w:t>项目团队及驻场人员要求</w:t>
      </w:r>
      <w:bookmarkEnd w:id="35"/>
    </w:p>
    <w:p>
      <w:bookmarkStart w:id="36" w:name="_Toc63785511"/>
      <w:r>
        <w:t>1）投标人须具有稳定的在职技术保障力量，能够提供及时的技术支援或服务，应针对本项目提供不少于</w:t>
      </w:r>
      <w:r>
        <w:rPr>
          <w:rFonts w:hint="eastAsia"/>
        </w:rPr>
        <w:t>16</w:t>
      </w:r>
      <w:r>
        <w:t>人的项目服务团队（包括项目经理、产品经理、技术负责人、研发等），投标单位的相关服务人员需具备相应的服务能力，需提供相关证明。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898"/>
        <w:gridCol w:w="1180"/>
        <w:gridCol w:w="1858"/>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b/>
              </w:rPr>
            </w:pPr>
            <w:r>
              <w:rPr>
                <w:rFonts w:hint="eastAsia"/>
                <w:b/>
              </w:rPr>
              <w:t>角色</w:t>
            </w:r>
          </w:p>
        </w:tc>
        <w:tc>
          <w:tcPr>
            <w:tcW w:w="0" w:type="auto"/>
            <w:noWrap/>
            <w:vAlign w:val="center"/>
          </w:tcPr>
          <w:p>
            <w:pPr>
              <w:widowControl/>
              <w:spacing w:line="240" w:lineRule="auto"/>
              <w:ind w:firstLine="0" w:firstLineChars="0"/>
              <w:jc w:val="center"/>
              <w:rPr>
                <w:b/>
              </w:rPr>
            </w:pPr>
            <w:r>
              <w:rPr>
                <w:rFonts w:hint="eastAsia"/>
                <w:b/>
              </w:rPr>
              <w:t>主要职责</w:t>
            </w:r>
          </w:p>
        </w:tc>
        <w:tc>
          <w:tcPr>
            <w:tcW w:w="0" w:type="auto"/>
            <w:noWrap/>
            <w:vAlign w:val="center"/>
          </w:tcPr>
          <w:p>
            <w:pPr>
              <w:widowControl/>
              <w:spacing w:line="240" w:lineRule="auto"/>
              <w:ind w:firstLine="0" w:firstLineChars="0"/>
              <w:jc w:val="center"/>
              <w:rPr>
                <w:b/>
              </w:rPr>
            </w:pPr>
            <w:r>
              <w:rPr>
                <w:rFonts w:hint="eastAsia"/>
                <w:b/>
              </w:rPr>
              <w:t>人员数量</w:t>
            </w:r>
          </w:p>
        </w:tc>
        <w:tc>
          <w:tcPr>
            <w:tcW w:w="0" w:type="auto"/>
            <w:vAlign w:val="center"/>
          </w:tcPr>
          <w:p>
            <w:pPr>
              <w:widowControl/>
              <w:spacing w:line="240" w:lineRule="auto"/>
              <w:ind w:firstLine="0" w:firstLineChars="0"/>
              <w:jc w:val="center"/>
              <w:rPr>
                <w:b/>
              </w:rPr>
            </w:pPr>
            <w:r>
              <w:rPr>
                <w:rFonts w:hint="eastAsia"/>
                <w:b/>
              </w:rPr>
              <w:t>人员要求</w:t>
            </w:r>
          </w:p>
        </w:tc>
        <w:tc>
          <w:tcPr>
            <w:tcW w:w="0" w:type="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项目经理</w:t>
            </w:r>
          </w:p>
        </w:tc>
        <w:tc>
          <w:tcPr>
            <w:tcW w:w="0" w:type="auto"/>
            <w:vAlign w:val="center"/>
          </w:tcPr>
          <w:p>
            <w:pPr>
              <w:widowControl/>
              <w:spacing w:line="240" w:lineRule="auto"/>
              <w:ind w:firstLine="0" w:firstLineChars="0"/>
              <w:jc w:val="center"/>
            </w:pPr>
            <w:r>
              <w:rPr>
                <w:rFonts w:hint="eastAsia"/>
              </w:rPr>
              <w:t>负责项目质量和进度控制</w:t>
            </w:r>
          </w:p>
        </w:tc>
        <w:tc>
          <w:tcPr>
            <w:tcW w:w="0" w:type="auto"/>
            <w:noWrap/>
            <w:vAlign w:val="center"/>
          </w:tcPr>
          <w:p>
            <w:pPr>
              <w:widowControl/>
              <w:spacing w:line="240" w:lineRule="auto"/>
              <w:ind w:firstLine="0" w:firstLineChars="0"/>
              <w:jc w:val="center"/>
            </w:pPr>
            <w:r>
              <w:rPr>
                <w:rFonts w:hint="eastAsia"/>
              </w:rPr>
              <w:t>1人</w:t>
            </w:r>
          </w:p>
        </w:tc>
        <w:tc>
          <w:tcPr>
            <w:tcW w:w="0" w:type="auto"/>
            <w:vAlign w:val="center"/>
          </w:tcPr>
          <w:p>
            <w:pPr>
              <w:widowControl/>
              <w:spacing w:line="240" w:lineRule="auto"/>
              <w:ind w:firstLine="0" w:firstLineChars="0"/>
              <w:jc w:val="center"/>
            </w:pPr>
            <w:r>
              <w:rPr>
                <w:rFonts w:hint="eastAsia"/>
              </w:rPr>
              <w:t>计算机相关专业</w:t>
            </w:r>
            <w:r>
              <w:t>本科</w:t>
            </w:r>
            <w:r>
              <w:rPr>
                <w:rFonts w:hint="eastAsia"/>
              </w:rPr>
              <w:t>及以上学历，计算机或工程系列高级工程师</w:t>
            </w:r>
            <w:r>
              <w:rPr>
                <w:rFonts w:hint="eastAsia"/>
                <w:lang w:eastAsia="zh-CN"/>
              </w:rPr>
              <w:t>职称</w:t>
            </w:r>
            <w:r>
              <w:rPr>
                <w:rFonts w:hint="eastAsia"/>
              </w:rPr>
              <w:t>，具备5年</w:t>
            </w:r>
            <w:r>
              <w:rPr>
                <w:rFonts w:hint="eastAsia"/>
                <w:lang w:val="en-US" w:eastAsia="zh-CN"/>
              </w:rPr>
              <w:t>及</w:t>
            </w:r>
            <w:r>
              <w:rPr>
                <w:rFonts w:hint="eastAsia"/>
              </w:rPr>
              <w:t>以上且有不低于两个政务类信息系统项目管理经验</w:t>
            </w:r>
          </w:p>
        </w:tc>
        <w:tc>
          <w:tcPr>
            <w:tcW w:w="0" w:type="auto"/>
            <w:noWrap/>
            <w:vAlign w:val="center"/>
          </w:tcPr>
          <w:p>
            <w:pPr>
              <w:widowControl/>
              <w:spacing w:line="240" w:lineRule="auto"/>
              <w:ind w:firstLine="0" w:firstLineChars="0"/>
              <w:jc w:val="cente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产品经理</w:t>
            </w:r>
          </w:p>
        </w:tc>
        <w:tc>
          <w:tcPr>
            <w:tcW w:w="0" w:type="auto"/>
            <w:vAlign w:val="center"/>
          </w:tcPr>
          <w:p>
            <w:pPr>
              <w:widowControl/>
              <w:spacing w:line="240" w:lineRule="auto"/>
              <w:ind w:firstLine="0" w:firstLineChars="0"/>
              <w:jc w:val="center"/>
            </w:pPr>
            <w:r>
              <w:rPr>
                <w:rFonts w:hint="eastAsia"/>
              </w:rPr>
              <w:t>负责项目需求评估与产品设计</w:t>
            </w:r>
          </w:p>
        </w:tc>
        <w:tc>
          <w:tcPr>
            <w:tcW w:w="0" w:type="auto"/>
            <w:noWrap/>
            <w:vAlign w:val="center"/>
          </w:tcPr>
          <w:p>
            <w:pPr>
              <w:widowControl/>
              <w:spacing w:line="240" w:lineRule="auto"/>
              <w:ind w:firstLine="0" w:firstLineChars="0"/>
              <w:jc w:val="center"/>
            </w:pPr>
            <w:r>
              <w:rPr>
                <w:rFonts w:hint="eastAsia"/>
              </w:rPr>
              <w:t>2人</w:t>
            </w:r>
          </w:p>
        </w:tc>
        <w:tc>
          <w:tcPr>
            <w:tcW w:w="0" w:type="auto"/>
            <w:vAlign w:val="center"/>
          </w:tcPr>
          <w:p>
            <w:pPr>
              <w:widowControl/>
              <w:spacing w:line="240" w:lineRule="auto"/>
              <w:ind w:firstLine="0" w:firstLineChars="0"/>
              <w:jc w:val="center"/>
            </w:pPr>
            <w:r>
              <w:rPr>
                <w:rFonts w:hint="eastAsia"/>
              </w:rPr>
              <w:t>计算机或工程相关专业本科</w:t>
            </w:r>
            <w:r>
              <w:rPr>
                <w:rFonts w:hint="eastAsia"/>
                <w:lang w:val="en-US" w:eastAsia="zh-CN"/>
              </w:rPr>
              <w:t>及</w:t>
            </w:r>
            <w:r>
              <w:rPr>
                <w:rFonts w:hint="eastAsia"/>
              </w:rPr>
              <w:t>以上学历、具备3年以上产品设计经验</w:t>
            </w:r>
          </w:p>
        </w:tc>
        <w:tc>
          <w:tcPr>
            <w:tcW w:w="0" w:type="auto"/>
            <w:noWrap/>
            <w:vAlign w:val="center"/>
          </w:tcPr>
          <w:p>
            <w:pPr>
              <w:widowControl/>
              <w:spacing w:line="240" w:lineRule="auto"/>
              <w:ind w:firstLine="0" w:firstLineChars="0"/>
              <w:jc w:val="cente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研发</w:t>
            </w:r>
          </w:p>
        </w:tc>
        <w:tc>
          <w:tcPr>
            <w:tcW w:w="0" w:type="auto"/>
            <w:noWrap/>
            <w:vAlign w:val="center"/>
          </w:tcPr>
          <w:p>
            <w:pPr>
              <w:widowControl/>
              <w:spacing w:line="240" w:lineRule="auto"/>
              <w:ind w:firstLine="0" w:firstLineChars="0"/>
              <w:jc w:val="center"/>
            </w:pPr>
            <w:r>
              <w:rPr>
                <w:rFonts w:hint="eastAsia"/>
              </w:rPr>
              <w:t>负责项目具体开发与实施</w:t>
            </w:r>
          </w:p>
        </w:tc>
        <w:tc>
          <w:tcPr>
            <w:tcW w:w="0" w:type="auto"/>
            <w:noWrap/>
            <w:vAlign w:val="center"/>
          </w:tcPr>
          <w:p>
            <w:pPr>
              <w:widowControl/>
              <w:spacing w:line="240" w:lineRule="auto"/>
              <w:ind w:firstLine="0" w:firstLineChars="0"/>
              <w:jc w:val="center"/>
            </w:pPr>
            <w:r>
              <w:rPr>
                <w:rFonts w:hint="eastAsia"/>
              </w:rPr>
              <w:t>13人</w:t>
            </w:r>
          </w:p>
        </w:tc>
        <w:tc>
          <w:tcPr>
            <w:tcW w:w="0" w:type="auto"/>
            <w:vAlign w:val="center"/>
          </w:tcPr>
          <w:p>
            <w:pPr>
              <w:widowControl/>
              <w:spacing w:line="240" w:lineRule="auto"/>
              <w:ind w:firstLine="0" w:firstLineChars="0"/>
              <w:jc w:val="center"/>
            </w:pPr>
            <w:r>
              <w:rPr>
                <w:rFonts w:hint="eastAsia"/>
              </w:rPr>
              <w:t>大学本科</w:t>
            </w:r>
            <w:r>
              <w:rPr>
                <w:rFonts w:hint="eastAsia"/>
                <w:lang w:val="en-US" w:eastAsia="zh-CN"/>
              </w:rPr>
              <w:t>及</w:t>
            </w:r>
            <w:r>
              <w:rPr>
                <w:rFonts w:hint="eastAsia"/>
              </w:rPr>
              <w:t>以上学历、3年以上项目研发经验</w:t>
            </w:r>
          </w:p>
        </w:tc>
        <w:tc>
          <w:tcPr>
            <w:tcW w:w="0" w:type="auto"/>
            <w:noWrap/>
            <w:vAlign w:val="center"/>
          </w:tcPr>
          <w:p>
            <w:pPr>
              <w:widowControl/>
              <w:spacing w:line="240" w:lineRule="auto"/>
              <w:ind w:firstLine="0" w:firstLineChars="0"/>
              <w:jc w:val="center"/>
            </w:pPr>
            <w:r>
              <w:rPr>
                <w:rFonts w:hint="eastAsia"/>
              </w:rPr>
              <w:t>驻场5人/</w:t>
            </w:r>
          </w:p>
          <w:p>
            <w:pPr>
              <w:widowControl/>
              <w:spacing w:line="240" w:lineRule="auto"/>
              <w:ind w:firstLine="0" w:firstLineChars="0"/>
              <w:jc w:val="center"/>
            </w:pPr>
            <w:r>
              <w:rPr>
                <w:rFonts w:hint="eastAsia"/>
              </w:rPr>
              <w:t>不驻场8人</w:t>
            </w:r>
          </w:p>
        </w:tc>
      </w:tr>
    </w:tbl>
    <w:p>
      <w:r>
        <w:t>2）投标人应针对本项目提供不少于</w:t>
      </w:r>
      <w:r>
        <w:rPr>
          <w:rFonts w:hint="eastAsia"/>
        </w:rPr>
        <w:t>2</w:t>
      </w:r>
      <w:r>
        <w:t>人的质保期间支撑团队（其中技术经理</w:t>
      </w:r>
      <w:r>
        <w:rPr>
          <w:rFonts w:hint="eastAsia"/>
        </w:rPr>
        <w:t>1</w:t>
      </w:r>
      <w:r>
        <w:t>人，技术工程师不少于</w:t>
      </w:r>
      <w:r>
        <w:rPr>
          <w:rFonts w:hint="eastAsia"/>
        </w:rPr>
        <w:t>1</w:t>
      </w:r>
      <w:r>
        <w:t>人）；投标人的相关服务人员需具备相应的服务能力，需提供相关证明（最近一个季度依法缴纳社保费的证明）。</w:t>
      </w:r>
    </w:p>
    <w:tbl>
      <w:tblPr>
        <w:tblStyle w:val="36"/>
        <w:tblW w:w="8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123"/>
        <w:gridCol w:w="1180"/>
        <w:gridCol w:w="2506"/>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b/>
              </w:rPr>
            </w:pPr>
            <w:r>
              <w:rPr>
                <w:rFonts w:hint="eastAsia"/>
                <w:b/>
              </w:rPr>
              <w:t>角色</w:t>
            </w:r>
          </w:p>
        </w:tc>
        <w:tc>
          <w:tcPr>
            <w:tcW w:w="2123" w:type="dxa"/>
            <w:noWrap/>
            <w:vAlign w:val="center"/>
          </w:tcPr>
          <w:p>
            <w:pPr>
              <w:widowControl/>
              <w:spacing w:line="240" w:lineRule="auto"/>
              <w:ind w:firstLine="0" w:firstLineChars="0"/>
              <w:jc w:val="center"/>
              <w:rPr>
                <w:b/>
              </w:rPr>
            </w:pPr>
            <w:r>
              <w:rPr>
                <w:rFonts w:hint="eastAsia"/>
                <w:b/>
              </w:rPr>
              <w:t>主要职责</w:t>
            </w:r>
          </w:p>
        </w:tc>
        <w:tc>
          <w:tcPr>
            <w:tcW w:w="0" w:type="auto"/>
            <w:noWrap/>
            <w:vAlign w:val="center"/>
          </w:tcPr>
          <w:p>
            <w:pPr>
              <w:widowControl/>
              <w:spacing w:line="240" w:lineRule="auto"/>
              <w:ind w:firstLine="0" w:firstLineChars="0"/>
              <w:jc w:val="center"/>
              <w:rPr>
                <w:b/>
              </w:rPr>
            </w:pPr>
            <w:r>
              <w:rPr>
                <w:rFonts w:hint="eastAsia"/>
                <w:b/>
              </w:rPr>
              <w:t>人员数量</w:t>
            </w:r>
          </w:p>
        </w:tc>
        <w:tc>
          <w:tcPr>
            <w:tcW w:w="2506" w:type="dxa"/>
            <w:vAlign w:val="center"/>
          </w:tcPr>
          <w:p>
            <w:pPr>
              <w:widowControl/>
              <w:spacing w:line="240" w:lineRule="auto"/>
              <w:ind w:firstLine="0" w:firstLineChars="0"/>
              <w:jc w:val="center"/>
              <w:rPr>
                <w:b/>
              </w:rPr>
            </w:pPr>
            <w:r>
              <w:rPr>
                <w:rFonts w:hint="eastAsia"/>
                <w:b/>
              </w:rPr>
              <w:t>人员要求</w:t>
            </w:r>
          </w:p>
        </w:tc>
        <w:tc>
          <w:tcPr>
            <w:tcW w:w="0" w:type="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项目经理</w:t>
            </w:r>
          </w:p>
        </w:tc>
        <w:tc>
          <w:tcPr>
            <w:tcW w:w="2123" w:type="dxa"/>
            <w:vAlign w:val="center"/>
          </w:tcPr>
          <w:p>
            <w:pPr>
              <w:widowControl/>
              <w:spacing w:line="240" w:lineRule="auto"/>
              <w:ind w:firstLine="0" w:firstLineChars="0"/>
              <w:jc w:val="center"/>
            </w:pPr>
            <w:r>
              <w:rPr>
                <w:rFonts w:hint="eastAsia"/>
              </w:rPr>
              <w:t>负责项目质量和进度控制</w:t>
            </w:r>
          </w:p>
        </w:tc>
        <w:tc>
          <w:tcPr>
            <w:tcW w:w="0" w:type="auto"/>
            <w:noWrap/>
            <w:vAlign w:val="center"/>
          </w:tcPr>
          <w:p>
            <w:pPr>
              <w:widowControl/>
              <w:spacing w:line="240" w:lineRule="auto"/>
              <w:ind w:firstLine="0" w:firstLineChars="0"/>
              <w:jc w:val="center"/>
            </w:pPr>
            <w:r>
              <w:rPr>
                <w:rFonts w:hint="eastAsia"/>
              </w:rPr>
              <w:t>1人</w:t>
            </w:r>
          </w:p>
        </w:tc>
        <w:tc>
          <w:tcPr>
            <w:tcW w:w="2506" w:type="dxa"/>
            <w:vAlign w:val="center"/>
          </w:tcPr>
          <w:p>
            <w:pPr>
              <w:widowControl/>
              <w:spacing w:line="240" w:lineRule="auto"/>
              <w:ind w:firstLine="0" w:firstLineChars="0"/>
              <w:jc w:val="center"/>
              <w:rPr>
                <w:highlight w:val="yellow"/>
              </w:rPr>
            </w:pPr>
            <w:r>
              <w:rPr>
                <w:rFonts w:hint="eastAsia"/>
              </w:rPr>
              <w:t>计算机相关专业</w:t>
            </w:r>
            <w:r>
              <w:t>本科</w:t>
            </w:r>
            <w:r>
              <w:rPr>
                <w:rFonts w:hint="eastAsia"/>
              </w:rPr>
              <w:t>及以上学历，计算机或工程系列高级工程师</w:t>
            </w:r>
            <w:r>
              <w:rPr>
                <w:rFonts w:hint="eastAsia"/>
                <w:lang w:eastAsia="zh-CN"/>
              </w:rPr>
              <w:t>职称，具</w:t>
            </w:r>
            <w:r>
              <w:rPr>
                <w:rFonts w:hint="eastAsia"/>
                <w:lang w:val="en-US" w:eastAsia="zh-CN"/>
              </w:rPr>
              <w:t>备5年及以上且有</w:t>
            </w:r>
            <w:r>
              <w:rPr>
                <w:rFonts w:hint="eastAsia"/>
              </w:rPr>
              <w:t>不低于两个政务类信息系统项目管理经验</w:t>
            </w:r>
          </w:p>
        </w:tc>
        <w:tc>
          <w:tcPr>
            <w:tcW w:w="0" w:type="auto"/>
            <w:noWrap/>
            <w:vAlign w:val="center"/>
          </w:tcPr>
          <w:p>
            <w:pPr>
              <w:widowControl/>
              <w:spacing w:line="240" w:lineRule="auto"/>
              <w:ind w:firstLine="0" w:firstLineChars="0"/>
              <w:jc w:val="cente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pPr>
            <w:r>
              <w:rPr>
                <w:rFonts w:hint="eastAsia"/>
              </w:rPr>
              <w:t>技术工程师</w:t>
            </w:r>
          </w:p>
        </w:tc>
        <w:tc>
          <w:tcPr>
            <w:tcW w:w="2123" w:type="dxa"/>
            <w:noWrap/>
            <w:vAlign w:val="center"/>
          </w:tcPr>
          <w:p>
            <w:pPr>
              <w:widowControl/>
              <w:spacing w:line="240" w:lineRule="auto"/>
              <w:ind w:firstLine="0" w:firstLineChars="0"/>
              <w:jc w:val="center"/>
            </w:pPr>
            <w:r>
              <w:rPr>
                <w:rFonts w:hint="eastAsia"/>
              </w:rPr>
              <w:t>负责项目运行维护</w:t>
            </w:r>
          </w:p>
        </w:tc>
        <w:tc>
          <w:tcPr>
            <w:tcW w:w="0" w:type="auto"/>
            <w:noWrap/>
            <w:vAlign w:val="center"/>
          </w:tcPr>
          <w:p>
            <w:pPr>
              <w:widowControl/>
              <w:spacing w:line="240" w:lineRule="auto"/>
              <w:ind w:firstLine="0" w:firstLineChars="0"/>
              <w:jc w:val="center"/>
            </w:pPr>
            <w:r>
              <w:rPr>
                <w:rFonts w:hint="eastAsia"/>
              </w:rPr>
              <w:t>1人</w:t>
            </w:r>
          </w:p>
        </w:tc>
        <w:tc>
          <w:tcPr>
            <w:tcW w:w="2506" w:type="dxa"/>
            <w:vAlign w:val="center"/>
          </w:tcPr>
          <w:p>
            <w:pPr>
              <w:widowControl/>
              <w:spacing w:line="240" w:lineRule="auto"/>
              <w:ind w:firstLine="0" w:firstLineChars="0"/>
              <w:jc w:val="center"/>
            </w:pPr>
            <w:r>
              <w:rPr>
                <w:rFonts w:hint="eastAsia"/>
              </w:rPr>
              <w:t>大学本科以上学历5年以上系统运维经验</w:t>
            </w:r>
          </w:p>
        </w:tc>
        <w:tc>
          <w:tcPr>
            <w:tcW w:w="0" w:type="auto"/>
            <w:noWrap/>
            <w:vAlign w:val="center"/>
          </w:tcPr>
          <w:p>
            <w:pPr>
              <w:widowControl/>
              <w:spacing w:line="240" w:lineRule="auto"/>
              <w:ind w:firstLine="0" w:firstLineChars="0"/>
              <w:jc w:val="center"/>
            </w:pPr>
            <w:r>
              <w:rPr>
                <w:rFonts w:hint="eastAsia"/>
              </w:rPr>
              <w:t>驻场</w:t>
            </w:r>
          </w:p>
        </w:tc>
      </w:tr>
    </w:tbl>
    <w:p>
      <w:pPr>
        <w:widowControl/>
        <w:spacing w:line="240" w:lineRule="auto"/>
        <w:ind w:firstLine="0" w:firstLineChars="0"/>
        <w:jc w:val="both"/>
        <w:rPr>
          <w:rFonts w:hint="eastAsia" w:ascii="宋体" w:hAnsi="宋体" w:eastAsia="宋体"/>
          <w:lang w:eastAsia="zh-CN"/>
        </w:rPr>
      </w:pPr>
      <w:r>
        <w:rPr>
          <w:rFonts w:hint="eastAsia" w:ascii="宋体" w:hAnsi="宋体" w:eastAsia="宋体"/>
          <w:lang w:eastAsia="zh-CN"/>
        </w:rPr>
        <w:t>供应商</w:t>
      </w:r>
      <w:bookmarkStart w:id="39" w:name="_GoBack"/>
      <w:bookmarkEnd w:id="39"/>
      <w:r>
        <w:rPr>
          <w:rFonts w:hint="eastAsia" w:ascii="宋体" w:hAnsi="宋体" w:eastAsia="宋体"/>
        </w:rPr>
        <w:t>具备CCRC 信息安全服务资质认证证书的</w:t>
      </w:r>
      <w:r>
        <w:rPr>
          <w:rFonts w:hint="eastAsia" w:ascii="宋体" w:hAnsi="宋体" w:eastAsia="宋体"/>
          <w:lang w:eastAsia="zh-CN"/>
        </w:rPr>
        <w:t>优先</w:t>
      </w:r>
    </w:p>
    <w:p>
      <w:pPr>
        <w:pStyle w:val="3"/>
      </w:pPr>
      <w:r>
        <w:t>等级保护要求</w:t>
      </w:r>
      <w:bookmarkEnd w:id="36"/>
    </w:p>
    <w:p>
      <w:r>
        <w:t>本项目等级保护要求：</w:t>
      </w:r>
      <w:r>
        <w:rPr>
          <w:rFonts w:hint="eastAsia"/>
        </w:rPr>
        <w:t>二级</w:t>
      </w:r>
    </w:p>
    <w:p>
      <w:pPr>
        <w:pStyle w:val="3"/>
      </w:pPr>
      <w:r>
        <w:rPr>
          <w:rFonts w:hint="eastAsia"/>
        </w:rPr>
        <w:t>商用密码应用需求</w:t>
      </w:r>
    </w:p>
    <w:p>
      <w:r>
        <w:rPr>
          <w:rFonts w:hint="eastAsia"/>
        </w:rPr>
        <w:t>本项目的密码应用依据GB/T 39786-2021《信息安全技术 信息系统密码应用基本要求》第三级信息系统要求建设，具体需求如下：</w:t>
      </w:r>
    </w:p>
    <w:tbl>
      <w:tblPr>
        <w:tblStyle w:val="36"/>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85"/>
        <w:gridCol w:w="788"/>
        <w:gridCol w:w="2098"/>
        <w:gridCol w:w="3411"/>
        <w:gridCol w:w="14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9" w:hRule="atLeast"/>
          <w:tblHeader/>
          <w:jc w:val="center"/>
        </w:trPr>
        <w:tc>
          <w:tcPr>
            <w:tcW w:w="922" w:type="pct"/>
            <w:gridSpan w:val="2"/>
            <w:vAlign w:val="center"/>
          </w:tcPr>
          <w:p>
            <w:pPr>
              <w:pStyle w:val="17"/>
              <w:jc w:val="center"/>
              <w:rPr>
                <w:b/>
                <w:bCs/>
              </w:rPr>
            </w:pPr>
            <w:r>
              <w:rPr>
                <w:rFonts w:hint="eastAsia"/>
                <w:b/>
                <w:bCs/>
              </w:rPr>
              <w:t>安全层面</w:t>
            </w:r>
          </w:p>
        </w:tc>
        <w:tc>
          <w:tcPr>
            <w:tcW w:w="1230" w:type="pct"/>
            <w:vAlign w:val="center"/>
          </w:tcPr>
          <w:p>
            <w:pPr>
              <w:pStyle w:val="17"/>
              <w:jc w:val="center"/>
              <w:rPr>
                <w:b/>
                <w:bCs/>
              </w:rPr>
            </w:pPr>
            <w:r>
              <w:rPr>
                <w:rFonts w:hint="eastAsia"/>
                <w:b/>
                <w:bCs/>
              </w:rPr>
              <w:t>指标要求</w:t>
            </w:r>
          </w:p>
        </w:tc>
        <w:tc>
          <w:tcPr>
            <w:tcW w:w="2000" w:type="pct"/>
            <w:vAlign w:val="center"/>
          </w:tcPr>
          <w:p>
            <w:pPr>
              <w:pStyle w:val="17"/>
              <w:jc w:val="center"/>
              <w:rPr>
                <w:b/>
                <w:bCs/>
              </w:rPr>
            </w:pPr>
            <w:r>
              <w:rPr>
                <w:rFonts w:hint="eastAsia"/>
                <w:b/>
                <w:bCs/>
              </w:rPr>
              <w:t>系统密码应用需求</w:t>
            </w:r>
          </w:p>
        </w:tc>
        <w:tc>
          <w:tcPr>
            <w:tcW w:w="846" w:type="pct"/>
            <w:vAlign w:val="center"/>
          </w:tcPr>
          <w:p>
            <w:pPr>
              <w:pStyle w:val="17"/>
              <w:jc w:val="center"/>
              <w:rPr>
                <w:b/>
                <w:bCs/>
              </w:rPr>
            </w:pPr>
            <w:r>
              <w:rPr>
                <w:rFonts w:hint="eastAsia"/>
                <w:b/>
                <w:bCs/>
              </w:rPr>
              <w:t>不适用说明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460" w:type="pct"/>
            <w:vMerge w:val="restart"/>
            <w:vAlign w:val="center"/>
          </w:tcPr>
          <w:p>
            <w:pPr>
              <w:pStyle w:val="17"/>
            </w:pPr>
            <w:r>
              <w:rPr>
                <w:rFonts w:hint="eastAsia"/>
              </w:rPr>
              <w:t>计算平台安全</w:t>
            </w:r>
          </w:p>
        </w:tc>
        <w:tc>
          <w:tcPr>
            <w:tcW w:w="462" w:type="pct"/>
            <w:vMerge w:val="restart"/>
            <w:vAlign w:val="center"/>
          </w:tcPr>
          <w:p>
            <w:pPr>
              <w:pStyle w:val="17"/>
            </w:pPr>
            <w:r>
              <w:rPr>
                <w:rFonts w:hint="eastAsia"/>
              </w:rPr>
              <w:t>物理和环境安全</w:t>
            </w:r>
          </w:p>
        </w:tc>
        <w:tc>
          <w:tcPr>
            <w:tcW w:w="1230" w:type="pct"/>
            <w:vAlign w:val="center"/>
          </w:tcPr>
          <w:p>
            <w:pPr>
              <w:pStyle w:val="17"/>
            </w:pPr>
            <w:r>
              <w:rPr>
                <w:rFonts w:hint="eastAsia"/>
              </w:rPr>
              <w:t>身份鉴别</w:t>
            </w:r>
          </w:p>
        </w:tc>
        <w:tc>
          <w:tcPr>
            <w:tcW w:w="2000" w:type="pct"/>
            <w:vAlign w:val="center"/>
          </w:tcPr>
          <w:p>
            <w:pPr>
              <w:pStyle w:val="17"/>
            </w:pPr>
            <w:r>
              <w:rPr>
                <w:rFonts w:hint="eastAsia"/>
              </w:rPr>
              <w:t>已符合密码应用要求。</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1"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电子门禁记录数据完整性</w:t>
            </w:r>
          </w:p>
        </w:tc>
        <w:tc>
          <w:tcPr>
            <w:tcW w:w="2000" w:type="pct"/>
            <w:vMerge w:val="restart"/>
            <w:vAlign w:val="center"/>
          </w:tcPr>
          <w:p>
            <w:pPr>
              <w:pStyle w:val="17"/>
            </w:pPr>
            <w:r>
              <w:rPr>
                <w:rFonts w:hint="eastAsia"/>
              </w:rPr>
              <w:t>已符合密码应用要求。</w:t>
            </w:r>
          </w:p>
        </w:tc>
        <w:tc>
          <w:tcPr>
            <w:tcW w:w="846" w:type="pct"/>
            <w:vMerge w:val="restar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9"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视频监控记录数据完整性</w:t>
            </w:r>
          </w:p>
        </w:tc>
        <w:tc>
          <w:tcPr>
            <w:tcW w:w="2000" w:type="pct"/>
            <w:vMerge w:val="continue"/>
            <w:vAlign w:val="center"/>
          </w:tcPr>
          <w:p>
            <w:pPr>
              <w:pStyle w:val="17"/>
            </w:pPr>
          </w:p>
        </w:tc>
        <w:tc>
          <w:tcPr>
            <w:tcW w:w="846" w:type="pct"/>
            <w:vMerge w:val="continue"/>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密码服务</w:t>
            </w:r>
          </w:p>
        </w:tc>
        <w:tc>
          <w:tcPr>
            <w:tcW w:w="2000" w:type="pct"/>
            <w:vAlign w:val="center"/>
          </w:tcPr>
          <w:p>
            <w:pPr>
              <w:pStyle w:val="17"/>
            </w:pPr>
            <w:r>
              <w:rPr>
                <w:rFonts w:hint="eastAsia"/>
              </w:rPr>
              <w:t>不适用。</w:t>
            </w:r>
          </w:p>
        </w:tc>
        <w:tc>
          <w:tcPr>
            <w:tcW w:w="846" w:type="pct"/>
            <w:vAlign w:val="center"/>
          </w:tcPr>
          <w:p>
            <w:pPr>
              <w:pStyle w:val="17"/>
            </w:pPr>
            <w:r>
              <w:rPr>
                <w:rFonts w:hint="eastAsia"/>
              </w:rPr>
              <w:t>无密码服务需求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密码产品</w:t>
            </w:r>
          </w:p>
        </w:tc>
        <w:tc>
          <w:tcPr>
            <w:tcW w:w="2000" w:type="pct"/>
            <w:vAlign w:val="center"/>
          </w:tcPr>
          <w:p>
            <w:pPr>
              <w:pStyle w:val="17"/>
            </w:pPr>
            <w:r>
              <w:rPr>
                <w:rFonts w:hint="eastAsia"/>
              </w:rPr>
              <w:t>采用的密码产品应达到</w:t>
            </w:r>
            <w:r>
              <w:t>GB/T 37092</w:t>
            </w:r>
            <w:r>
              <w:rPr>
                <w:rFonts w:hint="eastAsia"/>
              </w:rPr>
              <w:t>-2018二级及以上安全要求。</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5" w:hRule="atLeast"/>
          <w:jc w:val="center"/>
        </w:trPr>
        <w:tc>
          <w:tcPr>
            <w:tcW w:w="460" w:type="pct"/>
            <w:vMerge w:val="continue"/>
            <w:vAlign w:val="center"/>
          </w:tcPr>
          <w:p>
            <w:pPr>
              <w:pStyle w:val="17"/>
            </w:pPr>
          </w:p>
        </w:tc>
        <w:tc>
          <w:tcPr>
            <w:tcW w:w="462" w:type="pct"/>
            <w:vMerge w:val="restart"/>
            <w:vAlign w:val="center"/>
          </w:tcPr>
          <w:p>
            <w:pPr>
              <w:pStyle w:val="17"/>
            </w:pPr>
            <w:r>
              <w:rPr>
                <w:rFonts w:hint="eastAsia"/>
              </w:rPr>
              <w:t>网络和通信安全</w:t>
            </w:r>
          </w:p>
        </w:tc>
        <w:tc>
          <w:tcPr>
            <w:tcW w:w="1230" w:type="pct"/>
            <w:vAlign w:val="center"/>
          </w:tcPr>
          <w:p>
            <w:pPr>
              <w:pStyle w:val="17"/>
            </w:pPr>
            <w:r>
              <w:rPr>
                <w:rFonts w:hint="eastAsia"/>
              </w:rPr>
              <w:t>身份鉴别</w:t>
            </w:r>
          </w:p>
        </w:tc>
        <w:tc>
          <w:tcPr>
            <w:tcW w:w="2000" w:type="pct"/>
            <w:vAlign w:val="center"/>
          </w:tcPr>
          <w:p>
            <w:pPr>
              <w:pStyle w:val="17"/>
            </w:pPr>
            <w:r>
              <w:rPr>
                <w:rFonts w:hint="eastAsia"/>
              </w:rPr>
              <w:t>已符合密码应用要求。</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1"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通信数据完整性</w:t>
            </w:r>
          </w:p>
        </w:tc>
        <w:tc>
          <w:tcPr>
            <w:tcW w:w="2000" w:type="pct"/>
            <w:vMerge w:val="restart"/>
            <w:vAlign w:val="center"/>
          </w:tcPr>
          <w:p>
            <w:pPr>
              <w:pStyle w:val="17"/>
            </w:pPr>
            <w:r>
              <w:rPr>
                <w:rFonts w:hint="eastAsia"/>
              </w:rPr>
              <w:t>保护通信过程中重要业务数据的完整性和机密性，防止数据被非授权篡改，防止重要数据泄露。</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通信过程中重要数据的机密性</w:t>
            </w:r>
          </w:p>
        </w:tc>
        <w:tc>
          <w:tcPr>
            <w:tcW w:w="2000" w:type="pct"/>
            <w:vMerge w:val="continue"/>
            <w:vAlign w:val="center"/>
          </w:tcPr>
          <w:p>
            <w:pPr>
              <w:pStyle w:val="17"/>
            </w:pP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网络边界访问控制信息的完整性</w:t>
            </w:r>
            <w:r>
              <w:t xml:space="preserve"> </w:t>
            </w:r>
          </w:p>
        </w:tc>
        <w:tc>
          <w:tcPr>
            <w:tcW w:w="2000" w:type="pct"/>
            <w:vAlign w:val="center"/>
          </w:tcPr>
          <w:p>
            <w:pPr>
              <w:pStyle w:val="17"/>
            </w:pPr>
            <w:r>
              <w:rPr>
                <w:rFonts w:hint="eastAsia"/>
              </w:rPr>
              <w:t>保护政务外网和互联网用户访问应用系统的网络边界访问控制信息的完整性，防止被非授权篡改。</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安全接入认证</w:t>
            </w:r>
          </w:p>
        </w:tc>
        <w:tc>
          <w:tcPr>
            <w:tcW w:w="2000" w:type="pct"/>
            <w:vAlign w:val="center"/>
          </w:tcPr>
          <w:p>
            <w:pPr>
              <w:pStyle w:val="17"/>
            </w:pPr>
            <w:r>
              <w:rPr>
                <w:rFonts w:hint="eastAsia"/>
              </w:rPr>
              <w:t>不适用。</w:t>
            </w:r>
          </w:p>
        </w:tc>
        <w:tc>
          <w:tcPr>
            <w:tcW w:w="846" w:type="pct"/>
            <w:vAlign w:val="center"/>
          </w:tcPr>
          <w:p>
            <w:pPr>
              <w:pStyle w:val="17"/>
            </w:pPr>
            <w:r>
              <w:rPr>
                <w:rFonts w:hint="eastAsia"/>
              </w:rPr>
              <w:t>无外部设备接入本系统的需求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3"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密码服务</w:t>
            </w:r>
          </w:p>
        </w:tc>
        <w:tc>
          <w:tcPr>
            <w:tcW w:w="2000" w:type="pct"/>
            <w:vAlign w:val="center"/>
          </w:tcPr>
          <w:p>
            <w:pPr>
              <w:pStyle w:val="17"/>
            </w:pPr>
            <w:r>
              <w:rPr>
                <w:rFonts w:hint="eastAsia"/>
              </w:rPr>
              <w:t>采用的数字证书由具有电子认证服务资质的机构签发。</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密码产品</w:t>
            </w:r>
          </w:p>
        </w:tc>
        <w:tc>
          <w:tcPr>
            <w:tcW w:w="2000" w:type="pct"/>
            <w:vAlign w:val="center"/>
          </w:tcPr>
          <w:p>
            <w:pPr>
              <w:pStyle w:val="17"/>
            </w:pPr>
            <w:r>
              <w:rPr>
                <w:rFonts w:hint="eastAsia"/>
              </w:rPr>
              <w:t>采用的密码产品应达到</w:t>
            </w:r>
            <w:r>
              <w:t>GB/T 37092</w:t>
            </w:r>
            <w:r>
              <w:rPr>
                <w:rFonts w:hint="eastAsia"/>
              </w:rPr>
              <w:t>-2018二级及以上安全要求。</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restart"/>
            <w:vAlign w:val="center"/>
          </w:tcPr>
          <w:p>
            <w:pPr>
              <w:pStyle w:val="17"/>
            </w:pPr>
            <w:r>
              <w:rPr>
                <w:rFonts w:hint="eastAsia"/>
              </w:rPr>
              <w:t>设备和计算安全</w:t>
            </w:r>
          </w:p>
        </w:tc>
        <w:tc>
          <w:tcPr>
            <w:tcW w:w="1230" w:type="pct"/>
            <w:vAlign w:val="center"/>
          </w:tcPr>
          <w:p>
            <w:pPr>
              <w:pStyle w:val="17"/>
            </w:pPr>
            <w:r>
              <w:rPr>
                <w:rFonts w:hint="eastAsia"/>
              </w:rPr>
              <w:t>身份鉴别</w:t>
            </w:r>
          </w:p>
        </w:tc>
        <w:tc>
          <w:tcPr>
            <w:tcW w:w="2000" w:type="pct"/>
            <w:vAlign w:val="center"/>
          </w:tcPr>
          <w:p>
            <w:pPr>
              <w:pStyle w:val="17"/>
            </w:pPr>
            <w:r>
              <w:rPr>
                <w:rFonts w:hint="eastAsia"/>
              </w:rPr>
              <w:t>管理员通过远程运维管理终端访问堡垒机、服务器虚拟机、数据库、密码服务时，对其</w:t>
            </w:r>
            <w:r>
              <w:t>身份真实性进行识别和确认，防止假冒人员登录</w:t>
            </w:r>
            <w:r>
              <w:rPr>
                <w:rFonts w:hint="eastAsia"/>
              </w:rPr>
              <w:t>。</w:t>
            </w:r>
          </w:p>
        </w:tc>
        <w:tc>
          <w:tcPr>
            <w:tcW w:w="846" w:type="pct"/>
            <w:vAlign w:val="center"/>
          </w:tcPr>
          <w:p>
            <w:pPr>
              <w:pStyle w:val="17"/>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远程管理通道安全</w:t>
            </w:r>
          </w:p>
        </w:tc>
        <w:tc>
          <w:tcPr>
            <w:tcW w:w="2000" w:type="pct"/>
            <w:vAlign w:val="center"/>
          </w:tcPr>
          <w:p>
            <w:pPr>
              <w:pStyle w:val="17"/>
            </w:pPr>
            <w:r>
              <w:t>在</w:t>
            </w:r>
            <w:r>
              <w:rPr>
                <w:rFonts w:hint="eastAsia"/>
              </w:rPr>
              <w:t>设备实施</w:t>
            </w:r>
            <w:r>
              <w:t>远程</w:t>
            </w:r>
            <w:r>
              <w:rPr>
                <w:rFonts w:hint="eastAsia"/>
              </w:rPr>
              <w:t>运维</w:t>
            </w:r>
            <w:r>
              <w:t>管理时，对</w:t>
            </w:r>
            <w:r>
              <w:rPr>
                <w:rFonts w:hint="eastAsia"/>
              </w:rPr>
              <w:t>设备的运维</w:t>
            </w:r>
            <w:r>
              <w:t>管理</w:t>
            </w:r>
            <w:r>
              <w:rPr>
                <w:rFonts w:hint="eastAsia"/>
              </w:rPr>
              <w:t>通道进行</w:t>
            </w:r>
            <w:r>
              <w:t>保护，防止</w:t>
            </w:r>
            <w:r>
              <w:rPr>
                <w:rFonts w:hint="eastAsia"/>
              </w:rPr>
              <w:t>运维管理数据</w:t>
            </w:r>
            <w:r>
              <w:t>泄漏</w:t>
            </w:r>
            <w:r>
              <w:rPr>
                <w:rFonts w:hint="eastAsia"/>
              </w:rPr>
              <w:t>。</w:t>
            </w:r>
          </w:p>
        </w:tc>
        <w:tc>
          <w:tcPr>
            <w:tcW w:w="846" w:type="pct"/>
            <w:vAlign w:val="center"/>
          </w:tcPr>
          <w:p>
            <w:pPr>
              <w:pStyle w:val="17"/>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系统资源访问控制信息完整性</w:t>
            </w:r>
          </w:p>
        </w:tc>
        <w:tc>
          <w:tcPr>
            <w:tcW w:w="2000" w:type="pct"/>
            <w:vAlign w:val="center"/>
          </w:tcPr>
          <w:p>
            <w:pPr>
              <w:pStyle w:val="17"/>
            </w:pPr>
            <w:r>
              <w:t>保护系统中服务器</w:t>
            </w:r>
            <w:r>
              <w:rPr>
                <w:rFonts w:hint="eastAsia"/>
              </w:rPr>
              <w:t>虚拟机、数据库、密码服务的</w:t>
            </w:r>
            <w:r>
              <w:t>访问控制信息的完整性，防止被非授权篡改</w:t>
            </w:r>
            <w:r>
              <w:rPr>
                <w:rFonts w:hint="eastAsia"/>
              </w:rPr>
              <w:t>。</w:t>
            </w:r>
          </w:p>
        </w:tc>
        <w:tc>
          <w:tcPr>
            <w:tcW w:w="846" w:type="pct"/>
            <w:vAlign w:val="center"/>
          </w:tcPr>
          <w:p>
            <w:pPr>
              <w:pStyle w:val="17"/>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重要信息资源安全标记完整性</w:t>
            </w:r>
          </w:p>
        </w:tc>
        <w:tc>
          <w:tcPr>
            <w:tcW w:w="2000" w:type="pct"/>
            <w:vAlign w:val="center"/>
          </w:tcPr>
          <w:p>
            <w:pPr>
              <w:pStyle w:val="17"/>
            </w:pPr>
            <w:r>
              <w:t>不适用</w:t>
            </w:r>
            <w:r>
              <w:rPr>
                <w:rFonts w:hint="eastAsia"/>
              </w:rPr>
              <w:t>。</w:t>
            </w:r>
          </w:p>
        </w:tc>
        <w:tc>
          <w:tcPr>
            <w:tcW w:w="846" w:type="pct"/>
            <w:vAlign w:val="center"/>
          </w:tcPr>
          <w:p>
            <w:pPr>
              <w:pStyle w:val="17"/>
            </w:pPr>
            <w:r>
              <w:t>设备没有安全标记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日志记录完整性</w:t>
            </w:r>
          </w:p>
        </w:tc>
        <w:tc>
          <w:tcPr>
            <w:tcW w:w="2000" w:type="pct"/>
            <w:vAlign w:val="center"/>
          </w:tcPr>
          <w:p>
            <w:pPr>
              <w:pStyle w:val="17"/>
            </w:pPr>
            <w:r>
              <w:t>保护系统中服务器</w:t>
            </w:r>
            <w:r>
              <w:rPr>
                <w:rFonts w:hint="eastAsia"/>
              </w:rPr>
              <w:t>虚拟机、数据库、密码服务的</w:t>
            </w:r>
            <w:r>
              <w:t>日志记录的完整性，防止被非授权篡改</w:t>
            </w:r>
            <w:r>
              <w:rPr>
                <w:rFonts w:hint="eastAsia"/>
              </w:rPr>
              <w:t>。</w:t>
            </w:r>
          </w:p>
        </w:tc>
        <w:tc>
          <w:tcPr>
            <w:tcW w:w="846" w:type="pct"/>
            <w:vAlign w:val="center"/>
          </w:tcPr>
          <w:p>
            <w:pPr>
              <w:pStyle w:val="17"/>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重要可执行程序完整性、</w:t>
            </w:r>
          </w:p>
          <w:p>
            <w:pPr>
              <w:pStyle w:val="17"/>
            </w:pPr>
            <w:r>
              <w:rPr>
                <w:rFonts w:hint="eastAsia"/>
              </w:rPr>
              <w:t>来源真实性</w:t>
            </w:r>
          </w:p>
        </w:tc>
        <w:tc>
          <w:tcPr>
            <w:tcW w:w="2000" w:type="pct"/>
            <w:vAlign w:val="center"/>
          </w:tcPr>
          <w:p>
            <w:pPr>
              <w:pStyle w:val="17"/>
            </w:pPr>
            <w:r>
              <w:t>保护</w:t>
            </w:r>
            <w:r>
              <w:rPr>
                <w:rFonts w:hint="eastAsia"/>
              </w:rPr>
              <w:t>应用</w:t>
            </w:r>
            <w:r>
              <w:t>服务器等设备中</w:t>
            </w:r>
            <w:r>
              <w:rPr>
                <w:rFonts w:hint="eastAsia"/>
              </w:rPr>
              <w:t>部署的</w:t>
            </w:r>
            <w:r>
              <w:t>重要可执行程序的完整性</w:t>
            </w:r>
            <w:r>
              <w:rPr>
                <w:rFonts w:hint="eastAsia"/>
              </w:rPr>
              <w:t>和来源真实性</w:t>
            </w:r>
            <w:r>
              <w:t>，防止被非授权篡改</w:t>
            </w:r>
            <w:r>
              <w:rPr>
                <w:rFonts w:hint="eastAsia"/>
              </w:rPr>
              <w:t>。</w:t>
            </w:r>
          </w:p>
        </w:tc>
        <w:tc>
          <w:tcPr>
            <w:tcW w:w="846" w:type="pct"/>
            <w:vAlign w:val="center"/>
          </w:tcPr>
          <w:p>
            <w:pPr>
              <w:pStyle w:val="17"/>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密码服务</w:t>
            </w:r>
          </w:p>
        </w:tc>
        <w:tc>
          <w:tcPr>
            <w:tcW w:w="2000" w:type="pct"/>
            <w:vAlign w:val="center"/>
          </w:tcPr>
          <w:p>
            <w:pPr>
              <w:pStyle w:val="17"/>
            </w:pPr>
            <w:r>
              <w:rPr>
                <w:rFonts w:hint="eastAsia"/>
              </w:rPr>
              <w:t>采用的数字证书由具有电子认证服务资质的机构签发。</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密码产品</w:t>
            </w:r>
          </w:p>
        </w:tc>
        <w:tc>
          <w:tcPr>
            <w:tcW w:w="2000" w:type="pct"/>
            <w:vAlign w:val="center"/>
          </w:tcPr>
          <w:p>
            <w:pPr>
              <w:pStyle w:val="17"/>
            </w:pPr>
            <w:r>
              <w:rPr>
                <w:rFonts w:hint="eastAsia"/>
              </w:rPr>
              <w:t>采用的密码产品应达到</w:t>
            </w:r>
            <w:r>
              <w:t>GB/T 37092</w:t>
            </w:r>
            <w:r>
              <w:rPr>
                <w:rFonts w:hint="eastAsia"/>
              </w:rPr>
              <w:t>-2018二级及以上安全要求。</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restart"/>
            <w:vAlign w:val="center"/>
          </w:tcPr>
          <w:p>
            <w:pPr>
              <w:pStyle w:val="17"/>
            </w:pPr>
            <w:r>
              <w:rPr>
                <w:rFonts w:hint="eastAsia"/>
              </w:rPr>
              <w:t>业务应用安全</w:t>
            </w:r>
          </w:p>
        </w:tc>
        <w:tc>
          <w:tcPr>
            <w:tcW w:w="462" w:type="pct"/>
            <w:vMerge w:val="restart"/>
            <w:vAlign w:val="center"/>
          </w:tcPr>
          <w:p>
            <w:pPr>
              <w:pStyle w:val="17"/>
            </w:pPr>
            <w:r>
              <w:rPr>
                <w:rFonts w:hint="eastAsia"/>
              </w:rPr>
              <w:t>应用和数据安全</w:t>
            </w:r>
          </w:p>
        </w:tc>
        <w:tc>
          <w:tcPr>
            <w:tcW w:w="1230" w:type="pct"/>
            <w:vAlign w:val="center"/>
          </w:tcPr>
          <w:p>
            <w:pPr>
              <w:pStyle w:val="17"/>
            </w:pPr>
            <w:r>
              <w:rPr>
                <w:rFonts w:hint="eastAsia"/>
              </w:rPr>
              <w:t>身份鉴别</w:t>
            </w:r>
          </w:p>
        </w:tc>
        <w:tc>
          <w:tcPr>
            <w:tcW w:w="2000" w:type="pct"/>
            <w:vAlign w:val="center"/>
          </w:tcPr>
          <w:p>
            <w:pPr>
              <w:pStyle w:val="17"/>
            </w:pPr>
            <w:r>
              <w:t>确认</w:t>
            </w:r>
            <w:r>
              <w:rPr>
                <w:rFonts w:hint="eastAsia"/>
              </w:rPr>
              <w:t>应用系统</w:t>
            </w:r>
            <w:r>
              <w:t>用户身份的真实性，防止假冒人员登录</w:t>
            </w:r>
            <w:r>
              <w:rPr>
                <w:rFonts w:hint="eastAsia"/>
              </w:rPr>
              <w:t>。</w:t>
            </w:r>
          </w:p>
        </w:tc>
        <w:tc>
          <w:tcPr>
            <w:tcW w:w="846" w:type="pct"/>
            <w:vAlign w:val="center"/>
          </w:tcPr>
          <w:p>
            <w:pPr>
              <w:pStyle w:val="17"/>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访问控制信息完整性</w:t>
            </w:r>
          </w:p>
        </w:tc>
        <w:tc>
          <w:tcPr>
            <w:tcW w:w="2000" w:type="pct"/>
            <w:vAlign w:val="center"/>
          </w:tcPr>
          <w:p>
            <w:pPr>
              <w:pStyle w:val="17"/>
            </w:pPr>
            <w:r>
              <w:t>对</w:t>
            </w:r>
            <w:r>
              <w:rPr>
                <w:rFonts w:hint="eastAsia"/>
              </w:rPr>
              <w:t>应用系统</w:t>
            </w:r>
            <w:r>
              <w:t>的访问权限控制列表进行完整性保护，防止被非授权篡改</w:t>
            </w:r>
            <w:r>
              <w:rPr>
                <w:rFonts w:hint="eastAsia"/>
              </w:rPr>
              <w:t>。</w:t>
            </w:r>
          </w:p>
        </w:tc>
        <w:tc>
          <w:tcPr>
            <w:tcW w:w="846" w:type="pct"/>
            <w:vAlign w:val="center"/>
          </w:tcPr>
          <w:p>
            <w:pPr>
              <w:pStyle w:val="17"/>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4"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重要信息资源安全标记完整性</w:t>
            </w:r>
          </w:p>
        </w:tc>
        <w:tc>
          <w:tcPr>
            <w:tcW w:w="2000" w:type="pct"/>
            <w:vAlign w:val="center"/>
          </w:tcPr>
          <w:p>
            <w:pPr>
              <w:pStyle w:val="17"/>
            </w:pPr>
            <w:r>
              <w:t>不适用</w:t>
            </w:r>
            <w:r>
              <w:rPr>
                <w:rFonts w:hint="eastAsia"/>
              </w:rPr>
              <w:t>。</w:t>
            </w:r>
          </w:p>
        </w:tc>
        <w:tc>
          <w:tcPr>
            <w:tcW w:w="846" w:type="pct"/>
            <w:vAlign w:val="center"/>
          </w:tcPr>
          <w:p>
            <w:pPr>
              <w:pStyle w:val="17"/>
            </w:pPr>
            <w:r>
              <w:t>应用没有安全标记</w:t>
            </w:r>
            <w:r>
              <w:rPr>
                <w:rFonts w:hint="eastAsi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数据传输机密性</w:t>
            </w:r>
          </w:p>
        </w:tc>
        <w:tc>
          <w:tcPr>
            <w:tcW w:w="2000" w:type="pct"/>
            <w:vMerge w:val="restart"/>
            <w:vAlign w:val="center"/>
          </w:tcPr>
          <w:p>
            <w:pPr>
              <w:pStyle w:val="17"/>
            </w:pPr>
            <w:r>
              <w:rPr>
                <w:rFonts w:hint="eastAsia"/>
              </w:rPr>
              <w:t>保护互联网客户端与服务端之间传输和存储的用户登录身份鉴别信息、电子公文数据等重要数据的机密性和完整性，防止数据泄露给非授权的个人、进程等。保护系统业务日志数据的完整性，防止该数据被非授权篡改。</w:t>
            </w:r>
          </w:p>
        </w:tc>
        <w:tc>
          <w:tcPr>
            <w:tcW w:w="846" w:type="pct"/>
            <w:vMerge w:val="restar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数据存储机密性</w:t>
            </w:r>
          </w:p>
        </w:tc>
        <w:tc>
          <w:tcPr>
            <w:tcW w:w="2000" w:type="pct"/>
            <w:vMerge w:val="continue"/>
            <w:vAlign w:val="center"/>
          </w:tcPr>
          <w:p>
            <w:pPr>
              <w:pStyle w:val="17"/>
            </w:pPr>
          </w:p>
        </w:tc>
        <w:tc>
          <w:tcPr>
            <w:tcW w:w="846" w:type="pct"/>
            <w:vMerge w:val="continue"/>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数据传输完整性</w:t>
            </w:r>
          </w:p>
        </w:tc>
        <w:tc>
          <w:tcPr>
            <w:tcW w:w="2000" w:type="pct"/>
            <w:vMerge w:val="continue"/>
            <w:vAlign w:val="center"/>
          </w:tcPr>
          <w:p>
            <w:pPr>
              <w:pStyle w:val="17"/>
            </w:pPr>
          </w:p>
        </w:tc>
        <w:tc>
          <w:tcPr>
            <w:tcW w:w="846" w:type="pct"/>
            <w:vMerge w:val="continue"/>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数据存储完整性</w:t>
            </w:r>
          </w:p>
        </w:tc>
        <w:tc>
          <w:tcPr>
            <w:tcW w:w="2000" w:type="pct"/>
            <w:vMerge w:val="continue"/>
            <w:vAlign w:val="center"/>
          </w:tcPr>
          <w:p>
            <w:pPr>
              <w:pStyle w:val="17"/>
            </w:pPr>
          </w:p>
        </w:tc>
        <w:tc>
          <w:tcPr>
            <w:tcW w:w="846" w:type="pct"/>
            <w:vMerge w:val="continue"/>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92"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不可否认性</w:t>
            </w:r>
          </w:p>
        </w:tc>
        <w:tc>
          <w:tcPr>
            <w:tcW w:w="2000" w:type="pct"/>
            <w:vAlign w:val="center"/>
          </w:tcPr>
          <w:p>
            <w:pPr>
              <w:pStyle w:val="17"/>
            </w:pPr>
            <w:r>
              <w:t>不适用</w:t>
            </w:r>
            <w:r>
              <w:rPr>
                <w:rFonts w:hint="eastAsia"/>
              </w:rPr>
              <w:t>。</w:t>
            </w:r>
          </w:p>
        </w:tc>
        <w:tc>
          <w:tcPr>
            <w:tcW w:w="846" w:type="pct"/>
            <w:vAlign w:val="center"/>
          </w:tcPr>
          <w:p>
            <w:pPr>
              <w:pStyle w:val="17"/>
            </w:pPr>
            <w:r>
              <w:rPr>
                <w:rFonts w:hint="eastAsia"/>
              </w:rPr>
              <w:t>无不可否认性需求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密码服务</w:t>
            </w:r>
          </w:p>
        </w:tc>
        <w:tc>
          <w:tcPr>
            <w:tcW w:w="2000" w:type="pct"/>
            <w:vAlign w:val="center"/>
          </w:tcPr>
          <w:p>
            <w:pPr>
              <w:pStyle w:val="17"/>
            </w:pPr>
            <w:r>
              <w:rPr>
                <w:rFonts w:hint="eastAsia"/>
              </w:rPr>
              <w:t>采用的数字证书由具有电子认证服务资质的机构签发。</w:t>
            </w:r>
          </w:p>
        </w:tc>
        <w:tc>
          <w:tcPr>
            <w:tcW w:w="846" w:type="pct"/>
            <w:vAlign w:val="center"/>
          </w:tcPr>
          <w:p>
            <w:pPr>
              <w:pStyle w:val="17"/>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7"/>
            </w:pPr>
          </w:p>
        </w:tc>
        <w:tc>
          <w:tcPr>
            <w:tcW w:w="462" w:type="pct"/>
            <w:vMerge w:val="continue"/>
            <w:vAlign w:val="center"/>
          </w:tcPr>
          <w:p>
            <w:pPr>
              <w:pStyle w:val="17"/>
            </w:pPr>
          </w:p>
        </w:tc>
        <w:tc>
          <w:tcPr>
            <w:tcW w:w="1230" w:type="pct"/>
            <w:vAlign w:val="center"/>
          </w:tcPr>
          <w:p>
            <w:pPr>
              <w:pStyle w:val="17"/>
            </w:pPr>
            <w:r>
              <w:rPr>
                <w:rFonts w:hint="eastAsia"/>
              </w:rPr>
              <w:t>密码产品</w:t>
            </w:r>
          </w:p>
        </w:tc>
        <w:tc>
          <w:tcPr>
            <w:tcW w:w="2000" w:type="pct"/>
            <w:vAlign w:val="center"/>
          </w:tcPr>
          <w:p>
            <w:pPr>
              <w:pStyle w:val="17"/>
            </w:pPr>
            <w:r>
              <w:rPr>
                <w:rFonts w:hint="eastAsia"/>
              </w:rPr>
              <w:t>采用的密码产品，应达到</w:t>
            </w:r>
            <w:r>
              <w:t>GB/T 37092</w:t>
            </w:r>
            <w:r>
              <w:rPr>
                <w:rFonts w:hint="eastAsia"/>
              </w:rPr>
              <w:t>-2018二级及以上安全要求。</w:t>
            </w:r>
          </w:p>
        </w:tc>
        <w:tc>
          <w:tcPr>
            <w:tcW w:w="846" w:type="pct"/>
            <w:vAlign w:val="center"/>
          </w:tcPr>
          <w:p>
            <w:pPr>
              <w:pStyle w:val="17"/>
            </w:pPr>
            <w:r>
              <w:rPr>
                <w:rFonts w:hint="eastAsia"/>
              </w:rPr>
              <w:t>无</w:t>
            </w:r>
          </w:p>
        </w:tc>
      </w:tr>
    </w:tbl>
    <w:p>
      <w:pPr>
        <w:pStyle w:val="3"/>
      </w:pPr>
      <w:bookmarkStart w:id="37" w:name="_Toc63785512"/>
      <w:r>
        <w:rPr>
          <w:rFonts w:hint="eastAsia"/>
        </w:rPr>
        <w:t>技术文件要求</w:t>
      </w:r>
    </w:p>
    <w:p>
      <w:r>
        <w:rPr>
          <w:rFonts w:hint="eastAsia"/>
        </w:rPr>
        <w:t>投标人提供的书面技术资料应能确保系统正常运行所需的管理、运营及维护有关的全套文件。技术文件应该全面、完整、详细。投标人提供的技术文件至少应包括：</w:t>
      </w:r>
    </w:p>
    <w:p>
      <w:r>
        <w:rPr>
          <w:rFonts w:hint="eastAsia"/>
        </w:rPr>
        <w:t>－</w:t>
      </w:r>
      <w:r>
        <w:t xml:space="preserve"> 系统说明文件； </w:t>
      </w:r>
    </w:p>
    <w:p>
      <w:r>
        <w:rPr>
          <w:rFonts w:hint="eastAsia"/>
        </w:rPr>
        <w:t>－</w:t>
      </w:r>
      <w:r>
        <w:t xml:space="preserve"> 技术手册</w:t>
      </w:r>
      <w:r>
        <w:rPr>
          <w:rFonts w:hint="eastAsia"/>
          <w:lang w:eastAsia="zh-CN"/>
        </w:rPr>
        <w:t>（</w:t>
      </w:r>
      <w:r>
        <w:t>安装、测试、操作、维护、故障排除等</w:t>
      </w:r>
      <w:r>
        <w:rPr>
          <w:rFonts w:hint="eastAsia"/>
          <w:lang w:eastAsia="zh-CN"/>
        </w:rPr>
        <w:t>）</w:t>
      </w:r>
      <w:r>
        <w:t xml:space="preserve">； </w:t>
      </w:r>
    </w:p>
    <w:p>
      <w:r>
        <w:rPr>
          <w:rFonts w:hint="eastAsia"/>
        </w:rPr>
        <w:t>－</w:t>
      </w:r>
      <w:r>
        <w:t xml:space="preserve"> 项目文档，应该包括：</w:t>
      </w:r>
    </w:p>
    <w:p>
      <w:pPr>
        <w:ind w:left="360"/>
      </w:pPr>
      <w:r>
        <w:rPr>
          <w:rFonts w:hint="eastAsia"/>
          <w:lang w:eastAsia="zh-CN"/>
        </w:rPr>
        <w:t>（1）</w:t>
      </w:r>
      <w:r>
        <w:t>软件需求说明书</w:t>
      </w:r>
    </w:p>
    <w:p>
      <w:pPr>
        <w:ind w:left="360"/>
      </w:pPr>
      <w:r>
        <w:rPr>
          <w:rFonts w:hint="eastAsia"/>
          <w:lang w:eastAsia="zh-CN"/>
        </w:rPr>
        <w:t>（2）</w:t>
      </w:r>
      <w:r>
        <w:tab/>
      </w:r>
      <w:r>
        <w:t>系统总体设计说明书</w:t>
      </w:r>
    </w:p>
    <w:p>
      <w:pPr>
        <w:ind w:left="360"/>
      </w:pPr>
      <w:r>
        <w:rPr>
          <w:rFonts w:hint="eastAsia"/>
          <w:lang w:eastAsia="zh-CN"/>
        </w:rPr>
        <w:t>（3）</w:t>
      </w:r>
      <w:r>
        <w:tab/>
      </w:r>
      <w:r>
        <w:t>应用软件功能清单</w:t>
      </w:r>
    </w:p>
    <w:p>
      <w:r>
        <w:rPr>
          <w:rFonts w:hint="eastAsia"/>
        </w:rPr>
        <w:t>提供全套技术文件纸介质</w:t>
      </w:r>
      <w:r>
        <w:t>3套以及电子文件1套。</w:t>
      </w:r>
    </w:p>
    <w:bookmarkEnd w:id="37"/>
    <w:p>
      <w:pPr>
        <w:pStyle w:val="2"/>
      </w:pPr>
      <w:bookmarkStart w:id="38" w:name="_Toc68798863"/>
      <w:r>
        <w:rPr>
          <w:rFonts w:hint="eastAsia"/>
        </w:rPr>
        <w:t>附录</w:t>
      </w:r>
      <w:bookmarkEnd w:id="38"/>
    </w:p>
    <w:p>
      <w:pPr>
        <w:ind w:firstLine="482" w:firstLineChars="0"/>
      </w:pPr>
      <w:r>
        <w:rPr>
          <w:rFonts w:hint="eastAsia"/>
        </w:rPr>
        <w:t>1、</w:t>
      </w:r>
      <w:r>
        <w:t>《政务网络安全监测平台总体技术要求》</w:t>
      </w:r>
    </w:p>
    <w:p>
      <w:pPr>
        <w:ind w:firstLine="0" w:firstLineChars="0"/>
      </w:pPr>
      <w:r>
        <w:object>
          <v:shape id="_x0000_i1026" o:spt="75" type="#_x0000_t75" style="height:55pt;width:76.5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pPr>
        <w:ind w:firstLine="0" w:firstLineChars="0"/>
      </w:pPr>
    </w:p>
    <w:p>
      <w:pPr>
        <w:ind w:firstLine="0" w:firstLineChars="0"/>
        <w:jc w:val="left"/>
      </w:pPr>
      <w:r>
        <w:rPr>
          <w:rFonts w:hint="eastAsia"/>
        </w:rPr>
        <w:t>2、《上海市电子政务外网建设和运行管理指南（试行）》</w:t>
      </w:r>
    </w:p>
    <w:p>
      <w:pPr>
        <w:ind w:firstLine="0" w:firstLineChars="0"/>
        <w:jc w:val="left"/>
      </w:pPr>
      <w:r>
        <w:object>
          <v:shape id="_x0000_i1027" o:spt="75" type="#_x0000_t75" style="height:55pt;width:76.5pt;" o:ole="t" filled="f" o:preferrelative="t" stroked="f" coordsize="21600,21600">
            <v:path/>
            <v:fill on="f" focussize="0,0"/>
            <v:stroke on="f" joinstyle="miter"/>
            <v:imagedata r:id="rId18" o:title=""/>
            <o:lock v:ext="edit" aspectratio="t"/>
            <w10:wrap type="none"/>
            <w10:anchorlock/>
          </v:shape>
          <o:OLEObject Type="Embed" ProgID="Package" ShapeID="_x0000_i1027" DrawAspect="Icon" ObjectID="_1468075727" r:id="rId17">
            <o:LockedField>false</o:LockedField>
          </o:OLEObject>
        </w:object>
      </w:r>
    </w:p>
    <w:p>
      <w:pPr>
        <w:ind w:firstLine="0" w:firstLineChars="0"/>
        <w:jc w:val="left"/>
      </w:pPr>
      <w:r>
        <w:rPr>
          <w:rFonts w:hint="eastAsia"/>
        </w:rPr>
        <w:t>3、《低代码相关要求（试行）》</w:t>
      </w:r>
    </w:p>
    <w:p>
      <w:pPr>
        <w:ind w:firstLine="0" w:firstLineChars="0"/>
        <w:jc w:val="left"/>
      </w:pPr>
    </w:p>
    <w:p>
      <w:pPr>
        <w:ind w:firstLine="0" w:firstLineChars="0"/>
        <w:jc w:val="left"/>
      </w:pPr>
      <w:r>
        <w:rPr>
          <w:rFonts w:hint="eastAsia"/>
        </w:rPr>
        <w:t>4、其他标准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华文中宋"/>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0000000000000000000"/>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FreeSerif">
    <w:altName w:val="Noto Serif"/>
    <w:panose1 w:val="02020603050405020304"/>
    <w:charset w:val="00"/>
    <w:family w:val="auto"/>
    <w:pitch w:val="default"/>
    <w:sig w:usb0="00000000" w:usb1="00000000" w:usb2="43501B29" w:usb3="04000043" w:csb0="600101FF" w:csb1="FFFF0000"/>
  </w:font>
  <w:font w:name="Noto Serif">
    <w:panose1 w:val="02020502060505020204"/>
    <w:charset w:val="00"/>
    <w:family w:val="auto"/>
    <w:pitch w:val="default"/>
    <w:sig w:usb0="E00002FF" w:usb1="4000201F" w:usb2="08000029" w:usb3="00100000" w:csb0="0000019F" w:csb1="00000000"/>
  </w:font>
  <w:font w:name="Tahoma">
    <w:altName w:val="DejaVu Sans"/>
    <w:panose1 w:val="020B0604030504040204"/>
    <w:charset w:val="00"/>
    <w:family w:val="swiss"/>
    <w:pitch w:val="default"/>
    <w:sig w:usb0="00000000" w:usb1="00000000" w:usb2="00000029" w:usb3="00000000" w:csb0="200101FF" w:csb1="20280000"/>
  </w:font>
  <w:font w:name="微软雅黑">
    <w:altName w:val="方正黑体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fldChar w:fldCharType="begin"/>
    </w:r>
    <w:r>
      <w:instrText xml:space="preserve">PAGE   \* MERGEFORMAT</w:instrText>
    </w:r>
    <w:r>
      <w:fldChar w:fldCharType="separate"/>
    </w:r>
    <w:r>
      <w:rPr>
        <w:lang w:val="zh-CN"/>
      </w:rPr>
      <w:t>46</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4D2EC9E7"/>
    <w:multiLevelType w:val="singleLevel"/>
    <w:tmpl w:val="4D2EC9E7"/>
    <w:lvl w:ilvl="0" w:tentative="0">
      <w:start w:val="1"/>
      <w:numFmt w:val="bullet"/>
      <w:pStyle w:val="14"/>
      <w:lvlText w:val=""/>
      <w:lvlJc w:val="left"/>
      <w:pPr>
        <w:tabs>
          <w:tab w:val="left" w:pos="360"/>
        </w:tabs>
        <w:ind w:left="360" w:hanging="360"/>
      </w:pPr>
      <w:rPr>
        <w:rFonts w:hint="default" w:ascii="Wingdings" w:hAnsi="Wingdings"/>
      </w:rPr>
    </w:lvl>
  </w:abstractNum>
  <w:abstractNum w:abstractNumId="2">
    <w:nsid w:val="6350366A"/>
    <w:multiLevelType w:val="multilevel"/>
    <w:tmpl w:val="6350366A"/>
    <w:lvl w:ilvl="0" w:tentative="0">
      <w:start w:val="1"/>
      <w:numFmt w:val="none"/>
      <w:pStyle w:val="11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hZTM4MDQ0MjE0NzZkMDgxNGZjMjYxNzEzNTkwZWIifQ=="/>
  </w:docVars>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A78A5"/>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392A"/>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1C0B"/>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3FBB"/>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3BBB"/>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5ACC"/>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1DA0"/>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66F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563"/>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11FE"/>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4E3C"/>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0DA7"/>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96113"/>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2F57"/>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4405"/>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A58"/>
    <w:rsid w:val="00EB6DA9"/>
    <w:rsid w:val="00EC1561"/>
    <w:rsid w:val="00EC462E"/>
    <w:rsid w:val="00EC6CD8"/>
    <w:rsid w:val="00EC786F"/>
    <w:rsid w:val="00EC7FF0"/>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6E92"/>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430854"/>
    <w:rsid w:val="034F2D39"/>
    <w:rsid w:val="039F5FA6"/>
    <w:rsid w:val="09305ADA"/>
    <w:rsid w:val="0AFC1794"/>
    <w:rsid w:val="0E8013B7"/>
    <w:rsid w:val="10D604C6"/>
    <w:rsid w:val="11B515E0"/>
    <w:rsid w:val="13A53267"/>
    <w:rsid w:val="13F970D2"/>
    <w:rsid w:val="14AA4136"/>
    <w:rsid w:val="1572463D"/>
    <w:rsid w:val="163A420B"/>
    <w:rsid w:val="19413B26"/>
    <w:rsid w:val="1C6D3688"/>
    <w:rsid w:val="1C974DF7"/>
    <w:rsid w:val="1CB61869"/>
    <w:rsid w:val="1CC63D0A"/>
    <w:rsid w:val="1DC2081A"/>
    <w:rsid w:val="1DD94266"/>
    <w:rsid w:val="1F9D0947"/>
    <w:rsid w:val="1FFB29C6"/>
    <w:rsid w:val="22AF3620"/>
    <w:rsid w:val="22E70AD4"/>
    <w:rsid w:val="24F1508D"/>
    <w:rsid w:val="266F634F"/>
    <w:rsid w:val="28BC5E1F"/>
    <w:rsid w:val="291059EA"/>
    <w:rsid w:val="2BBF12EC"/>
    <w:rsid w:val="2BC649D9"/>
    <w:rsid w:val="3515160D"/>
    <w:rsid w:val="37775231"/>
    <w:rsid w:val="37A21156"/>
    <w:rsid w:val="3A0A4BDC"/>
    <w:rsid w:val="3B7807FE"/>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FAF09C4"/>
    <w:rsid w:val="5FDE0DA7"/>
    <w:rsid w:val="608C4642"/>
    <w:rsid w:val="62795572"/>
    <w:rsid w:val="64DD6417"/>
    <w:rsid w:val="66004745"/>
    <w:rsid w:val="6A567F20"/>
    <w:rsid w:val="6C112EAC"/>
    <w:rsid w:val="6CD97953"/>
    <w:rsid w:val="6ED30FD7"/>
    <w:rsid w:val="6FFF7BD7"/>
    <w:rsid w:val="727D78FD"/>
    <w:rsid w:val="73CC655F"/>
    <w:rsid w:val="73FA8648"/>
    <w:rsid w:val="75957445"/>
    <w:rsid w:val="75D01AE1"/>
    <w:rsid w:val="77524363"/>
    <w:rsid w:val="77B917B5"/>
    <w:rsid w:val="77F75380"/>
    <w:rsid w:val="78703975"/>
    <w:rsid w:val="7BBC1933"/>
    <w:rsid w:val="7BDC08A0"/>
    <w:rsid w:val="7BE420FD"/>
    <w:rsid w:val="7D0D296B"/>
    <w:rsid w:val="7D2B1EC9"/>
    <w:rsid w:val="7D4E0B54"/>
    <w:rsid w:val="7D503E78"/>
    <w:rsid w:val="7D9F2E15"/>
    <w:rsid w:val="7E0160D4"/>
    <w:rsid w:val="B79A69B2"/>
    <w:rsid w:val="FCDBA582"/>
    <w:rsid w:val="FEEE6692"/>
    <w:rsid w:val="FFFE0BFD"/>
    <w:rsid w:val="FFFFB24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6"/>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9"/>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2"/>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9"/>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7"/>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0"/>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3"/>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9"/>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9"/>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5"/>
    <w:qFormat/>
    <w:uiPriority w:val="0"/>
    <w:pPr>
      <w:spacing w:afterLines="50"/>
      <w:ind w:firstLine="200"/>
    </w:pPr>
    <w:rPr>
      <w:rFonts w:ascii="Arial" w:hAnsi="Arial" w:eastAsia="黑体"/>
      <w:sz w:val="20"/>
      <w:szCs w:val="20"/>
    </w:rPr>
  </w:style>
  <w:style w:type="paragraph" w:styleId="14">
    <w:name w:val="List Bullet"/>
    <w:basedOn w:val="1"/>
    <w:qFormat/>
    <w:uiPriority w:val="0"/>
    <w:pPr>
      <w:numPr>
        <w:ilvl w:val="0"/>
        <w:numId w:val="2"/>
      </w:numPr>
    </w:pPr>
  </w:style>
  <w:style w:type="paragraph" w:styleId="15">
    <w:name w:val="Document Map"/>
    <w:basedOn w:val="1"/>
    <w:link w:val="92"/>
    <w:qFormat/>
    <w:uiPriority w:val="0"/>
    <w:rPr>
      <w:rFonts w:hAnsi="Times New Roman"/>
      <w:sz w:val="18"/>
      <w:szCs w:val="18"/>
    </w:rPr>
  </w:style>
  <w:style w:type="paragraph" w:styleId="16">
    <w:name w:val="annotation text"/>
    <w:basedOn w:val="1"/>
    <w:link w:val="46"/>
    <w:qFormat/>
    <w:uiPriority w:val="99"/>
    <w:pPr>
      <w:jc w:val="left"/>
    </w:pPr>
    <w:rPr>
      <w:rFonts w:ascii="Times New Roman" w:hAnsi="Times New Roman" w:eastAsia="仿宋"/>
      <w:sz w:val="28"/>
    </w:rPr>
  </w:style>
  <w:style w:type="paragraph" w:styleId="17">
    <w:name w:val="Body Text"/>
    <w:basedOn w:val="1"/>
    <w:link w:val="60"/>
    <w:unhideWhenUsed/>
    <w:qFormat/>
    <w:uiPriority w:val="0"/>
    <w:pPr>
      <w:spacing w:after="120" w:line="240" w:lineRule="auto"/>
      <w:ind w:firstLine="0" w:firstLineChars="0"/>
    </w:pPr>
    <w:rPr>
      <w:rFonts w:ascii="Times New Roman" w:hAnsi="Times New Roman"/>
      <w:sz w:val="21"/>
    </w:rPr>
  </w:style>
  <w:style w:type="paragraph" w:styleId="18">
    <w:name w:val="Body Text Indent"/>
    <w:basedOn w:val="1"/>
    <w:link w:val="86"/>
    <w:qFormat/>
    <w:uiPriority w:val="0"/>
    <w:pPr>
      <w:spacing w:after="120"/>
      <w:ind w:firstLine="200"/>
    </w:pPr>
    <w:rPr>
      <w:rFonts w:ascii="Times New Roman" w:hAnsi="Times New Roman"/>
      <w:sz w:val="21"/>
      <w:szCs w:val="20"/>
    </w:rPr>
  </w:style>
  <w:style w:type="paragraph" w:styleId="19">
    <w:name w:val="toc 5"/>
    <w:basedOn w:val="1"/>
    <w:next w:val="1"/>
    <w:unhideWhenUsed/>
    <w:qFormat/>
    <w:uiPriority w:val="39"/>
    <w:pPr>
      <w:ind w:left="1680" w:leftChars="800"/>
    </w:pPr>
    <w:rPr>
      <w:rFonts w:ascii="等线" w:hAnsi="等线" w:eastAsia="等线"/>
      <w:szCs w:val="22"/>
    </w:rPr>
  </w:style>
  <w:style w:type="paragraph" w:styleId="20">
    <w:name w:val="toc 3"/>
    <w:basedOn w:val="1"/>
    <w:next w:val="1"/>
    <w:qFormat/>
    <w:uiPriority w:val="39"/>
    <w:pPr>
      <w:tabs>
        <w:tab w:val="right" w:leader="dot" w:pos="8302"/>
      </w:tabs>
      <w:ind w:left="840" w:leftChars="400"/>
    </w:pPr>
  </w:style>
  <w:style w:type="paragraph" w:styleId="21">
    <w:name w:val="Plain Text"/>
    <w:basedOn w:val="1"/>
    <w:link w:val="67"/>
    <w:qFormat/>
    <w:uiPriority w:val="0"/>
    <w:pPr>
      <w:spacing w:line="240" w:lineRule="auto"/>
      <w:ind w:firstLine="0" w:firstLineChars="0"/>
    </w:pPr>
    <w:rPr>
      <w:rFonts w:hAnsi="Courier New"/>
      <w:sz w:val="21"/>
      <w:szCs w:val="20"/>
    </w:rPr>
  </w:style>
  <w:style w:type="paragraph" w:styleId="22">
    <w:name w:val="toc 8"/>
    <w:basedOn w:val="1"/>
    <w:next w:val="1"/>
    <w:unhideWhenUsed/>
    <w:qFormat/>
    <w:uiPriority w:val="39"/>
    <w:pPr>
      <w:ind w:left="2940" w:leftChars="1400"/>
    </w:pPr>
    <w:rPr>
      <w:rFonts w:ascii="等线" w:hAnsi="等线" w:eastAsia="等线"/>
      <w:szCs w:val="22"/>
    </w:rPr>
  </w:style>
  <w:style w:type="paragraph" w:styleId="23">
    <w:name w:val="Date"/>
    <w:basedOn w:val="1"/>
    <w:next w:val="1"/>
    <w:link w:val="48"/>
    <w:qFormat/>
    <w:uiPriority w:val="0"/>
    <w:pPr>
      <w:ind w:left="100" w:leftChars="2500"/>
    </w:pPr>
    <w:rPr>
      <w:rFonts w:ascii="Times New Roman" w:hAnsi="Times New Roman"/>
      <w:sz w:val="21"/>
    </w:rPr>
  </w:style>
  <w:style w:type="paragraph" w:styleId="24">
    <w:name w:val="Balloon Text"/>
    <w:basedOn w:val="1"/>
    <w:link w:val="97"/>
    <w:qFormat/>
    <w:uiPriority w:val="0"/>
    <w:rPr>
      <w:rFonts w:ascii="Times New Roman" w:hAnsi="Times New Roman"/>
      <w:sz w:val="18"/>
      <w:szCs w:val="18"/>
    </w:rPr>
  </w:style>
  <w:style w:type="paragraph" w:styleId="25">
    <w:name w:val="footer"/>
    <w:basedOn w:val="1"/>
    <w:link w:val="90"/>
    <w:qFormat/>
    <w:uiPriority w:val="99"/>
    <w:pPr>
      <w:tabs>
        <w:tab w:val="center" w:pos="4153"/>
        <w:tab w:val="right" w:pos="8306"/>
      </w:tabs>
      <w:snapToGrid w:val="0"/>
      <w:jc w:val="center"/>
    </w:pPr>
    <w:rPr>
      <w:rFonts w:ascii="Times New Roman" w:hAnsi="Times New Roman"/>
      <w:sz w:val="18"/>
      <w:szCs w:val="18"/>
    </w:rPr>
  </w:style>
  <w:style w:type="paragraph" w:styleId="26">
    <w:name w:val="header"/>
    <w:basedOn w:val="1"/>
    <w:link w:val="98"/>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7">
    <w:name w:val="toc 1"/>
    <w:basedOn w:val="1"/>
    <w:next w:val="1"/>
    <w:qFormat/>
    <w:uiPriority w:val="39"/>
  </w:style>
  <w:style w:type="paragraph" w:styleId="28">
    <w:name w:val="toc 4"/>
    <w:basedOn w:val="1"/>
    <w:next w:val="1"/>
    <w:unhideWhenUsed/>
    <w:qFormat/>
    <w:uiPriority w:val="39"/>
    <w:pPr>
      <w:ind w:left="1260" w:leftChars="600"/>
    </w:pPr>
    <w:rPr>
      <w:rFonts w:ascii="等线" w:hAnsi="等线" w:eastAsia="等线"/>
      <w:szCs w:val="22"/>
    </w:rPr>
  </w:style>
  <w:style w:type="paragraph" w:styleId="29">
    <w:name w:val="Subtitle"/>
    <w:basedOn w:val="1"/>
    <w:next w:val="1"/>
    <w:link w:val="88"/>
    <w:qFormat/>
    <w:uiPriority w:val="0"/>
    <w:pPr>
      <w:spacing w:before="240" w:after="60" w:line="312" w:lineRule="auto"/>
      <w:jc w:val="center"/>
      <w:outlineLvl w:val="1"/>
    </w:pPr>
    <w:rPr>
      <w:rFonts w:ascii="Calibri Light" w:hAnsi="Calibri Light"/>
      <w:b/>
      <w:bCs/>
      <w:kern w:val="28"/>
      <w:sz w:val="32"/>
      <w:szCs w:val="32"/>
    </w:rPr>
  </w:style>
  <w:style w:type="paragraph" w:styleId="30">
    <w:name w:val="toc 6"/>
    <w:basedOn w:val="1"/>
    <w:next w:val="1"/>
    <w:unhideWhenUsed/>
    <w:qFormat/>
    <w:uiPriority w:val="39"/>
    <w:pPr>
      <w:ind w:left="2100" w:leftChars="1000"/>
    </w:pPr>
    <w:rPr>
      <w:rFonts w:ascii="等线" w:hAnsi="等线" w:eastAsia="等线"/>
      <w:szCs w:val="22"/>
    </w:rPr>
  </w:style>
  <w:style w:type="paragraph" w:styleId="31">
    <w:name w:val="toc 2"/>
    <w:basedOn w:val="1"/>
    <w:next w:val="1"/>
    <w:qFormat/>
    <w:uiPriority w:val="39"/>
    <w:pPr>
      <w:tabs>
        <w:tab w:val="right" w:leader="dot" w:pos="8302"/>
      </w:tabs>
      <w:ind w:left="420" w:leftChars="200"/>
    </w:pPr>
  </w:style>
  <w:style w:type="paragraph" w:styleId="32">
    <w:name w:val="toc 9"/>
    <w:basedOn w:val="1"/>
    <w:next w:val="1"/>
    <w:unhideWhenUsed/>
    <w:qFormat/>
    <w:uiPriority w:val="39"/>
    <w:pPr>
      <w:ind w:left="3360" w:leftChars="1600"/>
    </w:pPr>
    <w:rPr>
      <w:rFonts w:ascii="等线" w:hAnsi="等线" w:eastAsia="等线"/>
      <w:szCs w:val="22"/>
    </w:rPr>
  </w:style>
  <w:style w:type="paragraph" w:styleId="33">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4">
    <w:name w:val="Title"/>
    <w:basedOn w:val="1"/>
    <w:next w:val="1"/>
    <w:link w:val="96"/>
    <w:qFormat/>
    <w:uiPriority w:val="0"/>
    <w:pPr>
      <w:spacing w:before="240" w:after="60" w:line="960" w:lineRule="auto"/>
      <w:jc w:val="center"/>
    </w:pPr>
    <w:rPr>
      <w:rFonts w:ascii="Cambria" w:hAnsi="Cambria" w:eastAsia="黑体"/>
      <w:b/>
      <w:bCs/>
      <w:sz w:val="52"/>
      <w:szCs w:val="32"/>
    </w:rPr>
  </w:style>
  <w:style w:type="paragraph" w:styleId="35">
    <w:name w:val="annotation subject"/>
    <w:basedOn w:val="16"/>
    <w:next w:val="16"/>
    <w:link w:val="84"/>
    <w:qFormat/>
    <w:uiPriority w:val="0"/>
    <w:rPr>
      <w:b/>
      <w:bCs/>
      <w:sz w:val="21"/>
    </w:r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basedOn w:val="38"/>
    <w:qFormat/>
    <w:uiPriority w:val="0"/>
  </w:style>
  <w:style w:type="character" w:styleId="40">
    <w:name w:val="FollowedHyperlink"/>
    <w:unhideWhenUsed/>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3 字符1"/>
    <w:qFormat/>
    <w:uiPriority w:val="0"/>
    <w:rPr>
      <w:rFonts w:ascii="宋体" w:hAnsi="宋体"/>
      <w:b/>
      <w:bCs/>
      <w:kern w:val="2"/>
      <w:sz w:val="28"/>
      <w:szCs w:val="28"/>
    </w:rPr>
  </w:style>
  <w:style w:type="character" w:customStyle="1" w:styleId="44">
    <w:name w:val="首行缩进正文 Char"/>
    <w:link w:val="45"/>
    <w:qFormat/>
    <w:uiPriority w:val="0"/>
    <w:rPr>
      <w:kern w:val="2"/>
      <w:sz w:val="24"/>
    </w:rPr>
  </w:style>
  <w:style w:type="paragraph" w:customStyle="1" w:styleId="45">
    <w:name w:val="首行缩进正文"/>
    <w:basedOn w:val="1"/>
    <w:link w:val="44"/>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6">
    <w:name w:val="批注文字 字符1"/>
    <w:link w:val="16"/>
    <w:qFormat/>
    <w:uiPriority w:val="99"/>
    <w:rPr>
      <w:rFonts w:eastAsia="仿宋"/>
      <w:kern w:val="2"/>
      <w:sz w:val="28"/>
      <w:szCs w:val="24"/>
    </w:rPr>
  </w:style>
  <w:style w:type="character" w:customStyle="1" w:styleId="47">
    <w:name w:val="日期 字符"/>
    <w:semiHidden/>
    <w:qFormat/>
    <w:uiPriority w:val="99"/>
    <w:rPr>
      <w:rFonts w:ascii="宋体" w:hAnsi="宋体"/>
      <w:kern w:val="2"/>
      <w:sz w:val="24"/>
      <w:szCs w:val="24"/>
    </w:rPr>
  </w:style>
  <w:style w:type="character" w:customStyle="1" w:styleId="48">
    <w:name w:val="日期 字符1"/>
    <w:link w:val="23"/>
    <w:qFormat/>
    <w:uiPriority w:val="0"/>
    <w:rPr>
      <w:kern w:val="2"/>
      <w:sz w:val="21"/>
      <w:szCs w:val="24"/>
    </w:rPr>
  </w:style>
  <w:style w:type="character" w:customStyle="1" w:styleId="49">
    <w:name w:val="标题 9 字符"/>
    <w:link w:val="10"/>
    <w:qFormat/>
    <w:uiPriority w:val="9"/>
    <w:rPr>
      <w:rFonts w:ascii="Cambria" w:hAnsi="Cambria"/>
      <w:kern w:val="2"/>
      <w:sz w:val="21"/>
      <w:szCs w:val="21"/>
    </w:rPr>
  </w:style>
  <w:style w:type="character" w:customStyle="1" w:styleId="50">
    <w:name w:val="未处理的提及1"/>
    <w:unhideWhenUsed/>
    <w:qFormat/>
    <w:uiPriority w:val="99"/>
    <w:rPr>
      <w:color w:val="605E5C"/>
      <w:shd w:val="clear" w:color="auto" w:fill="E1DFDD"/>
    </w:rPr>
  </w:style>
  <w:style w:type="character" w:customStyle="1" w:styleId="51">
    <w:name w:val="标题 1 字符"/>
    <w:qFormat/>
    <w:uiPriority w:val="9"/>
    <w:rPr>
      <w:rFonts w:ascii="宋体" w:hAnsi="宋体"/>
      <w:b/>
      <w:bCs/>
      <w:kern w:val="44"/>
      <w:sz w:val="44"/>
      <w:szCs w:val="44"/>
    </w:rPr>
  </w:style>
  <w:style w:type="character" w:customStyle="1" w:styleId="52">
    <w:name w:val="标题 3 字符"/>
    <w:semiHidden/>
    <w:qFormat/>
    <w:uiPriority w:val="9"/>
    <w:rPr>
      <w:rFonts w:ascii="宋体" w:hAnsi="宋体"/>
      <w:b/>
      <w:bCs/>
      <w:kern w:val="2"/>
      <w:sz w:val="32"/>
      <w:szCs w:val="32"/>
    </w:rPr>
  </w:style>
  <w:style w:type="character" w:customStyle="1" w:styleId="53">
    <w:name w:val="页脚 字符"/>
    <w:qFormat/>
    <w:uiPriority w:val="99"/>
  </w:style>
  <w:style w:type="character" w:customStyle="1" w:styleId="54">
    <w:name w:val="标题 5 字符"/>
    <w:semiHidden/>
    <w:qFormat/>
    <w:uiPriority w:val="9"/>
    <w:rPr>
      <w:rFonts w:ascii="宋体" w:hAnsi="宋体"/>
      <w:b/>
      <w:bCs/>
      <w:kern w:val="2"/>
      <w:sz w:val="28"/>
      <w:szCs w:val="28"/>
    </w:rPr>
  </w:style>
  <w:style w:type="character" w:customStyle="1" w:styleId="55">
    <w:name w:val="题注 字符"/>
    <w:link w:val="13"/>
    <w:qFormat/>
    <w:locked/>
    <w:uiPriority w:val="0"/>
    <w:rPr>
      <w:rFonts w:ascii="Arial" w:hAnsi="Arial" w:eastAsia="黑体"/>
      <w:kern w:val="2"/>
    </w:rPr>
  </w:style>
  <w:style w:type="character" w:customStyle="1" w:styleId="56">
    <w:name w:val="标题 2 字符"/>
    <w:semiHidden/>
    <w:qFormat/>
    <w:uiPriority w:val="9"/>
    <w:rPr>
      <w:rFonts w:ascii="等线 Light" w:hAnsi="等线 Light" w:eastAsia="等线 Light" w:cs="Times New Roman"/>
      <w:b/>
      <w:bCs/>
      <w:kern w:val="2"/>
      <w:sz w:val="32"/>
      <w:szCs w:val="32"/>
    </w:rPr>
  </w:style>
  <w:style w:type="character" w:customStyle="1" w:styleId="57">
    <w:name w:val="纯文本 字符"/>
    <w:qFormat/>
    <w:uiPriority w:val="0"/>
    <w:rPr>
      <w:rFonts w:ascii="宋体" w:hAnsi="Courier New" w:cs="Courier New"/>
      <w:kern w:val="2"/>
      <w:sz w:val="21"/>
      <w:szCs w:val="21"/>
    </w:rPr>
  </w:style>
  <w:style w:type="character" w:customStyle="1" w:styleId="58">
    <w:name w:val="列表段落 字符"/>
    <w:qFormat/>
    <w:uiPriority w:val="34"/>
    <w:rPr>
      <w:kern w:val="2"/>
      <w:sz w:val="21"/>
      <w:szCs w:val="22"/>
    </w:rPr>
  </w:style>
  <w:style w:type="character" w:customStyle="1" w:styleId="59">
    <w:name w:val="标题 4 字符1"/>
    <w:link w:val="5"/>
    <w:qFormat/>
    <w:uiPriority w:val="0"/>
    <w:rPr>
      <w:rFonts w:ascii="宋体" w:hAnsi="宋体"/>
      <w:b/>
      <w:bCs/>
      <w:kern w:val="2"/>
      <w:sz w:val="30"/>
      <w:szCs w:val="30"/>
    </w:rPr>
  </w:style>
  <w:style w:type="character" w:customStyle="1" w:styleId="60">
    <w:name w:val="正文文本 字符"/>
    <w:link w:val="17"/>
    <w:qFormat/>
    <w:uiPriority w:val="0"/>
    <w:rPr>
      <w:kern w:val="2"/>
      <w:sz w:val="21"/>
      <w:szCs w:val="24"/>
    </w:rPr>
  </w:style>
  <w:style w:type="character" w:customStyle="1" w:styleId="61">
    <w:name w:val="列出段落 字符"/>
    <w:link w:val="62"/>
    <w:qFormat/>
    <w:uiPriority w:val="34"/>
    <w:rPr>
      <w:kern w:val="2"/>
      <w:sz w:val="21"/>
      <w:szCs w:val="24"/>
    </w:rPr>
  </w:style>
  <w:style w:type="paragraph" w:styleId="62">
    <w:name w:val="List Paragraph"/>
    <w:basedOn w:val="1"/>
    <w:link w:val="61"/>
    <w:qFormat/>
    <w:uiPriority w:val="34"/>
    <w:pPr>
      <w:ind w:firstLine="420"/>
    </w:pPr>
    <w:rPr>
      <w:rFonts w:ascii="Times New Roman" w:hAnsi="Times New Roman"/>
      <w:sz w:val="21"/>
    </w:rPr>
  </w:style>
  <w:style w:type="character" w:customStyle="1" w:styleId="63">
    <w:name w:val="font21"/>
    <w:qFormat/>
    <w:uiPriority w:val="0"/>
    <w:rPr>
      <w:rFonts w:ascii="Calibri" w:hAnsi="Calibri" w:cs="Calibri"/>
      <w:color w:val="000000"/>
      <w:sz w:val="21"/>
      <w:szCs w:val="21"/>
      <w:u w:val="none"/>
    </w:rPr>
  </w:style>
  <w:style w:type="character" w:customStyle="1" w:styleId="64">
    <w:name w:val="*正文 Char"/>
    <w:link w:val="65"/>
    <w:qFormat/>
    <w:uiPriority w:val="0"/>
    <w:rPr>
      <w:rFonts w:ascii="time" w:hAnsi="time"/>
      <w:sz w:val="24"/>
      <w:szCs w:val="24"/>
      <w:lang w:bidi="en-US"/>
    </w:rPr>
  </w:style>
  <w:style w:type="paragraph" w:customStyle="1" w:styleId="65">
    <w:name w:val="*正文"/>
    <w:basedOn w:val="1"/>
    <w:link w:val="64"/>
    <w:qFormat/>
    <w:uiPriority w:val="0"/>
    <w:pPr>
      <w:widowControl/>
      <w:ind w:firstLine="200"/>
      <w:contextualSpacing/>
    </w:pPr>
    <w:rPr>
      <w:rFonts w:ascii="time" w:hAnsi="time"/>
      <w:kern w:val="0"/>
      <w:lang w:bidi="en-US"/>
    </w:rPr>
  </w:style>
  <w:style w:type="character" w:customStyle="1" w:styleId="66">
    <w:name w:val="正文文本缩进 字符"/>
    <w:semiHidden/>
    <w:qFormat/>
    <w:uiPriority w:val="99"/>
    <w:rPr>
      <w:rFonts w:ascii="宋体" w:hAnsi="宋体"/>
      <w:kern w:val="2"/>
      <w:sz w:val="24"/>
      <w:szCs w:val="24"/>
    </w:rPr>
  </w:style>
  <w:style w:type="character" w:customStyle="1" w:styleId="67">
    <w:name w:val="纯文本 字符1"/>
    <w:link w:val="21"/>
    <w:qFormat/>
    <w:locked/>
    <w:uiPriority w:val="0"/>
    <w:rPr>
      <w:rFonts w:ascii="宋体" w:hAnsi="Courier New"/>
      <w:kern w:val="2"/>
      <w:sz w:val="21"/>
    </w:rPr>
  </w:style>
  <w:style w:type="character" w:customStyle="1" w:styleId="68">
    <w:name w:val="my正文 Char"/>
    <w:link w:val="69"/>
    <w:qFormat/>
    <w:uiPriority w:val="0"/>
    <w:rPr>
      <w:kern w:val="2"/>
      <w:sz w:val="21"/>
      <w:szCs w:val="24"/>
    </w:rPr>
  </w:style>
  <w:style w:type="paragraph" w:customStyle="1" w:styleId="69">
    <w:name w:val="my正文"/>
    <w:basedOn w:val="1"/>
    <w:link w:val="68"/>
    <w:qFormat/>
    <w:uiPriority w:val="0"/>
    <w:pPr>
      <w:spacing w:line="240" w:lineRule="auto"/>
      <w:ind w:firstLine="0" w:firstLineChars="0"/>
    </w:pPr>
    <w:rPr>
      <w:rFonts w:ascii="Times New Roman" w:hAnsi="Times New Roman"/>
      <w:sz w:val="21"/>
    </w:rPr>
  </w:style>
  <w:style w:type="character" w:customStyle="1" w:styleId="70">
    <w:name w:val="正文2 字符"/>
    <w:link w:val="71"/>
    <w:qFormat/>
    <w:uiPriority w:val="0"/>
    <w:rPr>
      <w:kern w:val="2"/>
      <w:sz w:val="21"/>
      <w:szCs w:val="24"/>
    </w:rPr>
  </w:style>
  <w:style w:type="paragraph" w:customStyle="1" w:styleId="71">
    <w:name w:val="正文2"/>
    <w:basedOn w:val="1"/>
    <w:link w:val="70"/>
    <w:qFormat/>
    <w:uiPriority w:val="0"/>
    <w:pPr>
      <w:ind w:firstLine="420"/>
    </w:pPr>
    <w:rPr>
      <w:rFonts w:ascii="Times New Roman" w:hAnsi="Times New Roman"/>
      <w:sz w:val="21"/>
    </w:rPr>
  </w:style>
  <w:style w:type="character" w:customStyle="1" w:styleId="72">
    <w:name w:val="font41"/>
    <w:qFormat/>
    <w:uiPriority w:val="0"/>
    <w:rPr>
      <w:rFonts w:hint="eastAsia" w:ascii="宋体" w:hAnsi="宋体" w:eastAsia="宋体" w:cs="宋体"/>
      <w:color w:val="000000"/>
      <w:sz w:val="21"/>
      <w:szCs w:val="21"/>
      <w:u w:val="none"/>
    </w:rPr>
  </w:style>
  <w:style w:type="character" w:customStyle="1" w:styleId="73">
    <w:name w:val="标题 7 字符"/>
    <w:link w:val="8"/>
    <w:qFormat/>
    <w:uiPriority w:val="9"/>
    <w:rPr>
      <w:b/>
      <w:bCs/>
      <w:kern w:val="2"/>
      <w:sz w:val="21"/>
      <w:szCs w:val="24"/>
    </w:rPr>
  </w:style>
  <w:style w:type="character" w:customStyle="1" w:styleId="74">
    <w:name w:val="批注框文本 字符"/>
    <w:semiHidden/>
    <w:qFormat/>
    <w:uiPriority w:val="99"/>
    <w:rPr>
      <w:rFonts w:ascii="宋体" w:hAnsi="宋体"/>
      <w:kern w:val="2"/>
      <w:sz w:val="18"/>
      <w:szCs w:val="18"/>
    </w:rPr>
  </w:style>
  <w:style w:type="character" w:customStyle="1" w:styleId="75">
    <w:name w:val="副标题 Char1"/>
    <w:qFormat/>
    <w:uiPriority w:val="0"/>
    <w:rPr>
      <w:rFonts w:ascii="Calibri Light" w:hAnsi="Calibri Light" w:cs="Times New Roman"/>
      <w:b/>
      <w:bCs/>
      <w:kern w:val="28"/>
      <w:sz w:val="32"/>
      <w:szCs w:val="32"/>
    </w:rPr>
  </w:style>
  <w:style w:type="character" w:customStyle="1" w:styleId="76">
    <w:name w:val="标题 1 字符1"/>
    <w:link w:val="2"/>
    <w:qFormat/>
    <w:uiPriority w:val="0"/>
    <w:rPr>
      <w:rFonts w:ascii="宋体" w:hAnsi="宋体" w:eastAsia="黑体"/>
      <w:b/>
      <w:bCs/>
      <w:kern w:val="44"/>
      <w:sz w:val="32"/>
      <w:szCs w:val="28"/>
    </w:rPr>
  </w:style>
  <w:style w:type="character" w:customStyle="1" w:styleId="77">
    <w:name w:val="批注文字 字符"/>
    <w:qFormat/>
    <w:uiPriority w:val="99"/>
    <w:rPr>
      <w:rFonts w:ascii="宋体" w:hAnsi="宋体"/>
      <w:kern w:val="2"/>
      <w:sz w:val="24"/>
      <w:szCs w:val="24"/>
    </w:rPr>
  </w:style>
  <w:style w:type="character" w:customStyle="1" w:styleId="78">
    <w:name w:val="文档结构图 字符"/>
    <w:semiHidden/>
    <w:qFormat/>
    <w:uiPriority w:val="99"/>
    <w:rPr>
      <w:rFonts w:ascii="Microsoft YaHei UI" w:hAnsi="宋体" w:eastAsia="Microsoft YaHei UI"/>
      <w:kern w:val="2"/>
      <w:sz w:val="18"/>
      <w:szCs w:val="18"/>
    </w:rPr>
  </w:style>
  <w:style w:type="character" w:customStyle="1" w:styleId="79">
    <w:name w:val="标题 6 字符"/>
    <w:semiHidden/>
    <w:qFormat/>
    <w:uiPriority w:val="9"/>
    <w:rPr>
      <w:rFonts w:ascii="等线 Light" w:hAnsi="等线 Light" w:eastAsia="等线 Light" w:cs="Times New Roman"/>
      <w:b/>
      <w:bCs/>
      <w:kern w:val="2"/>
      <w:sz w:val="24"/>
      <w:szCs w:val="24"/>
    </w:rPr>
  </w:style>
  <w:style w:type="character" w:customStyle="1" w:styleId="80">
    <w:name w:val="正文正文2 Char"/>
    <w:link w:val="81"/>
    <w:qFormat/>
    <w:uiPriority w:val="0"/>
    <w:rPr>
      <w:rFonts w:ascii="宋体" w:hAnsi="宋体"/>
      <w:kern w:val="2"/>
      <w:sz w:val="21"/>
      <w:szCs w:val="21"/>
    </w:rPr>
  </w:style>
  <w:style w:type="paragraph" w:customStyle="1" w:styleId="81">
    <w:name w:val="正文正文2"/>
    <w:basedOn w:val="1"/>
    <w:link w:val="80"/>
    <w:qFormat/>
    <w:uiPriority w:val="0"/>
    <w:pPr>
      <w:ind w:firstLine="460"/>
    </w:pPr>
    <w:rPr>
      <w:sz w:val="21"/>
      <w:szCs w:val="21"/>
    </w:rPr>
  </w:style>
  <w:style w:type="character" w:customStyle="1" w:styleId="82">
    <w:name w:val="标题 3 字符2"/>
    <w:link w:val="4"/>
    <w:qFormat/>
    <w:uiPriority w:val="0"/>
    <w:rPr>
      <w:rFonts w:ascii="宋体" w:hAnsi="宋体"/>
      <w:b/>
      <w:bCs/>
      <w:kern w:val="2"/>
      <w:sz w:val="28"/>
      <w:szCs w:val="28"/>
    </w:rPr>
  </w:style>
  <w:style w:type="character" w:customStyle="1" w:styleId="83">
    <w:name w:val="标题 4 字符"/>
    <w:semiHidden/>
    <w:qFormat/>
    <w:uiPriority w:val="9"/>
    <w:rPr>
      <w:rFonts w:ascii="等线 Light" w:hAnsi="等线 Light" w:eastAsia="等线 Light" w:cs="Times New Roman"/>
      <w:b/>
      <w:bCs/>
      <w:kern w:val="2"/>
      <w:sz w:val="28"/>
      <w:szCs w:val="28"/>
    </w:rPr>
  </w:style>
  <w:style w:type="character" w:customStyle="1" w:styleId="84">
    <w:name w:val="批注主题 字符1"/>
    <w:link w:val="35"/>
    <w:qFormat/>
    <w:uiPriority w:val="0"/>
    <w:rPr>
      <w:rFonts w:eastAsia="仿宋"/>
      <w:b/>
      <w:bCs/>
      <w:kern w:val="2"/>
      <w:sz w:val="21"/>
      <w:szCs w:val="24"/>
    </w:rPr>
  </w:style>
  <w:style w:type="character" w:customStyle="1" w:styleId="85">
    <w:name w:val="页眉 字符"/>
    <w:semiHidden/>
    <w:qFormat/>
    <w:uiPriority w:val="99"/>
    <w:rPr>
      <w:rFonts w:ascii="宋体" w:hAnsi="宋体"/>
      <w:kern w:val="2"/>
      <w:sz w:val="18"/>
      <w:szCs w:val="18"/>
    </w:rPr>
  </w:style>
  <w:style w:type="character" w:customStyle="1" w:styleId="86">
    <w:name w:val="正文文本缩进 字符1"/>
    <w:link w:val="18"/>
    <w:qFormat/>
    <w:uiPriority w:val="0"/>
    <w:rPr>
      <w:kern w:val="2"/>
      <w:sz w:val="21"/>
    </w:rPr>
  </w:style>
  <w:style w:type="character" w:customStyle="1" w:styleId="87">
    <w:name w:val="标题 5 字符1"/>
    <w:link w:val="6"/>
    <w:qFormat/>
    <w:uiPriority w:val="0"/>
    <w:rPr>
      <w:rFonts w:ascii="宋体" w:hAnsi="宋体"/>
      <w:b/>
      <w:bCs/>
      <w:kern w:val="2"/>
      <w:sz w:val="24"/>
      <w:szCs w:val="28"/>
    </w:rPr>
  </w:style>
  <w:style w:type="character" w:customStyle="1" w:styleId="88">
    <w:name w:val="副标题 字符1"/>
    <w:link w:val="29"/>
    <w:qFormat/>
    <w:uiPriority w:val="0"/>
    <w:rPr>
      <w:rFonts w:ascii="Calibri Light" w:hAnsi="Calibri Light"/>
      <w:b/>
      <w:bCs/>
      <w:kern w:val="28"/>
      <w:sz w:val="32"/>
      <w:szCs w:val="32"/>
    </w:rPr>
  </w:style>
  <w:style w:type="character" w:customStyle="1" w:styleId="89">
    <w:name w:val="标题 2 字符1"/>
    <w:link w:val="3"/>
    <w:qFormat/>
    <w:uiPriority w:val="9"/>
    <w:rPr>
      <w:rFonts w:ascii="宋体" w:hAnsi="宋体"/>
      <w:b/>
      <w:bCs/>
      <w:kern w:val="2"/>
      <w:sz w:val="30"/>
      <w:szCs w:val="32"/>
    </w:rPr>
  </w:style>
  <w:style w:type="character" w:customStyle="1" w:styleId="90">
    <w:name w:val="页脚 字符1"/>
    <w:link w:val="25"/>
    <w:qFormat/>
    <w:uiPriority w:val="99"/>
    <w:rPr>
      <w:kern w:val="2"/>
      <w:sz w:val="18"/>
      <w:szCs w:val="18"/>
    </w:rPr>
  </w:style>
  <w:style w:type="character" w:customStyle="1" w:styleId="91">
    <w:name w:val="批注主题 字符"/>
    <w:semiHidden/>
    <w:qFormat/>
    <w:uiPriority w:val="99"/>
    <w:rPr>
      <w:rFonts w:ascii="宋体" w:hAnsi="宋体"/>
      <w:b/>
      <w:bCs/>
      <w:kern w:val="2"/>
      <w:sz w:val="24"/>
      <w:szCs w:val="24"/>
    </w:rPr>
  </w:style>
  <w:style w:type="character" w:customStyle="1" w:styleId="92">
    <w:name w:val="文档结构图 字符1"/>
    <w:link w:val="15"/>
    <w:qFormat/>
    <w:uiPriority w:val="0"/>
    <w:rPr>
      <w:rFonts w:ascii="宋体"/>
      <w:kern w:val="2"/>
      <w:sz w:val="18"/>
      <w:szCs w:val="18"/>
    </w:rPr>
  </w:style>
  <w:style w:type="character" w:customStyle="1" w:styleId="93">
    <w:name w:val="font31"/>
    <w:qFormat/>
    <w:uiPriority w:val="0"/>
    <w:rPr>
      <w:rFonts w:hint="eastAsia" w:ascii="宋体" w:hAnsi="宋体" w:eastAsia="宋体" w:cs="宋体"/>
      <w:color w:val="000000"/>
      <w:sz w:val="21"/>
      <w:szCs w:val="21"/>
      <w:u w:val="none"/>
    </w:rPr>
  </w:style>
  <w:style w:type="character" w:customStyle="1" w:styleId="94">
    <w:name w:val="标准正文 Char"/>
    <w:link w:val="95"/>
    <w:qFormat/>
    <w:uiPriority w:val="0"/>
    <w:rPr>
      <w:rFonts w:ascii="Arial" w:hAnsi="Arial"/>
      <w:kern w:val="2"/>
      <w:sz w:val="24"/>
    </w:rPr>
  </w:style>
  <w:style w:type="paragraph" w:customStyle="1" w:styleId="95">
    <w:name w:val="标准正文"/>
    <w:basedOn w:val="18"/>
    <w:link w:val="94"/>
    <w:qFormat/>
    <w:uiPriority w:val="0"/>
    <w:pPr>
      <w:spacing w:before="60" w:after="60"/>
      <w:ind w:firstLine="482" w:firstLineChars="0"/>
    </w:pPr>
    <w:rPr>
      <w:rFonts w:ascii="Arial" w:hAnsi="Arial"/>
      <w:sz w:val="24"/>
    </w:rPr>
  </w:style>
  <w:style w:type="character" w:customStyle="1" w:styleId="96">
    <w:name w:val="标题 字符1"/>
    <w:link w:val="34"/>
    <w:qFormat/>
    <w:uiPriority w:val="0"/>
    <w:rPr>
      <w:rFonts w:ascii="Cambria" w:hAnsi="Cambria" w:eastAsia="黑体"/>
      <w:b/>
      <w:bCs/>
      <w:kern w:val="2"/>
      <w:sz w:val="52"/>
      <w:szCs w:val="32"/>
    </w:rPr>
  </w:style>
  <w:style w:type="character" w:customStyle="1" w:styleId="97">
    <w:name w:val="批注框文本 字符1"/>
    <w:link w:val="24"/>
    <w:qFormat/>
    <w:uiPriority w:val="0"/>
    <w:rPr>
      <w:kern w:val="2"/>
      <w:sz w:val="18"/>
      <w:szCs w:val="18"/>
    </w:rPr>
  </w:style>
  <w:style w:type="character" w:customStyle="1" w:styleId="98">
    <w:name w:val="页眉 字符1"/>
    <w:link w:val="26"/>
    <w:qFormat/>
    <w:uiPriority w:val="99"/>
    <w:rPr>
      <w:kern w:val="2"/>
      <w:sz w:val="18"/>
      <w:szCs w:val="18"/>
    </w:rPr>
  </w:style>
  <w:style w:type="character" w:customStyle="1" w:styleId="99">
    <w:name w:val="标题 8 字符"/>
    <w:link w:val="9"/>
    <w:qFormat/>
    <w:uiPriority w:val="9"/>
    <w:rPr>
      <w:rFonts w:ascii="Cambria" w:hAnsi="Cambria"/>
      <w:kern w:val="2"/>
      <w:sz w:val="21"/>
      <w:szCs w:val="24"/>
    </w:rPr>
  </w:style>
  <w:style w:type="character" w:customStyle="1" w:styleId="100">
    <w:name w:val="标题 6 字符1"/>
    <w:link w:val="7"/>
    <w:qFormat/>
    <w:uiPriority w:val="0"/>
    <w:rPr>
      <w:rFonts w:ascii="Cambria" w:hAnsi="Cambria"/>
      <w:b/>
      <w:bCs/>
      <w:kern w:val="2"/>
      <w:sz w:val="24"/>
      <w:szCs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4">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0">
    <w:name w:val="Indent Normal"/>
    <w:basedOn w:val="1"/>
    <w:qFormat/>
    <w:uiPriority w:val="0"/>
    <w:pPr>
      <w:ind w:firstLine="150" w:firstLineChars="150"/>
    </w:pPr>
  </w:style>
  <w:style w:type="paragraph" w:customStyle="1" w:styleId="111">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3">
    <w:name w:val="列项●（二级）"/>
    <w:qFormat/>
    <w:uiPriority w:val="0"/>
    <w:pPr>
      <w:numPr>
        <w:ilvl w:val="0"/>
        <w:numId w:val="3"/>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8">
    <w:name w:val="Char Char Char Char Char Char1 Char"/>
    <w:basedOn w:val="1"/>
    <w:qFormat/>
    <w:uiPriority w:val="0"/>
    <w:pPr>
      <w:widowControl/>
      <w:spacing w:after="160" w:line="240" w:lineRule="exact"/>
      <w:jc w:val="left"/>
    </w:pPr>
  </w:style>
  <w:style w:type="paragraph" w:customStyle="1" w:styleId="119">
    <w:name w:val="PM_Body"/>
    <w:basedOn w:val="1"/>
    <w:qFormat/>
    <w:locked/>
    <w:uiPriority w:val="0"/>
    <w:rPr>
      <w:szCs w:val="21"/>
    </w:rPr>
  </w:style>
  <w:style w:type="paragraph" w:customStyle="1" w:styleId="120">
    <w:name w:val="Char Char1"/>
    <w:basedOn w:val="1"/>
    <w:qFormat/>
    <w:uiPriority w:val="0"/>
    <w:pPr>
      <w:widowControl/>
      <w:spacing w:before="120" w:after="120"/>
    </w:pPr>
    <w:rPr>
      <w:rFonts w:ascii="Times New Roman" w:hAnsi="Times New Roman" w:cs="宋体"/>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修订1"/>
    <w:unhideWhenUsed/>
    <w:qFormat/>
    <w:uiPriority w:val="99"/>
    <w:rPr>
      <w:rFonts w:ascii="宋体" w:hAnsi="宋体" w:eastAsia="宋体"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0">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1">
    <w:name w:val="!我的表格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
    <w:basedOn w:val="36"/>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3">
    <w:name w:val="标题 1 Char"/>
    <w:qFormat/>
    <w:uiPriority w:val="0"/>
    <w:rPr>
      <w:rFonts w:ascii="宋体" w:hAnsi="宋体" w:eastAsia="黑体"/>
      <w:b/>
      <w:bCs/>
      <w:kern w:val="44"/>
      <w:sz w:val="32"/>
      <w:szCs w:val="28"/>
    </w:rPr>
  </w:style>
  <w:style w:type="character" w:customStyle="1" w:styleId="134">
    <w:name w:val="纯文本 Char2"/>
    <w:qFormat/>
    <w:uiPriority w:val="0"/>
    <w:rPr>
      <w:rFonts w:ascii="宋体" w:hAnsi="宋体" w:eastAsia="宋体" w:cs="Times New Roman"/>
      <w:color w:val="000000"/>
      <w:kern w:val="0"/>
      <w:sz w:val="24"/>
      <w:szCs w:val="24"/>
    </w:rPr>
  </w:style>
  <w:style w:type="paragraph" w:customStyle="1" w:styleId="135">
    <w:name w:val="列出段落1"/>
    <w:basedOn w:val="1"/>
    <w:qFormat/>
    <w:uiPriority w:val="34"/>
    <w:pPr>
      <w:spacing w:line="240" w:lineRule="auto"/>
      <w:ind w:firstLine="420"/>
    </w:pPr>
    <w:rPr>
      <w:rFonts w:ascii="Calibri" w:hAnsi="Calibri"/>
      <w:sz w:val="21"/>
      <w:szCs w:val="22"/>
    </w:rPr>
  </w:style>
  <w:style w:type="paragraph" w:customStyle="1" w:styleId="136">
    <w:name w:val="样式2"/>
    <w:basedOn w:val="1"/>
    <w:qFormat/>
    <w:uiPriority w:val="0"/>
    <w:pPr>
      <w:widowControl/>
      <w:adjustRightInd w:val="0"/>
    </w:pPr>
    <w:rPr>
      <w:kern w:val="0"/>
      <w:lang w:eastAsia="en-US"/>
    </w:rPr>
  </w:style>
  <w:style w:type="character" w:customStyle="1" w:styleId="137">
    <w:name w:val="fontstyle01"/>
    <w:basedOn w:val="38"/>
    <w:qFormat/>
    <w:uiPriority w:val="0"/>
    <w:rPr>
      <w:rFonts w:hint="eastAsia" w:ascii="宋体" w:hAnsi="宋体" w:eastAsia="宋体"/>
      <w:color w:val="000000"/>
      <w:sz w:val="22"/>
      <w:szCs w:val="22"/>
    </w:rPr>
  </w:style>
  <w:style w:type="character" w:customStyle="1" w:styleId="138">
    <w:name w:val="fontstyle21"/>
    <w:basedOn w:val="38"/>
    <w:qFormat/>
    <w:uiPriority w:val="0"/>
    <w:rPr>
      <w:rFonts w:hint="default" w:ascii="FreeSerif" w:hAnsi="FreeSerif"/>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3.emf"/><Relationship Id="rId17" Type="http://schemas.openxmlformats.org/officeDocument/2006/relationships/oleObject" Target="embeddings/oleObject2.bin"/><Relationship Id="rId16" Type="http://schemas.openxmlformats.org/officeDocument/2006/relationships/image" Target="media/image2.emf"/><Relationship Id="rId15" Type="http://schemas.openxmlformats.org/officeDocument/2006/relationships/oleObject" Target="embeddings/oleObject1.bin"/><Relationship Id="rId14" Type="http://schemas.openxmlformats.org/officeDocument/2006/relationships/image" Target="media/image1.emf"/><Relationship Id="rId13" Type="http://schemas.openxmlformats.org/officeDocument/2006/relationships/oleObject" Target="embeddings/Microsoft_Visio_2003-2010___1.vsd"/><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SelectedStyle="\APASixthEditionOfficeOnline.xsl" Version="6"/>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bbb47efc-98a6-4b8b-96cc-1130c9fb94f7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750F9F21</paraID>
      <start xmlns="http://schemas.wps.cn/vas-ai-hub/contract-review">297</start>
      <end xmlns="http://schemas.wps.cn/vas-ai-hub/contract-review">299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eeeff831-4444-4179-9ea5-1973f75d4c55</errorID>
      <errorWord xmlns="http://schemas.wps.cn/vas-ai-hub/contract-review">高</errorWord>
      <group xmlns="http://schemas.wps.cn/vas-ai-hub/contract-review">L1_AI</group>
      <groupName xmlns="http://schemas.wps.cn/vas-ai-hub/contract-review">深度校对</groupName>
      <ability xmlns="http://schemas.wps.cn/vas-ai-hub/contract-review">L2_AI_Grammar</ability>
      <abilityName xmlns="http://schemas.wps.cn/vas-ai-hub/contract-review">语法纠错</abilityName>
      <candidateList xmlns="http://schemas.wps.cn/vas-ai-hub/contract-review">
        <item xmlns="http://schemas.wps.cn/vas-ai-hub/contract-review">处理高</item>
      </candidateList>
      <explain xmlns="http://schemas.wps.cn/vas-ai-hub/contract-review"/>
      <paraID xmlns="http://schemas.wps.cn/vas-ai-hub/contract-review">2BA2C6E0</paraID>
      <start xmlns="http://schemas.wps.cn/vas-ai-hub/contract-review">63</start>
      <end xmlns="http://schemas.wps.cn/vas-ai-hub/contract-review">66</end>
      <status xmlns="http://schemas.wps.cn/vas-ai-hub/contract-review">modified</status>
      <modifiedWord xmlns="http://schemas.wps.cn/vas-ai-hub/contract-review">处理高</modifiedWord>
      <trackRevisions xmlns="http://schemas.wps.cn/vas-ai-hub/contract-review">false</trackRevisions>
    </reviewItem>
    <reviewItem xmlns="http://schemas.wps.cn/vas-ai-hub/contract-review">
      <errorID xmlns="http://schemas.wps.cn/vas-ai-hub/contract-review">f10bf840-8060-4062-96f9-97f4c8b0ec72</errorID>
      <errorWord xmlns="http://schemas.wps.cn/vas-ai-hub/contract-review">的同时</errorWord>
      <group xmlns="http://schemas.wps.cn/vas-ai-hub/contract-review">L1_AI</group>
      <groupName xmlns="http://schemas.wps.cn/vas-ai-hub/contract-review">深度校对</groupName>
      <ability xmlns="http://schemas.wps.cn/vas-ai-hub/contract-review">L2_AI_Grammar</ability>
      <abilityName xmlns="http://schemas.wps.cn/vas-ai-hub/contract-review">语法纠错</abilityName>
      <candidateList xmlns="http://schemas.wps.cn/vas-ai-hub/contract-review">
        <item xmlns="http://schemas.wps.cn/vas-ai-hub/contract-review">时</item>
      </candidateList>
      <explain xmlns="http://schemas.wps.cn/vas-ai-hub/contract-review"/>
      <paraID xmlns="http://schemas.wps.cn/vas-ai-hub/contract-review">2BA2C6E0</paraID>
      <start xmlns="http://schemas.wps.cn/vas-ai-hub/contract-review">74</start>
      <end xmlns="http://schemas.wps.cn/vas-ai-hub/contract-review">75</end>
      <status xmlns="http://schemas.wps.cn/vas-ai-hub/contract-review">modified</status>
      <modifiedWord xmlns="http://schemas.wps.cn/vas-ai-hub/contract-review">时</modifiedWord>
      <trackRevisions xmlns="http://schemas.wps.cn/vas-ai-hub/contract-review">false</trackRevisions>
    </reviewItem>
    <reviewItem xmlns="http://schemas.wps.cn/vas-ai-hub/contract-review">
      <errorID xmlns="http://schemas.wps.cn/vas-ai-hub/contract-review">c1951292-c16a-4a11-ad65-6403911d1b0f</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2D15844D</paraID>
      <start xmlns="http://schemas.wps.cn/vas-ai-hub/contract-review">56</start>
      <end xmlns="http://schemas.wps.cn/vas-ai-hub/contract-review">58</end>
      <status xmlns="http://schemas.wps.cn/vas-ai-hub/contract-review">modified</status>
      <modifiedWord xmlns="http://schemas.wps.cn/vas-ai-hub/contract-review">，在</modifiedWord>
      <trackRevisions xmlns="http://schemas.wps.cn/vas-ai-hub/contract-review">false</trackRevisions>
    </reviewItem>
    <reviewItem xmlns="http://schemas.wps.cn/vas-ai-hub/contract-review">
      <errorID xmlns="http://schemas.wps.cn/vas-ai-hub/contract-review">6f8893f0-843b-48c5-b8cb-60502188b425</errorID>
      <errorWord xmlns="http://schemas.wps.cn/vas-ai-hub/contract-review">涉及到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涉及</item>
      </candidateList>
      <explain xmlns="http://schemas.wps.cn/vas-ai-hub/contract-review">〈动〉牵涉到；关联到：案子～好几个人｜这个问题～面很广。</explain>
      <paraID xmlns="http://schemas.wps.cn/vas-ai-hub/contract-review">2D15844D</paraID>
      <start xmlns="http://schemas.wps.cn/vas-ai-hub/contract-review">112</start>
      <end xmlns="http://schemas.wps.cn/vas-ai-hub/contract-review">114</end>
      <status xmlns="http://schemas.wps.cn/vas-ai-hub/contract-review">modified</status>
      <modifiedWord xmlns="http://schemas.wps.cn/vas-ai-hub/contract-review">涉及</modifiedWord>
      <trackRevisions xmlns="http://schemas.wps.cn/vas-ai-hub/contract-review">false</trackRevisions>
    </reviewItem>
    <reviewItem xmlns="http://schemas.wps.cn/vas-ai-hub/contract-review">
      <errorID xmlns="http://schemas.wps.cn/vas-ai-hub/contract-review">8a3257a8-c6ce-4da8-a430-90bfb6e15f96</errorID>
      <errorWord xmlns="http://schemas.wps.cn/vas-ai-hub/contract-review">涉及到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涉及</item>
      </candidateList>
      <explain xmlns="http://schemas.wps.cn/vas-ai-hub/contract-review">〈动〉牵涉到；关联到：案子～好几个人｜这个问题～面很广。</explain>
      <paraID xmlns="http://schemas.wps.cn/vas-ai-hub/contract-review">2D15844D</paraID>
      <start xmlns="http://schemas.wps.cn/vas-ai-hub/contract-review">157</start>
      <end xmlns="http://schemas.wps.cn/vas-ai-hub/contract-review">159</end>
      <status xmlns="http://schemas.wps.cn/vas-ai-hub/contract-review">modified</status>
      <modifiedWord xmlns="http://schemas.wps.cn/vas-ai-hub/contract-review">涉及</modifiedWord>
      <trackRevisions xmlns="http://schemas.wps.cn/vas-ai-hub/contract-review">false</trackRevisions>
    </reviewItem>
    <reviewItem xmlns="http://schemas.wps.cn/vas-ai-hub/contract-review">
      <errorID xmlns="http://schemas.wps.cn/vas-ai-hub/contract-review">26648dbe-f342-4307-99c4-622940b9d6f4</errorID>
      <errorWord xmlns="http://schemas.wps.cn/vas-ai-hub/contract-review">涉及到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涉及</item>
      </candidateList>
      <explain xmlns="http://schemas.wps.cn/vas-ai-hub/contract-review">〈动〉牵涉到；关联到：案子～好几个人｜这个问题～面很广。</explain>
      <paraID xmlns="http://schemas.wps.cn/vas-ai-hub/contract-review">1604E8AE</paraID>
      <start xmlns="http://schemas.wps.cn/vas-ai-hub/contract-review">228</start>
      <end xmlns="http://schemas.wps.cn/vas-ai-hub/contract-review">230</end>
      <status xmlns="http://schemas.wps.cn/vas-ai-hub/contract-review">modified</status>
      <modifiedWord xmlns="http://schemas.wps.cn/vas-ai-hub/contract-review">涉及</modifiedWord>
      <trackRevisions xmlns="http://schemas.wps.cn/vas-ai-hub/contract-review">false</trackRevisions>
    </reviewItem>
    <reviewItem xmlns="http://schemas.wps.cn/vas-ai-hub/contract-review">
      <errorID xmlns="http://schemas.wps.cn/vas-ai-hub/contract-review">79e8dc40-faec-4267-9735-2e6a896df614</errorID>
      <errorWord xmlns="http://schemas.wps.cn/vas-ai-hub/contract-review">涉及到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涉及</item>
      </candidateList>
      <explain xmlns="http://schemas.wps.cn/vas-ai-hub/contract-review">〈动〉牵涉到；关联到：案子～好几个人｜这个问题～面很广。</explain>
      <paraID xmlns="http://schemas.wps.cn/vas-ai-hub/contract-review">1604E8AE</paraID>
      <start xmlns="http://schemas.wps.cn/vas-ai-hub/contract-review">284</start>
      <end xmlns="http://schemas.wps.cn/vas-ai-hub/contract-review">286</end>
      <status xmlns="http://schemas.wps.cn/vas-ai-hub/contract-review">modified</status>
      <modifiedWord xmlns="http://schemas.wps.cn/vas-ai-hub/contract-review">涉及</modifiedWord>
      <trackRevisions xmlns="http://schemas.wps.cn/vas-ai-hub/contract-review">false</trackRevisions>
    </reviewItem>
    <reviewItem xmlns="http://schemas.wps.cn/vas-ai-hub/contract-review">
      <errorID xmlns="http://schemas.wps.cn/vas-ai-hub/contract-review">dc0debfd-8931-4057-b7c7-be620ffc1b58</errorID>
      <errorWord xmlns="http://schemas.wps.cn/vas-ai-hub/contract-review">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理人</item>
      </candidateList>
      <explain xmlns="http://schemas.wps.cn/vas-ai-hub/contract-review"/>
      <paraID xmlns="http://schemas.wps.cn/vas-ai-hub/contract-review">157AC2F4</paraID>
      <start xmlns="http://schemas.wps.cn/vas-ai-hub/contract-review">30</start>
      <end xmlns="http://schemas.wps.cn/vas-ai-hub/contract-review">31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b8807b52-4c3a-4842-aa6c-e9e36f22880f</errorID>
      <errorWord xmlns="http://schemas.wps.cn/vas-ai-hub/contract-review">依此类推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以此类推</item>
      </candidateList>
      <explain xmlns="http://schemas.wps.cn/vas-ai-hub/contract-review">存在发音相同字词的误用。</explain>
      <paraID xmlns="http://schemas.wps.cn/vas-ai-hub/contract-review">3EB129D5</paraID>
      <start xmlns="http://schemas.wps.cn/vas-ai-hub/contract-review">97</start>
      <end xmlns="http://schemas.wps.cn/vas-ai-hub/contract-review">101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adccf729-89ab-4b7e-b4a2-2f667ff4f17e</errorID>
      <errorWord xmlns="http://schemas.wps.cn/vas-ai-hub/contract-review">模版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模板</item>
      </candidateList>
      <explain xmlns="http://schemas.wps.cn/vas-ai-hub/contract-review">存在发音相同字词的误用。</explain>
      <paraID xmlns="http://schemas.wps.cn/vas-ai-hub/contract-review">  24197A</paraID>
      <start xmlns="http://schemas.wps.cn/vas-ai-hub/contract-review">17</start>
      <end xmlns="http://schemas.wps.cn/vas-ai-hub/contract-review">19</end>
      <status xmlns="http://schemas.wps.cn/vas-ai-hub/contract-review">modified</status>
      <modifiedWord xmlns="http://schemas.wps.cn/vas-ai-hub/contract-review">模板</modifiedWord>
      <trackRevisions xmlns="http://schemas.wps.cn/vas-ai-hub/contract-review">false</trackRevisions>
    </reviewItem>
    <reviewItem xmlns="http://schemas.wps.cn/vas-ai-hub/contract-review">
      <errorID xmlns="http://schemas.wps.cn/vas-ai-hub/contract-review">f6c659fd-8844-4e0f-ac69-3c788b64590b</errorID>
      <errorWord xmlns="http://schemas.wps.cn/vas-ai-hub/contract-review">调正</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调整</item>
      </candidateList>
      <explain xmlns="http://schemas.wps.cn/vas-ai-hub/contract-review"/>
      <paraID xmlns="http://schemas.wps.cn/vas-ai-hub/contract-review">703CE26C</paraID>
      <start xmlns="http://schemas.wps.cn/vas-ai-hub/contract-review">213</start>
      <end xmlns="http://schemas.wps.cn/vas-ai-hub/contract-review">215</end>
      <status xmlns="http://schemas.wps.cn/vas-ai-hub/contract-review">modified</status>
      <modifiedWord xmlns="http://schemas.wps.cn/vas-ai-hub/contract-review">调整</modifiedWord>
      <trackRevisions xmlns="http://schemas.wps.cn/vas-ai-hub/contract-review">false</trackRevisions>
    </reviewItem>
    <reviewItem xmlns="http://schemas.wps.cn/vas-ai-hub/contract-review">
      <errorID xmlns="http://schemas.wps.cn/vas-ai-hub/contract-review">2664adf1-052a-4268-a184-96556d203cca</errorID>
      <errorWord xmlns="http://schemas.wps.cn/vas-ai-hub/contract-review">涉及到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涉及</item>
      </candidateList>
      <explain xmlns="http://schemas.wps.cn/vas-ai-hub/contract-review">〈动〉牵涉到；关联到：案子～好几个人｜这个问题～面很广。</explain>
      <paraID xmlns="http://schemas.wps.cn/vas-ai-hub/contract-review">51CA53A1</paraID>
      <start xmlns="http://schemas.wps.cn/vas-ai-hub/contract-review">161</start>
      <end xmlns="http://schemas.wps.cn/vas-ai-hub/contract-review">163</end>
      <status xmlns="http://schemas.wps.cn/vas-ai-hub/contract-review">modified</status>
      <modifiedWord xmlns="http://schemas.wps.cn/vas-ai-hub/contract-review">涉及</modifiedWord>
      <trackRevisions xmlns="http://schemas.wps.cn/vas-ai-hub/contract-review">false</trackRevisions>
    </reviewItem>
    <reviewItem xmlns="http://schemas.wps.cn/vas-ai-hub/contract-review">
      <errorID xmlns="http://schemas.wps.cn/vas-ai-hub/contract-review">ad206514-1122-47e8-a613-bb3d98641fb1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5754B1EF</paraID>
      <start xmlns="http://schemas.wps.cn/vas-ai-hub/contract-review">2</start>
      <end xmlns="http://schemas.wps.cn/vas-ai-hub/contract-review">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7ed7c7e9-66ed-4e6d-b780-994fca8adb9d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5754B1EF</paraID>
      <start xmlns="http://schemas.wps.cn/vas-ai-hub/contract-review">6</start>
      <end xmlns="http://schemas.wps.cn/vas-ai-hub/contract-review">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276e81d5-e33e-42e8-8e29-89aa07559f44</errorID>
      <errorWord xmlns="http://schemas.wps.cn/vas-ai-hub/contract-review">信</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信息</item>
      </candidateList>
      <explain xmlns="http://schemas.wps.cn/vas-ai-hub/contract-review"/>
      <paraID xmlns="http://schemas.wps.cn/vas-ai-hub/contract-review">64FEAF20</paraID>
      <start xmlns="http://schemas.wps.cn/vas-ai-hub/contract-review">31</start>
      <end xmlns="http://schemas.wps.cn/vas-ai-hub/contract-review">33</end>
      <status xmlns="http://schemas.wps.cn/vas-ai-hub/contract-review">modified</status>
      <modifiedWord xmlns="http://schemas.wps.cn/vas-ai-hub/contract-review">信息</modifiedWord>
      <trackRevisions xmlns="http://schemas.wps.cn/vas-ai-hub/contract-review">false</trackRevisions>
    </reviewItem>
    <reviewItem xmlns="http://schemas.wps.cn/vas-ai-hub/contract-review">
      <errorID xmlns="http://schemas.wps.cn/vas-ai-hub/contract-review">70e83895-7b3b-41c2-a82f-5704f35c90ad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985967A</paraID>
      <start xmlns="http://schemas.wps.cn/vas-ai-hub/contract-review">125</start>
      <end xmlns="http://schemas.wps.cn/vas-ai-hub/contract-review">126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0f563020-3155-4f24-9632-29ee9e7fe8b3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985967A</paraID>
      <start xmlns="http://schemas.wps.cn/vas-ai-hub/contract-review">130</start>
      <end xmlns="http://schemas.wps.cn/vas-ai-hub/contract-review">131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b16ffe93-8579-4e94-aa59-e26289fb3981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18194DAB</paraID>
      <start xmlns="http://schemas.wps.cn/vas-ai-hub/contract-review">145</start>
      <end xmlns="http://schemas.wps.cn/vas-ai-hub/contract-review">146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fc56fc5e-39fe-4f7d-ad89-d0741b8f370d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18194DAB</paraID>
      <start xmlns="http://schemas.wps.cn/vas-ai-hub/contract-review">149</start>
      <end xmlns="http://schemas.wps.cn/vas-ai-hub/contract-review">150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9151ed75-24d6-4fd2-8e8a-b40d80632544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4E6A953A</paraID>
      <start xmlns="http://schemas.wps.cn/vas-ai-hub/contract-review">76</start>
      <end xmlns="http://schemas.wps.cn/vas-ai-hub/contract-review">77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5d668fd8-8234-4f9c-87aa-b983a261d597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4E6A953A</paraID>
      <start xmlns="http://schemas.wps.cn/vas-ai-hub/contract-review">80</start>
      <end xmlns="http://schemas.wps.cn/vas-ai-hub/contract-review">81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f9250aac-8f6c-40e2-8c01-724d738b05c1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6D32CCB1</paraID>
      <start xmlns="http://schemas.wps.cn/vas-ai-hub/contract-review">73</start>
      <end xmlns="http://schemas.wps.cn/vas-ai-hub/contract-review">74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7e1bbee9-caa7-43bd-bdb6-66b2cd61ee0a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6D32CCB1</paraID>
      <start xmlns="http://schemas.wps.cn/vas-ai-hub/contract-review">89</start>
      <end xmlns="http://schemas.wps.cn/vas-ai-hub/contract-review">90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80268f36-e916-45ad-bff0-660876d15dc3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47FCF715</paraID>
      <start xmlns="http://schemas.wps.cn/vas-ai-hub/contract-review">98</start>
      <end xmlns="http://schemas.wps.cn/vas-ai-hub/contract-review">99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8b0376b8-f09d-462e-bee4-e1cb5d85bef9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47FCF715</paraID>
      <start xmlns="http://schemas.wps.cn/vas-ai-hub/contract-review">105</start>
      <end xmlns="http://schemas.wps.cn/vas-ai-hub/contract-review">106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83fac0af-1c47-45f5-a5e4-b3ad3be7a46d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54D82F11</paraID>
      <start xmlns="http://schemas.wps.cn/vas-ai-hub/contract-review">118</start>
      <end xmlns="http://schemas.wps.cn/vas-ai-hub/contract-review">119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cd48a2ba-9aa6-42c3-89bc-ae5b43b93806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54D82F11</paraID>
      <start xmlns="http://schemas.wps.cn/vas-ai-hub/contract-review">128</start>
      <end xmlns="http://schemas.wps.cn/vas-ai-hub/contract-review">129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3e27e7ab-8f82-4665-9a11-c373bbcaa79c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2B68F20C</paraID>
      <start xmlns="http://schemas.wps.cn/vas-ai-hub/contract-review">37</start>
      <end xmlns="http://schemas.wps.cn/vas-ai-hub/contract-review">38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9120e10b-fc9a-4c0a-b10b-6d8099979930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2B68F20C</paraID>
      <start xmlns="http://schemas.wps.cn/vas-ai-hub/contract-review">43</start>
      <end xmlns="http://schemas.wps.cn/vas-ai-hub/contract-review">44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411b8ce8-be0e-43ac-ba2a-b2a5d11d06aa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1B4F131A</paraID>
      <start xmlns="http://schemas.wps.cn/vas-ai-hub/contract-review">86</start>
      <end xmlns="http://schemas.wps.cn/vas-ai-hub/contract-review">87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60c16359-c671-4d60-8c2b-63ae327a1d51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6CAA4429</paraID>
      <start xmlns="http://schemas.wps.cn/vas-ai-hub/contract-review">15</start>
      <end xmlns="http://schemas.wps.cn/vas-ai-hub/contract-review">16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954842ef-7bac-4f88-9097-7bee75954fa2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6CAA4429</paraID>
      <start xmlns="http://schemas.wps.cn/vas-ai-hub/contract-review">22</start>
      <end xmlns="http://schemas.wps.cn/vas-ai-hub/contract-review">23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fc286fff-f33b-4f74-b9be-5e2b0f309933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6CAA4429</paraID>
      <start xmlns="http://schemas.wps.cn/vas-ai-hub/contract-review">118</start>
      <end xmlns="http://schemas.wps.cn/vas-ai-hub/contract-review">119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a20b5ad0-1c2d-4dca-9502-56de0fba8dff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6CAA4429</paraID>
      <start xmlns="http://schemas.wps.cn/vas-ai-hub/contract-review">125</start>
      <end xmlns="http://schemas.wps.cn/vas-ai-hub/contract-review">126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44a58e75-b8a3-49c5-be8a-7b7cd7f736ba</errorID>
      <errorWord xmlns="http://schemas.wps.cn/vas-ai-hub/contract-review">市区住建委</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市住建委</item>
      </candidateList>
      <explain xmlns="http://schemas.wps.cn/vas-ai-hub/contract-review">机关单位全简称表述错误</explain>
      <paraID xmlns="http://schemas.wps.cn/vas-ai-hub/contract-review"> E2E10C8</paraID>
      <start xmlns="http://schemas.wps.cn/vas-ai-hub/contract-review">2</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e1aa69df-0cd7-4ec2-b7c1-367ed69053cd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E2E10C8</paraID>
      <start xmlns="http://schemas.wps.cn/vas-ai-hub/contract-review">76</start>
      <end xmlns="http://schemas.wps.cn/vas-ai-hub/contract-review">77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544bebde-3530-43ca-b9c1-cfd509b286ec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E2E10C8</paraID>
      <start xmlns="http://schemas.wps.cn/vas-ai-hub/contract-review">83</start>
      <end xmlns="http://schemas.wps.cn/vas-ai-hub/contract-review">84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d51b2f18-2b5f-4041-817a-6711c92b3aa0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E2E10C8</paraID>
      <start xmlns="http://schemas.wps.cn/vas-ai-hub/contract-review">97</start>
      <end xmlns="http://schemas.wps.cn/vas-ai-hub/contract-review">98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7acfeba6-963d-4bea-9e2d-c7888461d27b</errorID>
      <errorWord xmlns="http://schemas.wps.cn/vas-ai-hub/contract-review">市区住建委</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市住建委</item>
      </candidateList>
      <explain xmlns="http://schemas.wps.cn/vas-ai-hub/contract-review">机关单位全简称表述错误</explain>
      <paraID xmlns="http://schemas.wps.cn/vas-ai-hub/contract-review"> E2E10C8</paraID>
      <start xmlns="http://schemas.wps.cn/vas-ai-hub/contract-review">141</start>
      <end xmlns="http://schemas.wps.cn/vas-ai-hub/contract-review">146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d30bdcad-051c-40e6-97db-879770b84905</errorID>
      <errorWord xmlns="http://schemas.wps.cn/vas-ai-hub/contract-review">提交的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提交</item>
      </candidateList>
      <explain xmlns="http://schemas.wps.cn/vas-ai-hub/contract-review"/>
      <paraID xmlns="http://schemas.wps.cn/vas-ai-hub/contract-review">7725C4A8</paraID>
      <start xmlns="http://schemas.wps.cn/vas-ai-hub/contract-review">104</start>
      <end xmlns="http://schemas.wps.cn/vas-ai-hub/contract-review">106</end>
      <status xmlns="http://schemas.wps.cn/vas-ai-hub/contract-review">modified</status>
      <modifiedWord xmlns="http://schemas.wps.cn/vas-ai-hub/contract-review">提交</modifiedWord>
      <trackRevisions xmlns="http://schemas.wps.cn/vas-ai-hub/contract-review">false</trackRevisions>
    </reviewItem>
    <reviewItem xmlns="http://schemas.wps.cn/vas-ai-hub/contract-review">
      <errorID xmlns="http://schemas.wps.cn/vas-ai-hub/contract-review">d02f6896-3482-4044-b1ef-e9a097a0f46b</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，由</item>
      </candidateList>
      <explain xmlns="http://schemas.wps.cn/vas-ai-hub/contract-review"/>
      <paraID xmlns="http://schemas.wps.cn/vas-ai-hub/contract-review">1BBED667</paraID>
      <start xmlns="http://schemas.wps.cn/vas-ai-hub/contract-review">23</start>
      <end xmlns="http://schemas.wps.cn/vas-ai-hub/contract-review">25</end>
      <status xmlns="http://schemas.wps.cn/vas-ai-hub/contract-review">modified</status>
      <modifiedWord xmlns="http://schemas.wps.cn/vas-ai-hub/contract-review">，由</modifiedWord>
      <trackRevisions xmlns="http://schemas.wps.cn/vas-ai-hub/contract-review">false</trackRevisions>
    </reviewItem>
    <reviewItem xmlns="http://schemas.wps.cn/vas-ai-hub/contract-review">
      <errorID xmlns="http://schemas.wps.cn/vas-ai-hub/contract-review">93096aa8-f768-4dcb-86be-e6ebad46c925</errorID>
      <errorWord xmlns="http://schemas.wps.cn/vas-ai-hub/contract-review">监督及</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监督</item>
      </candidateList>
      <explain xmlns="http://schemas.wps.cn/vas-ai-hub/contract-review"/>
      <paraID xmlns="http://schemas.wps.cn/vas-ai-hub/contract-review">1EBD4A4A</paraID>
      <start xmlns="http://schemas.wps.cn/vas-ai-hub/contract-review">2</start>
      <end xmlns="http://schemas.wps.cn/vas-ai-hub/contract-review">4</end>
      <status xmlns="http://schemas.wps.cn/vas-ai-hub/contract-review">modified</status>
      <modifiedWord xmlns="http://schemas.wps.cn/vas-ai-hub/contract-review">监督</modifiedWord>
      <trackRevisions xmlns="http://schemas.wps.cn/vas-ai-hub/contract-review">false</trackRevisions>
    </reviewItem>
    <reviewItem xmlns="http://schemas.wps.cn/vas-ai-hub/contract-review">
      <errorID xmlns="http://schemas.wps.cn/vas-ai-hub/contract-review">b04468e9-b885-4e0c-92e3-6640374fbd0c</errorID>
      <errorWord xmlns="http://schemas.wps.cn/vas-ai-hub/contract-review">监督及</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监督</item>
      </candidateList>
      <explain xmlns="http://schemas.wps.cn/vas-ai-hub/contract-review"/>
      <paraID xmlns="http://schemas.wps.cn/vas-ai-hub/contract-review">5F08904C</paraID>
      <start xmlns="http://schemas.wps.cn/vas-ai-hub/contract-review">2</start>
      <end xmlns="http://schemas.wps.cn/vas-ai-hub/contract-review">4</end>
      <status xmlns="http://schemas.wps.cn/vas-ai-hub/contract-review">modified</status>
      <modifiedWord xmlns="http://schemas.wps.cn/vas-ai-hub/contract-review">监督</modifiedWord>
      <trackRevisions xmlns="http://schemas.wps.cn/vas-ai-hub/contract-review">false</trackRevisions>
    </reviewItem>
    <reviewItem xmlns="http://schemas.wps.cn/vas-ai-hub/contract-review">
      <errorID xmlns="http://schemas.wps.cn/vas-ai-hub/contract-review">c34777e1-a33e-4af4-9747-50a69d27b17d</errorID>
      <errorWord xmlns="http://schemas.wps.cn/vas-ai-hub/contract-review">检查表式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检查表</item>
      </candidateList>
      <explain xmlns="http://schemas.wps.cn/vas-ai-hub/contract-review"/>
      <paraID xmlns="http://schemas.wps.cn/vas-ai-hub/contract-review">2AC48FB2</paraID>
      <start xmlns="http://schemas.wps.cn/vas-ai-hub/contract-review">46</start>
      <end xmlns="http://schemas.wps.cn/vas-ai-hub/contract-review">49</end>
      <status xmlns="http://schemas.wps.cn/vas-ai-hub/contract-review">modified</status>
      <modifiedWord xmlns="http://schemas.wps.cn/vas-ai-hub/contract-review">检查表</modifiedWord>
      <trackRevisions xmlns="http://schemas.wps.cn/vas-ai-hub/contract-review">false</trackRevisions>
    </reviewItem>
    <reviewItem xmlns="http://schemas.wps.cn/vas-ai-hub/contract-review">
      <errorID xmlns="http://schemas.wps.cn/vas-ai-hub/contract-review">93472f13-41f4-43a5-a110-2c675cec685a</errorID>
      <errorWord xmlns="http://schemas.wps.cn/vas-ai-hub/contract-review">检查表式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检查表</item>
      </candidateList>
      <explain xmlns="http://schemas.wps.cn/vas-ai-hub/contract-review"/>
      <paraID xmlns="http://schemas.wps.cn/vas-ai-hub/contract-review"> 6A375D5</paraID>
      <start xmlns="http://schemas.wps.cn/vas-ai-hub/contract-review">44</start>
      <end xmlns="http://schemas.wps.cn/vas-ai-hub/contract-review">47</end>
      <status xmlns="http://schemas.wps.cn/vas-ai-hub/contract-review">modified</status>
      <modifiedWord xmlns="http://schemas.wps.cn/vas-ai-hub/contract-review">检查表</modifiedWord>
      <trackRevisions xmlns="http://schemas.wps.cn/vas-ai-hub/contract-review">false</trackRevisions>
    </reviewItem>
    <reviewItem xmlns="http://schemas.wps.cn/vas-ai-hub/contract-review">
      <errorID xmlns="http://schemas.wps.cn/vas-ai-hub/contract-review">4e437ca1-afed-4f41-91f3-d335e5eb5632</errorID>
      <errorWord xmlns="http://schemas.wps.cn/vas-ai-hub/contract-review">监测单位</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监测点位</item>
      </candidateList>
      <explain xmlns="http://schemas.wps.cn/vas-ai-hub/contract-review"/>
      <paraID xmlns="http://schemas.wps.cn/vas-ai-hub/contract-review">7916A4AB</paraID>
      <start xmlns="http://schemas.wps.cn/vas-ai-hub/contract-review">5</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7c99c7b4-c293-49ff-a628-847efd7b2c5c</errorID>
      <errorWord xmlns="http://schemas.wps.cn/vas-ai-hub/contract-review">监测单位</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监测点位</item>
      </candidateList>
      <explain xmlns="http://schemas.wps.cn/vas-ai-hub/contract-review"/>
      <paraID xmlns="http://schemas.wps.cn/vas-ai-hub/contract-review">7916A4AB</paraID>
      <start xmlns="http://schemas.wps.cn/vas-ai-hub/contract-review">39</start>
      <end xmlns="http://schemas.wps.cn/vas-ai-hub/contract-review">43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4c423f4b-7759-405c-96a9-6f49196e0a69</errorID>
      <errorWord xmlns="http://schemas.wps.cn/vas-ai-hub/contract-review">管理管理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管理</item>
      </candidateList>
      <explain xmlns="http://schemas.wps.cn/vas-ai-hub/contract-review">〈动〉❶负责某项工作使顺利进行：～财务｜～国家大事。❷保管和料理：～图书｜公园～处。❸照管并约束（人或动物）：～罪犯｜～牲口。</explain>
      <paraID xmlns="http://schemas.wps.cn/vas-ai-hub/contract-review">5A6A49ED</paraID>
      <start xmlns="http://schemas.wps.cn/vas-ai-hub/contract-review">0</start>
      <end xmlns="http://schemas.wps.cn/vas-ai-hub/contract-review">2</end>
      <status xmlns="http://schemas.wps.cn/vas-ai-hub/contract-review">modified</status>
      <modifiedWord xmlns="http://schemas.wps.cn/vas-ai-hub/contract-review">管理</modifiedWord>
      <trackRevisions xmlns="http://schemas.wps.cn/vas-ai-hub/contract-review">false</trackRevisions>
    </reviewItem>
    <reviewItem xmlns="http://schemas.wps.cn/vas-ai-hub/contract-review">
      <errorID xmlns="http://schemas.wps.cn/vas-ai-hub/contract-review">9f0f6a11-3af6-4218-8e1d-c04330896dcb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2556F246</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2d3d6cd4-5884-4037-bf4e-40fcc672a84f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54A4546F</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37ea9ac9-7fa5-4890-b911-87e6af0b3932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54A4546F</paraID>
      <start xmlns="http://schemas.wps.cn/vas-ai-hub/contract-review">83</start>
      <end xmlns="http://schemas.wps.cn/vas-ai-hub/contract-review">84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5effc0e8-9788-4d19-94f2-70a0781c3b0f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4A41AA11</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0a276251-c45d-460a-b88e-772a23560468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4A41AA11</paraID>
      <start xmlns="http://schemas.wps.cn/vas-ai-hub/contract-review">10</start>
      <end xmlns="http://schemas.wps.cn/vas-ai-hub/contract-review">11</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1ae298df-7fb3-4982-9445-e814ff2742cd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1F7AA61F</paraID>
      <start xmlns="http://schemas.wps.cn/vas-ai-hub/contract-review">0</start>
      <end xmlns="http://schemas.wps.cn/vas-ai-hub/contract-review">3</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8ff6fb47-37f9-4801-8129-170fdd40655c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1F7AA61F</paraID>
      <start xmlns="http://schemas.wps.cn/vas-ai-hub/contract-review">14</start>
      <end xmlns="http://schemas.wps.cn/vas-ai-hub/contract-review">15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46a10f75-46d5-4683-9c08-d2759a7fa552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1F7AA61F</paraID>
      <start xmlns="http://schemas.wps.cn/vas-ai-hub/contract-review">25</start>
      <end xmlns="http://schemas.wps.cn/vas-ai-hub/contract-review">26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9b91980c-a444-4f08-b7ef-ee4f8da24ff4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1F7AA61F</paraID>
      <start xmlns="http://schemas.wps.cn/vas-ai-hub/contract-review">38</start>
      <end xmlns="http://schemas.wps.cn/vas-ai-hub/contract-review">39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08ce7fc7-3261-4032-b8b3-261775539e12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
      <paraID xmlns="http://schemas.wps.cn/vas-ai-hub/contract-review">1FC45A48</paraID>
      <start xmlns="http://schemas.wps.cn/vas-ai-hub/contract-review">6</start>
      <end xmlns="http://schemas.wps.cn/vas-ai-hub/contract-review">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a1f8036a-0ba0-40a5-a8e6-a08477c80bad</errorID>
      <errorWord xmlns="http://schemas.wps.cn/vas-ai-hub/contract-review">其下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其</item>
      </candidateList>
      <explain xmlns="http://schemas.wps.cn/vas-ai-hub/contract-review">词缀：极～｜尤～｜如～。</explain>
      <paraID xmlns="http://schemas.wps.cn/vas-ai-hub/contract-review">2F11B892</paraID>
      <start xmlns="http://schemas.wps.cn/vas-ai-hub/contract-review">42</start>
      <end xmlns="http://schemas.wps.cn/vas-ai-hub/contract-review">43</end>
      <status xmlns="http://schemas.wps.cn/vas-ai-hub/contract-review">modified</status>
      <modifiedWord xmlns="http://schemas.wps.cn/vas-ai-hub/contract-review">其</modifiedWord>
      <trackRevisions xmlns="http://schemas.wps.cn/vas-ai-hub/contract-review">false</trackRevisions>
    </reviewItem>
    <reviewItem xmlns="http://schemas.wps.cn/vas-ai-hub/contract-review">
      <errorID xmlns="http://schemas.wps.cn/vas-ai-hub/contract-review">ffc91cd7-4c16-48c4-80a3-af154e9962c5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3DA02640</paraID>
      <start xmlns="http://schemas.wps.cn/vas-ai-hub/contract-review">74</start>
      <end xmlns="http://schemas.wps.cn/vas-ai-hub/contract-review">75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2ecb4ade-9562-4bed-9986-ad6b9b1372ab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3DA02640</paraID>
      <start xmlns="http://schemas.wps.cn/vas-ai-hub/contract-review">86</start>
      <end xmlns="http://schemas.wps.cn/vas-ai-hub/contract-review">87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18b9b535-752b-42c6-8326-e72aa5491a87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3830328F</paraID>
      <start xmlns="http://schemas.wps.cn/vas-ai-hub/contract-review">68</start>
      <end xmlns="http://schemas.wps.cn/vas-ai-hub/contract-review">69</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28c276b6-311d-4dbe-8806-d010ca02141e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3830328F</paraID>
      <start xmlns="http://schemas.wps.cn/vas-ai-hub/contract-review">75</start>
      <end xmlns="http://schemas.wps.cn/vas-ai-hub/contract-review">76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6a960781-4330-47b9-aeeb-60fc887888d1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3830328F</paraID>
      <start xmlns="http://schemas.wps.cn/vas-ai-hub/contract-review">77</start>
      <end xmlns="http://schemas.wps.cn/vas-ai-hub/contract-review">78</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bff61f26-3413-4c80-a272-837bfa114d5f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3830328F</paraID>
      <start xmlns="http://schemas.wps.cn/vas-ai-hub/contract-review">84</start>
      <end xmlns="http://schemas.wps.cn/vas-ai-hub/contract-review">85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af87e74d-f407-43ea-ae03-077c424cec4c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3830328F</paraID>
      <start xmlns="http://schemas.wps.cn/vas-ai-hub/contract-review">86</start>
      <end xmlns="http://schemas.wps.cn/vas-ai-hub/contract-review">87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886bca5a-f632-49bd-9689-f021906ab581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3830328F</paraID>
      <start xmlns="http://schemas.wps.cn/vas-ai-hub/contract-review">93</start>
      <end xmlns="http://schemas.wps.cn/vas-ai-hub/contract-review">94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c7243ceb-f6f0-492d-88c6-3b5321e916a5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同一形式括号套用。</explain>
      <paraID xmlns="http://schemas.wps.cn/vas-ai-hub/contract-review">3830328F</paraID>
      <start xmlns="http://schemas.wps.cn/vas-ai-hub/contract-review">118</start>
      <end xmlns="http://schemas.wps.cn/vas-ai-hub/contract-review">119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15e57526-44f8-4c24-9751-9c5060e26949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3830328F</paraID>
      <start xmlns="http://schemas.wps.cn/vas-ai-hub/contract-review">125</start>
      <end xmlns="http://schemas.wps.cn/vas-ai-hub/contract-review">126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80239803-4ae3-46af-9bb1-ea27eba9e9c1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3830328F</paraID>
      <start xmlns="http://schemas.wps.cn/vas-ai-hub/contract-review">133</start>
      <end xmlns="http://schemas.wps.cn/vas-ai-hub/contract-review">134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770be5be-bfce-4a37-8a6b-cc143b1bb05b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3830328F</paraID>
      <start xmlns="http://schemas.wps.cn/vas-ai-hub/contract-review">139</start>
      <end xmlns="http://schemas.wps.cn/vas-ai-hub/contract-review">140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9a001ff6-c79b-47d4-9651-ac2bd0d2e524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3830328F</paraID>
      <start xmlns="http://schemas.wps.cn/vas-ai-hub/contract-review">174</start>
      <end xmlns="http://schemas.wps.cn/vas-ai-hub/contract-review">175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71bcff77-32b9-495a-8767-e1d90c75fa5a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3830328F</paraID>
      <start xmlns="http://schemas.wps.cn/vas-ai-hub/contract-review">181</start>
      <end xmlns="http://schemas.wps.cn/vas-ai-hub/contract-review">182</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bdc8d9e1-8753-4243-910c-e1c2f6e34605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2691072C</paraID>
      <start xmlns="http://schemas.wps.cn/vas-ai-hub/contract-review">105</start>
      <end xmlns="http://schemas.wps.cn/vas-ai-hub/contract-review">106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7ccb4296-250b-48b7-986a-fef534255d18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2691072C</paraID>
      <start xmlns="http://schemas.wps.cn/vas-ai-hub/contract-review">113</start>
      <end xmlns="http://schemas.wps.cn/vas-ai-hub/contract-review">114</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5d466b33-ee7d-493e-ae4d-bb9a0e58c5ff</errorID>
      <errorWord xmlns="http://schemas.wps.cn/vas-ai-hub/contract-review">生成许可证</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生产许可证</item>
      </candidateList>
      <explain xmlns="http://schemas.wps.cn/vas-ai-hub/contract-review"/>
      <paraID xmlns="http://schemas.wps.cn/vas-ai-hub/contract-review">398474F2</paraID>
      <start xmlns="http://schemas.wps.cn/vas-ai-hub/contract-review">32</start>
      <end xmlns="http://schemas.wps.cn/vas-ai-hub/contract-review">37</end>
      <status xmlns="http://schemas.wps.cn/vas-ai-hub/contract-review">modified</status>
      <modifiedWord xmlns="http://schemas.wps.cn/vas-ai-hub/contract-review">生产许可证</modifiedWord>
      <trackRevisions xmlns="http://schemas.wps.cn/vas-ai-hub/contract-review">false</trackRevisions>
    </reviewItem>
    <reviewItem xmlns="http://schemas.wps.cn/vas-ai-hub/contract-review">
      <errorID xmlns="http://schemas.wps.cn/vas-ai-hub/contract-review">2d96439e-f9c5-4d45-83db-f692afae5879</errorID>
      <errorWord xmlns="http://schemas.wps.cn/vas-ai-hub/contract-review">表报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报表</item>
      </candidateList>
      <explain xmlns="http://schemas.wps.cn/vas-ai-hub/contract-review"/>
      <paraID xmlns="http://schemas.wps.cn/vas-ai-hub/contract-review"> 424E2C8</paraID>
      <start xmlns="http://schemas.wps.cn/vas-ai-hub/contract-review">7</start>
      <end xmlns="http://schemas.wps.cn/vas-ai-hub/contract-review">9</end>
      <status xmlns="http://schemas.wps.cn/vas-ai-hub/contract-review">modified</status>
      <modifiedWord xmlns="http://schemas.wps.cn/vas-ai-hub/contract-review">报表</modifiedWord>
      <trackRevisions xmlns="http://schemas.wps.cn/vas-ai-hub/contract-review">false</trackRevisions>
    </reviewItem>
    <reviewItem xmlns="http://schemas.wps.cn/vas-ai-hub/contract-review">
      <errorID xmlns="http://schemas.wps.cn/vas-ai-hub/contract-review">0a2eeb09-06ac-4780-8e38-435bea698cb5</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、多</item>
      </candidateList>
      <explain xmlns="http://schemas.wps.cn/vas-ai-hub/contract-review"/>
      <paraID xmlns="http://schemas.wps.cn/vas-ai-hub/contract-review"> 424E2C8</paraID>
      <start xmlns="http://schemas.wps.cn/vas-ai-hub/contract-review">35</start>
      <end xmlns="http://schemas.wps.cn/vas-ai-hub/contract-review">36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6084bc4b-349f-4d59-849e-c4046f87aea8</errorID>
      <errorWord xmlns="http://schemas.wps.cn/vas-ai-hub/contract-review">促发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触发</item>
      </candidateList>
      <explain xmlns="http://schemas.wps.cn/vas-ai-hub/contract-review">存在发音相近字词的误用。</explain>
      <paraID xmlns="http://schemas.wps.cn/vas-ai-hub/contract-review">11FD277E</paraID>
      <start xmlns="http://schemas.wps.cn/vas-ai-hub/contract-review">16</start>
      <end xmlns="http://schemas.wps.cn/vas-ai-hub/contract-review">18</end>
      <status xmlns="http://schemas.wps.cn/vas-ai-hub/contract-review">modified</status>
      <modifiedWord xmlns="http://schemas.wps.cn/vas-ai-hub/contract-review">触发</modifiedWord>
      <trackRevisions xmlns="http://schemas.wps.cn/vas-ai-hub/contract-review">false</trackRevisions>
    </reviewItem>
    <reviewItem xmlns="http://schemas.wps.cn/vas-ai-hub/contract-review">
      <errorID xmlns="http://schemas.wps.cn/vas-ai-hub/contract-review">e6e5c913-ac14-4b37-bb0e-5182b8d28951</errorID>
      <errorWord xmlns="http://schemas.wps.cn/vas-ai-hub/contract-review">实施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实时</item>
      </candidateList>
      <explain xmlns="http://schemas.wps.cn/vas-ai-hub/contract-review">〈副〉与某事发生、发展过程同时（做某事）：进行～报道｜～传递股市行情。</explain>
      <paraID xmlns="http://schemas.wps.cn/vas-ai-hub/contract-review">3E3B10EB</paraID>
      <start xmlns="http://schemas.wps.cn/vas-ai-hub/contract-review">68</start>
      <end xmlns="http://schemas.wps.cn/vas-ai-hub/contract-review">70</end>
      <status xmlns="http://schemas.wps.cn/vas-ai-hub/contract-review">modified</status>
      <modifiedWord xmlns="http://schemas.wps.cn/vas-ai-hub/contract-review">实时</modifiedWord>
      <trackRevisions xmlns="http://schemas.wps.cn/vas-ai-hub/contract-review">false</trackRevisions>
    </reviewItem>
    <reviewItem xmlns="http://schemas.wps.cn/vas-ai-hub/contract-review">
      <errorID xmlns="http://schemas.wps.cn/vas-ai-hub/contract-review">c881c4e4-f894-41c6-959d-0c29f34d92a2</errorID>
      <errorWord xmlns="http://schemas.wps.cn/vas-ai-hub/contract-review">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未</item>
      </candidateList>
      <explain xmlns="http://schemas.wps.cn/vas-ai-hub/contract-review">〈副〉❶没（跟“已”相对）：尚～成年｜健康仍～恢复。❷不：～便｜～敢苟同｜～可厚非。</explain>
      <paraID xmlns="http://schemas.wps.cn/vas-ai-hub/contract-review">5A5BF39E</paraID>
      <start xmlns="http://schemas.wps.cn/vas-ai-hub/contract-review">94</start>
      <end xmlns="http://schemas.wps.cn/vas-ai-hub/contract-review">95</end>
      <status xmlns="http://schemas.wps.cn/vas-ai-hub/contract-review">modified</status>
      <modifiedWord xmlns="http://schemas.wps.cn/vas-ai-hub/contract-review">未</modifiedWord>
      <trackRevisions xmlns="http://schemas.wps.cn/vas-ai-hub/contract-review">false</trackRevisions>
    </reviewItem>
    <reviewItem xmlns="http://schemas.wps.cn/vas-ai-hub/contract-review">
      <errorID xmlns="http://schemas.wps.cn/vas-ai-hub/contract-review">0f5273c3-dd7c-43cf-bf2d-c23685989a68</errorID>
      <errorWord xmlns="http://schemas.wps.cn/vas-ai-hub/contract-review">系统故障应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系统故障</item>
      </candidateList>
      <explain xmlns="http://schemas.wps.cn/vas-ai-hub/contract-review"/>
      <paraID xmlns="http://schemas.wps.cn/vas-ai-hub/contract-review">66D4F391</paraID>
      <start xmlns="http://schemas.wps.cn/vas-ai-hub/contract-review">4</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70f230b3-9f7a-4eed-abda-242049b45892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7566672</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c64e1815-6cdd-4133-aaa2-3112ed204a7b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CA9169C</paraID>
      <start xmlns="http://schemas.wps.cn/vas-ai-hub/contract-review">0</start>
      <end xmlns="http://schemas.wps.cn/vas-ai-hub/contract-review">3</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c6e50977-247a-4313-8794-ce31a13a0ea4</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5CD48077</paraID>
      <start xmlns="http://schemas.wps.cn/vas-ai-hub/contract-review">0</start>
      <end xmlns="http://schemas.wps.cn/vas-ai-hub/contract-review">3</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d56dfd3e-134f-449f-8581-785212eb937b</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4DC9983</paraID>
      <start xmlns="http://schemas.wps.cn/vas-ai-hub/contract-review">0</start>
      <end xmlns="http://schemas.wps.cn/vas-ai-hub/contract-review">3</end>
      <status xmlns="http://schemas.wps.cn/vas-ai-hub/contract-review">modified</status>
      <modifiedWord xmlns="http://schemas.wps.cn/vas-ai-hub/contract-review">（4）</modifiedWord>
      <trackRevisions xmlns="http://schemas.wps.cn/vas-ai-hub/contract-review">false</trackRevisions>
    </reviewItem>
    <reviewItem xmlns="http://schemas.wps.cn/vas-ai-hub/contract-review">
      <errorID xmlns="http://schemas.wps.cn/vas-ai-hub/contract-review">aad51528-daa4-4235-8b13-f1a9120dc75a</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26A9F672</paraID>
      <start xmlns="http://schemas.wps.cn/vas-ai-hub/contract-review">0</start>
      <end xmlns="http://schemas.wps.cn/vas-ai-hub/contract-review">3</end>
      <status xmlns="http://schemas.wps.cn/vas-ai-hub/contract-review">modified</status>
      <modifiedWord xmlns="http://schemas.wps.cn/vas-ai-hub/contract-review">（5）</modifiedWord>
      <trackRevisions xmlns="http://schemas.wps.cn/vas-ai-hub/contract-review">false</trackRevisions>
    </reviewItem>
    <reviewItem xmlns="http://schemas.wps.cn/vas-ai-hub/contract-review">
      <errorID xmlns="http://schemas.wps.cn/vas-ai-hub/contract-review">12f96c46-dc38-443d-b57c-7dfc221b7e69</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50D461C8</paraID>
      <start xmlns="http://schemas.wps.cn/vas-ai-hub/contract-review">0</start>
      <end xmlns="http://schemas.wps.cn/vas-ai-hub/contract-review">3</end>
      <status xmlns="http://schemas.wps.cn/vas-ai-hub/contract-review">modified</status>
      <modifiedWord xmlns="http://schemas.wps.cn/vas-ai-hub/contract-review">（6）</modifiedWord>
      <trackRevisions xmlns="http://schemas.wps.cn/vas-ai-hub/contract-review">false</trackRevisions>
    </reviewItem>
    <reviewItem xmlns="http://schemas.wps.cn/vas-ai-hub/contract-review">
      <errorID xmlns="http://schemas.wps.cn/vas-ai-hub/contract-review">39b423e2-28ae-4c09-a8c4-fcb75495ad58</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487ADD6E</paraID>
      <start xmlns="http://schemas.wps.cn/vas-ai-hub/contract-review">0</start>
      <end xmlns="http://schemas.wps.cn/vas-ai-hub/contract-review">3</end>
      <status xmlns="http://schemas.wps.cn/vas-ai-hub/contract-review">modified</status>
      <modifiedWord xmlns="http://schemas.wps.cn/vas-ai-hub/contract-review">（7）</modifiedWord>
      <trackRevisions xmlns="http://schemas.wps.cn/vas-ai-hub/contract-review">false</trackRevisions>
    </reviewItem>
    <reviewItem xmlns="http://schemas.wps.cn/vas-ai-hub/contract-review">
      <errorID xmlns="http://schemas.wps.cn/vas-ai-hub/contract-review">d1161a38-9956-435b-9fe9-0de27b4ff776</errorID>
      <errorWord xmlns="http://schemas.wps.cn/vas-ai-hub/contract-review">、等</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等</item>
      </candidateList>
      <explain xmlns="http://schemas.wps.cn/vas-ai-hub/contract-review">“及”“和”“等”连词前不宜使用顿号，建议删除（或使用逗号）。</explain>
      <paraID xmlns="http://schemas.wps.cn/vas-ai-hub/contract-review">487ADD6E</paraID>
      <start xmlns="http://schemas.wps.cn/vas-ai-hub/contract-review">62</start>
      <end xmlns="http://schemas.wps.cn/vas-ai-hub/contract-review">64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5e9ce1ec-3129-4cc6-bc1e-1c470c26d41b</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5EDA4CC0</paraID>
      <start xmlns="http://schemas.wps.cn/vas-ai-hub/contract-review">0</start>
      <end xmlns="http://schemas.wps.cn/vas-ai-hub/contract-review">3</end>
      <status xmlns="http://schemas.wps.cn/vas-ai-hub/contract-review">modified</status>
      <modifiedWord xmlns="http://schemas.wps.cn/vas-ai-hub/contract-review">（8）</modifiedWord>
      <trackRevisions xmlns="http://schemas.wps.cn/vas-ai-hub/contract-review">false</trackRevisions>
    </reviewItem>
    <reviewItem xmlns="http://schemas.wps.cn/vas-ai-hub/contract-review">
      <errorID xmlns="http://schemas.wps.cn/vas-ai-hub/contract-review">e5e6b3a5-7b6a-48ed-8872-dda622e41b8c</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6CFD0286</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df642a1c-a130-4d9c-8698-c214df24edee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43BA40A8</paraID>
      <start xmlns="http://schemas.wps.cn/vas-ai-hub/contract-review">0</start>
      <end xmlns="http://schemas.wps.cn/vas-ai-hub/contract-review">3</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0c459a2b-5041-49ce-92ce-ac2b9875ea27</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6F751D0</paraID>
      <start xmlns="http://schemas.wps.cn/vas-ai-hub/contract-review">0</start>
      <end xmlns="http://schemas.wps.cn/vas-ai-hub/contract-review">3</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23d2d176-ade2-4c0a-9b8d-3b7137f012b5</errorID>
      <errorWord xmlns="http://schemas.wps.cn/vas-ai-hub/contract-review">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理人</item>
      </candidateList>
      <explain xmlns="http://schemas.wps.cn/vas-ai-hub/contract-review"/>
      <paraID xmlns="http://schemas.wps.cn/vas-ai-hub/contract-review"> 6F751D0</paraID>
      <start xmlns="http://schemas.wps.cn/vas-ai-hub/contract-review">26</start>
      <end xmlns="http://schemas.wps.cn/vas-ai-hub/contract-review">27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c5cef7a0-7e65-4279-ac2b-d98071c24306</errorID>
      <errorWord xmlns="http://schemas.wps.cn/vas-ai-hub/contract-review">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item>
      </candidateList>
      <explain xmlns="http://schemas.wps.cn/vas-ai-hub/contract-review">存在发音相同字词的误用。</explain>
      <paraID xmlns="http://schemas.wps.cn/vas-ai-hub/contract-review"> 3170987</paraID>
      <start xmlns="http://schemas.wps.cn/vas-ai-hub/contract-review">91</start>
      <end xmlns="http://schemas.wps.cn/vas-ai-hub/contract-review">92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a7f24029-6db4-4221-853a-872829158e15</errorID>
      <errorWord xmlns="http://schemas.wps.cn/vas-ai-hub/contract-review">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须</item>
      </candidateList>
      <explain xmlns="http://schemas.wps.cn/vas-ai-hub/contract-review">存在发音相同字词的误用。</explain>
      <paraID xmlns="http://schemas.wps.cn/vas-ai-hub/contract-review">61ECA5AE</paraID>
      <start xmlns="http://schemas.wps.cn/vas-ai-hub/contract-review">59</start>
      <end xmlns="http://schemas.wps.cn/vas-ai-hub/contract-review">60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8904c723-dc4b-4969-8f96-84472c378cb0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5F559FB1</paraID>
      <start xmlns="http://schemas.wps.cn/vas-ai-hub/contract-review">33</start>
      <end xmlns="http://schemas.wps.cn/vas-ai-hub/contract-review">35</end>
      <status xmlns="http://schemas.wps.cn/vas-ai-hub/contract-review">modified</status>
      <modifiedWord xmlns="http://schemas.wps.cn/vas-ai-hub/contract-review">，具</modifiedWord>
      <trackRevisions xmlns="http://schemas.wps.cn/vas-ai-hub/contract-review">false</trackRevisions>
    </reviewItem>
    <reviewItem xmlns="http://schemas.wps.cn/vas-ai-hub/contract-review">
      <errorID xmlns="http://schemas.wps.cn/vas-ai-hub/contract-review">e34e3b71-7578-417e-a50d-36c89da32fc5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734FAB65</paraID>
      <start xmlns="http://schemas.wps.cn/vas-ai-hub/contract-review">6</start>
      <end xmlns="http://schemas.wps.cn/vas-ai-hub/contract-review">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9859c835-3b4b-41d0-b97d-e36af89f8e95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3F7167DB</paraID>
      <start xmlns="http://schemas.wps.cn/vas-ai-hub/contract-review">0</start>
      <end xmlns="http://schemas.wps.cn/vas-ai-hub/contract-review">3</end>
      <status xmlns="http://schemas.wps.cn/vas-ai-hub/contract-review">modified</status>
      <modifiedWord xmlns="http://schemas.wps.cn/vas-ai-hub/contract-review">（1）</modifiedWord>
      <trackRevisions xmlns="http://schemas.wps.cn/vas-ai-hub/contract-review">false</trackRevisions>
    </reviewItem>
    <reviewItem xmlns="http://schemas.wps.cn/vas-ai-hub/contract-review">
      <errorID xmlns="http://schemas.wps.cn/vas-ai-hub/contract-review">ab91ae14-3d96-4713-a7c3-938cc7dda17b</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AE82682</paraID>
      <start xmlns="http://schemas.wps.cn/vas-ai-hub/contract-review">0</start>
      <end xmlns="http://schemas.wps.cn/vas-ai-hub/contract-review">3</end>
      <status xmlns="http://schemas.wps.cn/vas-ai-hub/contract-review">modified</status>
      <modifiedWord xmlns="http://schemas.wps.cn/vas-ai-hub/contract-review">（2）</modifiedWord>
      <trackRevisions xmlns="http://schemas.wps.cn/vas-ai-hub/contract-review">false</trackRevisions>
    </reviewItem>
    <reviewItem xmlns="http://schemas.wps.cn/vas-ai-hub/contract-review">
      <errorID xmlns="http://schemas.wps.cn/vas-ai-hub/contract-review">87556d48-0393-4aca-b505-7bf1b810eeca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458372C1</paraID>
      <start xmlns="http://schemas.wps.cn/vas-ai-hub/contract-review">0</start>
      <end xmlns="http://schemas.wps.cn/vas-ai-hub/contract-review">3</end>
      <status xmlns="http://schemas.wps.cn/vas-ai-hub/contract-review">modified</status>
      <modifiedWord xmlns="http://schemas.wps.cn/vas-ai-hub/contract-review">（3）</modifiedWord>
      <trackRevisions xmlns="http://schemas.wps.cn/vas-ai-hub/contract-review">false</trackRevisions>
    </reviewItem>
    <reviewItem xmlns="http://schemas.wps.cn/vas-ai-hub/contract-review">
      <errorID xmlns="http://schemas.wps.cn/vas-ai-hub/contract-review">694b8479-36ea-4344-a1e9-2eaef97b9fb6</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390654E5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59a05634-2741-4d72-9366-d6cbc3818de0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403F4D66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a0a86b28-d301-42cb-ae80-0273ff10d726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43A8C5F4</paraID>
      <start xmlns="http://schemas.wps.cn/vas-ai-hub/contract-review">15</start>
      <end xmlns="http://schemas.wps.cn/vas-ai-hub/contract-review">16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afc08940-a219-4da4-9d78-88576a2ee69f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43A8C5F4</paraID>
      <start xmlns="http://schemas.wps.cn/vas-ai-hub/contract-review">69</start>
      <end xmlns="http://schemas.wps.cn/vas-ai-hub/contract-review">70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16b45770-8b32-4d9e-a935-707db36fee8a</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7512B6F6</paraID>
      <start xmlns="http://schemas.wps.cn/vas-ai-hub/contract-review">41</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37911476-fe93-4687-9efb-db55a742b3a2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713097E2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07bbd69b-6120-41a5-b66f-185dc45398c9</errorID>
      <errorWord xmlns="http://schemas.wps.cn/vas-ai-hub/contract-review">作出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做出</item>
      </candidateList>
      <explain xmlns="http://schemas.wps.cn/vas-ai-hub/contract-review"/>
      <paraID xmlns="http://schemas.wps.cn/vas-ai-hub/contract-review">713097E2</paraID>
      <start xmlns="http://schemas.wps.cn/vas-ai-hub/contract-review">158</start>
      <end xmlns="http://schemas.wps.cn/vas-ai-hub/contract-review">160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6c1b6a8c-b962-487e-970a-1d7a0babdd62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7528D58E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4ed309ec-7705-4947-8bc8-3a8d07188397</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53E76165</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e90e91f0-c929-4024-8504-6f1811410e03</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20E3A964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ecc36d4c-51b4-4506-96cc-a8bde48af8bb</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42CDAC57</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769228d9-9bda-411d-ae80-6e74cd2257eb</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48171E14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4f89ae44-90df-4b1d-b1ec-05cf98ebc5ba</errorID>
      <errorWord xmlns="http://schemas.wps.cn/vas-ai-hub/contract-review">料</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料和</item>
      </candidateList>
      <explain xmlns="http://schemas.wps.cn/vas-ai-hub/contract-review"/>
      <paraID xmlns="http://schemas.wps.cn/vas-ai-hub/contract-review">5DCA2FC9</paraID>
      <start xmlns="http://schemas.wps.cn/vas-ai-hub/contract-review">12</start>
      <end xmlns="http://schemas.wps.cn/vas-ai-hub/contract-review">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834f7157-12b0-4fe9-92f2-6a72d311520c</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6EA4BEB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645f086b-4ba1-44c8-8e12-b5fe9aa9de99</errorID>
      <errorWord xmlns="http://schemas.wps.cn/vas-ai-hub/contract-review">起始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起</item>
      </candidateList>
      <explain xmlns="http://schemas.wps.cn/vas-ai-hub/contract-review">〈动〉趋向动词。❶用在动词后，表示向上：抬～箱子往外走。❷用在动词后，表示力量够得上或够不上：经得～考验｜太贵了，买不～。注意动词和“起”之间常有“得”字或“不”字。❸用在动词后，表示事物随动作出现：乐队奏～迎宾曲｜会场响～热烈掌声。❹用在动词后，表示动作涉及人或事：他多次问～过你｜想～一件事。</explain>
      <paraID xmlns="http://schemas.wps.cn/vas-ai-hub/contract-review">15AFAEBD</paraID>
      <start xmlns="http://schemas.wps.cn/vas-ai-hub/contract-review">19</start>
      <end xmlns="http://schemas.wps.cn/vas-ai-hub/contract-review">20</end>
      <status xmlns="http://schemas.wps.cn/vas-ai-hub/contract-review">modified</status>
      <modifiedWord xmlns="http://schemas.wps.cn/vas-ai-hub/contract-review">起</modifiedWord>
      <trackRevisions xmlns="http://schemas.wps.cn/vas-ai-hub/contract-review">false</trackRevisions>
    </reviewItem>
    <reviewItem xmlns="http://schemas.wps.cn/vas-ai-hub/contract-review">
      <errorID xmlns="http://schemas.wps.cn/vas-ai-hub/contract-review">20949554-b93c-42c8-b949-47eecdeeab1f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70738D76</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580bfe99-cedb-416a-8d52-cc23c104fab8</errorID>
      <errorWord xmlns="http://schemas.wps.cn/vas-ai-hub/contract-review">提拱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提供</item>
      </candidateList>
      <explain xmlns="http://schemas.wps.cn/vas-ai-hub/contract-review"/>
      <paraID xmlns="http://schemas.wps.cn/vas-ai-hub/contract-review">662705F2</paraID>
      <start xmlns="http://schemas.wps.cn/vas-ai-hub/contract-review">7</start>
      <end xmlns="http://schemas.wps.cn/vas-ai-hub/contract-review">9</end>
      <status xmlns="http://schemas.wps.cn/vas-ai-hub/contract-review">modified</status>
      <modifiedWord xmlns="http://schemas.wps.cn/vas-ai-hub/contract-review">提供</modifiedWord>
      <trackRevisions xmlns="http://schemas.wps.cn/vas-ai-hub/contract-review">false</trackRevisions>
    </reviewItem>
    <reviewItem xmlns="http://schemas.wps.cn/vas-ai-hub/contract-review">
      <errorID xmlns="http://schemas.wps.cn/vas-ai-hub/contract-review">657e8d23-b53f-4f2f-a1ef-966226a69131</errorID>
      <errorWord xmlns="http://schemas.wps.cn/vas-ai-hub/contract-review">组件开发</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软件开发</item>
      </candidateList>
      <explain xmlns="http://schemas.wps.cn/vas-ai-hub/contract-review"/>
      <paraID xmlns="http://schemas.wps.cn/vas-ai-hub/contract-review">662705F2</paraID>
      <start xmlns="http://schemas.wps.cn/vas-ai-hub/contract-review">26</start>
      <end xmlns="http://schemas.wps.cn/vas-ai-hub/contract-review">30</end>
      <status xmlns="http://schemas.wps.cn/vas-ai-hub/contract-review">modified</status>
      <modifiedWord xmlns="http://schemas.wps.cn/vas-ai-hub/contract-review">软件开发</modifiedWord>
      <trackRevisions xmlns="http://schemas.wps.cn/vas-ai-hub/contract-review">false</trackRevisions>
    </reviewItem>
    <reviewItem xmlns="http://schemas.wps.cn/vas-ai-hub/contract-review">
      <errorID xmlns="http://schemas.wps.cn/vas-ai-hub/contract-review">845a1abe-a17f-4bae-96cd-d0cdd55c73ae</errorID>
      <errorWord xmlns="http://schemas.wps.cn/vas-ai-hub/contract-review">共同协商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协商</item>
      </candidateList>
      <explain xmlns="http://schemas.wps.cn/vas-ai-hub/contract-review"/>
      <paraID xmlns="http://schemas.wps.cn/vas-ai-hub/contract-review">66B848DC</paraID>
      <start xmlns="http://schemas.wps.cn/vas-ai-hub/contract-review">54</start>
      <end xmlns="http://schemas.wps.cn/vas-ai-hub/contract-review">58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87012479-ff2b-442b-a4f3-8ef47b0ca023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46B4A8E0</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9dfdc8f2-4be3-40a2-9377-05e84ee1876c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7DBA043B</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06919d4f-c13b-4417-8e6d-7163a36eff8e</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2DBDCA74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28b7abda-79fd-4ccb-9395-f46378c90b86</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3FB828D4</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514b6fe2-b911-4712-9cfd-6096c7a67e4d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442D824F</paraID>
      <start xmlns="http://schemas.wps.cn/vas-ai-hub/contract-review">66</start>
      <end xmlns="http://schemas.wps.cn/vas-ai-hub/contract-review">67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8499701b-1e9f-4c81-b6e6-98770a82a6a5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442D824F</paraID>
      <start xmlns="http://schemas.wps.cn/vas-ai-hub/contract-review">109</start>
      <end xmlns="http://schemas.wps.cn/vas-ai-hub/contract-review">110</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45e5c72f-08f9-4258-a17d-fe65bf094f71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442D824F</paraID>
      <start xmlns="http://schemas.wps.cn/vas-ai-hub/contract-review">124</start>
      <end xmlns="http://schemas.wps.cn/vas-ai-hub/contract-review">125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85802407-9b55-4ec9-bebf-44b131eb7464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5D98A41B</paraID>
      <start xmlns="http://schemas.wps.cn/vas-ai-hub/contract-review">25</start>
      <end xmlns="http://schemas.wps.cn/vas-ai-hub/contract-review">27</end>
      <status xmlns="http://schemas.wps.cn/vas-ai-hub/contract-review">modified</status>
      <modifiedWord xmlns="http://schemas.wps.cn/vas-ai-hub/contract-review">；具</modifiedWord>
      <trackRevisions xmlns="http://schemas.wps.cn/vas-ai-hub/contract-review">false</trackRevisions>
    </reviewItem>
    <reviewItem xmlns="http://schemas.wps.cn/vas-ai-hub/contract-review">
      <errorID xmlns="http://schemas.wps.cn/vas-ai-hub/contract-review">d765be27-0a35-40fd-929c-2dd49a34bbf0</errorID>
      <errorWord xmlns="http://schemas.wps.cn/vas-ai-hub/contract-review">以上且</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以上</item>
      </candidateList>
      <explain xmlns="http://schemas.wps.cn/vas-ai-hub/contract-review"/>
      <paraID xmlns="http://schemas.wps.cn/vas-ai-hub/contract-review">5D98A41B</paraID>
      <start xmlns="http://schemas.wps.cn/vas-ai-hub/contract-review">57</start>
      <end xmlns="http://schemas.wps.cn/vas-ai-hub/contract-review">59</end>
      <status xmlns="http://schemas.wps.cn/vas-ai-hub/contract-review">modified</status>
      <modifiedWord xmlns="http://schemas.wps.cn/vas-ai-hub/contract-review">以上</modifiedWord>
      <trackRevisions xmlns="http://schemas.wps.cn/vas-ai-hub/contract-review">false</trackRevisions>
    </reviewItem>
    <reviewItem xmlns="http://schemas.wps.cn/vas-ai-hub/contract-review">
      <errorID xmlns="http://schemas.wps.cn/vas-ai-hub/contract-review">34536647-46a4-4f4e-ab6e-d9b739bbbde4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5FA2939F</paraID>
      <start xmlns="http://schemas.wps.cn/vas-ai-hub/contract-review">14</start>
      <end xmlns="http://schemas.wps.cn/vas-ai-hub/contract-review">15</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c7b40253-7a9d-4231-b9db-2ddd278fd8e2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5FA2939F</paraID>
      <start xmlns="http://schemas.wps.cn/vas-ai-hub/contract-review">42</start>
      <end xmlns="http://schemas.wps.cn/vas-ai-hub/contract-review">43</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8274163d-2f12-4e69-a34c-69af6325d4e5</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48F8EB2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dbfa1329-5daa-41a9-8787-ccb1bed8d753</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708A9998</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44131b95-5246-47b4-85ee-e53f30f33964</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6B8E7E01</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ACEFA32D-3AED-437C-B1F6-81CC79772945}">
  <ds:schemaRefs/>
</ds:datastoreItem>
</file>

<file path=customXml/itemProps2.xml><?xml version="1.0" encoding="utf-8"?>
<ds:datastoreItem xmlns:ds="http://schemas.openxmlformats.org/officeDocument/2006/customXml" ds:itemID="{71d4f32a-c6d9-4705-a0fa-f31c9c2496ae}">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43</Pages>
  <Words>2704</Words>
  <Characters>2849</Characters>
  <Lines>282</Lines>
  <Paragraphs>79</Paragraphs>
  <TotalTime>9</TotalTime>
  <ScaleCrop>false</ScaleCrop>
  <LinksUpToDate>false</LinksUpToDate>
  <CharactersWithSpaces>2850</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2022-12-25T17:54:00Z</dcterms:created>
  <dc:creator>gtig_tzb</dc:creator>
  <cp:lastModifiedBy>user</cp:lastModifiedBy>
  <cp:lastPrinted>2020-08-09T04:08:00Z</cp:lastPrinted>
  <dcterms:modified xsi:type="dcterms:W3CDTF">2026-03-25T09:12:32Z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FDEC84821B264B6BA466573C63214ED4_13</vt:lpwstr>
  </property>
  <property fmtid="{D5CDD505-2E9C-101B-9397-08002B2CF9AE}" pid="4" name="KSOTemplateDocerSaveRecord">
    <vt:lpwstr>eyJoZGlkIjoiNzVmMDJjZjhjMTU4ODQxNWI1YWUzNzU4Y2RjM2IxNTIiLCJ1c2VySWQiOiI0MzYwMjQ3MTMifQ==</vt:lpwstr>
  </property>
</Properties>
</file>