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黑体" w:hAnsi="黑体" w:eastAsia="黑体"/>
          <w:color w:val="auto"/>
          <w:sz w:val="48"/>
          <w:szCs w:val="48"/>
          <w:highlight w:val="none"/>
        </w:rPr>
      </w:pPr>
    </w:p>
    <w:p>
      <w:pPr>
        <w:ind w:firstLine="0" w:firstLineChars="0"/>
        <w:jc w:val="center"/>
        <w:rPr>
          <w:rFonts w:ascii="黑体" w:hAnsi="黑体" w:eastAsia="黑体"/>
          <w:color w:val="auto"/>
          <w:sz w:val="48"/>
          <w:szCs w:val="48"/>
          <w:highlight w:val="none"/>
        </w:rPr>
      </w:pPr>
    </w:p>
    <w:p>
      <w:pPr>
        <w:ind w:firstLine="0" w:firstLineChars="0"/>
        <w:jc w:val="center"/>
        <w:rPr>
          <w:rFonts w:ascii="黑体" w:hAnsi="黑体" w:eastAsia="黑体"/>
          <w:color w:val="auto"/>
          <w:sz w:val="48"/>
          <w:szCs w:val="48"/>
          <w:highlight w:val="none"/>
        </w:rPr>
      </w:pPr>
    </w:p>
    <w:p>
      <w:pPr>
        <w:ind w:firstLine="0" w:firstLineChars="0"/>
        <w:jc w:val="center"/>
        <w:rPr>
          <w:rFonts w:ascii="黑体" w:hAnsi="黑体" w:eastAsia="黑体"/>
          <w:color w:val="auto"/>
          <w:sz w:val="48"/>
          <w:szCs w:val="48"/>
          <w:highlight w:val="none"/>
        </w:rPr>
      </w:pPr>
    </w:p>
    <w:p>
      <w:pPr>
        <w:ind w:firstLine="0" w:firstLineChars="0"/>
        <w:jc w:val="center"/>
        <w:rPr>
          <w:rFonts w:hint="eastAsia" w:ascii="黑体" w:hAnsi="黑体" w:eastAsia="黑体"/>
          <w:color w:val="auto"/>
          <w:sz w:val="52"/>
          <w:szCs w:val="52"/>
          <w:highlight w:val="none"/>
        </w:rPr>
      </w:pPr>
      <w:r>
        <w:rPr>
          <w:rFonts w:hint="eastAsia" w:ascii="黑体" w:hAnsi="黑体" w:eastAsia="黑体"/>
          <w:color w:val="auto"/>
          <w:sz w:val="52"/>
          <w:szCs w:val="52"/>
          <w:highlight w:val="none"/>
        </w:rPr>
        <w:t>市教育管理服务大系统</w:t>
      </w:r>
    </w:p>
    <w:p>
      <w:pPr>
        <w:ind w:firstLine="0" w:firstLineChars="0"/>
        <w:jc w:val="center"/>
        <w:rPr>
          <w:rFonts w:ascii="黑体" w:hAnsi="黑体" w:eastAsia="黑体"/>
          <w:color w:val="auto"/>
          <w:sz w:val="52"/>
          <w:szCs w:val="52"/>
          <w:highlight w:val="none"/>
        </w:rPr>
      </w:pPr>
      <w:r>
        <w:rPr>
          <w:rFonts w:hint="eastAsia" w:ascii="黑体" w:hAnsi="黑体" w:eastAsia="黑体"/>
          <w:color w:val="auto"/>
          <w:sz w:val="52"/>
          <w:szCs w:val="52"/>
          <w:highlight w:val="none"/>
        </w:rPr>
        <w:t>建设项目(2026年升级改造)</w:t>
      </w:r>
    </w:p>
    <w:p>
      <w:pPr>
        <w:ind w:firstLine="0" w:firstLineChars="0"/>
        <w:jc w:val="center"/>
        <w:rPr>
          <w:rFonts w:ascii="黑体" w:hAnsi="黑体" w:eastAsia="黑体"/>
          <w:color w:val="auto"/>
          <w:sz w:val="52"/>
          <w:szCs w:val="52"/>
          <w:highlight w:val="none"/>
        </w:rPr>
      </w:pPr>
      <w:r>
        <w:rPr>
          <w:rFonts w:hint="eastAsia" w:ascii="黑体" w:hAnsi="黑体" w:eastAsia="黑体"/>
          <w:color w:val="auto"/>
          <w:sz w:val="52"/>
          <w:szCs w:val="52"/>
          <w:highlight w:val="none"/>
        </w:rPr>
        <w:t>采购需求</w:t>
      </w:r>
    </w:p>
    <w:p>
      <w:pPr>
        <w:ind w:firstLine="0" w:firstLineChars="0"/>
        <w:jc w:val="center"/>
        <w:rPr>
          <w:rFonts w:ascii="黑体" w:hAnsi="黑体" w:eastAsia="黑体"/>
          <w:color w:val="auto"/>
          <w:sz w:val="72"/>
          <w:szCs w:val="72"/>
          <w:highlight w:val="none"/>
        </w:rPr>
      </w:pPr>
    </w:p>
    <w:p>
      <w:pPr>
        <w:ind w:firstLine="0" w:firstLineChars="0"/>
        <w:jc w:val="center"/>
        <w:rPr>
          <w:rFonts w:ascii="黑体" w:hAnsi="黑体" w:eastAsia="黑体"/>
          <w:color w:val="auto"/>
          <w:sz w:val="48"/>
          <w:szCs w:val="48"/>
          <w:highlight w:val="none"/>
        </w:rPr>
      </w:pPr>
    </w:p>
    <w:p>
      <w:pPr>
        <w:ind w:firstLine="0" w:firstLineChars="0"/>
        <w:jc w:val="center"/>
        <w:rPr>
          <w:rFonts w:ascii="黑体" w:hAnsi="黑体" w:eastAsia="黑体"/>
          <w:color w:val="auto"/>
          <w:sz w:val="52"/>
          <w:szCs w:val="52"/>
          <w:highlight w:val="none"/>
        </w:rPr>
      </w:pPr>
    </w:p>
    <w:p>
      <w:pPr>
        <w:ind w:firstLine="1040"/>
        <w:rPr>
          <w:rFonts w:ascii="黑体" w:hAnsi="黑体" w:eastAsia="黑体"/>
          <w:color w:val="auto"/>
          <w:sz w:val="52"/>
          <w:szCs w:val="52"/>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1040"/>
        <w:rPr>
          <w:rFonts w:ascii="黑体" w:hAnsi="黑体" w:eastAsia="黑体"/>
          <w:color w:val="auto"/>
          <w:sz w:val="52"/>
          <w:szCs w:val="52"/>
          <w:highlight w:val="none"/>
        </w:rPr>
      </w:pPr>
    </w:p>
    <w:p>
      <w:pPr>
        <w:ind w:firstLine="560"/>
        <w:jc w:val="center"/>
        <w:rPr>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pPr>
        <w:pStyle w:val="2"/>
        <w:rPr>
          <w:color w:val="auto"/>
          <w:highlight w:val="none"/>
        </w:rPr>
      </w:pPr>
      <w:bookmarkStart w:id="0" w:name="_Toc63785461"/>
      <w:r>
        <w:rPr>
          <w:rFonts w:hint="eastAsia"/>
          <w:color w:val="auto"/>
          <w:highlight w:val="none"/>
        </w:rPr>
        <w:t>项目概况</w:t>
      </w:r>
      <w:bookmarkEnd w:id="0"/>
    </w:p>
    <w:p>
      <w:pPr>
        <w:ind w:firstLine="560"/>
        <w:rPr>
          <w:color w:val="auto"/>
          <w:highlight w:val="none"/>
        </w:rPr>
      </w:pPr>
      <w:r>
        <w:rPr>
          <w:rFonts w:hint="eastAsia"/>
          <w:color w:val="auto"/>
          <w:highlight w:val="none"/>
        </w:rPr>
        <w:t>项目背景&amp;现状：随着上海市教委数字化建设与应用的逐步推进，基本实现主要业务覆盖，目前上海市教育管理服务大系统各业务功能模块之间相互独立，缺乏高效的数据交互与业务协同机制，亟需进一步整合。此外，根据国家、教育部、市教委的相关工作要求，需要进一步提升教育国际交流、学校后勤保卫、教育系统审计等业务板块数字化管理水平，并根据教育部进一步做好全国教师管理信息系统应用工作的要求，推动上海教师信息与“全国系统”数据双向贯通及业务协同联动。</w:t>
      </w:r>
    </w:p>
    <w:p>
      <w:pPr>
        <w:ind w:firstLine="560"/>
        <w:rPr>
          <w:color w:val="auto"/>
          <w:highlight w:val="none"/>
        </w:rPr>
      </w:pPr>
      <w:r>
        <w:rPr>
          <w:rFonts w:hint="eastAsia"/>
          <w:color w:val="auto"/>
          <w:highlight w:val="none"/>
        </w:rPr>
        <w:t>建设期限：</w:t>
      </w:r>
      <w:r>
        <w:rPr>
          <w:color w:val="auto"/>
          <w:highlight w:val="none"/>
          <w:lang w:bidi="ar"/>
        </w:rPr>
        <w:t>自</w:t>
      </w:r>
      <w:r>
        <w:rPr>
          <w:rFonts w:hint="eastAsia"/>
          <w:color w:val="auto"/>
          <w:highlight w:val="none"/>
          <w:lang w:bidi="ar"/>
        </w:rPr>
        <w:t>合同签订之日起</w:t>
      </w:r>
      <w:r>
        <w:rPr>
          <w:rFonts w:hint="eastAsia"/>
          <w:color w:val="auto"/>
          <w:highlight w:val="none"/>
          <w:lang w:val="en-US" w:eastAsia="zh-CN" w:bidi="ar"/>
        </w:rPr>
        <w:t>9个月内（不晚于</w:t>
      </w:r>
      <w:r>
        <w:rPr>
          <w:rFonts w:hint="eastAsia"/>
          <w:color w:val="auto"/>
          <w:highlight w:val="none"/>
          <w:lang w:bidi="ar"/>
        </w:rPr>
        <w:t>202</w:t>
      </w:r>
      <w:r>
        <w:rPr>
          <w:rFonts w:hint="eastAsia"/>
          <w:color w:val="auto"/>
          <w:highlight w:val="none"/>
          <w:lang w:val="en-US" w:eastAsia="zh-CN" w:bidi="ar"/>
        </w:rPr>
        <w:t>6</w:t>
      </w:r>
      <w:r>
        <w:rPr>
          <w:rFonts w:hint="eastAsia"/>
          <w:color w:val="auto"/>
          <w:highlight w:val="none"/>
          <w:lang w:bidi="ar"/>
        </w:rPr>
        <w:t>年</w:t>
      </w:r>
      <w:r>
        <w:rPr>
          <w:color w:val="auto"/>
          <w:highlight w:val="none"/>
          <w:lang w:bidi="ar"/>
        </w:rPr>
        <w:t>1</w:t>
      </w:r>
      <w:r>
        <w:rPr>
          <w:rFonts w:hint="eastAsia"/>
          <w:color w:val="auto"/>
          <w:highlight w:val="none"/>
          <w:lang w:val="en-US" w:eastAsia="zh-CN" w:bidi="ar"/>
        </w:rPr>
        <w:t>1</w:t>
      </w:r>
      <w:r>
        <w:rPr>
          <w:rFonts w:hint="eastAsia"/>
          <w:color w:val="auto"/>
          <w:highlight w:val="none"/>
          <w:lang w:bidi="ar"/>
        </w:rPr>
        <w:t>月</w:t>
      </w:r>
      <w:r>
        <w:rPr>
          <w:rFonts w:hint="eastAsia"/>
          <w:color w:val="auto"/>
          <w:highlight w:val="none"/>
          <w:lang w:val="en-US" w:eastAsia="zh-CN" w:bidi="ar"/>
        </w:rPr>
        <w:t>15</w:t>
      </w:r>
      <w:r>
        <w:rPr>
          <w:rFonts w:hint="eastAsia"/>
          <w:color w:val="auto"/>
          <w:highlight w:val="none"/>
          <w:lang w:bidi="ar"/>
        </w:rPr>
        <w:t>日</w:t>
      </w:r>
      <w:r>
        <w:rPr>
          <w:rFonts w:hint="eastAsia"/>
          <w:color w:val="auto"/>
          <w:highlight w:val="none"/>
          <w:lang w:eastAsia="zh-CN" w:bidi="ar"/>
        </w:rPr>
        <w:t>）</w:t>
      </w:r>
      <w:r>
        <w:rPr>
          <w:rFonts w:hint="eastAsia"/>
          <w:color w:val="auto"/>
          <w:highlight w:val="none"/>
        </w:rPr>
        <w:t>。</w:t>
      </w:r>
    </w:p>
    <w:p>
      <w:pPr>
        <w:ind w:firstLine="560"/>
        <w:rPr>
          <w:color w:val="auto"/>
          <w:highlight w:val="none"/>
        </w:rPr>
      </w:pPr>
      <w:r>
        <w:rPr>
          <w:rFonts w:hint="eastAsia"/>
          <w:color w:val="auto"/>
          <w:highlight w:val="none"/>
        </w:rPr>
        <w:t>建设地点：上海</w:t>
      </w:r>
    </w:p>
    <w:p>
      <w:pPr>
        <w:ind w:firstLine="560"/>
        <w:rPr>
          <w:color w:val="auto"/>
          <w:highlight w:val="none"/>
        </w:rPr>
      </w:pPr>
      <w:r>
        <w:rPr>
          <w:rFonts w:hint="eastAsia"/>
          <w:color w:val="auto"/>
          <w:highlight w:val="none"/>
        </w:rPr>
        <w:t>预算金额：</w:t>
      </w:r>
      <w:r>
        <w:rPr>
          <w:rFonts w:hint="eastAsia"/>
          <w:color w:val="auto"/>
          <w:highlight w:val="none"/>
          <w:lang w:val="en-US" w:eastAsia="zh-CN"/>
        </w:rPr>
        <w:t>2,712,5</w:t>
      </w:r>
      <w:r>
        <w:rPr>
          <w:rFonts w:hint="eastAsia"/>
          <w:color w:val="auto"/>
          <w:highlight w:val="none"/>
        </w:rPr>
        <w:t>00元</w:t>
      </w:r>
    </w:p>
    <w:p>
      <w:pPr>
        <w:ind w:firstLine="560"/>
        <w:rPr>
          <w:color w:val="auto"/>
          <w:highlight w:val="none"/>
        </w:rPr>
      </w:pPr>
      <w:r>
        <w:rPr>
          <w:rFonts w:hint="eastAsia"/>
          <w:color w:val="auto"/>
          <w:highlight w:val="none"/>
        </w:rPr>
        <w:t>采购金额（最高限价）：</w:t>
      </w:r>
      <w:r>
        <w:rPr>
          <w:rFonts w:hint="eastAsia"/>
          <w:color w:val="auto"/>
          <w:highlight w:val="none"/>
          <w:lang w:val="en-US" w:eastAsia="zh-CN"/>
        </w:rPr>
        <w:t>2,712,5</w:t>
      </w:r>
      <w:r>
        <w:rPr>
          <w:rFonts w:hint="eastAsia"/>
          <w:color w:val="auto"/>
          <w:highlight w:val="none"/>
        </w:rPr>
        <w:t>00元</w:t>
      </w:r>
    </w:p>
    <w:p>
      <w:pPr>
        <w:ind w:firstLine="560"/>
        <w:rPr>
          <w:color w:val="auto"/>
          <w:highlight w:val="none"/>
        </w:rPr>
      </w:pPr>
      <w:r>
        <w:rPr>
          <w:rFonts w:hint="eastAsia"/>
          <w:color w:val="auto"/>
          <w:highlight w:val="none"/>
        </w:rPr>
        <w:t>组织形式：集中采购</w:t>
      </w:r>
    </w:p>
    <w:p>
      <w:pPr>
        <w:ind w:firstLine="560"/>
        <w:rPr>
          <w:color w:val="auto"/>
          <w:highlight w:val="none"/>
        </w:rPr>
      </w:pPr>
      <w:r>
        <w:rPr>
          <w:rFonts w:hint="eastAsia"/>
          <w:color w:val="auto"/>
          <w:highlight w:val="none"/>
        </w:rPr>
        <w:t>采购方式：竞争性磋商</w:t>
      </w:r>
    </w:p>
    <w:p>
      <w:pPr>
        <w:ind w:firstLine="560"/>
        <w:rPr>
          <w:color w:val="auto"/>
          <w:highlight w:val="none"/>
        </w:rPr>
      </w:pPr>
      <w:r>
        <w:rPr>
          <w:rFonts w:hint="eastAsia"/>
          <w:color w:val="auto"/>
          <w:highlight w:val="none"/>
        </w:rPr>
        <w:t>是否接受联合体投标：否</w:t>
      </w:r>
    </w:p>
    <w:p>
      <w:pPr>
        <w:ind w:firstLine="560"/>
        <w:rPr>
          <w:color w:val="auto"/>
          <w:highlight w:val="none"/>
        </w:rPr>
      </w:pPr>
      <w:r>
        <w:rPr>
          <w:rFonts w:hint="eastAsia"/>
          <w:color w:val="auto"/>
          <w:highlight w:val="none"/>
        </w:rPr>
        <w:t>是否按</w:t>
      </w:r>
      <w:r>
        <w:rPr>
          <w:rFonts w:hint="eastAsia"/>
          <w:color w:val="auto"/>
          <w:highlight w:val="none"/>
          <w:lang w:eastAsia="zh-CN"/>
        </w:rPr>
        <w:t>xc</w:t>
      </w:r>
      <w:r>
        <w:rPr>
          <w:rFonts w:hint="eastAsia"/>
          <w:color w:val="auto"/>
          <w:highlight w:val="none"/>
        </w:rPr>
        <w:t>要求建设：是</w:t>
      </w:r>
    </w:p>
    <w:p>
      <w:pPr>
        <w:ind w:firstLine="560"/>
        <w:rPr>
          <w:color w:val="auto"/>
          <w:highlight w:val="none"/>
        </w:rPr>
      </w:pPr>
      <w:r>
        <w:rPr>
          <w:rFonts w:hint="eastAsia"/>
          <w:color w:val="auto"/>
          <w:highlight w:val="none"/>
        </w:rPr>
        <w:t>运维后所属大系统：市教育管理服务大系统</w:t>
      </w:r>
    </w:p>
    <w:p>
      <w:pPr>
        <w:pStyle w:val="2"/>
        <w:rPr>
          <w:color w:val="auto"/>
          <w:highlight w:val="none"/>
        </w:rPr>
      </w:pPr>
      <w:bookmarkStart w:id="1" w:name="_Toc47536644"/>
      <w:bookmarkEnd w:id="1"/>
      <w:bookmarkStart w:id="2" w:name="_Toc47531634"/>
      <w:bookmarkEnd w:id="2"/>
      <w:bookmarkStart w:id="3" w:name="_Toc47536272"/>
      <w:bookmarkEnd w:id="3"/>
      <w:bookmarkStart w:id="4" w:name="_Toc47532255"/>
      <w:bookmarkEnd w:id="4"/>
      <w:bookmarkStart w:id="5" w:name="_Toc47532891"/>
      <w:bookmarkEnd w:id="5"/>
      <w:bookmarkStart w:id="6" w:name="_Toc47539070"/>
      <w:bookmarkEnd w:id="6"/>
      <w:bookmarkStart w:id="7" w:name="_Toc47533256"/>
      <w:bookmarkEnd w:id="7"/>
      <w:bookmarkStart w:id="8" w:name="_Toc47537134"/>
      <w:bookmarkEnd w:id="8"/>
      <w:bookmarkStart w:id="9" w:name="_Toc48223882"/>
      <w:bookmarkStart w:id="10" w:name="_Toc63785463"/>
      <w:r>
        <w:rPr>
          <w:rFonts w:hint="eastAsia"/>
          <w:color w:val="auto"/>
          <w:highlight w:val="none"/>
        </w:rPr>
        <w:t>建设目标</w:t>
      </w:r>
      <w:bookmarkEnd w:id="9"/>
      <w:bookmarkEnd w:id="10"/>
    </w:p>
    <w:p>
      <w:pPr>
        <w:pStyle w:val="3"/>
        <w:rPr>
          <w:rFonts w:hAnsi="宋体" w:cs="仿宋_GB2312"/>
          <w:color w:val="auto"/>
          <w:kern w:val="0"/>
          <w:sz w:val="28"/>
          <w:szCs w:val="28"/>
          <w:highlight w:val="none"/>
          <w:lang w:bidi="ar"/>
        </w:rPr>
      </w:pPr>
      <w:r>
        <w:rPr>
          <w:rFonts w:hint="eastAsia" w:hAnsi="宋体" w:cs="仿宋_GB2312"/>
          <w:color w:val="auto"/>
          <w:kern w:val="0"/>
          <w:sz w:val="28"/>
          <w:szCs w:val="28"/>
          <w:highlight w:val="none"/>
          <w:lang w:bidi="ar"/>
        </w:rPr>
        <w:t>总体建设目标</w:t>
      </w:r>
    </w:p>
    <w:p>
      <w:pPr>
        <w:spacing w:line="360" w:lineRule="auto"/>
        <w:ind w:firstLine="560"/>
        <w:rPr>
          <w:rFonts w:hint="eastAsia"/>
          <w:color w:val="auto"/>
          <w:highlight w:val="none"/>
          <w:lang w:val="en-US" w:eastAsia="zh-CN"/>
        </w:rPr>
      </w:pPr>
      <w:r>
        <w:rPr>
          <w:rFonts w:hint="eastAsia" w:ascii="仿宋_GB2312"/>
          <w:color w:val="auto"/>
          <w:sz w:val="28"/>
          <w:szCs w:val="28"/>
          <w:highlight w:val="none"/>
          <w:lang w:val="en-US" w:eastAsia="zh-CN"/>
        </w:rPr>
        <w:t>本项目聚焦</w:t>
      </w:r>
      <w:r>
        <w:rPr>
          <w:rFonts w:hint="eastAsia" w:ascii="仿宋_GB2312" w:cs="Times New Roman"/>
          <w:color w:val="auto"/>
          <w:sz w:val="28"/>
          <w:szCs w:val="28"/>
          <w:highlight w:val="none"/>
          <w:lang w:val="en-US" w:eastAsia="zh-CN"/>
        </w:rPr>
        <w:t>教师信息管理、外事管理、审计管理、学校后勤管理、语言文字规范等</w:t>
      </w:r>
      <w:r>
        <w:rPr>
          <w:rFonts w:hint="eastAsia" w:ascii="仿宋_GB2312"/>
          <w:color w:val="auto"/>
          <w:sz w:val="28"/>
          <w:szCs w:val="28"/>
          <w:highlight w:val="none"/>
          <w:lang w:val="en-US" w:eastAsia="zh-CN"/>
        </w:rPr>
        <w:t>5个业务板块，优化业务流程和功能，加强教育管理大系统的一体化程度，提升教育治理效能与公共服务水平。</w:t>
      </w:r>
    </w:p>
    <w:p>
      <w:pPr>
        <w:pStyle w:val="3"/>
        <w:rPr>
          <w:color w:val="auto"/>
          <w:highlight w:val="none"/>
        </w:rPr>
      </w:pPr>
      <w:bookmarkStart w:id="11" w:name="_Toc6994"/>
      <w:r>
        <w:rPr>
          <w:rFonts w:hint="eastAsia"/>
          <w:color w:val="auto"/>
          <w:highlight w:val="none"/>
        </w:rPr>
        <w:t>应用</w:t>
      </w:r>
      <w:bookmarkEnd w:id="11"/>
      <w:r>
        <w:rPr>
          <w:rFonts w:hint="eastAsia"/>
          <w:color w:val="auto"/>
          <w:highlight w:val="none"/>
        </w:rPr>
        <w:t>指标</w:t>
      </w:r>
    </w:p>
    <w:p>
      <w:pPr>
        <w:spacing w:line="360" w:lineRule="auto"/>
        <w:ind w:firstLine="560"/>
        <w:rPr>
          <w:rFonts w:hint="eastAsia"/>
          <w:color w:val="auto"/>
          <w:highlight w:val="none"/>
          <w:lang w:val="en-US" w:eastAsia="zh-CN"/>
        </w:rPr>
      </w:pPr>
      <w:r>
        <w:rPr>
          <w:rFonts w:hint="eastAsia" w:ascii="仿宋_GB2312"/>
          <w:b w:val="0"/>
          <w:bCs w:val="0"/>
          <w:color w:val="auto"/>
          <w:sz w:val="28"/>
          <w:szCs w:val="28"/>
          <w:highlight w:val="none"/>
          <w:lang w:val="en-US" w:eastAsia="zh-CN"/>
        </w:rPr>
        <w:t>1.</w:t>
      </w:r>
      <w:r>
        <w:rPr>
          <w:rFonts w:hint="eastAsia" w:ascii="仿宋_GB2312"/>
          <w:color w:val="auto"/>
          <w:sz w:val="28"/>
          <w:szCs w:val="28"/>
          <w:highlight w:val="none"/>
          <w:lang w:val="en-US" w:eastAsia="zh-CN"/>
        </w:rPr>
        <w:t>实现全市各级教育系统教师数据的标准化归集与治理，完成与教育部数据库的数据对接，填补数据缺口。构建教师全生命周期数字档案，支撑教师信息共享。</w:t>
      </w:r>
    </w:p>
    <w:p>
      <w:pPr>
        <w:spacing w:line="360" w:lineRule="auto"/>
        <w:ind w:firstLine="560"/>
        <w:rPr>
          <w:rFonts w:hint="eastAsia" w:ascii="仿宋_GB2312"/>
          <w:color w:val="auto"/>
          <w:sz w:val="28"/>
          <w:szCs w:val="28"/>
          <w:highlight w:val="none"/>
          <w:lang w:val="en-US" w:eastAsia="zh-CN"/>
        </w:rPr>
      </w:pPr>
      <w:r>
        <w:rPr>
          <w:rFonts w:hint="eastAsia" w:ascii="仿宋_GB2312"/>
          <w:b w:val="0"/>
          <w:bCs w:val="0"/>
          <w:color w:val="auto"/>
          <w:sz w:val="28"/>
          <w:szCs w:val="28"/>
          <w:highlight w:val="none"/>
          <w:lang w:val="en-US" w:eastAsia="zh-CN"/>
        </w:rPr>
        <w:t>2.</w:t>
      </w:r>
      <w:r>
        <w:rPr>
          <w:rFonts w:hint="eastAsia" w:ascii="仿宋_GB2312"/>
          <w:color w:val="auto"/>
          <w:sz w:val="28"/>
          <w:szCs w:val="28"/>
          <w:highlight w:val="none"/>
          <w:lang w:val="en-US" w:eastAsia="zh-CN"/>
        </w:rPr>
        <w:t>优化留学生管理、外籍人员子女学校管理及中外合作办学模块，实现涉外教育业务全流程数字化覆盖。重构示范性课程申报与评审流程，强化分级权限设计与动态监管，实现政府奖学金审批、国际会议及来访接待的智能审批管理。</w:t>
      </w:r>
    </w:p>
    <w:p>
      <w:pPr>
        <w:spacing w:line="360" w:lineRule="auto"/>
        <w:ind w:firstLine="560"/>
        <w:rPr>
          <w:rFonts w:hint="eastAsia" w:ascii="仿宋_GB2312"/>
          <w:color w:val="auto"/>
          <w:sz w:val="28"/>
          <w:szCs w:val="28"/>
          <w:highlight w:val="none"/>
          <w:lang w:val="en-US" w:eastAsia="zh-CN"/>
        </w:rPr>
      </w:pPr>
      <w:r>
        <w:rPr>
          <w:rFonts w:hint="eastAsia" w:ascii="仿宋_GB2312"/>
          <w:b w:val="0"/>
          <w:bCs w:val="0"/>
          <w:color w:val="auto"/>
          <w:sz w:val="28"/>
          <w:szCs w:val="28"/>
          <w:highlight w:val="none"/>
          <w:lang w:val="en-US" w:eastAsia="zh-CN"/>
        </w:rPr>
        <w:t>3.构建全过程数字化内部审计功能，</w:t>
      </w:r>
      <w:r>
        <w:rPr>
          <w:rFonts w:hint="eastAsia" w:ascii="仿宋" w:hAnsi="仿宋" w:eastAsia="仿宋"/>
          <w:color w:val="auto"/>
          <w:sz w:val="28"/>
          <w:szCs w:val="28"/>
          <w:highlight w:val="none"/>
          <w:lang w:eastAsia="zh-CN"/>
        </w:rPr>
        <w:t>实现内部审计方式方法的改进；通过构建全流程数字化、电子化的工作体系进一步提升内部审计的工作效率和成果。</w:t>
      </w:r>
    </w:p>
    <w:p>
      <w:pPr>
        <w:spacing w:line="360" w:lineRule="auto"/>
        <w:ind w:firstLine="560"/>
        <w:rPr>
          <w:rFonts w:hint="eastAsia" w:ascii="仿宋_GB2312"/>
          <w:color w:val="auto"/>
          <w:sz w:val="28"/>
          <w:szCs w:val="28"/>
          <w:highlight w:val="none"/>
          <w:lang w:val="en-US" w:eastAsia="zh-CN"/>
        </w:rPr>
      </w:pPr>
      <w:r>
        <w:rPr>
          <w:rFonts w:hint="eastAsia" w:ascii="仿宋_GB2312"/>
          <w:b w:val="0"/>
          <w:bCs w:val="0"/>
          <w:color w:val="auto"/>
          <w:sz w:val="28"/>
          <w:szCs w:val="28"/>
          <w:highlight w:val="none"/>
          <w:lang w:val="en-US" w:eastAsia="zh-CN"/>
        </w:rPr>
        <w:t>4.实现后勤模块全部国产化改造，</w:t>
      </w:r>
      <w:r>
        <w:rPr>
          <w:rFonts w:hint="eastAsia" w:ascii="仿宋_GB2312"/>
          <w:color w:val="auto"/>
          <w:sz w:val="28"/>
          <w:szCs w:val="28"/>
          <w:highlight w:val="none"/>
          <w:lang w:val="en-US" w:eastAsia="zh-CN"/>
        </w:rPr>
        <w:t>建立高校安全风险源数字化管控体系，实现食堂风险源的信息建档与实时监测，构建防汛防台应急指挥平台，对接市级“一张图”系统，实现高校防汛数据的可视化呈现与动态跟踪。</w:t>
      </w:r>
    </w:p>
    <w:p>
      <w:pPr>
        <w:spacing w:line="360" w:lineRule="auto"/>
        <w:ind w:firstLine="560"/>
        <w:rPr>
          <w:rFonts w:hint="eastAsia" w:ascii="仿宋_GB2312"/>
          <w:color w:val="auto"/>
          <w:sz w:val="28"/>
          <w:szCs w:val="28"/>
          <w:highlight w:val="none"/>
          <w:lang w:val="en-US" w:eastAsia="zh-CN"/>
        </w:rPr>
      </w:pPr>
      <w:r>
        <w:rPr>
          <w:rFonts w:hint="eastAsia" w:ascii="仿宋_GB2312"/>
          <w:b w:val="0"/>
          <w:bCs w:val="0"/>
          <w:color w:val="auto"/>
          <w:sz w:val="28"/>
          <w:szCs w:val="28"/>
          <w:highlight w:val="none"/>
          <w:lang w:val="en-US" w:eastAsia="zh-CN"/>
        </w:rPr>
        <w:t>5.优</w:t>
      </w:r>
      <w:r>
        <w:rPr>
          <w:rFonts w:hint="eastAsia" w:ascii="仿宋_GB2312"/>
          <w:color w:val="auto"/>
          <w:sz w:val="28"/>
          <w:szCs w:val="28"/>
          <w:highlight w:val="none"/>
          <w:lang w:val="en-US" w:eastAsia="zh-CN"/>
        </w:rPr>
        <w:t>化语料采集、审核、整改全流程管理，标准化审核要素配置与第三方数据整合，实现监测数据的多源融合与动态反馈。增强数据统计分析与可视化能力，为各级用户提供便捷的数据查询、汇总及导出功能。</w:t>
      </w:r>
    </w:p>
    <w:p>
      <w:pPr>
        <w:spacing w:line="360" w:lineRule="auto"/>
        <w:ind w:firstLine="560"/>
        <w:rPr>
          <w:rFonts w:hAnsi="宋体" w:cs="仿宋_GB2312"/>
          <w:color w:val="auto"/>
          <w:kern w:val="0"/>
          <w:szCs w:val="28"/>
          <w:highlight w:val="none"/>
          <w:lang w:bidi="ar"/>
        </w:rPr>
      </w:pPr>
      <w:r>
        <w:rPr>
          <w:rFonts w:hint="eastAsia" w:ascii="仿宋_GB2312"/>
          <w:b w:val="0"/>
          <w:bCs w:val="0"/>
          <w:color w:val="auto"/>
          <w:sz w:val="28"/>
          <w:szCs w:val="28"/>
          <w:highlight w:val="none"/>
          <w:lang w:val="en-US" w:eastAsia="zh-CN"/>
        </w:rPr>
        <w:t>6.整合教育管理大系统。构建</w:t>
      </w:r>
      <w:r>
        <w:rPr>
          <w:rFonts w:hint="eastAsia" w:ascii="仿宋_GB2312"/>
          <w:color w:val="auto"/>
          <w:sz w:val="28"/>
          <w:szCs w:val="28"/>
          <w:highlight w:val="none"/>
          <w:lang w:val="en-US" w:eastAsia="zh-CN"/>
        </w:rPr>
        <w:t>统一门户，通过待办中心归集跨系统任务、消息中心实现精准提醒、日志审计保障操作规范，实现5个业务模块的消息互通。</w:t>
      </w:r>
    </w:p>
    <w:p>
      <w:pPr>
        <w:pStyle w:val="3"/>
        <w:rPr>
          <w:color w:val="auto"/>
          <w:highlight w:val="none"/>
        </w:rPr>
      </w:pPr>
      <w:bookmarkStart w:id="12" w:name="_Toc29512"/>
      <w:r>
        <w:rPr>
          <w:rFonts w:hint="eastAsia"/>
          <w:color w:val="auto"/>
          <w:highlight w:val="none"/>
        </w:rPr>
        <w:t>技术</w:t>
      </w:r>
      <w:bookmarkEnd w:id="12"/>
      <w:r>
        <w:rPr>
          <w:rFonts w:hint="eastAsia"/>
          <w:color w:val="auto"/>
          <w:highlight w:val="none"/>
        </w:rPr>
        <w:t>指标</w:t>
      </w:r>
    </w:p>
    <w:p>
      <w:pPr>
        <w:numPr>
          <w:ilvl w:val="0"/>
          <w:numId w:val="4"/>
        </w:numPr>
        <w:spacing w:line="360" w:lineRule="auto"/>
        <w:ind w:firstLine="420" w:firstLineChars="0"/>
        <w:rPr>
          <w:color w:val="auto"/>
          <w:highlight w:val="none"/>
        </w:rPr>
      </w:pPr>
      <w:r>
        <w:rPr>
          <w:color w:val="auto"/>
          <w:highlight w:val="none"/>
        </w:rPr>
        <w:t>符合信息技术应用创新产业相关要求</w:t>
      </w:r>
      <w:r>
        <w:rPr>
          <w:rFonts w:hint="eastAsia"/>
          <w:color w:val="auto"/>
          <w:highlight w:val="none"/>
        </w:rPr>
        <w:t>；</w:t>
      </w:r>
    </w:p>
    <w:p>
      <w:pPr>
        <w:numPr>
          <w:ilvl w:val="0"/>
          <w:numId w:val="4"/>
        </w:numPr>
        <w:spacing w:line="360" w:lineRule="auto"/>
        <w:ind w:firstLine="420" w:firstLineChars="0"/>
        <w:rPr>
          <w:color w:val="auto"/>
          <w:highlight w:val="none"/>
        </w:rPr>
      </w:pPr>
      <w:r>
        <w:rPr>
          <w:rFonts w:hint="eastAsia"/>
          <w:color w:val="auto"/>
          <w:highlight w:val="none"/>
        </w:rPr>
        <w:t>根据功能设计要求保质保量完成开发，经过试运行各项功能运行正常，且须通过第三方机构的安全测评、软件测试、密码应用测评；</w:t>
      </w:r>
    </w:p>
    <w:p>
      <w:pPr>
        <w:numPr>
          <w:ilvl w:val="0"/>
          <w:numId w:val="4"/>
        </w:numPr>
        <w:spacing w:line="360" w:lineRule="auto"/>
        <w:ind w:firstLine="420" w:firstLineChars="0"/>
        <w:rPr>
          <w:rFonts w:hint="eastAsia" w:ascii="仿宋" w:hAnsi="仿宋" w:eastAsia="仿宋"/>
          <w:bCs/>
          <w:color w:val="auto"/>
          <w:szCs w:val="28"/>
          <w:highlight w:val="none"/>
        </w:rPr>
      </w:pPr>
      <w:r>
        <w:rPr>
          <w:rFonts w:hint="eastAsia" w:ascii="仿宋" w:hAnsi="仿宋" w:eastAsia="仿宋"/>
          <w:bCs/>
          <w:color w:val="auto"/>
          <w:szCs w:val="28"/>
          <w:highlight w:val="none"/>
        </w:rPr>
        <w:t>平台中各功能操作响应时间应满足以下指标：</w:t>
      </w:r>
    </w:p>
    <w:p>
      <w:pPr>
        <w:spacing w:line="360" w:lineRule="auto"/>
        <w:ind w:firstLine="560"/>
        <w:rPr>
          <w:rFonts w:hint="eastAsia" w:ascii="仿宋_GB2312" w:cs="Times New Roman"/>
          <w:b w:val="0"/>
          <w:bCs w:val="0"/>
          <w:color w:val="auto"/>
          <w:sz w:val="28"/>
          <w:szCs w:val="28"/>
          <w:highlight w:val="none"/>
          <w:lang w:val="en-US" w:eastAsia="zh-CN"/>
        </w:rPr>
      </w:pPr>
      <w:r>
        <w:rPr>
          <w:rFonts w:hint="eastAsia" w:cs="Times New Roman"/>
          <w:b w:val="0"/>
          <w:bCs w:val="0"/>
          <w:color w:val="auto"/>
          <w:sz w:val="28"/>
          <w:szCs w:val="28"/>
          <w:highlight w:val="none"/>
          <w:lang w:val="en-US" w:eastAsia="zh-CN"/>
        </w:rPr>
        <w:t>1</w:t>
      </w:r>
      <w:r>
        <w:rPr>
          <w:rFonts w:hint="eastAsia" w:ascii="仿宋_GB2312" w:cs="Times New Roman"/>
          <w:b w:val="0"/>
          <w:bCs w:val="0"/>
          <w:color w:val="auto"/>
          <w:sz w:val="28"/>
          <w:szCs w:val="28"/>
          <w:highlight w:val="none"/>
          <w:lang w:val="en-US" w:eastAsia="zh-CN"/>
        </w:rPr>
        <w:t>）响应时间：</w:t>
      </w:r>
    </w:p>
    <w:p>
      <w:pPr>
        <w:spacing w:line="360" w:lineRule="auto"/>
        <w:ind w:firstLine="560"/>
        <w:rPr>
          <w:rFonts w:hint="default" w:ascii="仿宋_GB2312" w:cs="Times New Roman"/>
          <w:b w:val="0"/>
          <w:bCs w:val="0"/>
          <w:color w:val="auto"/>
          <w:sz w:val="28"/>
          <w:szCs w:val="28"/>
          <w:highlight w:val="none"/>
          <w:lang w:val="en-US" w:eastAsia="zh-CN"/>
        </w:rPr>
      </w:pPr>
      <w:r>
        <w:rPr>
          <w:rFonts w:hint="eastAsia" w:ascii="仿宋_GB2312" w:cs="Times New Roman"/>
          <w:b w:val="0"/>
          <w:bCs w:val="0"/>
          <w:color w:val="auto"/>
          <w:sz w:val="28"/>
          <w:szCs w:val="28"/>
          <w:highlight w:val="none"/>
          <w:lang w:val="en-US" w:eastAsia="zh-CN"/>
        </w:rPr>
        <w:t>界面简单查询响应时间：≤2秒</w:t>
      </w:r>
      <w:r>
        <w:rPr>
          <w:rFonts w:hint="eastAsia" w:cs="Times New Roman"/>
          <w:b w:val="0"/>
          <w:bCs w:val="0"/>
          <w:color w:val="auto"/>
          <w:sz w:val="28"/>
          <w:szCs w:val="28"/>
          <w:highlight w:val="none"/>
          <w:lang w:val="en-US" w:eastAsia="zh-CN"/>
        </w:rPr>
        <w:t>;</w:t>
      </w:r>
    </w:p>
    <w:p>
      <w:pPr>
        <w:spacing w:line="360" w:lineRule="auto"/>
        <w:ind w:firstLine="560"/>
        <w:rPr>
          <w:rFonts w:hint="default" w:ascii="仿宋_GB2312" w:cs="Times New Roman"/>
          <w:b w:val="0"/>
          <w:bCs w:val="0"/>
          <w:color w:val="auto"/>
          <w:sz w:val="28"/>
          <w:szCs w:val="28"/>
          <w:highlight w:val="none"/>
          <w:lang w:val="en-US" w:eastAsia="zh-CN"/>
        </w:rPr>
      </w:pPr>
      <w:r>
        <w:rPr>
          <w:rFonts w:hint="eastAsia" w:ascii="仿宋_GB2312" w:cs="Times New Roman"/>
          <w:b w:val="0"/>
          <w:bCs w:val="0"/>
          <w:color w:val="auto"/>
          <w:sz w:val="28"/>
          <w:szCs w:val="28"/>
          <w:highlight w:val="none"/>
          <w:lang w:val="en-US" w:eastAsia="zh-CN"/>
        </w:rPr>
        <w:t>界面复杂统计查询</w:t>
      </w:r>
      <w:r>
        <w:rPr>
          <w:rFonts w:hint="eastAsia" w:cs="Times New Roman"/>
          <w:b w:val="0"/>
          <w:bCs w:val="0"/>
          <w:color w:val="auto"/>
          <w:sz w:val="28"/>
          <w:szCs w:val="28"/>
          <w:highlight w:val="none"/>
          <w:lang w:val="en-US" w:eastAsia="zh-CN"/>
        </w:rPr>
        <w:t>响应</w:t>
      </w:r>
      <w:r>
        <w:rPr>
          <w:rFonts w:hint="eastAsia" w:ascii="仿宋_GB2312" w:cs="Times New Roman"/>
          <w:b w:val="0"/>
          <w:bCs w:val="0"/>
          <w:color w:val="auto"/>
          <w:sz w:val="28"/>
          <w:szCs w:val="28"/>
          <w:highlight w:val="none"/>
          <w:lang w:val="en-US" w:eastAsia="zh-CN"/>
        </w:rPr>
        <w:t>时间：≤5秒</w:t>
      </w:r>
      <w:r>
        <w:rPr>
          <w:rFonts w:hint="eastAsia" w:cs="Times New Roman"/>
          <w:b w:val="0"/>
          <w:bCs w:val="0"/>
          <w:color w:val="auto"/>
          <w:sz w:val="28"/>
          <w:szCs w:val="28"/>
          <w:highlight w:val="none"/>
          <w:lang w:val="en-US" w:eastAsia="zh-CN"/>
        </w:rPr>
        <w:t>;</w:t>
      </w:r>
    </w:p>
    <w:p>
      <w:pPr>
        <w:spacing w:line="360" w:lineRule="auto"/>
        <w:ind w:firstLine="560"/>
        <w:rPr>
          <w:rFonts w:hint="eastAsia" w:ascii="仿宋_GB2312" w:cs="Times New Roman"/>
          <w:b w:val="0"/>
          <w:bCs w:val="0"/>
          <w:color w:val="auto"/>
          <w:sz w:val="28"/>
          <w:szCs w:val="28"/>
          <w:highlight w:val="none"/>
          <w:lang w:val="en-US" w:eastAsia="zh-CN"/>
        </w:rPr>
      </w:pPr>
      <w:r>
        <w:rPr>
          <w:rFonts w:hint="eastAsia" w:ascii="仿宋_GB2312" w:cs="Times New Roman"/>
          <w:b w:val="0"/>
          <w:bCs w:val="0"/>
          <w:color w:val="auto"/>
          <w:sz w:val="28"/>
          <w:szCs w:val="28"/>
          <w:highlight w:val="none"/>
          <w:lang w:val="en-US" w:eastAsia="zh-CN"/>
        </w:rPr>
        <w:t>系统</w:t>
      </w:r>
      <w:r>
        <w:rPr>
          <w:rFonts w:hint="eastAsia" w:cs="Times New Roman"/>
          <w:b w:val="0"/>
          <w:bCs w:val="0"/>
          <w:color w:val="auto"/>
          <w:sz w:val="28"/>
          <w:szCs w:val="28"/>
          <w:highlight w:val="none"/>
          <w:lang w:val="en-US" w:eastAsia="zh-CN"/>
        </w:rPr>
        <w:t>应</w:t>
      </w:r>
      <w:r>
        <w:rPr>
          <w:rFonts w:hint="eastAsia" w:ascii="仿宋_GB2312" w:cs="Times New Roman"/>
          <w:b w:val="0"/>
          <w:bCs w:val="0"/>
          <w:color w:val="auto"/>
          <w:sz w:val="28"/>
          <w:szCs w:val="28"/>
          <w:highlight w:val="none"/>
          <w:lang w:val="en-US" w:eastAsia="zh-CN"/>
        </w:rPr>
        <w:t>7*24小时运转，必须保持系统的稳定性和可靠性。</w:t>
      </w:r>
    </w:p>
    <w:p>
      <w:pPr>
        <w:spacing w:line="360" w:lineRule="auto"/>
        <w:ind w:firstLine="560"/>
        <w:rPr>
          <w:rFonts w:hint="eastAsia" w:ascii="仿宋_GB2312" w:cs="Times New Roman"/>
          <w:b w:val="0"/>
          <w:bCs w:val="0"/>
          <w:color w:val="auto"/>
          <w:sz w:val="28"/>
          <w:szCs w:val="28"/>
          <w:highlight w:val="none"/>
          <w:lang w:val="en-US" w:eastAsia="zh-CN"/>
        </w:rPr>
      </w:pPr>
      <w:r>
        <w:rPr>
          <w:rFonts w:hint="eastAsia" w:cs="Times New Roman"/>
          <w:b w:val="0"/>
          <w:bCs w:val="0"/>
          <w:color w:val="auto"/>
          <w:sz w:val="28"/>
          <w:szCs w:val="28"/>
          <w:highlight w:val="none"/>
          <w:lang w:val="en-US" w:eastAsia="zh-CN"/>
        </w:rPr>
        <w:t>2</w:t>
      </w:r>
      <w:r>
        <w:rPr>
          <w:rFonts w:hint="eastAsia" w:ascii="仿宋_GB2312" w:cs="Times New Roman"/>
          <w:b w:val="0"/>
          <w:bCs w:val="0"/>
          <w:color w:val="auto"/>
          <w:sz w:val="28"/>
          <w:szCs w:val="28"/>
          <w:highlight w:val="none"/>
          <w:lang w:val="en-US" w:eastAsia="zh-CN"/>
        </w:rPr>
        <w:t>）并发处理能力：</w:t>
      </w:r>
    </w:p>
    <w:p>
      <w:pPr>
        <w:spacing w:line="360" w:lineRule="auto"/>
        <w:ind w:firstLine="560"/>
        <w:rPr>
          <w:rFonts w:hint="eastAsia" w:ascii="仿宋_GB2312" w:cs="Times New Roman"/>
          <w:b w:val="0"/>
          <w:bCs w:val="0"/>
          <w:color w:val="auto"/>
          <w:sz w:val="28"/>
          <w:szCs w:val="28"/>
          <w:highlight w:val="none"/>
          <w:lang w:val="en-US" w:eastAsia="zh-CN"/>
        </w:rPr>
      </w:pPr>
      <w:r>
        <w:rPr>
          <w:rFonts w:hint="eastAsia" w:ascii="仿宋_GB2312" w:cs="Times New Roman"/>
          <w:b w:val="0"/>
          <w:bCs w:val="0"/>
          <w:color w:val="auto"/>
          <w:sz w:val="28"/>
          <w:szCs w:val="28"/>
          <w:highlight w:val="none"/>
          <w:lang w:val="en-US" w:eastAsia="zh-CN"/>
        </w:rPr>
        <w:t>性能平坦区的最大并发用户处请求数不小于20。</w:t>
      </w:r>
    </w:p>
    <w:p>
      <w:pPr>
        <w:spacing w:line="360" w:lineRule="auto"/>
        <w:ind w:firstLine="560"/>
        <w:rPr>
          <w:color w:val="auto"/>
          <w:highlight w:val="none"/>
        </w:rPr>
      </w:pPr>
      <w:r>
        <w:rPr>
          <w:rFonts w:hint="eastAsia" w:ascii="仿宋_GB2312" w:cs="Times New Roman"/>
          <w:b w:val="0"/>
          <w:bCs w:val="0"/>
          <w:color w:val="auto"/>
          <w:sz w:val="28"/>
          <w:szCs w:val="28"/>
          <w:highlight w:val="none"/>
          <w:lang w:val="en-US" w:eastAsia="zh-CN"/>
        </w:rPr>
        <w:t>极限情况下，系统的最大并发</w:t>
      </w:r>
      <w:r>
        <w:rPr>
          <w:rFonts w:hint="eastAsia" w:cs="Times New Roman"/>
          <w:b w:val="0"/>
          <w:bCs w:val="0"/>
          <w:color w:val="auto"/>
          <w:sz w:val="28"/>
          <w:szCs w:val="28"/>
          <w:highlight w:val="none"/>
          <w:lang w:val="en-US" w:eastAsia="zh-CN"/>
        </w:rPr>
        <w:t>用户</w:t>
      </w:r>
      <w:r>
        <w:rPr>
          <w:rFonts w:hint="eastAsia" w:ascii="仿宋_GB2312" w:cs="Times New Roman"/>
          <w:b w:val="0"/>
          <w:bCs w:val="0"/>
          <w:color w:val="auto"/>
          <w:sz w:val="28"/>
          <w:szCs w:val="28"/>
          <w:highlight w:val="none"/>
          <w:lang w:val="en-US" w:eastAsia="zh-CN"/>
        </w:rPr>
        <w:t>请求数不小于50。</w:t>
      </w:r>
    </w:p>
    <w:p>
      <w:pPr>
        <w:pStyle w:val="3"/>
        <w:rPr>
          <w:color w:val="auto"/>
          <w:highlight w:val="none"/>
        </w:rPr>
      </w:pPr>
      <w:r>
        <w:rPr>
          <w:rFonts w:hint="eastAsia"/>
          <w:color w:val="auto"/>
          <w:highlight w:val="none"/>
        </w:rPr>
        <w:t>绩效目标</w:t>
      </w:r>
    </w:p>
    <w:tbl>
      <w:tblPr>
        <w:tblStyle w:val="35"/>
        <w:tblW w:w="922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68"/>
        <w:gridCol w:w="1560"/>
        <w:gridCol w:w="1559"/>
        <w:gridCol w:w="1701"/>
        <w:gridCol w:w="1555"/>
        <w:gridCol w:w="198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pPr>
              <w:pStyle w:val="135"/>
              <w:widowControl w:val="0"/>
              <w:jc w:val="center"/>
              <w:rPr>
                <w:b/>
                <w:bCs/>
                <w:color w:val="auto"/>
                <w:highlight w:val="none"/>
              </w:rPr>
            </w:pPr>
            <w:r>
              <w:rPr>
                <w:rFonts w:hint="eastAsia"/>
                <w:b/>
                <w:bCs/>
                <w:color w:val="auto"/>
                <w:highlight w:val="none"/>
              </w:rPr>
              <w:t>序号</w:t>
            </w:r>
          </w:p>
        </w:tc>
        <w:tc>
          <w:tcPr>
            <w:tcW w:w="1560" w:type="dxa"/>
            <w:shd w:val="clear" w:color="auto" w:fill="auto"/>
            <w:vAlign w:val="center"/>
          </w:tcPr>
          <w:p>
            <w:pPr>
              <w:pStyle w:val="135"/>
              <w:widowControl w:val="0"/>
              <w:jc w:val="center"/>
              <w:rPr>
                <w:b/>
                <w:bCs/>
                <w:color w:val="auto"/>
                <w:highlight w:val="none"/>
              </w:rPr>
            </w:pPr>
            <w:r>
              <w:rPr>
                <w:rFonts w:hint="eastAsia"/>
                <w:b/>
                <w:bCs/>
                <w:color w:val="auto"/>
                <w:highlight w:val="none"/>
              </w:rPr>
              <w:t>一级指标</w:t>
            </w:r>
          </w:p>
        </w:tc>
        <w:tc>
          <w:tcPr>
            <w:tcW w:w="1559" w:type="dxa"/>
            <w:shd w:val="clear" w:color="auto" w:fill="auto"/>
            <w:vAlign w:val="center"/>
          </w:tcPr>
          <w:p>
            <w:pPr>
              <w:pStyle w:val="135"/>
              <w:widowControl w:val="0"/>
              <w:jc w:val="center"/>
              <w:rPr>
                <w:b/>
                <w:bCs/>
                <w:color w:val="auto"/>
                <w:highlight w:val="none"/>
              </w:rPr>
            </w:pPr>
            <w:r>
              <w:rPr>
                <w:rFonts w:hint="eastAsia"/>
                <w:b/>
                <w:bCs/>
                <w:color w:val="auto"/>
                <w:highlight w:val="none"/>
              </w:rPr>
              <w:t>二级指标</w:t>
            </w:r>
          </w:p>
        </w:tc>
        <w:tc>
          <w:tcPr>
            <w:tcW w:w="1701" w:type="dxa"/>
            <w:shd w:val="clear" w:color="auto" w:fill="auto"/>
            <w:vAlign w:val="center"/>
          </w:tcPr>
          <w:p>
            <w:pPr>
              <w:pStyle w:val="135"/>
              <w:widowControl w:val="0"/>
              <w:jc w:val="center"/>
              <w:rPr>
                <w:b/>
                <w:bCs/>
                <w:color w:val="auto"/>
                <w:highlight w:val="none"/>
              </w:rPr>
            </w:pPr>
            <w:r>
              <w:rPr>
                <w:rFonts w:hint="eastAsia"/>
                <w:b/>
                <w:bCs/>
                <w:color w:val="auto"/>
                <w:highlight w:val="none"/>
              </w:rPr>
              <w:t>三级指标</w:t>
            </w:r>
          </w:p>
        </w:tc>
        <w:tc>
          <w:tcPr>
            <w:tcW w:w="1555" w:type="dxa"/>
            <w:shd w:val="clear" w:color="auto" w:fill="auto"/>
          </w:tcPr>
          <w:p>
            <w:pPr>
              <w:pStyle w:val="135"/>
              <w:widowControl w:val="0"/>
              <w:jc w:val="center"/>
              <w:rPr>
                <w:b/>
                <w:bCs/>
                <w:color w:val="auto"/>
                <w:highlight w:val="none"/>
              </w:rPr>
            </w:pPr>
            <w:r>
              <w:rPr>
                <w:rFonts w:hint="eastAsia"/>
                <w:b/>
                <w:bCs/>
                <w:color w:val="auto"/>
                <w:highlight w:val="none"/>
              </w:rPr>
              <w:t>四级指标</w:t>
            </w:r>
          </w:p>
        </w:tc>
        <w:tc>
          <w:tcPr>
            <w:tcW w:w="1984" w:type="dxa"/>
            <w:shd w:val="clear" w:color="auto" w:fill="auto"/>
            <w:vAlign w:val="center"/>
          </w:tcPr>
          <w:p>
            <w:pPr>
              <w:pStyle w:val="135"/>
              <w:widowControl w:val="0"/>
              <w:jc w:val="center"/>
              <w:rPr>
                <w:b/>
                <w:bCs/>
                <w:color w:val="auto"/>
                <w:highlight w:val="none"/>
              </w:rPr>
            </w:pPr>
            <w:r>
              <w:rPr>
                <w:rFonts w:hint="eastAsia"/>
                <w:b/>
                <w:bCs/>
                <w:color w:val="auto"/>
                <w:highlight w:val="none"/>
              </w:rPr>
              <w:t>指标值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pPr>
              <w:pStyle w:val="135"/>
              <w:widowControl w:val="0"/>
              <w:numPr>
                <w:ilvl w:val="0"/>
                <w:numId w:val="5"/>
              </w:numPr>
              <w:ind w:left="0" w:leftChars="0" w:firstLine="0" w:firstLineChars="0"/>
              <w:jc w:val="center"/>
              <w:rPr>
                <w:rFonts w:eastAsia="等线" w:cs="Times New Roman"/>
                <w:color w:val="auto"/>
                <w:highlight w:val="none"/>
              </w:rPr>
            </w:pPr>
          </w:p>
        </w:tc>
        <w:tc>
          <w:tcPr>
            <w:tcW w:w="1560" w:type="dxa"/>
            <w:shd w:val="clear" w:color="auto" w:fill="auto"/>
            <w:vAlign w:val="center"/>
          </w:tcPr>
          <w:p>
            <w:pPr>
              <w:pStyle w:val="135"/>
              <w:widowControl w:val="0"/>
              <w:jc w:val="center"/>
              <w:rPr>
                <w:rFonts w:hint="eastAsia"/>
                <w:color w:val="auto"/>
                <w:highlight w:val="none"/>
              </w:rPr>
            </w:pPr>
            <w:r>
              <w:rPr>
                <w:rFonts w:hint="eastAsia"/>
                <w:color w:val="auto"/>
                <w:highlight w:val="none"/>
              </w:rPr>
              <w:t>通用指标</w:t>
            </w:r>
          </w:p>
        </w:tc>
        <w:tc>
          <w:tcPr>
            <w:tcW w:w="1559" w:type="dxa"/>
            <w:shd w:val="clear" w:color="auto" w:fill="auto"/>
            <w:vAlign w:val="center"/>
          </w:tcPr>
          <w:p>
            <w:pPr>
              <w:pStyle w:val="135"/>
              <w:widowControl w:val="0"/>
              <w:jc w:val="center"/>
              <w:rPr>
                <w:rFonts w:hint="default"/>
                <w:color w:val="auto"/>
                <w:highlight w:val="none"/>
                <w:lang w:val="en-US" w:eastAsia="zh-CN"/>
              </w:rPr>
            </w:pPr>
            <w:r>
              <w:rPr>
                <w:rFonts w:hint="eastAsia"/>
                <w:color w:val="auto"/>
                <w:highlight w:val="none"/>
                <w:lang w:val="en-US" w:eastAsia="zh-CN"/>
              </w:rPr>
              <w:t>产出指标</w:t>
            </w:r>
          </w:p>
        </w:tc>
        <w:tc>
          <w:tcPr>
            <w:tcW w:w="1701" w:type="dxa"/>
            <w:shd w:val="clear" w:color="auto" w:fill="auto"/>
            <w:vAlign w:val="center"/>
          </w:tcPr>
          <w:p>
            <w:pPr>
              <w:pStyle w:val="135"/>
              <w:widowControl w:val="0"/>
              <w:jc w:val="center"/>
              <w:rPr>
                <w:rFonts w:hint="default"/>
                <w:color w:val="auto"/>
                <w:highlight w:val="none"/>
                <w:lang w:val="en-US" w:eastAsia="zh-CN"/>
              </w:rPr>
            </w:pPr>
            <w:r>
              <w:rPr>
                <w:rFonts w:hint="eastAsia"/>
                <w:color w:val="auto"/>
                <w:highlight w:val="none"/>
                <w:lang w:val="en-US" w:eastAsia="zh-CN"/>
              </w:rPr>
              <w:t>产出数量</w:t>
            </w:r>
          </w:p>
        </w:tc>
        <w:tc>
          <w:tcPr>
            <w:tcW w:w="1555" w:type="dxa"/>
          </w:tcPr>
          <w:p>
            <w:pPr>
              <w:pStyle w:val="135"/>
              <w:widowControl w:val="0"/>
              <w:jc w:val="center"/>
              <w:rPr>
                <w:rFonts w:hint="eastAsia"/>
                <w:color w:val="auto"/>
                <w:highlight w:val="none"/>
              </w:rPr>
            </w:pPr>
            <w:r>
              <w:rPr>
                <w:rFonts w:hint="eastAsia"/>
                <w:color w:val="auto"/>
                <w:highlight w:val="none"/>
              </w:rPr>
              <w:t>软件开发完成率</w:t>
            </w:r>
          </w:p>
        </w:tc>
        <w:tc>
          <w:tcPr>
            <w:tcW w:w="1984" w:type="dxa"/>
            <w:shd w:val="clear" w:color="auto" w:fill="auto"/>
            <w:vAlign w:val="center"/>
          </w:tcPr>
          <w:p>
            <w:pPr>
              <w:pStyle w:val="135"/>
              <w:widowControl w:val="0"/>
              <w:jc w:val="center"/>
              <w:rPr>
                <w:rFonts w:hint="default"/>
                <w:color w:val="auto"/>
                <w:highlight w:val="none"/>
                <w:lang w:val="en-US" w:eastAsia="zh-CN"/>
              </w:rPr>
            </w:pPr>
            <w:r>
              <w:rPr>
                <w:rFonts w:hint="eastAsia"/>
                <w:color w:val="auto"/>
                <w:highlight w:val="none"/>
                <w:lang w:val="en-US" w:eastAsia="zh-CN"/>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pPr>
              <w:pStyle w:val="135"/>
              <w:widowControl w:val="0"/>
              <w:numPr>
                <w:ilvl w:val="0"/>
                <w:numId w:val="5"/>
              </w:numPr>
              <w:ind w:left="0" w:leftChars="0" w:firstLine="0" w:firstLineChars="0"/>
              <w:jc w:val="center"/>
              <w:rPr>
                <w:rFonts w:hint="eastAsia" w:eastAsia="等线" w:cs="Times New Roman"/>
                <w:color w:val="auto"/>
                <w:highlight w:val="none"/>
                <w:lang w:eastAsia="zh-CN"/>
              </w:rPr>
            </w:pPr>
          </w:p>
        </w:tc>
        <w:tc>
          <w:tcPr>
            <w:tcW w:w="1560" w:type="dxa"/>
            <w:shd w:val="clear" w:color="auto" w:fill="auto"/>
            <w:vAlign w:val="center"/>
          </w:tcPr>
          <w:p>
            <w:pPr>
              <w:pStyle w:val="135"/>
              <w:widowControl w:val="0"/>
              <w:jc w:val="center"/>
              <w:rPr>
                <w:rFonts w:hint="eastAsia"/>
                <w:color w:val="auto"/>
                <w:highlight w:val="none"/>
                <w:lang w:val="en-US" w:eastAsia="zh-CN"/>
              </w:rPr>
            </w:pPr>
            <w:r>
              <w:rPr>
                <w:rFonts w:hint="eastAsia"/>
                <w:color w:val="auto"/>
                <w:highlight w:val="none"/>
              </w:rPr>
              <w:t>通用指标</w:t>
            </w:r>
          </w:p>
        </w:tc>
        <w:tc>
          <w:tcPr>
            <w:tcW w:w="1559" w:type="dxa"/>
            <w:shd w:val="clear" w:color="auto" w:fill="auto"/>
            <w:vAlign w:val="center"/>
          </w:tcPr>
          <w:p>
            <w:pPr>
              <w:pStyle w:val="135"/>
              <w:widowControl w:val="0"/>
              <w:jc w:val="center"/>
              <w:rPr>
                <w:rFonts w:hint="default"/>
                <w:color w:val="auto"/>
                <w:highlight w:val="none"/>
                <w:lang w:val="en-US" w:eastAsia="zh-CN"/>
              </w:rPr>
            </w:pPr>
            <w:r>
              <w:rPr>
                <w:rFonts w:hint="eastAsia"/>
                <w:color w:val="auto"/>
                <w:highlight w:val="none"/>
                <w:lang w:val="en-US" w:eastAsia="zh-CN"/>
              </w:rPr>
              <w:t>产出指标</w:t>
            </w:r>
          </w:p>
        </w:tc>
        <w:tc>
          <w:tcPr>
            <w:tcW w:w="1701" w:type="dxa"/>
            <w:shd w:val="clear" w:color="auto" w:fill="auto"/>
            <w:vAlign w:val="center"/>
          </w:tcPr>
          <w:p>
            <w:pPr>
              <w:pStyle w:val="135"/>
              <w:widowControl w:val="0"/>
              <w:jc w:val="center"/>
              <w:rPr>
                <w:rFonts w:hint="default"/>
                <w:color w:val="auto"/>
                <w:highlight w:val="none"/>
                <w:lang w:val="en-US" w:eastAsia="zh-CN"/>
              </w:rPr>
            </w:pPr>
            <w:r>
              <w:rPr>
                <w:rFonts w:hint="eastAsia"/>
                <w:color w:val="auto"/>
                <w:highlight w:val="none"/>
                <w:lang w:val="en-US" w:eastAsia="zh-CN"/>
              </w:rPr>
              <w:t>产出数量</w:t>
            </w:r>
          </w:p>
        </w:tc>
        <w:tc>
          <w:tcPr>
            <w:tcW w:w="1555" w:type="dxa"/>
          </w:tcPr>
          <w:p>
            <w:pPr>
              <w:pStyle w:val="135"/>
              <w:widowControl w:val="0"/>
              <w:jc w:val="center"/>
              <w:rPr>
                <w:rFonts w:hint="eastAsia"/>
                <w:color w:val="auto"/>
                <w:highlight w:val="none"/>
              </w:rPr>
            </w:pPr>
            <w:r>
              <w:rPr>
                <w:rFonts w:hint="eastAsia"/>
                <w:color w:val="auto"/>
                <w:highlight w:val="none"/>
              </w:rPr>
              <w:t>软件测试达标</w:t>
            </w:r>
          </w:p>
        </w:tc>
        <w:tc>
          <w:tcPr>
            <w:tcW w:w="1984" w:type="dxa"/>
            <w:shd w:val="clear" w:color="auto" w:fill="auto"/>
            <w:vAlign w:val="center"/>
          </w:tcPr>
          <w:p>
            <w:pPr>
              <w:pStyle w:val="135"/>
              <w:widowControl w:val="0"/>
              <w:jc w:val="center"/>
              <w:rPr>
                <w:rFonts w:hint="eastAsia" w:eastAsia="仿宋"/>
                <w:color w:val="auto"/>
                <w:highlight w:val="none"/>
                <w:lang w:eastAsia="zh-CN"/>
              </w:rPr>
            </w:pPr>
            <w:r>
              <w:rPr>
                <w:rFonts w:hint="eastAsia"/>
                <w:color w:val="auto"/>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7" w:hRule="atLeast"/>
          <w:jc w:val="center"/>
        </w:trPr>
        <w:tc>
          <w:tcPr>
            <w:tcW w:w="868" w:type="dxa"/>
            <w:shd w:val="clear" w:color="auto" w:fill="auto"/>
            <w:vAlign w:val="center"/>
          </w:tcPr>
          <w:p>
            <w:pPr>
              <w:pStyle w:val="135"/>
              <w:widowControl w:val="0"/>
              <w:numPr>
                <w:ilvl w:val="0"/>
                <w:numId w:val="5"/>
              </w:numPr>
              <w:ind w:left="0" w:leftChars="0" w:firstLine="0" w:firstLineChars="0"/>
              <w:jc w:val="center"/>
              <w:rPr>
                <w:rFonts w:hint="eastAsia" w:eastAsia="等线" w:cs="Times New Roman"/>
                <w:color w:val="auto"/>
                <w:highlight w:val="none"/>
                <w:lang w:eastAsia="zh-CN"/>
              </w:rPr>
            </w:pPr>
          </w:p>
        </w:tc>
        <w:tc>
          <w:tcPr>
            <w:tcW w:w="1560" w:type="dxa"/>
            <w:shd w:val="clear" w:color="auto" w:fill="auto"/>
            <w:vAlign w:val="center"/>
          </w:tcPr>
          <w:p>
            <w:pPr>
              <w:pStyle w:val="135"/>
              <w:widowControl w:val="0"/>
              <w:jc w:val="center"/>
              <w:rPr>
                <w:rFonts w:hint="eastAsia"/>
                <w:color w:val="auto"/>
                <w:highlight w:val="none"/>
              </w:rPr>
            </w:pPr>
            <w:r>
              <w:rPr>
                <w:rFonts w:hint="eastAsia"/>
                <w:color w:val="auto"/>
                <w:highlight w:val="none"/>
                <w:lang w:val="en-US" w:eastAsia="zh-CN"/>
              </w:rPr>
              <w:t>通用指标</w:t>
            </w:r>
          </w:p>
        </w:tc>
        <w:tc>
          <w:tcPr>
            <w:tcW w:w="1559" w:type="dxa"/>
            <w:shd w:val="clear" w:color="auto" w:fill="auto"/>
            <w:vAlign w:val="center"/>
          </w:tcPr>
          <w:p>
            <w:pPr>
              <w:pStyle w:val="135"/>
              <w:widowControl w:val="0"/>
              <w:jc w:val="center"/>
              <w:rPr>
                <w:rFonts w:hint="eastAsia"/>
                <w:color w:val="auto"/>
                <w:highlight w:val="none"/>
              </w:rPr>
            </w:pPr>
            <w:r>
              <w:rPr>
                <w:rFonts w:hint="eastAsia"/>
                <w:color w:val="auto"/>
                <w:highlight w:val="none"/>
                <w:lang w:val="en-US" w:eastAsia="zh-CN"/>
              </w:rPr>
              <w:t>产出指标</w:t>
            </w:r>
          </w:p>
        </w:tc>
        <w:tc>
          <w:tcPr>
            <w:tcW w:w="1701" w:type="dxa"/>
            <w:shd w:val="clear" w:color="auto" w:fill="auto"/>
            <w:vAlign w:val="center"/>
          </w:tcPr>
          <w:p>
            <w:pPr>
              <w:pStyle w:val="135"/>
              <w:widowControl w:val="0"/>
              <w:jc w:val="center"/>
              <w:rPr>
                <w:rFonts w:hint="eastAsia"/>
                <w:color w:val="auto"/>
                <w:highlight w:val="none"/>
              </w:rPr>
            </w:pPr>
            <w:r>
              <w:rPr>
                <w:rFonts w:hint="eastAsia"/>
                <w:color w:val="auto"/>
                <w:highlight w:val="none"/>
                <w:lang w:val="en-US" w:eastAsia="zh-CN"/>
              </w:rPr>
              <w:t>产出质量</w:t>
            </w:r>
          </w:p>
        </w:tc>
        <w:tc>
          <w:tcPr>
            <w:tcW w:w="1555" w:type="dxa"/>
            <w:vAlign w:val="center"/>
          </w:tcPr>
          <w:p>
            <w:pPr>
              <w:pStyle w:val="135"/>
              <w:widowControl w:val="0"/>
              <w:jc w:val="center"/>
              <w:rPr>
                <w:rFonts w:hint="eastAsia"/>
                <w:color w:val="auto"/>
                <w:highlight w:val="none"/>
              </w:rPr>
            </w:pPr>
            <w:r>
              <w:rPr>
                <w:rFonts w:hint="eastAsia"/>
                <w:color w:val="auto"/>
                <w:highlight w:val="none"/>
                <w:lang w:val="en-US" w:eastAsia="zh-CN"/>
              </w:rPr>
              <w:t>安全事件发生次数</w:t>
            </w:r>
          </w:p>
        </w:tc>
        <w:tc>
          <w:tcPr>
            <w:tcW w:w="1984" w:type="dxa"/>
            <w:shd w:val="clear" w:color="auto" w:fill="auto"/>
            <w:vAlign w:val="center"/>
          </w:tcPr>
          <w:p>
            <w:pPr>
              <w:pStyle w:val="135"/>
              <w:widowControl w:val="0"/>
              <w:jc w:val="center"/>
              <w:rPr>
                <w:rFonts w:hint="eastAsia"/>
                <w:color w:val="auto"/>
                <w:highlight w:val="none"/>
              </w:rPr>
            </w:pPr>
            <w:r>
              <w:rPr>
                <w:rFonts w:hint="eastAsia"/>
                <w:color w:val="auto"/>
                <w:highlight w:val="none"/>
                <w:lang w:val="en-US" w:eastAsia="zh-CN"/>
              </w:rPr>
              <w:t>0次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pPr>
              <w:pStyle w:val="135"/>
              <w:widowControl w:val="0"/>
              <w:numPr>
                <w:ilvl w:val="0"/>
                <w:numId w:val="5"/>
              </w:numPr>
              <w:ind w:left="0" w:leftChars="0" w:firstLine="0" w:firstLineChars="0"/>
              <w:jc w:val="center"/>
              <w:rPr>
                <w:rFonts w:hint="eastAsia" w:eastAsia="等线" w:cs="Times New Roman"/>
                <w:color w:val="auto"/>
                <w:highlight w:val="none"/>
                <w:lang w:val="en-US" w:eastAsia="zh-CN"/>
              </w:rPr>
            </w:pPr>
          </w:p>
        </w:tc>
        <w:tc>
          <w:tcPr>
            <w:tcW w:w="1560" w:type="dxa"/>
            <w:shd w:val="clear" w:color="auto" w:fill="auto"/>
            <w:vAlign w:val="center"/>
          </w:tcPr>
          <w:p>
            <w:pPr>
              <w:pStyle w:val="135"/>
              <w:widowControl w:val="0"/>
              <w:jc w:val="center"/>
              <w:rPr>
                <w:rFonts w:hint="eastAsia"/>
                <w:color w:val="auto"/>
                <w:highlight w:val="none"/>
              </w:rPr>
            </w:pPr>
            <w:r>
              <w:rPr>
                <w:rFonts w:hint="eastAsia"/>
                <w:color w:val="auto"/>
                <w:highlight w:val="none"/>
                <w:lang w:val="en-US" w:eastAsia="zh-CN"/>
              </w:rPr>
              <w:t>通用指标</w:t>
            </w:r>
          </w:p>
        </w:tc>
        <w:tc>
          <w:tcPr>
            <w:tcW w:w="1559" w:type="dxa"/>
            <w:shd w:val="clear" w:color="auto" w:fill="auto"/>
            <w:vAlign w:val="center"/>
          </w:tcPr>
          <w:p>
            <w:pPr>
              <w:pStyle w:val="135"/>
              <w:widowControl w:val="0"/>
              <w:jc w:val="center"/>
              <w:rPr>
                <w:rFonts w:hint="eastAsia"/>
                <w:color w:val="auto"/>
                <w:highlight w:val="none"/>
              </w:rPr>
            </w:pPr>
            <w:r>
              <w:rPr>
                <w:rFonts w:hint="eastAsia"/>
                <w:color w:val="auto"/>
                <w:highlight w:val="none"/>
                <w:lang w:val="en-US" w:eastAsia="zh-CN"/>
              </w:rPr>
              <w:t>产出指标</w:t>
            </w:r>
          </w:p>
        </w:tc>
        <w:tc>
          <w:tcPr>
            <w:tcW w:w="1701" w:type="dxa"/>
            <w:shd w:val="clear" w:color="auto" w:fill="auto"/>
            <w:vAlign w:val="center"/>
          </w:tcPr>
          <w:p>
            <w:pPr>
              <w:pStyle w:val="135"/>
              <w:widowControl w:val="0"/>
              <w:jc w:val="center"/>
              <w:rPr>
                <w:rFonts w:hint="eastAsia"/>
                <w:color w:val="auto"/>
                <w:highlight w:val="none"/>
              </w:rPr>
            </w:pPr>
            <w:r>
              <w:rPr>
                <w:rFonts w:hint="eastAsia"/>
                <w:color w:val="auto"/>
                <w:highlight w:val="none"/>
                <w:lang w:val="en-US" w:eastAsia="zh-CN"/>
              </w:rPr>
              <w:t>产出质量</w:t>
            </w:r>
          </w:p>
        </w:tc>
        <w:tc>
          <w:tcPr>
            <w:tcW w:w="1555" w:type="dxa"/>
            <w:vAlign w:val="center"/>
          </w:tcPr>
          <w:p>
            <w:pPr>
              <w:pStyle w:val="135"/>
              <w:widowControl w:val="0"/>
              <w:jc w:val="center"/>
              <w:rPr>
                <w:rFonts w:hint="eastAsia"/>
                <w:color w:val="auto"/>
                <w:highlight w:val="none"/>
              </w:rPr>
            </w:pPr>
            <w:r>
              <w:rPr>
                <w:rFonts w:hint="eastAsia"/>
                <w:color w:val="auto"/>
                <w:highlight w:val="none"/>
                <w:lang w:val="en-US" w:eastAsia="zh-CN"/>
              </w:rPr>
              <w:t>密码测试达标</w:t>
            </w:r>
          </w:p>
        </w:tc>
        <w:tc>
          <w:tcPr>
            <w:tcW w:w="1984" w:type="dxa"/>
            <w:shd w:val="clear" w:color="auto" w:fill="auto"/>
            <w:vAlign w:val="center"/>
          </w:tcPr>
          <w:p>
            <w:pPr>
              <w:pStyle w:val="135"/>
              <w:widowControl w:val="0"/>
              <w:jc w:val="center"/>
              <w:rPr>
                <w:rFonts w:hint="eastAsia"/>
                <w:color w:val="auto"/>
                <w:highlight w:val="none"/>
              </w:rPr>
            </w:pPr>
            <w:r>
              <w:rPr>
                <w:rFonts w:hint="eastAsia"/>
                <w:color w:val="auto"/>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pPr>
              <w:pStyle w:val="135"/>
              <w:widowControl w:val="0"/>
              <w:numPr>
                <w:ilvl w:val="0"/>
                <w:numId w:val="5"/>
              </w:numPr>
              <w:ind w:left="0" w:leftChars="0" w:firstLine="0" w:firstLineChars="0"/>
              <w:jc w:val="center"/>
              <w:rPr>
                <w:rFonts w:hint="eastAsia" w:eastAsia="等线" w:cs="Times New Roman"/>
                <w:color w:val="auto"/>
                <w:highlight w:val="none"/>
                <w:lang w:val="en-US" w:eastAsia="zh-CN"/>
              </w:rPr>
            </w:pPr>
          </w:p>
        </w:tc>
        <w:tc>
          <w:tcPr>
            <w:tcW w:w="1560" w:type="dxa"/>
            <w:shd w:val="clear" w:color="auto" w:fill="auto"/>
            <w:vAlign w:val="center"/>
          </w:tcPr>
          <w:p>
            <w:pPr>
              <w:pStyle w:val="135"/>
              <w:widowControl w:val="0"/>
              <w:jc w:val="center"/>
              <w:rPr>
                <w:rFonts w:hint="eastAsia"/>
                <w:color w:val="auto"/>
                <w:highlight w:val="none"/>
                <w:lang w:val="en-US" w:eastAsia="zh-CN"/>
              </w:rPr>
            </w:pPr>
            <w:r>
              <w:rPr>
                <w:rFonts w:hint="eastAsia"/>
                <w:color w:val="auto"/>
                <w:highlight w:val="none"/>
                <w:lang w:val="en-US" w:eastAsia="zh-CN"/>
              </w:rPr>
              <w:t>通用指标</w:t>
            </w:r>
          </w:p>
        </w:tc>
        <w:tc>
          <w:tcPr>
            <w:tcW w:w="1559" w:type="dxa"/>
            <w:shd w:val="clear" w:color="auto" w:fill="auto"/>
            <w:vAlign w:val="center"/>
          </w:tcPr>
          <w:p>
            <w:pPr>
              <w:pStyle w:val="135"/>
              <w:widowControl w:val="0"/>
              <w:jc w:val="center"/>
              <w:rPr>
                <w:rFonts w:hint="eastAsia"/>
                <w:color w:val="auto"/>
                <w:highlight w:val="none"/>
                <w:lang w:val="en-US" w:eastAsia="zh-CN"/>
              </w:rPr>
            </w:pPr>
            <w:r>
              <w:rPr>
                <w:rFonts w:hint="eastAsia"/>
                <w:color w:val="auto"/>
                <w:highlight w:val="none"/>
                <w:lang w:val="en-US" w:eastAsia="zh-CN"/>
              </w:rPr>
              <w:t>产出指标</w:t>
            </w:r>
          </w:p>
        </w:tc>
        <w:tc>
          <w:tcPr>
            <w:tcW w:w="1701" w:type="dxa"/>
            <w:shd w:val="clear" w:color="auto" w:fill="auto"/>
            <w:vAlign w:val="center"/>
          </w:tcPr>
          <w:p>
            <w:pPr>
              <w:pStyle w:val="135"/>
              <w:widowControl w:val="0"/>
              <w:jc w:val="center"/>
              <w:rPr>
                <w:rFonts w:hint="eastAsia"/>
                <w:color w:val="auto"/>
                <w:highlight w:val="none"/>
                <w:lang w:val="en-US" w:eastAsia="zh-CN"/>
              </w:rPr>
            </w:pPr>
            <w:r>
              <w:rPr>
                <w:rFonts w:hint="eastAsia"/>
                <w:color w:val="auto"/>
                <w:highlight w:val="none"/>
                <w:lang w:val="en-US" w:eastAsia="zh-CN"/>
              </w:rPr>
              <w:t>产出质量</w:t>
            </w:r>
          </w:p>
        </w:tc>
        <w:tc>
          <w:tcPr>
            <w:tcW w:w="1555" w:type="dxa"/>
            <w:vAlign w:val="center"/>
          </w:tcPr>
          <w:p>
            <w:pPr>
              <w:pStyle w:val="135"/>
              <w:widowControl w:val="0"/>
              <w:jc w:val="center"/>
              <w:rPr>
                <w:rFonts w:hint="eastAsia"/>
                <w:color w:val="auto"/>
                <w:highlight w:val="none"/>
                <w:lang w:val="en-US" w:eastAsia="zh-CN"/>
              </w:rPr>
            </w:pPr>
            <w:r>
              <w:rPr>
                <w:rFonts w:hint="eastAsia"/>
                <w:color w:val="auto"/>
                <w:highlight w:val="none"/>
                <w:lang w:val="en-US" w:eastAsia="zh-CN"/>
              </w:rPr>
              <w:t>安全测试达标</w:t>
            </w:r>
          </w:p>
        </w:tc>
        <w:tc>
          <w:tcPr>
            <w:tcW w:w="1984" w:type="dxa"/>
            <w:shd w:val="clear" w:color="auto" w:fill="auto"/>
            <w:vAlign w:val="center"/>
          </w:tcPr>
          <w:p>
            <w:pPr>
              <w:pStyle w:val="135"/>
              <w:widowControl w:val="0"/>
              <w:jc w:val="center"/>
              <w:rPr>
                <w:rFonts w:hint="eastAsia"/>
                <w:color w:val="auto"/>
                <w:highlight w:val="none"/>
                <w:lang w:val="en-US" w:eastAsia="zh-CN"/>
              </w:rPr>
            </w:pPr>
            <w:r>
              <w:rPr>
                <w:rFonts w:hint="eastAsia"/>
                <w:color w:val="auto"/>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pPr>
              <w:pStyle w:val="135"/>
              <w:widowControl w:val="0"/>
              <w:numPr>
                <w:ilvl w:val="0"/>
                <w:numId w:val="5"/>
              </w:numPr>
              <w:ind w:left="0" w:leftChars="0" w:firstLine="0" w:firstLineChars="0"/>
              <w:jc w:val="center"/>
              <w:rPr>
                <w:rFonts w:hint="eastAsia" w:eastAsia="等线" w:cs="Times New Roman"/>
                <w:color w:val="auto"/>
                <w:highlight w:val="none"/>
                <w:lang w:val="en-US" w:eastAsia="zh-CN"/>
              </w:rPr>
            </w:pPr>
          </w:p>
        </w:tc>
        <w:tc>
          <w:tcPr>
            <w:tcW w:w="1560" w:type="dxa"/>
            <w:shd w:val="clear" w:color="auto" w:fill="auto"/>
            <w:vAlign w:val="center"/>
          </w:tcPr>
          <w:p>
            <w:pPr>
              <w:pStyle w:val="135"/>
              <w:widowControl w:val="0"/>
              <w:jc w:val="center"/>
              <w:rPr>
                <w:rFonts w:hint="eastAsia"/>
                <w:color w:val="auto"/>
                <w:highlight w:val="none"/>
                <w:lang w:val="en-US" w:eastAsia="zh-CN"/>
              </w:rPr>
            </w:pPr>
            <w:r>
              <w:rPr>
                <w:rFonts w:hint="eastAsia"/>
                <w:color w:val="auto"/>
                <w:highlight w:val="none"/>
                <w:lang w:val="en-US" w:eastAsia="zh-CN"/>
              </w:rPr>
              <w:t>通用指标</w:t>
            </w:r>
          </w:p>
        </w:tc>
        <w:tc>
          <w:tcPr>
            <w:tcW w:w="1559" w:type="dxa"/>
            <w:shd w:val="clear" w:color="auto" w:fill="auto"/>
            <w:vAlign w:val="center"/>
          </w:tcPr>
          <w:p>
            <w:pPr>
              <w:pStyle w:val="135"/>
              <w:widowControl w:val="0"/>
              <w:jc w:val="center"/>
              <w:rPr>
                <w:rFonts w:hint="eastAsia"/>
                <w:color w:val="auto"/>
                <w:highlight w:val="none"/>
                <w:lang w:val="en-US" w:eastAsia="zh-CN"/>
              </w:rPr>
            </w:pPr>
            <w:r>
              <w:rPr>
                <w:rFonts w:hint="eastAsia"/>
                <w:color w:val="auto"/>
                <w:highlight w:val="none"/>
                <w:lang w:val="en-US" w:eastAsia="zh-CN"/>
              </w:rPr>
              <w:t>产出指标</w:t>
            </w:r>
          </w:p>
        </w:tc>
        <w:tc>
          <w:tcPr>
            <w:tcW w:w="1701" w:type="dxa"/>
            <w:shd w:val="clear" w:color="auto" w:fill="auto"/>
            <w:vAlign w:val="center"/>
          </w:tcPr>
          <w:p>
            <w:pPr>
              <w:pStyle w:val="135"/>
              <w:widowControl w:val="0"/>
              <w:jc w:val="center"/>
              <w:rPr>
                <w:rFonts w:hint="eastAsia"/>
                <w:color w:val="auto"/>
                <w:highlight w:val="none"/>
                <w:lang w:val="en-US" w:eastAsia="zh-CN"/>
              </w:rPr>
            </w:pPr>
            <w:r>
              <w:rPr>
                <w:rFonts w:hint="eastAsia"/>
                <w:color w:val="auto"/>
                <w:highlight w:val="none"/>
                <w:lang w:val="en-US" w:eastAsia="zh-CN"/>
              </w:rPr>
              <w:t>产出质量</w:t>
            </w:r>
          </w:p>
        </w:tc>
        <w:tc>
          <w:tcPr>
            <w:tcW w:w="1555" w:type="dxa"/>
            <w:vAlign w:val="center"/>
          </w:tcPr>
          <w:p>
            <w:pPr>
              <w:pStyle w:val="135"/>
              <w:widowControl w:val="0"/>
              <w:jc w:val="center"/>
              <w:rPr>
                <w:rFonts w:hint="eastAsia"/>
                <w:color w:val="auto"/>
                <w:highlight w:val="none"/>
                <w:lang w:val="en-US" w:eastAsia="zh-CN"/>
              </w:rPr>
            </w:pPr>
            <w:r>
              <w:rPr>
                <w:rFonts w:hint="eastAsia"/>
                <w:color w:val="auto"/>
                <w:highlight w:val="none"/>
                <w:lang w:val="en-US" w:eastAsia="zh-CN"/>
              </w:rPr>
              <w:t>一次性验收合格率</w:t>
            </w:r>
          </w:p>
        </w:tc>
        <w:tc>
          <w:tcPr>
            <w:tcW w:w="1984" w:type="dxa"/>
            <w:shd w:val="clear" w:color="auto" w:fill="auto"/>
            <w:vAlign w:val="center"/>
          </w:tcPr>
          <w:p>
            <w:pPr>
              <w:pStyle w:val="135"/>
              <w:widowControl w:val="0"/>
              <w:jc w:val="center"/>
              <w:rPr>
                <w:rFonts w:hint="eastAsia"/>
                <w:color w:val="auto"/>
                <w:highlight w:val="none"/>
                <w:lang w:val="en-US" w:eastAsia="zh-CN"/>
              </w:rPr>
            </w:pPr>
            <w:r>
              <w:rPr>
                <w:rFonts w:hint="eastAsia"/>
                <w:color w:val="auto"/>
                <w:highlight w:val="none"/>
                <w:lang w:val="en-US" w:eastAsia="zh-CN"/>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pPr>
              <w:pStyle w:val="135"/>
              <w:widowControl w:val="0"/>
              <w:numPr>
                <w:ilvl w:val="0"/>
                <w:numId w:val="5"/>
              </w:numPr>
              <w:ind w:left="0" w:leftChars="0" w:firstLine="0" w:firstLineChars="0"/>
              <w:jc w:val="center"/>
              <w:rPr>
                <w:rFonts w:hint="default" w:eastAsia="等线" w:cs="Times New Roman"/>
                <w:color w:val="auto"/>
                <w:highlight w:val="none"/>
                <w:lang w:val="en-US" w:eastAsia="zh-CN"/>
              </w:rPr>
            </w:pPr>
          </w:p>
        </w:tc>
        <w:tc>
          <w:tcPr>
            <w:tcW w:w="1560" w:type="dxa"/>
            <w:shd w:val="clear" w:color="auto" w:fill="auto"/>
            <w:vAlign w:val="center"/>
          </w:tcPr>
          <w:p>
            <w:pPr>
              <w:pStyle w:val="135"/>
              <w:widowControl w:val="0"/>
              <w:jc w:val="center"/>
              <w:rPr>
                <w:rFonts w:hint="eastAsia"/>
                <w:color w:val="auto"/>
                <w:highlight w:val="none"/>
                <w:lang w:val="en-US" w:eastAsia="zh-CN"/>
              </w:rPr>
            </w:pPr>
            <w:r>
              <w:rPr>
                <w:rFonts w:hint="eastAsia"/>
                <w:color w:val="auto"/>
                <w:highlight w:val="none"/>
                <w:lang w:val="en-US" w:eastAsia="zh-CN"/>
              </w:rPr>
              <w:t>通用指标</w:t>
            </w:r>
          </w:p>
        </w:tc>
        <w:tc>
          <w:tcPr>
            <w:tcW w:w="1559" w:type="dxa"/>
            <w:shd w:val="clear" w:color="auto" w:fill="auto"/>
            <w:vAlign w:val="center"/>
          </w:tcPr>
          <w:p>
            <w:pPr>
              <w:pStyle w:val="135"/>
              <w:widowControl w:val="0"/>
              <w:jc w:val="center"/>
              <w:rPr>
                <w:rFonts w:hint="eastAsia"/>
                <w:color w:val="auto"/>
                <w:highlight w:val="none"/>
                <w:lang w:val="en-US" w:eastAsia="zh-CN"/>
              </w:rPr>
            </w:pPr>
            <w:r>
              <w:rPr>
                <w:rFonts w:hint="eastAsia"/>
                <w:color w:val="auto"/>
                <w:highlight w:val="none"/>
                <w:lang w:val="en-US" w:eastAsia="zh-CN"/>
              </w:rPr>
              <w:t>产出指标</w:t>
            </w:r>
          </w:p>
        </w:tc>
        <w:tc>
          <w:tcPr>
            <w:tcW w:w="1701" w:type="dxa"/>
            <w:shd w:val="clear" w:color="auto" w:fill="auto"/>
            <w:vAlign w:val="center"/>
          </w:tcPr>
          <w:p>
            <w:pPr>
              <w:pStyle w:val="135"/>
              <w:widowControl w:val="0"/>
              <w:jc w:val="center"/>
              <w:rPr>
                <w:rFonts w:hint="eastAsia"/>
                <w:color w:val="auto"/>
                <w:highlight w:val="none"/>
                <w:lang w:val="en-US" w:eastAsia="zh-CN"/>
              </w:rPr>
            </w:pPr>
            <w:r>
              <w:rPr>
                <w:rFonts w:hint="eastAsia"/>
                <w:color w:val="auto"/>
                <w:highlight w:val="none"/>
                <w:lang w:val="en-US" w:eastAsia="zh-CN"/>
              </w:rPr>
              <w:t>产出时效</w:t>
            </w:r>
          </w:p>
        </w:tc>
        <w:tc>
          <w:tcPr>
            <w:tcW w:w="1555" w:type="dxa"/>
            <w:vAlign w:val="center"/>
          </w:tcPr>
          <w:p>
            <w:pPr>
              <w:pStyle w:val="135"/>
              <w:widowControl w:val="0"/>
              <w:jc w:val="center"/>
              <w:rPr>
                <w:rFonts w:hint="eastAsia"/>
                <w:color w:val="auto"/>
                <w:highlight w:val="none"/>
                <w:lang w:val="en-US" w:eastAsia="zh-CN"/>
              </w:rPr>
            </w:pPr>
            <w:r>
              <w:rPr>
                <w:rFonts w:hint="eastAsia"/>
                <w:color w:val="auto"/>
                <w:highlight w:val="none"/>
                <w:lang w:val="en-US" w:eastAsia="zh-CN"/>
              </w:rPr>
              <w:t>项目建设周期</w:t>
            </w:r>
          </w:p>
        </w:tc>
        <w:tc>
          <w:tcPr>
            <w:tcW w:w="1984" w:type="dxa"/>
            <w:shd w:val="clear" w:color="auto" w:fill="auto"/>
            <w:vAlign w:val="center"/>
          </w:tcPr>
          <w:p>
            <w:pPr>
              <w:pStyle w:val="135"/>
              <w:widowControl w:val="0"/>
              <w:jc w:val="center"/>
              <w:rPr>
                <w:rFonts w:hint="eastAsia"/>
                <w:color w:val="auto"/>
                <w:highlight w:val="none"/>
                <w:lang w:val="en-US" w:eastAsia="zh-CN"/>
              </w:rPr>
            </w:pPr>
            <w:r>
              <w:rPr>
                <w:rFonts w:hint="eastAsia"/>
                <w:color w:val="auto"/>
                <w:highlight w:val="none"/>
                <w:lang w:val="en-US" w:eastAsia="zh-CN"/>
              </w:rPr>
              <w:t>≤9月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pPr>
              <w:pStyle w:val="135"/>
              <w:widowControl w:val="0"/>
              <w:numPr>
                <w:ilvl w:val="0"/>
                <w:numId w:val="5"/>
              </w:numPr>
              <w:ind w:left="0" w:leftChars="0" w:firstLine="0" w:firstLineChars="0"/>
              <w:jc w:val="center"/>
              <w:rPr>
                <w:rFonts w:hint="default" w:eastAsia="等线" w:cs="Times New Roman"/>
                <w:color w:val="auto"/>
                <w:highlight w:val="none"/>
                <w:lang w:val="en-US" w:eastAsia="zh-CN"/>
              </w:rPr>
            </w:pPr>
          </w:p>
        </w:tc>
        <w:tc>
          <w:tcPr>
            <w:tcW w:w="1560" w:type="dxa"/>
            <w:shd w:val="clear" w:color="auto" w:fill="auto"/>
            <w:vAlign w:val="center"/>
          </w:tcPr>
          <w:p>
            <w:pPr>
              <w:pStyle w:val="135"/>
              <w:widowControl w:val="0"/>
              <w:jc w:val="center"/>
              <w:rPr>
                <w:rFonts w:hint="eastAsia" w:ascii="等线" w:hAnsi="等线" w:eastAsia="等线" w:cs="等线"/>
                <w:b/>
                <w:bCs/>
                <w:i w:val="0"/>
                <w:iCs w:val="0"/>
                <w:color w:val="auto"/>
                <w:kern w:val="0"/>
                <w:sz w:val="22"/>
                <w:szCs w:val="22"/>
                <w:highlight w:val="none"/>
                <w:u w:val="none"/>
                <w:lang w:val="en-US" w:eastAsia="zh-CN" w:bidi="ar"/>
              </w:rPr>
            </w:pPr>
            <w:r>
              <w:rPr>
                <w:rFonts w:hint="eastAsia" w:ascii="仿宋" w:hAnsi="仿宋"/>
                <w:color w:val="auto"/>
                <w:szCs w:val="21"/>
                <w:highlight w:val="none"/>
              </w:rPr>
              <w:t>业务指标</w:t>
            </w:r>
          </w:p>
        </w:tc>
        <w:tc>
          <w:tcPr>
            <w:tcW w:w="1559" w:type="dxa"/>
            <w:shd w:val="clear" w:color="auto" w:fill="auto"/>
            <w:vAlign w:val="center"/>
          </w:tcPr>
          <w:p>
            <w:pPr>
              <w:pStyle w:val="135"/>
              <w:widowControl w:val="0"/>
              <w:jc w:val="center"/>
              <w:rPr>
                <w:rFonts w:hint="eastAsia" w:ascii="等线" w:hAnsi="等线" w:eastAsia="等线" w:cs="等线"/>
                <w:b/>
                <w:bCs/>
                <w:i w:val="0"/>
                <w:iCs w:val="0"/>
                <w:color w:val="auto"/>
                <w:kern w:val="0"/>
                <w:sz w:val="22"/>
                <w:szCs w:val="22"/>
                <w:highlight w:val="none"/>
                <w:u w:val="none"/>
                <w:lang w:val="en-US" w:eastAsia="zh-CN" w:bidi="ar"/>
              </w:rPr>
            </w:pPr>
            <w:r>
              <w:rPr>
                <w:rFonts w:hint="eastAsia" w:ascii="仿宋" w:hAnsi="仿宋"/>
                <w:color w:val="auto"/>
                <w:szCs w:val="21"/>
                <w:highlight w:val="none"/>
              </w:rPr>
              <w:t>效益指标</w:t>
            </w:r>
          </w:p>
        </w:tc>
        <w:tc>
          <w:tcPr>
            <w:tcW w:w="1701" w:type="dxa"/>
            <w:shd w:val="clear" w:color="auto" w:fill="auto"/>
            <w:vAlign w:val="center"/>
          </w:tcPr>
          <w:p>
            <w:pPr>
              <w:pStyle w:val="135"/>
              <w:widowControl w:val="0"/>
              <w:jc w:val="center"/>
              <w:rPr>
                <w:rFonts w:hint="eastAsia" w:ascii="等线" w:hAnsi="等线" w:eastAsia="等线" w:cs="等线"/>
                <w:b/>
                <w:bCs/>
                <w:i w:val="0"/>
                <w:iCs w:val="0"/>
                <w:color w:val="auto"/>
                <w:kern w:val="0"/>
                <w:sz w:val="22"/>
                <w:szCs w:val="22"/>
                <w:highlight w:val="none"/>
                <w:u w:val="none"/>
                <w:lang w:val="en-US" w:eastAsia="zh-CN" w:bidi="ar"/>
              </w:rPr>
            </w:pPr>
            <w:r>
              <w:rPr>
                <w:rFonts w:hint="eastAsia" w:ascii="仿宋" w:hAnsi="仿宋"/>
                <w:color w:val="auto"/>
                <w:szCs w:val="21"/>
                <w:highlight w:val="none"/>
              </w:rPr>
              <w:t>产出效益</w:t>
            </w:r>
          </w:p>
        </w:tc>
        <w:tc>
          <w:tcPr>
            <w:tcW w:w="1555" w:type="dxa"/>
            <w:vAlign w:val="top"/>
          </w:tcPr>
          <w:p>
            <w:pPr>
              <w:pStyle w:val="135"/>
              <w:widowControl w:val="0"/>
              <w:jc w:val="center"/>
              <w:rPr>
                <w:rFonts w:hint="default" w:ascii="等线" w:hAnsi="等线" w:eastAsia="等线" w:cs="等线"/>
                <w:b/>
                <w:bCs/>
                <w:i w:val="0"/>
                <w:iCs w:val="0"/>
                <w:color w:val="auto"/>
                <w:kern w:val="0"/>
                <w:sz w:val="22"/>
                <w:szCs w:val="22"/>
                <w:highlight w:val="none"/>
                <w:u w:val="none"/>
                <w:lang w:val="en-US" w:eastAsia="zh-CN" w:bidi="ar"/>
              </w:rPr>
            </w:pPr>
            <w:r>
              <w:rPr>
                <w:rFonts w:hint="eastAsia" w:ascii="仿宋" w:hAnsi="仿宋"/>
                <w:color w:val="auto"/>
                <w:szCs w:val="21"/>
                <w:highlight w:val="none"/>
                <w:lang w:val="en-US" w:eastAsia="zh-CN"/>
              </w:rPr>
              <w:t>食堂安全风险源监管范围（高校数量）</w:t>
            </w:r>
          </w:p>
        </w:tc>
        <w:tc>
          <w:tcPr>
            <w:tcW w:w="1984" w:type="dxa"/>
            <w:shd w:val="clear" w:color="auto" w:fill="auto"/>
            <w:vAlign w:val="center"/>
          </w:tcPr>
          <w:p>
            <w:pPr>
              <w:pStyle w:val="135"/>
              <w:widowControl w:val="0"/>
              <w:jc w:val="center"/>
              <w:rPr>
                <w:rFonts w:hint="eastAsia" w:ascii="等线" w:hAnsi="等线" w:eastAsia="等线" w:cs="等线"/>
                <w:b/>
                <w:bCs/>
                <w:i w:val="0"/>
                <w:iCs w:val="0"/>
                <w:color w:val="auto"/>
                <w:kern w:val="0"/>
                <w:sz w:val="22"/>
                <w:szCs w:val="22"/>
                <w:highlight w:val="none"/>
                <w:u w:val="none"/>
                <w:lang w:val="en-US" w:eastAsia="zh-CN" w:bidi="ar"/>
              </w:rPr>
            </w:pPr>
            <w:r>
              <w:rPr>
                <w:rFonts w:hint="eastAsia"/>
                <w:color w:val="auto"/>
                <w:highlight w:val="none"/>
                <w:lang w:val="en-US" w:eastAsia="zh-CN"/>
              </w:rPr>
              <w:t>≥30个</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pPr>
              <w:pStyle w:val="135"/>
              <w:widowControl w:val="0"/>
              <w:numPr>
                <w:ilvl w:val="0"/>
                <w:numId w:val="5"/>
              </w:numPr>
              <w:ind w:left="0" w:leftChars="0" w:firstLine="0" w:firstLineChars="0"/>
              <w:jc w:val="center"/>
              <w:rPr>
                <w:rFonts w:eastAsia="等线" w:cs="Times New Roman"/>
                <w:color w:val="auto"/>
                <w:highlight w:val="none"/>
              </w:rPr>
            </w:pPr>
          </w:p>
        </w:tc>
        <w:tc>
          <w:tcPr>
            <w:tcW w:w="1560" w:type="dxa"/>
            <w:shd w:val="clear" w:color="auto" w:fill="auto"/>
            <w:vAlign w:val="center"/>
          </w:tcPr>
          <w:p>
            <w:pPr>
              <w:pStyle w:val="135"/>
              <w:widowControl w:val="0"/>
              <w:jc w:val="center"/>
              <w:rPr>
                <w:rFonts w:hint="eastAsia" w:ascii="Times New Roman" w:hAnsi="Times New Roman" w:eastAsia="仿宋" w:cstheme="minorBidi"/>
                <w:color w:val="auto"/>
                <w:kern w:val="2"/>
                <w:sz w:val="21"/>
                <w:szCs w:val="24"/>
                <w:highlight w:val="none"/>
                <w:lang w:val="en-US" w:eastAsia="zh-CN" w:bidi="ar-SA"/>
              </w:rPr>
            </w:pPr>
            <w:r>
              <w:rPr>
                <w:rFonts w:hint="eastAsia" w:ascii="仿宋" w:hAnsi="仿宋"/>
                <w:color w:val="auto"/>
                <w:szCs w:val="21"/>
                <w:highlight w:val="none"/>
              </w:rPr>
              <w:t>业务指标</w:t>
            </w:r>
          </w:p>
        </w:tc>
        <w:tc>
          <w:tcPr>
            <w:tcW w:w="1559" w:type="dxa"/>
            <w:shd w:val="clear" w:color="auto" w:fill="auto"/>
            <w:vAlign w:val="center"/>
          </w:tcPr>
          <w:p>
            <w:pPr>
              <w:pStyle w:val="135"/>
              <w:widowControl w:val="0"/>
              <w:jc w:val="center"/>
              <w:rPr>
                <w:color w:val="auto"/>
                <w:highlight w:val="none"/>
              </w:rPr>
            </w:pPr>
            <w:r>
              <w:rPr>
                <w:rFonts w:hint="eastAsia" w:ascii="仿宋" w:hAnsi="仿宋"/>
                <w:color w:val="auto"/>
                <w:szCs w:val="21"/>
                <w:highlight w:val="none"/>
              </w:rPr>
              <w:t>效益指标</w:t>
            </w:r>
          </w:p>
        </w:tc>
        <w:tc>
          <w:tcPr>
            <w:tcW w:w="1701" w:type="dxa"/>
            <w:shd w:val="clear" w:color="auto" w:fill="auto"/>
            <w:vAlign w:val="center"/>
          </w:tcPr>
          <w:p>
            <w:pPr>
              <w:pStyle w:val="135"/>
              <w:widowControl w:val="0"/>
              <w:jc w:val="center"/>
              <w:rPr>
                <w:color w:val="auto"/>
                <w:highlight w:val="none"/>
              </w:rPr>
            </w:pPr>
            <w:r>
              <w:rPr>
                <w:rFonts w:hint="eastAsia" w:ascii="仿宋" w:hAnsi="仿宋"/>
                <w:color w:val="auto"/>
                <w:szCs w:val="21"/>
                <w:highlight w:val="none"/>
              </w:rPr>
              <w:t>产出效益</w:t>
            </w:r>
          </w:p>
        </w:tc>
        <w:tc>
          <w:tcPr>
            <w:tcW w:w="1555" w:type="dxa"/>
            <w:vAlign w:val="top"/>
          </w:tcPr>
          <w:p>
            <w:pPr>
              <w:pStyle w:val="135"/>
              <w:widowControl w:val="0"/>
              <w:jc w:val="center"/>
              <w:rPr>
                <w:rFonts w:hint="default" w:eastAsia="仿宋"/>
                <w:color w:val="auto"/>
                <w:highlight w:val="none"/>
                <w:lang w:val="en-US" w:eastAsia="zh-CN"/>
              </w:rPr>
            </w:pPr>
            <w:r>
              <w:rPr>
                <w:rFonts w:hint="eastAsia"/>
                <w:color w:val="auto"/>
                <w:highlight w:val="none"/>
                <w:lang w:val="en-US" w:eastAsia="zh-CN"/>
              </w:rPr>
              <w:t>教师培训数据采集率</w:t>
            </w:r>
          </w:p>
        </w:tc>
        <w:tc>
          <w:tcPr>
            <w:tcW w:w="1984" w:type="dxa"/>
            <w:shd w:val="clear" w:color="auto" w:fill="auto"/>
            <w:vAlign w:val="center"/>
          </w:tcPr>
          <w:p>
            <w:pPr>
              <w:pStyle w:val="135"/>
              <w:widowControl w:val="0"/>
              <w:jc w:val="center"/>
              <w:rPr>
                <w:color w:val="auto"/>
                <w:highlight w:val="none"/>
              </w:rPr>
            </w:pPr>
            <w:r>
              <w:rPr>
                <w:rFonts w:hint="eastAsia"/>
                <w:color w:val="auto"/>
                <w:highlight w:val="none"/>
                <w:lang w:val="en-US" w:eastAsia="zh-CN"/>
              </w:rPr>
              <w:t>≥90%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pPr>
              <w:pStyle w:val="135"/>
              <w:widowControl w:val="0"/>
              <w:numPr>
                <w:ilvl w:val="0"/>
                <w:numId w:val="5"/>
              </w:numPr>
              <w:ind w:left="0" w:leftChars="0" w:firstLine="0" w:firstLineChars="0"/>
              <w:jc w:val="center"/>
              <w:rPr>
                <w:rFonts w:eastAsia="等线" w:cs="Times New Roman"/>
                <w:color w:val="auto"/>
                <w:highlight w:val="none"/>
              </w:rPr>
            </w:pPr>
          </w:p>
        </w:tc>
        <w:tc>
          <w:tcPr>
            <w:tcW w:w="1560" w:type="dxa"/>
            <w:shd w:val="clear" w:color="auto" w:fill="auto"/>
            <w:vAlign w:val="center"/>
          </w:tcPr>
          <w:p>
            <w:pPr>
              <w:pStyle w:val="135"/>
              <w:widowControl w:val="0"/>
              <w:jc w:val="center"/>
              <w:rPr>
                <w:rFonts w:hint="eastAsia" w:ascii="Times New Roman" w:hAnsi="Times New Roman" w:eastAsia="仿宋" w:cstheme="minorBidi"/>
                <w:color w:val="auto"/>
                <w:kern w:val="2"/>
                <w:sz w:val="21"/>
                <w:szCs w:val="24"/>
                <w:highlight w:val="none"/>
                <w:lang w:val="en-US" w:eastAsia="zh-CN" w:bidi="ar-SA"/>
              </w:rPr>
            </w:pPr>
            <w:r>
              <w:rPr>
                <w:rFonts w:hint="eastAsia" w:ascii="仿宋" w:hAnsi="仿宋"/>
                <w:color w:val="auto"/>
                <w:szCs w:val="21"/>
                <w:highlight w:val="none"/>
              </w:rPr>
              <w:t>业务指标</w:t>
            </w:r>
          </w:p>
        </w:tc>
        <w:tc>
          <w:tcPr>
            <w:tcW w:w="1559" w:type="dxa"/>
            <w:shd w:val="clear" w:color="auto" w:fill="auto"/>
            <w:vAlign w:val="center"/>
          </w:tcPr>
          <w:p>
            <w:pPr>
              <w:pStyle w:val="135"/>
              <w:widowControl w:val="0"/>
              <w:jc w:val="center"/>
              <w:rPr>
                <w:rFonts w:hint="eastAsia" w:ascii="Times New Roman" w:hAnsi="Times New Roman" w:eastAsia="仿宋" w:cstheme="minorBidi"/>
                <w:color w:val="auto"/>
                <w:kern w:val="2"/>
                <w:sz w:val="21"/>
                <w:szCs w:val="24"/>
                <w:highlight w:val="none"/>
                <w:lang w:val="en-US" w:eastAsia="zh-CN" w:bidi="ar-SA"/>
              </w:rPr>
            </w:pPr>
            <w:r>
              <w:rPr>
                <w:rFonts w:hint="eastAsia" w:ascii="仿宋" w:hAnsi="仿宋"/>
                <w:color w:val="auto"/>
                <w:szCs w:val="21"/>
                <w:highlight w:val="none"/>
              </w:rPr>
              <w:t>效益指标</w:t>
            </w:r>
          </w:p>
        </w:tc>
        <w:tc>
          <w:tcPr>
            <w:tcW w:w="1701" w:type="dxa"/>
            <w:shd w:val="clear" w:color="auto" w:fill="auto"/>
            <w:vAlign w:val="center"/>
          </w:tcPr>
          <w:p>
            <w:pPr>
              <w:pStyle w:val="135"/>
              <w:widowControl w:val="0"/>
              <w:jc w:val="center"/>
              <w:rPr>
                <w:rFonts w:hint="eastAsia" w:ascii="Times New Roman" w:hAnsi="Times New Roman" w:eastAsia="仿宋" w:cstheme="minorBidi"/>
                <w:color w:val="auto"/>
                <w:kern w:val="2"/>
                <w:sz w:val="21"/>
                <w:szCs w:val="24"/>
                <w:highlight w:val="none"/>
                <w:lang w:val="en-US" w:eastAsia="zh-CN" w:bidi="ar-SA"/>
              </w:rPr>
            </w:pPr>
            <w:r>
              <w:rPr>
                <w:rFonts w:hint="eastAsia" w:ascii="仿宋" w:hAnsi="仿宋"/>
                <w:color w:val="auto"/>
                <w:szCs w:val="21"/>
                <w:highlight w:val="none"/>
              </w:rPr>
              <w:t>产出效益</w:t>
            </w:r>
          </w:p>
        </w:tc>
        <w:tc>
          <w:tcPr>
            <w:tcW w:w="1555" w:type="dxa"/>
            <w:vAlign w:val="top"/>
          </w:tcPr>
          <w:p>
            <w:pPr>
              <w:pStyle w:val="135"/>
              <w:widowControl w:val="0"/>
              <w:jc w:val="center"/>
              <w:rPr>
                <w:rFonts w:hint="default"/>
                <w:color w:val="auto"/>
                <w:highlight w:val="none"/>
                <w:lang w:val="en-US" w:eastAsia="zh-CN"/>
              </w:rPr>
            </w:pPr>
            <w:r>
              <w:rPr>
                <w:rFonts w:hint="eastAsia"/>
                <w:color w:val="auto"/>
                <w:highlight w:val="none"/>
                <w:lang w:val="en-US" w:eastAsia="zh-CN"/>
              </w:rPr>
              <w:t>待办集成子系统数量</w:t>
            </w:r>
          </w:p>
        </w:tc>
        <w:tc>
          <w:tcPr>
            <w:tcW w:w="1984" w:type="dxa"/>
            <w:shd w:val="clear" w:color="auto" w:fill="auto"/>
            <w:vAlign w:val="center"/>
          </w:tcPr>
          <w:p>
            <w:pPr>
              <w:pStyle w:val="135"/>
              <w:widowControl w:val="0"/>
              <w:jc w:val="center"/>
              <w:rPr>
                <w:rFonts w:hint="default" w:eastAsia="仿宋"/>
                <w:color w:val="auto"/>
                <w:highlight w:val="none"/>
                <w:lang w:val="en-US" w:eastAsia="zh-CN"/>
              </w:rPr>
            </w:pPr>
            <w:r>
              <w:rPr>
                <w:rFonts w:hint="eastAsia"/>
                <w:color w:val="auto"/>
                <w:highlight w:val="none"/>
                <w:lang w:val="en-US" w:eastAsia="zh-CN"/>
              </w:rPr>
              <w:t>5个</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pPr>
              <w:pStyle w:val="135"/>
              <w:widowControl w:val="0"/>
              <w:numPr>
                <w:ilvl w:val="0"/>
                <w:numId w:val="5"/>
              </w:numPr>
              <w:ind w:left="0" w:leftChars="0" w:firstLine="0" w:firstLineChars="0"/>
              <w:jc w:val="center"/>
              <w:rPr>
                <w:rFonts w:eastAsia="等线" w:cs="Times New Roman"/>
                <w:color w:val="auto"/>
                <w:highlight w:val="none"/>
              </w:rPr>
            </w:pPr>
          </w:p>
        </w:tc>
        <w:tc>
          <w:tcPr>
            <w:tcW w:w="1560" w:type="dxa"/>
            <w:shd w:val="clear" w:color="auto" w:fill="auto"/>
            <w:vAlign w:val="center"/>
          </w:tcPr>
          <w:p>
            <w:pPr>
              <w:pStyle w:val="135"/>
              <w:widowControl w:val="0"/>
              <w:jc w:val="center"/>
              <w:rPr>
                <w:rFonts w:hint="eastAsia" w:ascii="仿宋" w:hAnsi="仿宋"/>
                <w:color w:val="auto"/>
                <w:szCs w:val="21"/>
                <w:highlight w:val="none"/>
              </w:rPr>
            </w:pPr>
            <w:r>
              <w:rPr>
                <w:rFonts w:hint="eastAsia" w:ascii="仿宋" w:hAnsi="仿宋"/>
                <w:color w:val="auto"/>
                <w:szCs w:val="21"/>
                <w:highlight w:val="none"/>
              </w:rPr>
              <w:t>业务指标</w:t>
            </w:r>
          </w:p>
        </w:tc>
        <w:tc>
          <w:tcPr>
            <w:tcW w:w="1559" w:type="dxa"/>
            <w:shd w:val="clear" w:color="auto" w:fill="auto"/>
            <w:vAlign w:val="center"/>
          </w:tcPr>
          <w:p>
            <w:pPr>
              <w:pStyle w:val="135"/>
              <w:widowControl w:val="0"/>
              <w:jc w:val="center"/>
              <w:rPr>
                <w:rFonts w:hint="eastAsia" w:ascii="仿宋" w:hAnsi="仿宋"/>
                <w:color w:val="auto"/>
                <w:szCs w:val="21"/>
                <w:highlight w:val="none"/>
              </w:rPr>
            </w:pPr>
            <w:r>
              <w:rPr>
                <w:rFonts w:hint="eastAsia" w:ascii="仿宋" w:hAnsi="仿宋"/>
                <w:color w:val="auto"/>
                <w:szCs w:val="21"/>
                <w:highlight w:val="none"/>
              </w:rPr>
              <w:t>效益指标</w:t>
            </w:r>
          </w:p>
        </w:tc>
        <w:tc>
          <w:tcPr>
            <w:tcW w:w="1701" w:type="dxa"/>
            <w:shd w:val="clear" w:color="auto" w:fill="auto"/>
            <w:vAlign w:val="center"/>
          </w:tcPr>
          <w:p>
            <w:pPr>
              <w:pStyle w:val="135"/>
              <w:widowControl w:val="0"/>
              <w:jc w:val="center"/>
              <w:rPr>
                <w:rFonts w:hint="eastAsia" w:ascii="仿宋" w:hAnsi="仿宋"/>
                <w:color w:val="auto"/>
                <w:szCs w:val="21"/>
                <w:highlight w:val="none"/>
              </w:rPr>
            </w:pPr>
            <w:r>
              <w:rPr>
                <w:rFonts w:hint="eastAsia" w:ascii="仿宋" w:hAnsi="仿宋"/>
                <w:color w:val="auto"/>
                <w:szCs w:val="21"/>
                <w:highlight w:val="none"/>
              </w:rPr>
              <w:t>产出效益</w:t>
            </w:r>
          </w:p>
        </w:tc>
        <w:tc>
          <w:tcPr>
            <w:tcW w:w="1555" w:type="dxa"/>
            <w:vAlign w:val="top"/>
          </w:tcPr>
          <w:p>
            <w:pPr>
              <w:pStyle w:val="135"/>
              <w:widowControl w:val="0"/>
              <w:jc w:val="center"/>
              <w:rPr>
                <w:rFonts w:hint="eastAsia"/>
                <w:color w:val="auto"/>
                <w:highlight w:val="none"/>
                <w:lang w:val="en-US" w:eastAsia="zh-CN"/>
              </w:rPr>
            </w:pPr>
            <w:r>
              <w:rPr>
                <w:rFonts w:hint="eastAsia"/>
                <w:color w:val="auto"/>
                <w:highlight w:val="none"/>
                <w:lang w:val="en-US" w:eastAsia="zh-CN"/>
              </w:rPr>
              <w:t>高校留学生管理业务填报高校覆盖率</w:t>
            </w:r>
          </w:p>
        </w:tc>
        <w:tc>
          <w:tcPr>
            <w:tcW w:w="1984" w:type="dxa"/>
            <w:shd w:val="clear" w:color="auto" w:fill="auto"/>
            <w:vAlign w:val="center"/>
          </w:tcPr>
          <w:p>
            <w:pPr>
              <w:pStyle w:val="135"/>
              <w:widowControl w:val="0"/>
              <w:jc w:val="center"/>
              <w:rPr>
                <w:rFonts w:hint="eastAsia"/>
                <w:color w:val="auto"/>
                <w:highlight w:val="none"/>
                <w:lang w:val="en-US" w:eastAsia="zh-CN"/>
              </w:rPr>
            </w:pPr>
            <w:r>
              <w:rPr>
                <w:rFonts w:hint="eastAsia"/>
                <w:color w:val="auto"/>
                <w:highlight w:val="none"/>
                <w:lang w:val="en-US" w:eastAsia="zh-CN"/>
              </w:rPr>
              <w:t>≥90%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pPr>
              <w:pStyle w:val="135"/>
              <w:widowControl w:val="0"/>
              <w:numPr>
                <w:ilvl w:val="0"/>
                <w:numId w:val="5"/>
              </w:numPr>
              <w:ind w:left="0" w:leftChars="0" w:firstLine="0" w:firstLineChars="0"/>
              <w:jc w:val="center"/>
              <w:rPr>
                <w:rFonts w:eastAsia="等线" w:cs="Times New Roman"/>
                <w:color w:val="auto"/>
                <w:highlight w:val="none"/>
              </w:rPr>
            </w:pPr>
          </w:p>
        </w:tc>
        <w:tc>
          <w:tcPr>
            <w:tcW w:w="1560" w:type="dxa"/>
            <w:shd w:val="clear" w:color="auto" w:fill="auto"/>
            <w:vAlign w:val="center"/>
          </w:tcPr>
          <w:p>
            <w:pPr>
              <w:pStyle w:val="135"/>
              <w:widowControl w:val="0"/>
              <w:jc w:val="center"/>
              <w:rPr>
                <w:rFonts w:hint="eastAsia" w:ascii="仿宋" w:hAnsi="仿宋" w:eastAsia="仿宋" w:cstheme="minorBidi"/>
                <w:color w:val="auto"/>
                <w:kern w:val="2"/>
                <w:sz w:val="21"/>
                <w:szCs w:val="21"/>
                <w:highlight w:val="none"/>
                <w:lang w:val="en-US" w:eastAsia="zh-CN" w:bidi="ar-SA"/>
              </w:rPr>
            </w:pPr>
            <w:r>
              <w:rPr>
                <w:rFonts w:hint="eastAsia" w:ascii="仿宋" w:hAnsi="仿宋"/>
                <w:color w:val="auto"/>
                <w:szCs w:val="21"/>
                <w:highlight w:val="none"/>
              </w:rPr>
              <w:t>业务指标</w:t>
            </w:r>
          </w:p>
        </w:tc>
        <w:tc>
          <w:tcPr>
            <w:tcW w:w="1559" w:type="dxa"/>
            <w:shd w:val="clear" w:color="auto" w:fill="auto"/>
            <w:vAlign w:val="center"/>
          </w:tcPr>
          <w:p>
            <w:pPr>
              <w:pStyle w:val="135"/>
              <w:widowControl w:val="0"/>
              <w:jc w:val="center"/>
              <w:rPr>
                <w:rFonts w:hint="eastAsia" w:ascii="仿宋" w:hAnsi="仿宋" w:eastAsia="仿宋" w:cstheme="minorBidi"/>
                <w:color w:val="auto"/>
                <w:kern w:val="2"/>
                <w:sz w:val="21"/>
                <w:szCs w:val="21"/>
                <w:highlight w:val="none"/>
                <w:lang w:val="en-US" w:eastAsia="zh-CN" w:bidi="ar-SA"/>
              </w:rPr>
            </w:pPr>
            <w:r>
              <w:rPr>
                <w:rFonts w:hint="eastAsia" w:ascii="仿宋" w:hAnsi="仿宋"/>
                <w:color w:val="auto"/>
                <w:szCs w:val="21"/>
                <w:highlight w:val="none"/>
              </w:rPr>
              <w:t>效益指标</w:t>
            </w:r>
          </w:p>
        </w:tc>
        <w:tc>
          <w:tcPr>
            <w:tcW w:w="1701" w:type="dxa"/>
            <w:shd w:val="clear" w:color="auto" w:fill="auto"/>
            <w:vAlign w:val="center"/>
          </w:tcPr>
          <w:p>
            <w:pPr>
              <w:pStyle w:val="135"/>
              <w:widowControl w:val="0"/>
              <w:jc w:val="center"/>
              <w:rPr>
                <w:rFonts w:hint="eastAsia" w:ascii="仿宋" w:hAnsi="仿宋" w:eastAsia="仿宋" w:cstheme="minorBidi"/>
                <w:color w:val="auto"/>
                <w:kern w:val="2"/>
                <w:sz w:val="21"/>
                <w:szCs w:val="21"/>
                <w:highlight w:val="none"/>
                <w:lang w:val="en-US" w:eastAsia="zh-CN" w:bidi="ar-SA"/>
              </w:rPr>
            </w:pPr>
            <w:r>
              <w:rPr>
                <w:rFonts w:hint="eastAsia" w:ascii="仿宋" w:hAnsi="仿宋"/>
                <w:color w:val="auto"/>
                <w:szCs w:val="21"/>
                <w:highlight w:val="none"/>
              </w:rPr>
              <w:t>产出效益</w:t>
            </w:r>
          </w:p>
        </w:tc>
        <w:tc>
          <w:tcPr>
            <w:tcW w:w="1555" w:type="dxa"/>
            <w:vAlign w:val="top"/>
          </w:tcPr>
          <w:p>
            <w:pPr>
              <w:pStyle w:val="135"/>
              <w:widowControl w:val="0"/>
              <w:jc w:val="center"/>
              <w:rPr>
                <w:rFonts w:hint="eastAsia"/>
                <w:color w:val="auto"/>
                <w:highlight w:val="none"/>
                <w:lang w:val="en-US" w:eastAsia="zh-CN"/>
              </w:rPr>
            </w:pPr>
            <w:r>
              <w:rPr>
                <w:rFonts w:hint="eastAsia"/>
                <w:color w:val="auto"/>
                <w:highlight w:val="none"/>
                <w:lang w:val="en-US" w:eastAsia="zh-CN"/>
              </w:rPr>
              <w:t>教师信息管理业务覆盖学校</w:t>
            </w:r>
          </w:p>
        </w:tc>
        <w:tc>
          <w:tcPr>
            <w:tcW w:w="1984" w:type="dxa"/>
            <w:shd w:val="clear" w:color="auto" w:fill="auto"/>
            <w:vAlign w:val="center"/>
          </w:tcPr>
          <w:p>
            <w:pPr>
              <w:pStyle w:val="135"/>
              <w:widowControl w:val="0"/>
              <w:jc w:val="center"/>
              <w:rPr>
                <w:rFonts w:hint="eastAsia"/>
                <w:color w:val="auto"/>
                <w:highlight w:val="none"/>
                <w:lang w:val="en-US" w:eastAsia="zh-CN"/>
              </w:rPr>
            </w:pPr>
            <w:r>
              <w:rPr>
                <w:rFonts w:hint="eastAsia"/>
                <w:color w:val="auto"/>
                <w:highlight w:val="none"/>
                <w:lang w:val="en-US" w:eastAsia="zh-CN"/>
              </w:rPr>
              <w:t>≥70%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868" w:type="dxa"/>
            <w:shd w:val="clear" w:color="auto" w:fill="auto"/>
            <w:vAlign w:val="center"/>
          </w:tcPr>
          <w:p>
            <w:pPr>
              <w:pStyle w:val="135"/>
              <w:widowControl w:val="0"/>
              <w:numPr>
                <w:ilvl w:val="0"/>
                <w:numId w:val="5"/>
              </w:numPr>
              <w:ind w:left="0" w:leftChars="0" w:firstLine="0" w:firstLineChars="0"/>
              <w:jc w:val="center"/>
              <w:rPr>
                <w:rFonts w:eastAsia="等线" w:cs="Times New Roman"/>
                <w:color w:val="auto"/>
                <w:highlight w:val="none"/>
              </w:rPr>
            </w:pPr>
          </w:p>
        </w:tc>
        <w:tc>
          <w:tcPr>
            <w:tcW w:w="1560" w:type="dxa"/>
            <w:shd w:val="clear" w:color="auto" w:fill="auto"/>
            <w:vAlign w:val="center"/>
          </w:tcPr>
          <w:p>
            <w:pPr>
              <w:pStyle w:val="135"/>
              <w:widowControl w:val="0"/>
              <w:jc w:val="center"/>
              <w:rPr>
                <w:rFonts w:hint="eastAsia" w:ascii="仿宋" w:hAnsi="仿宋"/>
                <w:color w:val="auto"/>
                <w:szCs w:val="21"/>
                <w:highlight w:val="none"/>
              </w:rPr>
            </w:pPr>
            <w:r>
              <w:rPr>
                <w:rFonts w:hint="eastAsia" w:ascii="仿宋" w:hAnsi="仿宋"/>
                <w:color w:val="auto"/>
                <w:szCs w:val="21"/>
                <w:highlight w:val="none"/>
              </w:rPr>
              <w:t>业务指标</w:t>
            </w:r>
          </w:p>
        </w:tc>
        <w:tc>
          <w:tcPr>
            <w:tcW w:w="1559" w:type="dxa"/>
            <w:shd w:val="clear" w:color="auto" w:fill="auto"/>
            <w:vAlign w:val="center"/>
          </w:tcPr>
          <w:p>
            <w:pPr>
              <w:pStyle w:val="135"/>
              <w:widowControl w:val="0"/>
              <w:jc w:val="center"/>
              <w:rPr>
                <w:rFonts w:hint="eastAsia" w:ascii="仿宋" w:hAnsi="仿宋"/>
                <w:color w:val="auto"/>
                <w:szCs w:val="21"/>
                <w:highlight w:val="none"/>
              </w:rPr>
            </w:pPr>
            <w:r>
              <w:rPr>
                <w:rFonts w:hint="eastAsia" w:ascii="仿宋" w:hAnsi="仿宋"/>
                <w:color w:val="auto"/>
                <w:szCs w:val="21"/>
                <w:highlight w:val="none"/>
              </w:rPr>
              <w:t>效益指标</w:t>
            </w:r>
          </w:p>
        </w:tc>
        <w:tc>
          <w:tcPr>
            <w:tcW w:w="1701" w:type="dxa"/>
            <w:shd w:val="clear" w:color="auto" w:fill="auto"/>
            <w:vAlign w:val="center"/>
          </w:tcPr>
          <w:p>
            <w:pPr>
              <w:pStyle w:val="135"/>
              <w:widowControl w:val="0"/>
              <w:jc w:val="center"/>
              <w:rPr>
                <w:rFonts w:hint="eastAsia" w:ascii="仿宋" w:hAnsi="仿宋"/>
                <w:color w:val="auto"/>
                <w:szCs w:val="21"/>
                <w:highlight w:val="none"/>
              </w:rPr>
            </w:pPr>
            <w:r>
              <w:rPr>
                <w:rFonts w:hint="eastAsia" w:ascii="仿宋" w:hAnsi="仿宋"/>
                <w:color w:val="auto"/>
                <w:szCs w:val="21"/>
                <w:highlight w:val="none"/>
              </w:rPr>
              <w:t>产出效益</w:t>
            </w:r>
          </w:p>
        </w:tc>
        <w:tc>
          <w:tcPr>
            <w:tcW w:w="1555" w:type="dxa"/>
            <w:vAlign w:val="top"/>
          </w:tcPr>
          <w:p>
            <w:pPr>
              <w:pStyle w:val="135"/>
              <w:widowControl w:val="0"/>
              <w:jc w:val="center"/>
              <w:rPr>
                <w:rFonts w:hint="eastAsia"/>
                <w:color w:val="auto"/>
                <w:highlight w:val="none"/>
                <w:lang w:val="en-US" w:eastAsia="zh-CN"/>
              </w:rPr>
            </w:pPr>
            <w:r>
              <w:rPr>
                <w:rFonts w:hint="eastAsia"/>
                <w:color w:val="auto"/>
                <w:highlight w:val="none"/>
                <w:lang w:val="en-US" w:eastAsia="zh-CN"/>
              </w:rPr>
              <w:t>审计项目平均处理周期缩短率</w:t>
            </w:r>
          </w:p>
        </w:tc>
        <w:tc>
          <w:tcPr>
            <w:tcW w:w="1984" w:type="dxa"/>
            <w:shd w:val="clear" w:color="auto" w:fill="auto"/>
            <w:vAlign w:val="center"/>
          </w:tcPr>
          <w:p>
            <w:pPr>
              <w:pStyle w:val="135"/>
              <w:widowControl w:val="0"/>
              <w:jc w:val="center"/>
              <w:rPr>
                <w:rFonts w:hint="eastAsia"/>
                <w:color w:val="auto"/>
                <w:highlight w:val="none"/>
                <w:lang w:val="en-US" w:eastAsia="zh-CN"/>
              </w:rPr>
            </w:pPr>
            <w:r>
              <w:rPr>
                <w:rFonts w:hint="eastAsia"/>
                <w:color w:val="auto"/>
                <w:highlight w:val="none"/>
                <w:lang w:val="en-US" w:eastAsia="zh-CN"/>
              </w:rPr>
              <w:t>≥33%</w:t>
            </w:r>
          </w:p>
        </w:tc>
      </w:tr>
    </w:tbl>
    <w:p>
      <w:pPr>
        <w:pStyle w:val="2"/>
        <w:rPr>
          <w:color w:val="auto"/>
          <w:highlight w:val="none"/>
        </w:rPr>
      </w:pPr>
      <w:bookmarkStart w:id="13" w:name="_Toc47533288"/>
      <w:bookmarkEnd w:id="13"/>
      <w:bookmarkStart w:id="14" w:name="_Toc47536676"/>
      <w:bookmarkEnd w:id="14"/>
      <w:bookmarkStart w:id="15" w:name="_Toc47532923"/>
      <w:bookmarkEnd w:id="15"/>
      <w:bookmarkStart w:id="16" w:name="_Toc47537166"/>
      <w:bookmarkEnd w:id="16"/>
      <w:bookmarkStart w:id="17" w:name="_Toc47539102"/>
      <w:bookmarkEnd w:id="17"/>
      <w:bookmarkStart w:id="18" w:name="_Toc47536304"/>
      <w:bookmarkEnd w:id="18"/>
      <w:r>
        <w:rPr>
          <w:rFonts w:hint="eastAsia"/>
          <w:color w:val="auto"/>
          <w:highlight w:val="none"/>
        </w:rPr>
        <w:t>项目建设内容</w:t>
      </w:r>
    </w:p>
    <w:p>
      <w:pPr>
        <w:pStyle w:val="3"/>
        <w:rPr>
          <w:color w:val="auto"/>
          <w:highlight w:val="none"/>
        </w:rPr>
      </w:pPr>
      <w:r>
        <w:rPr>
          <w:rFonts w:hint="eastAsia"/>
          <w:color w:val="auto"/>
          <w:highlight w:val="none"/>
        </w:rPr>
        <w:t>项目整体架构</w:t>
      </w:r>
    </w:p>
    <w:p>
      <w:pPr>
        <w:spacing w:line="360" w:lineRule="auto"/>
        <w:ind w:firstLine="560"/>
        <w:rPr>
          <w:rFonts w:hint="eastAsia" w:ascii="仿宋_GB2312" w:cs="Times New Roman"/>
          <w:color w:val="auto"/>
          <w:sz w:val="28"/>
          <w:szCs w:val="28"/>
          <w:highlight w:val="none"/>
          <w:lang w:val="en-US" w:eastAsia="zh-CN"/>
        </w:rPr>
      </w:pPr>
      <w:r>
        <w:rPr>
          <w:rFonts w:hint="eastAsia" w:ascii="仿宋_GB2312" w:eastAsia="仿宋_GB2312" w:cs="Times New Roman"/>
          <w:color w:val="auto"/>
          <w:sz w:val="28"/>
          <w:szCs w:val="28"/>
          <w:highlight w:val="none"/>
          <w:lang w:val="en-US" w:eastAsia="zh-CN"/>
        </w:rPr>
        <w:t>本次项目建设</w:t>
      </w:r>
      <w:r>
        <w:rPr>
          <w:rFonts w:hint="eastAsia" w:ascii="仿宋_GB2312" w:cs="Times New Roman"/>
          <w:color w:val="auto"/>
          <w:sz w:val="28"/>
          <w:szCs w:val="28"/>
          <w:highlight w:val="none"/>
          <w:lang w:val="en-US" w:eastAsia="zh-CN"/>
        </w:rPr>
        <w:t>为上海市教育管理服务大系统的升级改造，建设内容包括教师信息管理、外事管理、审计管理、学校后勤管理、语言文字规范等</w:t>
      </w:r>
      <w:r>
        <w:rPr>
          <w:rFonts w:hint="eastAsia" w:ascii="仿宋_GB2312"/>
          <w:color w:val="auto"/>
          <w:sz w:val="28"/>
          <w:szCs w:val="28"/>
          <w:highlight w:val="none"/>
          <w:lang w:val="en-US" w:eastAsia="zh-CN"/>
        </w:rPr>
        <w:t>5个业务板块</w:t>
      </w:r>
      <w:r>
        <w:rPr>
          <w:rFonts w:hint="eastAsia" w:ascii="仿宋_GB2312" w:cs="Times New Roman"/>
          <w:color w:val="auto"/>
          <w:sz w:val="28"/>
          <w:szCs w:val="28"/>
          <w:highlight w:val="none"/>
          <w:lang w:val="en-US" w:eastAsia="zh-CN"/>
        </w:rPr>
        <w:t>的建设或升级改造以及教育管理大系统支撑平台的建设。</w:t>
      </w:r>
    </w:p>
    <w:p>
      <w:pPr>
        <w:ind w:firstLine="560"/>
        <w:rPr>
          <w:color w:val="auto"/>
          <w:highlight w:val="none"/>
        </w:rPr>
      </w:pPr>
      <w:r>
        <w:rPr>
          <w:rFonts w:hint="eastAsia"/>
          <w:color w:val="auto"/>
          <w:highlight w:val="none"/>
        </w:rPr>
        <w:t>整体架构图如下：</w:t>
      </w:r>
    </w:p>
    <w:p>
      <w:pPr>
        <w:spacing w:line="240" w:lineRule="auto"/>
        <w:ind w:left="0" w:leftChars="0" w:firstLine="0" w:firstLineChars="0"/>
        <w:rPr>
          <w:rFonts w:hint="eastAsia"/>
          <w:color w:val="auto"/>
          <w:highlight w:val="none"/>
          <w:lang w:eastAsia="zh-CN"/>
        </w:rPr>
      </w:pPr>
      <w:r>
        <w:rPr>
          <w:color w:val="auto"/>
          <w:highlight w:val="none"/>
        </w:rPr>
        <w:drawing>
          <wp:inline distT="0" distB="0" distL="114300" distR="114300">
            <wp:extent cx="5269230" cy="3237230"/>
            <wp:effectExtent l="0" t="0" r="1270" b="127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3"/>
                    <a:stretch>
                      <a:fillRect/>
                    </a:stretch>
                  </pic:blipFill>
                  <pic:spPr>
                    <a:xfrm>
                      <a:off x="0" y="0"/>
                      <a:ext cx="5269230" cy="3237230"/>
                    </a:xfrm>
                    <a:prstGeom prst="rect">
                      <a:avLst/>
                    </a:prstGeom>
                    <a:noFill/>
                    <a:ln>
                      <a:noFill/>
                    </a:ln>
                  </pic:spPr>
                </pic:pic>
              </a:graphicData>
            </a:graphic>
          </wp:inline>
        </w:drawing>
      </w:r>
    </w:p>
    <w:p>
      <w:pPr>
        <w:pStyle w:val="3"/>
        <w:rPr>
          <w:color w:val="auto"/>
          <w:highlight w:val="none"/>
        </w:rPr>
      </w:pPr>
      <w:r>
        <w:rPr>
          <w:rFonts w:hint="eastAsia"/>
          <w:color w:val="auto"/>
          <w:highlight w:val="none"/>
        </w:rPr>
        <w:t>技术路线</w:t>
      </w:r>
    </w:p>
    <w:p>
      <w:pPr>
        <w:spacing w:line="360" w:lineRule="auto"/>
        <w:ind w:firstLine="560"/>
        <w:rPr>
          <w:rFonts w:ascii="仿宋_GB2312" w:eastAsia="仿宋_GB2312"/>
          <w:color w:val="auto"/>
          <w:sz w:val="28"/>
          <w:szCs w:val="28"/>
          <w:highlight w:val="none"/>
          <w:lang w:eastAsia="zh-CN"/>
        </w:rPr>
      </w:pPr>
      <w:r>
        <w:rPr>
          <w:rFonts w:hint="eastAsia" w:ascii="仿宋_GB2312"/>
          <w:color w:val="auto"/>
          <w:sz w:val="28"/>
          <w:szCs w:val="28"/>
          <w:highlight w:val="none"/>
          <w:lang w:val="en-US" w:eastAsia="zh-CN"/>
        </w:rPr>
        <w:t>展示</w:t>
      </w:r>
      <w:r>
        <w:rPr>
          <w:rFonts w:hint="eastAsia" w:ascii="仿宋_GB2312" w:eastAsia="仿宋_GB2312"/>
          <w:color w:val="auto"/>
          <w:sz w:val="28"/>
          <w:szCs w:val="28"/>
          <w:highlight w:val="none"/>
          <w:lang w:eastAsia="zh-CN"/>
        </w:rPr>
        <w:t>层：</w:t>
      </w:r>
      <w:r>
        <w:rPr>
          <w:rFonts w:hint="eastAsia" w:ascii="仿宋_GB2312"/>
          <w:color w:val="auto"/>
          <w:sz w:val="28"/>
          <w:szCs w:val="28"/>
          <w:highlight w:val="none"/>
          <w:lang w:eastAsia="zh-CN"/>
        </w:rPr>
        <w:t>上海市教育管理服务大系统</w:t>
      </w:r>
      <w:r>
        <w:rPr>
          <w:rFonts w:hint="eastAsia" w:ascii="仿宋_GB2312"/>
          <w:color w:val="auto"/>
          <w:sz w:val="28"/>
          <w:szCs w:val="28"/>
          <w:highlight w:val="none"/>
          <w:lang w:val="en-US" w:eastAsia="zh-CN"/>
        </w:rPr>
        <w:t>统一</w:t>
      </w:r>
      <w:r>
        <w:rPr>
          <w:rFonts w:hint="eastAsia" w:ascii="仿宋_GB2312" w:eastAsia="仿宋_GB2312"/>
          <w:color w:val="auto"/>
          <w:sz w:val="28"/>
          <w:szCs w:val="28"/>
          <w:highlight w:val="none"/>
          <w:lang w:eastAsia="zh-CN"/>
        </w:rPr>
        <w:t>门户。</w:t>
      </w:r>
    </w:p>
    <w:p>
      <w:pPr>
        <w:spacing w:line="360" w:lineRule="auto"/>
        <w:ind w:firstLine="560"/>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eastAsia="zh-CN"/>
        </w:rPr>
        <w:t>应用层：</w:t>
      </w:r>
      <w:r>
        <w:rPr>
          <w:rFonts w:hint="eastAsia" w:ascii="仿宋_GB2312" w:cs="Times New Roman"/>
          <w:color w:val="auto"/>
          <w:sz w:val="28"/>
          <w:szCs w:val="28"/>
          <w:highlight w:val="none"/>
          <w:lang w:val="en-US" w:eastAsia="zh-CN"/>
        </w:rPr>
        <w:t>包括外事管理、教师信息管理、语言文字规范化水平监测3个</w:t>
      </w:r>
      <w:r>
        <w:rPr>
          <w:rFonts w:hint="eastAsia" w:ascii="仿宋_GB2312"/>
          <w:color w:val="auto"/>
          <w:sz w:val="28"/>
          <w:szCs w:val="28"/>
          <w:highlight w:val="none"/>
          <w:lang w:val="en-US" w:eastAsia="zh-CN"/>
        </w:rPr>
        <w:t>业务板块</w:t>
      </w:r>
      <w:r>
        <w:rPr>
          <w:rFonts w:hint="eastAsia" w:ascii="仿宋_GB2312" w:cs="Times New Roman"/>
          <w:color w:val="auto"/>
          <w:sz w:val="28"/>
          <w:szCs w:val="28"/>
          <w:highlight w:val="none"/>
          <w:lang w:val="en-US" w:eastAsia="zh-CN"/>
        </w:rPr>
        <w:t>升级改造，学校后勤管理的</w:t>
      </w:r>
      <w:r>
        <w:rPr>
          <w:rFonts w:hint="eastAsia" w:cs="Times New Roman"/>
          <w:color w:val="auto"/>
          <w:sz w:val="28"/>
          <w:szCs w:val="28"/>
          <w:highlight w:val="none"/>
          <w:lang w:val="en-US" w:eastAsia="zh-CN"/>
        </w:rPr>
        <w:t>xc</w:t>
      </w:r>
      <w:r>
        <w:rPr>
          <w:rFonts w:hint="eastAsia" w:ascii="仿宋_GB2312" w:cs="Times New Roman"/>
          <w:color w:val="auto"/>
          <w:sz w:val="28"/>
          <w:szCs w:val="28"/>
          <w:highlight w:val="none"/>
          <w:lang w:val="en-US" w:eastAsia="zh-CN"/>
        </w:rPr>
        <w:t>适配，审计管理的新建</w:t>
      </w:r>
      <w:r>
        <w:rPr>
          <w:rFonts w:hint="eastAsia" w:ascii="仿宋_GB2312" w:eastAsia="仿宋_GB2312"/>
          <w:color w:val="auto"/>
          <w:sz w:val="28"/>
          <w:szCs w:val="28"/>
          <w:highlight w:val="none"/>
          <w:lang w:eastAsia="zh-CN"/>
        </w:rPr>
        <w:t>。</w:t>
      </w:r>
    </w:p>
    <w:p>
      <w:pPr>
        <w:spacing w:line="360" w:lineRule="auto"/>
        <w:ind w:firstLine="560"/>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eastAsia="zh-CN"/>
        </w:rPr>
        <w:t>支撑层</w:t>
      </w:r>
      <w:r>
        <w:rPr>
          <w:rFonts w:hint="eastAsia" w:ascii="仿宋_GB2312"/>
          <w:color w:val="auto"/>
          <w:sz w:val="28"/>
          <w:szCs w:val="28"/>
          <w:highlight w:val="none"/>
          <w:lang w:eastAsia="zh-CN"/>
        </w:rPr>
        <w:t>：</w:t>
      </w:r>
      <w:r>
        <w:rPr>
          <w:rFonts w:hint="eastAsia" w:ascii="仿宋_GB2312"/>
          <w:color w:val="auto"/>
          <w:sz w:val="28"/>
          <w:szCs w:val="28"/>
          <w:highlight w:val="none"/>
          <w:lang w:val="en-US" w:eastAsia="zh-CN"/>
        </w:rPr>
        <w:t>包括消息中心、待办中心、统一日志以及</w:t>
      </w:r>
      <w:r>
        <w:rPr>
          <w:rFonts w:hint="eastAsia" w:ascii="仿宋_GB2312" w:eastAsia="仿宋_GB2312"/>
          <w:color w:val="auto"/>
          <w:sz w:val="28"/>
          <w:szCs w:val="28"/>
          <w:highlight w:val="none"/>
          <w:lang w:eastAsia="zh-CN"/>
        </w:rPr>
        <w:t>数字身份管理系统、统一数据开放系统、市公共服务赋能平台。</w:t>
      </w:r>
    </w:p>
    <w:p>
      <w:pPr>
        <w:spacing w:line="360" w:lineRule="auto"/>
        <w:ind w:firstLine="560"/>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eastAsia="zh-CN"/>
        </w:rPr>
        <w:t>数据层：基础数据包含</w:t>
      </w:r>
      <w:r>
        <w:rPr>
          <w:rFonts w:hint="eastAsia" w:ascii="仿宋_GB2312"/>
          <w:color w:val="auto"/>
          <w:sz w:val="28"/>
          <w:szCs w:val="28"/>
          <w:highlight w:val="none"/>
          <w:lang w:val="en-US" w:eastAsia="zh-CN"/>
        </w:rPr>
        <w:t>教师数据</w:t>
      </w:r>
      <w:r>
        <w:rPr>
          <w:rFonts w:hint="eastAsia" w:ascii="仿宋_GB2312" w:eastAsia="仿宋_GB2312"/>
          <w:color w:val="auto"/>
          <w:sz w:val="28"/>
          <w:szCs w:val="28"/>
          <w:highlight w:val="none"/>
          <w:lang w:eastAsia="zh-CN"/>
        </w:rPr>
        <w:t>、</w:t>
      </w:r>
      <w:r>
        <w:rPr>
          <w:rFonts w:hint="eastAsia" w:ascii="仿宋_GB2312"/>
          <w:color w:val="auto"/>
          <w:sz w:val="28"/>
          <w:szCs w:val="28"/>
          <w:highlight w:val="none"/>
          <w:lang w:val="en-US" w:eastAsia="zh-CN"/>
        </w:rPr>
        <w:t>外事数据</w:t>
      </w:r>
      <w:r>
        <w:rPr>
          <w:rFonts w:hint="eastAsia" w:ascii="仿宋_GB2312" w:eastAsia="仿宋_GB2312"/>
          <w:color w:val="auto"/>
          <w:sz w:val="28"/>
          <w:szCs w:val="28"/>
          <w:highlight w:val="none"/>
          <w:lang w:eastAsia="zh-CN"/>
        </w:rPr>
        <w:t>、</w:t>
      </w:r>
      <w:r>
        <w:rPr>
          <w:rFonts w:hint="eastAsia" w:ascii="仿宋_GB2312"/>
          <w:color w:val="auto"/>
          <w:sz w:val="28"/>
          <w:szCs w:val="28"/>
          <w:highlight w:val="none"/>
          <w:lang w:val="en-US" w:eastAsia="zh-CN"/>
        </w:rPr>
        <w:t>学校后勤数据</w:t>
      </w:r>
      <w:r>
        <w:rPr>
          <w:rFonts w:hint="eastAsia" w:ascii="仿宋_GB2312" w:eastAsia="仿宋_GB2312"/>
          <w:color w:val="auto"/>
          <w:sz w:val="28"/>
          <w:szCs w:val="28"/>
          <w:highlight w:val="none"/>
          <w:lang w:eastAsia="zh-CN"/>
        </w:rPr>
        <w:t>、</w:t>
      </w:r>
      <w:r>
        <w:rPr>
          <w:rFonts w:hint="eastAsia" w:ascii="仿宋_GB2312"/>
          <w:color w:val="auto"/>
          <w:sz w:val="28"/>
          <w:szCs w:val="28"/>
          <w:highlight w:val="none"/>
          <w:lang w:val="en-US" w:eastAsia="zh-CN"/>
        </w:rPr>
        <w:t>语料数据</w:t>
      </w:r>
      <w:r>
        <w:rPr>
          <w:rFonts w:hint="eastAsia" w:ascii="仿宋_GB2312" w:eastAsia="仿宋_GB2312"/>
          <w:color w:val="auto"/>
          <w:sz w:val="28"/>
          <w:szCs w:val="28"/>
          <w:highlight w:val="none"/>
          <w:lang w:eastAsia="zh-CN"/>
        </w:rPr>
        <w:t>、</w:t>
      </w:r>
      <w:r>
        <w:rPr>
          <w:rFonts w:hint="eastAsia" w:ascii="仿宋_GB2312"/>
          <w:color w:val="auto"/>
          <w:sz w:val="28"/>
          <w:szCs w:val="28"/>
          <w:highlight w:val="none"/>
          <w:lang w:val="en-US" w:eastAsia="zh-CN"/>
        </w:rPr>
        <w:t>资产数据</w:t>
      </w:r>
      <w:r>
        <w:rPr>
          <w:rFonts w:hint="eastAsia" w:ascii="仿宋_GB2312" w:eastAsia="仿宋_GB2312"/>
          <w:color w:val="auto"/>
          <w:sz w:val="28"/>
          <w:szCs w:val="28"/>
          <w:highlight w:val="none"/>
          <w:lang w:eastAsia="zh-CN"/>
        </w:rPr>
        <w:t>、</w:t>
      </w:r>
      <w:r>
        <w:rPr>
          <w:rFonts w:hint="eastAsia" w:ascii="仿宋_GB2312"/>
          <w:color w:val="auto"/>
          <w:sz w:val="28"/>
          <w:szCs w:val="28"/>
          <w:highlight w:val="none"/>
          <w:lang w:val="en-US" w:eastAsia="zh-CN"/>
        </w:rPr>
        <w:t>学校数据</w:t>
      </w:r>
      <w:r>
        <w:rPr>
          <w:rFonts w:hint="eastAsia" w:ascii="仿宋_GB2312" w:eastAsia="仿宋_GB2312"/>
          <w:color w:val="auto"/>
          <w:sz w:val="28"/>
          <w:szCs w:val="28"/>
          <w:highlight w:val="none"/>
          <w:lang w:eastAsia="zh-CN"/>
        </w:rPr>
        <w:t>、</w:t>
      </w:r>
      <w:r>
        <w:rPr>
          <w:rFonts w:hint="eastAsia" w:ascii="仿宋_GB2312"/>
          <w:color w:val="auto"/>
          <w:sz w:val="28"/>
          <w:szCs w:val="28"/>
          <w:highlight w:val="none"/>
          <w:lang w:val="en-US" w:eastAsia="zh-CN"/>
        </w:rPr>
        <w:t>学生数据等</w:t>
      </w:r>
      <w:r>
        <w:rPr>
          <w:rFonts w:hint="eastAsia" w:ascii="仿宋_GB2312" w:eastAsia="仿宋_GB2312"/>
          <w:color w:val="auto"/>
          <w:sz w:val="28"/>
          <w:szCs w:val="28"/>
          <w:highlight w:val="none"/>
          <w:lang w:eastAsia="zh-CN"/>
        </w:rPr>
        <w:t>。</w:t>
      </w:r>
    </w:p>
    <w:p>
      <w:pPr>
        <w:spacing w:line="360" w:lineRule="auto"/>
        <w:ind w:firstLine="560"/>
        <w:rPr>
          <w:color w:val="auto"/>
          <w:highlight w:val="none"/>
        </w:rPr>
      </w:pPr>
      <w:r>
        <w:rPr>
          <w:rFonts w:hint="eastAsia" w:ascii="仿宋_GB2312" w:eastAsia="仿宋_GB2312"/>
          <w:color w:val="auto"/>
          <w:sz w:val="28"/>
          <w:szCs w:val="28"/>
          <w:highlight w:val="none"/>
          <w:lang w:eastAsia="zh-CN"/>
        </w:rPr>
        <w:t>基础层：</w:t>
      </w:r>
      <w:r>
        <w:rPr>
          <w:rFonts w:hint="eastAsia" w:ascii="仿宋_GB2312" w:hAnsi="宋体" w:cs="Times New Roman"/>
          <w:color w:val="auto"/>
          <w:sz w:val="28"/>
          <w:szCs w:val="28"/>
          <w:highlight w:val="none"/>
          <w:lang w:eastAsia="zh-CN"/>
        </w:rPr>
        <w:t>上海市教育管理服务大系统</w:t>
      </w:r>
      <w:r>
        <w:rPr>
          <w:rFonts w:hint="eastAsia" w:ascii="仿宋_GB2312" w:hAnsi="宋体" w:eastAsia="仿宋_GB2312" w:cs="Times New Roman"/>
          <w:color w:val="auto"/>
          <w:sz w:val="28"/>
          <w:szCs w:val="28"/>
          <w:highlight w:val="none"/>
          <w:lang w:eastAsia="zh-CN"/>
        </w:rPr>
        <w:t>（</w:t>
      </w:r>
      <w:r>
        <w:rPr>
          <w:rFonts w:hint="eastAsia" w:ascii="仿宋_GB2312" w:hAnsi="宋体" w:eastAsia="仿宋_GB2312" w:cs="Times New Roman"/>
          <w:color w:val="auto"/>
          <w:sz w:val="28"/>
          <w:szCs w:val="28"/>
          <w:highlight w:val="none"/>
          <w:lang w:val="en-US" w:eastAsia="zh-CN"/>
        </w:rPr>
        <w:t>2026年升级改造</w:t>
      </w:r>
      <w:r>
        <w:rPr>
          <w:rFonts w:hint="eastAsia" w:ascii="仿宋_GB2312" w:hAnsi="宋体" w:eastAsia="仿宋_GB2312" w:cs="Times New Roman"/>
          <w:color w:val="auto"/>
          <w:sz w:val="28"/>
          <w:szCs w:val="28"/>
          <w:highlight w:val="none"/>
          <w:lang w:eastAsia="zh-CN"/>
        </w:rPr>
        <w:t>）</w:t>
      </w:r>
      <w:r>
        <w:rPr>
          <w:rFonts w:hint="eastAsia" w:ascii="仿宋_GB2312" w:eastAsia="仿宋_GB2312"/>
          <w:color w:val="auto"/>
          <w:sz w:val="28"/>
          <w:szCs w:val="28"/>
          <w:highlight w:val="none"/>
          <w:lang w:eastAsia="zh-CN"/>
        </w:rPr>
        <w:t>基础层依托市电子政务云和政务网</w:t>
      </w:r>
      <w:r>
        <w:rPr>
          <w:color w:val="auto"/>
          <w:highlight w:val="none"/>
        </w:rPr>
        <w:t>。</w:t>
      </w:r>
    </w:p>
    <w:p>
      <w:pPr>
        <w:pStyle w:val="3"/>
        <w:rPr>
          <w:color w:val="auto"/>
          <w:highlight w:val="none"/>
        </w:rPr>
      </w:pPr>
      <w:r>
        <w:rPr>
          <w:rFonts w:hint="eastAsia"/>
          <w:color w:val="auto"/>
          <w:highlight w:val="none"/>
        </w:rPr>
        <w:t>技术架构</w:t>
      </w:r>
    </w:p>
    <w:p>
      <w:pPr>
        <w:widowControl/>
        <w:adjustRightInd w:val="0"/>
        <w:ind w:firstLine="560"/>
        <w:rPr>
          <w:rFonts w:hint="default" w:hAnsi="宋体" w:eastAsia="仿宋_GB2312"/>
          <w:color w:val="auto"/>
          <w:kern w:val="0"/>
          <w:szCs w:val="28"/>
          <w:highlight w:val="none"/>
          <w:lang w:val="en-US" w:eastAsia="zh-CN"/>
        </w:rPr>
      </w:pPr>
      <w:r>
        <w:rPr>
          <w:rFonts w:hint="eastAsia"/>
          <w:color w:val="auto"/>
          <w:highlight w:val="none"/>
          <w:lang w:bidi="ar"/>
        </w:rPr>
        <w:t>本项目应基于</w:t>
      </w:r>
      <w:r>
        <w:rPr>
          <w:color w:val="auto"/>
          <w:highlight w:val="none"/>
          <w:lang w:bidi="ar"/>
        </w:rPr>
        <w:t>Java编程语言，采用MVC设计模式，兼容主流Spring开发框架以利于维护。</w:t>
      </w:r>
      <w:r>
        <w:rPr>
          <w:rFonts w:hint="eastAsia"/>
          <w:color w:val="auto"/>
          <w:highlight w:val="none"/>
          <w:lang w:bidi="ar"/>
        </w:rPr>
        <w:t>应兼容现有系统架构，前端与后端可解耦，</w:t>
      </w:r>
      <w:r>
        <w:rPr>
          <w:rFonts w:hint="eastAsia" w:hAnsi="宋体"/>
          <w:color w:val="auto"/>
          <w:kern w:val="0"/>
          <w:szCs w:val="28"/>
          <w:highlight w:val="none"/>
        </w:rPr>
        <w:t>Web前端视图层中应使用主流浏览器支持的规范和技术。</w:t>
      </w:r>
      <w:r>
        <w:rPr>
          <w:rFonts w:hint="eastAsia"/>
          <w:color w:val="auto"/>
          <w:highlight w:val="none"/>
          <w:lang w:bidi="ar"/>
        </w:rPr>
        <w:t>应支持模块化开发和分布式部署以便于未来的扩展建设与运行维护。</w:t>
      </w:r>
      <w:r>
        <w:rPr>
          <w:rFonts w:hint="eastAsia" w:hAnsi="宋体"/>
          <w:color w:val="auto"/>
          <w:kern w:val="0"/>
          <w:szCs w:val="28"/>
          <w:highlight w:val="none"/>
        </w:rPr>
        <w:t>数据访问层连接池使用高性能池化技术，从容应对高并发数据库访问。</w:t>
      </w:r>
    </w:p>
    <w:p>
      <w:pPr>
        <w:pStyle w:val="3"/>
        <w:rPr>
          <w:color w:val="auto"/>
          <w:highlight w:val="none"/>
        </w:rPr>
      </w:pPr>
      <w:r>
        <w:rPr>
          <w:rFonts w:hint="eastAsia"/>
          <w:color w:val="auto"/>
          <w:highlight w:val="none"/>
        </w:rPr>
        <w:t>低代码平台相关要求</w:t>
      </w:r>
    </w:p>
    <w:p>
      <w:pPr>
        <w:widowControl/>
        <w:adjustRightInd w:val="0"/>
        <w:ind w:firstLine="560"/>
        <w:rPr>
          <w:rFonts w:hint="eastAsia"/>
          <w:color w:val="auto"/>
          <w:highlight w:val="none"/>
          <w:lang w:val="en-US" w:eastAsia="zh-CN" w:bidi="ar"/>
        </w:rPr>
      </w:pPr>
      <w:r>
        <w:rPr>
          <w:rFonts w:hint="eastAsia"/>
          <w:color w:val="auto"/>
          <w:highlight w:val="none"/>
          <w:lang w:val="en-US" w:eastAsia="zh-CN" w:bidi="ar"/>
        </w:rPr>
        <w:t>总体要求：供应商应针对采购方指定的功能模块使用自有低代码平台或第三方低代码平台（以下统称“该平台”）进行构建，快速响应业务流程变化和定制化需求。</w:t>
      </w:r>
    </w:p>
    <w:p>
      <w:pPr>
        <w:rPr>
          <w:rFonts w:hint="eastAsia"/>
          <w:color w:val="auto"/>
          <w:highlight w:val="none"/>
          <w:lang w:val="en-US" w:eastAsia="zh-CN"/>
        </w:rPr>
      </w:pPr>
      <w:r>
        <w:rPr>
          <w:rFonts w:hint="eastAsia"/>
          <w:color w:val="auto"/>
          <w:highlight w:val="none"/>
          <w:lang w:val="en-US" w:eastAsia="zh-CN"/>
        </w:rPr>
        <w:t>具体要求：</w:t>
      </w:r>
    </w:p>
    <w:p>
      <w:pPr>
        <w:rPr>
          <w:rFonts w:hint="eastAsia"/>
          <w:color w:val="auto"/>
          <w:highlight w:val="none"/>
          <w:lang w:val="en-US" w:eastAsia="zh-CN"/>
        </w:rPr>
      </w:pPr>
      <w:r>
        <w:rPr>
          <w:rFonts w:hint="eastAsia"/>
          <w:color w:val="auto"/>
          <w:highlight w:val="none"/>
          <w:lang w:val="en-US" w:eastAsia="zh-CN"/>
        </w:rPr>
        <w:t>1、基本要求：</w:t>
      </w:r>
    </w:p>
    <w:p>
      <w:pPr>
        <w:rPr>
          <w:rFonts w:hint="eastAsia"/>
          <w:color w:val="auto"/>
          <w:highlight w:val="none"/>
          <w:lang w:val="en-US" w:eastAsia="zh-CN"/>
        </w:rPr>
      </w:pPr>
      <w:r>
        <w:rPr>
          <w:rFonts w:hint="eastAsia"/>
          <w:color w:val="auto"/>
          <w:highlight w:val="none"/>
          <w:lang w:val="en-US" w:eastAsia="zh-CN"/>
        </w:rPr>
        <w:t>（1）该平台能够支持以可视化的方式基于数据模型创建功能模块和业务流程，支持通过“拖、拉、拽”或配置化等方式，快速构建和修改表单、流程、报表、图表及核心业务功能；支持构建可复用的业务组件库和业务模板，提升同类功能的开发效率，保障用户体验的一致性；在业务需求发生变化时，大部分功能调整能通过平台配置方式完成，避免或减少底层代码的修改；</w:t>
      </w:r>
    </w:p>
    <w:p>
      <w:pPr>
        <w:rPr>
          <w:rFonts w:hint="eastAsia"/>
          <w:color w:val="auto"/>
          <w:highlight w:val="none"/>
          <w:lang w:val="en-US" w:eastAsia="zh-CN"/>
        </w:rPr>
      </w:pPr>
      <w:r>
        <w:rPr>
          <w:rFonts w:hint="eastAsia"/>
          <w:color w:val="auto"/>
          <w:highlight w:val="none"/>
          <w:lang w:val="en-US" w:eastAsia="zh-CN"/>
        </w:rPr>
        <w:t>（2）该平台能够支持部署在上海电子政务云（电信）xc环境中，支持使用主流国产数据库，支持容器化部署，支持高可用和弹性伸缩方案；</w:t>
      </w:r>
    </w:p>
    <w:p>
      <w:pPr>
        <w:rPr>
          <w:rFonts w:hint="eastAsia"/>
          <w:color w:val="auto"/>
          <w:highlight w:val="none"/>
          <w:lang w:val="en-US" w:eastAsia="zh-CN"/>
        </w:rPr>
      </w:pPr>
      <w:r>
        <w:rPr>
          <w:rFonts w:hint="eastAsia"/>
          <w:color w:val="auto"/>
          <w:highlight w:val="none"/>
          <w:lang w:val="en-US" w:eastAsia="zh-CN"/>
        </w:rPr>
        <w:t>（3）该平台能够支持使用java和javascript等语言通过自定义脚本、代码函数等方式进行功能增强和二次开发；支持与第三方统一身份认证集成，支持CAS，OAuth2等协议；</w:t>
      </w:r>
    </w:p>
    <w:p>
      <w:pPr>
        <w:rPr>
          <w:rFonts w:hint="eastAsia"/>
          <w:color w:val="auto"/>
          <w:highlight w:val="none"/>
          <w:lang w:val="en-US" w:eastAsia="zh-CN"/>
        </w:rPr>
      </w:pPr>
      <w:r>
        <w:rPr>
          <w:rFonts w:hint="eastAsia"/>
          <w:color w:val="auto"/>
          <w:highlight w:val="none"/>
          <w:lang w:val="en-US" w:eastAsia="zh-CN"/>
        </w:rPr>
        <w:t>（4）如使用第三方平台，供应商应选择具备《软件著作权证书》或《软件产品证书》、等保三级备案证明、第三方安全测评报告及xc认证相关证书（如xc软件产品证书、xc产品适配证书等）的平台产品；</w:t>
      </w:r>
    </w:p>
    <w:p>
      <w:pPr>
        <w:rPr>
          <w:rFonts w:hint="eastAsia"/>
          <w:color w:val="auto"/>
          <w:highlight w:val="none"/>
          <w:lang w:val="en-US" w:eastAsia="zh-CN"/>
        </w:rPr>
      </w:pPr>
      <w:r>
        <w:rPr>
          <w:rFonts w:hint="eastAsia"/>
          <w:color w:val="auto"/>
          <w:highlight w:val="none"/>
          <w:lang w:val="en-US" w:eastAsia="zh-CN"/>
        </w:rPr>
        <w:t>（5）供应商应提供该平台完整的产品文档、开发手册和培训材料；供应商应提供该平台的7x24小时热线技术支持及5*8小时开发现场技术支持，明确技术支持联系方式及开发现场技术支持人员；</w:t>
      </w:r>
    </w:p>
    <w:p>
      <w:pPr>
        <w:rPr>
          <w:rFonts w:hint="eastAsia"/>
          <w:color w:val="auto"/>
          <w:highlight w:val="none"/>
          <w:lang w:val="en-US" w:eastAsia="zh-CN"/>
        </w:rPr>
      </w:pPr>
      <w:r>
        <w:rPr>
          <w:rFonts w:hint="eastAsia"/>
          <w:color w:val="auto"/>
          <w:highlight w:val="none"/>
          <w:lang w:val="en-US" w:eastAsia="zh-CN"/>
        </w:rPr>
        <w:t>（6）供应商应提供该平台的正式许可，并承诺许可有效时间至少持续至本项目免维期结束；</w:t>
      </w:r>
    </w:p>
    <w:p>
      <w:pPr>
        <w:rPr>
          <w:rFonts w:hint="eastAsia"/>
          <w:color w:val="auto"/>
          <w:highlight w:val="none"/>
          <w:lang w:val="en-US" w:eastAsia="zh-CN"/>
        </w:rPr>
      </w:pPr>
      <w:r>
        <w:rPr>
          <w:rFonts w:hint="eastAsia"/>
          <w:color w:val="auto"/>
          <w:highlight w:val="none"/>
          <w:lang w:val="en-US" w:eastAsia="zh-CN"/>
        </w:rPr>
        <w:t>（7）供应商应承诺对该平台版本的技术支持至少持续至2030年12月31日，如升级版本，需支持向下兼容；</w:t>
      </w:r>
    </w:p>
    <w:p>
      <w:pPr>
        <w:rPr>
          <w:rFonts w:hint="eastAsia"/>
          <w:color w:val="auto"/>
          <w:highlight w:val="none"/>
          <w:lang w:val="en-US" w:eastAsia="zh-CN"/>
        </w:rPr>
      </w:pPr>
      <w:r>
        <w:rPr>
          <w:rFonts w:hint="eastAsia"/>
          <w:color w:val="auto"/>
          <w:highlight w:val="none"/>
          <w:lang w:val="en-US" w:eastAsia="zh-CN"/>
        </w:rPr>
        <w:t>（8）供应商应承诺该平台未留有任何后门，并根据采购方安全管理要求及时响应并修补安全漏洞；</w:t>
      </w:r>
    </w:p>
    <w:p>
      <w:pPr>
        <w:rPr>
          <w:rFonts w:hint="eastAsia"/>
          <w:color w:val="auto"/>
          <w:highlight w:val="none"/>
          <w:lang w:val="en-US" w:eastAsia="zh-CN"/>
        </w:rPr>
      </w:pPr>
      <w:r>
        <w:rPr>
          <w:rFonts w:hint="eastAsia"/>
          <w:color w:val="auto"/>
          <w:highlight w:val="none"/>
          <w:lang w:val="en-US" w:eastAsia="zh-CN"/>
        </w:rPr>
        <w:t>（9）供应商应承诺根据本项目要求提供系统集成所需接口，如根据当前登录用户获取用户已被授权的菜单数据等。</w:t>
      </w:r>
    </w:p>
    <w:p>
      <w:pPr>
        <w:rPr>
          <w:rFonts w:hint="eastAsia"/>
          <w:color w:val="auto"/>
          <w:highlight w:val="none"/>
          <w:lang w:val="en-US" w:eastAsia="zh-CN"/>
        </w:rPr>
      </w:pPr>
      <w:r>
        <w:rPr>
          <w:rFonts w:hint="eastAsia"/>
          <w:color w:val="auto"/>
          <w:highlight w:val="none"/>
          <w:lang w:val="en-US" w:eastAsia="zh-CN"/>
        </w:rPr>
        <w:t>2、扩展要求</w:t>
      </w:r>
    </w:p>
    <w:p>
      <w:pPr>
        <w:rPr>
          <w:rFonts w:hint="eastAsia"/>
          <w:color w:val="auto"/>
          <w:highlight w:val="none"/>
          <w:lang w:val="en-US" w:eastAsia="zh-CN"/>
        </w:rPr>
      </w:pPr>
      <w:r>
        <w:rPr>
          <w:rFonts w:hint="eastAsia"/>
          <w:color w:val="auto"/>
          <w:highlight w:val="none"/>
          <w:lang w:val="en-US" w:eastAsia="zh-CN"/>
        </w:rPr>
        <w:t>（1）该平台能够提供平台本身的源代码或能够导出开发的应用程序的源代码（非配置文件），源代码应具有较好的可读性；</w:t>
      </w:r>
    </w:p>
    <w:p>
      <w:pPr>
        <w:rPr>
          <w:color w:val="auto"/>
          <w:highlight w:val="none"/>
        </w:rPr>
      </w:pPr>
      <w:r>
        <w:rPr>
          <w:rFonts w:hint="eastAsia"/>
          <w:color w:val="auto"/>
          <w:highlight w:val="none"/>
          <w:lang w:val="en-US" w:eastAsia="zh-CN"/>
        </w:rPr>
        <w:t>（2）该平台支持通过自然语言交互功能，快速生成和配置数据模型、业务表单及工作流程。</w:t>
      </w:r>
    </w:p>
    <w:p>
      <w:pPr>
        <w:pStyle w:val="3"/>
        <w:rPr>
          <w:color w:val="auto"/>
          <w:highlight w:val="none"/>
        </w:rPr>
      </w:pPr>
      <w:r>
        <w:rPr>
          <w:rFonts w:hint="eastAsia"/>
          <w:color w:val="auto"/>
          <w:highlight w:val="none"/>
        </w:rPr>
        <w:t>部署环境</w:t>
      </w:r>
    </w:p>
    <w:p>
      <w:pPr>
        <w:ind w:firstLine="560"/>
        <w:rPr>
          <w:color w:val="auto"/>
          <w:highlight w:val="none"/>
          <w:lang w:bidi="ar"/>
        </w:rPr>
      </w:pPr>
      <w:r>
        <w:rPr>
          <w:rFonts w:hint="eastAsia"/>
          <w:color w:val="auto"/>
          <w:highlight w:val="none"/>
          <w:lang w:bidi="ar"/>
        </w:rPr>
        <w:t>应用系统根据业务访问需求部署在上海市政务云的</w:t>
      </w:r>
      <w:r>
        <w:rPr>
          <w:rFonts w:hint="eastAsia"/>
          <w:color w:val="auto"/>
          <w:highlight w:val="none"/>
          <w:lang w:eastAsia="zh-CN" w:bidi="ar"/>
        </w:rPr>
        <w:t>xc</w:t>
      </w:r>
      <w:r>
        <w:rPr>
          <w:rFonts w:hint="eastAsia"/>
          <w:color w:val="auto"/>
          <w:highlight w:val="none"/>
          <w:lang w:bidi="ar"/>
        </w:rPr>
        <w:t>资源环境，使用国产化基础软件。</w:t>
      </w:r>
    </w:p>
    <w:p>
      <w:pPr>
        <w:pStyle w:val="3"/>
        <w:rPr>
          <w:color w:val="auto"/>
          <w:highlight w:val="none"/>
        </w:rPr>
      </w:pPr>
      <w:r>
        <w:rPr>
          <w:rFonts w:hint="eastAsia"/>
          <w:color w:val="auto"/>
          <w:highlight w:val="none"/>
        </w:rPr>
        <w:t>系统对接</w:t>
      </w:r>
    </w:p>
    <w:p>
      <w:pPr>
        <w:ind w:firstLine="560"/>
        <w:rPr>
          <w:rFonts w:hint="eastAsia" w:cs="Times New Roman"/>
          <w:color w:val="auto"/>
          <w:highlight w:val="none"/>
          <w:lang w:val="en-US" w:eastAsia="zh-CN" w:bidi="ar"/>
        </w:rPr>
      </w:pPr>
      <w:r>
        <w:rPr>
          <w:rFonts w:hint="eastAsia" w:cs="Times New Roman"/>
          <w:color w:val="auto"/>
          <w:highlight w:val="none"/>
          <w:lang w:bidi="ar"/>
        </w:rPr>
        <w:t>1.教师信息管理</w:t>
      </w:r>
      <w:r>
        <w:rPr>
          <w:rFonts w:hint="eastAsia" w:cs="Times New Roman"/>
          <w:color w:val="auto"/>
          <w:highlight w:val="none"/>
          <w:lang w:val="en-US" w:eastAsia="zh-CN" w:bidi="ar"/>
        </w:rPr>
        <w:t>模块</w:t>
      </w:r>
    </w:p>
    <w:p>
      <w:pPr>
        <w:ind w:firstLine="560"/>
        <w:rPr>
          <w:rFonts w:hint="eastAsia" w:cs="Times New Roman"/>
          <w:color w:val="auto"/>
          <w:highlight w:val="none"/>
          <w:lang w:val="en-US" w:eastAsia="zh-CN" w:bidi="ar"/>
        </w:rPr>
      </w:pPr>
      <w:r>
        <w:rPr>
          <w:rFonts w:hint="eastAsia" w:cs="Times New Roman"/>
          <w:color w:val="auto"/>
          <w:highlight w:val="none"/>
          <w:lang w:val="en-US" w:eastAsia="zh-CN" w:bidi="ar"/>
        </w:rPr>
        <w:t>对接教师培训数据：从上海市教师教育管理平台、上海市区级教师教育管理平台获取市、区两级教师的市、区两级培训管理数据，对接的核心字段有学分、课程、班级、报名、学习记录、时长以及成绩等核心字段。</w:t>
      </w:r>
    </w:p>
    <w:p>
      <w:pPr>
        <w:ind w:firstLine="560"/>
        <w:rPr>
          <w:rFonts w:hint="eastAsia" w:cs="Times New Roman"/>
          <w:color w:val="auto"/>
          <w:highlight w:val="none"/>
          <w:lang w:val="en-US" w:eastAsia="zh-CN" w:bidi="ar"/>
        </w:rPr>
      </w:pPr>
      <w:r>
        <w:rPr>
          <w:rFonts w:hint="eastAsia" w:cs="Times New Roman"/>
          <w:color w:val="auto"/>
          <w:highlight w:val="none"/>
          <w:lang w:val="en-US" w:eastAsia="zh-CN" w:bidi="ar"/>
        </w:rPr>
        <w:t>对接人事基础信息数据：从16个区的基教人事系统、各职教学校的人事系统以及各高校的人事系统中获取教师的基础信息数据，主要包括通过统一的数据对接接口，实现对教师基础信息数据的全面获取与实时同步。</w:t>
      </w:r>
    </w:p>
    <w:p>
      <w:pPr>
        <w:ind w:firstLine="560"/>
        <w:rPr>
          <w:rFonts w:hint="eastAsia" w:cs="Times New Roman"/>
          <w:color w:val="auto"/>
          <w:highlight w:val="none"/>
          <w:lang w:val="en-US" w:eastAsia="zh-CN" w:bidi="ar"/>
        </w:rPr>
      </w:pPr>
      <w:r>
        <w:rPr>
          <w:rFonts w:hint="eastAsia" w:cs="Times New Roman"/>
          <w:color w:val="auto"/>
          <w:highlight w:val="none"/>
          <w:lang w:val="en-US" w:eastAsia="zh-CN" w:bidi="ar"/>
        </w:rPr>
        <w:t>对接国内访问学者数据：从上海市高校国内访问学者管理平台中获取愿意成为国内访问学者的博士(无专业限制)群体数据。</w:t>
      </w:r>
    </w:p>
    <w:p>
      <w:pPr>
        <w:ind w:firstLine="560"/>
        <w:rPr>
          <w:rFonts w:hint="eastAsia" w:cs="Times New Roman"/>
          <w:color w:val="auto"/>
          <w:highlight w:val="none"/>
          <w:lang w:val="en-US" w:eastAsia="zh-CN" w:bidi="ar"/>
        </w:rPr>
      </w:pPr>
      <w:r>
        <w:rPr>
          <w:rFonts w:hint="eastAsia" w:cs="Times New Roman"/>
          <w:color w:val="auto"/>
          <w:highlight w:val="none"/>
          <w:lang w:val="en-US" w:eastAsia="zh-CN" w:bidi="ar"/>
        </w:rPr>
        <w:t>全国教师管理系统数据上报：将本地基础教育阶段教师、职业教育阶段教师以及高教阶段教师的基础数据上报至全国教师数据库，原上报的形式、标准、规范以及维度已陈旧落后，本次项目上报内容主要为新对接的各系统数据提炼出来的人员基础数据。</w:t>
      </w:r>
    </w:p>
    <w:p>
      <w:pPr>
        <w:ind w:firstLine="562"/>
        <w:rPr>
          <w:rFonts w:hint="eastAsia"/>
          <w:color w:val="auto"/>
          <w:sz w:val="28"/>
          <w:szCs w:val="28"/>
          <w:highlight w:val="none"/>
          <w:lang w:val="en-US" w:eastAsia="zh-CN"/>
        </w:rPr>
      </w:pPr>
      <w:r>
        <w:rPr>
          <w:rFonts w:hint="eastAsia"/>
          <w:color w:val="auto"/>
          <w:sz w:val="28"/>
          <w:szCs w:val="28"/>
          <w:highlight w:val="none"/>
          <w:lang w:val="en-US" w:eastAsia="zh-CN"/>
        </w:rPr>
        <w:t>2.学校后勤管理模块</w:t>
      </w:r>
    </w:p>
    <w:p>
      <w:pPr>
        <w:ind w:firstLine="562"/>
        <w:rPr>
          <w:rFonts w:hint="eastAsia" w:ascii="仿宋_GB2312"/>
          <w:color w:val="auto"/>
          <w:sz w:val="28"/>
          <w:szCs w:val="28"/>
          <w:highlight w:val="none"/>
          <w:lang w:val="en-US" w:eastAsia="zh-CN"/>
        </w:rPr>
      </w:pPr>
      <w:r>
        <w:rPr>
          <w:rFonts w:hint="eastAsia" w:ascii="仿宋_GB2312"/>
          <w:color w:val="auto"/>
          <w:sz w:val="28"/>
          <w:szCs w:val="28"/>
          <w:highlight w:val="none"/>
          <w:lang w:val="en-US" w:eastAsia="zh-CN"/>
        </w:rPr>
        <w:t>对接市级“一张图”系统</w:t>
      </w:r>
      <w:r>
        <w:rPr>
          <w:rFonts w:hint="eastAsia"/>
          <w:color w:val="auto"/>
          <w:sz w:val="28"/>
          <w:szCs w:val="28"/>
          <w:highlight w:val="none"/>
          <w:lang w:val="en-US" w:eastAsia="zh-CN"/>
        </w:rPr>
        <w:t>：</w:t>
      </w:r>
      <w:r>
        <w:rPr>
          <w:rFonts w:hint="eastAsia" w:ascii="仿宋_GB2312"/>
          <w:color w:val="auto"/>
          <w:sz w:val="28"/>
          <w:szCs w:val="28"/>
          <w:highlight w:val="none"/>
          <w:lang w:val="en-US" w:eastAsia="zh-CN"/>
        </w:rPr>
        <w:t>构建防汛防台应急指挥平台，实现高校防汛数据的可视化呈现与动态跟踪，强化应急物资智能调配与多部门协同处置效率。</w:t>
      </w:r>
    </w:p>
    <w:p>
      <w:pPr>
        <w:ind w:firstLine="562"/>
        <w:rPr>
          <w:rFonts w:hint="default" w:ascii="仿宋_GB2312"/>
          <w:color w:val="auto"/>
          <w:sz w:val="28"/>
          <w:szCs w:val="28"/>
          <w:highlight w:val="none"/>
          <w:lang w:val="en-US" w:eastAsia="zh-CN"/>
        </w:rPr>
      </w:pPr>
      <w:r>
        <w:rPr>
          <w:rFonts w:hint="eastAsia"/>
          <w:color w:val="auto"/>
          <w:sz w:val="28"/>
          <w:szCs w:val="28"/>
          <w:highlight w:val="none"/>
          <w:lang w:val="en-US" w:eastAsia="zh-CN"/>
        </w:rPr>
        <w:t>3.外事管理模块</w:t>
      </w:r>
    </w:p>
    <w:p>
      <w:pPr>
        <w:pStyle w:val="134"/>
        <w:keepNext w:val="0"/>
        <w:keepLines w:val="0"/>
        <w:pageBreakBefore w:val="0"/>
        <w:widowControl/>
        <w:kinsoku/>
        <w:wordWrap/>
        <w:overflowPunct/>
        <w:topLinePunct w:val="0"/>
        <w:autoSpaceDE/>
        <w:autoSpaceDN/>
        <w:bidi w:val="0"/>
        <w:adjustRightInd w:val="0"/>
        <w:snapToGrid/>
        <w:spacing w:line="500" w:lineRule="exact"/>
        <w:ind w:firstLine="560" w:firstLineChars="200"/>
        <w:textAlignment w:val="auto"/>
        <w:rPr>
          <w:rFonts w:hint="default" w:ascii="仿宋_GB2312" w:hAnsi="宋体" w:eastAsia="仿宋_GB2312" w:cs="Times New Roman"/>
          <w:b w:val="0"/>
          <w:bCs w:val="0"/>
          <w:color w:val="auto"/>
          <w:kern w:val="0"/>
          <w:sz w:val="28"/>
          <w:szCs w:val="28"/>
          <w:highlight w:val="none"/>
          <w:lang w:val="en-US" w:eastAsia="zh-CN" w:bidi="ar-SA"/>
        </w:rPr>
      </w:pPr>
      <w:r>
        <w:rPr>
          <w:rFonts w:hint="default" w:ascii="仿宋_GB2312" w:hAnsi="宋体" w:eastAsia="仿宋_GB2312" w:cs="Times New Roman"/>
          <w:b w:val="0"/>
          <w:bCs w:val="0"/>
          <w:color w:val="auto"/>
          <w:kern w:val="0"/>
          <w:sz w:val="28"/>
          <w:szCs w:val="28"/>
          <w:highlight w:val="none"/>
          <w:lang w:val="en-US" w:eastAsia="zh-CN" w:bidi="ar-SA"/>
        </w:rPr>
        <w:t>对接基教处</w:t>
      </w:r>
      <w:r>
        <w:rPr>
          <w:rFonts w:hint="eastAsia" w:ascii="仿宋_GB2312" w:hAnsi="宋体" w:cs="Times New Roman"/>
          <w:b w:val="0"/>
          <w:bCs w:val="0"/>
          <w:color w:val="auto"/>
          <w:kern w:val="0"/>
          <w:sz w:val="28"/>
          <w:szCs w:val="28"/>
          <w:highlight w:val="none"/>
          <w:lang w:val="en-US" w:eastAsia="zh-CN" w:bidi="ar-SA"/>
        </w:rPr>
        <w:t>学生</w:t>
      </w:r>
      <w:r>
        <w:rPr>
          <w:rFonts w:hint="default" w:ascii="仿宋_GB2312" w:hAnsi="宋体" w:eastAsia="仿宋_GB2312" w:cs="Times New Roman"/>
          <w:b w:val="0"/>
          <w:bCs w:val="0"/>
          <w:color w:val="auto"/>
          <w:kern w:val="0"/>
          <w:sz w:val="28"/>
          <w:szCs w:val="28"/>
          <w:highlight w:val="none"/>
          <w:lang w:val="en-US" w:eastAsia="zh-CN" w:bidi="ar-SA"/>
        </w:rPr>
        <w:t>信息</w:t>
      </w:r>
      <w:r>
        <w:rPr>
          <w:rFonts w:hint="eastAsia" w:ascii="仿宋_GB2312" w:hAnsi="宋体" w:cs="Times New Roman"/>
          <w:b w:val="0"/>
          <w:bCs w:val="0"/>
          <w:color w:val="auto"/>
          <w:kern w:val="0"/>
          <w:sz w:val="28"/>
          <w:szCs w:val="28"/>
          <w:highlight w:val="none"/>
          <w:lang w:val="en-US" w:eastAsia="zh-CN" w:bidi="ar-SA"/>
        </w:rPr>
        <w:t>：</w:t>
      </w:r>
      <w:r>
        <w:rPr>
          <w:rFonts w:hint="default" w:ascii="仿宋_GB2312" w:hAnsi="宋体" w:eastAsia="仿宋_GB2312" w:cs="Times New Roman"/>
          <w:b w:val="0"/>
          <w:bCs w:val="0"/>
          <w:color w:val="auto"/>
          <w:kern w:val="0"/>
          <w:sz w:val="28"/>
          <w:szCs w:val="28"/>
          <w:highlight w:val="none"/>
          <w:lang w:val="en-US" w:eastAsia="zh-CN" w:bidi="ar-SA"/>
        </w:rPr>
        <w:t>获取有学籍部分留学生的基础信息，包括区代码、区名称、学校代码、学校名称、校区代码、校区名称、年级、姓名、性别、国家/地区等。</w:t>
      </w:r>
    </w:p>
    <w:p>
      <w:pPr>
        <w:ind w:firstLine="562"/>
        <w:rPr>
          <w:rFonts w:hint="eastAsia"/>
          <w:color w:val="auto"/>
          <w:sz w:val="28"/>
          <w:szCs w:val="28"/>
          <w:highlight w:val="none"/>
          <w:lang w:val="en-US" w:eastAsia="zh-CN"/>
        </w:rPr>
      </w:pPr>
      <w:r>
        <w:rPr>
          <w:rFonts w:hint="eastAsia"/>
          <w:color w:val="auto"/>
          <w:sz w:val="28"/>
          <w:szCs w:val="28"/>
          <w:highlight w:val="none"/>
          <w:lang w:val="en-US" w:eastAsia="zh-CN"/>
        </w:rPr>
        <w:t>对接</w:t>
      </w:r>
      <w:r>
        <w:rPr>
          <w:rFonts w:hint="eastAsia" w:ascii="仿宋_GB2312"/>
          <w:color w:val="auto"/>
          <w:sz w:val="28"/>
          <w:szCs w:val="28"/>
          <w:highlight w:val="none"/>
          <w:lang w:val="en-US" w:eastAsia="zh-CN"/>
        </w:rPr>
        <w:t>全国来华留学生信息管理系统</w:t>
      </w:r>
      <w:r>
        <w:rPr>
          <w:rFonts w:hint="eastAsia"/>
          <w:color w:val="auto"/>
          <w:sz w:val="28"/>
          <w:szCs w:val="28"/>
          <w:highlight w:val="none"/>
          <w:lang w:val="en-US" w:eastAsia="zh-CN"/>
        </w:rPr>
        <w:t>：</w:t>
      </w:r>
      <w:r>
        <w:rPr>
          <w:rFonts w:hint="eastAsia" w:ascii="仿宋_GB2312"/>
          <w:color w:val="auto"/>
          <w:sz w:val="28"/>
          <w:szCs w:val="28"/>
          <w:highlight w:val="none"/>
          <w:lang w:val="en-US" w:eastAsia="zh-CN"/>
        </w:rPr>
        <w:t>建设</w:t>
      </w:r>
      <w:r>
        <w:rPr>
          <w:rFonts w:hint="eastAsia"/>
          <w:color w:val="auto"/>
          <w:sz w:val="28"/>
          <w:szCs w:val="28"/>
          <w:highlight w:val="none"/>
          <w:lang w:val="en-US" w:eastAsia="zh-CN"/>
        </w:rPr>
        <w:t>与</w:t>
      </w:r>
      <w:r>
        <w:rPr>
          <w:rFonts w:hint="eastAsia" w:ascii="仿宋_GB2312"/>
          <w:color w:val="auto"/>
          <w:sz w:val="28"/>
          <w:szCs w:val="28"/>
          <w:highlight w:val="none"/>
          <w:lang w:val="en-US" w:eastAsia="zh-CN"/>
        </w:rPr>
        <w:t>标准接口对接能力，</w:t>
      </w:r>
      <w:r>
        <w:rPr>
          <w:rFonts w:hint="eastAsia"/>
          <w:color w:val="auto"/>
          <w:sz w:val="28"/>
          <w:szCs w:val="28"/>
          <w:highlight w:val="none"/>
          <w:lang w:val="en-US" w:eastAsia="zh-CN"/>
        </w:rPr>
        <w:t>进行</w:t>
      </w:r>
      <w:r>
        <w:rPr>
          <w:rFonts w:hint="eastAsia" w:ascii="仿宋_GB2312"/>
          <w:color w:val="auto"/>
          <w:sz w:val="28"/>
          <w:szCs w:val="28"/>
          <w:highlight w:val="none"/>
          <w:lang w:val="en-US" w:eastAsia="zh-CN"/>
        </w:rPr>
        <w:t>全国来华留学生数据统计上报</w:t>
      </w:r>
      <w:r>
        <w:rPr>
          <w:rFonts w:hint="eastAsia"/>
          <w:color w:val="auto"/>
          <w:sz w:val="28"/>
          <w:szCs w:val="28"/>
          <w:highlight w:val="none"/>
          <w:lang w:val="en-US" w:eastAsia="zh-CN"/>
        </w:rPr>
        <w:t>。</w:t>
      </w:r>
    </w:p>
    <w:p>
      <w:pPr>
        <w:ind w:firstLine="562"/>
        <w:rPr>
          <w:rFonts w:hint="eastAsia"/>
          <w:color w:val="auto"/>
          <w:sz w:val="28"/>
          <w:szCs w:val="28"/>
          <w:highlight w:val="none"/>
          <w:lang w:val="en-US" w:eastAsia="zh-CN"/>
        </w:rPr>
      </w:pPr>
      <w:r>
        <w:rPr>
          <w:rFonts w:hint="eastAsia"/>
          <w:color w:val="auto"/>
          <w:sz w:val="28"/>
          <w:szCs w:val="28"/>
          <w:highlight w:val="none"/>
          <w:lang w:val="en-US" w:eastAsia="zh-CN"/>
        </w:rPr>
        <w:t>对接“留学上海”平台：能够自动推送已确认项目数据，提升学校合作项目展示效率与对外传播力。</w:t>
      </w:r>
    </w:p>
    <w:p>
      <w:pPr>
        <w:pStyle w:val="3"/>
        <w:rPr>
          <w:color w:val="auto"/>
          <w:highlight w:val="none"/>
          <w:lang w:bidi="ar"/>
        </w:rPr>
      </w:pPr>
      <w:r>
        <w:rPr>
          <w:rFonts w:hint="eastAsia"/>
          <w:color w:val="auto"/>
          <w:highlight w:val="none"/>
        </w:rPr>
        <w:t>软件开发清单</w:t>
      </w:r>
    </w:p>
    <w:p>
      <w:pPr>
        <w:keepNext w:val="0"/>
        <w:keepLines w:val="0"/>
        <w:pageBreakBefore w:val="0"/>
        <w:widowControl w:val="0"/>
        <w:numPr>
          <w:ilvl w:val="0"/>
          <w:numId w:val="6"/>
        </w:numPr>
        <w:kinsoku/>
        <w:wordWrap/>
        <w:overflowPunct/>
        <w:topLinePunct w:val="0"/>
        <w:autoSpaceDE/>
        <w:autoSpaceDN/>
        <w:bidi w:val="0"/>
        <w:adjustRightInd/>
        <w:snapToGrid/>
        <w:ind w:firstLine="560" w:firstLineChars="200"/>
        <w:textAlignment w:val="auto"/>
        <w:rPr>
          <w:rFonts w:hint="eastAsia"/>
          <w:b/>
          <w:bCs/>
          <w:color w:val="auto"/>
          <w:highlight w:val="none"/>
        </w:rPr>
      </w:pPr>
      <w:r>
        <w:rPr>
          <w:rFonts w:hint="eastAsia"/>
          <w:b/>
          <w:bCs/>
          <w:color w:val="auto"/>
          <w:highlight w:val="none"/>
        </w:rPr>
        <w:t>应用支撑</w:t>
      </w:r>
    </w:p>
    <w:tbl>
      <w:tblPr>
        <w:tblStyle w:val="35"/>
        <w:tblW w:w="897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1"/>
        <w:gridCol w:w="1396"/>
        <w:gridCol w:w="68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kern w:val="0"/>
                <w:sz w:val="22"/>
                <w:szCs w:val="22"/>
                <w:highlight w:val="none"/>
                <w:u w:val="none"/>
                <w:lang w:val="en-US" w:eastAsia="zh-CN" w:bidi="ar"/>
              </w:rPr>
            </w:pPr>
            <w:r>
              <w:rPr>
                <w:rFonts w:hint="eastAsia" w:ascii="仿宋" w:hAnsi="仿宋" w:eastAsia="仿宋" w:cs="仿宋"/>
                <w:b/>
                <w:bCs/>
                <w:i w:val="0"/>
                <w:iCs w:val="0"/>
                <w:color w:val="auto"/>
                <w:kern w:val="0"/>
                <w:sz w:val="22"/>
                <w:szCs w:val="22"/>
                <w:highlight w:val="none"/>
                <w:u w:val="none"/>
                <w:lang w:val="en-US" w:eastAsia="zh-CN" w:bidi="ar"/>
              </w:rPr>
              <w:t>序号</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kern w:val="0"/>
                <w:sz w:val="22"/>
                <w:szCs w:val="22"/>
                <w:highlight w:val="none"/>
                <w:u w:val="none"/>
                <w:lang w:val="en-US" w:eastAsia="zh-CN" w:bidi="ar"/>
              </w:rPr>
            </w:pPr>
            <w:r>
              <w:rPr>
                <w:rFonts w:hint="eastAsia" w:ascii="仿宋" w:hAnsi="仿宋" w:eastAsia="仿宋" w:cs="仿宋"/>
                <w:b/>
                <w:bCs/>
                <w:i w:val="0"/>
                <w:iCs w:val="0"/>
                <w:color w:val="auto"/>
                <w:kern w:val="0"/>
                <w:sz w:val="22"/>
                <w:szCs w:val="22"/>
                <w:highlight w:val="none"/>
                <w:u w:val="none"/>
                <w:lang w:val="en-US" w:eastAsia="zh-CN" w:bidi="ar"/>
              </w:rPr>
              <w:t>功能名称</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kern w:val="0"/>
                <w:sz w:val="22"/>
                <w:szCs w:val="22"/>
                <w:highlight w:val="none"/>
                <w:u w:val="none"/>
                <w:lang w:val="en-US" w:eastAsia="zh-CN" w:bidi="ar"/>
              </w:rPr>
            </w:pPr>
            <w:r>
              <w:rPr>
                <w:rFonts w:hint="eastAsia" w:ascii="仿宋" w:hAnsi="仿宋" w:eastAsia="仿宋" w:cs="仿宋"/>
                <w:b/>
                <w:bCs/>
                <w:i w:val="0"/>
                <w:iCs w:val="0"/>
                <w:color w:val="auto"/>
                <w:kern w:val="0"/>
                <w:sz w:val="22"/>
                <w:szCs w:val="22"/>
                <w:highlight w:val="none"/>
                <w:u w:val="none"/>
                <w:lang w:val="en-US" w:eastAsia="zh-CN" w:bidi="ar"/>
              </w:rPr>
              <w:t>功能描述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应用支撑-统一门户</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面向委内各级各部门提供业务模块应用的统一入口。提供门户管理功能包括门户管理、门户分类、个性化门户管理等。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应用支撑-消息中心</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提供消息的开放接口和服务，支持外部系统或其他模块向消息中心发送消息或接收消息中心的消息，实现消息的跨系统传递和共享。例如，与短信平台、邮件系统对接，通过消息开放服务实现消息的多渠道发送，或与其他业务系统集成，实现业务数据与消息的联动。</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针对待办任务和其他需要用户及时处理的事项，通过系统消息、邮件等方式向用户发送提醒通知，确保用户及时了解待办事项，避免因延误处理而影响业务进展。提醒内容可包括任务名称、截止时间、处理要求等关键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3</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应用支撑-待办、消息集成</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集成本次项目建设或升级改造的5个子系统中的待办事项模块，包括上海市教委外事管理子系统、上海教师信息管理子系统、学校后勤综合管理子系统、上海市语言文字规范化水平监测信息化子系统、上海市教育审计子系统。</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集成本次项目建设或升级改造的5个子系统中的消息提醒模块，包括上海市教委外事管理子系统、上海教师信息管理子系统、学校后勤综合管理子系统、上海市语言文字规范化水平监测信息化子系统、上海市教育审计子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4</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应用支撑-统一日志审计管理-日志操作分类定义</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对系统内所有操作行为进行标准化分类（如登录/登出、数据查询、业务审批、文件上传等），建立统一的日志分类体系。支持自定义分类标签，确保不同模块的日志记录遵循一致的分类标准，便于后续检索和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应用支撑-统一日志审计管理-日志模块定义</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按系统模块（如申请审核、核查、网签、备案等）划分日志采集范围，定义各模块需记录的日志字段（如操作时间、用户 ID、模块名称、操作内容、IP 地址等）。通过模块化日志管理，实现 “分模块采集、集中式存储”，提升日志管理的规范性和可维护性。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6</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应用支撑-统一日志审计管理-日志查询检索</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提供多维度日志查询功能，支持按时间范围、操作类型、用户角色、模块名称、IP 地址等条件组合检索日志记录。支持关键词模糊查询，便于审计人员或管理员快速定位问题日志。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7</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应用支撑-统一日志审计管理-日志统计分析</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对日志数据进行可视化统计分析，生成操作频率趋势图（如各时段登录次数、业务审批量）、用户行为热力图（如高频操作模块分布）、异常操作占比报表等。通过分析结果，识别系统使用瓶颈、优化业务流程，或为安全策略调整提供数据支撑（如发现某模块异常操作激增时加强监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8</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应用支撑-统一日志审计管理-高风险日志预警</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预设高风险操作规则（如批量数据删除、敏感字段修改、非工作时段登录等），当日志记录触发规则时，系统自动发送预警通知至管理员。支持预警规则的自定义配置，实时拦截或警示高危操作，降低数据泄露、误操作等安全风险。</w:t>
            </w:r>
          </w:p>
        </w:tc>
      </w:tr>
    </w:tbl>
    <w:p>
      <w:pPr>
        <w:keepNext w:val="0"/>
        <w:keepLines w:val="0"/>
        <w:pageBreakBefore w:val="0"/>
        <w:widowControl w:val="0"/>
        <w:numPr>
          <w:ilvl w:val="0"/>
          <w:numId w:val="6"/>
        </w:numPr>
        <w:kinsoku/>
        <w:wordWrap/>
        <w:overflowPunct/>
        <w:topLinePunct w:val="0"/>
        <w:autoSpaceDE/>
        <w:autoSpaceDN/>
        <w:bidi w:val="0"/>
        <w:adjustRightInd/>
        <w:snapToGrid/>
        <w:ind w:firstLine="560" w:firstLineChars="200"/>
        <w:textAlignment w:val="auto"/>
        <w:rPr>
          <w:rFonts w:hint="eastAsia"/>
          <w:b/>
          <w:bCs/>
          <w:color w:val="auto"/>
          <w:highlight w:val="none"/>
        </w:rPr>
      </w:pPr>
      <w:r>
        <w:rPr>
          <w:rFonts w:hint="eastAsia"/>
          <w:b/>
          <w:bCs/>
          <w:color w:val="auto"/>
          <w:highlight w:val="none"/>
        </w:rPr>
        <w:t>教师信息管理</w:t>
      </w:r>
    </w:p>
    <w:tbl>
      <w:tblPr>
        <w:tblStyle w:val="35"/>
        <w:tblW w:w="897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7"/>
        <w:gridCol w:w="1410"/>
        <w:gridCol w:w="68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序号</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功能名称</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功能描述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数据接入及上报-对接教师培训数据</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从上海市教师教育管理平台、上海市区级教师教育管理平台获取市、区两级教师的市、区两级培训管理数据，对接的核心字段有学分、课程、班级、报名、学习记录、时长以及成绩等核心字段。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从上海市中小、幼儿园校（园）长暑期专题培训平台获取暑期校园长培训数据，主要包括职务（校园长）、时长、成绩以及校园长培训信息等核心字段，以及校园长培训管理与评估数据。</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从上海市课外校外教师专业发展平台获取课后服务教师的管理数据，主要包括课后服务教师的学分、课程、班级、报名以及学习记录等核心字段。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从上海市课外校外教师专业发展平台获取教师的学习数据，主要包括课后服务教师的学习记录、时长、成绩以及学习记录等核心字段。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从上海市中小学（幼儿园）见习教师规范化培训电子手册平台获取见习教师的数据，包括见习教师(幼儿园、中小学已参与教学活动且尚未入编的教师)以及历年见习教师信息、职业感悟与师德修养、课堂经历与教学实践、班级工作与育德体验、教学研究与专业发展以及协议、评价与附录等核心字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数据接入及上报-对接人事基础信息数据</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从16个区的基教人事系统、各职教学校的人事系统以及各高校的人事系统中获取教师的基础信息数据，主要包括通过统一的数据对接接口，实现对教师基础信息数据的全面获取与实时同步。实现数据标准化、结构化采集，确保信息来源权威、数据更新及时。重点获取的基础信息字段包括教师身份标识类信息（如身份证号、全国教师系统唯一编号、教职工工号）、基本信息类（如姓名、性别、民族、出生年月、政治面貌、籍贯、户籍所在地、婚姻状况等）等覆盖人事管理的核心数据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数据接入及上报-对接国内访问学者数据</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从上海市高校国内访问学者管理平台中获取愿意成为国内访问学者的博士(无专业限制)群体数据，主要包括人员基本信息、科研工作及其成果(包括承担的课题研究项目、发表的主要论文和出版专著的题目和书名发表和出版时间、刊物和出版社，成果获奖和应用情况等)、申请志愿、访问学校、访问专业、指导老师等核心字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数据接入及上报-全国教师管理系统数据上报功能</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将本地基础教育阶段教师、职业教育阶段教师以及高教阶段教师的基础数据上报至全国教师数据库，原上报的形式、标准、规范以及维度已陈旧落后，本次项目上报内容主要为新对接的各系统数据提炼出来的人员基础数据，主要包括身份标识、基本信息等核心字段以及最新的标准规范、以确保数据与国家标准一致。</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将本地基础教育阶段教师、职业教育阶段教师以及高教阶段教师的业务数据上报至全国教师数据库，原上报的形式、标准、规范以及维度已陈旧落后，本次项目上报内容主要为新对接的各系统数据提炼出来的人员业务数据，主要包括教师的培训数据、工作经历、获得奖励、处分、评奖评优、教育教学、交流轮岗、调动、银龄教师、在岗状态等核心字段以及最新的标准规范，以支持国家层面教育政策的制定与评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数据接入及上报-数据分享请求状况管理与监控</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完整记录请求从发起至结束的全生命周期，从数据请求的发起开始，系统自动记录请求发起时间、请求方身份、请求目的、请求的数据类型和范围、权限验证情况等关键信息。请求进入审批流程后，系统跟踪审批状态，包括审核人、审核意见、审批时间、审批结果等，同时支持多级审批流转和条件触发审批节点，确保数据分享合规合理。审批通过后，系统记录数据访问时间、访问路径、调用接口详情、返回数据量及数据使用情况，直至请求结束，形成完整的请求闭环，此外还支持跨系统调用追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数据接入及上报-结果数据主数据校正功能</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社保库数据源、人口库数据源、死亡库数据源、公积金库数据源、婚姻库数据源数据等融合后的结果数据进行主数据校正功能，</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对融合后的社保库结果数据进行校正，校正内容：1.身份识别信息校正，确保每位教师的社保信息与人事信息完全对应；2.社保缴纳记录校正，包括缴纳基数、缴纳比例、缴纳时长等指标；3.单位变动情况追踪，通过对比得知教师职业生涯中的单位变更轨迹。</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对融合后的大数据中心人口库数据进行校正，校正内容：1.身份识别信息校正采用身份证校验；2.教师基本信息校正涵盖姓名、身份证、住址及联系方式等。确保主数据的真实性和一致性。</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对融合后的大数据中心死亡库数据进行校正，校正工作重点：1.身份识别信息校正，识别常见的信息录入错误；2.教师状态校正不仅包含生存状态，还涉及退休状态、离职状态等业务属性。</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对融合后的大数据中心公积金库数据进行校正，校正主数据的身份识别信息及教师公积金缴纳信息的一致性，辅助住房福利管理。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对融合后大数据中心婚姻库数据进行校正，校正主数据的身份识别信息及教师的婚姻登记数据，掌握分学段、年龄教师的婚姻状况，确保主数据的及时性与准确性，用于教师家庭情况统计和相关政策制定。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教师流动与调配管理-岗位发布与申报</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服务于市内、省外的教师流动需求，涵盖岗位信息发布、个人意向申报、原单位推荐、公示反馈等全流程环节，实现信息公开透明、申报便捷高效、管理规范有序，全面提升流动工作的科学化与制度化水平。</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在岗位发布阶段，根据各辖区学校实际的教学需求、学科发展方向、教师结构性短缺情况等制定年度教师流动方案，包括岗位名称、所属学校、学段、学科、岗位职责、所需条件、优先考虑方向等详细信息，并可支持附件上传（如岗位说明书），供教师全面了解相关信息，从而作出合理选择。</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进入个人申报阶段后，符合条件的在编在岗教师可根据自身职业发展规划、专业方向和个人意愿，通过在线平台申报《教师流动申请表》。教师可选择一个或多个意向岗位，支持优先顺序设置、自动匹配岗位要求与个人履历。教师需上传相关证明材料（如学历证书、教师资格证、职称证书、荣誉证明等），系统具备识别与核验功能，提高申报效率与材料合规性。提交后，教师申报信息将自动发送至原任教学校审核端口，进入推荐流程。</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在学校推荐环节，原学校根据申报教师的日常表现、教学业绩、团队协作情况以及未来本校教学安排进行综合评估，审核其是否符合流动条件，并出具推荐意见。系统支持模板化推荐材料生成，提升推荐意见撰写效率。审核推荐结果在校内进行公示，接受监督，公示期满后无异议的推荐人选将同步报送至教委人事处，进入后续流动审批流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教师流动与调配管理-审核与调配</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在岗位发布与教师申报完成后，进入管理端审核与统筹分配阶段，由流入流出市区校共同参与，依据政策要求和教育实际情况，对教师流动进行全面审核与科学调配，确保流动过程合法、合理、公开、公平。</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资格审查阶段，系统首先将教师申报材料推送至意向流入学校和教育主管部门审核端口。相关人员依据岗位条件、政策标准和教师履历对申报材料逐项核实，重点字段（1.师德师风表现、对教师近年的师德考核结果、是否有不良记录、是否受过处分等进行审查，确保调入教师具备良好职业操守；2.教学能力与业务水平，包括教师职称等级、教学成果、教研参与、评优获奖、培训经历等；3.流动年限条件，对是否符合区域或岗位设定的最低服务年限、是否超出流动次数限制等内容进行严格比对。）系统支持对上传材料自动核验与比对，自动提示缺失项或不合规信息，提高审核效率和精准度。</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统筹调配阶段，系统支持按照“教师意愿优先、岗位需求为准、区域发展统筹兼顾”的原则，综合考虑岗位紧缺程度、教师专业方向、个人发展意愿、原校教学安排、师资结构平衡等多因素，协助管理人员生成流动推荐名单。通过初始化匹配与市区管理员决策相结合的方式，确保人岗相适、资源均衡。例如，在多个教师申请同一岗位的情况下，系统可根据教师评分模型（基于职称、教龄、考核成绩等）给予排序建议供管理人员参考。</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调配结果确定后，系统可自动生成《教师流动安排表》并推送至相关教师、原学校及流入学校，同时同步进行信息公示，确保程序公开透明。对于未被流动的教师，系统也将反馈结果与建议，便于后续重新申报或发展规划。调配确认后，系统联动流程模块，进入流动公文流转、信息更新、人事系统数据变更等后续环节，确保数据一致性与人事关系顺利衔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教师流动与调配管理-流动报名与验证</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教师通过系统自主发起流动申请，填写流动原因、意向单位、岗位信息等，并提交相关证明材料。系统对报名信息进行初审，并同步至接收单位与教育主管部门。流动完成后，需通过教师身份验证、岗位到岗确认、系统状态变更等多重方式，确保流动教师身份、岗位、所属单位等信息真实有效，保障数据一致性与教师管理规范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教师流动与调配管理-教师流动数据分析（各学段）</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通过与人事数据平台的对接，定期获取教师人事关系变更记录，包括调入来源单位、调出去向、调动岗位类型、流动时间点、流动原因（如升迁、返聘、外出研修、转岗、辞职、退休等）。在数据采集的基础上，建立教师流动档案库，按照学段、学科、职称、年龄、性别、学历等维度进行分类标记，实现教师全生命周期内的流动路径可视化。其次通过折线图、热力图、迁移图等方式，展现某高校或某区域在不同年份内的教师净流入率、净流出率、核心人才流动率、重点岗位空缺补充效率等关键指标，分析教师流动趋势（如调入、调出），辅助人才引进与留存策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高校教师岗前培训及教师发展工程项目申报-高校教师岗前培训及教师发展工程项目申报管理</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统一申报入口、简化申报流程，支持多类型项目。</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项目库管理：集中管理包括“新教师岗前培训”“青年教师资助计划”“国外访学”“国内访学”“产学研践习”等项目内容。</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智能申报引导：系统根据教师类型、职称、服务年限等自动推荐可申报项目，避免误报。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信息复用与自动填充：申报表单中相关字段（如姓名、职称、培训记录）可自动填入，教师仅需核对与补充个性化部分。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申报材料模板管理：提供各项目申报材料标准模板，便于教师准备。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高校教师岗前培训及教师发展工程项目申报-高校教师岗前培训及教师发展工程项目审核审批流程管理</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统一项目审批流，支持多级审批和进度追踪。</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流程模板配置：支持不同项目配置不同审批流程（如教学院系审核→学校人事处→市教委），可视化流程节点。</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审批意见记录：每一级审批意见可在线记录、反馈，支持回退与补正。</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进度可视化：教师可实时查看申报进度及审核状态，避免多头咨询。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高校教师岗前培训及教师发展工程项目申报-高校教师岗前培训及教师发展工程项目记录与证书共享</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实现岗前培训等项目成果的互认与共享。</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证书数据接入与认证：系统自动读取新教师岗前培训结业数据，支持电子证书识别与归档。</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数据联动逻辑规则：如申报“青年教师资助计划”时，系统自动识别是否已完成岗前培训，免除上传复印件。</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成果信息互通机制：项目完成后自动将教师培训、访学成果同步至其个人档案中，便于后续其他项目申报使用。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高校教师岗前培训及教师发展工程项目申报-高校教师岗前培训及教师发展工程项目全过程管理</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支持从立项、申报、审批、执行到结项的全过程跟踪与管理。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项目执行进度跟踪：教师可记录访学计划执行、阶段成果、进度日志。</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结项材料提交：结项阶段支持提交报告、成果、佐证材料等。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结项评审与评价：支持评审专家组线上打分、评论，自动生成评价报告。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教师队伍结构分析与预警-体育、卫生老师配备</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依据国家及地方教育主管部门发布的体育、卫生教师配置比例标准，结合各学校实际的学生人数、学段结构及体育、卫生课程设置，自动计算出合理的体育、卫生教师需求数量。系统采集学校的基础数据，包括学生总数、分年级学生数、体育、卫生课程课时数、现有体育、卫生教师数量及资质等信息，科学测算每个学校应配备的体育、卫生教师数量。基于国家规定的师生比，系统能够精准地判断当前体育、卫生教师的配置是否符合政策要求，及时反映配置不足或超额配备的现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教师队伍结构分析与预警-专职心理教师配置</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依据国家及地方相关文件规定的专职心理教师配置比例标准，结合各区和各学校的实际情况，自动计算所需配备的专职心理教师数量。采集各学校的学生总数、年级分布及现有专职心理教师数量等基础数据，结合政策中明确的师生比要求，精准测算合理的专职心理教师配置规模。通过对比实际配备与标准需求，评估各区、各校专职心理教师配置的合格率，及时反映师资配备的不足或超配情况，通过清晰的图表和统计报表，直观呈现各区、各校专职心理教师的配置现状和合格率，帮助教育主管部门全面了解师资配备状况，发现薄弱环节和重点改进对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教师队伍结构分析与预警-专职思政教师配置</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依据国家和地方有关专职思政教师配备比例的规范要求，结合各区、各学校的学生规模和学段设置，自动计算出合理的专职思政教师数量需求。系统通过采集学校的学生总数、年级分布及现有专职思政教师数量，依据政策中明确的师生比标准，科学测算出各单位应配置的专职思政教师数量。通过对比实际配备与标准需求，系统能够精准评估各区、各校专职思政教师配置的合格率，及时反映师资配置的不足、合理或超编状况，帮助管理部门全面掌握专职思政教师队伍建设的现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教师队伍结构分析与预警-学段、学科、年龄、性别教师配比</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从多个关键维度出发，对教师队伍的结构和分布进行全面、多角度、数据驱动的分析与展示，为教育行政主管部门和学校管理者提供精准、深入的决策支持。围绕“学段、学科、年龄、性别”四大核心维度，进行交叉统计、可视化分析和趋势监测，从而揭示当前教师队伍在结构性配置方面存在的优势、不足与潜在问题。例如在体育、信息技术等学科可能存在男性教师占比较高，而在语文、学前教育阶段可能女性占比较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教师队伍结构分析与预警-教师结构对比</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依托本地教师数据库，提取当前教师在编总数、学科分布、职称等级、年龄分层、学历层次、岗位类别等结构性指标，构建地区教师结构画像。随后系统调取国家、省级教育部门发布的权威统计数据与标准模型（如《教育统计年鉴》《教师发展指南》《教师队伍结构比例建议值》等），建立教师结构对比基准线。例如，系统可依据国家标准建议，设置“高级职称教师占比应不低于30%”“研究生学历教师占比应逐年提升”“中小学体育、美育教师配比不低于5%”等对标参考，采用雷达图、柱状图、折线图等可视化方式，逐一展示本地区与国家、省级教师结构指标的异同与偏差程度，展示教师结构与国家、省级结构对比，评估配置合理性与紧缺程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教师队伍结构分析与预警-教师老龄化预警</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以教师基础信息库为数据基础，结合职务职称、岗位类别、学段学科、任职年限等维度，对全市及各区教师年龄分布状况进行统计与可视化分析。生成年龄结构分布图、年龄中位数趋势图、即将退休教师人数预测、关键岗位老龄化占比、学科老龄化热力图等多种图表，清晰呈现教师群体在不同阶段的年龄集中度和结构性风险点。通过对比历史数据和预测模型，系统能够识别未来3至5年内教师退休高峰期、紧缺学科或岗位的年龄断层风险，为人才储备和梯队建设提供前置预警，预警老龄化趋势，辅助师资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教师队伍结构分析与预警-学科教师不足预警</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依托教师基础信息、岗位聘任、教育教学等多源数据，通过与学籍系统、课表系统、教师编制系统的深度对接，实现对教师任教学科、教学班级数量、授课时长等关键指标的结构化归集与动态更新。系统以“人岗匹配度”为核心评估维度，结合国家和地方有关“师生比”“学科配比”“课时需求”的标准，自动计算各学科的实际任教人数与应配人数的差异值，识别出教师资源紧张或配比失衡的学科领域。监测各学科教师数量，预警师资不足情况，优化资源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教师队伍结构分析与预警-教师成长路径异常预警</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识别教师成长路径异常（如多年未晋升、未参加培训等），聚焦以下几类关键异常情形：（1）多年未晋升职称或岗位，超出设定晋升周期但无晋升记录；（2）连续多年未参加教师培训，缺乏专业进修或学习经历；（3）年度考核连续“基本合格”或出现“考核不合格”记录；（4）教学成果长期无新增，缺乏公开课、论文、课题等专业成果产出；（5）长期未变动岗位或学段，缺少跨岗交流经历；（6）心理健康或师德师风方面出现预警记录。系统通过教师档案数据、岗位聘任记录、培训系统、考核系统、师德记录库等多数据源融合建模，形成个体成长路径档案，并结合系统设定的指标阈值进行综合判断，提示管理人员干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教师队伍结构分析与预警-岗位空缺/紧缺预警</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分析岗位空缺或紧缺情况，从以下几个核心数据维度入手进行监测和分析：1.教师岗位编制数据，包括现有岗位数量、编制总额、编制使用率、各类岗位类别（如学科类、行政类、综合类等）；2.在岗教师信息，包括教师年龄结构、即将退休人数、岗位流动记录；3.课程开设与学生规模数据，反映对学科教师的实际教学需求；4.教师岗位招聘与流失情况，用于分析岗位空缺成因；5.学科、学段与地区间岗位分布的均衡性指标。系统将上述数据实时整合，通过设定的岗位空缺判定标准（如岗位空缺时长超过90天、编制使用率低于80%、学生师资比异常、教学任务覆盖不足等），进行计算与趋势预测。生成预警并推荐解决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市级/区级教师队伍分析-教师队伍均衡督导</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从优质均衡角度宏观分析全市/各区的整体及不同学段的整体均衡情况及各区/校际对比，包括师生比、学历、职称、年龄等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市级/区级教师队伍分析-教师队伍分析</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支持多条件组合筛选全市教师，根据用户需求生成群体的特征画像，帮助深入了解群体特点，支持对各区不同群体进行对比分析，帮助了解群体共性、差异性</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支持根据标签获得情况组合筛选教师，生成不同标签群体的特征画像，寻找群体共性、差异性</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从师资队伍概况、学校获得荣誉情况、师资队伍获得荣誉奖励等情况、对标十四五、十五五规划学校达标情况、学校各项指标对标区市的表现等多个角度分析学校教师队伍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市级/区级教师队伍分析-学校指标分析</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对标政策文件，分析学校规模、质量、结构等多个指标是否满足政策要求，分析学校指标与区/市的对比情况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市级/区级教师队伍分析-学校教师队伍建设分析</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建立基于大数据和人工智能支持的教师群体画像分析，通过多条件筛选教师自动生成不同群体的年龄结构、性别结构、学历结构、学科结构等，分析学校不同群体教师在不同维度的特质，并支持不同群体对比分析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市级/区级教师队伍分析-学校工作量填报与分析</w:t>
            </w:r>
          </w:p>
        </w:tc>
        <w:tc>
          <w:tcPr>
            <w:tcW w:w="6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通过分析学校教师教学任务、岗位任务、承担其他目标任务的详情，分析学校整体承担任务情况，以及学校不同年级、不同学科、不同岗位类别、不同目标任务等教师承担任务情况，以及教师个人承担任务情况分析。</w:t>
            </w:r>
          </w:p>
        </w:tc>
      </w:tr>
    </w:tbl>
    <w:p>
      <w:pPr>
        <w:keepNext w:val="0"/>
        <w:keepLines w:val="0"/>
        <w:pageBreakBefore w:val="0"/>
        <w:widowControl w:val="0"/>
        <w:numPr>
          <w:ilvl w:val="0"/>
          <w:numId w:val="6"/>
        </w:numPr>
        <w:kinsoku/>
        <w:wordWrap/>
        <w:overflowPunct/>
        <w:topLinePunct w:val="0"/>
        <w:autoSpaceDE/>
        <w:autoSpaceDN/>
        <w:bidi w:val="0"/>
        <w:adjustRightInd/>
        <w:snapToGrid/>
        <w:ind w:firstLine="560" w:firstLineChars="200"/>
        <w:textAlignment w:val="auto"/>
        <w:rPr>
          <w:rFonts w:hint="eastAsia"/>
          <w:b/>
          <w:bCs/>
          <w:color w:val="auto"/>
          <w:highlight w:val="none"/>
        </w:rPr>
      </w:pPr>
      <w:r>
        <w:rPr>
          <w:rFonts w:hint="eastAsia"/>
          <w:b/>
          <w:bCs/>
          <w:color w:val="auto"/>
          <w:highlight w:val="none"/>
        </w:rPr>
        <w:t>外事管理</w:t>
      </w:r>
    </w:p>
    <w:tbl>
      <w:tblPr>
        <w:tblStyle w:val="35"/>
        <w:tblW w:w="897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7"/>
        <w:gridCol w:w="1779"/>
        <w:gridCol w:w="64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auto"/>
                <w:kern w:val="0"/>
                <w:sz w:val="22"/>
                <w:szCs w:val="22"/>
                <w:highlight w:val="none"/>
                <w:u w:val="none"/>
                <w:lang w:val="en-US" w:eastAsia="zh-CN" w:bidi="ar"/>
              </w:rPr>
            </w:pPr>
            <w:r>
              <w:rPr>
                <w:rFonts w:hint="eastAsia" w:ascii="仿宋" w:hAnsi="仿宋" w:eastAsia="仿宋" w:cs="仿宋"/>
                <w:b/>
                <w:bCs/>
                <w:i w:val="0"/>
                <w:iCs w:val="0"/>
                <w:color w:val="auto"/>
                <w:kern w:val="0"/>
                <w:sz w:val="22"/>
                <w:szCs w:val="22"/>
                <w:highlight w:val="none"/>
                <w:u w:val="none"/>
                <w:lang w:val="en-US" w:eastAsia="zh-CN" w:bidi="ar"/>
              </w:rPr>
              <w:t>序号</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auto"/>
                <w:kern w:val="0"/>
                <w:sz w:val="22"/>
                <w:szCs w:val="22"/>
                <w:highlight w:val="none"/>
                <w:u w:val="none"/>
                <w:lang w:val="en-US" w:eastAsia="zh-CN" w:bidi="ar"/>
              </w:rPr>
            </w:pPr>
            <w:r>
              <w:rPr>
                <w:rFonts w:hint="eastAsia" w:ascii="仿宋" w:hAnsi="仿宋" w:eastAsia="仿宋" w:cs="仿宋"/>
                <w:b/>
                <w:bCs/>
                <w:i w:val="0"/>
                <w:iCs w:val="0"/>
                <w:color w:val="auto"/>
                <w:kern w:val="0"/>
                <w:sz w:val="22"/>
                <w:szCs w:val="22"/>
                <w:highlight w:val="none"/>
                <w:u w:val="none"/>
                <w:lang w:val="en-US" w:eastAsia="zh-CN" w:bidi="ar"/>
              </w:rPr>
              <w:t>功能名称</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auto"/>
                <w:kern w:val="0"/>
                <w:sz w:val="22"/>
                <w:szCs w:val="22"/>
                <w:highlight w:val="none"/>
                <w:u w:val="none"/>
                <w:lang w:val="en-US" w:eastAsia="zh-CN" w:bidi="ar"/>
              </w:rPr>
            </w:pPr>
            <w:r>
              <w:rPr>
                <w:rFonts w:hint="eastAsia" w:ascii="仿宋" w:hAnsi="仿宋" w:eastAsia="仿宋" w:cs="仿宋"/>
                <w:b/>
                <w:bCs/>
                <w:i w:val="0"/>
                <w:iCs w:val="0"/>
                <w:color w:val="auto"/>
                <w:kern w:val="0"/>
                <w:sz w:val="22"/>
                <w:szCs w:val="22"/>
                <w:highlight w:val="none"/>
                <w:u w:val="none"/>
                <w:lang w:val="en-US" w:eastAsia="zh-CN" w:bidi="ar"/>
              </w:rPr>
              <w:t>功能描述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留学生管理-中小学留学生管理基础教育阶段国际学生办证流程管理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一、基础教育阶段教育机构接受外国来华学习人员信息申报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1.学校进行“新生录入”：在“新生录入”栏目中填写学生基本信息，并根据情况填写家庭成员&amp;监护人信息和受教育经历，分别提交所填写信息。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2.学校查询学生信息：在“表单打印”栏目中，根据学生情况查询需要打印“基础教育阶段教育机构接受外国来华学习人员确认表”的学生信息。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3.学校生成表单：在找到该学生后，点击“生成”按钮，即可生成该学生的“基础教育阶段教育机构接受外国来华学习人员确认表”，同时将提交该表单然后进行验收。</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4.服务中心预审表单信息：服务中心查看学校提交的“基础教育阶段教育机构接受外国来华学习人员确认表”，根据内容进行审核。</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5.学校打印表单：待表单在服务中心预审通过后，便可以在“表单打印”栏目中点击“打印”按钮，即可打印该学生的“基础教育阶段教育机构接受外国来华学习人员确认表”，然后可进行线下盖章。</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6.学校上传盖章表单PDF：表单盖章后，点击“上传PDF”按钮，上传已盖章表单的PDF文件，点击确认后上传成功（成功之后不可修改）。</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7.服务中心一审盖章表单PDF：在学校上传盖章表单PDF后，服务中心根据盖章情况对学校表单进行审核。</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8.市教委二审表单并备案：在服务中心一审通过后，市教委对表单信息进行二审，通过后并备案。</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9.交流协会三审表单并盖章：在市教委备案后，交流协会对表单信息进行三审，通过后并盖章。</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二、WPS工具对接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为进一步提升办证流程的数字化水平和表单处理的智能化能力，在基础教育阶段国际学生办证流程管理系统中，新增WPS工具集成功能模块，以满足用户在文档生成、编辑、审批、归档等方面的需求，增强系统的实用性与灵活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留学生管理-中小学留学生管理学生信息申报-中小学留学生管理学生信息学校上报</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原留学生信息维护功能涵盖签证、住宿、学籍管理、活动及保险等内容，未区分基础学段外国学生、高校短期生和高校长期生。为满足教育部年度来华留学生统计规范，并兼顾基础学段外国留学生信息上报的特殊要求，现依据《基础教育阶段教育机构接受外国来华学习人员确认表》新增中小学外国学生信息申报入口。</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对于没有学籍的中小学留学生学生信息管理，由学校进行上报。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1.支持按学段（幼儿园、小学、初中、高中）分类录入留学生的基础信息，包括姓名、国籍、性别、宗教信仰、出生日期、护照信息、签证类型、监护人信息、来华教育经历、入学时间、班级等；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2.支持Excel模板批量导入学生信息，便于信息集中填报；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3.提供标准模板下载，指导学校规范填报内容。</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4.所有上报行为均记录时间、操作者等日志，确保数据可溯源；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5.支持按年度、学期、学生维度查询历史上报记录。</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6.对接后续业务流程，与办证流程管理等模块无缝衔接，避免重复填报。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7.数据处理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提升数据质量：通过结构化表单和统一校验规则，通过数据字典（国籍、性别、宗教信仰、签证类型等）清洗导入数据，显著提升上报数据的完整性与准确性；</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提升工作效率：减少纸质报送与人工校对成本，实现高效、批量的数据处理。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支撑决策分析：为教育外事主管部门掌握学生动态、制定政策、开展备案提供高质量数据支撑。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3</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留学生管理-中小学留学生管理学生信息申报-中小学留学生管理基教处信息对接学生信息</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与基教处进行信息对接，获取有学籍部分留学生的基础信息，包括区代码、区名称、学校代码、学校名称、校区代码、校区名称、年级、姓名、性别、国家/地区等。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4</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留学生管理-高校留学生学生信息申报</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原留学生信息维护功能包括签证、住宿、学籍管理、活动与保险等内容，未区分基础学段外国学生、高校短期生、高校长期生。为满足教育部年度来华留学生统计规范，并符合《国际学生管理办法》，现高校留学生信息上报将参照教育部前置审核和DQ表（短期生）标准，同时新增中小学外国学生信息申报入口。</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1.支持采集学生基本信息，包括姓名（中英文）、性别、出生日期、国籍、证件类型与号码、签证信息、联系方式、紧急联系人、一级门类、二级门类学历等；短期生和长期生需分开上报；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2.提供自动校验机制，根据数据字典，规范签证、国籍、性别、宗教信仰等确保数据的准确性与完整性；</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3.支持Excel模板批量导入学生信息，便于信息集中填报；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4.提供标准模板下载，指导学校规范填报内容；</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5.所有上报行为均记录时间、操作者等日志，确保数据可溯源；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6.支持按年度、学期、学生维度查询历史上报记录。</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7.数据处理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提升数据质量：通过结构化表单和统一校验规则，显著提升上报数据的完整性与准确性；</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提升工作效率：减少纸质报送与人工校对成本，实现高效、批量的数据处理；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支撑决策分析：为教育外事主管部门掌握学生动态、制定政策、开展备案提供高质量数据支撑。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5</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留学生管理-高校留学生教育部全国来华留学生数据统计上报</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1.教育部系统接口对接功能</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建设与全国来华留学生信息管理系统的标准接口对接能力，采用API或数据交换机制；</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支持按照教育部字段标准（如国别代码、学段分类、学习形式、专业代码等）完成数据格式自动转换；</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提供接口调用日志、状态监测与错误提示功能，确保上传数据成功率。</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2.数据采集与预处理功能</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汇聚本校所有在读国际学生的基础信息、签证信息、学籍状态等数据；</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实现数据的结构化清洗、重复校验、格式标准化；</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区分长期留学生（学制6个月以上）与短期留学生；</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报送与备案功能：</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提供一键生成长期和短期数据表模板，自动填充结构化数据；</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系统自动判断学生是否满足统计范围，形成统计名单；</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数据可在线审核、提交、校对，并记录上报历史版本；</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支持将数据压缩包或Excel模板直接导出，便于上传至教育部系统。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6</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留学生管理-高校留学生一带一路项目管理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原有“一带一路”项目管理功能主要支持项目信息的基本建立、学校对内容更新及信息发布展示，并可进行年度维护。该模块以信息展示为核心，项目内容结构较为简单，信息录入以文本为主，未形成结构化数据管理模式。项目与合作国家、高校、协议等关键要素未建立内在关联，信息分散、查询不便，且不具备数据分析与分类管理能力，难以满足日益复杂的教育对外合作管理需求。</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为提升“一带一路”相关合作项目的信息化管理水平，现系统对原有功能进行了全面改造，实现功能强调“两个库”（项目库+国家库）建设，支持信息动态维护与对外发布，具有信息标准化和数据复用能力。建设内容主要包括以下五方面：</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1.建立“一带一路”专项项目库：统一登记管理国家级、省市级、校级等各类留学合作项目，形成清晰可查的项目数据库；</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2.建设“一带一路”国家库：对合作国家信息进行集中管理与动态维护，支撑项目与国家之间的双向关联；</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3.增强项目信息关联性：支持在专项项目库中登记合作国家、高校、协议文本、派出单位、项目周期、计划指标等核心要素，实现项目多维度信息的一体化管理；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4.预留审批功能扩展空间：系统具备记录项目状态、配置流程字段的能力，为未来接入校内审批流程或开展项目内容备案提供技术支持；</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5.实现对外系统发布对接：系统与“留学上海”平台实现对接，能够自动推送已确认项目数据，提升学校合作项目展示效率与对外传播力。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7</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留学生管理-留学生数据分析</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原留学生数据分析模块未区分高校长期生、短期生与基础学段学生，且仅对年度上报的留学生数量（如按学校、国籍等）进行简单汇总，难以满足当前教育管理精细化和科学化的需求，亦无法有效支撑政策制定与趋势研判。现模块通过改造，支持高校与基础教育阶段留学生数据的分类管理，新增费用来源、专业类型、学校分布、长短期团组专项、学段、学生类别等多维度统计分析功能，提升对留学生发展动态的洞察力，为教育决策、国际合作、项目评估等提供系统性的数据支持与参考依据。</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1.按费用来源统计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区分自费、国家奖学金、省市奖学金、校级资助、其他资助等来源；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支持分学校、分学段统计不同资助类型学生数量、比例与趋势。</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 按洲别与国家分布统计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根据学生国籍统计各洲（亚洲、欧洲、非洲、美洲、大洋洲）来华留学生人数；</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支持按国家维度进行留学生分布分析，自动生成地图分布图与柱状图。</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 按学生类别统计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区分学历生（本科、硕士、博士）、语言生、交流生、短期团组生等；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基础教育阶段与高校分类统计。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 按学科大类统计（高校一级门类）</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对学历留学生进行学科门类统计（如工学、医学、文学、教育学、艺术学等）；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支持学校/专业/项目多级联动分析。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5. 按学校统计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支持各高校、各中小学留学生数量统计与排序；</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可对比不同学校留学生发展规模与趋势；</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支持导出学校留学生统计年报模板。</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6. “一带一路”国家留学生统计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针对“一带一路”沿线国家，进行专项学生数量分析；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支持按项目/学校/学历类别统计“一带一路”学生结构。</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7. 高校短期团组学生数量统计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专项记录来华团组（夏令营、访学团等）学生数据；</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支持按合作来源、入境天数，学校范围等维度进行统计；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可导出专项团组活动汇总报表。</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8. 基础教育阶段留学生按学段统计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区分小学、初中、高中（或1-12年级）；</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支持各区各学校按年级统计学生数量与趋势；</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支持按性别、国籍交叉分析。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9. 历年数据对比</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支持多年度留学生数量对比，绘制折线图趋势分析；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可按学校、国别、资助类别等进行历年变化分析；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10. 报表导出</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支持一键生成教育主管部门所需的年度报表、项目统计表。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8</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全英语专业建设管理-全英语专业授课学校专业建设管理情况上报汇总管理-学校专业建设管理情况上报</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一、学校基本情况上报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1.学校基本信息数据上报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学校需上报学校所属类型（如综合类、工科类、医科类等）、开展来华留学学历教育的起始年份、历年办学规模等基础数据，用于全面了解办学背景与办学能力。</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2.字段自动匹配与校验机制</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学校名称、所属类型等核心字段将通过系统内置字典进行自动校验和匹配，确保信息标准化、数据一致性及上报规范性。</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二、全英语专业信息上报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1.全英语专业信息上报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学校需上报当前开展全英语授课的专业信息，包括专业名称、专业代码、学历层次（本科、硕士、博士）、专业所属学科门类等。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2.字段自动匹配与校验机制</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专业代码、学历层次、专业类型等核心字段将通过系统内置字典与教育部专业目录进行自动校验和匹配，确保信息标准化、数据一致性及上报规范性。</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三、全英语专业授课课程开设情况上报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1.全英语授课课程及专业信息采集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支持填报学校开设的全英语授课课程及专业情况，包括课程名称、专业代码、所属学科门类、学历层次、授予学位类别等，展现全英语教学体系完整性，与全英语专业信息上报内容联动。</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2.课程开设情况与质量指标上报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涵盖课程数量、精品课程数量、已开展和已建设的线上课程数量，统计课程在不同学历层次（本科、硕士、博士）中的分布情况，全面反映教学资源质量与供给能力。</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3.课程目标与重要程度评估信息采集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采集各课程或专业的教学目标、人才培养定位，辅助判断其对国际学生培养的实际贡献和战略价值。</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4.数据字典自动匹配与校验机制</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专业代码、课程名称、学历层次等核心字段通过系统内置教育部专业目录和标准课程库自动匹配与校验，提升数据准确性和规范性，避免重复或错误上报。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5.与全英语授课平台数据关联比对与数据预填</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系统与全英语授课平台进行数据联动，将全英语授课平台中的历史课程基本信息，直接填入全英语专业授课课程及专业信息。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四、教材情况上报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1.填报所使用教材的名称、类型（教材、教辅等）、语种；</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2.填报教材的出版社、出版时间等出版信息；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3.标注教材是否为自主编写或引进教材；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4.系统内置字段校验机制，对语种、教材类型、出版社名称等字段进行标准化校验，确保数据填写准确、规范、无歧义；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5.支持教材信息的批量导入与导出，支持Excel模板批量操作，方便学校整理与提交数据。</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五、资源支持情况管理上报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由学校上报，采集学校对全英语授课工作的经费投入情况，全面了解学校在政策激励、物质保障、财政支持等方面的实际举措。</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1.可选择资源支持类型：教学场地、教学设备、线上教学平台、课程平台、图书资源、多媒体资源、语言实验室等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2.资源数量及配备情况:填报具体资源数量、覆盖课程数量、资源利用频率等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3.资源覆盖范围:可选择资源用于本科/硕士/博士，是否服务所有全英语课程</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4.资源使用成效反馈:可填写教师或课程对资源支持的评价、使用中存在的问题等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5.上传支撑材料:支持上传配套资源说明材料、设备照片、平台使用截图等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6.资源类型字典支持:系统内置资源类型字典，实现统一分类，便于后期统计,分析与数据挖掘。</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六、经费使用情况上报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1.经费投入年度记录</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支持按学年维度填报全英语授课专项经费的投入金额，形成年度经费投入台账。</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2.经费来源分类选择</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提供经费来源多选项，如：中央财政、省级专项、学校自筹、国际合作项目、社会捐赠等，支持其他来源备注说明。</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3.经费使用方向填报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可选择经费用途，包括但不限于：课程建设、教材开发、教师培训、平台服务采购、师资引进、国际交流合作等。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4.经费使用绩效说明</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填写资金投入后取得的阶段性成果，如新增课程数量、提升课程质量、优化师资结构等。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5.附件上传</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提供上传功能，可附加经费预算表、财务发票、绩效报告、立项通知等相关文件，支持PDF、Word、Excel等格式。</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七、师资建设上报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1.师资团队基本情况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采集承担全英语专业授课任务的教师（包括主讲教师、外聘教师、咨询顾问等等）总人数及学科分布情况，反映教师资源整体配置水平。</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2.海外背景教师数量</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填报具有海外学习、访学或进修经历的教师人数，体现国际化教学背景和能力基础。</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3.教师英语教学能力与专业背景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采集教师的英语教学水平（如是否具备国际英语教学资质）、学术专业背景，突出教师胜任全英文授课的能力支撑。</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4.培训与提升举措</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填报学校为提升教师全英语授课能力所采取的培训计划、支持政策与实施成效，如定期培训、专项经费支持、国际合作培养项目等。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八、课程发展规划</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1.课程责任部门信息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填报课程对应的主管部门或教学单位，如学院、教学科研处等，用于明确课程管理和责任主体。</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2.与国外机构合作情况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采集课程是否与国外高校或教育机构联合开设，包括合作机构名称、合作方式（共建课程、联合授课、师资交流等），体现国际合作深度与广度。</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3.课程建设计划与进展</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填报课程的建设目标、计划周期、阶段性成果，包括是否列入学校重点项目、是否获得专项资金支持等，用于评估课程可持续发展能力。</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4.配套制度与管理机制</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可选填课程在运行过程中涉及的教学管理制度、质量保障机制等情况，提升管理规范性与办学质量支撑。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9</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全英语专业建设管理-全英语专业授课学校专业建设管理情况上报汇总管理-学校专业建设管理与审核</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1.多级数据查看权限控制</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教委账号可按学校名称查看其填报的全英语授课专业、课程、师资团队、教材、发展规划、经费支撑等全部数据；</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2.支持按学校名称、专业类型、课程名称等维度筛选与定位单位数据；</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支持查看单位填报状态（未提交/已提交/已审核/退回修改等）。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3.分级审核与状态标记</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支持教委对学校上报数据进行逐项审核，可对单条记录标记状态：通过、退回修改；</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审核操作带有操作人、审核时间、备注意见记录，便于责任追踪。</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4.系统校验与问题提示</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系统内置字段规范性校验规则（如专业代码、语种、教材出版时间范围等），审核界面自动提示潜在数据问题；</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对于多维数据不一致或缺失项（如课程语种与教材语种不符），系统在审核视图中高亮提示。</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5.一键汇总与导出功能</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审核结果、填报进度、课程开设情况等支持按学校或整体导出Excel报告；</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6.审核反馈与沟通机制</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教委可在系统中对退回项目填写修改意见并通知学校；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支持查看学校后续修改记录与处理进度。</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7.审核日志与留痕机制</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所有审核操作将自动生成日志，记录审核人、操作内容、时间节点等，满足规范化审计要求。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10</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全英语专业建设管理-全英语专业授课教学信息上报汇总管理-教学信息上报汇总管理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一、全英语专业建设教师信息管理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1.教师英语能力填报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教师可填写自身的英语听说读写能力情况，包括是否具备英语授课经验、是否通过国际英语能力认证（如IELTS、TOEFL等）或国内高校英语教学培训。</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2.海外学历教育经历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填报教师是否拥有海外学历背景，包括就读国家、院校名称、所获学位、学习时间段等信息，体现其国际化教育经历。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3.海外非学历教育情况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填报曾参与的非学历类海外学习项目，如短期交流、在线研修、专业进修等，标明国家、机构、项目名称及时间周期。</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4.海外访学或科研经历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填报教师赴海外进行访学、科研或学术交流的经历，包括国家、机构、课题方向、时长等，体现教师国际学术合作能力。</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二、所教授课程情况管理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1.课程基本情况（数据预填）</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通过学校专业建设管理情况上报内容进行数据预填；</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填报所授课程的名称、课程类型、学科门类（如工学、管理学、医学等）、授课对象的留学生类别（长期生/短期生）、学历层次、中外学生同时授课等，支持多选;是否为精品课程或校级重点建设课程。</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2.生源情况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简要描述当前所授课程学生的主要来源国家/地区、学生数量范围（如1–10人、11–30人等）。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3.开课年限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填报课程自首次开设以来的开设年份及持续开设情况，用于评估课程成熟度与持续性。</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4.授课情况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描述当前授课频次（如每学期、每学年）、授课方式（线下/线上/混合）、是否联合授课等。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5.课外专业辅导情况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填报是否开展课外学术辅导、写作辅导、答疑讲座等支持性教学活动，支持文本说明。</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6.考核形式</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选择课程的主要考核方式，包括闭卷考试、开卷考试、课程论文、项目报告、课堂表现等，支持多选。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三、教材与获得的资源支持情况采集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1.课程教材情况填报（支持预填）</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教师可查看系统预填的课程教材信息（如课程绑定教材的名称、语种、出版社、出版时间等），由课程学校已报数据自动关联填入；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教师可补充或修正教材使用情况，包括是否为自主编写教材、是否使用外文原版教材、教材是否已纳入教学大纲。</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2.教材出版与使用情况反馈</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教师可填写对当前教材使用效果的主观评价（如内容适配度、语言难度、是否存在更新需求）；</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可提供对教材出版推进情况的看法，如是否存在出版周期长、出版资源支持不足等问题，支持文字反馈。</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3.对学校资源支持情况评价</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教师可就教学资源（如英语授课培训、教辅材料支持）、教学保障（如课程安排优先、教学助理配备）等方面进行满意度评价；系统后台可汇总用于学校教学支持策略优化。</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四、自身能力培养与提升情况管理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1.教师近年参加培训情况（支持预填）</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教师需填报近3年内参加的与全英语授课能力提升相关的培训活动，同时支持数据预填，可选择校方维护的培训项目，培训活动内容包括：</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培训名称与主题（如英语授课技巧提升、双语教学能力培训等）；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举办机构（如学校组织、教育部项目、国际组织等）；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培训形式（线上/线下）、时长（天数或课时）；</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获得证书或结业情况，支持附件上传。</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2.近年参与交流与研讨活动情况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教师可填写参与的国内外相关学术交流、教学研讨会、论坛等活动，内容包括：</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活动名称及主题（如国际化课程建设研讨会、中外合作教学论坛等）；举办单位与举办地点、参与方式（发言、主持、听会等）、参与时间。</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五、教学研究情况管理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1.教师可填报近年围绕全英语授课、国际化课程建设、双语教学方法等方向开展的教学研究内容，包括：</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研究主题与主要内容；</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研究起止时间与参与方式（主持/参与）；</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所属项目类型（如校级教改项目、省部级项目、国际合作研究等）；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是否为在研项目，项目进度与阶段成果。</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2.研究成果产出情况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填报因相关教学研究已产出的成果，包括：</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公开发表的论文（刊物名称、发表时间、是否核心/SCI等）；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出版教材、专著（名称、出版社、出版时间）；</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获奖情况（成果奖、教学成果奖、论文奖等）；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成果在实际教学中的应用效果简述。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11</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全英语专业建设管理-全英语专业授课教学信息上报汇总管理-教学信息逐级审核</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一、校内逐级审核</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1.院系（教研室/二级学院）初审功能</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院系管理员可查看本单位教师提交的数据，逐项进行初审操作，包括：</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审核通过、退回修改；</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添加审核意见或说明；</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支持批量审核、筛选查询与数据导出。</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2.校级审核功能（学校教务处/国际处）</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校级审核员对已通过初审的数据进行复审，具备以下权限：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查看全校提交记录；</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最终审核确认或再次退回；</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导出审核通过数据用于报送或备查。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二、市教委查看与审核</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教委账号可查看所有学校提交并审核通过的教师填报数据，具备：</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查看数据详情；</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添加审批意见、标记状态（通过/退回）；</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批量导出数据用于统计与政策研判；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12</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全英语专业建设管理-全英语专业建设质量管理-全英语专业建设能力评估管理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1.提供学校全英语专业建设能力评估入口</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教委可根据各校上报的全英语专业建设的课程、师资、教材、经费、培训等信息，对高校开展全英语专业授课的整体建设能力进行量化评估与对比分析。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2.提供专项打分入口</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教委可为各校上报的全英语专业建设的课程、师资、教材、经费、培训等专项打分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3.分数汇总</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系统自动核算学校全英语专业建设能力总分。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13</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全英语专业建设管理-全英语专业建设质量管理-全英语授课教学能力综合评估管理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1.提供全英语授课教学能力综合评估入口</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教委可根据各校上报的全英语专业建设的教师、教学研究、培养提升、课程开设情况等信息，对高校开展全英语授课教学能力进行量化评估与对比分析。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2.提供专项打分入口</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教委可为各校上报的全英语专业建设的教师、教学研究、培养提升、课程开设情况等专项打分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3.分数汇总</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系统自动核算学校全英语授课教学能力总分。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14</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全英语专业建设管理-全英语专业建设备用库</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以学校-专业-教师-课程，四者结合，形成一个全英语专业建设备用库，并通过质量管理评估分数排名，支持市教委专项扶持资源决策。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15</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全英语专业建设管理-全英语专业建设数据分析</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1.学校基本情况汇总表</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统计各学校所属类型、来华留学教育年限、全英语授课覆盖规模、专业数量等基础信息，支持按年份导出。</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2.全英语课程开设情况统计报表</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按学校/学科门类/学历层次展示课程数量、重要程度等级分布、授学位情况。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3.精品课程分布与建设进度表</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展示精品课程数量、占比、是否同步建设线上课程、建设完成情况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3.线上课程建设与开展情况统计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统计已建设\已开展线上课程数量、涉及课程名称、平台上线状态。</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4.经费投入年度趋势统计表</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按学年统计各校专项经费投入金额，支持查看增长率和排名对比。</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5.经费来源分布统计表</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展示经费来源构成（中央财政、省级、学校、社会捐赠等）及占比。</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6.经费用途结构分析表</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统计经费用于师资、课程、平台、教材等的资金分配比例。</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7.全英语授课教师结构统计表</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统计教师总数、具有海外背景人数、具备专业背景人数，按学校/课程维度分布。</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8.教师英语能力等级与培训情况表</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统计教师英语能力等级（如雅思/托福/CET）、近年培训参与频次与主题分类。</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9.教师与课程匹配情况分析表</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统计教师承担课程数量、人均授课负载情况；课程是否存在师资空缺预警。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16</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全英语授课示范性课程管理-课程登记与上报</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原有全英语授课课程申报与评审系统在设计上以专业为单位，数据结构与管理流程粗放，存在信息分散、标准不统一、审核过程缺乏规范等问题，难以支撑当前课程为核心、过程可量化、结果可追溯的管理需求。</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上海市教育委员会关于开展2021年度上海高校来华留学全英语授课示范性课程申报的通知》中明确提出对教学视频时长、知识点数量、教学节次等课程内容提出量化要求，并提出需要提供长视频材料及线上课程链接等数字化教育要求，对课程评审亦需基于多维评分指标进行系统打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一、课程登记（教师用户校内申报）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1.数据预填功能</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当教委用户开放某年度或期次的全英语授课示范性课程年度评选后：</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学校教师可进入所教授课程情况管理模块；</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从已有的全英语授课课程中选择一门进行申报；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系统自动预填课程的基础信息（如课程名称、所属院系、学科信息等），减少重复填报，提高效率。</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2.课程登记与信息确认</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教师在预填基础上，需确认并完善申报课程的关键信息，包括但不限于：</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课程基本信息：课程名称、所属院系、所在学校；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学科分类信息（对接数据字典）：学科门类、一级学科、二级学科、学科代码；</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课程教学信息：总学时、学分、授课对象（学历类型）、授课层次、考核方式；</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自评意见：教师可结合课程设计、教学效果、学生反馈等撰写课程自我评价；</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系统自动校验字段完整性与规范性，确保数据质量。</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3.佐证材料填写与上传</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系统根据教委设定的评分项目与建议佐证材料，自动生成佐证材料填报清单；</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教师需针对每一评分项目逐项：</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上传相关材料（如教学大纲、教学视频、学生反馈、课程成果等）；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填写必要的材料说明或补充信息；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数据校验与处理：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上传文件校验（类型、大小、格式）；填报进度保存与提醒。</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二、课程上报（校内审核）</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1.课程筛选与查看</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支持按教师、院系、课程名称、授课层次等条件筛选本校登记课程；</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查看课程的基础信息、教师提交内容、佐证材料上传情况等。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2.校内审核意见填写</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每门申报课程均可由校内教务部门/外事部门/学院管理员填写审核意见；</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审核意见包括：</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审核状态（通过/驳回/补充材料）；</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审核说明（可填写具体建议或问题）；</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支持批量审核操作，并保留审核日志。</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3.课程项目正式上报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学校审核通过的课程，可在系统中一键提交至教委端作为本校参评课程；</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上报前系统进行校验：</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是否填写完整；</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是否已提交全部评分项所需佐证材料；</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上报后不可修改，系统记录上报时间、责任人信息。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17</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全英语授课示范性课程管理-评分标准管理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评分标准管理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1.评分标准配置功能</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教委管理员可通过后台系统维护如下评分配置内容：</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一级指标设置：如教学内容质量、教学设计与创新、教学效果等；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二级指标设置：为每项一级指标配置具体评审维度（如内容完整性和教学逻辑性）；</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评分占比设定：可为每个指标设置权重，系统自动据此计算综合得分；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建议佐证材料：为每项评分指标指定推荐材料类型（如教学大纲、学生反馈、视频片段）；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必交材料清单：设置评审必须提交的材料项，学校上报时自动校验是否齐全；</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评分说明维护：为每项评分标准提供参考描述，提升评分一致性与透明度。</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2.年度上报与评审阶段管理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系统支持对课程评审过程进行年度化与阶段化管理：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1）上报期设置：</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教委用户可开启示范性课程评选年度上报，设定上报年份、期数、上报起止时间；</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学校教师和院校可在上报期间内登录系统，填报课程信息并推选参评课程；</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系统支持实时校验材料完整性与填报合规性。</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2）评审期管理：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教委用户设定评审阶段时间范围；</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在评审期内，系统开放专家评分入口；</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教委用户可分配评审人任务，并支持多评委打分、评分汇总、意见留痕；</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支持评审状态标记（如待评分中已完成）及评分过程实时监控。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18</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全英语授课示范性课程管理-年度评审管理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1.评分项目管理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教委用户可新增、编辑、删除评分项目；</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为每个评分项目设置：</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项目名称、上报年度、期数及专业；</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2.学校上报课程纳入评审项目</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教委用户可在课程上报完成后，将符合条件的课程纳入指定评分项目；</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系统操作支持批量操作与个别添加；</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教委用户可根据专业信息，为每个评分项目设置若干名评审专家；</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专家登录系统后：</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仅能看到自己所负责评分项目内的课程；</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对课程逐项打分，按评分标准（一级指标/二级指标及占比）执行评分；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可在打分面板查看学校提交的佐证材料（如教学视频、课程大纲等），确保评分有据可依。</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3.评审专家库管理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教委用户可维护专家库，包含以下内容：</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录入专家基本信息（姓名、单位、职称、研究方向、联系方式等）；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为专家创建系统账号（初始密码、角色权限为评审专家）；</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专家账户创建成功后：</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可登录系统后台，并自动限定访问权限，仅能参与全英语授课示范性课程管理模块的评审功能；</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在开放评分阶段进入我的评审项目完成打分任务。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19</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全英语授课示范性课程管理-评审分数汇总统计及公示</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1.自动核算课程总分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上报项目进入评审期结束时间点后，系统自动执行以下操作：</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汇总所有专家对每门课程的评分；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按教委设置的评分标准及权重核算课程总分；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对于评分缺失或未完成的专家，系统可自动提示并根据配置处理（如不计入或取平均）；</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系统记录每项评分明细，便于溯源与结果追溯。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2.教委用户可一键发布本轮示范性课程评选的公示名单；</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公示内容包括：</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课程名称、课程负责人、申报学校、课程总评分、评分意见</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支持按照分数排序展示；</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自动在学校端展示我的课程评审结果模块，供相关教师或管理人员查看。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20</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优秀课程&amp;活动基地征集-课程征集管理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一、学校申请</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学校可申报了解中国主题优秀课程，系统支持采集与填报以下核心信息（6项）：</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1.课程基本信息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课程名称；</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课程类型（如：理论课/实践课/综合课等）；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课程内容简述；是否包含美育因素（是/否）；</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课程学分；授课语言（如：英语/汉语/双语）；</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是否愿意上线国家智慧教育公共服务平台（国际版）。</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2.课程建设与成果情况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课程获奖情况（奖项名称、授予单位、时间等）；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是否纳入示范课程名单。</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3.课程负责人与教学团队</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课程负责人基本情况（姓名、职称、教学经历等）；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教学情况（课时安排、教学计划、使用教材等）；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学术研究情况（近年科研成果、课题主持等）；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外语能力情况（如英语六级、托福、海外经历等）；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教学团队组成与分工情况。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4.课程实施条件与方式</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教学条件（硬件设施、资源保障等）；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教学方法（讲授、项目制、翻转课堂等）；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教学环节（课前准备、课中互动、课后反馈等）；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教学效果（学生评价、考核成绩等）；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支撑材料（教学大纲、课件、教学设计等附件）。</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5.学校保障与课程特色</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学校支持情况（资金、人力、政策等）；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特色与创新点（课程设计理念、内容创新、实施方式创新等）。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6.教学视频上传</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支持上传教学片段、录播课程等，用于展示课程质量。</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二、教委推荐汇总上报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1.学校上报信息自动汇总</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系统按模板统一采集各学校申报的课程信息；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自动生成课程清单，支持按学校、课程类型、授课语言等维度分类浏览；</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提供课程数据的批量导出功能，便于教委评估参考。</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2.教委评分与推荐机制</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教委可对每门课程进行综合评分，支持打分维度配置（如教学设计、创新点、教学效果等）；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系统提供评分记录留痕，支持多人评分结果计算汇总；</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支持在线审核意见填写与退回修改流程。</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3.高分课程自动识别与上报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系统根据评分结果，自动筛选出高分课程（支持设置分数阈值或排序前N名）；</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生成推荐课程清单报表，自动汇总课程名称、学校、得分、主要特色等关键信息；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一键生成提交上级部门的课程推荐清单，支持Word、Excel、PDF格式导出。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21</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优秀课程&amp;活动基地征集-活动基地征集管理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一、学校申请</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1.唯一性限制（数据处理）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每所学校在当前申报周期内，仅可提交1个基地申报；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系统在提交前校验是否已有申报记录，防止重复申报。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2.基础信息填报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学校需完整填写以下基地申报信息：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基地名称、合作单位（可支持多个合作方填写）、内容类型（如文化体验、科创实践、艺术交流等，支持下拉选择）、是否含美育元素（单选）、活动具体形式（如研学营、实训营、互动项目等）、可容纳人数、特色与亮点（简要描述项目核心优势）、联系人信息（姓名、职务、电话、邮箱）</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3.综合能力与背景填写</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基地简介（500字以内，介绍基地定位与功能）、工作基础（已开展的相关实践项目经验）、国际交流能力（过往中外合作情况）、优势特色（如地理位置、资源条件、项目成熟度等）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4.材料上传</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支撑材料上传：支持上传基地相关证书、合作协议、活动方案、图片等附件（Word、PDF、图片格式）</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宣传视频上传：支持上传1段宣传视频，系统支持常用视频格式（MP4、MOV等），限制大小与时长，自动转码处理供评审播放</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5.状态管理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系统记录申报状态（草稿、已提交、审核中、已退回、审核通过）；</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可由学校管理员统一提交并查看审批进度。</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二、教委推荐汇总上报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1.学校上报信息自动汇总</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系统自动汇总所有学校提交的基地申报信息；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信息包括：基地基本情况、联系人、合作单位、项目类型、支撑材料、宣传视频等；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教委用户可按学校、区域、类型、状态进行筛选与排序；</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支持导出全部申报清单，便于纸质备案或线下比对。</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2.教委打分推荐机制</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教委可为每个申报基地进行综合评分，依据多个维度（如基地特色、承载能力、国际交流基础、材料完备性等）；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支持自定义评分模板与权重设置；</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多名评审人员分别评分，系统自动计算平均值；</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填写推荐意见（文字说明）；</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每条记录均保留评分人、评分时间、评分细节，形成评审日志。</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3.高分基地自动汇总推荐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系统根据评分结果自动排名，筛选出高分基地；</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可设定推荐名额数量（如推荐前5名）；</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系统自动生成推荐结果列表，包括：</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基地名称、申报学校、总评分、推荐等级、特色摘要；</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一键生成《推荐报告》或提交清单，上报上级部门。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22</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上海外籍人员子女学校年度检查/备案项目-外籍人员子女学校信息采集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一、教学点信息采集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字段：因部分外籍学校有多个教学点，教学点信息需单独维护管理。经办人可新增、修改、删除、导出、导入学校其他教学点信息，信息中包括:教学点名称、教学点地址、教学点租赁历史、租赁合同起止日期、教学点所在区、批准文号、批准日期、校址来源、自有产证日期、产证面积、建筑面积、占地面积、生均面积、学生数量、教师数量、学位数、已有学位数、剩余学位数、教室数量、专用教室数量、学段、是否有地震报告、是否有体育设施、体育设施来源、是否有现场检查报告。</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教委管理员可通过学校名称、上报项目、上报年份查询教学点信息。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数据标准化：统一教学点相关信息字段（如地址、面积、使用性质、产权状况、使用年限、学段、所属区等），规范填报格式。</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数据预填：学校基础信息直接录入教学点，并提示多教学点学校录入其他教学点信息。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二、学校简章和学校章程信息采集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学校简章和学校章程模块是对外籍人员子女学校办学理念、组织结构、运行规则等制度性文件的收集与备案。通过系统化录入和文档管理，提升政策执行的透明度和办学规范性，便于教育主管部门对学校治理结构与办学行为进行核查与监督。</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支持上传学校最新的办学简章（PDF、Word），包括学校定位、招生对象、课程设置、组织结构等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三、校车信息采集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该功能模块面向外籍人员子女学校，由学校经办人负责填写校车使用相关信息，重点记录许可情况、车辆来源、负责人以及校车服务覆盖的学段及数量，为后续监管、审核与数据统计提供准确依据。</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字段：经办人可填写校车许可申请网上平台、许可驾驶员（人）、租赁公司、租赁合同起始日期、校车负责人、校车负责人电话、多学段（幼儿园、小学、初中、高中）校车类型和数量统计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四、学费信息采集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经办人可填写学费信息，其中包括：‌幼儿园、小学、初中、高中的收费标准和收费标准修改时间。注：支持按学段分别填写，金额单位为元，修改时间为日期字段。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教委管理员可通过学校名称、上报项目、上报年份查询学费信息。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五、涉法案件信息采集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数据标准化：统一教学点相关信息字段（如地址、面积、使用性质、产权状况、使用年限、学段、所属区等），规范填报格式。</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六、年度财务审计报告信息采集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经办人可上传年度财务审计报告（PDF）。</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教委管理员可通过学校名称、上报项目、上报年份查询年度财务审计报告信息。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七、学位信息采集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经办人可新增、修改、删除、导出、导入学校学位统计数据，包括：总现有学位数(幼儿园)，总现有学位数(小学)，总现有学位数(初中)，总现有学位数(高中)，空余学位数(幼儿园)，空余学位数(小学)，空余学位数(初中)，空余学位数(高中)，等位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教委管理员可通过学校名称、上报项目、上报年份查询信访纠纷信息。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八、食品安全信息采集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经办人可新增、修改、删除、导出、导入食品安全信息，信息中包括:是否有食堂、食堂性质（自供/承包）、所属教学点、食品安全证件号、负责人电话。</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教委管理员可通过学校名称、上报项目、上报年份、是否有食堂、食堂性质（自供/承包）、所属教学点查询食品安全信息。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功能点：字段检验(食堂性质、所属教学点)。</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九、信访纠纷信息采集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经办人可新增、修改、删除、导出、导入‌信访相关信息(信访数量、信访完成数、信访满意数)及‌纠纷相关信息（人事纠纷数、家长纠纷数、其他纠纷数及描述）。</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教委管理员可通过学校名称、上报项目、上报年份查询信访纠纷信息。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十、招生方式信息采集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经办人可新增、修改、删除、导出、导入国际竞赛信息（竞赛类型、竞赛规模、竞赛名称）。</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教委管理员可通过学校名称、上报项目、上报年份、竞赛名称查询国际竞赛信息。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功能点：数据字典，字段检验（竞赛类型、竞赛规模）。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23</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上海外籍人员子女学校年度检查/备案项目-外籍人员子女学校师生信息管理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一、教师信息管理中国籍教师信息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将原教师信息管理模块拆分为外籍教师管理和中国籍教师管理两个子模块，分别针对不同国籍教师的信息录入与维护，提升管理的针对性与准确性。两类教师信息均纳入年度备案项目，确保数据完整、可追溯。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为满足备案与统计需要，系统新增以下关键字段：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教师所授学段（如：幼儿园、小学、初中、高中）；</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所获重大奖项信息，用于记录教师获得的省级及以上重要荣誉；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宗教信仰选项字段，便于统计分析教师宗教结构；</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联系方式字段（支持手机号或固定电话）；</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中国籍教师专属字段扩展；</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针对中国籍教师，新增身份证明类型与证件号码两个字段，支持身份证、台胞证、港澳通行证等多种证件类型，以满足不同身份教师备案要求。</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二、学生信息管理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原学生信息管理字段变更，并拆分为学生信息管理和交流生信息管理。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经办人可新增、修改、删除、导出、导入交换生信息（夏令营、冬令营及历年交换生数量）。</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教委管理员可通过学校名称、上报项目、上报年份查询交换生信息。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功能点：数据字典，字段检验。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24</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上海外籍人员子女学校年度检查/备案项目-外籍人员子女学校信息管理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一、管理人员信息管理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经办人可新增、修改、删除、导出、导入管理人员信息，信息中包括：工作编号、姓名、性别、出生日期、年龄、国籍、证件类型、证件号码、证件有效期、签证类型、签证有效期、雇佣期限、联系方式、雇佣渠道、宗教信仰、请选择宗教信仰、是否犯罪记录、病史。</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教委管理员可通过学校名称、上报项目、上报年份、工作编号、姓名、国籍、证件类型、证件号码查询管理人员信息。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功能点：数据字典，字段检验（身份证件，签证类型，宗教信仰，联系方式，国籍）。</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二、国际竞赛信息管理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经办人可新增、修改、删除、导出、导入国际竞赛信息（竞赛类型、竞赛规模、竞赛名称）。</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教委管理员可通过学校名称、上报项目、上报年份、竞赛名称查询国际竞赛信息。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功能点：数据字典，字段检验（竞赛规模）。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三、活动信息管理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经办人可新增、修改、删除、导出、导入活动信息管理活动名称、活动类型、活动规模(小型活动、中型活动、大型活动)、是否申报、申报单位、拟举办日期范围、活动责任人、责任人职务/职称、责任人手机。</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功能点：数据字典，字段检验（活动规模，活动类型，手机）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25</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上海外籍人员子女学校年度检查/备案项目-外籍人员子女学校数据分析</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年度外籍人员子女学校学生按国别、按学段统计，交流生按招生季、学校统计，师资按中外、按学段统计，学位信息统计，学费信息按学段统计，国际竞赛信息按类别统计，活动信息统计，信访纠纷与处理情况统计，食品安全情况统计，涉法案件按学校统计，校车使用情况统计等共15项统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为加强对外籍人员子女学校运行情况的全面掌握与科学决策支持，系统建设将设立数据分析与统计模块，围绕学校基本信息、学生构成、师资结构、教学质量、安全保障等多个维度开展年度数据分析工作，主要功能如下：</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1.学生信息统计分析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按国别统计：统计不同国家学生人数分布，支持年度对比与趋势分析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按学段统计：统计各学段（幼儿园、小学、初中、高中）在校学生数量及占比</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交流生统计：按招生季（春季/秋季）与学校维度统计交流学生情况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2.教师师资分析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按国籍统计：统计中籍与外籍教师数量与比例</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按学段统计：分学段统计任教教师人数与结构，反映各学段师资配置情况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3.学位信息统计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分学校统计各类在校学生所获学位分布情况，支持本校/转入/联合授予学位等维度对比</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4.学费信息统计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按学段统计学费标准与调整时间，支持对比分析各学段收费变化趋势</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5.国际竞赛情况分析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按竞赛类别统计学生参赛情况与获奖数据，反映国际交流与综合素质发展成果</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6.校园活动信息统计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统计各学校开展的学术、艺术、体育、人文等类型活动数量及参与情况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7.信访纠纷处理情况统计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汇总学校接收的信访投诉、举报、纠纷等信息，并统计处理结果、结案率等指标</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8.食品安全情况统计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统计学校年度食品安全检查情况、问题发现与整改记录，分析食品安全风险分布</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9.涉法案件情况分析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按学校统计涉法案件数量、类型、处理结果，支持按年度或案件性质分类分析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10.校车使用情况分析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统计校车数量、使用频率、服务学段、承运公司及安全检查记录等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26</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中外合作办学-中外合作办学机构或项目基本办学信息</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1.联系信息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各办学机构或办学项目账户登录后，可将各自完整联系信息填入，便于后续联系。</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2.合作协议</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提供各办学协议内容，且需根据实际教学计划，按需求改。包括：合作协议首次签订时间、最新修订时间、当前合作终止时间、当前协议文件内容。</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3.办学投入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体现中外合作办学中，中方以及外方所投入的具体占比情况：投入资金、启动资金、实物、土地使用权、知识产权投入占比、其他产权。</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4.党务工作</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对于涉及有党务工作的中外合作办学机构和项目，需公开相关信息：组织名称、组织类别代码、书记、联系人，联系电话，党组织成员信息及担任的职务。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还需列出开展过的思政课信息：开展时间、开展地点、授课老师及语言、课程名称及简介、授课对象、学分数、学时数、参与人数、课程所使用的教材。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27</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中外合作办学-中方（内地）合作办学者管理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1.中方合作办学者信息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中外合作办学的中方合作办学机构的信息维护，包含：规范的办学者全称、办学机构地址和邮政编码、法定代表人及其身份证编号、办学机构设立时间、组织代码、主管部门、学校在因特网上唯一的网站名称和标识，由资源类型和域名构成、办学机构的学校性质（公办、民办或其他）、教育类别、办学层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2.中方年度在校生规</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按年度统计中方办学者全日制及非全日制学生数量。</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3.中方境内已开展的合作办学情况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维护中方合作办学者在中国大陆开办的其它中外（内地与港澳台）合作办学机构/项目情况。其中开设课程或专业，如果有多个课程或专业，课程或专业之间可以用逗号隔开；办学层次或类别若有多个，要求主要的办学层次或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28</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中外合作办学-外方（含港澳台）合作办学者管理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1.外方合作办学者信息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规范的外方官方语言名称，普通通行的中文译名、外方（港澳台）合作办学者注册所在国家或地区、外方官方语言的注册机构全称、办学地址、外方（港澳台）在因特网上唯一的名称标识、由资源类型和域名构成的网址、单位性质（主要包括公立、私立、国立或其它四种类型；公立指地方政府设置的学校；国立指国家政府设置的学校；私立是指个人或团体、企业等设立的学校；不属于这三种类型的可以选择其它。）、外方（港澳台）官方语言的法定代表人、明确最初签订合作协议的时间以及最近一次的修订时间、明确最初签订合作协议的时间。</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2.外方年度在校生规模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按年度统计外方办学者全日制及非全日制学生数量。</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3.外方已设中外合作办学情况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维护外方合作办学者在中国大陆开办的其它中外（内地与港澳台）合作办学机构/项目情况。其中开设课程或专业，如果有多个课程或专业，课程或专业之间可以用逗号隔开；办学层次或类别若有多个，要求主要的办学层次或类型。</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4.外方在其他国家或地区办学情况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维护外方合作办学者在中国大陆和其注册地所在国家或地区以外的地方的办学情况；其中开设课程或专业，如果有多个课程或专业，课程或专业之间可以用逗号隔开；办学层次或类别若有多个，要求主要的办学层次或类型。</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5.外方参与评估与认证的情况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记录学校近十年参与的权威性外部评估或认证，或者国际性院校排名；评估认证时间指现场评估或认证时间或者国际排行的年份；认证/评估机构名称，需使用外方官方语言表述全称；认证/评估结果请简要描述，限制在100字以内；最多限报三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29</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中外合作办学-中外合作办学机构管理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1.办学定位</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提供办学宗旨内容和培养目标内容的维护功能，以文字描述，都限制在500字以内。</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2.决策管理机构</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提供决策管理机构的信息维护：决策管理机构类型，针对机构有：董事会、理事会、联合管理委员会，针对项目，仅联合管理委员会。并维护管理机构主任负责人的姓名、电话、传真、电子邮件等信息。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提供决策管理机构人员信息的维护，包括增删改查人员的姓名、性别、出生年月、国籍、护照或身份证号码、担任植物、人事关系所隶属的单位、管理人员的类型、进入决策机构的年月以及离开年月，及其累计的从事教育或教学工作的年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维护有关理事会、董事会或联合管理委员会会议方面的有关信息：会议时间、限定在300个字以内的会议主题、出席会议的理事会/董事会或联合管理委员会成员的数量、以及会议纪要文件。</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3.运行管理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运行管理功能，包括：管理章程文件内容及最后修订年月（仅限机构）、整体发展规划文件及规划适用起止年月、师资评聘制度文件、师资评聘制度文件、校长或主要行政负责人简历文件（主要内容包括教育背景，工作经历等，限800字以内）、年度办学报告文件（主要内容包括：招生宣传及备案、引进外国教育资源、财务状况、办学特色、存在问题、改进措施以及下一学年的工作重点。限在1000字内）。所有文件均提供上传维护功能。</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4.质量监控</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提供如下维护功能：</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评估认证时间:限定于机构或项目曾经参与，当前仍处于有效期的评估认证活动；时间为现场评估或认证时间。</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评估认证实施单位名称:指评估认证组织单位全称，外方机构则用外方官方语言和中文译名表述。</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评估认证结论:简要文字描述，限200字以内。</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教学质量监控文件、教职人员绩效考核方案、学生综合评价方案：指适用于中外合作办学机构或项目的有关文件。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30</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中外合作办学-课程与教学管理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1.课程或专业信息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提供课程或专业的增删改查功能，除首次招生时间、境外培养时间、培养方案内容、教学计划内容、课程专业毕业成果要求需要学校填报或上传文件以外，其它字段由相应的核心信息映射，包含：课程或专业名称、中方办学者和外方办学者颁发的各阶段证书及其证书样张文件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2.课程或学习单元与教材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针对不同课程或专业来维护下设的课程或学习单元名称：指列入培养方案、在学年度内实际开设、具有相对独立性的学习单位；要求维护培养方案中课程设置所要求的全部课程。还包括：课程类别、课内学时、授课方式、授课语言、开课方式（选项包括中方（内地）开设、共同开发、引进外（港澳台）方或其他。共同开发为课程大纲、教辅资料、试卷等均由双方共同商定、教师由双方认可；引进外（港澳台）方为课程大纲、教辅资料、试卷等均由外方提供，教师由外方派遣或认可）。以及本学年授课所有教师情况（所授学时数/总学时数）。</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以及相关教材的增删改查功能，包括教材名称、出版社、教材国际标准书号、教材的版本时间。</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3.学术文化讲座或专题报告</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记录常规的课程设置以外，为了开拓学生视野，营造良好的学术文化氛围而积极开设的讲座或报告。维护内容包含：名称、开展年月，参加学生人数、讲座或报告所用的主要语言、主讲人姓名、国籍，及其人事所在单位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31</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中外合作办学-师资队伍管理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1.师资信息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提供导入以及单条增删改查教师信息，字段信息包含：姓名、性别、出生年月、国籍、学科专业、学位、职称、人员来源、所在的单位及部门、人员类别、是否具有教师资格、电子邮箱、是否专职、所任职务、是否授课、从事教育教学工作年限、进入本部门时间、及年内可能离开时间。</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字段要求：人员类别：限填管理人员或任课教师。任课教师：指担任中外合作办学机构或项目教学任务的教师；管理人员：指机构或项目管理职能部门的管理者或工作人员，不包括学科专业层面的管理人员；职称：限选正高、副高、中级或初级；所在单位及部门：对于中方机构人员填写所在院系所名称；中方外聘人员填写人事关系所在单位名称；外方机构选派人员填写外方机构；是否具有教师资格：指中外方教师是否已经获得本国教师资格认证，例如，中方教师拥有教师资格证，外方教师拥有本国教师资格证明；是否专职：指管理人员是否为本项目的专职管理工作者。专职管理工作者指专门从事本项目管理工作的人员；在承担本项目管理工作的同时，还承担教学工作或其他管理工作的人员列为兼职管理人员；是否授课：指是否在本项目承担管理工作的同时也参与教学工作。</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2.师资培训</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师资培训项目记录，包含：培训内容、培训方式、培训时间、培训人员类型、培训人数。其中培训方式选项包括出国进修、国内进修、培训会或专题进修，若为其他方式，请予以说明；培训人员类型：选项包括任课教师或管理人员，若为其他方式，请予以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32</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中外合作办学-学生信息管理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1.招生情况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由核心信息映射显示课程或专业名称及代码信息，针对不同课程或专业维护最近一期招生情况。分为不同学历来维护不同字段。包含如下学历类型：</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a.自主招生课程或专业（高等非学历、文化补习、境外学士学位教育、境外硕士学位教育、境外博士学位教育以及境外文凭证书教育）b.纳入普通中等学校或中等专业/职业教育招生计划的课程或专业c.纳入国家普通高等教育招生计划—专科学历教育专业</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d.纳入国家普通高等教育招生计划—本科学历教育专业e.纳入国家研究生招生计划—硕士研究生学历教育专业</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f.纳入国家招生计划—博士研究生学历教育专业</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2.毕业生情况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维护最近一届获得相应的毕业证书和就业去向的学生数量。分为不同学历来维护不同字段。包含如下学历类型：</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a.文化补习、非学历高等教育b.学前教育c.普通高中教育d.中等专业/职业教育e.专科学历教育、境外高等文凭教育</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f.本科学历教育、境外学士学位教育g.硕士研究生教育、境外硕士学位教育h.博士研究生教育、境外博士学位教育</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3.接收外方学生情况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按年度分国别记录接收外方学生人数</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4.联合培养学生情况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根据《教育部等九部门关于加快推进</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教育数字化的意见》,第十四条，按年度记录联合培养学生情况，学分相互认可机制，教师互相派遣计划安排。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33</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中外合作办学-财务状况管理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1.学费收入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根据核心信息映射的课程或专业维护学费收入。学费核准情况可以在以下四种选择：无；物价局备案；财政局、物价局核准和市教委批复，财政局、物价局核准。无为没有进行学费核准；物价局备案主要针对非学历教育机构或项目；财政局、物价局核准针对学历教育机构或项目，并且学费为国内同级同类教育项目学费三倍以内；市教委批复，财政局、物价局核准，针对学历教育机构或项目，并且学费为国内同级同类教育项目学费三倍以上。学费标准一般单位为元/学年或元/学期。</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2.捐赠情况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维护指年度内社会组织和个人无偿赠与和转让给机构或项目指现金或有价证券（不含实物）收入。包括：年月，捐赠单位/捐赠组织、捐赠国籍、定向捐赠类型，捐赠内容、捐赠价值，并统计总计。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同时维护授予捐赠情况：包括：年月，授予单位/授予组织、国籍、定向捐赠类型、授予内容、授予价值，并统计总计。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3.年度住宿教材收入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根据年度维护住宿、教材及管理费的收入情况。各类均包括：收费标准、核准情况、核准日期、核准文本文件、以及总收入。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4.其他收入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除学费收入、住宿教材收入和捐赠收入，包括：项目名称、收入年月、经费来源、经费金额，以及总计。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5.经费支出</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维护如下内容：</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教育经费支出：指自然年度机构或项目开展教育事业活动发生的各项支出的总经费数。以下单项经费均统计自然年度实际支出的经费金额。</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学日常运行支出：指机构或项目开展教学活动及其辅助活动发生的支出，仅指教学基本支出中的商品和服务支出，不包括教学专项拨款支出，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教学改革科研业务费、委托业务费等）。取会计决算数。</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教学改革支出：指机构或项目立项用于教学改革的专项经费总额。</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师资队伍建设支出：指机构或项目立项用于师资队伍建设的专项投入经费总额。</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教材建设支出：指机构或项目立项用于教材建设的专项投入经费的总和。</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固定资产与设备购置费用:指机构或项目用于购置固定资产的经费总和。</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场地设施租借费:指机构或项目用于租借场地设施的经费总和。</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依据章程提取合理回报费用:如果章程明确机构要求合理汇报，则此处明确年度提取的合理汇报数额；对于项目和不要求合理汇报的机构，该数额为零。</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本年度提取的风险防范基金：指机构或项目提取用于教育发展或风险防范的经费总和。</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风险防范基金累计：指机构或项目目前累计的风险防范基金总数额。</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6.奖、助、补学金</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按学年记录奖学金、助学金、困难补助的人数和合计金额</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7.财务管理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按财务年为单位上传财务会计报告以及财务审计报告留档、财务账户类型，并提供对机构或项目下面的会计人员信息进行增删改查功能，包含：姓名、身份证号、会计上岗证编号、开始从事会计工作年月，及年内可能离开年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34</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中外合作办学-硬件与图书信息资源管理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1.可使用的教学与行政用房</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包括教学用房和教学辅助用房的总建筑面积，包括：教学用房总面积、教室总面积、教室数量、教室座位总数、专业实验室/语音室/机房名称及数量、行政办公用房面积。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室：其中，面积、数量、座位数，指机构或项目普通教室实际使用的建筑面积之和、教室间数之和、教室内座位数之和。不含实验室面积、数量、座位数。外语教学计算机机房（含语音室），指用于外语教学的计算机机房（包括数字化语音室和模拟语音室）的个数和座位数；多媒体教室，指配备有计算机和投影仪的，可充分利用多媒体手段进行教学的教室个数和座位总数。</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行政办公用房面积：指机构或项目行政办公用房建筑面积之和。</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2.固定资产</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对一般设置单位价值在500元以上，专用设置单位价值在800元以上，使用期限在一年以上，并在使用过程中基本保持原有物质形态的资产。（仅针对独立机构）</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3.教学科研仪器设备</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维护机构或项目现有教学、科研仪器设备的总值。（仅针对独立机构）</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4.图书资源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区分具有法人资格的机构和项目/不具有法人资格的机构两种类型进行维护专业图书资源信息。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具有法人资格的机构需维护：中文纸质图书、外文纸质图书、中文纸质期刊、外文纸质期刊、专业信息数据库的总量及当年新增量；当年文献购置费用、当年图书流通量、以及是否共享中方和外方网络信息资源；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项目/不具有法人资格的机构需维护：中文纸质图书、外文纸质图书、中文纸质期刊、外文纸质期刊的总量及当年新增量，以及是否共享外方网络信息资源；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35</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中外合作办学-年度重大项目管理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1.获奖情况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维护校级以上重要荣誉称号或奖项，最多可报十项，具体可包括以下内容：机构或项目年度获得教育教学、组织管理等方面的代表性荣誉称号或奖项；教职工年度获得的教学、科研或管理等方面的代表性荣誉称号或奖项；学生获得专业知识、技能竞赛方面的代表性荣誉称号或奖项。</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2.主办或承办的专业会议</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维护机构或项目年度主办或承办的具有较大影响的专业性学术会议，最多可报十项。</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3.专职教职工科研成果与研究项目统计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仅统计机构或项目专职教职工年度以机构/项目为所在单位取得的科研成果；同一成果如果以不同形式发表或出版，仅统计一种形式；实施高等学历教育的中外合作办学项目/机构必须填写，其他项目/机构可以不填；同一项成果如果项目/机构有多个人员参与，则只算一项成果。</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4.重要人员或团组来访</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记录国内外有关政府、专业机构、国际组织等比较有影响的团组或人员来访，这在一定程度上表明该机构或项目国内外影响力；最多可报十项。</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5.年度重要变更</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依据法规需要经过审批同意的变更事项，此处为结果记录。变更项目包括：名称、协议、法定代表人、校长或主要行政负责人、决策管理机构成员、办学层次与类别、办学规模、办学地址、许可证/项目批准书延期、分离、合并、终止，提供变更时间，变更申请报告文件，审批单位，批复时间、批复意见（同意、否定、调整后同意）、变更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36</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中外合作办学-中外合作办学数据分析</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财务状况按学费收入、捐赠情况、年度住宿教材收入、其他收入、经费支出及奖、助、补学金统计，硬件与图书资源按可使用的教学与行政用房、固定资产、教学科研仪器设备、图书资源、专业图书资源统计，毕业生信息按学历统计，接收外方学生情况及联合培养学生情况统计，师资信息统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1.财务状况分析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围绕项目运行的经济基础，系统将支持以下财务维度的数据统计与分析：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学费收入：按年度统计各合作项目的学费收入总额及变化趋势；</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捐赠情况：统计来自企业、校友、外方机构等各类捐赠资金的来源与金额；</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住宿与教材收入：统计学生住宿费、教材费等辅助性收入；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其他收入：包括培训收入、项目服务收入等其他类型收入；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经费支出：涵盖教学支出、人员支出、行政支出等主要支出类别；</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奖助补学金统计：分析奖学金、助学金、学费减免等资助资金的发放情况与覆盖范围。</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2.硬件与图书资源分析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反映项目的办学硬件支撑能力与图书资源配备情况，主要包括：</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可使用的教学与行政用房面积；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固定资产总值：包括教学、科研、办公设备等；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教学科研仪器设备配置；</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图书总量与专业图书资源：包括纸质、电子图书，外文图书比例等。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3.毕业生信息分析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按学历层次统计毕业生人数：涵盖专科、本科、硕士、博士等层次，可拓展支持就业去向、升学率等深度分析指标（如有数据）。</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4.外方学生接收与联合培养统计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接收外方学生情况：按国别、年级统计外方来华学生数量；</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联合培养学生情况：统计中外双方共同培养学生的数量、类型与学科领域分布。</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5.师资信息统计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按教师国籍（中方/外方）、职称、学历、学段/专业领域等维度统计中外教师资源；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可支持师资结构变化趋势、外方教师占比等核心指标分析；</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本模块共涵盖财务、资源、学生、教师等5大核心维度的20+项数据指标，支持按年度导出报表、趋势分析、对比分析及图表展示，为教育管理部门科学决策、评估合作项目成效提供数据支撑。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37</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上海市外国留学生政府奖学金-上海市外国留学生政府奖学金</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一、申报信息变动与系统对接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申报流程重构：原有高校留学生申请市政府奖学金流程将全面废弃，系统改为自动接入“留学上海”平台留学生申报数据，实现字段对齐与流程融合；</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字段结构重置：原奖学金申请字段结构将废除，全面采用“留学上海”平台定义的标准字段体系（含129项数据及多个附件材料），实现信息结构统一；</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1.信息同步接入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系统对接“留学上海”平台，自动拉取留学生市政府奖学金申请数据，并保持表单内容的一致性（原市政府奖学金字段内容废弃）。字段包括：</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 选择申请的奖学金类别以及学校；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 填写申请表格，包括：个人信息、学习信息、联系方式，以及奖学金专用信息等；（约129个字段）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 相关附件：个人照片、护照复印件、成绩单、学历证书、学习计划、推荐信，以及其他各校自定义内容；</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2.数据防护</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1）附件加密存储与访问控制、恶意文件扫描</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对接口文件进行安全扫描，上传的身份证明、成绩单等敏感资料采用加密存储，访问时需验证权限，并记录访问日志。</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2）接口通信安全保障</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与“留学上海”平台的数据交互基于 HTTPS+Token 验证机制，防止中间人攻击与伪造数据请求。</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4）数据同步日志审计</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每次与“留学上海”平台同步操作自动记录同步时间、字段变化内容、执行账号等，供事后追溯。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二、审核流程变动与系统对接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审核机制同步：学校端查看申请表，支持审核状态选择、意见填写、附件审查，审核结果自动反馈至平台，确保流程闭环；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新增调剂功能：系统新增奖项调剂管理模块，支持学校在审核阶段对奖学金类型（如A奖、B奖）进行调整，并同步反馈调剂结果及理由至“留学上海”系统，实现信息一致性；</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数据安全强化：实现附件加密存储、访问权限控制、数据同步日志审计等多重保障机制，确保学生个人敏感信息在申报、审核、交互全流程中的安全可控。</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1.学校管理端支持查看所有原始申请信息，保留“留学上海”原有字段格式与内容。</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2.系统支持学校审核状态选择（如：通过、退回修改补充材料、不符合条件等），并可填写审核意见；审核结果将同步至“留学上海”网站</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 奖项类型调剂管理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系统支持学校为学生调剂奖学金类型，如：</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将学生由 A 奖调剂为 B 奖，或由 B 奖调剂为 A 奖；</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支持调剂理由填写和变更记录留痕；</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调剂信息可同步反馈至“留学上海”平台，确保信息一致。</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支持对附件材料预览、下载，便于线上审查。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4.留学生可在“留学上海”网站查看到审核结果，并选择“同意就读”或者“拒绝录取/拒绝调剂”，并通过接口数据返回本系统。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38</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国际会议-国际会议申报</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申报用户主体变更，新增附表录入中外方人员清单。</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查询（条件筛选：年度、会议名称、会议举办时间、申报单位、申报人姓名)、导出功能、批量审批、单个审批（通过或驳回）功能。</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主体：国际会议基本信息，包括是否申报过计划、会议名称（中文）、会议名称（英文）、会议规模、会议类型、申报单位、拟举办日期、流水号、举办方式、举办地点、拟对外承诺日期、会议背景、会议主题、会议主要内容，责任人信息及联系方式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附表：外方人员信息清单及人数，中方人员信息清单及人数，港澳地区代表人员清单，台湾地区代表人员清单，附件列表。</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审核流程：原为一审，现见流程图。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39</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国际会议-国际会议审核管理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原功能：各学校将国际会议计划申报内容提交至上海市教委国交处审核，并能新增、导出和汇总相关的数据，与国际会议计划关联，实现计划执行的管理。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现功能对国际会议功能整体重构，具体如下：</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1.分为国际会议申报及国际会议备案：并在国际会议计划申报和备案中明确指出：</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涉及国家安全、涉外发言、外宾邀请等内容的国际会议，须提前申报，履行审批流程；</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对常规学术、教学类会议，可实行备案管理（《教育部办公厅关于进一步规范和加强教育系统国际会议管理的通知》（教外厅函〔2014〕40号））；</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上海地区学校（除部署高校外），根据申报期限要求，报送国际会议举办申请，导出汇总表完成委内审批后，通过本系统进行会签，纸质材料交换至市外办（国际会议申报）；</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上海地区的部署高校，由于向主管部门进行申报，可以不在此系统中申报，但需要通过表单、数据报送和数据接口的方式，实现数据推送（国际会议备案）；</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各学校将国际会议计划申报内容提交至上海市教委国交处审核，并能新增、导出和汇总相关的数据，与国际会议计划关联，实现计划执行的管理；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各高校用户在系统首页或管理页面点击国际会议申报，如有会议计划，选择会议计划信息，再填写会议相关信息，点击提交，交由上海市教委国交处进行审核。</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2.国际会议申报表及备案表重制。</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3.新增国际重大会议预警功能，国际会议预警维度及识别规则如下：</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1)涉及敏感国家或地区</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识别条件：涉外人员来自特定敏感国家/地区（如受限国家名单）</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预警提示：提示该会议涉及敏感国家人员，建议人工复核</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2)涉及敏感议题</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识别条件：会议资料中包含关键词，如宗教、涉政、意识形态、民族问题等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预警提示：关键词命中，系统标红提示内容位置，触发人工复核</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3)会议规模过大</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识别条件：会议参与人数超过设定阈值（如100人）</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预警提示：提示会议规模过大，建议提前申报并提交风险说明。</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4.预警规则支持人工配置</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配置说明：所有识别规则的维度、阈值、关键词可由教委管理员自定义维护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40</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来访接待-教育团组来访接待申请表及</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教育团组来访接待申请表（港澳台）</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原教育团组来访接待功能仅支持国交处内部备案流程，并且并未区分港澳台事务与对外事务，因此，亟需对原有国际会议功能进行全面重构，构建符合计划—申报—审批—接待—总结—备案全流程管理体系。</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功能描述：查询（条件筛选：国家、来访单位、出席人员、流水号等）、新增或编辑功能、导出功能、删除、查看教育团组来访接待信息，由主办方维护信息，其中来访接待明细为主体，其余为副表信息。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1.来访接待明细：来访国家，联系人，联系方式，开始时间，结束时间，接待类型，赠礼名称，委内接待，来访单位，接待单位/处室，会谈要点，接待议程等。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2.委内出席人员清单：部门，级别，姓名等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3.外方出席人员清单及外方单位清单</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4.签约情况清单：签约协议名称，签约协议类型及备注。</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5.待推进事项清单：推进内容，负责人，进展情况，督办意见，备注等，并纳入任务清单。</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6.附件列表，文件上传。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41</w:t>
            </w:r>
          </w:p>
        </w:tc>
        <w:tc>
          <w:tcPr>
            <w:tcW w:w="1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来访接待-外方人员、外方单位管理及待推进事项任务推送</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一、外方人员及外方单位管理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查询（条件筛选：国家、单位名称、姓名等）、新增或编辑功能、导出功能、删除、查看维护外方人单位库和人员库，实现动态实时搜索选择外方出席人员信息。</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1.外方单位：单位名称、来访国家、联系人、联系方式等。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2.外方人员：姓名、工作单位（与外方单位联动）、职务、备注等。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二、待推进事项任务推送</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用户可对申请中记录的待推进任务事项，进行记录后续推进进度，并反馈到申请表中。查询（条件筛选：国家、来访单位、流水号、待推进事项、日期，负责人）、编辑功能、导出功能、删除功能、查看团组详情功能。</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任务清单详情：推进内容，负责人，进展情况，督办意见备注。</w:t>
            </w:r>
          </w:p>
        </w:tc>
      </w:tr>
    </w:tbl>
    <w:p>
      <w:pPr>
        <w:keepNext w:val="0"/>
        <w:keepLines w:val="0"/>
        <w:pageBreakBefore w:val="0"/>
        <w:widowControl w:val="0"/>
        <w:numPr>
          <w:ilvl w:val="0"/>
          <w:numId w:val="6"/>
        </w:numPr>
        <w:kinsoku/>
        <w:wordWrap/>
        <w:overflowPunct/>
        <w:topLinePunct w:val="0"/>
        <w:autoSpaceDE/>
        <w:autoSpaceDN/>
        <w:bidi w:val="0"/>
        <w:adjustRightInd/>
        <w:snapToGrid/>
        <w:ind w:firstLine="560" w:firstLineChars="200"/>
        <w:textAlignment w:val="auto"/>
        <w:rPr>
          <w:rFonts w:hint="eastAsia"/>
          <w:b/>
          <w:bCs/>
          <w:color w:val="auto"/>
          <w:highlight w:val="none"/>
        </w:rPr>
      </w:pPr>
      <w:r>
        <w:rPr>
          <w:rFonts w:hint="eastAsia"/>
          <w:b/>
          <w:bCs/>
          <w:color w:val="auto"/>
          <w:highlight w:val="none"/>
        </w:rPr>
        <w:t>审计管理</w:t>
      </w:r>
      <w:r>
        <w:rPr>
          <w:rFonts w:hint="eastAsia"/>
          <w:b/>
          <w:bCs/>
          <w:color w:val="auto"/>
          <w:highlight w:val="yellow"/>
          <w:lang w:eastAsia="zh-CN"/>
        </w:rPr>
        <w:t>（</w:t>
      </w:r>
      <w:r>
        <w:rPr>
          <w:rFonts w:hint="eastAsia"/>
          <w:b/>
          <w:bCs/>
          <w:color w:val="auto"/>
          <w:highlight w:val="yellow"/>
          <w:lang w:val="en-US" w:eastAsia="zh-CN"/>
        </w:rPr>
        <w:t>本功能需使用低代码开发）</w:t>
      </w:r>
    </w:p>
    <w:tbl>
      <w:tblPr>
        <w:tblStyle w:val="35"/>
        <w:tblW w:w="897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1"/>
        <w:gridCol w:w="1785"/>
        <w:gridCol w:w="64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序号</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功能名称</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功能描述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轮审任务管理-轮审任务库管理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轮审任务库用于管理教委审计任务计划。审计任务通常每5年一轮，每年审计一批所属单位（部门），5年内实现审计全覆盖。审计任务每五年设置一次，每年对当前年度的计划任务按照实际情况对你当年执行计划进行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轮审任务管理-事务所管理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用于管理委托实施审计工作的审计事务所基本信息以及事务所相关人员基本信息与资质。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3</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轮审任务管理-审计对象管理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用于管理被审计对象基本信息以及相关人员配置。基本信息包含单位名称、单位类型、单位负责人、单位联系电话、详细地址等信息。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4</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轮审任务管理-用户角色管理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用于管理审计过程中参与审计的各类用户和角色。用户类型分为教委组干处用户、教委审计处用户、教委处室用户、事务所用户、被审计单位用户。角色分为管理人和业务负责人两类。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5</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审计准备阶段管理-项目立项管理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实现立项全流程电子化，每年审计工作开始前组干处确认当年审计计划，确认无误系统按照项目计划立项。项目建立后在线填写项目信息，包括名称、目的、范围、预计时间等。填写完成后系统生成《审计委托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6</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审计准备阶段管理-审计方案管理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线上管理审计工作方案，委内各处室可在线提出意见在线填写《经济责任审计重点建议表》，审计处按照意见进行工作方案修改。并形成最终的《审计工作方案（终稿）》。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7</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审计准备阶段管理-审计资源调配</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整合审计人员信息库，记录专业技能、经验、项目参与情况。依据被审计单位信息分配审计实施事务所以及教委审计负责AB角。同时生成《经济责任审计项目分工表》、《审计通知书》、《审计文书送达回证》等相关通知文件。线下完成审计进点会后回收《审计文书送达回证》（被审单位签字版）电子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8</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审计准备阶段管理-审前培训记录</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线上管理审前培训相关资料，并通知相关人员参会。参与人员可在线上下载培训资料进行学习。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9</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审计实施阶段管理-审计任务分配</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将项目细化为具体任务，明确内容、要求、时间节点及责任人，自动生成任务清单推送至审计实施人员。审计人员实时反馈进展，系统监控进度，临近截止日期或出现延误时自动提醒。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10</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审计实施阶段管理-审计实施动态跟踪</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动态跟踪项目现场实施情况，审计实施人员按照各任务阶段要求上传关键性节点文档，教委审计负责人实时关注实施进度与关键性节点成果物情况，确保审计项目实施进度和工作质量。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11</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审计实施阶段管理-审计征求意见</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审计项目完成后，系统发起征求意见流程，指定被征求意见对象，填写征求意见函内容并上传审计报告征求意见稿。被征求意见对象在线反馈意见，系统记录反馈内容，审计人员核实分析后给出处理结果并反馈，形成闭环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12</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审计实施阶段管理-审计结果管理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审计项目完成后，审计实施人员按要求记录审计中发现问题，线上填写《经济责任审计发现问题清单表》，作为后续被审计单位整改依据。同时审计实施人员按要求整理实施过程结果性文件，并在审计结束一个月内上传完成审计文件归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13</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审计整改阶段管理-审计整改管理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依据审计发现问题，建立整改问题台账，记录整改问题内容，包括整改措施、责任人、完成时间等。被审核单位收到整改问题台帐后一个月内制定整改工作计划并在系统内填报计划整改措施，并上传《审计整改工作方案》。提交方案三个月年学校完成整改并在系统内提交整改结果和作证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14</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审计整改阶段管理-审计整改跟踪</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建立整改跟踪台账，记录问题整改情况，包括整改措施、责任人、完成时间等。定期提醒审计人员跟踪整改进度，对整改情况进行评估和反馈，确保问题得到有效解决。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15</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审计整改阶段管理-审计整改复核</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每三个月对被审计单位整改情况进行复核，复核分为三个阶段，审计处先行进行复核，复核结果交给各相关处室进行二次复核，最终审计处依据各处室意见给出最终结果。复核通过的对相关问题进行消号，未通过的继续整改直至整改完成。</w:t>
            </w:r>
          </w:p>
        </w:tc>
      </w:tr>
    </w:tbl>
    <w:p>
      <w:pPr>
        <w:keepNext w:val="0"/>
        <w:keepLines w:val="0"/>
        <w:pageBreakBefore w:val="0"/>
        <w:widowControl w:val="0"/>
        <w:numPr>
          <w:ilvl w:val="0"/>
          <w:numId w:val="6"/>
        </w:numPr>
        <w:kinsoku/>
        <w:wordWrap/>
        <w:overflowPunct/>
        <w:topLinePunct w:val="0"/>
        <w:autoSpaceDE/>
        <w:autoSpaceDN/>
        <w:bidi w:val="0"/>
        <w:adjustRightInd/>
        <w:snapToGrid/>
        <w:ind w:firstLine="560" w:firstLineChars="200"/>
        <w:textAlignment w:val="auto"/>
        <w:rPr>
          <w:rFonts w:hint="eastAsia"/>
          <w:b/>
          <w:bCs/>
          <w:color w:val="auto"/>
          <w:highlight w:val="none"/>
        </w:rPr>
      </w:pPr>
      <w:r>
        <w:rPr>
          <w:rFonts w:hint="eastAsia"/>
          <w:b/>
          <w:bCs/>
          <w:color w:val="auto"/>
          <w:highlight w:val="none"/>
        </w:rPr>
        <w:t>学校后勤管理</w:t>
      </w:r>
    </w:p>
    <w:tbl>
      <w:tblPr>
        <w:tblStyle w:val="35"/>
        <w:tblW w:w="897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4"/>
        <w:gridCol w:w="1792"/>
        <w:gridCol w:w="64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序号</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功能名称</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功能描述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高校食堂安全风险源管控-风险源管控指标管理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本次建设基于后勤信息填报工具以类表单的形式搭建食堂风险源检查的问题与指标。食堂风险源督查将根据市教委建立的《高校食堂食品安全督查办法》《教育系统重大事故隐患判定指南》所确定的分级指标与分类维度进行食堂风险源的标准配置，多场景、多维度的督查问题配置，指标、场景、问题标准及信息约束功能、标准维护与周期和时效性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高校食堂安全风险源管控-风险源自、督查管理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本模块基于原系统（食品安全监管和学生食堂运行监测系统）的食堂基础档案与信息采集功能，实现高校食堂名单的全面监管，增加学校风险源自查与教委督查的联动处理，进一步加强市校食安联动。实现对食堂风险源的日常管控做到信息互通与协同防范。主要内容如下：</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（1）学校食堂安全风险源自查管理：开发高校食安自查功能，将上述食品安全督查标准形成食品安全自查台账，并关联食安指标，与教委食安督查流程提供数据和材料支撑；</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食堂安全风险源流程配置：使用综合管理决策大系统下的流程配置能力形成食堂安全风险源督查和整改反馈的业务流程，主要环节为专家现场检查、复核，教委确认、下发整改，学校执行整改，教委复核的闭环管理流程；</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（3）食堂安全风险源信息处理：关联性处理（与“食品供应商”、“食堂承包商”关联，形成食安预警公示信息）、信息有效性验证（学校自查台账需纳入食安督查指标内容）；</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食堂安全风险源督查信息输出：将上述经过处理和验证后食堂安全风险源问题沉淀入库，形成食堂安全督查问题清单及相关方预警信息公示名单。各高校可依托本系统的食品安全督查问题清单，明确食安督查的标准与基本手势，进行食品安全督查整改，按需进行下载与归档；同时支持教育行政管理部门的食堂安全的监管提供工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3</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高校食堂安全风险源管控-风险源应急处置跟踪</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本次建设将可以使用基于后勤信息填报工具以类表单的形式搭建风险源应急处置及突发事件的管理与跟踪。具体功能如下：</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（1）数据标准配置：将应急处置进行分类维度的标准配置，包括预案类型、突发事件类型，相关指标及信息约束功能；</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（2）突发事件流程配置：利用综管的流程能力配置食安风险源突发事件报送、审核、整改的流程，形成市校两级突发事件有效联动；</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（3）应急处置信息处理：关联性处理（与“风险源自、督查管理”关联，发生突发事件的食堂必须纳入食安督查）、信息有效性验证（应急预案必须与突发事件类型进行信息校验，辅助事件处置）</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（4）应急处置信息输出：将上述经过处理和验证后的食品安全应急处置预案，形成食堂安全应急处置预案共享库，解决学校发生相关食安突发事件后无法快速处置的问题。</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5）各高校可依托本系统的食品安全突发事件报送通道，快速建立市校两级食安处置联动，协同完成食安应急处置；另一方面，食安应急处置预案为教育行政管理部门的食堂安全管理提供基础、有效的保障资源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4</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高校食堂安全风险源管控-风险源管控清单公示</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运用风险源检查与应急处置跟踪的数据结论，构建上海市教育行业食堂安全风险源督查专项整治清单，定期公布高校食堂风险源检查结果，以及各类风险源的管控要求，并向高校进行信息公示。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5</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高校重点风险源检查打卡</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依据《上海市随申办物码编码季应用规范》对上海市高校重点风险源（食堂、实验室、工地）的管理点位进行配置，实现一源一码功能，主要功能如下：</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（1）风险源点位信息管理：食堂安全风险源点位信息维护，按物码标准统一设置风险源信息、状态、使用范围等，为后续风险源检查提供支撑。</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（2）风险源点位类型管理：风险源分类管理，为后续数据分权查询和风险源检查提供支撑。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6</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学校防汛防台应急管理-防汛综合地图应用</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基于原有系统功能建设，已建设学校防汛防台相关业务流程与功能，包括防汛物资测算与管理、防汛在寝报送与跟踪、防汛预案上报与发布等，本次项目旨在运用“上海一张图”工具完成现有系统的数据对接、集成、分析与展示，并将服务器环境进行变更，实现相关应用在政务外网环境内搭建，完成学校防汛各类数据在“一屏统览”的直观显示。此外，依托“一张图”数据能力，实现地图可视化功能应用，包括空间分布及其属性信息；台风期间地图默认显示台风路径，通过空间地图+时间轴“时空联动”的形式呈现防汛防台各类信息的变化全过程，并运用一张图的数据接口能力，通过政务外网内部门数据协同，快速获取上海市气象和行业灾情动态、实时获取全市汛情特征和趋势分析、获取上海防汛重点风险隐患信息，为上海市学校防汛防台工作提供数据支撑，为市教委应急指挥提供决策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7</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学校防汛防台应急管理-防汛调度管理应用</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本模块在原有系统的防汛管理相关功能的深化应用，展示学校防汛预案准备和落实情况，并与现有防汛防台（防灾减灾）运行监测和管理系统、内部管理系统的相关功能进行关联，实现学校值班申报、学校防汛信息采集等功能，完成市校两级的防汛信息互通与防汛调度，进行人员转移安置、大型抢险物资调配、抢险人员队伍组建，以及各级防汛队伍、移动泵车、防汛物资的调度情况。此外，结合上海市汛情与灾情的信息，为市教委人员提供应急预案检索与查询功能，以及通过AIS信息显示上海境内防汛预案动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8</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学校防汛防台应急管理-防汛数据集成与模型搭建</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本模块应用数据支撑工具，实现原系统（防汛防台（防灾减灾）运行监测和管理系统）与政务数据共享完成数据应用与功能交互，实现高校防汛管理数据的集成与模型搭建、防汛系统功能调整与联动，主要包括以下内容：</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（1）数据集成：完成高校防汛系统的各类数据集成与管理，包括防汛值班值守数据、防汛物资储备数据、防汛应急预案数据、防汛突发事件数据、防汛灾情报送数据。</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（2）模型搭建与展示：完成一张图内的数据模型搭建，实现数据分类汇总查询与统计分析功能，例如灾情统计分析、物资储备统计分析等；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（3）交互功能搭建：完成防汛系统的功能的快捷跳转，实现应急预案发布、值班通话、灾情信息采集与跟踪等。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9</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宣传教育系统（xc改造）知识共享库</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建立各种应急处理知识库、食品安全知识共享库，并实现各单位之间的资料共享；提供知识共享库，将相关内容和知识点开放用户学习。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宣传教育系统（xc改造）专题题库</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建立食品安全专题题库、校园生态文明题库、校园防台防汛专题库。题库管理实现对题库的建立、修改、合并和删除操作。题库建立后，可以进行试题录入并保存，题库的调整应支持批量调整。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11</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宣传教育系统（xc改造）专题考试</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试题应能定义所属的导航栏、类别等信息，并支持批量调整。管理员可以设定在某一时间段内的重点学习试题，此功能是为了将题库练习与作业和考试挂钩，使之紧密联系，方便用户群众学习。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12</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宣传教育系统（xc改造）学习课程</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提供相关课程下载和在线学习。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13</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食品安全监管和学生食堂运行监测系统（xc改造）</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内部管理系统（xc改造）</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1.通知公告发布功能，支持图文、视频和文件等信息的发布功能，同时可以分类和分用户组发布。通知公告的管理功能，查询、删除和修改功能。</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信息填报管理。数据报表开发，支持新建报表和发布功能，同时可以根据类别和分用户组进行发布。用户收到报表后进行信息填报功能。实现报送信息查询功能，根据不同报送任务进行信息查看。同时，支持报送结果的统计功能。开发问卷管理系统，可以自定义问卷，支持多种类的问卷题型，实现问卷设计。问卷任务的信息查询功能，可以根据不同的任务查看问卷反馈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3.会议管理。支持会议发布功能，实现会议议程管理、会议签到功能、会议服务管理等。</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实现会议列表查询，会议文件下载和参会人员信息导出功能。</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食品安全监管和学生食堂运行监测系统（xc改造）</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1.学生食堂档案管理。可以实现档案建档、档案装订、档案类型维护的功能，对高校学生食堂的档案做到统一管理。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学生食堂基本信息采集。该模块建立高校食堂及商户的信息标准，实现高校根据经营标准上报和收集商户基本信息填报、经营和人员资质材料等；同时，该模块预留数据接口，可实现数据对接。建立人员管理系统，开发员工信息管理软件，实现对员工个人信息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食堂安全预警管理。对系统所发出的预警进行监测与统计，并通过接口与安全管理员对接，做到及时提醒。系统通过接入物联监管设备，对食品加工的所有操作规程，实现视频监管、自动数据采集与存档、自动比对及预警、异常处理的全过程闭环管理。</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4.6T标准化食堂管理。该模块实现台账信息填报功能，设施采集数据接口，台账表单导入等；另外，该模块各高校依据教委台账报送标准，完成6T台账填报，若未及时完成填报或台账不合标，系统会给商户和管理员发送预警。</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5.食堂安全违规管理。记录检查中高校食堂的食品安全违规现象，可以详细查询时间日期、违规原因，供市教委后期的查询与统计。一旦有违规记录，在各项检查包括飞行检查时，预警项目作为重点检查项目，做记录留存，对各高校起到一个监督督促的作用。</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6.食堂安全事件处置。该模块主要提供高校上报食安事件的入口，并且可对食安处置进行续报。一旦出现食品安全事故，高校必须马上通过该平台对事故进行上报，以及处理后的整改结果以及整改的内容进行上报，主要功能包含事件报送、处置跟踪和统计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14</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防汛防台（防灾减灾）运行监测和管理系统（xc改造）-应急预案发布</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 任务创建功能。2. 上报任务列表。3. 任务参数设置。4. 上报任务统计。根据时间统计各学校任务上报的情况。5. 上报流程开发。建立学校与教委上报任务的报送流程。教委完成审核后，可以选择将学校的预案放入到教委防汛防台预案库。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15</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防汛防台（防灾减灾）运行监测和管理系统（xc改造）-应急预案上报</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 预案自动下发功能。2. 预案手动下发功能。3. 预案发布列表管理。4. 预案发布统计。根据时间、阅读量等维度进行预案发布统计。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16</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防汛防台（防灾减灾）运行监测和管理系统（xc改造）-防汛督查管理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 防汛检查任务管理（包含物资巡检）。教委管理员新建检查任务，并设定检查岂止时间和检查对象，可以选择调用检模板也可以自行设定检查内容，完成检查任务信息发布2. 防汛检查标准管理。建立防汛防台检查模板，在模板内设定检查标准、检查周期、检查对象、检查方式、评分标准等信息。3. 防汛检查任务统计。4. 整改处置与跟踪。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17</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防汛防台（防灾减灾）运行监测和管理系统（xc改造）-预警信息管理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预警设置和发布,该功能主要对水纹、气象、降水等数据指标进行预警标准设置，通过多平台的数据对接获取气象指标数据，达到预警指标需要进行报警，并最终呈现在风险点数据监测地图内。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18</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防汛防台（防灾减灾）运行监测和管理系统（xc改造）-汛期值班管理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完成防汛防台的值班值守管理，下发上海市学校的值班值守上报任务，学校每日值班信息更新与值班问题报送功能，主要功能包括：（1）每日值班日志上报；（2）值班计划发布；3. 各单位值班日志查询、汇总与导出功能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19</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防汛防台（防灾减灾）运行监测和管理系统（xc改造）-突发事件报送与处置、校园河长管理、校园治河管理、校园巡河管理、校园水体档案</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突发事件报送与处置。汛期如有突发事件，各学校需填写“高校大学生安全事故报送表”完成突发事件的上报及事件处理过程管理。教委可以在每个事件处理的每个阶段给予相应的指示或指导，并决定该事件是否“结案”，并执行突发事件上报流程。</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校园河长管理。1）校园河长制办公室：教委发布校园河长信息填报任务，学校完成信息填报，教委审核通过后，自动生成该学校的河长制办公室人员机构。2）校园河长考核管理：教委通过系统建立河长考核标准，系统根据教委要求建立考核指标体系，定期生成考核报表。3）校园一河一策管理：教委发布一河一策填报任务，学校根据教委提供的参考文件。</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3.校园治河管理。1. 治河先锋：学校通过该功能实现治河志愿活动的信息上报，并交由教委审核是否进行信息公开。2. 治河项目申报：教委可以发布项目申报任务，学校可以根据任务要求，进行项目申报，教委初步评审，线下送审，通过后可在系统里立项。3. 治河项目管理：系统可以对项目实施计划进行管理，查询项目当前状态。</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校园巡河管理。1）校园巡河检查计划：教委通过系统建立校园巡河检查计划，分为学期巡河检查与月巡河检查，学校根据检查任务定期完成检查上报。2）校园巡河检查标准管理：教委可以自行建立检查计划的检查内容和检查标准、检查方式、评分规则等，并生成检查模板。3）校园巡河台账管理：学校完成检查任务后，自动生成台账记录，提供教委查询。</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5.校园水体档案。1）校园水体检查标准管理：教委设定学校水体自检与巡检的内容和指标、检查周期及评分方式。2）校园水体自检：学校需要每月对校园河湖进行水体检查，并上报教委进行归档和汇总。3）校园河道巡检：学校根据巡检要求完成周期性河道巡检，并上报教委汇总。4）校园水质报告：根据学校自检和巡检的信息，生成学校全年的水质报告和上海市校园水质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防汛防台（防灾减灾）运行监测和管理系统（xc改造）-值班上报（移动端）、应急预案查询（移动端）、学校防汛数据库（移动端）、汛期检查（移动端）</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1.值班上报。值班任务发布后，在值班期间，负责人在移动端完成值班信息填报，并可以查询历史值班记录。教委管理员可以查询各学校值班信息填报情况。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2.应急预案查询。用户可以通过手机端检索预案库，并查看各类预案的相关材料。</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3.学校防汛数据库。学校可以查看自己学校的防汛物资信息、预案信息、学校基本信息和人员信息等，通过手机可以时刻了解学校各类数据的情况。</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4.汛期检查。1）防汛督察。web端发布汛期检查任务后，学校和教委可以通过移动端对学校汛期的应急工作进行评分。2）物资巡检。Web端发布物资巡检任务，学校用户通过移动端对相关设备进行巡检。</w:t>
            </w:r>
          </w:p>
        </w:tc>
      </w:tr>
    </w:tbl>
    <w:p>
      <w:pPr>
        <w:keepNext w:val="0"/>
        <w:keepLines w:val="0"/>
        <w:pageBreakBefore w:val="0"/>
        <w:widowControl w:val="0"/>
        <w:numPr>
          <w:ilvl w:val="0"/>
          <w:numId w:val="6"/>
        </w:numPr>
        <w:kinsoku/>
        <w:wordWrap/>
        <w:overflowPunct/>
        <w:topLinePunct w:val="0"/>
        <w:autoSpaceDE/>
        <w:autoSpaceDN/>
        <w:bidi w:val="0"/>
        <w:adjustRightInd/>
        <w:snapToGrid/>
        <w:ind w:firstLine="560" w:firstLineChars="200"/>
        <w:textAlignment w:val="auto"/>
        <w:rPr>
          <w:rFonts w:hint="eastAsia"/>
          <w:b/>
          <w:bCs/>
          <w:color w:val="auto"/>
          <w:highlight w:val="none"/>
        </w:rPr>
      </w:pPr>
      <w:r>
        <w:rPr>
          <w:rFonts w:hint="eastAsia"/>
          <w:b/>
          <w:bCs/>
          <w:color w:val="auto"/>
          <w:highlight w:val="none"/>
        </w:rPr>
        <w:t>语言文字规范化水平监测</w:t>
      </w:r>
    </w:p>
    <w:tbl>
      <w:tblPr>
        <w:tblStyle w:val="35"/>
        <w:tblW w:w="897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4"/>
        <w:gridCol w:w="1792"/>
        <w:gridCol w:w="64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序号</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功能名称</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功能描述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语料审核流程调整-语料审核流程调整</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根据已经运行的实际情况，全面梳理审核流程和各环节操作。系统改造可以根据中英文语料的性质分配对应的中英文审核专家，从技术上规避中文专家审核英文语料的情况。针对原有的专家组长的审核进行功能调整，并在现有流程环节中设计和增加专家会签的流程和功能。</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此外，实现原有流程各审核节点缺失的闭环操作，针对各节点审核过程中的审核意见、通知和提醒功能也需要进行补充和完善，此外还需要调整各环节审核的页面功能和相关操作按钮、查询、页面展示等相关功能，提升用户实际使用的体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整改反馈模块-整改反馈模块</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对于志愿者提交的语料监测数据经最终审核完毕并确认后，需要选择哪些语料需要进入整改与反馈模块。来自第三方的语料监测数据（如“嚼文嚼字”）的数据也要进入整改反馈模块。</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待整改与反馈的内容需要经过确认并下发到各区，各区要根据整改和反馈的时限要求，在限定时间内容提交整改与反馈内容，确保相关节点的闭环。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3</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第三方监测数据管理-第三方监测数据管理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补充第三方监测数据的数据管理功能，如咬文嚼字提供的各类监测数据（公众号、官网、新闻媒体等）。并将该功能的数据纳入到日常监测任务工作中，做好数据集成和衔接，也便于后期数据统计和分析。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4</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基础配置项管理-基础配置项管理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增加工作年度、监测领域等字典项，原有的扣分项需要进行调整和优化，与具体的监测任务、工作年度等进行数据集成，便于后期进行数据统计和分析，以及每年不同监测任务的基础数据项调整，对于扣分项等基础配置需要增加实际扣分分值的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5</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数据统计与分析-语料审核模块</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需要提供采集人员、初审人员、专家及组长、业务实施人员和市级管理人员等各类角色的相关的数据统计表、统计图形、统计查询数据汇总和数据导出等功能。包括但不限于上传数量统计及汇总、各环节审核数量统计及汇总，上传和审核时间范围及不同工作年度的查询和统计及汇总、不同扣分项和其他基础配置项的统计汇总、各区的监测任务相关的各类统计和汇总、对比等图形、图表、数据导出等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6</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数据统计与分析-整改与反馈模块</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需要提供专家及组长、区级用户、业务实施人员和市级管理人员等各类角色的相关的数据统计表、统计图形、统计查询数据汇总和数据导出等功能。包括但不限于整改与反馈的数量统计及汇总、整改与反馈的时间范围及不同工作年度的查询和统计及汇总、各区的监测任务相关的各类统计和汇总、对比等图形、图表、数据导出等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7</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数据统计与分析-第三方监测模块</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需要提供区级用户、业务实施人员和市级管理人员等各类角色的相关的数据统计表、统计图形、统计查询数据汇总和数据导出等功能。包括但不限于上传数量统计及汇总、各环节审核数量统计及汇总，上传和审核时间范围及不同工作年度的查询和统计及汇总、不同扣分项和其他基础配置项的统计汇总、各区的监测任务相关的各类统计和汇总、对比等图形、图表、数据导出等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8</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待办事项调整-待办事项调整</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目前系统待办实现功能较为单一，指向不明确。需要丰富各类角色的除了监测任务以外不同类型和样式的待办工作（待办工作包括但不限于：待处理的语料，待处理的报告，待整改的问题，待反馈的问题，待阅读的通知或公告，待处理的其他事项等）。此外，对待办事项相关的事务处理时间等细节进行记录，以便纳入数据统计中。待办消息集成至统一门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9</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报告管理-报告管理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构建包含区报告和市总报告的报告管理功能，对报告的生成、下发等环节提供数据管理功能。并将报告与有相关性的监测工作建立数据关联，以符合实际的工作要求。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10</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监测管理-监测管理</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对于监测任务重的监测对象，需要纳入到系统管理中来，监测对象的类型，地址，名称等需要规范起来，并将这些数据和监测任务、工作任务联系起来，集成到系统的各个需要的环节中，在响应的统计模块和功能中需要有所体现。</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将监测、工作任务纳入到系统管理中，作为系统核心的工作模块，在设计上也要体现出其重要的地位。需要在系统的对应管理模块提供完善的相关业务管理。在相关各类角色中提供较为丰富的查询检索、业务数据统计、业务链条追踪等功能支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11</w:t>
            </w:r>
          </w:p>
        </w:tc>
        <w:tc>
          <w:tcPr>
            <w:tcW w:w="1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短信接入与社会通道改造-短信接入与社会通道改造</w:t>
            </w:r>
          </w:p>
        </w:tc>
        <w:tc>
          <w:tcPr>
            <w:tcW w:w="6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政务云短信平台接入，并对提供密码找回和密码复杂度改造。保障系统登录安全的同时，也要便于用户在忘记密码时可以自行利用系统方便快捷的找回密码再行登录系统。减少管理人员的业务负担。</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调整系统设计，包括社会用户登录系统提交纠错数据功能，但在设计此处功能的时候需要保障系统管理后台可以配置社会通道的开放时间段，登录授权、开放的提交数量等各种细节约束，避免大量提交的数据无法在限定时间内完成数据审核而造成社会性问题。该项功能的审核流程后期根据实际工作进度进行调整和完善，优先保障登录提交的通道的畅通。</w:t>
            </w:r>
          </w:p>
        </w:tc>
      </w:tr>
    </w:tbl>
    <w:p>
      <w:pPr>
        <w:keepNext w:val="0"/>
        <w:keepLines w:val="0"/>
        <w:pageBreakBefore w:val="0"/>
        <w:widowControl w:val="0"/>
        <w:numPr>
          <w:ilvl w:val="0"/>
          <w:numId w:val="6"/>
        </w:numPr>
        <w:kinsoku/>
        <w:wordWrap/>
        <w:overflowPunct/>
        <w:topLinePunct w:val="0"/>
        <w:autoSpaceDE/>
        <w:autoSpaceDN/>
        <w:bidi w:val="0"/>
        <w:adjustRightInd/>
        <w:snapToGrid/>
        <w:ind w:firstLine="560" w:firstLineChars="200"/>
        <w:textAlignment w:val="auto"/>
        <w:rPr>
          <w:rFonts w:hint="eastAsia"/>
          <w:b/>
          <w:bCs/>
          <w:color w:val="auto"/>
          <w:highlight w:val="none"/>
        </w:rPr>
      </w:pPr>
      <w:r>
        <w:rPr>
          <w:rFonts w:hint="eastAsia"/>
          <w:b/>
          <w:bCs/>
          <w:color w:val="auto"/>
          <w:highlight w:val="none"/>
        </w:rPr>
        <w:t>密码应用开发</w:t>
      </w:r>
    </w:p>
    <w:tbl>
      <w:tblPr>
        <w:tblStyle w:val="35"/>
        <w:tblW w:w="897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7"/>
        <w:gridCol w:w="1805"/>
        <w:gridCol w:w="64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序号</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功能名称</w:t>
            </w:r>
          </w:p>
        </w:tc>
        <w:tc>
          <w:tcPr>
            <w:tcW w:w="6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功能描述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密码应用开发-外事管理、审计管理、语言文字规范化水平监测密码应用开发</w:t>
            </w:r>
          </w:p>
        </w:tc>
        <w:tc>
          <w:tcPr>
            <w:tcW w:w="6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外事管理、审计管理、语言文字规范化水平监测此前未进行密码应用开发建设。</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基于云平台提供的安全认证网关、签名验签、数据库加密等密码服务以及系统的应用功能，需开发适配若干密码应用功能模块，以实现网络和通信、设备和计算、应用和数据等层面的各密码应用功能。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密码应用开发-教师信息管理、学校后勤管理密码应用开发</w:t>
            </w:r>
          </w:p>
        </w:tc>
        <w:tc>
          <w:tcPr>
            <w:tcW w:w="6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b w:val="0"/>
                <w:bCs w:val="0"/>
                <w:i w:val="0"/>
                <w:iCs w:val="0"/>
                <w:color w:val="auto"/>
                <w:sz w:val="22"/>
                <w:szCs w:val="22"/>
                <w:highlight w:val="none"/>
                <w:u w:val="none"/>
              </w:rPr>
            </w:pPr>
            <w:r>
              <w:rPr>
                <w:rFonts w:hint="eastAsia" w:ascii="仿宋" w:hAnsi="仿宋" w:eastAsia="仿宋" w:cs="仿宋"/>
                <w:b w:val="0"/>
                <w:bCs w:val="0"/>
                <w:i w:val="0"/>
                <w:iCs w:val="0"/>
                <w:color w:val="auto"/>
                <w:kern w:val="0"/>
                <w:sz w:val="22"/>
                <w:szCs w:val="22"/>
                <w:highlight w:val="none"/>
                <w:u w:val="none"/>
                <w:lang w:val="en-US" w:eastAsia="zh-CN" w:bidi="ar"/>
              </w:rPr>
              <w:t>教师信息管理、学校后勤管理此前已进行过密码应用开发建设，本次为新增功能密码应用开发。</w:t>
            </w:r>
            <w:r>
              <w:rPr>
                <w:rFonts w:hint="eastAsia" w:ascii="仿宋" w:hAnsi="仿宋" w:eastAsia="仿宋" w:cs="仿宋"/>
                <w:b w:val="0"/>
                <w:bCs w:val="0"/>
                <w:i w:val="0"/>
                <w:iCs w:val="0"/>
                <w:color w:val="auto"/>
                <w:kern w:val="0"/>
                <w:sz w:val="22"/>
                <w:szCs w:val="22"/>
                <w:highlight w:val="none"/>
                <w:u w:val="none"/>
                <w:lang w:val="en-US" w:eastAsia="zh-CN" w:bidi="ar"/>
              </w:rPr>
              <w:br w:type="textWrapping"/>
            </w:r>
            <w:r>
              <w:rPr>
                <w:rFonts w:hint="eastAsia" w:ascii="仿宋" w:hAnsi="仿宋" w:eastAsia="仿宋" w:cs="仿宋"/>
                <w:b w:val="0"/>
                <w:bCs w:val="0"/>
                <w:i w:val="0"/>
                <w:iCs w:val="0"/>
                <w:color w:val="auto"/>
                <w:kern w:val="0"/>
                <w:sz w:val="22"/>
                <w:szCs w:val="22"/>
                <w:highlight w:val="none"/>
                <w:u w:val="none"/>
                <w:lang w:val="en-US" w:eastAsia="zh-CN" w:bidi="ar"/>
              </w:rPr>
              <w:t>基于云平台提供的安全认证网关、签名验签、数据库加密等密码服务以及系统的应用功能，需开发适配若干密码应用功能模块，以实现网络和通信、设备和计算、应用和数据等层面的各密码应用功能。</w:t>
            </w:r>
          </w:p>
        </w:tc>
      </w:tr>
    </w:tbl>
    <w:p>
      <w:pPr>
        <w:pStyle w:val="3"/>
        <w:rPr>
          <w:rFonts w:hint="eastAsia" w:eastAsia="仿宋_GB2312"/>
          <w:b/>
          <w:bCs/>
          <w:color w:val="auto"/>
          <w:highlight w:val="none"/>
          <w:lang w:val="en-US" w:eastAsia="zh-CN"/>
        </w:rPr>
      </w:pPr>
      <w:r>
        <w:rPr>
          <w:rFonts w:hint="eastAsia"/>
          <w:b/>
          <w:bCs/>
          <w:color w:val="auto"/>
          <w:highlight w:val="none"/>
          <w:lang w:val="en-US" w:eastAsia="zh-CN"/>
        </w:rPr>
        <w:t>数据服务</w:t>
      </w:r>
    </w:p>
    <w:p>
      <w:pPr>
        <w:ind w:firstLine="560" w:firstLineChars="200"/>
        <w:rPr>
          <w:rFonts w:hint="eastAsia"/>
          <w:color w:val="auto"/>
          <w:highlight w:val="none"/>
          <w:lang w:val="en-US" w:eastAsia="zh-CN"/>
        </w:rPr>
      </w:pPr>
      <w:r>
        <w:rPr>
          <w:rFonts w:hint="eastAsia"/>
          <w:color w:val="auto"/>
          <w:highlight w:val="none"/>
          <w:lang w:val="en-US" w:eastAsia="zh-CN"/>
        </w:rPr>
        <w:t>对全国教师库返回数据进行治理，并对后续对接获取的师培数据、人事数据进行治理后上报国家库。整合分散的教师数据（人事、培训、职称等），建立全国统一的教师数据采集规范，消除信息孤岛。覆盖教师“入职—任职—培训—考核—晋升—退休”全流程数据，支撑精准管理与决策。</w:t>
      </w:r>
    </w:p>
    <w:p>
      <w:pPr>
        <w:rPr>
          <w:rFonts w:hint="eastAsia"/>
          <w:color w:val="auto"/>
          <w:highlight w:val="none"/>
          <w:lang w:val="en-US" w:eastAsia="zh-CN"/>
        </w:rPr>
      </w:pPr>
      <w:r>
        <w:rPr>
          <w:rFonts w:hint="eastAsia"/>
          <w:color w:val="auto"/>
          <w:highlight w:val="none"/>
          <w:lang w:val="en-US" w:eastAsia="zh-CN"/>
        </w:rPr>
        <w:t>1.数据来源及内容：本地人事系统、培训平台、奖惩数据库等。核心数据实体包括教师基本信息（姓名、工号、身份证等）、职业数据（岗位、职称、编制、考核结果）、发展数据（培训记录、奖惩、晋升路径）、状态数据（在岗、离岗、退休）等。</w:t>
      </w:r>
    </w:p>
    <w:p>
      <w:pPr>
        <w:rPr>
          <w:rFonts w:hint="eastAsia"/>
          <w:color w:val="auto"/>
          <w:highlight w:val="none"/>
          <w:lang w:val="en-US" w:eastAsia="zh-CN"/>
        </w:rPr>
      </w:pPr>
      <w:r>
        <w:rPr>
          <w:rFonts w:hint="eastAsia"/>
          <w:color w:val="auto"/>
          <w:highlight w:val="none"/>
          <w:lang w:val="en-US" w:eastAsia="zh-CN"/>
        </w:rPr>
        <w:t>2.治理标准：符合教育部《全国教师管理信息系统接口标准》及《中华人民共和国数据安全法》。关键字段（如职称、考核结果）无缺失，跨系统数据逻辑一致（如编制数与实际岗位匹配），关键数据（如岗位变动）实时更新至全国系统。</w:t>
      </w:r>
    </w:p>
    <w:p>
      <w:pPr>
        <w:pStyle w:val="2"/>
        <w:rPr>
          <w:color w:val="auto"/>
          <w:highlight w:val="none"/>
        </w:rPr>
      </w:pPr>
      <w:bookmarkStart w:id="19" w:name="_Toc63785502"/>
      <w:r>
        <w:rPr>
          <w:rFonts w:hint="eastAsia"/>
          <w:color w:val="auto"/>
          <w:highlight w:val="none"/>
        </w:rPr>
        <w:t>电子政务云资源需求</w:t>
      </w:r>
      <w:bookmarkEnd w:id="19"/>
    </w:p>
    <w:p>
      <w:pPr>
        <w:ind w:firstLine="560"/>
        <w:rPr>
          <w:rFonts w:hint="eastAsia"/>
          <w:color w:val="auto"/>
          <w:highlight w:val="none"/>
          <w:lang w:bidi="ar"/>
        </w:rPr>
      </w:pPr>
      <w:r>
        <w:rPr>
          <w:rFonts w:hint="eastAsia"/>
          <w:color w:val="auto"/>
          <w:highlight w:val="none"/>
          <w:lang w:bidi="ar"/>
        </w:rPr>
        <w:t>本项目</w:t>
      </w:r>
      <w:r>
        <w:rPr>
          <w:rFonts w:hint="eastAsia"/>
          <w:color w:val="auto"/>
          <w:highlight w:val="none"/>
          <w:lang w:val="en-US" w:eastAsia="zh-CN" w:bidi="ar"/>
        </w:rPr>
        <w:t>所需的IaaS主机资源（CPU、内存、存储）、基础软件（操作系统、数据库、中间件）及PaaS服务均使用电子政务云。</w:t>
      </w:r>
      <w:r>
        <w:rPr>
          <w:rFonts w:hint="eastAsia"/>
          <w:color w:val="auto"/>
          <w:highlight w:val="none"/>
          <w:lang w:bidi="ar"/>
        </w:rPr>
        <w:t>项目实施过程中可按电子政务云平台分配的实际资源情况</w:t>
      </w:r>
      <w:r>
        <w:rPr>
          <w:rFonts w:hint="eastAsia"/>
          <w:color w:val="auto"/>
          <w:highlight w:val="none"/>
          <w:lang w:val="en-US" w:eastAsia="zh-CN" w:bidi="ar"/>
        </w:rPr>
        <w:t>进行</w:t>
      </w:r>
      <w:r>
        <w:rPr>
          <w:rFonts w:hint="eastAsia"/>
          <w:color w:val="auto"/>
          <w:highlight w:val="none"/>
          <w:lang w:bidi="ar"/>
        </w:rPr>
        <w:t>调整</w:t>
      </w:r>
      <w:r>
        <w:rPr>
          <w:rFonts w:hint="eastAsia"/>
          <w:color w:val="auto"/>
          <w:highlight w:val="none"/>
          <w:lang w:val="en-US" w:eastAsia="zh-CN" w:bidi="ar"/>
        </w:rPr>
        <w:t>,同时可整合利用原有系统主机资源</w:t>
      </w:r>
      <w:r>
        <w:rPr>
          <w:rFonts w:hint="eastAsia"/>
          <w:color w:val="auto"/>
          <w:highlight w:val="none"/>
          <w:lang w:bidi="ar"/>
        </w:rPr>
        <w:t>。</w:t>
      </w:r>
    </w:p>
    <w:p>
      <w:pPr>
        <w:pStyle w:val="2"/>
        <w:rPr>
          <w:color w:val="auto"/>
          <w:highlight w:val="none"/>
        </w:rPr>
      </w:pPr>
      <w:bookmarkStart w:id="20" w:name="_Toc63785503"/>
      <w:r>
        <w:rPr>
          <w:rFonts w:hint="eastAsia"/>
          <w:color w:val="auto"/>
          <w:highlight w:val="none"/>
        </w:rPr>
        <w:t>其他工作要求</w:t>
      </w:r>
      <w:bookmarkEnd w:id="20"/>
    </w:p>
    <w:p>
      <w:pPr>
        <w:pStyle w:val="3"/>
        <w:rPr>
          <w:color w:val="auto"/>
          <w:highlight w:val="none"/>
        </w:rPr>
      </w:pPr>
      <w:bookmarkStart w:id="21" w:name="_Toc63785504"/>
      <w:bookmarkEnd w:id="21"/>
      <w:bookmarkStart w:id="22" w:name="_Toc62219358"/>
      <w:bookmarkEnd w:id="22"/>
      <w:bookmarkStart w:id="23" w:name="_Toc61968111"/>
      <w:bookmarkEnd w:id="23"/>
      <w:bookmarkStart w:id="24" w:name="_Toc62209488"/>
      <w:bookmarkEnd w:id="24"/>
      <w:bookmarkStart w:id="25" w:name="_Toc63762370"/>
      <w:bookmarkEnd w:id="25"/>
      <w:bookmarkStart w:id="26" w:name="_Toc63585480"/>
      <w:bookmarkEnd w:id="26"/>
      <w:bookmarkStart w:id="27" w:name="_Toc63785439"/>
      <w:bookmarkEnd w:id="27"/>
      <w:bookmarkStart w:id="28" w:name="_Toc63151871"/>
      <w:bookmarkEnd w:id="28"/>
      <w:bookmarkStart w:id="29" w:name="_Toc63785505"/>
      <w:r>
        <w:rPr>
          <w:rFonts w:hint="eastAsia"/>
          <w:color w:val="auto"/>
          <w:highlight w:val="none"/>
        </w:rPr>
        <w:t>售后服务要求</w:t>
      </w:r>
      <w:bookmarkEnd w:id="29"/>
    </w:p>
    <w:p>
      <w:pPr>
        <w:ind w:firstLine="560"/>
        <w:rPr>
          <w:color w:val="auto"/>
          <w:highlight w:val="none"/>
        </w:rPr>
      </w:pPr>
      <w:r>
        <w:rPr>
          <w:rFonts w:hint="eastAsia"/>
          <w:color w:val="auto"/>
          <w:highlight w:val="none"/>
        </w:rPr>
        <w:t>本项目从系统验收通过之日起1年内提供</w:t>
      </w:r>
      <w:r>
        <w:rPr>
          <w:color w:val="auto"/>
          <w:highlight w:val="none"/>
        </w:rPr>
        <w:t>7*24小时免费技术支持</w:t>
      </w:r>
      <w:r>
        <w:rPr>
          <w:rFonts w:hint="eastAsia"/>
          <w:color w:val="auto"/>
          <w:highlight w:val="none"/>
        </w:rPr>
        <w:t>和售后服务，1年后进入有偿维护期。</w:t>
      </w:r>
    </w:p>
    <w:p>
      <w:pPr>
        <w:ind w:firstLine="560"/>
        <w:rPr>
          <w:color w:val="auto"/>
          <w:highlight w:val="none"/>
        </w:rPr>
      </w:pPr>
      <w:r>
        <w:rPr>
          <w:rFonts w:hint="eastAsia"/>
          <w:color w:val="auto"/>
          <w:highlight w:val="none"/>
        </w:rPr>
        <w:t>在质量保证期内，供应商将按照售后服务的承诺提供保修和运行维护服务，如果厂商对信息系统中软、硬件设备等产品中的部分保修期超过上述期限的，则按照厂商的规定进行免费保修。</w:t>
      </w:r>
    </w:p>
    <w:p>
      <w:pPr>
        <w:ind w:firstLine="560"/>
        <w:rPr>
          <w:color w:val="auto"/>
          <w:highlight w:val="none"/>
        </w:rPr>
      </w:pPr>
      <w:r>
        <w:rPr>
          <w:rFonts w:hint="eastAsia"/>
          <w:color w:val="auto"/>
          <w:highlight w:val="none"/>
        </w:rPr>
        <w:t>在质量保证期内，供应商负责信息系统的运行维护工作，确保信息系统安全、稳定、可靠地运行。本项目涉及的运行维护工作范围为：</w:t>
      </w:r>
    </w:p>
    <w:p>
      <w:pPr>
        <w:ind w:firstLine="560"/>
        <w:rPr>
          <w:color w:val="auto"/>
          <w:highlight w:val="none"/>
        </w:rPr>
      </w:pPr>
      <w:r>
        <w:rPr>
          <w:rFonts w:hint="eastAsia"/>
          <w:color w:val="auto"/>
          <w:highlight w:val="none"/>
        </w:rPr>
        <w:t>（1）</w:t>
      </w:r>
      <w:r>
        <w:rPr>
          <w:color w:val="auto"/>
          <w:highlight w:val="none"/>
        </w:rPr>
        <w:t>远程技术支持</w:t>
      </w:r>
      <w:r>
        <w:rPr>
          <w:rFonts w:hint="eastAsia"/>
          <w:color w:val="auto"/>
          <w:highlight w:val="none"/>
        </w:rPr>
        <w:t>：</w:t>
      </w:r>
      <w:r>
        <w:rPr>
          <w:color w:val="auto"/>
          <w:highlight w:val="none"/>
        </w:rPr>
        <w:t>采购方联系供应商指定的维护工程师，由供应商工程师通过电话支持、电子邮件等方式进行远程技术支持</w:t>
      </w:r>
      <w:r>
        <w:rPr>
          <w:rFonts w:hint="eastAsia"/>
          <w:color w:val="auto"/>
          <w:highlight w:val="none"/>
        </w:rPr>
        <w:t>；</w:t>
      </w:r>
    </w:p>
    <w:p>
      <w:pPr>
        <w:ind w:firstLine="560"/>
        <w:rPr>
          <w:color w:val="auto"/>
          <w:highlight w:val="none"/>
        </w:rPr>
      </w:pPr>
      <w:r>
        <w:rPr>
          <w:rFonts w:hint="eastAsia"/>
          <w:color w:val="auto"/>
          <w:highlight w:val="none"/>
        </w:rPr>
        <w:t>（</w:t>
      </w:r>
      <w:r>
        <w:rPr>
          <w:color w:val="auto"/>
          <w:highlight w:val="none"/>
        </w:rPr>
        <w:t>2</w:t>
      </w:r>
      <w:r>
        <w:rPr>
          <w:rFonts w:hint="eastAsia"/>
          <w:color w:val="auto"/>
          <w:highlight w:val="none"/>
        </w:rPr>
        <w:t>）</w:t>
      </w:r>
      <w:r>
        <w:rPr>
          <w:color w:val="auto"/>
          <w:highlight w:val="none"/>
        </w:rPr>
        <w:t>现场技术支持</w:t>
      </w:r>
      <w:r>
        <w:rPr>
          <w:rFonts w:hint="eastAsia"/>
          <w:color w:val="auto"/>
          <w:highlight w:val="none"/>
        </w:rPr>
        <w:t>：</w:t>
      </w:r>
      <w:r>
        <w:rPr>
          <w:color w:val="auto"/>
          <w:highlight w:val="none"/>
        </w:rPr>
        <w:t xml:space="preserve">如果通过远程技术支持方式不能解决信息系统故障，在采购方提出现场支持应急响应要求后的约定时间内，供应商应派遣工程师赶赴现场分析故障原因，制定故障排除方案，提供故障排除服务。 </w:t>
      </w:r>
    </w:p>
    <w:p>
      <w:pPr>
        <w:pStyle w:val="3"/>
        <w:rPr>
          <w:color w:val="auto"/>
          <w:highlight w:val="none"/>
        </w:rPr>
      </w:pPr>
      <w:bookmarkStart w:id="30" w:name="_Toc63785506"/>
      <w:r>
        <w:rPr>
          <w:rFonts w:hint="eastAsia"/>
          <w:color w:val="auto"/>
          <w:highlight w:val="none"/>
        </w:rPr>
        <w:t>应急响应要求</w:t>
      </w:r>
      <w:bookmarkEnd w:id="30"/>
    </w:p>
    <w:p>
      <w:pPr>
        <w:ind w:firstLine="560"/>
        <w:rPr>
          <w:color w:val="auto"/>
          <w:highlight w:val="none"/>
        </w:rPr>
      </w:pPr>
      <w:r>
        <w:rPr>
          <w:rFonts w:hint="eastAsia"/>
          <w:color w:val="auto"/>
          <w:highlight w:val="none"/>
        </w:rPr>
        <w:t>供应商对系统故障应能够实时响应，若系统发生故障，接到通知后</w:t>
      </w:r>
      <w:r>
        <w:rPr>
          <w:color w:val="auto"/>
          <w:highlight w:val="none"/>
        </w:rPr>
        <w:t>30分钟之内响应，专业工程师2小时内到达现场</w:t>
      </w:r>
      <w:r>
        <w:rPr>
          <w:rFonts w:hint="eastAsia"/>
          <w:color w:val="auto"/>
          <w:highlight w:val="none"/>
        </w:rPr>
        <w:t>。特殊故障与客户沟通协商后，按照协商的方式制定解决方案并进行处理。</w:t>
      </w:r>
    </w:p>
    <w:p>
      <w:pPr>
        <w:ind w:firstLine="560"/>
        <w:rPr>
          <w:color w:val="auto"/>
          <w:highlight w:val="none"/>
        </w:rPr>
      </w:pPr>
      <w:r>
        <w:rPr>
          <w:rFonts w:hint="eastAsia"/>
          <w:color w:val="auto"/>
          <w:highlight w:val="none"/>
        </w:rPr>
        <w:t>具体故障级别及对应的应急响应要求如下：</w:t>
      </w:r>
    </w:p>
    <w:p>
      <w:pPr>
        <w:ind w:firstLine="560"/>
        <w:rPr>
          <w:color w:val="auto"/>
          <w:highlight w:val="none"/>
        </w:rPr>
      </w:pPr>
      <w:r>
        <w:rPr>
          <w:rFonts w:hint="eastAsia"/>
          <w:color w:val="auto"/>
          <w:highlight w:val="none"/>
        </w:rPr>
        <w:t>一级故障：在</w:t>
      </w:r>
      <w:r>
        <w:rPr>
          <w:color w:val="auto"/>
          <w:highlight w:val="none"/>
        </w:rPr>
        <w:t>1小时内确诊，总故障解决时间不超过4小时。</w:t>
      </w:r>
    </w:p>
    <w:p>
      <w:pPr>
        <w:ind w:firstLine="560"/>
        <w:rPr>
          <w:color w:val="auto"/>
          <w:highlight w:val="none"/>
        </w:rPr>
      </w:pPr>
      <w:r>
        <w:rPr>
          <w:rFonts w:hint="eastAsia"/>
          <w:color w:val="auto"/>
          <w:highlight w:val="none"/>
        </w:rPr>
        <w:t>二级故障：在</w:t>
      </w:r>
      <w:r>
        <w:rPr>
          <w:color w:val="auto"/>
          <w:highlight w:val="none"/>
        </w:rPr>
        <w:t>2小时内确诊，并在4小时内由专家到达现场确诊并解决，总故障解决时间不超过8小时；</w:t>
      </w:r>
    </w:p>
    <w:p>
      <w:pPr>
        <w:ind w:firstLine="560"/>
        <w:rPr>
          <w:color w:val="auto"/>
          <w:highlight w:val="none"/>
        </w:rPr>
      </w:pPr>
      <w:r>
        <w:rPr>
          <w:rFonts w:hint="eastAsia"/>
          <w:color w:val="auto"/>
          <w:highlight w:val="none"/>
        </w:rPr>
        <w:t>三、四级故障：在</w:t>
      </w:r>
      <w:r>
        <w:rPr>
          <w:color w:val="auto"/>
          <w:highlight w:val="none"/>
        </w:rPr>
        <w:t>4小时内确诊故障，总故障解决时间不超过16小时。</w:t>
      </w:r>
    </w:p>
    <w:p>
      <w:pPr>
        <w:pStyle w:val="3"/>
        <w:rPr>
          <w:color w:val="auto"/>
          <w:highlight w:val="none"/>
        </w:rPr>
      </w:pPr>
      <w:bookmarkStart w:id="31" w:name="_Toc63785507"/>
      <w:r>
        <w:rPr>
          <w:rFonts w:hint="eastAsia"/>
          <w:color w:val="auto"/>
          <w:highlight w:val="none"/>
        </w:rPr>
        <w:t>数据要求</w:t>
      </w:r>
    </w:p>
    <w:p>
      <w:pPr>
        <w:ind w:firstLine="560"/>
        <w:rPr>
          <w:color w:val="auto"/>
          <w:highlight w:val="none"/>
        </w:rPr>
      </w:pPr>
      <w:r>
        <w:rPr>
          <w:rFonts w:hint="eastAsia"/>
          <w:color w:val="auto"/>
          <w:highlight w:val="none"/>
        </w:rPr>
        <w:t>1、数据库设计文档中，原则上应包括所有二级功能模块对应的数据库表。</w:t>
      </w:r>
    </w:p>
    <w:p>
      <w:pPr>
        <w:ind w:firstLine="560"/>
        <w:rPr>
          <w:color w:val="auto"/>
          <w:highlight w:val="none"/>
        </w:rPr>
      </w:pPr>
      <w:r>
        <w:rPr>
          <w:rFonts w:hint="eastAsia"/>
          <w:color w:val="auto"/>
          <w:highlight w:val="none"/>
        </w:rPr>
        <w:t>2、业务功能模块涉及的业务对象、业务结果的数据库表应完成数据编目上链。</w:t>
      </w:r>
    </w:p>
    <w:p>
      <w:pPr>
        <w:ind w:firstLine="560"/>
        <w:rPr>
          <w:color w:val="auto"/>
          <w:highlight w:val="none"/>
        </w:rPr>
      </w:pPr>
      <w:r>
        <w:rPr>
          <w:rFonts w:hint="eastAsia"/>
          <w:color w:val="auto"/>
          <w:highlight w:val="none"/>
        </w:rPr>
        <w:t>3、数据目录名称应符合上海市《公共数据上链实施指南》数据资源命名规范。数据目录中的数据项应包含数据库表的核心数据项，其核心数据项应包含业务主体（人、企、事、产品、地址）、主体唯一标识、时间等关键信息。</w:t>
      </w:r>
    </w:p>
    <w:p>
      <w:pPr>
        <w:ind w:firstLine="560"/>
        <w:rPr>
          <w:color w:val="auto"/>
          <w:highlight w:val="none"/>
        </w:rPr>
      </w:pPr>
      <w:r>
        <w:rPr>
          <w:rFonts w:hint="eastAsia"/>
          <w:color w:val="auto"/>
          <w:highlight w:val="none"/>
        </w:rPr>
        <w:t>4、系统应具备与分中心指定的数据中台对接并实现数据归集和共享的能力。</w:t>
      </w:r>
    </w:p>
    <w:p>
      <w:pPr>
        <w:ind w:firstLine="560"/>
        <w:rPr>
          <w:color w:val="auto"/>
          <w:highlight w:val="none"/>
        </w:rPr>
      </w:pPr>
      <w:r>
        <w:rPr>
          <w:rFonts w:hint="eastAsia"/>
          <w:color w:val="auto"/>
          <w:highlight w:val="none"/>
        </w:rPr>
        <w:t>5、配合完成业务数据标准编制，并按照相关管理规则和技术规范完成数据归集。</w:t>
      </w:r>
    </w:p>
    <w:p>
      <w:pPr>
        <w:ind w:firstLine="560"/>
        <w:rPr>
          <w:color w:val="auto"/>
          <w:highlight w:val="none"/>
        </w:rPr>
      </w:pPr>
      <w:r>
        <w:rPr>
          <w:rFonts w:hint="eastAsia"/>
          <w:color w:val="auto"/>
          <w:highlight w:val="none"/>
        </w:rPr>
        <w:t>6、在项目验收前按大数据中心要求完成数据资源编目上链，具体将以市大数据中心的数据资源管理要求和项目实际实施情况作调整。</w:t>
      </w:r>
    </w:p>
    <w:p>
      <w:pPr>
        <w:pStyle w:val="3"/>
        <w:rPr>
          <w:color w:val="auto"/>
          <w:highlight w:val="none"/>
        </w:rPr>
      </w:pPr>
      <w:r>
        <w:rPr>
          <w:rFonts w:hint="eastAsia"/>
          <w:color w:val="auto"/>
          <w:highlight w:val="none"/>
        </w:rPr>
        <w:t>培训要求</w:t>
      </w:r>
      <w:bookmarkEnd w:id="31"/>
    </w:p>
    <w:p>
      <w:pPr>
        <w:ind w:firstLine="560"/>
        <w:rPr>
          <w:color w:val="auto"/>
          <w:highlight w:val="none"/>
        </w:rPr>
      </w:pPr>
      <w:r>
        <w:rPr>
          <w:rFonts w:hint="eastAsia"/>
          <w:color w:val="auto"/>
          <w:highlight w:val="none"/>
        </w:rPr>
        <w:t>对系统使用单位提供业务操作培训，应提供详细培训方案。</w:t>
      </w:r>
    </w:p>
    <w:p>
      <w:pPr>
        <w:ind w:firstLine="560"/>
        <w:rPr>
          <w:color w:val="auto"/>
          <w:highlight w:val="none"/>
        </w:rPr>
      </w:pPr>
      <w:r>
        <w:rPr>
          <w:rFonts w:hint="eastAsia"/>
          <w:color w:val="auto"/>
          <w:highlight w:val="none"/>
        </w:rPr>
        <w:t>(1)</w:t>
      </w:r>
      <w:r>
        <w:rPr>
          <w:rFonts w:hint="eastAsia"/>
          <w:color w:val="auto"/>
          <w:highlight w:val="none"/>
          <w:lang w:val="en-US" w:eastAsia="zh-CN"/>
        </w:rPr>
        <w:t>项目验收前，供应商应</w:t>
      </w:r>
      <w:r>
        <w:rPr>
          <w:rFonts w:hint="eastAsia"/>
          <w:color w:val="auto"/>
          <w:highlight w:val="none"/>
        </w:rPr>
        <w:t>提供2次与项目相关的必要培训。</w:t>
      </w:r>
    </w:p>
    <w:p>
      <w:pPr>
        <w:ind w:firstLine="560"/>
        <w:rPr>
          <w:color w:val="auto"/>
          <w:highlight w:val="none"/>
        </w:rPr>
      </w:pPr>
      <w:r>
        <w:rPr>
          <w:rFonts w:hint="eastAsia"/>
          <w:color w:val="auto"/>
          <w:highlight w:val="none"/>
        </w:rPr>
        <w:t>(2)供应商需要开展分层次的人员培训工作，每次培训后应对参加培训人员进行测试，评估培训成果。培训应具有培训教材、培训环境和高水平的培训讲师。</w:t>
      </w:r>
    </w:p>
    <w:p>
      <w:pPr>
        <w:ind w:firstLine="560"/>
        <w:rPr>
          <w:color w:val="auto"/>
          <w:highlight w:val="none"/>
        </w:rPr>
      </w:pPr>
      <w:r>
        <w:rPr>
          <w:rFonts w:hint="eastAsia"/>
          <w:color w:val="auto"/>
          <w:highlight w:val="none"/>
        </w:rPr>
        <w:t>(3)供应商应提供一般用户的基础操作培训和部门信息管理员的日常应用维护的培训，确保用户对象能够掌握对应的操作技能。</w:t>
      </w:r>
    </w:p>
    <w:p>
      <w:pPr>
        <w:pStyle w:val="3"/>
        <w:rPr>
          <w:color w:val="auto"/>
          <w:highlight w:val="none"/>
        </w:rPr>
      </w:pPr>
      <w:bookmarkStart w:id="32" w:name="_Toc63785508"/>
      <w:bookmarkStart w:id="33" w:name="_Toc63785509"/>
      <w:r>
        <w:rPr>
          <w:rFonts w:hint="eastAsia"/>
          <w:color w:val="auto"/>
          <w:highlight w:val="none"/>
        </w:rPr>
        <w:t>验收要求</w:t>
      </w:r>
      <w:bookmarkEnd w:id="32"/>
    </w:p>
    <w:p>
      <w:pPr>
        <w:rPr>
          <w:color w:val="auto"/>
          <w:szCs w:val="21"/>
          <w:highlight w:val="none"/>
        </w:rPr>
      </w:pPr>
      <w:r>
        <w:rPr>
          <w:rFonts w:hint="eastAsia"/>
          <w:color w:val="auto"/>
          <w:szCs w:val="21"/>
          <w:highlight w:val="none"/>
        </w:rPr>
        <w:t>本项目按下述方式开展验收。</w:t>
      </w:r>
    </w:p>
    <w:p>
      <w:pPr>
        <w:rPr>
          <w:color w:val="auto"/>
          <w:szCs w:val="21"/>
          <w:highlight w:val="none"/>
        </w:rPr>
      </w:pPr>
      <w:r>
        <w:rPr>
          <w:rFonts w:hint="eastAsia"/>
          <w:color w:val="auto"/>
          <w:szCs w:val="21"/>
          <w:highlight w:val="none"/>
        </w:rPr>
        <w:t>（</w:t>
      </w:r>
      <w:r>
        <w:rPr>
          <w:color w:val="auto"/>
          <w:szCs w:val="21"/>
          <w:highlight w:val="none"/>
        </w:rPr>
        <w:t>1）验收分初验和终验。</w:t>
      </w:r>
    </w:p>
    <w:p>
      <w:pPr>
        <w:rPr>
          <w:color w:val="auto"/>
          <w:szCs w:val="21"/>
          <w:highlight w:val="none"/>
        </w:rPr>
      </w:pPr>
      <w:r>
        <w:rPr>
          <w:rFonts w:hint="eastAsia"/>
          <w:color w:val="auto"/>
          <w:szCs w:val="21"/>
          <w:highlight w:val="none"/>
        </w:rPr>
        <w:t>（</w:t>
      </w:r>
      <w:r>
        <w:rPr>
          <w:color w:val="auto"/>
          <w:szCs w:val="21"/>
          <w:highlight w:val="none"/>
        </w:rPr>
        <w:t>2）初验前，供应商须完成软件开发、安装和信息系统的调试等，并对本项目进行功能和运行检测，确保所有信息系统功能模块能够正常运行且已达到本项目约定的各类标准要求。供应商应以书面形式向</w:t>
      </w:r>
      <w:r>
        <w:rPr>
          <w:rFonts w:hint="eastAsia"/>
          <w:color w:val="auto"/>
          <w:szCs w:val="21"/>
          <w:highlight w:val="none"/>
          <w:lang w:eastAsia="zh-CN"/>
        </w:rPr>
        <w:t>采购人</w:t>
      </w:r>
      <w:r>
        <w:rPr>
          <w:color w:val="auto"/>
          <w:szCs w:val="21"/>
          <w:highlight w:val="none"/>
        </w:rPr>
        <w:t>递交初验通知书。</w:t>
      </w:r>
      <w:r>
        <w:rPr>
          <w:rFonts w:hint="eastAsia"/>
          <w:color w:val="auto"/>
          <w:szCs w:val="21"/>
          <w:highlight w:val="none"/>
          <w:lang w:eastAsia="zh-CN"/>
        </w:rPr>
        <w:t>采购人</w:t>
      </w:r>
      <w:r>
        <w:rPr>
          <w:color w:val="auto"/>
          <w:szCs w:val="21"/>
          <w:highlight w:val="none"/>
        </w:rPr>
        <w:t>应当在接到通知后的5个工作日内确定初验的具体日期，由双方按照本项目的约定完成本项目的初验。</w:t>
      </w:r>
      <w:r>
        <w:rPr>
          <w:rFonts w:hint="eastAsia"/>
          <w:color w:val="auto"/>
          <w:szCs w:val="21"/>
          <w:highlight w:val="none"/>
          <w:lang w:eastAsia="zh-CN"/>
        </w:rPr>
        <w:t>采购人</w:t>
      </w:r>
      <w:r>
        <w:rPr>
          <w:color w:val="auto"/>
          <w:szCs w:val="21"/>
          <w:highlight w:val="none"/>
        </w:rPr>
        <w:t>有权委托第三方检测机构进行验收，对此供应商应当配合。</w:t>
      </w:r>
    </w:p>
    <w:p>
      <w:pPr>
        <w:rPr>
          <w:color w:val="auto"/>
          <w:szCs w:val="21"/>
          <w:highlight w:val="none"/>
        </w:rPr>
      </w:pPr>
      <w:r>
        <w:rPr>
          <w:rFonts w:hint="eastAsia"/>
          <w:color w:val="auto"/>
          <w:szCs w:val="21"/>
          <w:highlight w:val="none"/>
        </w:rPr>
        <w:t>（</w:t>
      </w:r>
      <w:r>
        <w:rPr>
          <w:color w:val="auto"/>
          <w:szCs w:val="21"/>
          <w:highlight w:val="none"/>
        </w:rPr>
        <w:t>3）初验时，供应商须提供软件文档包括《用户需求说明书》、《系统概要设计说明书》、《系统详细设计说明书》、</w:t>
      </w:r>
      <w:r>
        <w:rPr>
          <w:rFonts w:hint="eastAsia"/>
          <w:color w:val="auto"/>
          <w:szCs w:val="21"/>
          <w:highlight w:val="none"/>
        </w:rPr>
        <w:t>《三方功能需求确认单》、</w:t>
      </w:r>
      <w:r>
        <w:rPr>
          <w:color w:val="auto"/>
          <w:szCs w:val="21"/>
          <w:highlight w:val="none"/>
        </w:rPr>
        <w:t>《测试报告》、《用户使用手册》、《系统部署文档》等）及可安装的程序运行文件。所交付的文档与文件应当是可供自然人阅读的书面和电子文档。软件文档及可安装的程序运行文件验收通过后，视为初验通过。如有缺陷，</w:t>
      </w:r>
      <w:r>
        <w:rPr>
          <w:rFonts w:hint="eastAsia"/>
          <w:color w:val="auto"/>
          <w:szCs w:val="21"/>
          <w:highlight w:val="none"/>
          <w:lang w:eastAsia="zh-CN"/>
        </w:rPr>
        <w:t>采购人</w:t>
      </w:r>
      <w:r>
        <w:rPr>
          <w:color w:val="auto"/>
          <w:szCs w:val="21"/>
          <w:highlight w:val="none"/>
        </w:rPr>
        <w:t>应向供应商出具书面报告，陈述需要改进的缺陷。供应商应立即严格依照</w:t>
      </w:r>
      <w:r>
        <w:rPr>
          <w:rFonts w:hint="eastAsia"/>
          <w:color w:val="auto"/>
          <w:szCs w:val="21"/>
          <w:highlight w:val="none"/>
          <w:lang w:eastAsia="zh-CN"/>
        </w:rPr>
        <w:t>采购人</w:t>
      </w:r>
      <w:r>
        <w:rPr>
          <w:color w:val="auto"/>
          <w:szCs w:val="21"/>
          <w:highlight w:val="none"/>
        </w:rPr>
        <w:t>的书面报告中的要求改进缺陷，并再次进行初验。</w:t>
      </w:r>
    </w:p>
    <w:p>
      <w:pPr>
        <w:rPr>
          <w:color w:val="auto"/>
          <w:szCs w:val="21"/>
          <w:highlight w:val="none"/>
        </w:rPr>
      </w:pPr>
      <w:r>
        <w:rPr>
          <w:rFonts w:hint="eastAsia"/>
          <w:color w:val="auto"/>
          <w:szCs w:val="21"/>
          <w:highlight w:val="none"/>
        </w:rPr>
        <w:t>（</w:t>
      </w:r>
      <w:r>
        <w:rPr>
          <w:color w:val="auto"/>
          <w:szCs w:val="21"/>
          <w:highlight w:val="none"/>
        </w:rPr>
        <w:t>4）自初验通过之日起，</w:t>
      </w:r>
      <w:r>
        <w:rPr>
          <w:rFonts w:hint="eastAsia"/>
          <w:color w:val="auto"/>
          <w:szCs w:val="21"/>
          <w:highlight w:val="none"/>
          <w:lang w:eastAsia="zh-CN"/>
        </w:rPr>
        <w:t>采购人</w:t>
      </w:r>
      <w:r>
        <w:rPr>
          <w:color w:val="auto"/>
          <w:szCs w:val="21"/>
          <w:highlight w:val="none"/>
        </w:rPr>
        <w:t>享有供应商免费提供的</w:t>
      </w:r>
      <w:r>
        <w:rPr>
          <w:rFonts w:hint="eastAsia"/>
          <w:color w:val="auto"/>
          <w:szCs w:val="21"/>
          <w:highlight w:val="none"/>
          <w:lang w:val="en-US" w:eastAsia="zh-CN"/>
        </w:rPr>
        <w:t>7</w:t>
      </w:r>
      <w:r>
        <w:rPr>
          <w:color w:val="auto"/>
          <w:szCs w:val="21"/>
          <w:highlight w:val="none"/>
        </w:rPr>
        <w:t>天的信息系统试运行现场驻场服务期。该期间内，供应商应当按照</w:t>
      </w:r>
      <w:r>
        <w:rPr>
          <w:rFonts w:hint="eastAsia"/>
          <w:color w:val="auto"/>
          <w:szCs w:val="21"/>
          <w:highlight w:val="none"/>
          <w:lang w:eastAsia="zh-CN"/>
        </w:rPr>
        <w:t>采购人</w:t>
      </w:r>
      <w:r>
        <w:rPr>
          <w:color w:val="auto"/>
          <w:szCs w:val="21"/>
          <w:highlight w:val="none"/>
        </w:rPr>
        <w:t>的要求提供技术支持服务，解决信息系统试运行期间可能出现的各类问题，或进一步提高与完善信息系统运行水平。</w:t>
      </w:r>
    </w:p>
    <w:p>
      <w:pPr>
        <w:rPr>
          <w:color w:val="auto"/>
          <w:szCs w:val="21"/>
          <w:highlight w:val="none"/>
        </w:rPr>
      </w:pPr>
      <w:r>
        <w:rPr>
          <w:rFonts w:hint="eastAsia"/>
          <w:color w:val="auto"/>
          <w:szCs w:val="21"/>
          <w:highlight w:val="none"/>
        </w:rPr>
        <w:t>（</w:t>
      </w:r>
      <w:r>
        <w:rPr>
          <w:color w:val="auto"/>
          <w:szCs w:val="21"/>
          <w:highlight w:val="none"/>
        </w:rPr>
        <w:t>5）初验通过且信息系统试运行期已经达到本项目约定的时间，经供应商确认信息系统具备正常运行条件，且信息系统通过运行测试，供应商应以书面形式通知</w:t>
      </w:r>
      <w:r>
        <w:rPr>
          <w:rFonts w:hint="eastAsia"/>
          <w:color w:val="auto"/>
          <w:szCs w:val="21"/>
          <w:highlight w:val="none"/>
          <w:lang w:eastAsia="zh-CN"/>
        </w:rPr>
        <w:t>采购人</w:t>
      </w:r>
      <w:r>
        <w:rPr>
          <w:color w:val="auto"/>
          <w:szCs w:val="21"/>
          <w:highlight w:val="none"/>
        </w:rPr>
        <w:t>信息系统已准备就绪等待终验。</w:t>
      </w:r>
      <w:r>
        <w:rPr>
          <w:rFonts w:hint="eastAsia"/>
          <w:color w:val="auto"/>
          <w:szCs w:val="21"/>
          <w:highlight w:val="none"/>
          <w:lang w:eastAsia="zh-CN"/>
        </w:rPr>
        <w:t>采购人</w:t>
      </w:r>
      <w:r>
        <w:rPr>
          <w:color w:val="auto"/>
          <w:szCs w:val="21"/>
          <w:highlight w:val="none"/>
        </w:rPr>
        <w:t>在收到终验通知后的</w:t>
      </w:r>
      <w:r>
        <w:rPr>
          <w:rFonts w:hint="eastAsia"/>
          <w:color w:val="auto"/>
          <w:szCs w:val="21"/>
          <w:highlight w:val="none"/>
          <w:lang w:val="en-US" w:eastAsia="zh-CN"/>
        </w:rPr>
        <w:t>7</w:t>
      </w:r>
      <w:r>
        <w:rPr>
          <w:color w:val="auto"/>
          <w:szCs w:val="21"/>
          <w:highlight w:val="none"/>
        </w:rPr>
        <w:t>个工作日内发起组织专家验收会。</w:t>
      </w:r>
    </w:p>
    <w:p>
      <w:pPr>
        <w:rPr>
          <w:color w:val="auto"/>
          <w:szCs w:val="21"/>
          <w:highlight w:val="none"/>
        </w:rPr>
      </w:pPr>
      <w:r>
        <w:rPr>
          <w:rFonts w:hint="eastAsia"/>
          <w:color w:val="auto"/>
          <w:szCs w:val="21"/>
          <w:highlight w:val="none"/>
        </w:rPr>
        <w:t>（6</w:t>
      </w:r>
      <w:r>
        <w:rPr>
          <w:color w:val="auto"/>
          <w:szCs w:val="21"/>
          <w:highlight w:val="none"/>
        </w:rPr>
        <w:t>）如果属于供应商原因致使本项目未能通过终验，供应商应当排除缺陷，直至本项目完全符合验收标准，由上述情形而产生的相关费用应由供应商自行承担。</w:t>
      </w:r>
    </w:p>
    <w:p>
      <w:pPr>
        <w:rPr>
          <w:color w:val="auto"/>
          <w:szCs w:val="21"/>
          <w:highlight w:val="none"/>
        </w:rPr>
      </w:pPr>
      <w:r>
        <w:rPr>
          <w:rFonts w:hint="eastAsia"/>
          <w:color w:val="auto"/>
          <w:szCs w:val="21"/>
          <w:highlight w:val="none"/>
        </w:rPr>
        <w:t>（7</w:t>
      </w:r>
      <w:r>
        <w:rPr>
          <w:color w:val="auto"/>
          <w:szCs w:val="21"/>
          <w:highlight w:val="none"/>
        </w:rPr>
        <w:t>）如果由于</w:t>
      </w:r>
      <w:r>
        <w:rPr>
          <w:rFonts w:hint="eastAsia"/>
          <w:color w:val="auto"/>
          <w:szCs w:val="21"/>
          <w:highlight w:val="none"/>
          <w:lang w:eastAsia="zh-CN"/>
        </w:rPr>
        <w:t>采购人</w:t>
      </w:r>
      <w:r>
        <w:rPr>
          <w:color w:val="auto"/>
          <w:szCs w:val="21"/>
          <w:highlight w:val="none"/>
        </w:rPr>
        <w:t>原因导致本项目在终验通过前出现故障或问题，供应商应及时配合排除该方面的故障或问题。</w:t>
      </w:r>
    </w:p>
    <w:p>
      <w:pPr>
        <w:rPr>
          <w:color w:val="auto"/>
          <w:szCs w:val="21"/>
          <w:highlight w:val="none"/>
        </w:rPr>
      </w:pPr>
      <w:r>
        <w:rPr>
          <w:rFonts w:hint="eastAsia"/>
          <w:color w:val="auto"/>
          <w:szCs w:val="21"/>
          <w:highlight w:val="none"/>
        </w:rPr>
        <w:t>（8</w:t>
      </w:r>
      <w:r>
        <w:rPr>
          <w:color w:val="auto"/>
          <w:szCs w:val="21"/>
          <w:highlight w:val="none"/>
        </w:rPr>
        <w:t>）如本项目连续3次验收未通过（含初验未通过或终验未通过），</w:t>
      </w:r>
      <w:r>
        <w:rPr>
          <w:rFonts w:hint="eastAsia"/>
          <w:color w:val="auto"/>
          <w:szCs w:val="21"/>
          <w:highlight w:val="none"/>
          <w:lang w:eastAsia="zh-CN"/>
        </w:rPr>
        <w:t>采购人</w:t>
      </w:r>
      <w:r>
        <w:rPr>
          <w:color w:val="auto"/>
          <w:szCs w:val="21"/>
          <w:highlight w:val="none"/>
        </w:rPr>
        <w:t>有权解除项目，并有权依照本项目约定的违约条款追究供应商的违约责任。</w:t>
      </w:r>
    </w:p>
    <w:p>
      <w:pPr>
        <w:pStyle w:val="3"/>
        <w:rPr>
          <w:color w:val="auto"/>
          <w:highlight w:val="none"/>
        </w:rPr>
      </w:pPr>
      <w:r>
        <w:rPr>
          <w:rFonts w:hint="eastAsia"/>
          <w:color w:val="auto"/>
          <w:highlight w:val="none"/>
        </w:rPr>
        <w:t>进度要求</w:t>
      </w:r>
      <w:bookmarkEnd w:id="33"/>
    </w:p>
    <w:p>
      <w:pPr>
        <w:ind w:firstLine="560"/>
        <w:rPr>
          <w:color w:val="auto"/>
          <w:highlight w:val="none"/>
        </w:rPr>
      </w:pPr>
      <w:r>
        <w:rPr>
          <w:rFonts w:hint="eastAsia"/>
          <w:color w:val="auto"/>
          <w:highlight w:val="none"/>
        </w:rPr>
        <w:t>本项目总体可划分为</w:t>
      </w:r>
      <w:r>
        <w:rPr>
          <w:color w:val="auto"/>
          <w:highlight w:val="none"/>
        </w:rPr>
        <w:t>深化设计</w:t>
      </w:r>
      <w:r>
        <w:rPr>
          <w:rFonts w:hint="eastAsia"/>
          <w:color w:val="auto"/>
          <w:highlight w:val="none"/>
        </w:rPr>
        <w:t>、系统建设、系统试运行</w:t>
      </w:r>
      <w:r>
        <w:rPr>
          <w:rFonts w:hint="eastAsia"/>
          <w:color w:val="auto"/>
          <w:highlight w:val="none"/>
          <w:lang w:eastAsia="zh-CN"/>
        </w:rPr>
        <w:t>（</w:t>
      </w:r>
      <w:r>
        <w:rPr>
          <w:rFonts w:hint="eastAsia"/>
          <w:color w:val="auto"/>
          <w:highlight w:val="none"/>
          <w:lang w:val="en-US" w:eastAsia="zh-CN"/>
        </w:rPr>
        <w:t>不少于1个月）</w:t>
      </w:r>
      <w:r>
        <w:rPr>
          <w:rFonts w:hint="eastAsia"/>
          <w:color w:val="auto"/>
          <w:highlight w:val="none"/>
        </w:rPr>
        <w:t>、验收4个阶段</w:t>
      </w:r>
      <w:r>
        <w:rPr>
          <w:rFonts w:hint="eastAsia"/>
          <w:color w:val="auto"/>
          <w:highlight w:val="none"/>
          <w:lang w:eastAsia="zh-CN"/>
        </w:rPr>
        <w:t>。</w:t>
      </w:r>
      <w:r>
        <w:rPr>
          <w:rFonts w:hint="eastAsia"/>
          <w:color w:val="auto"/>
          <w:highlight w:val="none"/>
        </w:rPr>
        <w:t>应在</w:t>
      </w:r>
      <w:r>
        <w:rPr>
          <w:rFonts w:hint="eastAsia"/>
          <w:color w:val="auto"/>
          <w:highlight w:val="none"/>
          <w:lang w:val="en-US" w:eastAsia="zh-CN"/>
        </w:rPr>
        <w:t>合同签订后9个月内（不晚于2026年11月15日）</w:t>
      </w:r>
      <w:r>
        <w:rPr>
          <w:rFonts w:hint="eastAsia"/>
          <w:color w:val="auto"/>
          <w:highlight w:val="none"/>
        </w:rPr>
        <w:t>完成验收。</w:t>
      </w:r>
    </w:p>
    <w:p>
      <w:pPr>
        <w:ind w:firstLine="560"/>
        <w:rPr>
          <w:color w:val="auto"/>
          <w:highlight w:val="none"/>
        </w:rPr>
      </w:pPr>
      <w:r>
        <w:rPr>
          <w:rFonts w:hint="eastAsia"/>
          <w:color w:val="auto"/>
          <w:highlight w:val="none"/>
        </w:rPr>
        <w:t>投标人应根据建设内容，分阶段制定合理的时间进度，并且应根据</w:t>
      </w:r>
      <w:r>
        <w:rPr>
          <w:rFonts w:hint="eastAsia"/>
          <w:color w:val="auto"/>
          <w:highlight w:val="none"/>
          <w:lang w:val="en-US" w:eastAsia="zh-CN"/>
        </w:rPr>
        <w:t>采购人</w:t>
      </w:r>
      <w:r>
        <w:rPr>
          <w:rFonts w:hint="eastAsia"/>
          <w:color w:val="auto"/>
          <w:highlight w:val="none"/>
        </w:rPr>
        <w:t>要求进行调整和细化。</w:t>
      </w:r>
    </w:p>
    <w:p>
      <w:pPr>
        <w:pStyle w:val="3"/>
        <w:rPr>
          <w:color w:val="auto"/>
          <w:highlight w:val="none"/>
        </w:rPr>
      </w:pPr>
      <w:bookmarkStart w:id="34" w:name="_Toc63785510"/>
      <w:r>
        <w:rPr>
          <w:rFonts w:hint="eastAsia"/>
          <w:color w:val="auto"/>
          <w:highlight w:val="none"/>
        </w:rPr>
        <w:t>项目团队及驻场人员要求</w:t>
      </w:r>
      <w:bookmarkEnd w:id="34"/>
    </w:p>
    <w:p>
      <w:pPr>
        <w:ind w:firstLine="560"/>
        <w:rPr>
          <w:color w:val="auto"/>
          <w:highlight w:val="none"/>
        </w:rPr>
      </w:pPr>
      <w:r>
        <w:rPr>
          <w:rFonts w:hint="eastAsia"/>
          <w:color w:val="auto"/>
          <w:highlight w:val="none"/>
        </w:rPr>
        <w:t>投标人的相关服务人员需具备相应的服务能力，需提供相关证明（最近一个季度</w:t>
      </w:r>
      <w:r>
        <w:rPr>
          <w:rFonts w:hint="eastAsia"/>
          <w:color w:val="auto"/>
          <w:highlight w:val="none"/>
          <w:lang w:eastAsia="zh-CN"/>
        </w:rPr>
        <w:t>任意一个月的</w:t>
      </w:r>
      <w:r>
        <w:rPr>
          <w:rFonts w:hint="eastAsia"/>
          <w:color w:val="auto"/>
          <w:highlight w:val="none"/>
        </w:rPr>
        <w:t>缴纳社保证明）。</w:t>
      </w:r>
    </w:p>
    <w:p>
      <w:pPr>
        <w:numPr>
          <w:ilvl w:val="0"/>
          <w:numId w:val="7"/>
        </w:numPr>
        <w:ind w:firstLine="560"/>
        <w:rPr>
          <w:color w:val="auto"/>
          <w:highlight w:val="none"/>
        </w:rPr>
      </w:pPr>
      <w:r>
        <w:rPr>
          <w:color w:val="auto"/>
          <w:highlight w:val="none"/>
        </w:rPr>
        <w:t>投标人须具有稳定的在职技术保障力量，能够提供及时的技术支援或服务，应针对本项目提供不少于</w:t>
      </w:r>
      <w:r>
        <w:rPr>
          <w:rFonts w:hint="eastAsia"/>
          <w:color w:val="auto"/>
          <w:highlight w:val="none"/>
          <w:lang w:val="en-US" w:eastAsia="zh-CN"/>
        </w:rPr>
        <w:t>12</w:t>
      </w:r>
      <w:r>
        <w:rPr>
          <w:color w:val="auto"/>
          <w:highlight w:val="none"/>
        </w:rPr>
        <w:t>人的项目服务团队（包括项目经理、产品经理、技术负责人、研发</w:t>
      </w:r>
      <w:r>
        <w:rPr>
          <w:rFonts w:hint="eastAsia"/>
          <w:color w:val="auto"/>
          <w:highlight w:val="none"/>
          <w:lang w:val="en-US" w:eastAsia="zh-CN"/>
        </w:rPr>
        <w:t>工程师</w:t>
      </w:r>
      <w:r>
        <w:rPr>
          <w:color w:val="auto"/>
          <w:highlight w:val="none"/>
        </w:rPr>
        <w:t>等）。</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843"/>
        <w:gridCol w:w="992"/>
        <w:gridCol w:w="2742"/>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shd w:val="clear" w:color="auto" w:fill="auto"/>
            <w:vAlign w:val="center"/>
          </w:tcPr>
          <w:p>
            <w:pPr>
              <w:widowControl/>
              <w:spacing w:line="240" w:lineRule="auto"/>
              <w:ind w:firstLine="0" w:firstLineChars="0"/>
              <w:jc w:val="center"/>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角色</w:t>
            </w:r>
          </w:p>
        </w:tc>
        <w:tc>
          <w:tcPr>
            <w:tcW w:w="1843" w:type="dxa"/>
            <w:shd w:val="clear" w:color="auto" w:fill="auto"/>
            <w:vAlign w:val="center"/>
          </w:tcPr>
          <w:p>
            <w:pPr>
              <w:widowControl/>
              <w:spacing w:line="240" w:lineRule="auto"/>
              <w:ind w:firstLine="0" w:firstLineChars="0"/>
              <w:jc w:val="center"/>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主要职责</w:t>
            </w:r>
          </w:p>
        </w:tc>
        <w:tc>
          <w:tcPr>
            <w:tcW w:w="992" w:type="dxa"/>
            <w:shd w:val="clear" w:color="auto" w:fill="auto"/>
            <w:vAlign w:val="center"/>
          </w:tcPr>
          <w:p>
            <w:pPr>
              <w:widowControl/>
              <w:spacing w:line="240" w:lineRule="auto"/>
              <w:ind w:firstLine="0" w:firstLineChars="0"/>
              <w:jc w:val="center"/>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人员数量</w:t>
            </w:r>
          </w:p>
        </w:tc>
        <w:tc>
          <w:tcPr>
            <w:tcW w:w="2742" w:type="dxa"/>
            <w:vAlign w:val="center"/>
          </w:tcPr>
          <w:p>
            <w:pPr>
              <w:widowControl/>
              <w:spacing w:line="240" w:lineRule="auto"/>
              <w:ind w:firstLine="0" w:firstLineChars="0"/>
              <w:jc w:val="center"/>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人员要求</w:t>
            </w:r>
          </w:p>
        </w:tc>
        <w:tc>
          <w:tcPr>
            <w:tcW w:w="1341" w:type="dxa"/>
            <w:shd w:val="clear" w:color="auto" w:fill="auto"/>
            <w:vAlign w:val="center"/>
          </w:tcPr>
          <w:p>
            <w:pPr>
              <w:widowControl/>
              <w:spacing w:line="240" w:lineRule="auto"/>
              <w:ind w:firstLine="0" w:firstLineChars="0"/>
              <w:jc w:val="center"/>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shd w:val="clear" w:color="auto" w:fill="auto"/>
            <w:vAlign w:val="center"/>
          </w:tcPr>
          <w:p>
            <w:pPr>
              <w:widowControl/>
              <w:spacing w:line="240" w:lineRule="auto"/>
              <w:ind w:firstLine="0" w:firstLineChars="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项目经理</w:t>
            </w:r>
          </w:p>
        </w:tc>
        <w:tc>
          <w:tcPr>
            <w:tcW w:w="1843" w:type="dxa"/>
            <w:shd w:val="clear" w:color="auto" w:fill="auto"/>
            <w:vAlign w:val="center"/>
          </w:tcPr>
          <w:p>
            <w:pPr>
              <w:widowControl/>
              <w:spacing w:line="240" w:lineRule="auto"/>
              <w:ind w:firstLine="0" w:firstLineChars="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负责项目质量和进度控制</w:t>
            </w:r>
          </w:p>
        </w:tc>
        <w:tc>
          <w:tcPr>
            <w:tcW w:w="992" w:type="dxa"/>
            <w:shd w:val="clear" w:color="auto" w:fill="auto"/>
            <w:vAlign w:val="center"/>
          </w:tcPr>
          <w:p>
            <w:pPr>
              <w:widowControl/>
              <w:spacing w:line="240" w:lineRule="auto"/>
              <w:ind w:firstLine="0" w:firstLineChars="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1人</w:t>
            </w:r>
          </w:p>
        </w:tc>
        <w:tc>
          <w:tcPr>
            <w:tcW w:w="2742" w:type="dxa"/>
            <w:vAlign w:val="center"/>
          </w:tcPr>
          <w:p>
            <w:pPr>
              <w:widowControl/>
              <w:spacing w:line="240" w:lineRule="auto"/>
              <w:ind w:firstLine="0" w:firstLineChars="0"/>
              <w:jc w:val="left"/>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bidi="ar"/>
              </w:rPr>
              <w:t>大学本科及以上学历，</w:t>
            </w:r>
            <w:r>
              <w:rPr>
                <w:rFonts w:hint="eastAsia" w:ascii="仿宋" w:hAnsi="仿宋" w:eastAsia="仿宋" w:cs="仿宋"/>
                <w:color w:val="auto"/>
                <w:sz w:val="22"/>
                <w:szCs w:val="22"/>
                <w:highlight w:val="none"/>
              </w:rPr>
              <w:t>具有相关项目的管理经验</w:t>
            </w:r>
            <w:r>
              <w:rPr>
                <w:rFonts w:hint="eastAsia" w:ascii="仿宋" w:hAnsi="仿宋" w:eastAsia="仿宋" w:cs="仿宋"/>
                <w:color w:val="auto"/>
                <w:sz w:val="22"/>
                <w:szCs w:val="22"/>
                <w:highlight w:val="none"/>
                <w:lang w:eastAsia="zh-CN"/>
              </w:rPr>
              <w:t>，具备信息系统项目管理师证书</w:t>
            </w:r>
          </w:p>
        </w:tc>
        <w:tc>
          <w:tcPr>
            <w:tcW w:w="1341" w:type="dxa"/>
            <w:shd w:val="clear" w:color="auto" w:fill="auto"/>
            <w:vAlign w:val="center"/>
          </w:tcPr>
          <w:p>
            <w:pPr>
              <w:widowControl/>
              <w:spacing w:line="240" w:lineRule="auto"/>
              <w:ind w:firstLine="0" w:firstLineChars="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shd w:val="clear" w:color="auto" w:fill="auto"/>
            <w:vAlign w:val="center"/>
          </w:tcPr>
          <w:p>
            <w:pPr>
              <w:widowControl/>
              <w:spacing w:line="240" w:lineRule="auto"/>
              <w:ind w:firstLine="0" w:firstLineChars="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产品经理</w:t>
            </w:r>
          </w:p>
        </w:tc>
        <w:tc>
          <w:tcPr>
            <w:tcW w:w="1843" w:type="dxa"/>
            <w:shd w:val="clear" w:color="auto" w:fill="auto"/>
            <w:vAlign w:val="center"/>
          </w:tcPr>
          <w:p>
            <w:pPr>
              <w:widowControl/>
              <w:spacing w:line="240" w:lineRule="auto"/>
              <w:ind w:firstLine="0" w:firstLineChars="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负责项目需求分析与业务功能设计</w:t>
            </w:r>
          </w:p>
        </w:tc>
        <w:tc>
          <w:tcPr>
            <w:tcW w:w="992" w:type="dxa"/>
            <w:shd w:val="clear" w:color="auto" w:fill="auto"/>
            <w:vAlign w:val="center"/>
          </w:tcPr>
          <w:p>
            <w:pPr>
              <w:widowControl/>
              <w:spacing w:line="240" w:lineRule="auto"/>
              <w:ind w:firstLine="0" w:firstLineChars="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1人</w:t>
            </w:r>
          </w:p>
        </w:tc>
        <w:tc>
          <w:tcPr>
            <w:tcW w:w="2742" w:type="dxa"/>
            <w:vAlign w:val="center"/>
          </w:tcPr>
          <w:p>
            <w:pPr>
              <w:widowControl/>
              <w:spacing w:line="240" w:lineRule="auto"/>
              <w:ind w:firstLine="0" w:firstLineChars="0"/>
              <w:jc w:val="left"/>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bidi="ar"/>
              </w:rPr>
              <w:t>大学本科及以上学历，</w:t>
            </w:r>
            <w:r>
              <w:rPr>
                <w:rFonts w:hint="eastAsia" w:ascii="仿宋" w:hAnsi="仿宋" w:eastAsia="仿宋" w:cs="仿宋"/>
                <w:color w:val="auto"/>
                <w:sz w:val="22"/>
                <w:szCs w:val="22"/>
                <w:highlight w:val="none"/>
              </w:rPr>
              <w:t>具有产品设计经验</w:t>
            </w:r>
            <w:r>
              <w:rPr>
                <w:rFonts w:hint="eastAsia" w:ascii="仿宋" w:hAnsi="仿宋" w:eastAsia="仿宋" w:cs="仿宋"/>
                <w:color w:val="auto"/>
                <w:sz w:val="22"/>
                <w:szCs w:val="22"/>
                <w:highlight w:val="none"/>
                <w:lang w:eastAsia="zh-CN"/>
              </w:rPr>
              <w:t>，具</w:t>
            </w:r>
            <w:r>
              <w:rPr>
                <w:rFonts w:hint="eastAsia" w:ascii="仿宋" w:hAnsi="仿宋" w:eastAsia="仿宋" w:cs="仿宋"/>
                <w:color w:val="auto"/>
                <w:sz w:val="22"/>
                <w:szCs w:val="22"/>
                <w:highlight w:val="none"/>
                <w:lang w:val="en-US" w:eastAsia="zh-CN"/>
              </w:rPr>
              <w:t>备</w:t>
            </w:r>
            <w:r>
              <w:rPr>
                <w:rFonts w:hint="eastAsia" w:ascii="仿宋" w:hAnsi="仿宋" w:eastAsia="仿宋" w:cs="仿宋"/>
                <w:color w:val="auto"/>
                <w:sz w:val="22"/>
                <w:szCs w:val="22"/>
                <w:highlight w:val="none"/>
                <w:lang w:eastAsia="zh-CN"/>
              </w:rPr>
              <w:t>系统分析师</w:t>
            </w:r>
            <w:r>
              <w:rPr>
                <w:rFonts w:hint="eastAsia" w:ascii="仿宋" w:hAnsi="仿宋" w:eastAsia="仿宋" w:cs="仿宋"/>
                <w:color w:val="auto"/>
                <w:sz w:val="22"/>
                <w:szCs w:val="22"/>
                <w:highlight w:val="none"/>
                <w:lang w:val="en-US" w:eastAsia="zh-CN"/>
              </w:rPr>
              <w:t>证书</w:t>
            </w:r>
          </w:p>
        </w:tc>
        <w:tc>
          <w:tcPr>
            <w:tcW w:w="1341" w:type="dxa"/>
            <w:shd w:val="clear" w:color="auto" w:fill="auto"/>
            <w:vAlign w:val="center"/>
          </w:tcPr>
          <w:p>
            <w:pPr>
              <w:widowControl/>
              <w:spacing w:line="240" w:lineRule="auto"/>
              <w:ind w:firstLine="0" w:firstLineChars="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shd w:val="clear" w:color="auto" w:fill="auto"/>
            <w:vAlign w:val="center"/>
          </w:tcPr>
          <w:p>
            <w:pPr>
              <w:widowControl/>
              <w:spacing w:line="240" w:lineRule="auto"/>
              <w:ind w:firstLine="0" w:firstLineChars="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技术负责人</w:t>
            </w:r>
          </w:p>
        </w:tc>
        <w:tc>
          <w:tcPr>
            <w:tcW w:w="1843" w:type="dxa"/>
            <w:shd w:val="clear" w:color="auto" w:fill="auto"/>
            <w:vAlign w:val="center"/>
          </w:tcPr>
          <w:p>
            <w:pPr>
              <w:widowControl/>
              <w:spacing w:line="240" w:lineRule="auto"/>
              <w:ind w:firstLine="0" w:firstLineChars="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负责项目需求评估与系统设计</w:t>
            </w:r>
          </w:p>
        </w:tc>
        <w:tc>
          <w:tcPr>
            <w:tcW w:w="992" w:type="dxa"/>
            <w:shd w:val="clear" w:color="auto" w:fill="auto"/>
            <w:vAlign w:val="center"/>
          </w:tcPr>
          <w:p>
            <w:pPr>
              <w:widowControl/>
              <w:spacing w:line="240" w:lineRule="auto"/>
              <w:ind w:firstLine="0" w:firstLineChars="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1人</w:t>
            </w:r>
          </w:p>
        </w:tc>
        <w:tc>
          <w:tcPr>
            <w:tcW w:w="2742" w:type="dxa"/>
            <w:vAlign w:val="center"/>
          </w:tcPr>
          <w:p>
            <w:pPr>
              <w:widowControl/>
              <w:spacing w:line="240" w:lineRule="auto"/>
              <w:ind w:firstLine="0" w:firstLineChars="0"/>
              <w:jc w:val="lef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大学本科及以上学历，</w:t>
            </w:r>
            <w:r>
              <w:rPr>
                <w:rFonts w:hint="eastAsia" w:ascii="仿宋" w:hAnsi="仿宋" w:eastAsia="仿宋" w:cs="仿宋"/>
                <w:color w:val="auto"/>
                <w:sz w:val="22"/>
                <w:szCs w:val="22"/>
                <w:highlight w:val="none"/>
              </w:rPr>
              <w:t>具有相关项目的技术负责经验</w:t>
            </w:r>
          </w:p>
        </w:tc>
        <w:tc>
          <w:tcPr>
            <w:tcW w:w="1341" w:type="dxa"/>
            <w:shd w:val="clear" w:color="auto" w:fill="auto"/>
            <w:vAlign w:val="center"/>
          </w:tcPr>
          <w:p>
            <w:pPr>
              <w:widowControl/>
              <w:spacing w:line="240" w:lineRule="auto"/>
              <w:ind w:firstLine="0" w:firstLineChars="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shd w:val="clear" w:color="auto" w:fill="auto"/>
            <w:vAlign w:val="center"/>
          </w:tcPr>
          <w:p>
            <w:pPr>
              <w:widowControl/>
              <w:spacing w:line="240" w:lineRule="auto"/>
              <w:ind w:firstLine="0" w:firstLineChars="0"/>
              <w:jc w:val="lef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研发</w:t>
            </w:r>
            <w:r>
              <w:rPr>
                <w:rFonts w:hint="eastAsia" w:ascii="仿宋" w:hAnsi="仿宋" w:eastAsia="仿宋" w:cs="仿宋"/>
                <w:color w:val="auto"/>
                <w:sz w:val="22"/>
                <w:szCs w:val="22"/>
                <w:highlight w:val="none"/>
              </w:rPr>
              <w:t>工程师</w:t>
            </w:r>
          </w:p>
        </w:tc>
        <w:tc>
          <w:tcPr>
            <w:tcW w:w="1843" w:type="dxa"/>
            <w:shd w:val="clear" w:color="auto" w:fill="auto"/>
            <w:vAlign w:val="center"/>
          </w:tcPr>
          <w:p>
            <w:pPr>
              <w:widowControl/>
              <w:spacing w:line="240" w:lineRule="auto"/>
              <w:ind w:firstLine="0" w:firstLineChars="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负责项目具体开发与实施</w:t>
            </w:r>
          </w:p>
        </w:tc>
        <w:tc>
          <w:tcPr>
            <w:tcW w:w="992" w:type="dxa"/>
            <w:shd w:val="clear" w:color="auto" w:fill="auto"/>
            <w:vAlign w:val="center"/>
          </w:tcPr>
          <w:p>
            <w:pPr>
              <w:widowControl/>
              <w:spacing w:line="240" w:lineRule="auto"/>
              <w:ind w:firstLine="0" w:firstLineChars="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9</w:t>
            </w:r>
            <w:r>
              <w:rPr>
                <w:rFonts w:hint="eastAsia" w:ascii="仿宋" w:hAnsi="仿宋" w:eastAsia="仿宋" w:cs="仿宋"/>
                <w:color w:val="auto"/>
                <w:sz w:val="22"/>
                <w:szCs w:val="22"/>
                <w:highlight w:val="none"/>
              </w:rPr>
              <w:t>人</w:t>
            </w:r>
          </w:p>
        </w:tc>
        <w:tc>
          <w:tcPr>
            <w:tcW w:w="2742" w:type="dxa"/>
            <w:vAlign w:val="center"/>
          </w:tcPr>
          <w:p>
            <w:pPr>
              <w:widowControl/>
              <w:spacing w:line="240" w:lineRule="auto"/>
              <w:ind w:firstLine="0" w:firstLineChars="0"/>
              <w:jc w:val="lef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大专及以上学历，</w:t>
            </w:r>
            <w:r>
              <w:rPr>
                <w:rFonts w:hint="eastAsia" w:ascii="仿宋" w:hAnsi="仿宋" w:eastAsia="仿宋" w:cs="仿宋"/>
                <w:color w:val="auto"/>
                <w:sz w:val="22"/>
                <w:szCs w:val="22"/>
                <w:highlight w:val="none"/>
              </w:rPr>
              <w:t>具有相关项目的研发经验</w:t>
            </w:r>
          </w:p>
        </w:tc>
        <w:tc>
          <w:tcPr>
            <w:tcW w:w="1341" w:type="dxa"/>
            <w:shd w:val="clear" w:color="auto" w:fill="auto"/>
            <w:vAlign w:val="center"/>
          </w:tcPr>
          <w:p>
            <w:pPr>
              <w:widowControl/>
              <w:spacing w:line="240" w:lineRule="auto"/>
              <w:ind w:firstLine="0" w:firstLineChars="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不驻场</w:t>
            </w:r>
          </w:p>
        </w:tc>
      </w:tr>
    </w:tbl>
    <w:p>
      <w:pPr>
        <w:numPr>
          <w:ilvl w:val="0"/>
          <w:numId w:val="7"/>
        </w:numPr>
        <w:ind w:firstLine="560"/>
        <w:rPr>
          <w:color w:val="auto"/>
          <w:highlight w:val="none"/>
        </w:rPr>
      </w:pPr>
      <w:r>
        <w:rPr>
          <w:color w:val="auto"/>
          <w:highlight w:val="none"/>
        </w:rPr>
        <w:t>投标人应针对本项目提供不少于</w:t>
      </w:r>
      <w:r>
        <w:rPr>
          <w:rFonts w:hint="eastAsia"/>
          <w:color w:val="auto"/>
          <w:highlight w:val="none"/>
          <w:lang w:val="en-US" w:eastAsia="zh-CN"/>
        </w:rPr>
        <w:t>4</w:t>
      </w:r>
      <w:r>
        <w:rPr>
          <w:color w:val="auto"/>
          <w:highlight w:val="none"/>
        </w:rPr>
        <w:t>人的质保期间支撑团队（其中</w:t>
      </w:r>
      <w:r>
        <w:rPr>
          <w:rFonts w:hint="eastAsia"/>
          <w:color w:val="auto"/>
          <w:highlight w:val="none"/>
        </w:rPr>
        <w:t>项目</w:t>
      </w:r>
      <w:r>
        <w:rPr>
          <w:color w:val="auto"/>
          <w:highlight w:val="none"/>
        </w:rPr>
        <w:t>经理</w:t>
      </w:r>
      <w:r>
        <w:rPr>
          <w:rFonts w:hint="eastAsia"/>
          <w:color w:val="auto"/>
          <w:highlight w:val="none"/>
        </w:rPr>
        <w:t>1</w:t>
      </w:r>
      <w:r>
        <w:rPr>
          <w:color w:val="auto"/>
          <w:highlight w:val="none"/>
        </w:rPr>
        <w:t>人，技术工程师</w:t>
      </w:r>
      <w:r>
        <w:rPr>
          <w:rFonts w:hint="eastAsia"/>
          <w:color w:val="auto"/>
          <w:highlight w:val="none"/>
          <w:lang w:val="en-US" w:eastAsia="zh-CN"/>
        </w:rPr>
        <w:t>3</w:t>
      </w:r>
      <w:r>
        <w:rPr>
          <w:color w:val="auto"/>
          <w:highlight w:val="none"/>
        </w:rPr>
        <w:t>人）。</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2168"/>
        <w:gridCol w:w="1109"/>
        <w:gridCol w:w="2664"/>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56" w:type="dxa"/>
            <w:shd w:val="clear" w:color="auto" w:fill="auto"/>
            <w:vAlign w:val="center"/>
          </w:tcPr>
          <w:p>
            <w:pPr>
              <w:widowControl/>
              <w:spacing w:line="240" w:lineRule="auto"/>
              <w:ind w:firstLine="0" w:firstLineChars="0"/>
              <w:jc w:val="center"/>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角色</w:t>
            </w:r>
          </w:p>
        </w:tc>
        <w:tc>
          <w:tcPr>
            <w:tcW w:w="2168" w:type="dxa"/>
            <w:shd w:val="clear" w:color="auto" w:fill="auto"/>
            <w:vAlign w:val="center"/>
          </w:tcPr>
          <w:p>
            <w:pPr>
              <w:widowControl/>
              <w:spacing w:line="240" w:lineRule="auto"/>
              <w:ind w:firstLine="0" w:firstLineChars="0"/>
              <w:jc w:val="center"/>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主要职责</w:t>
            </w:r>
          </w:p>
        </w:tc>
        <w:tc>
          <w:tcPr>
            <w:tcW w:w="1109" w:type="dxa"/>
            <w:shd w:val="clear" w:color="auto" w:fill="auto"/>
            <w:vAlign w:val="center"/>
          </w:tcPr>
          <w:p>
            <w:pPr>
              <w:widowControl/>
              <w:spacing w:line="240" w:lineRule="auto"/>
              <w:ind w:firstLine="0" w:firstLineChars="0"/>
              <w:jc w:val="center"/>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人员数量</w:t>
            </w:r>
          </w:p>
        </w:tc>
        <w:tc>
          <w:tcPr>
            <w:tcW w:w="2664" w:type="dxa"/>
            <w:vAlign w:val="center"/>
          </w:tcPr>
          <w:p>
            <w:pPr>
              <w:widowControl/>
              <w:spacing w:line="240" w:lineRule="auto"/>
              <w:ind w:firstLine="0" w:firstLineChars="0"/>
              <w:jc w:val="center"/>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人员要求</w:t>
            </w:r>
          </w:p>
        </w:tc>
        <w:tc>
          <w:tcPr>
            <w:tcW w:w="1131" w:type="dxa"/>
            <w:shd w:val="clear" w:color="auto" w:fill="auto"/>
            <w:vAlign w:val="center"/>
          </w:tcPr>
          <w:p>
            <w:pPr>
              <w:widowControl/>
              <w:spacing w:line="240" w:lineRule="auto"/>
              <w:ind w:firstLine="0" w:firstLineChars="0"/>
              <w:jc w:val="center"/>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56" w:type="dxa"/>
            <w:shd w:val="clear" w:color="auto" w:fill="auto"/>
            <w:vAlign w:val="center"/>
          </w:tcPr>
          <w:p>
            <w:pPr>
              <w:widowControl/>
              <w:spacing w:line="240" w:lineRule="auto"/>
              <w:ind w:firstLine="0" w:firstLineChars="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项目经理</w:t>
            </w:r>
          </w:p>
        </w:tc>
        <w:tc>
          <w:tcPr>
            <w:tcW w:w="2168" w:type="dxa"/>
            <w:shd w:val="clear" w:color="auto" w:fill="auto"/>
            <w:vAlign w:val="center"/>
          </w:tcPr>
          <w:p>
            <w:pPr>
              <w:widowControl/>
              <w:spacing w:line="240" w:lineRule="auto"/>
              <w:ind w:firstLine="0" w:firstLineChars="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负责项目需求评估与系统设计</w:t>
            </w:r>
          </w:p>
        </w:tc>
        <w:tc>
          <w:tcPr>
            <w:tcW w:w="1109" w:type="dxa"/>
            <w:shd w:val="clear" w:color="auto" w:fill="auto"/>
            <w:vAlign w:val="center"/>
          </w:tcPr>
          <w:p>
            <w:pPr>
              <w:widowControl/>
              <w:spacing w:line="240" w:lineRule="auto"/>
              <w:ind w:firstLine="0" w:firstLineChars="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1人</w:t>
            </w:r>
          </w:p>
        </w:tc>
        <w:tc>
          <w:tcPr>
            <w:tcW w:w="2664" w:type="dxa"/>
            <w:vAlign w:val="center"/>
          </w:tcPr>
          <w:p>
            <w:pPr>
              <w:widowControl/>
              <w:spacing w:line="240" w:lineRule="auto"/>
              <w:ind w:firstLine="0" w:firstLineChars="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大学本科及以上学历，</w:t>
            </w:r>
            <w:r>
              <w:rPr>
                <w:rFonts w:hint="eastAsia" w:ascii="仿宋" w:hAnsi="仿宋" w:eastAsia="仿宋" w:cs="仿宋"/>
                <w:color w:val="auto"/>
                <w:sz w:val="22"/>
                <w:szCs w:val="22"/>
                <w:highlight w:val="none"/>
              </w:rPr>
              <w:t>具有相关项目的管理经验</w:t>
            </w:r>
          </w:p>
        </w:tc>
        <w:tc>
          <w:tcPr>
            <w:tcW w:w="1131" w:type="dxa"/>
            <w:shd w:val="clear" w:color="auto" w:fill="auto"/>
            <w:vAlign w:val="center"/>
          </w:tcPr>
          <w:p>
            <w:pPr>
              <w:widowControl/>
              <w:spacing w:line="240" w:lineRule="auto"/>
              <w:ind w:firstLine="0" w:firstLineChars="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56" w:type="dxa"/>
            <w:shd w:val="clear" w:color="auto" w:fill="auto"/>
            <w:vAlign w:val="center"/>
          </w:tcPr>
          <w:p>
            <w:pPr>
              <w:widowControl/>
              <w:spacing w:line="240" w:lineRule="auto"/>
              <w:ind w:firstLine="0" w:firstLineChars="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技术工程师</w:t>
            </w:r>
          </w:p>
        </w:tc>
        <w:tc>
          <w:tcPr>
            <w:tcW w:w="2168" w:type="dxa"/>
            <w:shd w:val="clear" w:color="auto" w:fill="auto"/>
            <w:vAlign w:val="center"/>
          </w:tcPr>
          <w:p>
            <w:pPr>
              <w:widowControl/>
              <w:spacing w:line="240" w:lineRule="auto"/>
              <w:ind w:firstLine="0" w:firstLineChars="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负责项目运行维护</w:t>
            </w:r>
          </w:p>
        </w:tc>
        <w:tc>
          <w:tcPr>
            <w:tcW w:w="1109" w:type="dxa"/>
            <w:shd w:val="clear" w:color="auto" w:fill="auto"/>
            <w:vAlign w:val="center"/>
          </w:tcPr>
          <w:p>
            <w:pPr>
              <w:widowControl/>
              <w:spacing w:line="240" w:lineRule="auto"/>
              <w:ind w:firstLine="0" w:firstLineChars="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3</w:t>
            </w:r>
            <w:r>
              <w:rPr>
                <w:rFonts w:hint="eastAsia" w:ascii="仿宋" w:hAnsi="仿宋" w:eastAsia="仿宋" w:cs="仿宋"/>
                <w:color w:val="auto"/>
                <w:sz w:val="22"/>
                <w:szCs w:val="22"/>
                <w:highlight w:val="none"/>
              </w:rPr>
              <w:t>人</w:t>
            </w:r>
          </w:p>
        </w:tc>
        <w:tc>
          <w:tcPr>
            <w:tcW w:w="2664" w:type="dxa"/>
            <w:vAlign w:val="center"/>
          </w:tcPr>
          <w:p>
            <w:pPr>
              <w:widowControl/>
              <w:spacing w:line="240" w:lineRule="auto"/>
              <w:ind w:firstLine="0" w:firstLineChars="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大专及以上学历，</w:t>
            </w:r>
            <w:r>
              <w:rPr>
                <w:rFonts w:hint="eastAsia" w:ascii="仿宋" w:hAnsi="仿宋" w:eastAsia="仿宋" w:cs="仿宋"/>
                <w:color w:val="auto"/>
                <w:sz w:val="22"/>
                <w:szCs w:val="22"/>
                <w:highlight w:val="none"/>
              </w:rPr>
              <w:t>具有相关项目的运维经验</w:t>
            </w:r>
          </w:p>
        </w:tc>
        <w:tc>
          <w:tcPr>
            <w:tcW w:w="1131" w:type="dxa"/>
            <w:shd w:val="clear" w:color="auto" w:fill="auto"/>
            <w:vAlign w:val="center"/>
          </w:tcPr>
          <w:p>
            <w:pPr>
              <w:widowControl/>
              <w:spacing w:line="240" w:lineRule="auto"/>
              <w:ind w:firstLine="0" w:firstLineChars="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不驻场</w:t>
            </w:r>
          </w:p>
        </w:tc>
      </w:tr>
    </w:tbl>
    <w:p>
      <w:pPr>
        <w:pStyle w:val="3"/>
        <w:numPr>
          <w:numId w:val="0"/>
        </w:numPr>
        <w:ind w:leftChars="0" w:firstLine="600" w:firstLineChars="200"/>
        <w:rPr>
          <w:rFonts w:hint="eastAsia" w:eastAsia="仿宋_GB2312"/>
          <w:color w:val="auto"/>
          <w:highlight w:val="none"/>
          <w:lang w:eastAsia="zh-CN"/>
        </w:rPr>
      </w:pPr>
      <w:bookmarkStart w:id="35" w:name="_Toc63785511"/>
      <w:r>
        <w:rPr>
          <w:rFonts w:hint="eastAsia"/>
          <w:color w:val="auto"/>
          <w:highlight w:val="none"/>
        </w:rPr>
        <w:t>供应商具有信息系统建设和服务能力评估企业认证证书、信息技术服务运行维护（</w:t>
      </w:r>
      <w:bookmarkStart w:id="38" w:name="_GoBack"/>
      <w:bookmarkEnd w:id="38"/>
      <w:r>
        <w:rPr>
          <w:rFonts w:hint="eastAsia"/>
          <w:color w:val="auto"/>
          <w:highlight w:val="none"/>
        </w:rPr>
        <w:t>ITSS）证书、质量管理体系认证证书、DCMM数据管理能力成熟度（乙方）等级证书、信息安全服务资质认证证书（信息安全应急处理）、信息安全服务资质认证证书（软件安全开发服务）的</w:t>
      </w:r>
      <w:r>
        <w:rPr>
          <w:rFonts w:hint="eastAsia"/>
          <w:color w:val="auto"/>
          <w:highlight w:val="none"/>
          <w:lang w:eastAsia="zh-CN"/>
        </w:rPr>
        <w:t>优先</w:t>
      </w:r>
    </w:p>
    <w:p>
      <w:pPr>
        <w:pStyle w:val="3"/>
        <w:rPr>
          <w:color w:val="auto"/>
          <w:highlight w:val="none"/>
        </w:rPr>
      </w:pPr>
      <w:r>
        <w:rPr>
          <w:color w:val="auto"/>
          <w:highlight w:val="none"/>
        </w:rPr>
        <w:t>等级保护要求</w:t>
      </w:r>
      <w:bookmarkEnd w:id="35"/>
    </w:p>
    <w:p>
      <w:pPr>
        <w:ind w:firstLine="560"/>
        <w:rPr>
          <w:rFonts w:hint="eastAsia" w:cs="仿宋_GB2312"/>
          <w:color w:val="auto"/>
          <w:kern w:val="0"/>
          <w:szCs w:val="28"/>
          <w:highlight w:val="none"/>
          <w:lang w:val="en-US" w:eastAsia="zh-CN"/>
        </w:rPr>
      </w:pPr>
      <w:r>
        <w:rPr>
          <w:rFonts w:hint="eastAsia" w:cs="仿宋_GB2312"/>
          <w:color w:val="auto"/>
          <w:kern w:val="0"/>
          <w:szCs w:val="28"/>
          <w:highlight w:val="none"/>
        </w:rPr>
        <w:t>本</w:t>
      </w:r>
      <w:r>
        <w:rPr>
          <w:rFonts w:cs="仿宋_GB2312"/>
          <w:color w:val="auto"/>
          <w:kern w:val="0"/>
          <w:szCs w:val="28"/>
          <w:highlight w:val="none"/>
        </w:rPr>
        <w:t>项目</w:t>
      </w:r>
      <w:r>
        <w:rPr>
          <w:rFonts w:hint="eastAsia" w:cs="仿宋_GB2312"/>
          <w:color w:val="auto"/>
          <w:kern w:val="0"/>
          <w:szCs w:val="28"/>
          <w:highlight w:val="none"/>
          <w:lang w:val="en-US" w:eastAsia="zh-CN"/>
        </w:rPr>
        <w:t>包括以下子系统，子系统</w:t>
      </w:r>
      <w:r>
        <w:rPr>
          <w:rFonts w:cs="仿宋_GB2312"/>
          <w:color w:val="auto"/>
          <w:kern w:val="0"/>
          <w:szCs w:val="28"/>
          <w:highlight w:val="none"/>
        </w:rPr>
        <w:t>的</w:t>
      </w:r>
      <w:r>
        <w:rPr>
          <w:rFonts w:hint="eastAsia" w:cs="仿宋_GB2312"/>
          <w:color w:val="auto"/>
          <w:kern w:val="0"/>
          <w:szCs w:val="28"/>
          <w:highlight w:val="none"/>
        </w:rPr>
        <w:t>网络</w:t>
      </w:r>
      <w:r>
        <w:rPr>
          <w:rFonts w:cs="仿宋_GB2312"/>
          <w:color w:val="auto"/>
          <w:kern w:val="0"/>
          <w:szCs w:val="28"/>
          <w:highlight w:val="none"/>
        </w:rPr>
        <w:t>安全等级</w:t>
      </w:r>
      <w:r>
        <w:rPr>
          <w:rFonts w:hint="eastAsia" w:cs="仿宋_GB2312"/>
          <w:color w:val="auto"/>
          <w:kern w:val="0"/>
          <w:szCs w:val="28"/>
          <w:highlight w:val="none"/>
        </w:rPr>
        <w:t>保护级</w:t>
      </w:r>
      <w:r>
        <w:rPr>
          <w:rFonts w:hint="eastAsia" w:cs="仿宋_GB2312"/>
          <w:color w:val="auto"/>
          <w:kern w:val="0"/>
          <w:szCs w:val="28"/>
          <w:highlight w:val="none"/>
          <w:lang w:val="en-US" w:eastAsia="zh-CN"/>
        </w:rPr>
        <w:t>别见下表：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widowControl/>
              <w:spacing w:line="240" w:lineRule="auto"/>
              <w:ind w:firstLine="0" w:firstLineChars="0"/>
              <w:jc w:val="center"/>
              <w:rPr>
                <w:rFonts w:hint="eastAsia" w:ascii="仿宋" w:hAnsi="仿宋" w:eastAsia="仿宋" w:cs="仿宋"/>
                <w:b/>
                <w:color w:val="auto"/>
                <w:kern w:val="2"/>
                <w:sz w:val="22"/>
                <w:szCs w:val="22"/>
                <w:highlight w:val="none"/>
                <w:vertAlign w:val="baseline"/>
                <w:lang w:val="en-US" w:eastAsia="zh-CN"/>
              </w:rPr>
            </w:pPr>
            <w:r>
              <w:rPr>
                <w:rFonts w:hint="eastAsia" w:ascii="仿宋" w:hAnsi="仿宋" w:eastAsia="仿宋" w:cs="仿宋"/>
                <w:b/>
                <w:color w:val="auto"/>
                <w:kern w:val="2"/>
                <w:sz w:val="22"/>
                <w:szCs w:val="22"/>
                <w:highlight w:val="none"/>
                <w:vertAlign w:val="baseline"/>
                <w:lang w:val="en-US" w:eastAsia="zh-CN"/>
              </w:rPr>
              <w:t>系统名称</w:t>
            </w:r>
          </w:p>
        </w:tc>
        <w:tc>
          <w:tcPr>
            <w:tcW w:w="4264" w:type="dxa"/>
          </w:tcPr>
          <w:p>
            <w:pPr>
              <w:widowControl/>
              <w:spacing w:line="240" w:lineRule="auto"/>
              <w:ind w:firstLine="0" w:firstLineChars="0"/>
              <w:jc w:val="center"/>
              <w:rPr>
                <w:rFonts w:hint="eastAsia" w:ascii="仿宋" w:hAnsi="仿宋" w:eastAsia="仿宋" w:cs="仿宋"/>
                <w:b/>
                <w:color w:val="auto"/>
                <w:kern w:val="2"/>
                <w:sz w:val="22"/>
                <w:szCs w:val="22"/>
                <w:highlight w:val="none"/>
                <w:vertAlign w:val="baseline"/>
                <w:lang w:val="en-US" w:eastAsia="zh-CN"/>
              </w:rPr>
            </w:pPr>
            <w:r>
              <w:rPr>
                <w:rFonts w:hint="eastAsia" w:ascii="仿宋" w:hAnsi="仿宋" w:eastAsia="仿宋" w:cs="仿宋"/>
                <w:b/>
                <w:color w:val="auto"/>
                <w:kern w:val="2"/>
                <w:sz w:val="22"/>
                <w:szCs w:val="22"/>
                <w:highlight w:val="none"/>
                <w:vertAlign w:val="baseline"/>
                <w:lang w:val="en-US" w:eastAsia="zh-CN"/>
              </w:rPr>
              <w:t>等级保护级别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widowControl/>
              <w:spacing w:line="240" w:lineRule="auto"/>
              <w:ind w:firstLine="0" w:firstLineChars="0"/>
              <w:jc w:val="center"/>
              <w:rPr>
                <w:rFonts w:hint="eastAsia" w:ascii="仿宋" w:hAnsi="仿宋" w:eastAsia="仿宋" w:cs="仿宋"/>
                <w:b w:val="0"/>
                <w:bCs/>
                <w:color w:val="auto"/>
                <w:kern w:val="2"/>
                <w:sz w:val="22"/>
                <w:szCs w:val="22"/>
                <w:highlight w:val="none"/>
                <w:vertAlign w:val="baseline"/>
                <w:lang w:val="en-US" w:eastAsia="zh-CN"/>
              </w:rPr>
            </w:pPr>
            <w:r>
              <w:rPr>
                <w:rFonts w:hint="eastAsia" w:ascii="仿宋" w:hAnsi="仿宋" w:eastAsia="仿宋" w:cs="仿宋"/>
                <w:b w:val="0"/>
                <w:bCs/>
                <w:color w:val="auto"/>
                <w:kern w:val="2"/>
                <w:sz w:val="22"/>
                <w:szCs w:val="22"/>
                <w:highlight w:val="none"/>
                <w:vertAlign w:val="baseline"/>
                <w:lang w:val="en-US" w:eastAsia="zh-CN"/>
              </w:rPr>
              <w:t>上海市教委外事管理系统</w:t>
            </w:r>
          </w:p>
        </w:tc>
        <w:tc>
          <w:tcPr>
            <w:tcW w:w="4264" w:type="dxa"/>
            <w:vAlign w:val="center"/>
          </w:tcPr>
          <w:p>
            <w:pPr>
              <w:widowControl/>
              <w:spacing w:line="240" w:lineRule="auto"/>
              <w:ind w:firstLine="0" w:firstLineChars="0"/>
              <w:jc w:val="center"/>
              <w:rPr>
                <w:rFonts w:hint="default" w:ascii="仿宋" w:hAnsi="仿宋" w:eastAsia="仿宋" w:cs="仿宋"/>
                <w:b/>
                <w:color w:val="auto"/>
                <w:kern w:val="2"/>
                <w:sz w:val="22"/>
                <w:szCs w:val="22"/>
                <w:highlight w:val="none"/>
                <w:vertAlign w:val="baseline"/>
                <w:lang w:val="en-US" w:eastAsia="zh-CN"/>
              </w:rPr>
            </w:pPr>
            <w:r>
              <w:rPr>
                <w:rFonts w:hint="eastAsia" w:ascii="仿宋" w:hAnsi="仿宋" w:eastAsia="仿宋" w:cs="仿宋"/>
                <w:b/>
                <w:color w:val="auto"/>
                <w:kern w:val="2"/>
                <w:sz w:val="22"/>
                <w:szCs w:val="22"/>
                <w:highlight w:val="none"/>
                <w:vertAlign w:val="baseline"/>
                <w:lang w:val="en-US"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widowControl/>
              <w:spacing w:line="240" w:lineRule="auto"/>
              <w:ind w:firstLine="0" w:firstLineChars="0"/>
              <w:jc w:val="center"/>
              <w:rPr>
                <w:rFonts w:hint="eastAsia" w:ascii="仿宋" w:hAnsi="仿宋" w:eastAsia="仿宋" w:cs="仿宋"/>
                <w:b w:val="0"/>
                <w:bCs/>
                <w:color w:val="auto"/>
                <w:kern w:val="2"/>
                <w:sz w:val="22"/>
                <w:szCs w:val="22"/>
                <w:highlight w:val="none"/>
                <w:vertAlign w:val="baseline"/>
                <w:lang w:val="en-US" w:eastAsia="zh-CN"/>
              </w:rPr>
            </w:pPr>
            <w:r>
              <w:rPr>
                <w:rFonts w:hint="eastAsia" w:ascii="仿宋" w:hAnsi="仿宋" w:eastAsia="仿宋" w:cs="仿宋"/>
                <w:b w:val="0"/>
                <w:bCs/>
                <w:color w:val="auto"/>
                <w:kern w:val="2"/>
                <w:sz w:val="22"/>
                <w:szCs w:val="22"/>
                <w:highlight w:val="none"/>
                <w:vertAlign w:val="baseline"/>
                <w:lang w:val="en-US" w:eastAsia="zh-CN"/>
              </w:rPr>
              <w:t>上海市学校安全管理中心系统</w:t>
            </w:r>
          </w:p>
        </w:tc>
        <w:tc>
          <w:tcPr>
            <w:tcW w:w="4264" w:type="dxa"/>
            <w:vAlign w:val="center"/>
          </w:tcPr>
          <w:p>
            <w:pPr>
              <w:widowControl/>
              <w:spacing w:line="240" w:lineRule="auto"/>
              <w:ind w:firstLine="0" w:firstLineChars="0"/>
              <w:jc w:val="center"/>
              <w:rPr>
                <w:rFonts w:hint="default" w:ascii="仿宋" w:hAnsi="仿宋" w:eastAsia="仿宋" w:cs="仿宋"/>
                <w:b/>
                <w:color w:val="auto"/>
                <w:kern w:val="2"/>
                <w:sz w:val="22"/>
                <w:szCs w:val="22"/>
                <w:highlight w:val="none"/>
                <w:vertAlign w:val="baseline"/>
                <w:lang w:val="en-US" w:eastAsia="zh-CN"/>
              </w:rPr>
            </w:pPr>
            <w:r>
              <w:rPr>
                <w:rFonts w:hint="eastAsia" w:ascii="仿宋" w:hAnsi="仿宋" w:eastAsia="仿宋" w:cs="仿宋"/>
                <w:b/>
                <w:color w:val="auto"/>
                <w:kern w:val="2"/>
                <w:sz w:val="22"/>
                <w:szCs w:val="22"/>
                <w:highlight w:val="none"/>
                <w:vertAlign w:val="baseline"/>
                <w:lang w:val="en-US" w:eastAsia="zh-C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widowControl/>
              <w:spacing w:line="240" w:lineRule="auto"/>
              <w:ind w:firstLine="0" w:firstLineChars="0"/>
              <w:jc w:val="center"/>
              <w:rPr>
                <w:rFonts w:hint="eastAsia" w:ascii="仿宋" w:hAnsi="仿宋" w:eastAsia="仿宋" w:cs="仿宋"/>
                <w:b w:val="0"/>
                <w:bCs/>
                <w:color w:val="auto"/>
                <w:kern w:val="2"/>
                <w:sz w:val="22"/>
                <w:szCs w:val="22"/>
                <w:highlight w:val="none"/>
                <w:vertAlign w:val="baseline"/>
                <w:lang w:val="en-US" w:eastAsia="zh-CN"/>
              </w:rPr>
            </w:pPr>
            <w:r>
              <w:rPr>
                <w:rFonts w:hint="eastAsia" w:ascii="仿宋" w:hAnsi="仿宋" w:eastAsia="仿宋" w:cs="仿宋"/>
                <w:b w:val="0"/>
                <w:bCs/>
                <w:color w:val="auto"/>
                <w:kern w:val="2"/>
                <w:sz w:val="22"/>
                <w:szCs w:val="22"/>
                <w:highlight w:val="none"/>
                <w:vertAlign w:val="baseline"/>
                <w:lang w:val="en-US" w:eastAsia="zh-CN"/>
              </w:rPr>
              <w:t>上海市高教服务系统</w:t>
            </w:r>
          </w:p>
        </w:tc>
        <w:tc>
          <w:tcPr>
            <w:tcW w:w="4264" w:type="dxa"/>
            <w:vAlign w:val="center"/>
          </w:tcPr>
          <w:p>
            <w:pPr>
              <w:widowControl/>
              <w:spacing w:line="240" w:lineRule="auto"/>
              <w:ind w:firstLine="0" w:firstLineChars="0"/>
              <w:jc w:val="center"/>
              <w:rPr>
                <w:rFonts w:hint="default" w:ascii="仿宋" w:hAnsi="仿宋" w:eastAsia="仿宋" w:cs="仿宋"/>
                <w:b/>
                <w:color w:val="auto"/>
                <w:kern w:val="2"/>
                <w:sz w:val="22"/>
                <w:szCs w:val="22"/>
                <w:highlight w:val="none"/>
                <w:vertAlign w:val="baseline"/>
                <w:lang w:val="en-US" w:eastAsia="zh-CN"/>
              </w:rPr>
            </w:pPr>
            <w:r>
              <w:rPr>
                <w:rFonts w:hint="eastAsia" w:ascii="仿宋" w:hAnsi="仿宋" w:eastAsia="仿宋" w:cs="仿宋"/>
                <w:b/>
                <w:color w:val="auto"/>
                <w:kern w:val="2"/>
                <w:sz w:val="22"/>
                <w:szCs w:val="22"/>
                <w:highlight w:val="none"/>
                <w:vertAlign w:val="baseline"/>
                <w:lang w:val="en-US" w:eastAsia="zh-C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widowControl/>
              <w:spacing w:line="240" w:lineRule="auto"/>
              <w:ind w:firstLine="0" w:firstLineChars="0"/>
              <w:jc w:val="center"/>
              <w:rPr>
                <w:rFonts w:hint="eastAsia" w:ascii="仿宋" w:hAnsi="仿宋" w:eastAsia="仿宋" w:cs="仿宋"/>
                <w:b w:val="0"/>
                <w:bCs/>
                <w:color w:val="auto"/>
                <w:kern w:val="2"/>
                <w:sz w:val="22"/>
                <w:szCs w:val="22"/>
                <w:highlight w:val="none"/>
                <w:vertAlign w:val="baseline"/>
                <w:lang w:val="en-US" w:eastAsia="zh-CN"/>
              </w:rPr>
            </w:pPr>
            <w:r>
              <w:rPr>
                <w:rFonts w:hint="eastAsia" w:ascii="仿宋" w:hAnsi="仿宋" w:eastAsia="仿宋" w:cs="仿宋"/>
                <w:b w:val="0"/>
                <w:bCs/>
                <w:color w:val="auto"/>
                <w:kern w:val="2"/>
                <w:sz w:val="22"/>
                <w:szCs w:val="22"/>
                <w:highlight w:val="none"/>
                <w:vertAlign w:val="baseline"/>
                <w:lang w:val="en-US" w:eastAsia="zh-CN"/>
              </w:rPr>
              <w:t>上海市普通高中及中等职业学校招生计划编制管理系统</w:t>
            </w:r>
          </w:p>
        </w:tc>
        <w:tc>
          <w:tcPr>
            <w:tcW w:w="4264" w:type="dxa"/>
            <w:vAlign w:val="center"/>
          </w:tcPr>
          <w:p>
            <w:pPr>
              <w:widowControl/>
              <w:spacing w:line="240" w:lineRule="auto"/>
              <w:ind w:firstLine="0" w:firstLineChars="0"/>
              <w:jc w:val="center"/>
              <w:rPr>
                <w:rFonts w:hint="default" w:ascii="仿宋" w:hAnsi="仿宋" w:eastAsia="仿宋" w:cs="仿宋"/>
                <w:b/>
                <w:color w:val="auto"/>
                <w:kern w:val="2"/>
                <w:sz w:val="22"/>
                <w:szCs w:val="22"/>
                <w:highlight w:val="none"/>
                <w:vertAlign w:val="baseline"/>
                <w:lang w:val="en-US" w:eastAsia="zh-CN"/>
              </w:rPr>
            </w:pPr>
            <w:r>
              <w:rPr>
                <w:rFonts w:hint="eastAsia" w:ascii="仿宋" w:hAnsi="仿宋" w:eastAsia="仿宋" w:cs="仿宋"/>
                <w:b/>
                <w:color w:val="auto"/>
                <w:kern w:val="2"/>
                <w:sz w:val="22"/>
                <w:szCs w:val="22"/>
                <w:highlight w:val="none"/>
                <w:vertAlign w:val="baseline"/>
                <w:lang w:val="en-US"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widowControl/>
              <w:spacing w:line="240" w:lineRule="auto"/>
              <w:ind w:firstLine="0" w:firstLineChars="0"/>
              <w:jc w:val="center"/>
              <w:rPr>
                <w:rFonts w:hint="eastAsia" w:ascii="仿宋" w:hAnsi="仿宋" w:eastAsia="仿宋" w:cs="仿宋"/>
                <w:b w:val="0"/>
                <w:bCs/>
                <w:color w:val="auto"/>
                <w:kern w:val="2"/>
                <w:sz w:val="22"/>
                <w:szCs w:val="22"/>
                <w:highlight w:val="none"/>
                <w:vertAlign w:val="baseline"/>
                <w:lang w:val="en-US" w:eastAsia="zh-CN"/>
              </w:rPr>
            </w:pPr>
            <w:r>
              <w:rPr>
                <w:rFonts w:hint="eastAsia" w:ascii="仿宋" w:hAnsi="仿宋" w:eastAsia="仿宋" w:cs="仿宋"/>
                <w:b w:val="0"/>
                <w:bCs/>
                <w:color w:val="auto"/>
                <w:kern w:val="2"/>
                <w:sz w:val="22"/>
                <w:szCs w:val="22"/>
                <w:highlight w:val="none"/>
                <w:vertAlign w:val="baseline"/>
                <w:lang w:val="en-US" w:eastAsia="zh-CN"/>
              </w:rPr>
              <w:t>上海市语言文字规范化水平监测信息化系统</w:t>
            </w:r>
          </w:p>
        </w:tc>
        <w:tc>
          <w:tcPr>
            <w:tcW w:w="4264" w:type="dxa"/>
            <w:vAlign w:val="center"/>
          </w:tcPr>
          <w:p>
            <w:pPr>
              <w:widowControl/>
              <w:spacing w:line="240" w:lineRule="auto"/>
              <w:ind w:firstLine="0" w:firstLineChars="0"/>
              <w:jc w:val="center"/>
              <w:rPr>
                <w:rFonts w:hint="default" w:ascii="仿宋" w:hAnsi="仿宋" w:eastAsia="仿宋" w:cs="仿宋"/>
                <w:b/>
                <w:color w:val="auto"/>
                <w:kern w:val="2"/>
                <w:sz w:val="22"/>
                <w:szCs w:val="22"/>
                <w:highlight w:val="none"/>
                <w:vertAlign w:val="baseline"/>
                <w:lang w:val="en-US" w:eastAsia="zh-CN"/>
              </w:rPr>
            </w:pPr>
            <w:r>
              <w:rPr>
                <w:rFonts w:hint="eastAsia" w:ascii="仿宋" w:hAnsi="仿宋" w:eastAsia="仿宋" w:cs="仿宋"/>
                <w:b/>
                <w:color w:val="auto"/>
                <w:kern w:val="2"/>
                <w:sz w:val="22"/>
                <w:szCs w:val="22"/>
                <w:highlight w:val="none"/>
                <w:vertAlign w:val="baseline"/>
                <w:lang w:val="en-US" w:eastAsia="zh-C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widowControl/>
              <w:spacing w:line="240" w:lineRule="auto"/>
              <w:ind w:firstLine="0" w:firstLineChars="0"/>
              <w:jc w:val="center"/>
              <w:rPr>
                <w:rFonts w:hint="eastAsia" w:ascii="仿宋" w:hAnsi="仿宋" w:eastAsia="仿宋" w:cs="仿宋"/>
                <w:b w:val="0"/>
                <w:bCs/>
                <w:color w:val="auto"/>
                <w:kern w:val="2"/>
                <w:sz w:val="22"/>
                <w:szCs w:val="22"/>
                <w:highlight w:val="none"/>
                <w:vertAlign w:val="baseline"/>
                <w:lang w:val="en-US" w:eastAsia="zh-CN"/>
              </w:rPr>
            </w:pPr>
            <w:r>
              <w:rPr>
                <w:rFonts w:hint="eastAsia" w:ascii="仿宋" w:hAnsi="仿宋" w:eastAsia="仿宋" w:cs="仿宋"/>
                <w:b w:val="0"/>
                <w:bCs/>
                <w:color w:val="auto"/>
                <w:kern w:val="2"/>
                <w:sz w:val="22"/>
                <w:szCs w:val="22"/>
                <w:highlight w:val="none"/>
                <w:vertAlign w:val="baseline"/>
                <w:lang w:val="en-US" w:eastAsia="zh-CN"/>
              </w:rPr>
              <w:t>上海市教卫工作党委系统党建信息化系统</w:t>
            </w:r>
          </w:p>
        </w:tc>
        <w:tc>
          <w:tcPr>
            <w:tcW w:w="4264" w:type="dxa"/>
            <w:vAlign w:val="center"/>
          </w:tcPr>
          <w:p>
            <w:pPr>
              <w:widowControl/>
              <w:spacing w:line="240" w:lineRule="auto"/>
              <w:ind w:firstLine="0" w:firstLineChars="0"/>
              <w:jc w:val="center"/>
              <w:rPr>
                <w:rFonts w:hint="default" w:ascii="仿宋" w:hAnsi="仿宋" w:eastAsia="仿宋" w:cs="仿宋"/>
                <w:b/>
                <w:color w:val="auto"/>
                <w:kern w:val="2"/>
                <w:sz w:val="22"/>
                <w:szCs w:val="22"/>
                <w:highlight w:val="none"/>
                <w:vertAlign w:val="baseline"/>
                <w:lang w:val="en-US" w:eastAsia="zh-CN"/>
              </w:rPr>
            </w:pPr>
            <w:r>
              <w:rPr>
                <w:rFonts w:hint="eastAsia" w:ascii="仿宋" w:hAnsi="仿宋" w:eastAsia="仿宋" w:cs="仿宋"/>
                <w:b/>
                <w:color w:val="auto"/>
                <w:kern w:val="2"/>
                <w:sz w:val="22"/>
                <w:szCs w:val="22"/>
                <w:highlight w:val="none"/>
                <w:vertAlign w:val="baseline"/>
                <w:lang w:val="en-US"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widowControl/>
              <w:spacing w:line="240" w:lineRule="auto"/>
              <w:ind w:firstLine="0" w:firstLineChars="0"/>
              <w:jc w:val="center"/>
              <w:rPr>
                <w:rFonts w:hint="default" w:ascii="仿宋" w:hAnsi="仿宋" w:eastAsia="仿宋" w:cs="仿宋"/>
                <w:b w:val="0"/>
                <w:bCs/>
                <w:color w:val="auto"/>
                <w:kern w:val="2"/>
                <w:sz w:val="22"/>
                <w:szCs w:val="22"/>
                <w:highlight w:val="none"/>
                <w:vertAlign w:val="baseline"/>
                <w:lang w:val="en-US" w:eastAsia="zh-CN"/>
              </w:rPr>
            </w:pPr>
            <w:r>
              <w:rPr>
                <w:rFonts w:hint="eastAsia" w:ascii="仿宋" w:hAnsi="仿宋" w:eastAsia="仿宋" w:cs="仿宋"/>
                <w:b w:val="0"/>
                <w:bCs/>
                <w:color w:val="auto"/>
                <w:kern w:val="2"/>
                <w:sz w:val="22"/>
                <w:szCs w:val="22"/>
                <w:highlight w:val="none"/>
                <w:vertAlign w:val="baseline"/>
                <w:lang w:val="en-US" w:eastAsia="zh-CN"/>
              </w:rPr>
              <w:t>上海市教委审计管理系统</w:t>
            </w:r>
          </w:p>
        </w:tc>
        <w:tc>
          <w:tcPr>
            <w:tcW w:w="4264" w:type="dxa"/>
            <w:vAlign w:val="center"/>
          </w:tcPr>
          <w:p>
            <w:pPr>
              <w:widowControl/>
              <w:spacing w:line="240" w:lineRule="auto"/>
              <w:ind w:firstLine="0" w:firstLineChars="0"/>
              <w:jc w:val="center"/>
              <w:rPr>
                <w:rFonts w:hint="default" w:ascii="仿宋" w:hAnsi="仿宋" w:eastAsia="仿宋" w:cs="仿宋"/>
                <w:b/>
                <w:color w:val="auto"/>
                <w:kern w:val="2"/>
                <w:sz w:val="22"/>
                <w:szCs w:val="22"/>
                <w:highlight w:val="none"/>
                <w:vertAlign w:val="baseline"/>
                <w:lang w:val="en-US" w:eastAsia="zh-CN"/>
              </w:rPr>
            </w:pPr>
            <w:r>
              <w:rPr>
                <w:rFonts w:hint="eastAsia" w:ascii="仿宋" w:hAnsi="仿宋" w:eastAsia="仿宋" w:cs="仿宋"/>
                <w:b/>
                <w:color w:val="auto"/>
                <w:kern w:val="2"/>
                <w:sz w:val="22"/>
                <w:szCs w:val="22"/>
                <w:highlight w:val="none"/>
                <w:vertAlign w:val="baseline"/>
                <w:lang w:val="en-US"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widowControl/>
              <w:spacing w:line="240" w:lineRule="auto"/>
              <w:ind w:firstLine="0" w:firstLineChars="0"/>
              <w:jc w:val="center"/>
              <w:rPr>
                <w:rFonts w:hint="default" w:ascii="仿宋" w:hAnsi="仿宋" w:eastAsia="仿宋" w:cs="仿宋"/>
                <w:b w:val="0"/>
                <w:bCs/>
                <w:color w:val="auto"/>
                <w:kern w:val="2"/>
                <w:sz w:val="22"/>
                <w:szCs w:val="22"/>
                <w:highlight w:val="none"/>
                <w:vertAlign w:val="baseline"/>
                <w:lang w:val="en-US" w:eastAsia="zh-CN"/>
              </w:rPr>
            </w:pPr>
            <w:r>
              <w:rPr>
                <w:rFonts w:hint="eastAsia" w:ascii="仿宋" w:hAnsi="仿宋" w:eastAsia="仿宋" w:cs="仿宋"/>
                <w:b w:val="0"/>
                <w:bCs/>
                <w:color w:val="auto"/>
                <w:kern w:val="2"/>
                <w:sz w:val="22"/>
                <w:szCs w:val="22"/>
                <w:highlight w:val="none"/>
                <w:vertAlign w:val="baseline"/>
                <w:lang w:val="en-US" w:eastAsia="zh-CN"/>
              </w:rPr>
              <w:t>上海教师信息管理系统</w:t>
            </w:r>
          </w:p>
        </w:tc>
        <w:tc>
          <w:tcPr>
            <w:tcW w:w="4264" w:type="dxa"/>
            <w:vAlign w:val="center"/>
          </w:tcPr>
          <w:p>
            <w:pPr>
              <w:widowControl/>
              <w:spacing w:line="240" w:lineRule="auto"/>
              <w:ind w:firstLine="0" w:firstLineChars="0"/>
              <w:jc w:val="center"/>
              <w:rPr>
                <w:rFonts w:hint="default" w:ascii="仿宋" w:hAnsi="仿宋" w:eastAsia="仿宋" w:cs="仿宋"/>
                <w:b/>
                <w:color w:val="auto"/>
                <w:kern w:val="2"/>
                <w:sz w:val="22"/>
                <w:szCs w:val="22"/>
                <w:highlight w:val="none"/>
                <w:vertAlign w:val="baseline"/>
                <w:lang w:val="en-US" w:eastAsia="zh-CN"/>
              </w:rPr>
            </w:pPr>
            <w:r>
              <w:rPr>
                <w:rFonts w:hint="eastAsia" w:ascii="仿宋" w:hAnsi="仿宋" w:eastAsia="仿宋" w:cs="仿宋"/>
                <w:b/>
                <w:color w:val="auto"/>
                <w:kern w:val="2"/>
                <w:sz w:val="22"/>
                <w:szCs w:val="22"/>
                <w:highlight w:val="none"/>
                <w:vertAlign w:val="baseline"/>
                <w:lang w:val="en-US" w:eastAsia="zh-CN"/>
              </w:rPr>
              <w:t>三级</w:t>
            </w:r>
          </w:p>
        </w:tc>
      </w:tr>
    </w:tbl>
    <w:p>
      <w:pPr>
        <w:ind w:firstLine="0" w:firstLineChars="0"/>
        <w:jc w:val="center"/>
        <w:rPr>
          <w:rFonts w:hint="eastAsia" w:cs="仿宋_GB2312"/>
          <w:color w:val="auto"/>
          <w:kern w:val="0"/>
          <w:szCs w:val="28"/>
          <w:highlight w:val="none"/>
          <w:lang w:val="en-US" w:eastAsia="zh-CN"/>
        </w:rPr>
      </w:pPr>
    </w:p>
    <w:p>
      <w:pPr>
        <w:ind w:firstLine="560"/>
        <w:rPr>
          <w:rFonts w:cs="仿宋_GB2312"/>
          <w:color w:val="auto"/>
          <w:kern w:val="0"/>
          <w:szCs w:val="28"/>
          <w:highlight w:val="none"/>
        </w:rPr>
      </w:pPr>
      <w:r>
        <w:rPr>
          <w:rFonts w:cs="宋体"/>
          <w:color w:val="auto"/>
          <w:highlight w:val="none"/>
        </w:rPr>
        <w:t>供应商</w:t>
      </w:r>
      <w:r>
        <w:rPr>
          <w:rFonts w:hint="eastAsia" w:cs="宋体"/>
          <w:color w:val="auto"/>
          <w:highlight w:val="none"/>
        </w:rPr>
        <w:t>须</w:t>
      </w:r>
      <w:r>
        <w:rPr>
          <w:rFonts w:cs="宋体"/>
          <w:color w:val="auto"/>
          <w:highlight w:val="none"/>
        </w:rPr>
        <w:t>承诺配合采购人完成相关测评工作。</w:t>
      </w:r>
    </w:p>
    <w:p>
      <w:pPr>
        <w:pStyle w:val="3"/>
        <w:rPr>
          <w:color w:val="auto"/>
          <w:highlight w:val="none"/>
        </w:rPr>
      </w:pPr>
      <w:r>
        <w:rPr>
          <w:rFonts w:hint="eastAsia"/>
          <w:color w:val="auto"/>
          <w:highlight w:val="none"/>
        </w:rPr>
        <w:t>商业密码应用需求</w:t>
      </w:r>
    </w:p>
    <w:p>
      <w:pPr>
        <w:ind w:firstLine="552"/>
        <w:rPr>
          <w:color w:val="auto"/>
          <w:highlight w:val="none"/>
        </w:rPr>
      </w:pPr>
      <w:r>
        <w:rPr>
          <w:rFonts w:cs="仿宋"/>
          <w:color w:val="auto"/>
          <w:spacing w:val="-2"/>
          <w:highlight w:val="none"/>
        </w:rPr>
        <w:t>本系统的商用密码应用安全性评估级别参照等保定级为</w:t>
      </w:r>
      <w:r>
        <w:rPr>
          <w:rFonts w:hint="eastAsia" w:cs="仿宋"/>
          <w:color w:val="auto"/>
          <w:spacing w:val="-2"/>
          <w:highlight w:val="none"/>
        </w:rPr>
        <w:t>三</w:t>
      </w:r>
      <w:r>
        <w:rPr>
          <w:rFonts w:cs="仿宋"/>
          <w:color w:val="auto"/>
          <w:spacing w:val="-2"/>
          <w:highlight w:val="none"/>
        </w:rPr>
        <w:t>级</w:t>
      </w:r>
      <w:r>
        <w:rPr>
          <w:rFonts w:hint="eastAsia" w:ascii="宋体" w:hAnsi="宋体" w:eastAsia="宋体" w:cs="宋体"/>
          <w:color w:val="auto"/>
          <w:highlight w:val="none"/>
        </w:rPr>
        <w:t>。</w:t>
      </w:r>
      <w:r>
        <w:rPr>
          <w:rFonts w:hint="eastAsia"/>
          <w:color w:val="auto"/>
          <w:highlight w:val="none"/>
        </w:rPr>
        <w:t>本项目商业密码应用需求需根据项目最新要求和实际情况进行相应调整。</w:t>
      </w:r>
    </w:p>
    <w:p>
      <w:pPr>
        <w:ind w:left="480" w:firstLine="0" w:firstLineChars="0"/>
        <w:rPr>
          <w:color w:val="auto"/>
          <w:highlight w:val="none"/>
        </w:rPr>
      </w:pPr>
      <w:r>
        <w:rPr>
          <w:color w:val="auto"/>
          <w:highlight w:val="none"/>
        </w:rPr>
        <w:t>（1）供应商须承诺可通过第三方密码应用测评；</w:t>
      </w:r>
    </w:p>
    <w:p>
      <w:pPr>
        <w:ind w:left="480" w:firstLine="0" w:firstLineChars="0"/>
        <w:rPr>
          <w:color w:val="auto"/>
          <w:highlight w:val="none"/>
        </w:rPr>
      </w:pPr>
      <w:r>
        <w:rPr>
          <w:color w:val="auto"/>
          <w:highlight w:val="none"/>
        </w:rPr>
        <w:t>（2）供应商须利用以下政务云提供的密码资源完成密码应用改造</w:t>
      </w:r>
      <w:r>
        <w:rPr>
          <w:rFonts w:hint="eastAsia"/>
          <w:color w:val="auto"/>
          <w:highlight w:val="none"/>
        </w:rPr>
        <w:t>：</w:t>
      </w:r>
    </w:p>
    <w:tbl>
      <w:tblPr>
        <w:tblStyle w:val="35"/>
        <w:tblW w:w="8286" w:type="dxa"/>
        <w:tblInd w:w="108" w:type="dxa"/>
        <w:tblLayout w:type="fixed"/>
        <w:tblCellMar>
          <w:top w:w="0" w:type="dxa"/>
          <w:left w:w="108" w:type="dxa"/>
          <w:bottom w:w="0" w:type="dxa"/>
          <w:right w:w="108" w:type="dxa"/>
        </w:tblCellMar>
      </w:tblPr>
      <w:tblGrid>
        <w:gridCol w:w="8286"/>
      </w:tblGrid>
      <w:tr>
        <w:tblPrEx>
          <w:tblCellMar>
            <w:top w:w="0" w:type="dxa"/>
            <w:left w:w="108" w:type="dxa"/>
            <w:bottom w:w="0" w:type="dxa"/>
            <w:right w:w="108" w:type="dxa"/>
          </w:tblCellMar>
        </w:tblPrEx>
        <w:trPr>
          <w:trHeight w:val="324" w:hRule="atLeast"/>
        </w:trPr>
        <w:tc>
          <w:tcPr>
            <w:tcW w:w="8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9"/>
              <w:ind w:firstLine="42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bidi="ar"/>
              </w:rPr>
              <w:t>资源名称</w:t>
            </w:r>
          </w:p>
        </w:tc>
      </w:tr>
      <w:tr>
        <w:tblPrEx>
          <w:tblCellMar>
            <w:top w:w="0" w:type="dxa"/>
            <w:left w:w="108" w:type="dxa"/>
            <w:bottom w:w="0" w:type="dxa"/>
            <w:right w:w="108" w:type="dxa"/>
          </w:tblCellMar>
        </w:tblPrEx>
        <w:trPr>
          <w:trHeight w:val="288" w:hRule="atLeast"/>
        </w:trPr>
        <w:tc>
          <w:tcPr>
            <w:tcW w:w="8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color w:val="auto"/>
                <w:sz w:val="22"/>
                <w:szCs w:val="22"/>
                <w:highlight w:val="none"/>
              </w:rPr>
            </w:pPr>
            <w:r>
              <w:rPr>
                <w:rFonts w:hint="eastAsia" w:ascii="仿宋" w:hAnsi="仿宋" w:eastAsia="仿宋" w:cs="仿宋"/>
                <w:b w:val="0"/>
                <w:bCs w:val="0"/>
                <w:i w:val="0"/>
                <w:iCs w:val="0"/>
                <w:color w:val="auto"/>
                <w:kern w:val="0"/>
                <w:sz w:val="22"/>
                <w:szCs w:val="22"/>
                <w:highlight w:val="none"/>
                <w:u w:val="none"/>
                <w:lang w:val="en-US" w:eastAsia="zh-CN" w:bidi="ar"/>
              </w:rPr>
              <w:t>安全认证网关服务</w:t>
            </w:r>
          </w:p>
        </w:tc>
      </w:tr>
      <w:tr>
        <w:tblPrEx>
          <w:tblCellMar>
            <w:top w:w="0" w:type="dxa"/>
            <w:left w:w="108" w:type="dxa"/>
            <w:bottom w:w="0" w:type="dxa"/>
            <w:right w:w="108" w:type="dxa"/>
          </w:tblCellMar>
        </w:tblPrEx>
        <w:trPr>
          <w:trHeight w:val="288" w:hRule="atLeast"/>
        </w:trPr>
        <w:tc>
          <w:tcPr>
            <w:tcW w:w="8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color w:val="auto"/>
                <w:sz w:val="22"/>
                <w:szCs w:val="22"/>
                <w:highlight w:val="none"/>
              </w:rPr>
            </w:pPr>
            <w:r>
              <w:rPr>
                <w:rFonts w:hint="eastAsia" w:ascii="仿宋" w:hAnsi="仿宋" w:eastAsia="仿宋" w:cs="仿宋"/>
                <w:b w:val="0"/>
                <w:bCs w:val="0"/>
                <w:i w:val="0"/>
                <w:iCs w:val="0"/>
                <w:color w:val="auto"/>
                <w:kern w:val="0"/>
                <w:sz w:val="22"/>
                <w:szCs w:val="22"/>
                <w:highlight w:val="none"/>
                <w:u w:val="none"/>
                <w:lang w:val="en-US" w:eastAsia="zh-CN" w:bidi="ar"/>
              </w:rPr>
              <w:t>签名验签服务</w:t>
            </w:r>
          </w:p>
        </w:tc>
      </w:tr>
      <w:tr>
        <w:tblPrEx>
          <w:tblCellMar>
            <w:top w:w="0" w:type="dxa"/>
            <w:left w:w="108" w:type="dxa"/>
            <w:bottom w:w="0" w:type="dxa"/>
            <w:right w:w="108" w:type="dxa"/>
          </w:tblCellMar>
        </w:tblPrEx>
        <w:trPr>
          <w:trHeight w:val="288" w:hRule="atLeast"/>
        </w:trPr>
        <w:tc>
          <w:tcPr>
            <w:tcW w:w="8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color w:val="auto"/>
                <w:sz w:val="22"/>
                <w:szCs w:val="22"/>
                <w:highlight w:val="none"/>
              </w:rPr>
            </w:pPr>
            <w:r>
              <w:rPr>
                <w:rFonts w:hint="eastAsia" w:ascii="仿宋" w:hAnsi="仿宋" w:eastAsia="仿宋" w:cs="仿宋"/>
                <w:b w:val="0"/>
                <w:bCs w:val="0"/>
                <w:i w:val="0"/>
                <w:iCs w:val="0"/>
                <w:color w:val="auto"/>
                <w:kern w:val="0"/>
                <w:sz w:val="22"/>
                <w:szCs w:val="22"/>
                <w:highlight w:val="none"/>
                <w:u w:val="none"/>
                <w:lang w:val="en-US" w:eastAsia="zh-CN" w:bidi="ar"/>
              </w:rPr>
              <w:t>可信密码服务</w:t>
            </w:r>
          </w:p>
        </w:tc>
      </w:tr>
      <w:tr>
        <w:tblPrEx>
          <w:tblCellMar>
            <w:top w:w="0" w:type="dxa"/>
            <w:left w:w="108" w:type="dxa"/>
            <w:bottom w:w="0" w:type="dxa"/>
            <w:right w:w="108" w:type="dxa"/>
          </w:tblCellMar>
        </w:tblPrEx>
        <w:trPr>
          <w:trHeight w:val="288" w:hRule="atLeast"/>
        </w:trPr>
        <w:tc>
          <w:tcPr>
            <w:tcW w:w="8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color w:val="auto"/>
                <w:sz w:val="22"/>
                <w:szCs w:val="22"/>
                <w:highlight w:val="none"/>
              </w:rPr>
            </w:pPr>
            <w:r>
              <w:rPr>
                <w:rFonts w:hint="eastAsia" w:ascii="仿宋" w:hAnsi="仿宋" w:eastAsia="仿宋" w:cs="仿宋"/>
                <w:b w:val="0"/>
                <w:bCs w:val="0"/>
                <w:i w:val="0"/>
                <w:iCs w:val="0"/>
                <w:color w:val="auto"/>
                <w:kern w:val="0"/>
                <w:sz w:val="22"/>
                <w:szCs w:val="22"/>
                <w:highlight w:val="none"/>
                <w:u w:val="none"/>
                <w:lang w:val="en-US" w:eastAsia="zh-CN" w:bidi="ar"/>
              </w:rPr>
              <w:t>数字证书服务 - SSL证书-通配符</w:t>
            </w:r>
          </w:p>
        </w:tc>
      </w:tr>
      <w:tr>
        <w:tblPrEx>
          <w:tblCellMar>
            <w:top w:w="0" w:type="dxa"/>
            <w:left w:w="108" w:type="dxa"/>
            <w:bottom w:w="0" w:type="dxa"/>
            <w:right w:w="108" w:type="dxa"/>
          </w:tblCellMar>
        </w:tblPrEx>
        <w:trPr>
          <w:trHeight w:val="288" w:hRule="atLeast"/>
        </w:trPr>
        <w:tc>
          <w:tcPr>
            <w:tcW w:w="8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color w:val="auto"/>
                <w:sz w:val="22"/>
                <w:szCs w:val="22"/>
                <w:highlight w:val="none"/>
              </w:rPr>
            </w:pPr>
            <w:r>
              <w:rPr>
                <w:rFonts w:hint="eastAsia" w:ascii="仿宋" w:hAnsi="仿宋" w:eastAsia="仿宋" w:cs="仿宋"/>
                <w:b w:val="0"/>
                <w:bCs w:val="0"/>
                <w:i w:val="0"/>
                <w:iCs w:val="0"/>
                <w:color w:val="auto"/>
                <w:kern w:val="0"/>
                <w:sz w:val="22"/>
                <w:szCs w:val="22"/>
                <w:highlight w:val="none"/>
                <w:u w:val="none"/>
                <w:lang w:val="en-US" w:eastAsia="zh-CN" w:bidi="ar"/>
              </w:rPr>
              <w:t>安全防病毒(服务器端)</w:t>
            </w:r>
          </w:p>
        </w:tc>
      </w:tr>
    </w:tbl>
    <w:p>
      <w:pPr>
        <w:pStyle w:val="3"/>
        <w:rPr>
          <w:color w:val="auto"/>
          <w:highlight w:val="none"/>
        </w:rPr>
      </w:pPr>
      <w:bookmarkStart w:id="36" w:name="_Toc63785512"/>
      <w:r>
        <w:rPr>
          <w:rFonts w:hint="eastAsia"/>
          <w:color w:val="auto"/>
          <w:highlight w:val="none"/>
        </w:rPr>
        <w:t>技术文件要求</w:t>
      </w:r>
    </w:p>
    <w:p>
      <w:pPr>
        <w:ind w:firstLine="560"/>
        <w:rPr>
          <w:color w:val="auto"/>
          <w:highlight w:val="none"/>
        </w:rPr>
      </w:pPr>
      <w:r>
        <w:rPr>
          <w:rFonts w:hint="eastAsia"/>
          <w:color w:val="auto"/>
          <w:highlight w:val="none"/>
          <w:lang w:bidi="ar"/>
        </w:rPr>
        <w:t>投标人在项目验收时应提供符合市级数字化预算项目验收操作规程和上海市大数据中心的项目管理要求的项目文档。</w:t>
      </w:r>
      <w:r>
        <w:rPr>
          <w:rFonts w:hint="eastAsia"/>
          <w:color w:val="auto"/>
          <w:highlight w:val="none"/>
        </w:rPr>
        <w:t>技术文件应该全面、完整、详细。投标人提供的技术文件至少应包括（但不限于）：</w:t>
      </w:r>
    </w:p>
    <w:p>
      <w:pPr>
        <w:ind w:firstLine="560"/>
        <w:rPr>
          <w:rFonts w:eastAsia="宋体"/>
          <w:color w:val="auto"/>
          <w:highlight w:val="none"/>
        </w:rPr>
      </w:pPr>
      <w:r>
        <w:rPr>
          <w:rFonts w:hint="eastAsia"/>
          <w:color w:val="auto"/>
          <w:highlight w:val="none"/>
        </w:rPr>
        <w:t>－</w:t>
      </w:r>
      <w:r>
        <w:rPr>
          <w:color w:val="auto"/>
          <w:highlight w:val="none"/>
        </w:rPr>
        <w:t>系统说明文件</w:t>
      </w:r>
      <w:r>
        <w:rPr>
          <w:rFonts w:hint="eastAsia"/>
          <w:color w:val="auto"/>
          <w:highlight w:val="none"/>
          <w:lang w:bidi="ar"/>
        </w:rPr>
        <w:t>（用户操作手册）</w:t>
      </w:r>
      <w:r>
        <w:rPr>
          <w:color w:val="auto"/>
          <w:highlight w:val="none"/>
        </w:rPr>
        <w:t>；</w:t>
      </w:r>
    </w:p>
    <w:p>
      <w:pPr>
        <w:ind w:firstLine="560"/>
        <w:rPr>
          <w:rFonts w:eastAsia="宋体"/>
          <w:color w:val="auto"/>
          <w:highlight w:val="none"/>
        </w:rPr>
      </w:pPr>
      <w:r>
        <w:rPr>
          <w:rFonts w:hint="eastAsia"/>
          <w:color w:val="auto"/>
          <w:highlight w:val="none"/>
        </w:rPr>
        <w:t>－</w:t>
      </w:r>
      <w:r>
        <w:rPr>
          <w:color w:val="auto"/>
          <w:highlight w:val="none"/>
        </w:rPr>
        <w:t>技术手册(安装、测试、</w:t>
      </w:r>
      <w:r>
        <w:rPr>
          <w:rFonts w:hint="eastAsia"/>
          <w:color w:val="auto"/>
          <w:highlight w:val="none"/>
        </w:rPr>
        <w:t>部署、</w:t>
      </w:r>
      <w:r>
        <w:rPr>
          <w:color w:val="auto"/>
          <w:highlight w:val="none"/>
        </w:rPr>
        <w:t>操作、维护、故障排除等)；</w:t>
      </w:r>
    </w:p>
    <w:p>
      <w:pPr>
        <w:ind w:firstLine="560"/>
        <w:rPr>
          <w:color w:val="auto"/>
          <w:highlight w:val="none"/>
        </w:rPr>
      </w:pPr>
      <w:r>
        <w:rPr>
          <w:rFonts w:hint="eastAsia"/>
          <w:color w:val="auto"/>
          <w:highlight w:val="none"/>
        </w:rPr>
        <w:t>－</w:t>
      </w:r>
      <w:r>
        <w:rPr>
          <w:color w:val="auto"/>
          <w:highlight w:val="none"/>
        </w:rPr>
        <w:t>项目文档，应该包括</w:t>
      </w:r>
      <w:r>
        <w:rPr>
          <w:rFonts w:hint="eastAsia"/>
          <w:color w:val="auto"/>
          <w:highlight w:val="none"/>
        </w:rPr>
        <w:t>但不限于</w:t>
      </w:r>
      <w:r>
        <w:rPr>
          <w:color w:val="auto"/>
          <w:highlight w:val="none"/>
        </w:rPr>
        <w:t>：</w:t>
      </w:r>
    </w:p>
    <w:p>
      <w:pPr>
        <w:ind w:firstLine="560"/>
        <w:rPr>
          <w:color w:val="auto"/>
          <w:highlight w:val="none"/>
        </w:rPr>
      </w:pPr>
      <w:r>
        <w:rPr>
          <w:rFonts w:hint="eastAsia"/>
          <w:color w:val="auto"/>
          <w:highlight w:val="none"/>
        </w:rPr>
        <w:t>（1）软件需求规格说明书</w:t>
      </w:r>
    </w:p>
    <w:p>
      <w:pPr>
        <w:ind w:firstLine="560"/>
        <w:rPr>
          <w:color w:val="auto"/>
          <w:highlight w:val="none"/>
        </w:rPr>
      </w:pPr>
      <w:r>
        <w:rPr>
          <w:rFonts w:hint="eastAsia"/>
          <w:color w:val="auto"/>
          <w:highlight w:val="none"/>
        </w:rPr>
        <w:t>（2）系统概要设计说明书</w:t>
      </w:r>
    </w:p>
    <w:p>
      <w:pPr>
        <w:ind w:firstLine="560"/>
        <w:rPr>
          <w:color w:val="auto"/>
          <w:highlight w:val="none"/>
        </w:rPr>
      </w:pPr>
      <w:r>
        <w:rPr>
          <w:rFonts w:hint="eastAsia"/>
          <w:color w:val="auto"/>
          <w:highlight w:val="none"/>
        </w:rPr>
        <w:t>（3）系统详细设计说明书</w:t>
      </w:r>
    </w:p>
    <w:p>
      <w:pPr>
        <w:ind w:firstLine="560"/>
        <w:rPr>
          <w:color w:val="auto"/>
          <w:highlight w:val="none"/>
        </w:rPr>
      </w:pPr>
      <w:r>
        <w:rPr>
          <w:rFonts w:hint="eastAsia"/>
          <w:color w:val="auto"/>
          <w:highlight w:val="none"/>
        </w:rPr>
        <w:t>（</w:t>
      </w:r>
      <w:r>
        <w:rPr>
          <w:color w:val="auto"/>
          <w:highlight w:val="none"/>
        </w:rPr>
        <w:t>4</w:t>
      </w:r>
      <w:r>
        <w:rPr>
          <w:rFonts w:hint="eastAsia"/>
          <w:color w:val="auto"/>
          <w:highlight w:val="none"/>
        </w:rPr>
        <w:t>）系统数据库设计说明书</w:t>
      </w:r>
    </w:p>
    <w:p>
      <w:pPr>
        <w:ind w:firstLine="560"/>
        <w:rPr>
          <w:color w:val="auto"/>
          <w:highlight w:val="none"/>
        </w:rPr>
      </w:pPr>
      <w:r>
        <w:rPr>
          <w:rFonts w:hint="eastAsia"/>
          <w:color w:val="auto"/>
          <w:highlight w:val="none"/>
        </w:rPr>
        <w:t>（5）</w:t>
      </w:r>
      <w:r>
        <w:rPr>
          <w:rFonts w:hint="eastAsia"/>
          <w:color w:val="auto"/>
          <w:highlight w:val="none"/>
          <w:lang w:bidi="ar"/>
        </w:rPr>
        <w:t>数字化项目批复建设情况对照表</w:t>
      </w:r>
    </w:p>
    <w:p>
      <w:pPr>
        <w:ind w:firstLine="560"/>
        <w:rPr>
          <w:color w:val="auto"/>
          <w:highlight w:val="none"/>
        </w:rPr>
      </w:pPr>
      <w:r>
        <w:rPr>
          <w:rFonts w:hint="eastAsia"/>
          <w:color w:val="auto"/>
          <w:highlight w:val="none"/>
        </w:rPr>
        <w:t>（6）三方功能需求确认单</w:t>
      </w:r>
    </w:p>
    <w:p>
      <w:pPr>
        <w:ind w:firstLine="560"/>
        <w:rPr>
          <w:color w:val="auto"/>
          <w:highlight w:val="none"/>
          <w:lang w:bidi="ar"/>
        </w:rPr>
      </w:pPr>
      <w:r>
        <w:rPr>
          <w:rFonts w:hint="eastAsia"/>
          <w:color w:val="auto"/>
          <w:highlight w:val="none"/>
        </w:rPr>
        <w:t>（7）</w:t>
      </w:r>
      <w:r>
        <w:rPr>
          <w:rFonts w:hint="eastAsia"/>
          <w:color w:val="auto"/>
          <w:highlight w:val="none"/>
          <w:lang w:bidi="ar"/>
        </w:rPr>
        <w:t>测试计划、测试报告</w:t>
      </w:r>
    </w:p>
    <w:p>
      <w:pPr>
        <w:ind w:firstLine="560"/>
        <w:rPr>
          <w:color w:val="auto"/>
          <w:highlight w:val="none"/>
          <w:lang w:bidi="ar"/>
        </w:rPr>
      </w:pPr>
      <w:r>
        <w:rPr>
          <w:rFonts w:hint="eastAsia"/>
          <w:color w:val="auto"/>
          <w:highlight w:val="none"/>
          <w:lang w:bidi="ar"/>
        </w:rPr>
        <w:t>（8）免维期运维计划</w:t>
      </w:r>
    </w:p>
    <w:p>
      <w:pPr>
        <w:ind w:firstLine="560"/>
        <w:rPr>
          <w:color w:val="auto"/>
          <w:highlight w:val="none"/>
          <w:lang w:bidi="ar"/>
        </w:rPr>
      </w:pPr>
      <w:r>
        <w:rPr>
          <w:rFonts w:hint="eastAsia"/>
          <w:color w:val="auto"/>
          <w:highlight w:val="none"/>
          <w:lang w:bidi="ar"/>
        </w:rPr>
        <w:t>（</w:t>
      </w:r>
      <w:r>
        <w:rPr>
          <w:rFonts w:hint="eastAsia"/>
          <w:color w:val="auto"/>
          <w:highlight w:val="none"/>
          <w:lang w:val="en-US" w:eastAsia="zh-CN" w:bidi="ar"/>
        </w:rPr>
        <w:t>9</w:t>
      </w:r>
      <w:r>
        <w:rPr>
          <w:rFonts w:hint="eastAsia"/>
          <w:color w:val="auto"/>
          <w:highlight w:val="none"/>
          <w:lang w:bidi="ar"/>
        </w:rPr>
        <w:t>）项目通过的软件测评、安全测评、商业密码应用测评报告，并针对遗留中低风险项提供整改计划或说明。</w:t>
      </w:r>
    </w:p>
    <w:p>
      <w:pPr>
        <w:ind w:firstLine="560"/>
        <w:rPr>
          <w:color w:val="auto"/>
          <w:highlight w:val="none"/>
        </w:rPr>
      </w:pPr>
      <w:r>
        <w:rPr>
          <w:rFonts w:hint="eastAsia"/>
          <w:color w:val="auto"/>
          <w:highlight w:val="none"/>
        </w:rPr>
        <w:t>提供全套技术文件纸介质</w:t>
      </w:r>
      <w:r>
        <w:rPr>
          <w:color w:val="auto"/>
          <w:highlight w:val="none"/>
        </w:rPr>
        <w:t>3套以及电子文件1套。</w:t>
      </w:r>
    </w:p>
    <w:bookmarkEnd w:id="36"/>
    <w:p>
      <w:pPr>
        <w:pStyle w:val="2"/>
        <w:rPr>
          <w:color w:val="auto"/>
          <w:highlight w:val="none"/>
        </w:rPr>
      </w:pPr>
      <w:bookmarkStart w:id="37" w:name="_Toc68798863"/>
      <w:r>
        <w:rPr>
          <w:rFonts w:hint="eastAsia"/>
          <w:color w:val="auto"/>
          <w:highlight w:val="none"/>
        </w:rPr>
        <w:t>附录</w:t>
      </w:r>
      <w:bookmarkEnd w:id="37"/>
    </w:p>
    <w:p>
      <w:pPr>
        <w:ind w:firstLine="0" w:firstLineChars="0"/>
        <w:rPr>
          <w:color w:val="auto"/>
          <w:highlight w:val="none"/>
        </w:rPr>
      </w:pPr>
      <w:r>
        <w:rPr>
          <w:rFonts w:hint="eastAsia"/>
          <w:color w:val="auto"/>
          <w:highlight w:val="none"/>
        </w:rPr>
        <w:t>1、</w:t>
      </w:r>
      <w:r>
        <w:rPr>
          <w:color w:val="auto"/>
          <w:highlight w:val="none"/>
        </w:rPr>
        <w:t>《政务网络安全监测平台总体技术要求》</w:t>
      </w:r>
    </w:p>
    <w:p>
      <w:pPr>
        <w:ind w:firstLine="0" w:firstLineChars="0"/>
        <w:rPr>
          <w:color w:val="auto"/>
          <w:highlight w:val="none"/>
        </w:rPr>
      </w:pPr>
      <w:r>
        <w:rPr>
          <w:color w:val="auto"/>
          <w:highlight w:val="none"/>
        </w:rPr>
        <w:object>
          <v:shape id="_x0000_i1025" o:spt="75" type="#_x0000_t75" style="height:55.5pt;width:76.5pt;" o:ole="t" filled="f" o:preferrelative="t" stroked="f" coordsize="21600,21600">
            <v:path/>
            <v:fill on="f" focussize="0,0"/>
            <v:stroke on="f" joinstyle="miter"/>
            <v:imagedata r:id="rId15" o:title=""/>
            <o:lock v:ext="edit" aspectratio="t"/>
            <w10:wrap type="none"/>
            <w10:anchorlock/>
          </v:shape>
          <o:OLEObject Type="Embed" ProgID="Package" ShapeID="_x0000_i1025" DrawAspect="Icon" ObjectID="_1468075725" r:id="rId14">
            <o:LockedField>false</o:LockedField>
          </o:OLEObject>
        </w:object>
      </w:r>
    </w:p>
    <w:p>
      <w:pPr>
        <w:ind w:firstLine="0" w:firstLineChars="0"/>
        <w:rPr>
          <w:color w:val="auto"/>
          <w:highlight w:val="none"/>
        </w:rPr>
      </w:pPr>
    </w:p>
    <w:p>
      <w:pPr>
        <w:ind w:firstLine="0" w:firstLineChars="0"/>
        <w:jc w:val="left"/>
        <w:rPr>
          <w:color w:val="auto"/>
          <w:highlight w:val="none"/>
        </w:rPr>
      </w:pPr>
      <w:r>
        <w:rPr>
          <w:rFonts w:hint="eastAsia"/>
          <w:color w:val="auto"/>
          <w:highlight w:val="none"/>
        </w:rPr>
        <w:t>2、《上海市电子政务外网建设和运行管理指南（试行）》</w:t>
      </w:r>
    </w:p>
    <w:p>
      <w:pPr>
        <w:ind w:firstLine="0" w:firstLineChars="0"/>
        <w:jc w:val="left"/>
        <w:rPr>
          <w:color w:val="auto"/>
          <w:highlight w:val="none"/>
        </w:rPr>
      </w:pPr>
      <w:r>
        <w:rPr>
          <w:color w:val="auto"/>
          <w:highlight w:val="none"/>
        </w:rPr>
        <w:object>
          <v:shape id="_x0000_i1026" o:spt="75" type="#_x0000_t75" style="height:55.5pt;width:76.5pt;" o:ole="t" filled="f" o:preferrelative="t" stroked="f" coordsize="21600,21600">
            <v:path/>
            <v:fill on="f" focussize="0,0"/>
            <v:stroke on="f" joinstyle="miter"/>
            <v:imagedata r:id="rId17" o:title=""/>
            <o:lock v:ext="edit" aspectratio="t"/>
            <w10:wrap type="none"/>
            <w10:anchorlock/>
          </v:shape>
          <o:OLEObject Type="Embed" ProgID="Package" ShapeID="_x0000_i1026" DrawAspect="Icon" ObjectID="_1468075726" r:id="rId16">
            <o:LockedField>false</o:LockedField>
          </o:OLEObject>
        </w:object>
      </w:r>
    </w:p>
    <w:p>
      <w:pPr>
        <w:ind w:firstLine="0" w:firstLineChars="0"/>
        <w:jc w:val="left"/>
        <w:rPr>
          <w:b/>
          <w:bCs/>
          <w:color w:val="auto"/>
          <w:highlight w:val="none"/>
        </w:rPr>
      </w:pPr>
      <w:r>
        <w:rPr>
          <w:rFonts w:hint="eastAsia"/>
          <w:color w:val="auto"/>
          <w:highlight w:val="none"/>
        </w:rPr>
        <w:t>3、其他标准</w:t>
      </w: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503050405090304"/>
    <w:charset w:val="CC"/>
    <w:family w:val="roman"/>
    <w:pitch w:val="default"/>
    <w:sig w:usb0="00000000" w:usb1="00000000" w:usb2="00000001" w:usb3="00000000" w:csb0="400001BF" w:csb1="DFF7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altName w:val="方正仿宋_GBK"/>
    <w:panose1 w:val="02010609060101010101"/>
    <w:charset w:val="86"/>
    <w:family w:val="modern"/>
    <w:pitch w:val="default"/>
    <w:sig w:usb0="00000000" w:usb1="00000000" w:usb2="00000016" w:usb3="00000000" w:csb0="00040001" w:csb1="00000000"/>
  </w:font>
  <w:font w:name="Calibri Light">
    <w:altName w:val="DejaVu Sans"/>
    <w:panose1 w:val="020F0302020204030204"/>
    <w:charset w:val="00"/>
    <w:family w:val="swiss"/>
    <w:pitch w:val="default"/>
    <w:sig w:usb0="00000000" w:usb1="00000000" w:usb2="00000009" w:usb3="00000000" w:csb0="200001FF" w:csb1="00000000"/>
  </w:font>
  <w:font w:name="Arial Unicode MS">
    <w:altName w:val="DejaVu Sans"/>
    <w:panose1 w:val="020B0604020202020204"/>
    <w:charset w:val="86"/>
    <w:family w:val="swiss"/>
    <w:pitch w:val="default"/>
    <w:sig w:usb0="00000000" w:usb1="00000000" w:usb2="0000003F" w:usb3="00000000" w:csb0="603F01FF" w:csb1="FFFF0000"/>
  </w:font>
  <w:font w:name="等线 Light">
    <w:altName w:val="华文中宋"/>
    <w:panose1 w:val="02010600030101010101"/>
    <w:charset w:val="86"/>
    <w:family w:val="auto"/>
    <w:pitch w:val="default"/>
    <w:sig w:usb0="00000000" w:usb1="00000000" w:usb2="00000016" w:usb3="00000000" w:csb0="0004000F" w:csb1="00000000"/>
  </w:font>
  <w:font w:name="time">
    <w:altName w:val="华文中宋"/>
    <w:panose1 w:val="00000000000000000000"/>
    <w:charset w:val="00"/>
    <w:family w:val="roman"/>
    <w:pitch w:val="default"/>
    <w:sig w:usb0="00000000" w:usb1="00000000" w:usb2="00000000" w:usb3="00000000" w:csb0="00040001"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DejaVu Sans"/>
    <w:panose1 w:val="020B0604020202020204"/>
    <w:charset w:val="00"/>
    <w:family w:val="swiss"/>
    <w:pitch w:val="default"/>
    <w:sig w:usb0="00000000" w:usb1="00000000" w:usb2="00000008" w:usb3="00000000" w:csb0="200101FF" w:csb1="2028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微软雅黑">
    <w:altName w:val="方正黑体_GB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pPr>
    <w:r>
      <w:fldChar w:fldCharType="begin"/>
    </w:r>
    <w:r>
      <w:instrText xml:space="preserve">PAGE   \* MERGEFORMAT</w:instrText>
    </w:r>
    <w:r>
      <w:fldChar w:fldCharType="separate"/>
    </w:r>
    <w:r>
      <w:rPr>
        <w:lang w:val="zh-CN"/>
      </w:rPr>
      <w:t>59</w:t>
    </w:r>
    <w:r>
      <w:rPr>
        <w:lang w:val="zh-CN"/>
      </w:rPr>
      <w:fldChar w:fldCharType="end"/>
    </w:r>
  </w:p>
  <w:p>
    <w:pPr>
      <w:ind w:firstLine="5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p>
    <w:pPr>
      <w:ind w:firstLine="5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pPr>
      <w:ind w:firstLine="5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p>
    <w:pPr>
      <w:ind w:firstLine="5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55E5B8"/>
    <w:multiLevelType w:val="singleLevel"/>
    <w:tmpl w:val="BE55E5B8"/>
    <w:lvl w:ilvl="0" w:tentative="0">
      <w:start w:val="1"/>
      <w:numFmt w:val="decimal"/>
      <w:suff w:val="nothing"/>
      <w:lvlText w:val="%1、"/>
      <w:lvlJc w:val="left"/>
    </w:lvl>
  </w:abstractNum>
  <w:abstractNum w:abstractNumId="1">
    <w:nsid w:val="FFCFEBB0"/>
    <w:multiLevelType w:val="singleLevel"/>
    <w:tmpl w:val="FFCFEBB0"/>
    <w:lvl w:ilvl="0" w:tentative="0">
      <w:start w:val="1"/>
      <w:numFmt w:val="decimal"/>
      <w:suff w:val="nothing"/>
      <w:lvlText w:val="（%1）"/>
      <w:lvlJc w:val="left"/>
    </w:lvl>
  </w:abstractNum>
  <w:abstractNum w:abstractNumId="2">
    <w:nsid w:val="2743BCF1"/>
    <w:multiLevelType w:val="singleLevel"/>
    <w:tmpl w:val="2743BCF1"/>
    <w:lvl w:ilvl="0" w:tentative="0">
      <w:start w:val="1"/>
      <w:numFmt w:val="decimal"/>
      <w:suff w:val="nothing"/>
      <w:lvlText w:val="%1）"/>
      <w:lvlJc w:val="left"/>
    </w:lvl>
  </w:abstractNum>
  <w:abstractNum w:abstractNumId="3">
    <w:nsid w:val="3C637445"/>
    <w:multiLevelType w:val="multilevel"/>
    <w:tmpl w:val="3C637445"/>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pStyle w:val="137"/>
      <w:suff w:val="space"/>
      <w:lvlText w:val="%1.%2.%3"/>
      <w:lvlJc w:val="left"/>
      <w:pPr>
        <w:ind w:left="1134" w:firstLine="0"/>
      </w:pPr>
      <w:rPr>
        <w:rFonts w:hint="eastAsia"/>
      </w:rPr>
    </w:lvl>
    <w:lvl w:ilvl="3" w:tentative="0">
      <w:start w:val="1"/>
      <w:numFmt w:val="decimal"/>
      <w:suff w:val="space"/>
      <w:lvlText w:val="%1.%2.%3.%4"/>
      <w:lvlJc w:val="left"/>
      <w:pPr>
        <w:ind w:left="1276"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4">
    <w:nsid w:val="5FD28CC5"/>
    <w:multiLevelType w:val="singleLevel"/>
    <w:tmpl w:val="5FD28CC5"/>
    <w:lvl w:ilvl="0" w:tentative="0">
      <w:start w:val="1"/>
      <w:numFmt w:val="decimal"/>
      <w:suff w:val="nothing"/>
      <w:lvlText w:val="%1."/>
      <w:lvlJc w:val="left"/>
      <w:pPr>
        <w:ind w:left="0" w:leftChars="0" w:firstLine="0" w:firstLineChars="0"/>
      </w:pPr>
      <w:rPr>
        <w:rFonts w:hint="default"/>
      </w:rPr>
    </w:lvl>
  </w:abstractNum>
  <w:abstractNum w:abstractNumId="5">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4394"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6"/>
  </w:num>
  <w:num w:numId="2">
    <w:abstractNumId w:val="5"/>
  </w:num>
  <w:num w:numId="3">
    <w:abstractNumId w:val="3"/>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2MWRlMWY1ZWI1NmQxZjc0MWI5MzAzNzU2ZjNjYzkifQ=="/>
  </w:docVars>
  <w:rsids>
    <w:rsidRoot w:val="00935037"/>
    <w:rsid w:val="000933A9"/>
    <w:rsid w:val="000F40B8"/>
    <w:rsid w:val="001156C3"/>
    <w:rsid w:val="00160CD3"/>
    <w:rsid w:val="001C4730"/>
    <w:rsid w:val="001F5F56"/>
    <w:rsid w:val="00210609"/>
    <w:rsid w:val="00285CDD"/>
    <w:rsid w:val="0032058E"/>
    <w:rsid w:val="00333329"/>
    <w:rsid w:val="003522AF"/>
    <w:rsid w:val="00356C25"/>
    <w:rsid w:val="003903D4"/>
    <w:rsid w:val="00391ECF"/>
    <w:rsid w:val="003C29A4"/>
    <w:rsid w:val="0051755B"/>
    <w:rsid w:val="00537487"/>
    <w:rsid w:val="0065227D"/>
    <w:rsid w:val="00655B91"/>
    <w:rsid w:val="008E46B6"/>
    <w:rsid w:val="00935037"/>
    <w:rsid w:val="009865FC"/>
    <w:rsid w:val="00AE75F8"/>
    <w:rsid w:val="00B129C5"/>
    <w:rsid w:val="00CD67BE"/>
    <w:rsid w:val="00D20D8A"/>
    <w:rsid w:val="00E84697"/>
    <w:rsid w:val="00EE4CE2"/>
    <w:rsid w:val="00F1356B"/>
    <w:rsid w:val="00F836D2"/>
    <w:rsid w:val="00FD318D"/>
    <w:rsid w:val="02B2154F"/>
    <w:rsid w:val="0BCB64FB"/>
    <w:rsid w:val="0C0A424D"/>
    <w:rsid w:val="0DDD1490"/>
    <w:rsid w:val="14F1763E"/>
    <w:rsid w:val="1513495D"/>
    <w:rsid w:val="15D62A35"/>
    <w:rsid w:val="15FC5610"/>
    <w:rsid w:val="17BD4D4D"/>
    <w:rsid w:val="191A72ED"/>
    <w:rsid w:val="1BAD4238"/>
    <w:rsid w:val="1BD52653"/>
    <w:rsid w:val="1FDEDC0E"/>
    <w:rsid w:val="1FF7DD1B"/>
    <w:rsid w:val="22266AF2"/>
    <w:rsid w:val="25D564AB"/>
    <w:rsid w:val="273E3AFA"/>
    <w:rsid w:val="27FE2AE4"/>
    <w:rsid w:val="29F504C7"/>
    <w:rsid w:val="2AF9993F"/>
    <w:rsid w:val="2B9B3051"/>
    <w:rsid w:val="2C113E5C"/>
    <w:rsid w:val="2D8C0AA2"/>
    <w:rsid w:val="2ECD7095"/>
    <w:rsid w:val="3007380B"/>
    <w:rsid w:val="320218E9"/>
    <w:rsid w:val="33BA5250"/>
    <w:rsid w:val="37DC2AD9"/>
    <w:rsid w:val="3A8A6B21"/>
    <w:rsid w:val="3BFB211E"/>
    <w:rsid w:val="3CFEA147"/>
    <w:rsid w:val="3DFFF27D"/>
    <w:rsid w:val="3F3F90FE"/>
    <w:rsid w:val="3FAE5F33"/>
    <w:rsid w:val="409C29E0"/>
    <w:rsid w:val="416675FD"/>
    <w:rsid w:val="41AC5914"/>
    <w:rsid w:val="41EB0E29"/>
    <w:rsid w:val="456462DB"/>
    <w:rsid w:val="45FFB5B8"/>
    <w:rsid w:val="475F7987"/>
    <w:rsid w:val="47D429C9"/>
    <w:rsid w:val="4A71383E"/>
    <w:rsid w:val="4DEC08C1"/>
    <w:rsid w:val="4F3CE7AA"/>
    <w:rsid w:val="51FA74D0"/>
    <w:rsid w:val="53BD5B0A"/>
    <w:rsid w:val="552C79A0"/>
    <w:rsid w:val="567670AC"/>
    <w:rsid w:val="568D50A0"/>
    <w:rsid w:val="56FC76D6"/>
    <w:rsid w:val="58495506"/>
    <w:rsid w:val="5A75DA79"/>
    <w:rsid w:val="5AAB580B"/>
    <w:rsid w:val="5B6FFAAC"/>
    <w:rsid w:val="5BD87D1E"/>
    <w:rsid w:val="5D45006D"/>
    <w:rsid w:val="5E7771D4"/>
    <w:rsid w:val="5EF339F2"/>
    <w:rsid w:val="5EFCFD85"/>
    <w:rsid w:val="5EFE5786"/>
    <w:rsid w:val="5F1F9BF6"/>
    <w:rsid w:val="5FD169CB"/>
    <w:rsid w:val="5FF77384"/>
    <w:rsid w:val="60035FF3"/>
    <w:rsid w:val="62404A8B"/>
    <w:rsid w:val="63DA163F"/>
    <w:rsid w:val="63FA0A2D"/>
    <w:rsid w:val="644C5F47"/>
    <w:rsid w:val="64EB9A48"/>
    <w:rsid w:val="657F6514"/>
    <w:rsid w:val="65FF3DE0"/>
    <w:rsid w:val="67852AE0"/>
    <w:rsid w:val="678FC17D"/>
    <w:rsid w:val="68225A11"/>
    <w:rsid w:val="6948576C"/>
    <w:rsid w:val="69FC3EE3"/>
    <w:rsid w:val="6AB62F2F"/>
    <w:rsid w:val="6D8B3444"/>
    <w:rsid w:val="6D9E30C7"/>
    <w:rsid w:val="6DE76393"/>
    <w:rsid w:val="6ECF8FDE"/>
    <w:rsid w:val="6EE72924"/>
    <w:rsid w:val="6EEB1F49"/>
    <w:rsid w:val="6F7295F1"/>
    <w:rsid w:val="6F9D9952"/>
    <w:rsid w:val="6FBF47C7"/>
    <w:rsid w:val="6FC41A06"/>
    <w:rsid w:val="6FFA1F66"/>
    <w:rsid w:val="7277A1B5"/>
    <w:rsid w:val="729A1756"/>
    <w:rsid w:val="737F1CBA"/>
    <w:rsid w:val="73FF2889"/>
    <w:rsid w:val="75FA7DD0"/>
    <w:rsid w:val="775D4ACA"/>
    <w:rsid w:val="77DF8B68"/>
    <w:rsid w:val="77E4A421"/>
    <w:rsid w:val="77EF595F"/>
    <w:rsid w:val="797FAED6"/>
    <w:rsid w:val="79BF9833"/>
    <w:rsid w:val="7A66265B"/>
    <w:rsid w:val="7AC54490"/>
    <w:rsid w:val="7B1EA44E"/>
    <w:rsid w:val="7BF5842B"/>
    <w:rsid w:val="7BFFEB65"/>
    <w:rsid w:val="7CBF18D4"/>
    <w:rsid w:val="7DF74A27"/>
    <w:rsid w:val="7DF77039"/>
    <w:rsid w:val="7DFA9226"/>
    <w:rsid w:val="7DFCA9D9"/>
    <w:rsid w:val="7DFE49F1"/>
    <w:rsid w:val="7DFF997D"/>
    <w:rsid w:val="7E3F5318"/>
    <w:rsid w:val="7EBB540E"/>
    <w:rsid w:val="7EBB8F75"/>
    <w:rsid w:val="7EF9ACAB"/>
    <w:rsid w:val="7EFF123F"/>
    <w:rsid w:val="7F3D0570"/>
    <w:rsid w:val="7F773D73"/>
    <w:rsid w:val="7F9758F2"/>
    <w:rsid w:val="7FB9C34D"/>
    <w:rsid w:val="7FDB00B3"/>
    <w:rsid w:val="7FFED4E1"/>
    <w:rsid w:val="7FFF3171"/>
    <w:rsid w:val="7FFF63DD"/>
    <w:rsid w:val="8EFF3C63"/>
    <w:rsid w:val="97BF06AE"/>
    <w:rsid w:val="97D71DB2"/>
    <w:rsid w:val="9EEA1618"/>
    <w:rsid w:val="A45FF182"/>
    <w:rsid w:val="AEFF4C79"/>
    <w:rsid w:val="B37B0D20"/>
    <w:rsid w:val="B5F11565"/>
    <w:rsid w:val="B61FCA2A"/>
    <w:rsid w:val="B7BF7AC3"/>
    <w:rsid w:val="B9BB1F5B"/>
    <w:rsid w:val="BAABD0FD"/>
    <w:rsid w:val="BBE72A18"/>
    <w:rsid w:val="BD9F64C0"/>
    <w:rsid w:val="BEFF69D2"/>
    <w:rsid w:val="BF6E9C17"/>
    <w:rsid w:val="BFBDC9A2"/>
    <w:rsid w:val="CFAB3BD7"/>
    <w:rsid w:val="D7FDB646"/>
    <w:rsid w:val="D7FE6BD9"/>
    <w:rsid w:val="D9FFF9F3"/>
    <w:rsid w:val="DBEF5562"/>
    <w:rsid w:val="DBFFCE40"/>
    <w:rsid w:val="DCEF56E5"/>
    <w:rsid w:val="DE7F14D5"/>
    <w:rsid w:val="DF9BB769"/>
    <w:rsid w:val="DFED5479"/>
    <w:rsid w:val="E373FDB2"/>
    <w:rsid w:val="E77A06EC"/>
    <w:rsid w:val="E7F42E53"/>
    <w:rsid w:val="E7FE826D"/>
    <w:rsid w:val="E96FB23D"/>
    <w:rsid w:val="E9BBD7A8"/>
    <w:rsid w:val="EACF4366"/>
    <w:rsid w:val="ECDD4593"/>
    <w:rsid w:val="ED6EF0DB"/>
    <w:rsid w:val="EED6F41E"/>
    <w:rsid w:val="EF5B830D"/>
    <w:rsid w:val="EF717D5B"/>
    <w:rsid w:val="EFCE00F5"/>
    <w:rsid w:val="EFD61FC0"/>
    <w:rsid w:val="EFFB528E"/>
    <w:rsid w:val="EFFF90D9"/>
    <w:rsid w:val="EFFFD859"/>
    <w:rsid w:val="F0BF6410"/>
    <w:rsid w:val="F3F70AEF"/>
    <w:rsid w:val="F5C5E497"/>
    <w:rsid w:val="F6B6C547"/>
    <w:rsid w:val="F6BFF5C2"/>
    <w:rsid w:val="F6FA6AD7"/>
    <w:rsid w:val="F75EBCF5"/>
    <w:rsid w:val="F7BB1AE9"/>
    <w:rsid w:val="F7BC2671"/>
    <w:rsid w:val="F7FF9D57"/>
    <w:rsid w:val="F9AB5B82"/>
    <w:rsid w:val="FAFF752B"/>
    <w:rsid w:val="FBCF9516"/>
    <w:rsid w:val="FBF2B706"/>
    <w:rsid w:val="FBFAA9B9"/>
    <w:rsid w:val="FBFF6213"/>
    <w:rsid w:val="FC8BB3BF"/>
    <w:rsid w:val="FD3F3919"/>
    <w:rsid w:val="FDF7339E"/>
    <w:rsid w:val="FDFB2DA2"/>
    <w:rsid w:val="FDFBF426"/>
    <w:rsid w:val="FE5E4F76"/>
    <w:rsid w:val="FEDB13FF"/>
    <w:rsid w:val="FEEECB2D"/>
    <w:rsid w:val="FEF6BA00"/>
    <w:rsid w:val="FEFF7883"/>
    <w:rsid w:val="FF7EB1E4"/>
    <w:rsid w:val="FFDAD679"/>
    <w:rsid w:val="FFDF3030"/>
    <w:rsid w:val="FFDF4F6B"/>
    <w:rsid w:val="FFF75F78"/>
    <w:rsid w:val="FFFD6FCB"/>
    <w:rsid w:val="FFFFE67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仿宋_GB2312" w:hAnsi="仿宋_GB2312" w:eastAsia="仿宋_GB2312" w:cs="Times New Roman"/>
      <w:kern w:val="2"/>
      <w:sz w:val="28"/>
      <w:szCs w:val="24"/>
      <w:lang w:val="en-US" w:eastAsia="zh-CN" w:bidi="ar-SA"/>
    </w:rPr>
  </w:style>
  <w:style w:type="paragraph" w:styleId="2">
    <w:name w:val="heading 1"/>
    <w:basedOn w:val="1"/>
    <w:next w:val="1"/>
    <w:link w:val="75"/>
    <w:qFormat/>
    <w:uiPriority w:val="0"/>
    <w:pPr>
      <w:keepNext/>
      <w:keepLines/>
      <w:numPr>
        <w:ilvl w:val="0"/>
        <w:numId w:val="1"/>
      </w:numPr>
      <w:spacing w:before="120" w:after="120"/>
      <w:ind w:left="0" w:firstLine="0" w:firstLineChars="0"/>
      <w:outlineLvl w:val="0"/>
    </w:pPr>
    <w:rPr>
      <w:rFonts w:eastAsia="黑体"/>
      <w:b/>
      <w:bCs/>
      <w:kern w:val="44"/>
      <w:sz w:val="32"/>
      <w:szCs w:val="28"/>
    </w:rPr>
  </w:style>
  <w:style w:type="paragraph" w:styleId="3">
    <w:name w:val="heading 2"/>
    <w:basedOn w:val="1"/>
    <w:next w:val="1"/>
    <w:link w:val="88"/>
    <w:qFormat/>
    <w:uiPriority w:val="9"/>
    <w:pPr>
      <w:keepNext/>
      <w:keepLines/>
      <w:numPr>
        <w:ilvl w:val="1"/>
        <w:numId w:val="1"/>
      </w:numPr>
      <w:spacing w:before="120" w:after="120"/>
      <w:ind w:left="0" w:firstLine="0" w:firstLineChars="0"/>
      <w:outlineLvl w:val="1"/>
    </w:pPr>
    <w:rPr>
      <w:b/>
      <w:bCs/>
      <w:sz w:val="30"/>
      <w:szCs w:val="32"/>
    </w:rPr>
  </w:style>
  <w:style w:type="paragraph" w:styleId="4">
    <w:name w:val="heading 3"/>
    <w:basedOn w:val="1"/>
    <w:next w:val="1"/>
    <w:link w:val="81"/>
    <w:qFormat/>
    <w:uiPriority w:val="0"/>
    <w:pPr>
      <w:keepNext/>
      <w:keepLines/>
      <w:numPr>
        <w:ilvl w:val="2"/>
        <w:numId w:val="1"/>
      </w:numPr>
      <w:spacing w:before="120" w:after="120"/>
      <w:ind w:firstLine="0" w:firstLineChars="0"/>
      <w:outlineLvl w:val="2"/>
    </w:pPr>
    <w:rPr>
      <w:b/>
      <w:bCs/>
      <w:szCs w:val="28"/>
    </w:rPr>
  </w:style>
  <w:style w:type="paragraph" w:styleId="5">
    <w:name w:val="heading 4"/>
    <w:basedOn w:val="1"/>
    <w:next w:val="1"/>
    <w:link w:val="58"/>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6"/>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99"/>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4"/>
    <w:qFormat/>
    <w:uiPriority w:val="0"/>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字符1"/>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字符1"/>
    <w:link w:val="22"/>
    <w:qFormat/>
    <w:uiPriority w:val="0"/>
    <w:rPr>
      <w:kern w:val="2"/>
      <w:sz w:val="21"/>
      <w:szCs w:val="24"/>
    </w:rPr>
  </w:style>
  <w:style w:type="character" w:customStyle="1" w:styleId="48">
    <w:name w:val="标题 9 字符"/>
    <w:link w:val="10"/>
    <w:qFormat/>
    <w:uiPriority w:val="9"/>
    <w:rPr>
      <w:rFonts w:ascii="Cambria" w:hAnsi="Cambria"/>
      <w:kern w:val="2"/>
      <w:sz w:val="21"/>
      <w:szCs w:val="21"/>
    </w:rPr>
  </w:style>
  <w:style w:type="character" w:customStyle="1" w:styleId="49">
    <w:name w:val="未处理的提及1"/>
    <w:unhideWhenUsed/>
    <w:qFormat/>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字符"/>
    <w:link w:val="13"/>
    <w:qFormat/>
    <w:locked/>
    <w:uiPriority w:val="0"/>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字符1"/>
    <w:link w:val="5"/>
    <w:qFormat/>
    <w:uiPriority w:val="0"/>
    <w:rPr>
      <w:rFonts w:ascii="宋体" w:hAnsi="宋体"/>
      <w:b/>
      <w:bCs/>
      <w:kern w:val="2"/>
      <w:sz w:val="30"/>
      <w:szCs w:val="30"/>
    </w:rPr>
  </w:style>
  <w:style w:type="character" w:customStyle="1" w:styleId="59">
    <w:name w:val="正文文本 字符"/>
    <w:link w:val="16"/>
    <w:qFormat/>
    <w:uiPriority w:val="0"/>
    <w:rPr>
      <w:kern w:val="2"/>
      <w:sz w:val="21"/>
      <w:szCs w:val="24"/>
    </w:rPr>
  </w:style>
  <w:style w:type="character" w:customStyle="1" w:styleId="60">
    <w:name w:val="列出段落 字符"/>
    <w:link w:val="61"/>
    <w:qFormat/>
    <w:uiPriority w:val="34"/>
    <w:rPr>
      <w:kern w:val="2"/>
      <w:sz w:val="21"/>
      <w:szCs w:val="24"/>
    </w:rPr>
  </w:style>
  <w:style w:type="paragraph" w:customStyle="1" w:styleId="61">
    <w:name w:val="列出段落1"/>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字符1"/>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字符"/>
    <w:link w:val="8"/>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字符1"/>
    <w:link w:val="2"/>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字符2"/>
    <w:link w:val="4"/>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字符1"/>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字符1"/>
    <w:link w:val="17"/>
    <w:qFormat/>
    <w:uiPriority w:val="0"/>
    <w:rPr>
      <w:kern w:val="2"/>
      <w:sz w:val="21"/>
    </w:rPr>
  </w:style>
  <w:style w:type="character" w:customStyle="1" w:styleId="86">
    <w:name w:val="标题 5 字符1"/>
    <w:link w:val="6"/>
    <w:qFormat/>
    <w:uiPriority w:val="0"/>
    <w:rPr>
      <w:rFonts w:ascii="宋体" w:hAnsi="宋体"/>
      <w:b/>
      <w:bCs/>
      <w:kern w:val="2"/>
      <w:sz w:val="24"/>
      <w:szCs w:val="28"/>
    </w:rPr>
  </w:style>
  <w:style w:type="character" w:customStyle="1" w:styleId="87">
    <w:name w:val="副标题 字符1"/>
    <w:link w:val="28"/>
    <w:qFormat/>
    <w:uiPriority w:val="0"/>
    <w:rPr>
      <w:rFonts w:ascii="Calibri Light" w:hAnsi="Calibri Light"/>
      <w:b/>
      <w:bCs/>
      <w:kern w:val="28"/>
      <w:sz w:val="32"/>
      <w:szCs w:val="32"/>
    </w:rPr>
  </w:style>
  <w:style w:type="character" w:customStyle="1" w:styleId="88">
    <w:name w:val="标题 2 字符1"/>
    <w:link w:val="3"/>
    <w:qFormat/>
    <w:uiPriority w:val="9"/>
    <w:rPr>
      <w:rFonts w:ascii="宋体" w:hAnsi="宋体" w:eastAsia="仿宋_GB2312"/>
      <w:b/>
      <w:bCs/>
      <w:kern w:val="2"/>
      <w:sz w:val="30"/>
      <w:szCs w:val="32"/>
    </w:rPr>
  </w:style>
  <w:style w:type="character" w:customStyle="1" w:styleId="89">
    <w:name w:val="页脚 字符1"/>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字符1"/>
    <w:link w:val="14"/>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字符1"/>
    <w:link w:val="33"/>
    <w:qFormat/>
    <w:uiPriority w:val="0"/>
    <w:rPr>
      <w:rFonts w:ascii="Cambria" w:hAnsi="Cambria" w:eastAsia="黑体"/>
      <w:b/>
      <w:bCs/>
      <w:kern w:val="2"/>
      <w:sz w:val="52"/>
      <w:szCs w:val="32"/>
    </w:rPr>
  </w:style>
  <w:style w:type="character" w:customStyle="1" w:styleId="96">
    <w:name w:val="批注框文本 字符1"/>
    <w:link w:val="23"/>
    <w:qFormat/>
    <w:uiPriority w:val="0"/>
    <w:rPr>
      <w:kern w:val="2"/>
      <w:sz w:val="18"/>
      <w:szCs w:val="18"/>
    </w:rPr>
  </w:style>
  <w:style w:type="character" w:customStyle="1" w:styleId="97">
    <w:name w:val="页眉 字符1"/>
    <w:link w:val="25"/>
    <w:qFormat/>
    <w:uiPriority w:val="99"/>
    <w:rPr>
      <w:kern w:val="2"/>
      <w:sz w:val="18"/>
      <w:szCs w:val="18"/>
    </w:rPr>
  </w:style>
  <w:style w:type="character" w:customStyle="1" w:styleId="98">
    <w:name w:val="标题 8 字符"/>
    <w:link w:val="9"/>
    <w:qFormat/>
    <w:uiPriority w:val="9"/>
    <w:rPr>
      <w:rFonts w:ascii="Cambria" w:hAnsi="Cambria"/>
      <w:kern w:val="2"/>
      <w:sz w:val="21"/>
      <w:szCs w:val="24"/>
    </w:rPr>
  </w:style>
  <w:style w:type="character" w:customStyle="1" w:styleId="99">
    <w:name w:val="标题 6 字符1"/>
    <w:link w:val="7"/>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 w:val="clear" w:pos="76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修订1"/>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Cs w:val="20"/>
    </w:rPr>
  </w:style>
  <w:style w:type="paragraph" w:customStyle="1" w:styleId="129">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paragraph" w:customStyle="1" w:styleId="134">
    <w:name w:val="样式2"/>
    <w:basedOn w:val="1"/>
    <w:qFormat/>
    <w:uiPriority w:val="0"/>
    <w:pPr>
      <w:widowControl/>
      <w:adjustRightInd w:val="0"/>
    </w:pPr>
    <w:rPr>
      <w:rFonts w:ascii="宋体" w:hAnsi="宋体"/>
      <w:kern w:val="0"/>
      <w:sz w:val="24"/>
      <w:lang w:eastAsia="en-US"/>
    </w:rPr>
  </w:style>
  <w:style w:type="paragraph" w:customStyle="1" w:styleId="135">
    <w:name w:val="B-表正文"/>
    <w:qFormat/>
    <w:uiPriority w:val="0"/>
    <w:rPr>
      <w:rFonts w:ascii="Times New Roman" w:hAnsi="Times New Roman" w:eastAsia="仿宋" w:cstheme="minorBidi"/>
      <w:kern w:val="2"/>
      <w:sz w:val="21"/>
      <w:szCs w:val="24"/>
      <w:lang w:val="en-US" w:eastAsia="zh-CN" w:bidi="ar-SA"/>
    </w:rPr>
  </w:style>
  <w:style w:type="table" w:customStyle="1" w:styleId="136">
    <w:name w:val="Table Normal"/>
    <w:unhideWhenUsed/>
    <w:qFormat/>
    <w:uiPriority w:val="0"/>
    <w:rPr>
      <w:rFonts w:ascii="Arial" w:hAnsi="Arial" w:cs="Arial" w:eastAsiaTheme="minorEastAsia"/>
    </w:rPr>
    <w:tblPr>
      <w:tblCellMar>
        <w:top w:w="0" w:type="dxa"/>
        <w:left w:w="0" w:type="dxa"/>
        <w:bottom w:w="0" w:type="dxa"/>
        <w:right w:w="0" w:type="dxa"/>
      </w:tblCellMar>
    </w:tblPr>
  </w:style>
  <w:style w:type="paragraph" w:customStyle="1" w:styleId="137">
    <w:name w:val="D3"/>
    <w:basedOn w:val="1"/>
    <w:next w:val="138"/>
    <w:qFormat/>
    <w:uiPriority w:val="0"/>
    <w:pPr>
      <w:numPr>
        <w:ilvl w:val="2"/>
        <w:numId w:val="3"/>
      </w:numPr>
      <w:spacing w:before="50" w:beforeLines="50" w:after="50" w:afterLines="50" w:line="240" w:lineRule="auto"/>
      <w:ind w:left="0"/>
      <w:outlineLvl w:val="2"/>
    </w:pPr>
    <w:rPr>
      <w:b/>
    </w:rPr>
  </w:style>
  <w:style w:type="paragraph" w:customStyle="1" w:styleId="138">
    <w:name w:val="D0"/>
    <w:basedOn w:val="1"/>
    <w:qFormat/>
    <w:uiPriority w:val="0"/>
    <w:pPr>
      <w:wordWrap w:val="0"/>
    </w:pPr>
  </w:style>
  <w:style w:type="paragraph" w:customStyle="1" w:styleId="139">
    <w:name w:val="表格（标题行）"/>
    <w:basedOn w:val="1"/>
    <w:qFormat/>
    <w:uiPriority w:val="0"/>
    <w:pPr>
      <w:widowControl/>
      <w:snapToGrid w:val="0"/>
      <w:spacing w:line="240" w:lineRule="auto"/>
      <w:ind w:firstLine="0" w:firstLineChars="0"/>
      <w:jc w:val="center"/>
    </w:pPr>
    <w:rPr>
      <w:rFonts w:ascii="微软雅黑" w:hAnsi="微软雅黑" w:eastAsia="微软雅黑" w:cs="宋体"/>
      <w:b/>
      <w:bCs/>
      <w:color w:val="000000"/>
      <w:kern w:val="0"/>
      <w:sz w:val="20"/>
      <w:szCs w:val="20"/>
    </w:rPr>
  </w:style>
  <w:style w:type="paragraph" w:customStyle="1" w:styleId="140">
    <w:name w:val="表正文"/>
    <w:qFormat/>
    <w:uiPriority w:val="0"/>
    <w:rPr>
      <w:rFonts w:ascii="Times New Roman" w:hAnsi="Times New Roman" w:eastAsia="宋体" w:cstheme="minorBidi"/>
      <w:kern w:val="2"/>
      <w:sz w:val="21"/>
      <w:szCs w:val="24"/>
      <w:lang w:val="en-US" w:eastAsia="zh-CN" w:bidi="ar-SA"/>
    </w:rPr>
  </w:style>
  <w:style w:type="paragraph" w:customStyle="1" w:styleId="141">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42">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63</Pages>
  <Words>1204</Words>
  <Characters>1244</Characters>
  <Lines>193</Lines>
  <Paragraphs>54</Paragraphs>
  <TotalTime>9</TotalTime>
  <ScaleCrop>false</ScaleCrop>
  <LinksUpToDate>false</LinksUpToDate>
  <CharactersWithSpaces>1244</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2025-01-30T18:00:00Z</dcterms:created>
  <dc:creator>gtig_tzb</dc:creator>
  <cp:lastModifiedBy>user</cp:lastModifiedBy>
  <cp:lastPrinted>2020-08-17T12:08:00Z</cp:lastPrinted>
  <dcterms:modified xsi:type="dcterms:W3CDTF">2026-01-08T08:51:56Z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KSOTemplateDocerSaveRecord">
    <vt:lpwstr>eyJoZGlkIjoiN2YzNjBkOTgyNWQ1YTMxYzM3MzMwNWFiODNmOWIzYWMiLCJ1c2VySWQiOiI1NTA2MTExMDQifQ==</vt:lpwstr>
  </property>
  <property fmtid="{D5CDD505-2E9C-101B-9397-08002B2CF9AE}" pid="4" name="ICV">
    <vt:lpwstr>E76E157493154FA0B2877566F98BF99F_13</vt:lpwstr>
  </property>
</Properties>
</file>