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pacing w:line="360" w:lineRule="auto"/>
        <w:ind w:firstLine="0" w:firstLineChars="0"/>
        <w:contextualSpacing/>
        <w:jc w:val="center"/>
        <w:outlineLvl w:val="0"/>
        <w:rPr>
          <w:rFonts w:hint="eastAsia" w:ascii="黑体" w:hAnsi="黑体" w:eastAsia="黑体" w:cs="Times New Roman"/>
          <w:b/>
          <w:bCs/>
          <w:sz w:val="32"/>
          <w:szCs w:val="32"/>
        </w:rPr>
      </w:pPr>
      <w:bookmarkStart w:id="0" w:name="_Toc63785461"/>
      <w:bookmarkStart w:id="40" w:name="_GoBack"/>
      <w:bookmarkEnd w:id="40"/>
      <w:r>
        <w:rPr>
          <w:rFonts w:hint="eastAsia" w:ascii="黑体" w:hAnsi="黑体" w:eastAsia="黑体" w:cs="Times New Roman"/>
          <w:b/>
          <w:bCs/>
          <w:sz w:val="32"/>
          <w:szCs w:val="32"/>
        </w:rPr>
        <w:t>检</w:t>
      </w:r>
      <w:r>
        <w:rPr>
          <w:rFonts w:hint="eastAsia" w:ascii="黑体" w:hAnsi="黑体" w:eastAsia="黑体" w:cs="Times New Roman"/>
          <w:b/>
          <w:bCs/>
          <w:sz w:val="32"/>
          <w:szCs w:val="32"/>
          <w:lang w:val="en-US" w:eastAsia="zh-CN"/>
        </w:rPr>
        <w:t>调对接</w:t>
      </w:r>
      <w:r>
        <w:rPr>
          <w:rFonts w:hint="eastAsia" w:ascii="黑体" w:hAnsi="黑体" w:eastAsia="黑体" w:cs="Times New Roman"/>
          <w:b/>
          <w:bCs/>
          <w:sz w:val="32"/>
          <w:szCs w:val="32"/>
        </w:rPr>
        <w:t>子系统建设项目</w:t>
      </w:r>
    </w:p>
    <w:p>
      <w:pPr>
        <w:pStyle w:val="6"/>
        <w:adjustRightInd w:val="0"/>
        <w:spacing w:line="360" w:lineRule="auto"/>
        <w:ind w:firstLine="0" w:firstLineChars="0"/>
        <w:contextualSpacing/>
        <w:jc w:val="center"/>
        <w:outlineLvl w:val="0"/>
        <w:rPr>
          <w:rFonts w:hint="eastAsia" w:ascii="黑体" w:hAnsi="黑体" w:eastAsia="黑体" w:cs="Times New Roman"/>
          <w:b/>
          <w:bCs/>
          <w:sz w:val="32"/>
          <w:szCs w:val="32"/>
        </w:rPr>
      </w:pPr>
      <w:r>
        <w:rPr>
          <w:rFonts w:hint="eastAsia" w:ascii="黑体" w:hAnsi="黑体" w:eastAsia="黑体" w:cs="Times New Roman"/>
          <w:b/>
          <w:bCs/>
          <w:sz w:val="32"/>
          <w:szCs w:val="32"/>
        </w:rPr>
        <w:t>采购需求</w:t>
      </w:r>
    </w:p>
    <w:p>
      <w:pPr>
        <w:rPr>
          <w:rFonts w:hint="eastAsia"/>
          <w:lang w:eastAsia="zh-CN"/>
        </w:rPr>
      </w:pPr>
    </w:p>
    <w:p>
      <w:pPr>
        <w:pStyle w:val="3"/>
      </w:pPr>
      <w:r>
        <w:rPr>
          <w:rFonts w:hint="eastAsia"/>
        </w:rPr>
        <w:t>项目概况</w:t>
      </w:r>
      <w:bookmarkEnd w:id="0"/>
    </w:p>
    <w:p>
      <w:pPr>
        <w:pageBreakBefore w:val="0"/>
        <w:widowControl w:val="0"/>
        <w:kinsoku/>
        <w:wordWrap/>
        <w:overflowPunct/>
        <w:topLinePunct w:val="0"/>
        <w:autoSpaceDE/>
        <w:autoSpaceDN/>
        <w:bidi w:val="0"/>
        <w:snapToGrid/>
        <w:spacing w:line="560" w:lineRule="exact"/>
        <w:ind w:firstLine="480" w:firstLineChars="200"/>
        <w:jc w:val="left"/>
        <w:textAlignment w:val="auto"/>
        <w:rPr>
          <w:rFonts w:hint="eastAsia"/>
        </w:rPr>
      </w:pPr>
      <w:r>
        <w:rPr>
          <w:rFonts w:hint="eastAsia"/>
        </w:rPr>
        <w:t>2023年8月，上海市检察院与上海市司法局联合制定《关于建立检调对接机制的实施意见》（下称《实施意见》），通过搭建检察工作与人民调解工作对接联动平台，共同促进当事人和解息诉，有效化解矛盾纠纷，促进社会和谐稳定。《实施意见》就适用检调对接机制的案件范围、工作机构、参与人员、工作流程、配套机制等作出规定，明确要遵循自愿、合法、公正、保密原则。此外，除了刑事案件，诸如当事人双方因合同履行、劳动争议、婚姻家庭继承等引发矛盾纠纷，按照法律程序向检察院申请的民事诉讼监督案件、检察院受理的行政诉讼监督案件中涉及行政赔偿、补偿的行政诉讼监督案件等各项检察业务，均可适用检调对接机制办理。</w:t>
      </w:r>
    </w:p>
    <w:p>
      <w:pPr>
        <w:pageBreakBefore w:val="0"/>
        <w:widowControl w:val="0"/>
        <w:kinsoku/>
        <w:wordWrap/>
        <w:overflowPunct/>
        <w:topLinePunct w:val="0"/>
        <w:autoSpaceDE/>
        <w:autoSpaceDN/>
        <w:bidi w:val="0"/>
        <w:snapToGrid/>
        <w:spacing w:line="560" w:lineRule="exact"/>
        <w:ind w:firstLine="480" w:firstLineChars="200"/>
        <w:jc w:val="left"/>
        <w:textAlignment w:val="auto"/>
        <w:rPr>
          <w:rFonts w:hint="eastAsia"/>
        </w:rPr>
      </w:pPr>
      <w:r>
        <w:rPr>
          <w:rFonts w:hint="eastAsia"/>
        </w:rPr>
        <w:t>《实施意见》明确符合检调对接范围和条件的案件，检察机关应当积极引导当事人通过人民调解解决矛盾纠纷。在当事人提出调解申请后，检察机关也应及时委托人民调解组织开展调解工作，由人民调解组织就检调对接案件中赔偿、补偿、恢复原状、赔礼道歉、精神抚慰等事项进行调解。进一步强化检调对接机制与值班律师参与信访矛盾化解、检察听证、司法救助等工作深度融合，形成合力，多措并举推进矛盾纠纷实质性化解。</w:t>
      </w:r>
    </w:p>
    <w:p>
      <w:pPr>
        <w:pageBreakBefore w:val="0"/>
        <w:widowControl w:val="0"/>
        <w:kinsoku/>
        <w:wordWrap/>
        <w:overflowPunct/>
        <w:topLinePunct w:val="0"/>
        <w:autoSpaceDE/>
        <w:autoSpaceDN/>
        <w:bidi w:val="0"/>
        <w:snapToGrid/>
        <w:spacing w:line="560" w:lineRule="exact"/>
        <w:ind w:left="0" w:leftChars="0" w:firstLine="480" w:firstLineChars="200"/>
        <w:jc w:val="left"/>
        <w:textAlignment w:val="auto"/>
        <w:rPr>
          <w:rFonts w:hint="eastAsia"/>
        </w:rPr>
      </w:pPr>
      <w:r>
        <w:rPr>
          <w:rFonts w:hint="eastAsia"/>
        </w:rPr>
        <w:t>本项目建设须符合</w:t>
      </w:r>
      <w:r>
        <w:rPr>
          <w:rFonts w:hint="eastAsia"/>
          <w:lang w:val="en-US" w:eastAsia="zh-CN"/>
        </w:rPr>
        <w:t>XC</w:t>
      </w:r>
      <w:r>
        <w:rPr>
          <w:rFonts w:hint="eastAsia"/>
        </w:rPr>
        <w:t>要求。</w:t>
      </w:r>
    </w:p>
    <w:p>
      <w:pPr>
        <w:pStyle w:val="3"/>
      </w:pPr>
      <w:bookmarkStart w:id="1" w:name="_Toc47536644"/>
      <w:bookmarkEnd w:id="1"/>
      <w:bookmarkStart w:id="2" w:name="_Toc47539070"/>
      <w:bookmarkEnd w:id="2"/>
      <w:bookmarkStart w:id="3" w:name="_Toc47531634"/>
      <w:bookmarkEnd w:id="3"/>
      <w:bookmarkStart w:id="4" w:name="_Toc47536272"/>
      <w:bookmarkEnd w:id="4"/>
      <w:bookmarkStart w:id="5" w:name="_Toc47537134"/>
      <w:bookmarkEnd w:id="5"/>
      <w:bookmarkStart w:id="6" w:name="_Toc47532891"/>
      <w:bookmarkEnd w:id="6"/>
      <w:bookmarkStart w:id="7" w:name="_Toc47533256"/>
      <w:bookmarkEnd w:id="7"/>
      <w:bookmarkStart w:id="8" w:name="_Toc47532255"/>
      <w:bookmarkEnd w:id="8"/>
      <w:bookmarkStart w:id="9" w:name="_Toc48223882"/>
      <w:bookmarkStart w:id="10" w:name="_Toc63785463"/>
      <w:r>
        <w:rPr>
          <w:rFonts w:hint="eastAsia"/>
        </w:rPr>
        <w:t>建设目标</w:t>
      </w:r>
      <w:bookmarkEnd w:id="9"/>
      <w:bookmarkEnd w:id="10"/>
    </w:p>
    <w:p>
      <w:pPr>
        <w:pageBreakBefore w:val="0"/>
        <w:widowControl w:val="0"/>
        <w:kinsoku/>
        <w:wordWrap/>
        <w:overflowPunct/>
        <w:topLinePunct w:val="0"/>
        <w:autoSpaceDE/>
        <w:autoSpaceDN/>
        <w:bidi w:val="0"/>
        <w:snapToGrid/>
        <w:spacing w:line="560" w:lineRule="exact"/>
        <w:ind w:firstLine="480" w:firstLineChars="200"/>
        <w:textAlignment w:val="auto"/>
        <w:rPr>
          <w:rFonts w:hint="eastAsia"/>
          <w:b w:val="0"/>
          <w:bCs/>
        </w:rPr>
      </w:pPr>
      <w:r>
        <w:rPr>
          <w:rFonts w:hint="eastAsia"/>
          <w:b w:val="0"/>
          <w:bCs/>
        </w:rPr>
        <w:t>检调对接子系统打通2.0系统和司法局“解纷一件事”，对接“一网通办”检察为民。覆盖四大检察的各项业务，为案件当事人、调解员和检察官提供不受时间、空间限制的线上线下调解渠道，调解过程全程留痕，支持线下调解录音录像和电子笔录，保障调解信息、调解进程和调解文书的及时告知与送达，监督调解协议的履行，并为案管和领导提供综合查询和统计分析功能。“检调对接”一件事充分保障各方权益，满足多次调解需求，减少当事人诉讼及调解成本，配合检察机关办案的过程中充分发挥自身优势，有效化解各类纠纷矛盾，实现案结事了人和，促进检察调解提质增效，进一步提升司法公信力。</w:t>
      </w:r>
    </w:p>
    <w:p>
      <w:pPr>
        <w:pageBreakBefore w:val="0"/>
        <w:widowControl w:val="0"/>
        <w:kinsoku/>
        <w:wordWrap/>
        <w:overflowPunct/>
        <w:topLinePunct w:val="0"/>
        <w:autoSpaceDE/>
        <w:autoSpaceDN/>
        <w:bidi w:val="0"/>
        <w:snapToGrid/>
        <w:spacing w:line="560" w:lineRule="exact"/>
        <w:ind w:firstLine="480" w:firstLineChars="200"/>
        <w:textAlignment w:val="auto"/>
        <w:rPr>
          <w:rFonts w:hint="eastAsia"/>
          <w:b w:val="0"/>
          <w:bCs/>
        </w:rPr>
      </w:pPr>
      <w:r>
        <w:rPr>
          <w:rFonts w:hint="eastAsia"/>
          <w:b w:val="0"/>
          <w:bCs/>
        </w:rPr>
        <w:t>本项目建设拟实现如下目标：</w:t>
      </w:r>
    </w:p>
    <w:p>
      <w:pPr>
        <w:pageBreakBefore w:val="0"/>
        <w:widowControl w:val="0"/>
        <w:kinsoku/>
        <w:wordWrap/>
        <w:overflowPunct/>
        <w:topLinePunct w:val="0"/>
        <w:autoSpaceDE/>
        <w:autoSpaceDN/>
        <w:bidi w:val="0"/>
        <w:snapToGrid/>
        <w:spacing w:line="560" w:lineRule="exact"/>
        <w:ind w:firstLine="480" w:firstLineChars="200"/>
        <w:textAlignment w:val="auto"/>
        <w:rPr>
          <w:rFonts w:hint="eastAsia"/>
          <w:b w:val="0"/>
          <w:bCs/>
        </w:rPr>
      </w:pPr>
      <w:r>
        <w:rPr>
          <w:rFonts w:hint="eastAsia"/>
          <w:b w:val="0"/>
          <w:bCs/>
        </w:rPr>
        <w:t>一是打造便捷、高效、规范的检调对接线上化流程。实现线下调解、线上调解同步应用功能，建立线上“调解室”，满足多次调解需求，减少当事人诉累及调解成本，为高质效办好每一个检调对接案件奠定基础。</w:t>
      </w:r>
    </w:p>
    <w:p>
      <w:pPr>
        <w:pageBreakBefore w:val="0"/>
        <w:widowControl w:val="0"/>
        <w:kinsoku/>
        <w:wordWrap/>
        <w:overflowPunct/>
        <w:topLinePunct w:val="0"/>
        <w:autoSpaceDE/>
        <w:autoSpaceDN/>
        <w:bidi w:val="0"/>
        <w:snapToGrid/>
        <w:spacing w:line="560" w:lineRule="exact"/>
        <w:ind w:firstLine="480" w:firstLineChars="200"/>
        <w:textAlignment w:val="auto"/>
        <w:rPr>
          <w:rFonts w:hint="eastAsia"/>
          <w:b w:val="0"/>
          <w:bCs/>
        </w:rPr>
      </w:pPr>
      <w:r>
        <w:rPr>
          <w:rFonts w:hint="eastAsia"/>
          <w:b w:val="0"/>
          <w:bCs/>
        </w:rPr>
        <w:t>二是检察调解工作管理全流程数字化。规范检察调解工作流程，实现调解各环节高效有序衔接，保证调解全程数字化留痕、全过程跟踪监督以及调解意见的及时反馈。</w:t>
      </w:r>
    </w:p>
    <w:p>
      <w:pPr>
        <w:pageBreakBefore w:val="0"/>
        <w:widowControl w:val="0"/>
        <w:kinsoku/>
        <w:wordWrap/>
        <w:overflowPunct/>
        <w:topLinePunct w:val="0"/>
        <w:autoSpaceDE/>
        <w:autoSpaceDN/>
        <w:bidi w:val="0"/>
        <w:snapToGrid/>
        <w:spacing w:line="560" w:lineRule="exact"/>
        <w:ind w:firstLine="480" w:firstLineChars="200"/>
        <w:textAlignment w:val="auto"/>
        <w:rPr>
          <w:b w:val="0"/>
          <w:bCs/>
        </w:rPr>
      </w:pPr>
      <w:r>
        <w:rPr>
          <w:rFonts w:hint="eastAsia"/>
          <w:b w:val="0"/>
          <w:bCs/>
        </w:rPr>
        <w:t>三是借助“一网通办”为案件当事人和调解员参与调解活动提供“好办”、“快办”的检察为民服务。</w:t>
      </w:r>
    </w:p>
    <w:p>
      <w:pPr>
        <w:pStyle w:val="3"/>
      </w:pPr>
      <w:bookmarkStart w:id="11" w:name="_Toc47536676"/>
      <w:bookmarkEnd w:id="11"/>
      <w:bookmarkStart w:id="12" w:name="_Toc47532923"/>
      <w:bookmarkEnd w:id="12"/>
      <w:bookmarkStart w:id="13" w:name="_Toc47537166"/>
      <w:bookmarkEnd w:id="13"/>
      <w:bookmarkStart w:id="14" w:name="_Toc47536304"/>
      <w:bookmarkEnd w:id="14"/>
      <w:bookmarkStart w:id="15" w:name="_Toc47539102"/>
      <w:bookmarkEnd w:id="15"/>
      <w:bookmarkStart w:id="16" w:name="_Toc47533288"/>
      <w:bookmarkEnd w:id="16"/>
      <w:r>
        <w:rPr>
          <w:rFonts w:hint="eastAsia"/>
        </w:rPr>
        <w:t>项目建设内容</w:t>
      </w:r>
    </w:p>
    <w:p>
      <w:pPr>
        <w:pStyle w:val="4"/>
        <w:ind w:left="480"/>
        <w:rPr>
          <w:rFonts w:hint="eastAsia"/>
        </w:rPr>
      </w:pPr>
      <w:r>
        <w:rPr>
          <w:rFonts w:hint="eastAsia"/>
        </w:rPr>
        <w:t>总体架构</w:t>
      </w:r>
    </w:p>
    <w:p>
      <w:pPr>
        <w:ind w:firstLine="560"/>
      </w:pPr>
      <w:r>
        <w:rPr>
          <w:rFonts w:hint="eastAsia"/>
        </w:rPr>
        <w:t>本项目结合现有软硬件网络环境、业务需求等综合因素对整个应用系统建设进行统一规划、统一规范、统一标准、统一布局，自上而下分为服务对象层、应用功能层、应用支撑层、数据资源层、基础设施层，信息安全体系和标准规范体系则贯穿系统的所有层面。</w:t>
      </w:r>
    </w:p>
    <w:p>
      <w:pPr>
        <w:ind w:firstLine="560"/>
      </w:pPr>
      <w:r>
        <w:rPr>
          <w:rFonts w:hint="eastAsia"/>
        </w:rPr>
        <w:t>服务对象层：对</w:t>
      </w:r>
      <w:r>
        <w:rPr>
          <w:rFonts w:hint="eastAsia"/>
          <w:lang w:val="en-US" w:eastAsia="zh-CN"/>
        </w:rPr>
        <w:t>检调对接的用户</w:t>
      </w:r>
      <w:r>
        <w:rPr>
          <w:rFonts w:hint="eastAsia"/>
        </w:rPr>
        <w:t>包括上海市人民检察院</w:t>
      </w:r>
      <w:r>
        <w:rPr>
          <w:rFonts w:hint="eastAsia"/>
          <w:lang w:val="en-US" w:eastAsia="zh-CN"/>
        </w:rPr>
        <w:t>检察官、调解员和调解参与的人。</w:t>
      </w:r>
    </w:p>
    <w:p>
      <w:pPr>
        <w:ind w:firstLine="560"/>
      </w:pPr>
      <w:r>
        <w:rPr>
          <w:rFonts w:hint="eastAsia"/>
        </w:rPr>
        <w:t>应用功能层：包含一系列应用功能，</w:t>
      </w:r>
      <w:r>
        <w:rPr>
          <w:rFonts w:hint="eastAsia"/>
          <w:lang w:val="en-US" w:eastAsia="zh-CN"/>
        </w:rPr>
        <w:t>有“一网通办”检调模块，调解启动管理、调解准备管理、调解会管理、调解审查处理、调解参与人管理</w:t>
      </w:r>
      <w:r>
        <w:rPr>
          <w:rFonts w:hint="eastAsia"/>
        </w:rPr>
        <w:t>、</w:t>
      </w:r>
      <w:r>
        <w:rPr>
          <w:rFonts w:hint="eastAsia"/>
          <w:lang w:val="en-US" w:eastAsia="zh-CN"/>
        </w:rPr>
        <w:t>综合查询与分析</w:t>
      </w:r>
      <w:r>
        <w:rPr>
          <w:rFonts w:hint="eastAsia"/>
        </w:rPr>
        <w:t>。</w:t>
      </w:r>
    </w:p>
    <w:p>
      <w:pPr>
        <w:ind w:firstLine="560"/>
      </w:pPr>
      <w:r>
        <w:rPr>
          <w:rFonts w:hint="eastAsia"/>
        </w:rPr>
        <w:t>应用支撑层：按照院内应用统一接入规范和要求，实现和用户、组织、权限等基础应用支撑服务的对接</w:t>
      </w:r>
      <w:r>
        <w:rPr>
          <w:rFonts w:hint="eastAsia"/>
          <w:lang w:eastAsia="zh-CN"/>
        </w:rPr>
        <w:t>，</w:t>
      </w:r>
      <w:r>
        <w:rPr>
          <w:rFonts w:hint="eastAsia"/>
          <w:lang w:val="en-US" w:eastAsia="zh-CN"/>
        </w:rPr>
        <w:t>调解员确定管理、模板管理、检察人员消息提醒、区块链对接和密码对接服务</w:t>
      </w:r>
      <w:r>
        <w:rPr>
          <w:rFonts w:hint="eastAsia"/>
        </w:rPr>
        <w:t>。</w:t>
      </w:r>
    </w:p>
    <w:p>
      <w:pPr>
        <w:ind w:firstLine="560"/>
      </w:pPr>
      <w:r>
        <w:rPr>
          <w:rFonts w:hint="eastAsia"/>
        </w:rPr>
        <w:t>数据资源层：提供本系统中所有数据资源的集合，汇聚了本系统中的各类数据资源，包括</w:t>
      </w:r>
      <w:r>
        <w:rPr>
          <w:rFonts w:hint="eastAsia"/>
          <w:lang w:val="en-US" w:eastAsia="zh-CN"/>
        </w:rPr>
        <w:t>检调对接案件库、调解员和调解参与人库</w:t>
      </w:r>
      <w:r>
        <w:rPr>
          <w:rFonts w:hint="eastAsia"/>
        </w:rPr>
        <w:t>等，为应用系统提供数据支撑、管理服务。</w:t>
      </w:r>
    </w:p>
    <w:p>
      <w:pPr>
        <w:ind w:firstLine="560"/>
      </w:pPr>
      <w:r>
        <w:rPr>
          <w:rFonts w:hint="eastAsia"/>
        </w:rPr>
        <w:t>基础设施层：主要包括各种支撑应用运行的基础硬件和系统软件，基础硬件一般包括计算机设施、存储设施、网络设施、安全设施等，系统软件包括数据库软件、应用中间件、安全管理软件等，能够在</w:t>
      </w:r>
      <w:r>
        <w:rPr>
          <w:rFonts w:hint="eastAsia"/>
          <w:lang w:val="en-US" w:eastAsia="zh-CN"/>
        </w:rPr>
        <w:t>XC</w:t>
      </w:r>
      <w:r>
        <w:rPr>
          <w:rFonts w:hint="eastAsia"/>
        </w:rPr>
        <w:t>技术路线下的服务器、终端、数据库、中间件等环境下正常运行。</w:t>
      </w:r>
    </w:p>
    <w:p>
      <w:pPr>
        <w:pStyle w:val="4"/>
        <w:ind w:left="480"/>
      </w:pPr>
      <w:r>
        <w:rPr>
          <w:rFonts w:hint="eastAsia"/>
        </w:rPr>
        <w:t>建设原则</w:t>
      </w:r>
    </w:p>
    <w:p>
      <w:pPr>
        <w:rPr>
          <w:rFonts w:ascii="Tahoma" w:hAnsi="Tahoma"/>
          <w:szCs w:val="20"/>
        </w:rPr>
      </w:pPr>
      <w:r>
        <w:rPr>
          <w:rFonts w:hint="eastAsia" w:ascii="Tahoma" w:hAnsi="Tahoma"/>
          <w:szCs w:val="20"/>
        </w:rPr>
        <w:t>充分适应上海检察信息化发展的需要，遵循长远规划、基础规范、充分论证、可靠实用的理念，确保系统高效智能、操作简单、安全稳定、维护方便、升级灵活。需遵循以下原则：</w:t>
      </w:r>
    </w:p>
    <w:p>
      <w:pPr>
        <w:numPr>
          <w:ilvl w:val="0"/>
          <w:numId w:val="2"/>
        </w:numPr>
        <w:ind w:left="0" w:firstLine="480"/>
        <w:rPr>
          <w:szCs w:val="20"/>
        </w:rPr>
      </w:pPr>
      <w:r>
        <w:rPr>
          <w:rFonts w:hint="eastAsia"/>
          <w:szCs w:val="20"/>
        </w:rPr>
        <w:t>开放性和标准性原则</w:t>
      </w:r>
    </w:p>
    <w:p>
      <w:pPr>
        <w:rPr>
          <w:rFonts w:ascii="Tahoma" w:hAnsi="Tahoma"/>
          <w:szCs w:val="20"/>
        </w:rPr>
      </w:pPr>
      <w:r>
        <w:rPr>
          <w:rFonts w:hint="eastAsia" w:ascii="Tahoma" w:hAnsi="Tahoma"/>
          <w:szCs w:val="20"/>
        </w:rPr>
        <w:t xml:space="preserve">软件系统应具备良好的开放性，可以根据检察业务的需要，进行多种系统或多种设备的集成和拓展。系统设计要遵循开放性标准，符合上海检察机关信息化建设基础规范的要求，实现业务信息的输入、输出标准化，便于与其他系统之间的互联互通。 </w:t>
      </w:r>
    </w:p>
    <w:p>
      <w:pPr>
        <w:numPr>
          <w:ilvl w:val="0"/>
          <w:numId w:val="2"/>
        </w:numPr>
        <w:ind w:left="0" w:firstLine="480"/>
        <w:rPr>
          <w:szCs w:val="20"/>
        </w:rPr>
      </w:pPr>
      <w:bookmarkStart w:id="17" w:name="_Toc80859958"/>
      <w:bookmarkEnd w:id="17"/>
      <w:bookmarkStart w:id="18" w:name="_Toc80627411"/>
      <w:r>
        <w:rPr>
          <w:rFonts w:hint="eastAsia"/>
          <w:szCs w:val="20"/>
        </w:rPr>
        <w:t>先进性和实用性原则</w:t>
      </w:r>
      <w:bookmarkEnd w:id="18"/>
    </w:p>
    <w:p>
      <w:pPr>
        <w:rPr>
          <w:rFonts w:ascii="Tahoma" w:hAnsi="Tahoma"/>
          <w:szCs w:val="20"/>
        </w:rPr>
      </w:pPr>
      <w:r>
        <w:rPr>
          <w:rFonts w:hint="eastAsia" w:ascii="Tahoma" w:hAnsi="Tahoma"/>
          <w:szCs w:val="20"/>
        </w:rPr>
        <w:t>采用基于三层体系结构的系统构架和面向对象设计的应用软件；选用稳定可靠且通用的系统软件、数据库软件、中间件软件、工具软件等开发平台；选用技术领先、设备先进、质量可靠、性能价格比合理的设备。</w:t>
      </w:r>
    </w:p>
    <w:p>
      <w:pPr>
        <w:numPr>
          <w:ilvl w:val="0"/>
          <w:numId w:val="2"/>
        </w:numPr>
        <w:ind w:left="0" w:firstLine="480"/>
        <w:rPr>
          <w:szCs w:val="20"/>
        </w:rPr>
      </w:pPr>
      <w:bookmarkStart w:id="19" w:name="_Toc80627413"/>
      <w:bookmarkEnd w:id="19"/>
      <w:bookmarkStart w:id="20" w:name="_Toc80859960"/>
      <w:r>
        <w:rPr>
          <w:rFonts w:hint="eastAsia"/>
          <w:szCs w:val="20"/>
        </w:rPr>
        <w:t>扩展性和维护性原则</w:t>
      </w:r>
      <w:bookmarkEnd w:id="20"/>
    </w:p>
    <w:p>
      <w:pPr>
        <w:rPr>
          <w:rFonts w:ascii="Tahoma" w:hAnsi="Tahoma"/>
          <w:szCs w:val="20"/>
        </w:rPr>
      </w:pPr>
      <w:r>
        <w:rPr>
          <w:rFonts w:hint="eastAsia" w:ascii="Tahoma" w:hAnsi="Tahoma"/>
          <w:szCs w:val="20"/>
        </w:rPr>
        <w:t>系统采用的技术架构应具有较强的可扩展性与维护性，可根据业务需求变化进行灵活的功能调整和扩展，便于系统维护和故障排查。</w:t>
      </w:r>
    </w:p>
    <w:p>
      <w:pPr>
        <w:numPr>
          <w:ilvl w:val="0"/>
          <w:numId w:val="2"/>
        </w:numPr>
        <w:ind w:left="0" w:firstLine="480"/>
        <w:rPr>
          <w:szCs w:val="20"/>
        </w:rPr>
      </w:pPr>
      <w:bookmarkStart w:id="21" w:name="_Toc80627414"/>
      <w:bookmarkEnd w:id="21"/>
      <w:bookmarkStart w:id="22" w:name="_Toc80859961"/>
      <w:r>
        <w:rPr>
          <w:rFonts w:hint="eastAsia"/>
          <w:szCs w:val="20"/>
        </w:rPr>
        <w:t>安全性和可靠性原则</w:t>
      </w:r>
      <w:bookmarkEnd w:id="22"/>
    </w:p>
    <w:p>
      <w:pPr>
        <w:rPr>
          <w:rFonts w:ascii="Tahoma" w:hAnsi="Tahoma"/>
          <w:szCs w:val="20"/>
        </w:rPr>
      </w:pPr>
      <w:r>
        <w:rPr>
          <w:rFonts w:hint="eastAsia" w:ascii="Tahoma" w:hAnsi="Tahoma"/>
          <w:szCs w:val="20"/>
        </w:rPr>
        <w:t>必须保证系统与各相关系统之间数据传输的准确性、可靠性，不能出现数据丢失和错误的现象；充分考虑系统的备份与恢复。保证数据通信的安全，所有用户的操作应在授权下执行，不能越权操作数据。系统建立日志记录、运行监控等机制，保证系统安全可靠。</w:t>
      </w:r>
    </w:p>
    <w:p>
      <w:pPr>
        <w:pStyle w:val="4"/>
        <w:ind w:left="480"/>
        <w:rPr>
          <w:rFonts w:hint="eastAsia"/>
        </w:rPr>
      </w:pPr>
      <w:r>
        <w:rPr>
          <w:rFonts w:hint="eastAsia"/>
        </w:rPr>
        <w:t>建设规范</w:t>
      </w:r>
    </w:p>
    <w:p>
      <w:pPr>
        <w:keepNext w:val="0"/>
        <w:keepLines w:val="0"/>
        <w:widowControl/>
        <w:suppressLineNumbers w:val="0"/>
        <w:jc w:val="left"/>
        <w:rPr>
          <w:rFonts w:hint="eastAsia"/>
          <w:b w:val="0"/>
          <w:bCs/>
        </w:rPr>
      </w:pPr>
      <w:r>
        <w:rPr>
          <w:rFonts w:hint="eastAsia" w:ascii="Tahoma" w:hAnsi="Tahoma"/>
          <w:sz w:val="24"/>
          <w:szCs w:val="20"/>
        </w:rPr>
        <w:t>本项目建设遵循《上海检察全流程全</w:t>
      </w:r>
      <w:r>
        <w:rPr>
          <w:rFonts w:hint="eastAsia" w:ascii="Tahoma" w:hAnsi="Tahoma" w:eastAsia="宋体" w:cs="Times New Roman"/>
          <w:sz w:val="24"/>
          <w:szCs w:val="20"/>
        </w:rPr>
        <w:t>息在线办案综合平台总体规划》</w:t>
      </w:r>
      <w:r>
        <w:rPr>
          <w:rFonts w:hint="eastAsia" w:ascii="Tahoma" w:hAnsi="Tahoma" w:eastAsia="宋体" w:cs="Times New Roman"/>
          <w:sz w:val="24"/>
          <w:szCs w:val="20"/>
          <w:lang w:eastAsia="zh-CN"/>
        </w:rPr>
        <w:t>、</w:t>
      </w:r>
      <w:r>
        <w:rPr>
          <w:rFonts w:hint="eastAsia" w:ascii="Tahoma" w:hAnsi="Tahoma" w:eastAsia="宋体" w:cs="Times New Roman"/>
          <w:sz w:val="24"/>
          <w:szCs w:val="20"/>
        </w:rPr>
        <w:t>《</w:t>
      </w:r>
      <w:r>
        <w:rPr>
          <w:rFonts w:hint="eastAsia" w:ascii="Tahoma" w:hAnsi="Tahoma" w:eastAsia="宋体" w:cs="Times New Roman"/>
          <w:sz w:val="24"/>
          <w:szCs w:val="20"/>
          <w:lang w:val="en-US" w:eastAsia="zh-CN"/>
        </w:rPr>
        <w:t>上海市检察机关检调对接工作指引（试行）</w:t>
      </w:r>
      <w:r>
        <w:rPr>
          <w:rFonts w:hint="eastAsia" w:ascii="Tahoma" w:hAnsi="Tahoma" w:eastAsia="宋体" w:cs="Times New Roman"/>
          <w:sz w:val="24"/>
          <w:szCs w:val="20"/>
        </w:rPr>
        <w:t>》</w:t>
      </w:r>
      <w:r>
        <w:rPr>
          <w:rFonts w:hint="eastAsia" w:ascii="Tahoma" w:hAnsi="Tahoma" w:eastAsia="宋体" w:cs="Times New Roman"/>
          <w:sz w:val="24"/>
          <w:szCs w:val="20"/>
          <w:lang w:eastAsia="zh-CN"/>
        </w:rPr>
        <w:t>、</w:t>
      </w:r>
      <w:r>
        <w:rPr>
          <w:rFonts w:hint="eastAsia" w:ascii="Tahoma" w:hAnsi="Tahoma" w:eastAsia="宋体" w:cs="Times New Roman"/>
          <w:sz w:val="24"/>
          <w:szCs w:val="20"/>
          <w:lang w:val="en-US" w:eastAsia="zh-CN"/>
        </w:rPr>
        <w:t>《最高人民检察院关于全面深化检察改革、进一步加强新时代检察工作的意见》</w:t>
      </w:r>
      <w:r>
        <w:rPr>
          <w:rFonts w:hint="eastAsia" w:ascii="Tahoma" w:hAnsi="Tahoma"/>
          <w:sz w:val="24"/>
          <w:szCs w:val="20"/>
        </w:rPr>
        <w:t>。</w:t>
      </w:r>
    </w:p>
    <w:p>
      <w:pPr>
        <w:pStyle w:val="4"/>
        <w:ind w:left="480"/>
        <w:rPr>
          <w:rFonts w:hint="eastAsia"/>
        </w:rPr>
      </w:pPr>
      <w:r>
        <w:rPr>
          <w:rFonts w:hint="eastAsia"/>
        </w:rPr>
        <w:t>建设内容</w:t>
      </w:r>
    </w:p>
    <w:p>
      <w:pPr>
        <w:pageBreakBefore w:val="0"/>
        <w:widowControl w:val="0"/>
        <w:kinsoku/>
        <w:wordWrap/>
        <w:overflowPunct/>
        <w:topLinePunct w:val="0"/>
        <w:autoSpaceDE/>
        <w:autoSpaceDN/>
        <w:bidi w:val="0"/>
        <w:snapToGrid/>
        <w:spacing w:line="560" w:lineRule="exact"/>
        <w:ind w:firstLine="480" w:firstLineChars="200"/>
        <w:textAlignment w:val="auto"/>
        <w:rPr>
          <w:rFonts w:hint="eastAsia"/>
          <w:b w:val="0"/>
          <w:bCs/>
        </w:rPr>
      </w:pPr>
      <w:r>
        <w:rPr>
          <w:rFonts w:hint="eastAsia"/>
          <w:b w:val="0"/>
          <w:bCs/>
        </w:rPr>
        <w:t>在全面总结上海检察机关三级院开展检调对接工作的基础上，梳理现有引导告知、自愿申请、审查移送、移送委托、调解开展、结果反馈、跟踪回访流程的基础上，深入开展实际需求调研，以便捷、高效、规范为原则对流程进行集约化再造，形成检调对接工作的新流程。通过将符合办案实际需求和业务规范的线上化流程嵌入2.0办案系统，与办案流程深度融合、衔接，进一步优化检察办案与社会化工作的全业务流程，实现规范化、集约化改造，为高质效办好每一个检调对接案件奠定基础。</w:t>
      </w:r>
    </w:p>
    <w:p>
      <w:pPr>
        <w:numPr>
          <w:ilvl w:val="0"/>
          <w:numId w:val="3"/>
        </w:numPr>
        <w:ind w:firstLine="482"/>
        <w:rPr>
          <w:rFonts w:hint="eastAsia"/>
          <w:b/>
        </w:rPr>
      </w:pPr>
      <w:r>
        <w:rPr>
          <w:rFonts w:hint="eastAsia"/>
          <w:b/>
        </w:rPr>
        <w:t>软件开发清单：</w:t>
      </w:r>
    </w:p>
    <w:tbl>
      <w:tblPr>
        <w:tblStyle w:val="11"/>
        <w:tblW w:w="77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2172"/>
        <w:gridCol w:w="4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功能名称</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调解案件库</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列出各检察官办理案件中符合检调对接范围、条件的案件，提醒办案检察官引导案件当事人申请调解，促进和解息诉。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引导调解管理</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对拟适用检调对接的案件，办案检察官应当在系统了自动生成《委托人民调解告知书》。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引导调解审核</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检察官部门对检察官提前调解的案件，生成的委托人民调解告知书进行审核，审核通过发送当事人。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调解申请提交</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案件当事人提交纸质调解申请，办案人员将调解申请信息录入到系统中，并将纸质的材料上传到系统。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申请调解审核</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办案检察官拟适用检调对接的案件，系统内生成《委托检调对接案件审批表》，并写明和解后拟处意见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承办部门审批</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检察官部门对调解进行审核，审核通过发送当事人。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案件材料管理</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对调解材料《委托检调对接案件审批表》、《人民调解申请书》及《委托书》、相关法律文书复印件等相关材料进行管理。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移送控告申诉部门</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控告申诉部门（检调对接办公室）接受调解案件相关材料。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形式审核</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对案件是否适用检调对接、手续是否完备进行形式审核。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调解登记</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符合条件、手续完备的，对案件进行登记、编号，建立台账；不符合条件或者手续不完备的，系统内退回承办部门或者要求补充材料。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案件移送调解委员会</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控告申诉部门（检调对接办公室）将《检调对接案件委托人民调解联系函》连同办案检察官移交的全部材料移送驻检人民调解员委托调解。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调解文书管理</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将调解申请的审核、登记、移送等办理进程生成成文书入卷，并告知所有调解当事人，将调解规则和程序告知调解当事人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受理回执接收</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司法调解部门将调解受理的情况，出具受理回执文件，通过检司数据交换发送给检察院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受理告知</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检察院收到相关信息，将受理回执告知调解相关方。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确定调解员</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建立人民调解员库自动轮案与手动指定相结合的案件分配程序，提高案件与人民调解员的专业匹配度和匹配效率。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确定调解方式</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确认调解采取线上、线下或者线上线下的混合模式，并将调解方式通过短信和随申办消息告知调解相关人员。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案件简繁转换</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按照繁案的办案时限进行办理。调解时限可以经商定作相应调整。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未成年调解人管理</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确定未成年案件调解的法定代理人，无法通知、法定代理人不能到场或者法定代理人是共犯的，通知合适成年人到场。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调解信息告知</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解相关信息告知管理。系统中提供短信通知模板（模板内容：时间、地点，调解案件以及调解地址或线上链接等）编辑后进行短信通知。并通过“一网通办”同步推送调解会议信息，调解员也可以通过“一网通办”系统查询自己需要参加的听证会会议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调解笔录制作</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解系统实现智能语音转写适配，各方在调解会上的发言，可以实时语音识别转写为文字内容，在主持人需要时可实时选择启动或关闭，以窗口模式显示在笔录某一区域，供书记员记录时选择复制。调解员、当事人以及其他参加人可通过专用设备阅看笔录并实现和主持人屏幕同步滚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调解笔录签字</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将笔录制作完毕后，在调解会召开个人界面中点击提交，系统即保存并向听证参与人开放确认签字功能，各调解参与人在自己的听证会召开个人界面的会议记录模块查看笔录，并实现实时在线电子签名捺印。若听证参与人对笔录提出疑问，检察官根据疑问调整笔录内容，针对笔录中已修改部分，通过相应标识如下划线、波浪线形成留痕后，由听证参与人对修改部分进行确认（每页会存在多个地方需进行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调解笔录签字入卷</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调解会结束后，笔录、评议表、录音录像等相关材料同步至2.0系统。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调解结果捺印管理</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各调解参与人在自己的调解会召开个人界面的调解结果模块查看笔录，并实现实时在线电子签名捺印。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协议履行管理</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和解协议分批次履行管理，履行方提供有效担保后，选派的人民调解员应当书面记录当事人履行和解协议的情况，并由人民调解员及当事人签名或者盖章。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通报公安机关</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对审查逮捕阶段未能达成和解协议或者和解协议未能实际履行完毕的案件，办案检察官应当及时将相关情况通报公安机关，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文件自动归档进入工作网</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调解结束后，调解音视频录像文件和已签名的笔录文件、以及相关的证据文件可以通过网闸摆渡进入工作网与调解业务应用进行数据关联。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刑事案件处理</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于刑事检察案件，符合变更强制措施条件的，可以依法变更强制措施；符合不捕、不诉条件的，可以依法不捕、不诉；需要提起公诉的，可以依法向人民法院提出从宽处罚的量刑建议；已经提起公诉的，可以依法调整量刑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结果备案表管理</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办案检察官应当填写《检调对接案件处理结果备案表》，并及时将相关法律文书副本移送检调对接办公室备案。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调解法律文书备案入卷</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调对接办公室负责对检调对接案件建立台账，统一备案。备案应当包含《委托检调对接案件审批表》、《委托人民调解告知书》及《人民调解申请书》、《和解协议》《和解协议履行情况记录》或者《终止调解程序意见书》、《检调对接案件调解结果反馈函》、《检调对接案件处理结果备案表》、案件结果的相关法律文书、材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保证金存入登记</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登记当事人将其自愿缴纳的赔偿金汇入公证部门指定的专门账户，记录银行凭证。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保证金提取申请</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检察官为当事人申请提取保证金，申请信息包括申请人，申请金额，申请事由等。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保证金提取审核</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检察官所在部门领导审核检察官为当事人提取保证金的申请。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司法救助对接</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对接司法矫正系统，推进矛盾纠纷实质性化解。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检察官联席会议对接</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对接检察官联席会议，推进矛盾纠纷实质性化解。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听证系统对接</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对接听证系统，推进矛盾纠纷实质性化解。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心理咨询对接</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对接心理咨询和评估模块，推进矛盾纠纷实质性化解。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智能标签</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从调解员专业背景、履职表现等方面对调解员做标签化处理。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调解员画像</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通过历次调解工作中，检察官对调解员的履职评价，生成调解员画像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调解员入库</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调解员库由各院控申部门工作人员自行维护，有新入库人员，系统自动与人民监督员库、听证员库进行比对，对于已存在于人民监督员库或听证库中的人员，系统要作出提醒。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调解员出库申请</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调解员可通过线下或线上“一网通办”平台提交出库申请，线下出库申请，由控申部门工作人员人工在调解员管理模块中人工填录。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调解员出库审核</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对取消调解员库成员资格或者决定出库的调解员，由控申部门工作人员填写出库原因后，标记出库，该调解员即进入出库调解员列表中，不再履行调解员职责。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取消资格出库警示</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系统根据每次调解会签到情况以及主持调解会检察官标记内容，对一次无故缺席的调解员标记为黄灯，二次无故缺席标记为红灯，以提醒控申部门工作人员及时对红灯调解员取消调解资格。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费用结算申请</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解会结束后，系统提醒承办检察官制作《调解员履职费用结算审批单》，其中调解员姓名、调解时间、案件名称、承办检察官、银行账号等信息由系统自动回填。承办检察官确认信息无误后，将《调解员履职费用结算审批单》发送案管部门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费用结算审核</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案管部门审核《调解员履职费用结算审批单》无误后，经系统发送检务保障部门审批。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费用结算</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检务保障部门在系统内审批后，进行调解员履职费用的结算和发放。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调解案件综合查询</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提供用户所属权限范围内的调解案件数据关联综合查询，查询到的数据提供导出功能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调解案件统计分析</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提供用户所属权限范围内的调解案件数据统计分析功能，以可视化图表形式，所有数据能下钻到多记录和详情。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在线调解申请</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案件当事人可在“一网通办”检察调解栏目，在线提交调解申请，同时可附上相关材料同时可查看调解申请的审批情况。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调解活动日程</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调解员可在“一网通办”检察调解栏目，查看本人的调解日常中的调解安排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调解结论同步</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调解员可查询及导出其参与案件的调解进展、结论、履行等情况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调解员参与调解消息提醒</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将工作网中承办检察官对案件调解的调解结论、履行和接续调解、回访保证金提存的情况同步至“一网通办”检察调解栏目，供调解员查看。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其他人参与调解消息提醒</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将工作网中承办检察官对案件调解的申请、审核、受理、结论、履行和接续调解、回访保证金提存的情况同步至“一网通办”检察调解栏目，按权限供其他人参与查看。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自动轮案规则设置</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全市各区调解员数量、专长有差异，每场调解员所需调解员专长不同，需要设置轮案规则，均衡各调解员参与调解会的场次，同时保障每场调解会都能选到合适的调解员。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调解协议方案模板</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针对常用案件类型制定不同的听证方案模板，供承办人参考、选用。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调解笔录模板</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针对常用案件类型制定不同的调解笔录模板，供承办人参考、选用。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承办人消息提醒</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本项目对接2.0消息平台和移动应用（如上海检信），同步检调对接系统各环节的提醒消息。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文书最低审批角色设置</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针对调解审批表、调解各环节法律文书文书，设置最低审批。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检察业务应用系统对接</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对接检察业务应用系统2.0中组织、用户、角色等，实现全市检察机关统一用户管理、统一权限管理。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调解员对接</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对接司法调解员系统，用于申请案件调解员，同步调解员履职记录表。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“一网通办”对接</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对接“一网通办”，实现工作网、互联网两网数据同步。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同步录音录像系统对接</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对接认罪认罚同录系统，实现听证同录功能。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存证数据</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当事人提交的调解申请、调解协议、筛查发现的线索、提交给法院的文书材料等关键信息等通过智能合约实时上链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存取证验证</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调解当事人和检察人员对文件进行查看的信息也上链进行固证，同时出具核验报告。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电子数据签名</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使用合法授权的数字证书及合法的秘钥进行数据签名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用户身份认证机制模块</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用户身份认证机制模块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业务重要数据安全传输模块</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业务重要数据安全传输模块</w:t>
            </w:r>
          </w:p>
        </w:tc>
      </w:tr>
    </w:tbl>
    <w:p>
      <w:pPr>
        <w:ind w:left="0" w:leftChars="0" w:firstLine="0" w:firstLineChars="0"/>
      </w:pPr>
    </w:p>
    <w:p>
      <w:pPr>
        <w:pStyle w:val="3"/>
      </w:pPr>
      <w:bookmarkStart w:id="23" w:name="_Toc63785502"/>
      <w:r>
        <w:rPr>
          <w:rFonts w:hint="eastAsia"/>
        </w:rPr>
        <w:t>电子政务云资源需求</w:t>
      </w:r>
      <w:bookmarkEnd w:id="23"/>
    </w:p>
    <w:p>
      <w:pPr>
        <w:rPr>
          <w:rFonts w:hint="eastAsia"/>
          <w:lang w:val="en-US" w:eastAsia="zh-CN"/>
        </w:rPr>
      </w:pPr>
      <w:r>
        <w:rPr>
          <w:rFonts w:hint="eastAsia"/>
        </w:rPr>
        <w:t>根据项目前期资源现状，本次建设根据估算拟向电子政务云申请</w:t>
      </w:r>
      <w:r>
        <w:rPr>
          <w:rFonts w:hint="eastAsia"/>
          <w:lang w:val="en-US" w:eastAsia="zh-CN"/>
        </w:rPr>
        <w:t>8</w:t>
      </w:r>
      <w:r>
        <w:rPr>
          <w:rFonts w:hint="eastAsia"/>
        </w:rPr>
        <w:t>台服务器资源</w:t>
      </w:r>
      <w:r>
        <w:rPr>
          <w:rFonts w:hint="eastAsia"/>
          <w:lang w:eastAsia="zh-CN"/>
        </w:rPr>
        <w:t>。</w:t>
      </w:r>
      <w:r>
        <w:rPr>
          <w:rFonts w:hint="eastAsia"/>
        </w:rPr>
        <w:t>CPU</w:t>
      </w:r>
      <w:r>
        <w:rPr>
          <w:rFonts w:hint="eastAsia"/>
          <w:lang w:val="en-US" w:eastAsia="zh-CN"/>
        </w:rPr>
        <w:t xml:space="preserve"> 256</w:t>
      </w:r>
      <w:r>
        <w:rPr>
          <w:rFonts w:hint="eastAsia"/>
        </w:rPr>
        <w:t>核 、内存</w:t>
      </w:r>
      <w:r>
        <w:rPr>
          <w:rFonts w:hint="eastAsia"/>
          <w:lang w:val="en-US" w:eastAsia="zh-CN"/>
        </w:rPr>
        <w:t xml:space="preserve">512 </w:t>
      </w:r>
      <w:r>
        <w:rPr>
          <w:rFonts w:hint="eastAsia"/>
        </w:rPr>
        <w:t>G、存储</w:t>
      </w:r>
      <w:r>
        <w:rPr>
          <w:rFonts w:hint="eastAsia"/>
          <w:lang w:val="en-US" w:eastAsia="zh-CN"/>
        </w:rPr>
        <w:t>22</w:t>
      </w:r>
      <w:r>
        <w:rPr>
          <w:rFonts w:hint="eastAsia"/>
        </w:rPr>
        <w:t>T，其中虚拟机</w:t>
      </w:r>
      <w:r>
        <w:rPr>
          <w:rFonts w:hint="eastAsia"/>
          <w:lang w:val="en-US" w:eastAsia="zh-CN"/>
        </w:rPr>
        <w:t>8</w:t>
      </w:r>
      <w:r>
        <w:rPr>
          <w:rFonts w:hint="eastAsia"/>
        </w:rPr>
        <w:t>台。</w:t>
      </w:r>
      <w:r>
        <w:rPr>
          <w:rFonts w:hint="eastAsia"/>
          <w:lang w:val="en-US" w:eastAsia="zh-CN"/>
        </w:rPr>
        <w:t>详情如下：</w:t>
      </w:r>
    </w:p>
    <w:tbl>
      <w:tblPr>
        <w:tblStyle w:val="11"/>
        <w:tblW w:w="9646" w:type="dxa"/>
        <w:jc w:val="center"/>
        <w:tblLayout w:type="fixed"/>
        <w:tblCellMar>
          <w:top w:w="0" w:type="dxa"/>
          <w:left w:w="108" w:type="dxa"/>
          <w:bottom w:w="0" w:type="dxa"/>
          <w:right w:w="108" w:type="dxa"/>
        </w:tblCellMar>
      </w:tblPr>
      <w:tblGrid>
        <w:gridCol w:w="713"/>
        <w:gridCol w:w="1320"/>
        <w:gridCol w:w="1676"/>
        <w:gridCol w:w="1559"/>
        <w:gridCol w:w="1059"/>
        <w:gridCol w:w="1051"/>
        <w:gridCol w:w="1134"/>
        <w:gridCol w:w="1134"/>
      </w:tblGrid>
      <w:tr>
        <w:tblPrEx>
          <w:tblCellMar>
            <w:top w:w="0" w:type="dxa"/>
            <w:left w:w="108" w:type="dxa"/>
            <w:bottom w:w="0" w:type="dxa"/>
            <w:right w:w="108" w:type="dxa"/>
          </w:tblCellMar>
        </w:tblPrEx>
        <w:trPr>
          <w:trHeight w:val="1004"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ind w:left="0" w:leftChars="0" w:firstLine="0" w:firstLineChars="0"/>
              <w:jc w:val="both"/>
              <w:rPr>
                <w:rFonts w:hint="eastAsia" w:ascii="宋体" w:hAnsi="宋体" w:cs="宋体"/>
                <w:b/>
                <w:bCs/>
                <w:color w:val="000000"/>
                <w:kern w:val="0"/>
                <w:sz w:val="24"/>
              </w:rPr>
            </w:pPr>
            <w:r>
              <w:rPr>
                <w:rFonts w:hint="eastAsia" w:ascii="宋体" w:hAnsi="宋体" w:cs="宋体"/>
                <w:b/>
                <w:bCs/>
                <w:color w:val="000000"/>
                <w:kern w:val="0"/>
                <w:sz w:val="24"/>
              </w:rPr>
              <w:t>序号</w:t>
            </w:r>
          </w:p>
        </w:tc>
        <w:tc>
          <w:tcPr>
            <w:tcW w:w="1320"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ind w:left="0" w:leftChars="0" w:firstLine="0" w:firstLineChars="0"/>
              <w:jc w:val="both"/>
              <w:rPr>
                <w:rFonts w:hint="eastAsia" w:ascii="宋体" w:hAnsi="宋体" w:cs="宋体"/>
                <w:b/>
                <w:bCs/>
                <w:color w:val="000000"/>
                <w:kern w:val="0"/>
                <w:sz w:val="24"/>
              </w:rPr>
            </w:pPr>
            <w:r>
              <w:rPr>
                <w:rFonts w:hint="eastAsia" w:ascii="宋体" w:hAnsi="宋体" w:cs="宋体"/>
                <w:b/>
                <w:bCs/>
                <w:color w:val="000000"/>
                <w:kern w:val="0"/>
                <w:sz w:val="24"/>
              </w:rPr>
              <w:t>资源类型</w:t>
            </w:r>
          </w:p>
        </w:tc>
        <w:tc>
          <w:tcPr>
            <w:tcW w:w="1676"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ind w:left="0" w:leftChars="0" w:firstLine="0" w:firstLineChars="0"/>
              <w:jc w:val="both"/>
              <w:rPr>
                <w:rFonts w:hint="eastAsia" w:ascii="宋体" w:hAnsi="宋体" w:cs="宋体"/>
                <w:b/>
                <w:bCs/>
                <w:color w:val="000000"/>
                <w:kern w:val="0"/>
                <w:sz w:val="24"/>
              </w:rPr>
            </w:pPr>
            <w:r>
              <w:rPr>
                <w:rFonts w:hint="eastAsia" w:ascii="宋体" w:hAnsi="宋体" w:cs="宋体"/>
                <w:b/>
                <w:bCs/>
                <w:color w:val="000000"/>
                <w:kern w:val="0"/>
                <w:sz w:val="24"/>
              </w:rPr>
              <w:t>资源名称</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ind w:left="0" w:leftChars="0" w:firstLine="0" w:firstLineChars="0"/>
              <w:jc w:val="both"/>
              <w:rPr>
                <w:rFonts w:hint="eastAsia" w:ascii="宋体" w:hAnsi="宋体" w:cs="宋体"/>
                <w:b/>
                <w:bCs/>
                <w:color w:val="000000"/>
                <w:kern w:val="0"/>
                <w:sz w:val="24"/>
              </w:rPr>
            </w:pPr>
            <w:r>
              <w:rPr>
                <w:rFonts w:hint="eastAsia" w:ascii="宋体" w:hAnsi="宋体" w:cs="宋体"/>
                <w:b/>
                <w:bCs/>
                <w:color w:val="000000"/>
                <w:kern w:val="0"/>
                <w:sz w:val="24"/>
              </w:rPr>
              <w:t>资源说明</w:t>
            </w:r>
          </w:p>
        </w:tc>
        <w:tc>
          <w:tcPr>
            <w:tcW w:w="105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60" w:lineRule="auto"/>
              <w:ind w:left="0" w:leftChars="0" w:firstLine="0" w:firstLineChars="0"/>
              <w:jc w:val="center"/>
              <w:rPr>
                <w:rFonts w:hint="eastAsia" w:ascii="宋体" w:hAnsi="宋体" w:cs="宋体"/>
                <w:b/>
                <w:bCs/>
                <w:color w:val="000000"/>
                <w:kern w:val="0"/>
                <w:sz w:val="24"/>
              </w:rPr>
            </w:pPr>
            <w:r>
              <w:rPr>
                <w:rFonts w:hint="eastAsia" w:ascii="宋体" w:hAnsi="宋体" w:cs="宋体"/>
                <w:b/>
                <w:bCs/>
                <w:color w:val="000000"/>
                <w:kern w:val="0"/>
                <w:sz w:val="24"/>
              </w:rPr>
              <w:t>CP</w:t>
            </w:r>
            <w:r>
              <w:rPr>
                <w:rFonts w:hint="eastAsia" w:ascii="宋体" w:hAnsi="宋体" w:cs="宋体"/>
                <w:b/>
                <w:bCs/>
                <w:color w:val="000000"/>
                <w:kern w:val="0"/>
                <w:sz w:val="24"/>
                <w:lang w:val="en-US" w:eastAsia="zh-CN"/>
              </w:rPr>
              <w:t>U</w:t>
            </w:r>
            <w:r>
              <w:rPr>
                <w:rFonts w:hint="eastAsia" w:ascii="宋体" w:hAnsi="宋体" w:cs="宋体"/>
                <w:b/>
                <w:bCs/>
                <w:color w:val="000000"/>
                <w:kern w:val="0"/>
                <w:sz w:val="24"/>
              </w:rPr>
              <w:t>（核）</w:t>
            </w:r>
          </w:p>
        </w:tc>
        <w:tc>
          <w:tcPr>
            <w:tcW w:w="1051"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ind w:left="0" w:leftChars="0" w:firstLine="0" w:firstLineChars="0"/>
              <w:jc w:val="center"/>
              <w:rPr>
                <w:rFonts w:hint="eastAsia" w:ascii="宋体" w:hAnsi="宋体" w:cs="宋体"/>
                <w:b/>
                <w:bCs/>
                <w:color w:val="000000"/>
                <w:kern w:val="0"/>
                <w:sz w:val="24"/>
              </w:rPr>
            </w:pPr>
            <w:r>
              <w:rPr>
                <w:rFonts w:hint="eastAsia" w:ascii="宋体" w:hAnsi="宋体" w:cs="宋体"/>
                <w:b/>
                <w:bCs/>
                <w:color w:val="000000"/>
                <w:kern w:val="0"/>
                <w:sz w:val="24"/>
              </w:rPr>
              <w:t>内</w:t>
            </w:r>
            <w:r>
              <w:rPr>
                <w:rFonts w:hint="eastAsia" w:ascii="宋体" w:hAnsi="宋体" w:cs="宋体"/>
                <w:b/>
                <w:bCs/>
                <w:color w:val="000000"/>
                <w:kern w:val="0"/>
                <w:sz w:val="24"/>
                <w:lang w:val="en-US" w:eastAsia="zh-CN"/>
              </w:rPr>
              <w:t>存</w:t>
            </w:r>
            <w:r>
              <w:rPr>
                <w:rFonts w:hint="eastAsia" w:ascii="宋体" w:hAnsi="宋体" w:cs="宋体"/>
                <w:b/>
                <w:bCs/>
                <w:color w:val="000000"/>
                <w:kern w:val="0"/>
                <w:sz w:val="24"/>
              </w:rPr>
              <w:t>(GB)</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ind w:left="0" w:leftChars="0" w:firstLine="0" w:firstLineChars="0"/>
              <w:jc w:val="center"/>
              <w:rPr>
                <w:rFonts w:hint="eastAsia" w:ascii="宋体" w:hAnsi="宋体" w:cs="宋体"/>
                <w:b/>
                <w:bCs/>
                <w:color w:val="000000"/>
                <w:kern w:val="0"/>
                <w:sz w:val="24"/>
              </w:rPr>
            </w:pPr>
            <w:r>
              <w:rPr>
                <w:rFonts w:hint="eastAsia" w:ascii="宋体" w:hAnsi="宋体" w:cs="宋体"/>
                <w:b/>
                <w:bCs/>
                <w:color w:val="000000"/>
                <w:kern w:val="0"/>
                <w:sz w:val="24"/>
              </w:rPr>
              <w:t>存储(GB)</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ind w:left="0" w:leftChars="0" w:firstLine="0" w:firstLineChars="0"/>
              <w:jc w:val="center"/>
              <w:rPr>
                <w:rFonts w:hint="eastAsia" w:ascii="宋体" w:hAnsi="宋体" w:cs="宋体"/>
                <w:b/>
                <w:bCs/>
                <w:color w:val="000000"/>
                <w:kern w:val="0"/>
                <w:sz w:val="24"/>
              </w:rPr>
            </w:pPr>
            <w:r>
              <w:rPr>
                <w:rFonts w:hint="eastAsia" w:ascii="宋体" w:hAnsi="宋体" w:cs="宋体"/>
                <w:b/>
                <w:bCs/>
                <w:color w:val="000000"/>
                <w:kern w:val="0"/>
                <w:sz w:val="24"/>
              </w:rPr>
              <w:t>数量(台)</w:t>
            </w:r>
          </w:p>
        </w:tc>
      </w:tr>
      <w:tr>
        <w:tblPrEx>
          <w:tblCellMar>
            <w:top w:w="0" w:type="dxa"/>
            <w:left w:w="108" w:type="dxa"/>
            <w:bottom w:w="0" w:type="dxa"/>
            <w:right w:w="108" w:type="dxa"/>
          </w:tblCellMar>
        </w:tblPrEx>
        <w:trPr>
          <w:trHeight w:val="540" w:hRule="atLeast"/>
          <w:jc w:val="center"/>
        </w:trPr>
        <w:tc>
          <w:tcPr>
            <w:tcW w:w="713" w:type="dxa"/>
            <w:tcBorders>
              <w:top w:val="nil"/>
              <w:left w:val="single" w:color="000000" w:sz="4" w:space="0"/>
              <w:bottom w:val="single" w:color="000000" w:sz="4" w:space="0"/>
              <w:right w:val="single" w:color="000000" w:sz="4" w:space="0"/>
            </w:tcBorders>
            <w:shd w:val="clear" w:color="auto" w:fill="auto"/>
            <w:noWrap w:val="0"/>
            <w:vAlign w:val="center"/>
          </w:tcPr>
          <w:p>
            <w:pPr>
              <w:widowControl/>
              <w:spacing w:line="360" w:lineRule="auto"/>
              <w:ind w:left="0" w:leftChars="0" w:firstLine="0" w:firstLineChars="0"/>
              <w:jc w:val="both"/>
              <w:rPr>
                <w:rFonts w:hint="eastAsia" w:ascii="宋体" w:hAnsi="宋体" w:cs="宋体"/>
                <w:b w:val="0"/>
                <w:bCs w:val="0"/>
                <w:color w:val="000000"/>
                <w:kern w:val="0"/>
                <w:sz w:val="24"/>
              </w:rPr>
            </w:pPr>
            <w:r>
              <w:rPr>
                <w:rFonts w:hint="eastAsia" w:ascii="宋体" w:hAnsi="宋体" w:cs="宋体"/>
                <w:b w:val="0"/>
                <w:bCs w:val="0"/>
                <w:color w:val="000000"/>
                <w:kern w:val="0"/>
                <w:sz w:val="24"/>
              </w:rPr>
              <w:t>1</w:t>
            </w:r>
          </w:p>
        </w:tc>
        <w:tc>
          <w:tcPr>
            <w:tcW w:w="1320" w:type="dxa"/>
            <w:tcBorders>
              <w:top w:val="nil"/>
              <w:left w:val="nil"/>
              <w:bottom w:val="single" w:color="000000" w:sz="4" w:space="0"/>
              <w:right w:val="single" w:color="000000" w:sz="4" w:space="0"/>
            </w:tcBorders>
            <w:shd w:val="clear" w:color="auto" w:fill="auto"/>
            <w:noWrap w:val="0"/>
            <w:vAlign w:val="center"/>
          </w:tcPr>
          <w:p>
            <w:pPr>
              <w:widowControl/>
              <w:spacing w:line="360" w:lineRule="auto"/>
              <w:ind w:left="0" w:leftChars="0" w:firstLine="0" w:firstLineChars="0"/>
              <w:jc w:val="both"/>
              <w:rPr>
                <w:rFonts w:hint="eastAsia" w:ascii="宋体" w:hAnsi="宋体" w:cs="宋体"/>
                <w:b w:val="0"/>
                <w:bCs w:val="0"/>
                <w:color w:val="000000"/>
                <w:kern w:val="0"/>
                <w:sz w:val="24"/>
              </w:rPr>
            </w:pPr>
            <w:r>
              <w:rPr>
                <w:rFonts w:hint="eastAsia" w:ascii="宋体" w:hAnsi="宋体" w:cs="宋体"/>
                <w:b w:val="0"/>
                <w:bCs w:val="0"/>
                <w:color w:val="000000"/>
                <w:kern w:val="0"/>
                <w:sz w:val="24"/>
              </w:rPr>
              <w:t>虚拟机</w:t>
            </w:r>
          </w:p>
        </w:tc>
        <w:tc>
          <w:tcPr>
            <w:tcW w:w="1676" w:type="dxa"/>
            <w:tcBorders>
              <w:top w:val="nil"/>
              <w:left w:val="nil"/>
              <w:bottom w:val="single" w:color="000000" w:sz="4" w:space="0"/>
              <w:right w:val="single" w:color="000000" w:sz="4" w:space="0"/>
            </w:tcBorders>
            <w:shd w:val="clear" w:color="auto" w:fill="auto"/>
            <w:noWrap w:val="0"/>
            <w:vAlign w:val="center"/>
          </w:tcPr>
          <w:p>
            <w:pPr>
              <w:widowControl/>
              <w:spacing w:line="360" w:lineRule="auto"/>
              <w:ind w:left="0" w:leftChars="0" w:firstLine="0" w:firstLineChars="0"/>
              <w:jc w:val="both"/>
              <w:rPr>
                <w:rFonts w:hint="eastAsia" w:ascii="宋体" w:hAnsi="宋体" w:cs="宋体"/>
                <w:b w:val="0"/>
                <w:bCs w:val="0"/>
                <w:color w:val="000000"/>
                <w:kern w:val="0"/>
                <w:sz w:val="24"/>
              </w:rPr>
            </w:pPr>
            <w:r>
              <w:rPr>
                <w:rFonts w:hint="eastAsia"/>
              </w:rPr>
              <w:t>应用服务器</w:t>
            </w:r>
          </w:p>
        </w:tc>
        <w:tc>
          <w:tcPr>
            <w:tcW w:w="1559"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360" w:lineRule="auto"/>
              <w:ind w:left="0" w:leftChars="0" w:firstLine="0" w:firstLineChars="0"/>
              <w:jc w:val="both"/>
              <w:rPr>
                <w:rFonts w:hint="eastAsia" w:ascii="宋体" w:hAnsi="宋体" w:cs="宋体"/>
                <w:b w:val="0"/>
                <w:bCs w:val="0"/>
                <w:color w:val="000000"/>
                <w:kern w:val="0"/>
                <w:sz w:val="24"/>
              </w:rPr>
            </w:pPr>
            <w:r>
              <w:rPr>
                <w:rFonts w:hint="eastAsia"/>
              </w:rPr>
              <w:t>工作网应用服务器</w:t>
            </w:r>
          </w:p>
        </w:tc>
        <w:tc>
          <w:tcPr>
            <w:tcW w:w="1059" w:type="dxa"/>
            <w:tcBorders>
              <w:top w:val="nil"/>
              <w:left w:val="nil"/>
              <w:bottom w:val="single" w:color="000000" w:sz="4" w:space="0"/>
              <w:right w:val="single" w:color="000000" w:sz="4" w:space="0"/>
            </w:tcBorders>
            <w:shd w:val="clear" w:color="auto" w:fill="auto"/>
            <w:noWrap w:val="0"/>
            <w:vAlign w:val="center"/>
          </w:tcPr>
          <w:p>
            <w:pPr>
              <w:widowControl/>
              <w:spacing w:line="360" w:lineRule="auto"/>
              <w:ind w:left="0" w:leftChars="0" w:firstLine="0" w:firstLineChars="0"/>
              <w:jc w:val="center"/>
              <w:rPr>
                <w:rFonts w:hint="eastAsia" w:ascii="宋体" w:hAnsi="宋体" w:cs="宋体"/>
                <w:b w:val="0"/>
                <w:bCs w:val="0"/>
                <w:color w:val="000000"/>
                <w:kern w:val="0"/>
                <w:sz w:val="24"/>
              </w:rPr>
            </w:pPr>
            <w:r>
              <w:rPr>
                <w:rFonts w:hint="eastAsia" w:ascii="宋体" w:hAnsi="宋体" w:cs="宋体"/>
                <w:b w:val="0"/>
                <w:bCs w:val="0"/>
                <w:color w:val="000000"/>
                <w:kern w:val="0"/>
                <w:sz w:val="24"/>
              </w:rPr>
              <w:t>32</w:t>
            </w:r>
          </w:p>
        </w:tc>
        <w:tc>
          <w:tcPr>
            <w:tcW w:w="1051" w:type="dxa"/>
            <w:tcBorders>
              <w:top w:val="nil"/>
              <w:left w:val="nil"/>
              <w:bottom w:val="single" w:color="000000" w:sz="4" w:space="0"/>
              <w:right w:val="single" w:color="000000" w:sz="4" w:space="0"/>
            </w:tcBorders>
            <w:shd w:val="clear" w:color="auto" w:fill="auto"/>
            <w:noWrap w:val="0"/>
            <w:vAlign w:val="center"/>
          </w:tcPr>
          <w:p>
            <w:pPr>
              <w:widowControl/>
              <w:spacing w:line="360" w:lineRule="auto"/>
              <w:ind w:left="0" w:leftChars="0" w:firstLine="0" w:firstLineChars="0"/>
              <w:jc w:val="center"/>
              <w:rPr>
                <w:rFonts w:hint="eastAsia" w:ascii="宋体" w:hAnsi="宋体" w:cs="宋体"/>
                <w:b w:val="0"/>
                <w:bCs w:val="0"/>
                <w:color w:val="000000"/>
                <w:kern w:val="0"/>
                <w:sz w:val="24"/>
              </w:rPr>
            </w:pPr>
            <w:r>
              <w:rPr>
                <w:rFonts w:hint="eastAsia" w:ascii="宋体" w:hAnsi="宋体" w:cs="宋体"/>
                <w:b w:val="0"/>
                <w:bCs w:val="0"/>
                <w:color w:val="000000"/>
                <w:kern w:val="0"/>
                <w:sz w:val="24"/>
              </w:rPr>
              <w:t>64</w:t>
            </w:r>
          </w:p>
        </w:tc>
        <w:tc>
          <w:tcPr>
            <w:tcW w:w="1134" w:type="dxa"/>
            <w:tcBorders>
              <w:top w:val="nil"/>
              <w:left w:val="nil"/>
              <w:bottom w:val="single" w:color="000000" w:sz="4" w:space="0"/>
              <w:right w:val="single" w:color="000000" w:sz="4" w:space="0"/>
            </w:tcBorders>
            <w:shd w:val="clear" w:color="auto" w:fill="auto"/>
            <w:noWrap w:val="0"/>
            <w:vAlign w:val="center"/>
          </w:tcPr>
          <w:p>
            <w:pPr>
              <w:widowControl/>
              <w:spacing w:line="360" w:lineRule="auto"/>
              <w:ind w:left="0" w:leftChars="0" w:firstLine="0" w:firstLineChars="0"/>
              <w:jc w:val="center"/>
              <w:rPr>
                <w:rFonts w:hint="eastAsia" w:ascii="宋体" w:hAnsi="宋体" w:cs="宋体"/>
                <w:b w:val="0"/>
                <w:bCs w:val="0"/>
                <w:color w:val="000000"/>
                <w:kern w:val="0"/>
                <w:sz w:val="24"/>
              </w:rPr>
            </w:pPr>
            <w:r>
              <w:rPr>
                <w:rFonts w:hint="eastAsia" w:ascii="宋体" w:hAnsi="宋体" w:cs="宋体"/>
                <w:b w:val="0"/>
                <w:bCs w:val="0"/>
                <w:color w:val="000000"/>
                <w:kern w:val="0"/>
                <w:sz w:val="24"/>
              </w:rPr>
              <w:t>500</w:t>
            </w:r>
          </w:p>
        </w:tc>
        <w:tc>
          <w:tcPr>
            <w:tcW w:w="1134" w:type="dxa"/>
            <w:tcBorders>
              <w:top w:val="nil"/>
              <w:left w:val="nil"/>
              <w:bottom w:val="single" w:color="000000" w:sz="4" w:space="0"/>
              <w:right w:val="single" w:color="000000" w:sz="4" w:space="0"/>
            </w:tcBorders>
            <w:shd w:val="clear" w:color="auto" w:fill="auto"/>
            <w:noWrap w:val="0"/>
            <w:vAlign w:val="center"/>
          </w:tcPr>
          <w:p>
            <w:pPr>
              <w:widowControl/>
              <w:spacing w:line="360" w:lineRule="auto"/>
              <w:ind w:left="0" w:leftChars="0" w:firstLine="0" w:firstLineChars="0"/>
              <w:jc w:val="center"/>
              <w:rPr>
                <w:rFonts w:hint="eastAsia" w:ascii="宋体" w:hAnsi="宋体" w:cs="宋体"/>
                <w:b w:val="0"/>
                <w:bCs w:val="0"/>
                <w:color w:val="000000"/>
                <w:kern w:val="0"/>
                <w:sz w:val="24"/>
              </w:rPr>
            </w:pPr>
            <w:r>
              <w:rPr>
                <w:rFonts w:hint="eastAsia" w:ascii="宋体" w:hAnsi="宋体" w:cs="宋体"/>
                <w:b w:val="0"/>
                <w:bCs w:val="0"/>
                <w:color w:val="000000"/>
                <w:kern w:val="0"/>
                <w:sz w:val="24"/>
              </w:rPr>
              <w:t>2</w:t>
            </w:r>
          </w:p>
        </w:tc>
      </w:tr>
      <w:tr>
        <w:tblPrEx>
          <w:tblCellMar>
            <w:top w:w="0" w:type="dxa"/>
            <w:left w:w="108" w:type="dxa"/>
            <w:bottom w:w="0" w:type="dxa"/>
            <w:right w:w="108" w:type="dxa"/>
          </w:tblCellMar>
        </w:tblPrEx>
        <w:trPr>
          <w:trHeight w:val="810" w:hRule="atLeast"/>
          <w:jc w:val="center"/>
        </w:trPr>
        <w:tc>
          <w:tcPr>
            <w:tcW w:w="713" w:type="dxa"/>
            <w:tcBorders>
              <w:top w:val="nil"/>
              <w:left w:val="single" w:color="000000" w:sz="4" w:space="0"/>
              <w:bottom w:val="single" w:color="000000" w:sz="4" w:space="0"/>
              <w:right w:val="single" w:color="000000" w:sz="4" w:space="0"/>
            </w:tcBorders>
            <w:shd w:val="clear" w:color="auto" w:fill="auto"/>
            <w:noWrap w:val="0"/>
            <w:vAlign w:val="center"/>
          </w:tcPr>
          <w:p>
            <w:pPr>
              <w:widowControl/>
              <w:spacing w:line="360" w:lineRule="auto"/>
              <w:ind w:left="0" w:leftChars="0" w:firstLine="0" w:firstLineChars="0"/>
              <w:jc w:val="both"/>
              <w:rPr>
                <w:rFonts w:hint="eastAsia" w:ascii="宋体" w:hAnsi="宋体" w:cs="宋体"/>
                <w:b w:val="0"/>
                <w:bCs w:val="0"/>
                <w:color w:val="000000"/>
                <w:kern w:val="0"/>
                <w:sz w:val="24"/>
              </w:rPr>
            </w:pPr>
            <w:r>
              <w:rPr>
                <w:rFonts w:hint="eastAsia" w:ascii="宋体" w:hAnsi="宋体" w:cs="宋体"/>
                <w:b w:val="0"/>
                <w:bCs w:val="0"/>
                <w:color w:val="000000"/>
                <w:kern w:val="0"/>
                <w:sz w:val="24"/>
              </w:rPr>
              <w:t>2</w:t>
            </w:r>
          </w:p>
        </w:tc>
        <w:tc>
          <w:tcPr>
            <w:tcW w:w="1320" w:type="dxa"/>
            <w:tcBorders>
              <w:top w:val="nil"/>
              <w:left w:val="nil"/>
              <w:bottom w:val="single" w:color="000000" w:sz="4" w:space="0"/>
              <w:right w:val="single" w:color="000000" w:sz="4" w:space="0"/>
            </w:tcBorders>
            <w:shd w:val="clear" w:color="auto" w:fill="auto"/>
            <w:noWrap w:val="0"/>
            <w:vAlign w:val="center"/>
          </w:tcPr>
          <w:p>
            <w:pPr>
              <w:widowControl/>
              <w:spacing w:line="360" w:lineRule="auto"/>
              <w:ind w:left="0" w:leftChars="0" w:firstLine="0" w:firstLineChars="0"/>
              <w:jc w:val="both"/>
              <w:rPr>
                <w:rFonts w:hint="eastAsia" w:ascii="宋体" w:hAnsi="宋体" w:cs="宋体"/>
                <w:b w:val="0"/>
                <w:bCs w:val="0"/>
                <w:color w:val="000000"/>
                <w:kern w:val="0"/>
                <w:sz w:val="24"/>
              </w:rPr>
            </w:pPr>
            <w:r>
              <w:rPr>
                <w:rFonts w:hint="eastAsia" w:ascii="宋体" w:hAnsi="宋体" w:cs="宋体"/>
                <w:b w:val="0"/>
                <w:bCs w:val="0"/>
                <w:color w:val="000000"/>
                <w:kern w:val="0"/>
                <w:sz w:val="24"/>
              </w:rPr>
              <w:t>虚拟机</w:t>
            </w:r>
          </w:p>
        </w:tc>
        <w:tc>
          <w:tcPr>
            <w:tcW w:w="1676" w:type="dxa"/>
            <w:tcBorders>
              <w:top w:val="nil"/>
              <w:left w:val="nil"/>
              <w:bottom w:val="single" w:color="000000" w:sz="4" w:space="0"/>
              <w:right w:val="single" w:color="000000" w:sz="4" w:space="0"/>
            </w:tcBorders>
            <w:shd w:val="clear" w:color="auto" w:fill="auto"/>
            <w:noWrap w:val="0"/>
            <w:vAlign w:val="center"/>
          </w:tcPr>
          <w:p>
            <w:pPr>
              <w:widowControl/>
              <w:spacing w:line="360" w:lineRule="auto"/>
              <w:ind w:left="0" w:leftChars="0" w:firstLine="0" w:firstLineChars="0"/>
              <w:jc w:val="both"/>
              <w:rPr>
                <w:rFonts w:hint="eastAsia" w:ascii="宋体" w:hAnsi="宋体" w:cs="宋体"/>
                <w:b w:val="0"/>
                <w:bCs w:val="0"/>
                <w:color w:val="000000"/>
                <w:kern w:val="0"/>
                <w:sz w:val="24"/>
              </w:rPr>
            </w:pPr>
            <w:r>
              <w:rPr>
                <w:rFonts w:hint="eastAsia"/>
              </w:rPr>
              <w:t>数据库服务器</w:t>
            </w:r>
          </w:p>
        </w:tc>
        <w:tc>
          <w:tcPr>
            <w:tcW w:w="1559"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360" w:lineRule="auto"/>
              <w:ind w:left="0" w:leftChars="0" w:firstLine="0" w:firstLineChars="0"/>
              <w:jc w:val="both"/>
              <w:rPr>
                <w:rFonts w:hint="eastAsia" w:ascii="宋体" w:hAnsi="宋体" w:cs="宋体"/>
                <w:b w:val="0"/>
                <w:bCs w:val="0"/>
                <w:color w:val="000000"/>
                <w:kern w:val="0"/>
                <w:sz w:val="24"/>
              </w:rPr>
            </w:pPr>
            <w:r>
              <w:rPr>
                <w:rFonts w:hint="eastAsia"/>
              </w:rPr>
              <w:t>工作网数据库服务器</w:t>
            </w:r>
          </w:p>
        </w:tc>
        <w:tc>
          <w:tcPr>
            <w:tcW w:w="1059" w:type="dxa"/>
            <w:tcBorders>
              <w:top w:val="nil"/>
              <w:left w:val="nil"/>
              <w:bottom w:val="single" w:color="000000" w:sz="4" w:space="0"/>
              <w:right w:val="single" w:color="000000" w:sz="4" w:space="0"/>
            </w:tcBorders>
            <w:shd w:val="clear" w:color="auto" w:fill="auto"/>
            <w:noWrap w:val="0"/>
            <w:vAlign w:val="center"/>
          </w:tcPr>
          <w:p>
            <w:pPr>
              <w:widowControl/>
              <w:spacing w:line="360" w:lineRule="auto"/>
              <w:ind w:left="0" w:leftChars="0" w:firstLine="0" w:firstLineChars="0"/>
              <w:jc w:val="center"/>
              <w:rPr>
                <w:rFonts w:hint="eastAsia" w:ascii="宋体" w:hAnsi="宋体" w:cs="宋体"/>
                <w:b w:val="0"/>
                <w:bCs w:val="0"/>
                <w:color w:val="000000"/>
                <w:kern w:val="0"/>
                <w:sz w:val="24"/>
              </w:rPr>
            </w:pPr>
            <w:r>
              <w:rPr>
                <w:rFonts w:hint="eastAsia" w:ascii="宋体" w:hAnsi="宋体" w:cs="宋体"/>
                <w:b w:val="0"/>
                <w:bCs w:val="0"/>
                <w:color w:val="000000"/>
                <w:kern w:val="0"/>
                <w:sz w:val="24"/>
              </w:rPr>
              <w:t>32</w:t>
            </w:r>
          </w:p>
        </w:tc>
        <w:tc>
          <w:tcPr>
            <w:tcW w:w="1051" w:type="dxa"/>
            <w:tcBorders>
              <w:top w:val="nil"/>
              <w:left w:val="nil"/>
              <w:bottom w:val="single" w:color="000000" w:sz="4" w:space="0"/>
              <w:right w:val="single" w:color="000000" w:sz="4" w:space="0"/>
            </w:tcBorders>
            <w:shd w:val="clear" w:color="auto" w:fill="auto"/>
            <w:noWrap w:val="0"/>
            <w:vAlign w:val="center"/>
          </w:tcPr>
          <w:p>
            <w:pPr>
              <w:widowControl/>
              <w:spacing w:line="360" w:lineRule="auto"/>
              <w:ind w:left="0" w:leftChars="0" w:firstLine="0" w:firstLineChars="0"/>
              <w:jc w:val="center"/>
              <w:rPr>
                <w:rFonts w:hint="eastAsia" w:ascii="宋体" w:hAnsi="宋体" w:cs="宋体"/>
                <w:b w:val="0"/>
                <w:bCs w:val="0"/>
                <w:color w:val="000000"/>
                <w:kern w:val="0"/>
                <w:sz w:val="24"/>
              </w:rPr>
            </w:pPr>
            <w:r>
              <w:rPr>
                <w:rFonts w:hint="eastAsia" w:ascii="宋体" w:hAnsi="宋体" w:cs="宋体"/>
                <w:b w:val="0"/>
                <w:bCs w:val="0"/>
                <w:color w:val="000000"/>
                <w:kern w:val="0"/>
                <w:sz w:val="24"/>
              </w:rPr>
              <w:t>64</w:t>
            </w:r>
          </w:p>
        </w:tc>
        <w:tc>
          <w:tcPr>
            <w:tcW w:w="1134" w:type="dxa"/>
            <w:tcBorders>
              <w:top w:val="nil"/>
              <w:left w:val="nil"/>
              <w:bottom w:val="single" w:color="000000" w:sz="4" w:space="0"/>
              <w:right w:val="single" w:color="000000" w:sz="4" w:space="0"/>
            </w:tcBorders>
            <w:shd w:val="clear" w:color="auto" w:fill="auto"/>
            <w:noWrap w:val="0"/>
            <w:vAlign w:val="center"/>
          </w:tcPr>
          <w:p>
            <w:pPr>
              <w:widowControl/>
              <w:spacing w:line="360" w:lineRule="auto"/>
              <w:ind w:left="0" w:leftChars="0" w:firstLine="0" w:firstLineChars="0"/>
              <w:jc w:val="center"/>
              <w:rPr>
                <w:rFonts w:hint="eastAsia" w:ascii="宋体" w:hAnsi="宋体" w:cs="宋体"/>
                <w:b w:val="0"/>
                <w:bCs w:val="0"/>
                <w:color w:val="000000"/>
                <w:kern w:val="0"/>
                <w:sz w:val="24"/>
              </w:rPr>
            </w:pPr>
            <w:r>
              <w:rPr>
                <w:rFonts w:hint="eastAsia" w:ascii="宋体" w:hAnsi="宋体" w:cs="宋体"/>
                <w:b w:val="0"/>
                <w:bCs w:val="0"/>
                <w:color w:val="000000"/>
                <w:kern w:val="0"/>
                <w:sz w:val="24"/>
              </w:rPr>
              <w:t>50</w:t>
            </w:r>
            <w:r>
              <w:rPr>
                <w:rFonts w:hint="eastAsia" w:cs="宋体"/>
                <w:b w:val="0"/>
                <w:bCs w:val="0"/>
                <w:color w:val="000000"/>
                <w:kern w:val="0"/>
                <w:sz w:val="24"/>
                <w:lang w:val="en-US" w:eastAsia="zh-CN"/>
              </w:rPr>
              <w:t>0</w:t>
            </w:r>
            <w:r>
              <w:rPr>
                <w:rFonts w:hint="eastAsia" w:ascii="宋体" w:hAnsi="宋体" w:cs="宋体"/>
                <w:b w:val="0"/>
                <w:bCs w:val="0"/>
                <w:color w:val="000000"/>
                <w:kern w:val="0"/>
                <w:sz w:val="24"/>
              </w:rPr>
              <w:t>0</w:t>
            </w:r>
          </w:p>
        </w:tc>
        <w:tc>
          <w:tcPr>
            <w:tcW w:w="1134" w:type="dxa"/>
            <w:tcBorders>
              <w:top w:val="nil"/>
              <w:left w:val="nil"/>
              <w:bottom w:val="single" w:color="000000" w:sz="4" w:space="0"/>
              <w:right w:val="single" w:color="000000" w:sz="4" w:space="0"/>
            </w:tcBorders>
            <w:shd w:val="clear" w:color="auto" w:fill="auto"/>
            <w:noWrap w:val="0"/>
            <w:vAlign w:val="center"/>
          </w:tcPr>
          <w:p>
            <w:pPr>
              <w:widowControl/>
              <w:spacing w:line="360" w:lineRule="auto"/>
              <w:ind w:left="0" w:leftChars="0" w:firstLine="0" w:firstLineChars="0"/>
              <w:jc w:val="center"/>
              <w:rPr>
                <w:rFonts w:hint="eastAsia" w:ascii="宋体" w:hAnsi="宋体" w:cs="宋体"/>
                <w:b w:val="0"/>
                <w:bCs w:val="0"/>
                <w:color w:val="000000"/>
                <w:kern w:val="0"/>
                <w:sz w:val="24"/>
              </w:rPr>
            </w:pPr>
            <w:r>
              <w:rPr>
                <w:rFonts w:hint="eastAsia" w:ascii="宋体" w:hAnsi="宋体" w:cs="宋体"/>
                <w:b w:val="0"/>
                <w:bCs w:val="0"/>
                <w:color w:val="000000"/>
                <w:kern w:val="0"/>
                <w:sz w:val="24"/>
              </w:rPr>
              <w:t>2</w:t>
            </w:r>
          </w:p>
        </w:tc>
      </w:tr>
      <w:tr>
        <w:tblPrEx>
          <w:tblCellMar>
            <w:top w:w="0" w:type="dxa"/>
            <w:left w:w="108" w:type="dxa"/>
            <w:bottom w:w="0" w:type="dxa"/>
            <w:right w:w="108" w:type="dxa"/>
          </w:tblCellMar>
        </w:tblPrEx>
        <w:trPr>
          <w:trHeight w:val="810" w:hRule="atLeast"/>
          <w:jc w:val="center"/>
        </w:trPr>
        <w:tc>
          <w:tcPr>
            <w:tcW w:w="713" w:type="dxa"/>
            <w:tcBorders>
              <w:top w:val="nil"/>
              <w:left w:val="single" w:color="000000" w:sz="4" w:space="0"/>
              <w:bottom w:val="single" w:color="000000" w:sz="4" w:space="0"/>
              <w:right w:val="single" w:color="000000" w:sz="4" w:space="0"/>
            </w:tcBorders>
            <w:shd w:val="clear" w:color="auto" w:fill="auto"/>
            <w:noWrap w:val="0"/>
            <w:vAlign w:val="center"/>
          </w:tcPr>
          <w:p>
            <w:pPr>
              <w:widowControl/>
              <w:spacing w:line="360" w:lineRule="auto"/>
              <w:ind w:left="0" w:leftChars="0" w:firstLine="0" w:firstLineChars="0"/>
              <w:jc w:val="both"/>
              <w:rPr>
                <w:rFonts w:hint="eastAsia" w:ascii="宋体" w:hAnsi="宋体" w:cs="宋体"/>
                <w:b w:val="0"/>
                <w:bCs w:val="0"/>
                <w:color w:val="000000"/>
                <w:kern w:val="0"/>
                <w:sz w:val="24"/>
              </w:rPr>
            </w:pPr>
            <w:r>
              <w:rPr>
                <w:rFonts w:hint="eastAsia" w:ascii="宋体" w:hAnsi="宋体" w:cs="宋体"/>
                <w:b w:val="0"/>
                <w:bCs w:val="0"/>
                <w:color w:val="000000"/>
                <w:kern w:val="0"/>
                <w:sz w:val="24"/>
              </w:rPr>
              <w:t>3</w:t>
            </w:r>
          </w:p>
        </w:tc>
        <w:tc>
          <w:tcPr>
            <w:tcW w:w="1320" w:type="dxa"/>
            <w:tcBorders>
              <w:top w:val="nil"/>
              <w:left w:val="nil"/>
              <w:bottom w:val="single" w:color="000000" w:sz="4" w:space="0"/>
              <w:right w:val="single" w:color="000000" w:sz="4" w:space="0"/>
            </w:tcBorders>
            <w:shd w:val="clear" w:color="auto" w:fill="auto"/>
            <w:noWrap w:val="0"/>
            <w:vAlign w:val="center"/>
          </w:tcPr>
          <w:p>
            <w:pPr>
              <w:widowControl/>
              <w:spacing w:line="360" w:lineRule="auto"/>
              <w:ind w:left="0" w:leftChars="0" w:firstLine="0" w:firstLineChars="0"/>
              <w:jc w:val="both"/>
              <w:rPr>
                <w:rFonts w:hint="eastAsia" w:ascii="宋体" w:hAnsi="宋体" w:cs="宋体"/>
                <w:b w:val="0"/>
                <w:bCs w:val="0"/>
                <w:color w:val="000000"/>
                <w:kern w:val="0"/>
                <w:sz w:val="24"/>
              </w:rPr>
            </w:pPr>
            <w:r>
              <w:rPr>
                <w:rFonts w:hint="eastAsia" w:ascii="宋体" w:hAnsi="宋体" w:cs="宋体"/>
                <w:b w:val="0"/>
                <w:bCs w:val="0"/>
                <w:color w:val="000000"/>
                <w:kern w:val="0"/>
                <w:sz w:val="24"/>
              </w:rPr>
              <w:t>虚拟机</w:t>
            </w:r>
          </w:p>
        </w:tc>
        <w:tc>
          <w:tcPr>
            <w:tcW w:w="1676" w:type="dxa"/>
            <w:tcBorders>
              <w:top w:val="nil"/>
              <w:left w:val="nil"/>
              <w:bottom w:val="single" w:color="000000" w:sz="4" w:space="0"/>
              <w:right w:val="single" w:color="000000" w:sz="4" w:space="0"/>
            </w:tcBorders>
            <w:shd w:val="clear" w:color="auto" w:fill="auto"/>
            <w:noWrap w:val="0"/>
            <w:vAlign w:val="center"/>
          </w:tcPr>
          <w:p>
            <w:pPr>
              <w:widowControl/>
              <w:spacing w:line="360" w:lineRule="auto"/>
              <w:ind w:left="0" w:leftChars="0" w:firstLine="0" w:firstLineChars="0"/>
              <w:jc w:val="both"/>
              <w:rPr>
                <w:rFonts w:hint="eastAsia" w:ascii="宋体" w:hAnsi="宋体" w:cs="宋体"/>
                <w:b w:val="0"/>
                <w:bCs w:val="0"/>
                <w:color w:val="000000"/>
                <w:kern w:val="0"/>
                <w:sz w:val="24"/>
              </w:rPr>
            </w:pPr>
            <w:r>
              <w:rPr>
                <w:rFonts w:hint="eastAsia"/>
              </w:rPr>
              <w:t>应用服务器</w:t>
            </w:r>
          </w:p>
        </w:tc>
        <w:tc>
          <w:tcPr>
            <w:tcW w:w="1559"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360" w:lineRule="auto"/>
              <w:ind w:left="0" w:leftChars="0" w:firstLine="0" w:firstLineChars="0"/>
              <w:jc w:val="both"/>
              <w:rPr>
                <w:rFonts w:hint="eastAsia" w:ascii="宋体" w:hAnsi="宋体" w:cs="宋体"/>
                <w:b w:val="0"/>
                <w:bCs w:val="0"/>
                <w:color w:val="000000"/>
                <w:kern w:val="0"/>
                <w:sz w:val="24"/>
              </w:rPr>
            </w:pPr>
            <w:r>
              <w:rPr>
                <w:rFonts w:hint="eastAsia"/>
              </w:rPr>
              <w:t>互联网应用服务器</w:t>
            </w:r>
          </w:p>
        </w:tc>
        <w:tc>
          <w:tcPr>
            <w:tcW w:w="1059" w:type="dxa"/>
            <w:tcBorders>
              <w:top w:val="nil"/>
              <w:left w:val="nil"/>
              <w:bottom w:val="single" w:color="000000" w:sz="4" w:space="0"/>
              <w:right w:val="single" w:color="000000" w:sz="4" w:space="0"/>
            </w:tcBorders>
            <w:shd w:val="clear" w:color="auto" w:fill="auto"/>
            <w:noWrap w:val="0"/>
            <w:vAlign w:val="center"/>
          </w:tcPr>
          <w:p>
            <w:pPr>
              <w:widowControl/>
              <w:spacing w:line="360" w:lineRule="auto"/>
              <w:ind w:left="0" w:leftChars="0" w:firstLine="0" w:firstLineChars="0"/>
              <w:jc w:val="center"/>
              <w:rPr>
                <w:rFonts w:hint="eastAsia" w:ascii="宋体" w:hAnsi="宋体" w:cs="宋体"/>
                <w:b w:val="0"/>
                <w:bCs w:val="0"/>
                <w:color w:val="000000"/>
                <w:kern w:val="0"/>
                <w:sz w:val="24"/>
              </w:rPr>
            </w:pPr>
            <w:r>
              <w:rPr>
                <w:rFonts w:hint="eastAsia" w:ascii="宋体" w:hAnsi="宋体" w:cs="宋体"/>
                <w:b w:val="0"/>
                <w:bCs w:val="0"/>
                <w:color w:val="000000"/>
                <w:kern w:val="0"/>
                <w:sz w:val="24"/>
              </w:rPr>
              <w:t>32</w:t>
            </w:r>
          </w:p>
        </w:tc>
        <w:tc>
          <w:tcPr>
            <w:tcW w:w="1051" w:type="dxa"/>
            <w:tcBorders>
              <w:top w:val="nil"/>
              <w:left w:val="nil"/>
              <w:bottom w:val="single" w:color="000000" w:sz="4" w:space="0"/>
              <w:right w:val="single" w:color="000000" w:sz="4" w:space="0"/>
            </w:tcBorders>
            <w:shd w:val="clear" w:color="auto" w:fill="auto"/>
            <w:noWrap w:val="0"/>
            <w:vAlign w:val="center"/>
          </w:tcPr>
          <w:p>
            <w:pPr>
              <w:widowControl/>
              <w:spacing w:line="360" w:lineRule="auto"/>
              <w:ind w:left="0" w:leftChars="0" w:firstLine="0" w:firstLineChars="0"/>
              <w:jc w:val="center"/>
              <w:rPr>
                <w:rFonts w:hint="eastAsia" w:ascii="宋体" w:hAnsi="宋体" w:cs="宋体"/>
                <w:b w:val="0"/>
                <w:bCs w:val="0"/>
                <w:color w:val="000000"/>
                <w:kern w:val="0"/>
                <w:sz w:val="24"/>
              </w:rPr>
            </w:pPr>
            <w:r>
              <w:rPr>
                <w:rFonts w:hint="eastAsia" w:ascii="宋体" w:hAnsi="宋体" w:cs="宋体"/>
                <w:b w:val="0"/>
                <w:bCs w:val="0"/>
                <w:color w:val="000000"/>
                <w:kern w:val="0"/>
                <w:sz w:val="24"/>
              </w:rPr>
              <w:t>64</w:t>
            </w:r>
          </w:p>
        </w:tc>
        <w:tc>
          <w:tcPr>
            <w:tcW w:w="1134" w:type="dxa"/>
            <w:tcBorders>
              <w:top w:val="nil"/>
              <w:left w:val="nil"/>
              <w:bottom w:val="single" w:color="000000" w:sz="4" w:space="0"/>
              <w:right w:val="single" w:color="000000" w:sz="4" w:space="0"/>
            </w:tcBorders>
            <w:shd w:val="clear" w:color="auto" w:fill="auto"/>
            <w:noWrap w:val="0"/>
            <w:vAlign w:val="center"/>
          </w:tcPr>
          <w:p>
            <w:pPr>
              <w:widowControl/>
              <w:spacing w:line="360" w:lineRule="auto"/>
              <w:ind w:left="0" w:leftChars="0" w:firstLine="0" w:firstLineChars="0"/>
              <w:jc w:val="center"/>
              <w:rPr>
                <w:rFonts w:hint="eastAsia" w:ascii="宋体" w:hAnsi="宋体" w:cs="宋体"/>
                <w:b w:val="0"/>
                <w:bCs w:val="0"/>
                <w:color w:val="000000"/>
                <w:kern w:val="0"/>
                <w:sz w:val="24"/>
              </w:rPr>
            </w:pPr>
            <w:r>
              <w:rPr>
                <w:rFonts w:hint="eastAsia" w:ascii="宋体" w:hAnsi="宋体" w:cs="宋体"/>
                <w:b w:val="0"/>
                <w:bCs w:val="0"/>
                <w:color w:val="000000"/>
                <w:kern w:val="0"/>
                <w:sz w:val="24"/>
              </w:rPr>
              <w:t>500</w:t>
            </w:r>
          </w:p>
        </w:tc>
        <w:tc>
          <w:tcPr>
            <w:tcW w:w="1134" w:type="dxa"/>
            <w:tcBorders>
              <w:top w:val="nil"/>
              <w:left w:val="nil"/>
              <w:bottom w:val="single" w:color="000000" w:sz="4" w:space="0"/>
              <w:right w:val="single" w:color="000000" w:sz="4" w:space="0"/>
            </w:tcBorders>
            <w:shd w:val="clear" w:color="auto" w:fill="auto"/>
            <w:noWrap w:val="0"/>
            <w:vAlign w:val="center"/>
          </w:tcPr>
          <w:p>
            <w:pPr>
              <w:widowControl/>
              <w:spacing w:line="360" w:lineRule="auto"/>
              <w:ind w:left="0" w:leftChars="0" w:firstLine="0" w:firstLineChars="0"/>
              <w:jc w:val="center"/>
              <w:rPr>
                <w:rFonts w:hint="eastAsia" w:ascii="宋体" w:hAnsi="宋体" w:eastAsia="宋体" w:cs="宋体"/>
                <w:b w:val="0"/>
                <w:bCs w:val="0"/>
                <w:color w:val="000000"/>
                <w:kern w:val="0"/>
                <w:sz w:val="24"/>
                <w:lang w:eastAsia="zh-CN"/>
              </w:rPr>
            </w:pPr>
            <w:r>
              <w:rPr>
                <w:rFonts w:hint="eastAsia" w:cs="宋体"/>
                <w:b w:val="0"/>
                <w:bCs w:val="0"/>
                <w:color w:val="000000"/>
                <w:kern w:val="0"/>
                <w:sz w:val="24"/>
                <w:lang w:val="en-US" w:eastAsia="zh-CN"/>
              </w:rPr>
              <w:t>2</w:t>
            </w:r>
          </w:p>
        </w:tc>
      </w:tr>
      <w:tr>
        <w:tblPrEx>
          <w:tblCellMar>
            <w:top w:w="0" w:type="dxa"/>
            <w:left w:w="108" w:type="dxa"/>
            <w:bottom w:w="0" w:type="dxa"/>
            <w:right w:w="108" w:type="dxa"/>
          </w:tblCellMar>
        </w:tblPrEx>
        <w:trPr>
          <w:trHeight w:val="540" w:hRule="atLeast"/>
          <w:jc w:val="center"/>
        </w:trPr>
        <w:tc>
          <w:tcPr>
            <w:tcW w:w="713" w:type="dxa"/>
            <w:tcBorders>
              <w:top w:val="nil"/>
              <w:left w:val="single" w:color="000000" w:sz="4" w:space="0"/>
              <w:bottom w:val="single" w:color="000000" w:sz="4" w:space="0"/>
              <w:right w:val="single" w:color="000000" w:sz="4" w:space="0"/>
            </w:tcBorders>
            <w:shd w:val="clear" w:color="auto" w:fill="auto"/>
            <w:noWrap w:val="0"/>
            <w:vAlign w:val="center"/>
          </w:tcPr>
          <w:p>
            <w:pPr>
              <w:widowControl/>
              <w:spacing w:line="360" w:lineRule="auto"/>
              <w:ind w:left="0" w:leftChars="0" w:firstLine="0" w:firstLineChars="0"/>
              <w:jc w:val="both"/>
              <w:rPr>
                <w:rFonts w:hint="eastAsia" w:ascii="宋体" w:hAnsi="宋体" w:cs="宋体"/>
                <w:b w:val="0"/>
                <w:bCs w:val="0"/>
                <w:color w:val="000000"/>
                <w:kern w:val="0"/>
                <w:sz w:val="24"/>
              </w:rPr>
            </w:pPr>
            <w:r>
              <w:rPr>
                <w:rFonts w:hint="eastAsia" w:ascii="宋体" w:hAnsi="宋体" w:cs="宋体"/>
                <w:b w:val="0"/>
                <w:bCs w:val="0"/>
                <w:color w:val="000000"/>
                <w:kern w:val="0"/>
                <w:sz w:val="24"/>
              </w:rPr>
              <w:t>4</w:t>
            </w:r>
          </w:p>
        </w:tc>
        <w:tc>
          <w:tcPr>
            <w:tcW w:w="1320" w:type="dxa"/>
            <w:tcBorders>
              <w:top w:val="nil"/>
              <w:left w:val="nil"/>
              <w:bottom w:val="single" w:color="000000" w:sz="4" w:space="0"/>
              <w:right w:val="single" w:color="000000" w:sz="4" w:space="0"/>
            </w:tcBorders>
            <w:shd w:val="clear" w:color="auto" w:fill="auto"/>
            <w:noWrap w:val="0"/>
            <w:vAlign w:val="center"/>
          </w:tcPr>
          <w:p>
            <w:pPr>
              <w:widowControl/>
              <w:spacing w:line="360" w:lineRule="auto"/>
              <w:ind w:left="0" w:leftChars="0" w:firstLine="0" w:firstLineChars="0"/>
              <w:jc w:val="both"/>
              <w:rPr>
                <w:rFonts w:hint="eastAsia" w:ascii="宋体" w:hAnsi="宋体" w:cs="宋体"/>
                <w:b w:val="0"/>
                <w:bCs w:val="0"/>
                <w:color w:val="000000"/>
                <w:kern w:val="0"/>
                <w:sz w:val="24"/>
              </w:rPr>
            </w:pPr>
            <w:r>
              <w:rPr>
                <w:rFonts w:hint="eastAsia" w:ascii="宋体" w:hAnsi="宋体" w:cs="宋体"/>
                <w:b w:val="0"/>
                <w:bCs w:val="0"/>
                <w:color w:val="000000"/>
                <w:kern w:val="0"/>
                <w:sz w:val="24"/>
              </w:rPr>
              <w:t>虚拟机</w:t>
            </w:r>
          </w:p>
        </w:tc>
        <w:tc>
          <w:tcPr>
            <w:tcW w:w="1676" w:type="dxa"/>
            <w:tcBorders>
              <w:top w:val="nil"/>
              <w:left w:val="nil"/>
              <w:bottom w:val="single" w:color="000000" w:sz="4" w:space="0"/>
              <w:right w:val="single" w:color="000000" w:sz="4" w:space="0"/>
            </w:tcBorders>
            <w:shd w:val="clear" w:color="auto" w:fill="auto"/>
            <w:noWrap w:val="0"/>
            <w:vAlign w:val="center"/>
          </w:tcPr>
          <w:p>
            <w:pPr>
              <w:widowControl/>
              <w:spacing w:line="360" w:lineRule="auto"/>
              <w:ind w:left="0" w:leftChars="0" w:firstLine="0" w:firstLineChars="0"/>
              <w:jc w:val="both"/>
              <w:rPr>
                <w:rFonts w:hint="eastAsia" w:ascii="宋体" w:hAnsi="宋体" w:cs="宋体"/>
                <w:b w:val="0"/>
                <w:bCs w:val="0"/>
                <w:color w:val="000000"/>
                <w:kern w:val="0"/>
                <w:sz w:val="24"/>
              </w:rPr>
            </w:pPr>
            <w:r>
              <w:rPr>
                <w:rFonts w:hint="eastAsia"/>
              </w:rPr>
              <w:t>数据库服务器</w:t>
            </w:r>
          </w:p>
        </w:tc>
        <w:tc>
          <w:tcPr>
            <w:tcW w:w="1559"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360" w:lineRule="auto"/>
              <w:ind w:left="0" w:leftChars="0" w:firstLine="0" w:firstLineChars="0"/>
              <w:jc w:val="both"/>
              <w:rPr>
                <w:rFonts w:hint="eastAsia" w:ascii="宋体" w:hAnsi="宋体" w:cs="宋体"/>
                <w:b w:val="0"/>
                <w:bCs w:val="0"/>
                <w:color w:val="000000"/>
                <w:kern w:val="0"/>
                <w:sz w:val="24"/>
              </w:rPr>
            </w:pPr>
            <w:r>
              <w:rPr>
                <w:rFonts w:hint="eastAsia"/>
              </w:rPr>
              <w:t>互联网数据库服务器</w:t>
            </w:r>
          </w:p>
        </w:tc>
        <w:tc>
          <w:tcPr>
            <w:tcW w:w="1059" w:type="dxa"/>
            <w:tcBorders>
              <w:top w:val="nil"/>
              <w:left w:val="nil"/>
              <w:bottom w:val="single" w:color="000000" w:sz="4" w:space="0"/>
              <w:right w:val="single" w:color="000000" w:sz="4" w:space="0"/>
            </w:tcBorders>
            <w:shd w:val="clear" w:color="auto" w:fill="auto"/>
            <w:noWrap w:val="0"/>
            <w:vAlign w:val="center"/>
          </w:tcPr>
          <w:p>
            <w:pPr>
              <w:widowControl/>
              <w:spacing w:line="360" w:lineRule="auto"/>
              <w:ind w:left="0" w:leftChars="0" w:firstLine="0" w:firstLineChars="0"/>
              <w:jc w:val="center"/>
              <w:rPr>
                <w:rFonts w:hint="eastAsia" w:ascii="宋体" w:hAnsi="宋体" w:cs="宋体"/>
                <w:b w:val="0"/>
                <w:bCs w:val="0"/>
                <w:color w:val="000000"/>
                <w:kern w:val="0"/>
                <w:sz w:val="24"/>
              </w:rPr>
            </w:pPr>
            <w:r>
              <w:rPr>
                <w:rFonts w:hint="eastAsia" w:ascii="宋体" w:hAnsi="宋体" w:cs="宋体"/>
                <w:b w:val="0"/>
                <w:bCs w:val="0"/>
                <w:color w:val="000000"/>
                <w:kern w:val="0"/>
                <w:sz w:val="24"/>
              </w:rPr>
              <w:t>32</w:t>
            </w:r>
          </w:p>
        </w:tc>
        <w:tc>
          <w:tcPr>
            <w:tcW w:w="1051" w:type="dxa"/>
            <w:tcBorders>
              <w:top w:val="nil"/>
              <w:left w:val="nil"/>
              <w:bottom w:val="single" w:color="000000" w:sz="4" w:space="0"/>
              <w:right w:val="single" w:color="000000" w:sz="4" w:space="0"/>
            </w:tcBorders>
            <w:shd w:val="clear" w:color="auto" w:fill="auto"/>
            <w:noWrap w:val="0"/>
            <w:vAlign w:val="center"/>
          </w:tcPr>
          <w:p>
            <w:pPr>
              <w:widowControl/>
              <w:spacing w:line="360" w:lineRule="auto"/>
              <w:ind w:left="0" w:leftChars="0" w:firstLine="0" w:firstLineChars="0"/>
              <w:jc w:val="center"/>
              <w:rPr>
                <w:rFonts w:hint="eastAsia" w:ascii="宋体" w:hAnsi="宋体" w:cs="宋体"/>
                <w:b w:val="0"/>
                <w:bCs w:val="0"/>
                <w:color w:val="000000"/>
                <w:kern w:val="0"/>
                <w:sz w:val="24"/>
              </w:rPr>
            </w:pPr>
            <w:r>
              <w:rPr>
                <w:rFonts w:hint="eastAsia" w:ascii="宋体" w:hAnsi="宋体" w:cs="宋体"/>
                <w:b w:val="0"/>
                <w:bCs w:val="0"/>
                <w:color w:val="000000"/>
                <w:kern w:val="0"/>
                <w:sz w:val="24"/>
              </w:rPr>
              <w:t>64</w:t>
            </w:r>
          </w:p>
        </w:tc>
        <w:tc>
          <w:tcPr>
            <w:tcW w:w="1134" w:type="dxa"/>
            <w:tcBorders>
              <w:top w:val="nil"/>
              <w:left w:val="nil"/>
              <w:bottom w:val="single" w:color="000000" w:sz="4" w:space="0"/>
              <w:right w:val="single" w:color="000000" w:sz="4" w:space="0"/>
            </w:tcBorders>
            <w:shd w:val="clear" w:color="auto" w:fill="auto"/>
            <w:noWrap w:val="0"/>
            <w:vAlign w:val="center"/>
          </w:tcPr>
          <w:p>
            <w:pPr>
              <w:widowControl/>
              <w:spacing w:line="360" w:lineRule="auto"/>
              <w:ind w:left="0" w:leftChars="0" w:firstLine="0" w:firstLineChars="0"/>
              <w:jc w:val="center"/>
              <w:rPr>
                <w:rFonts w:hint="eastAsia" w:ascii="宋体" w:hAnsi="宋体" w:cs="宋体"/>
                <w:b w:val="0"/>
                <w:bCs w:val="0"/>
                <w:color w:val="000000"/>
                <w:kern w:val="0"/>
                <w:sz w:val="24"/>
              </w:rPr>
            </w:pPr>
            <w:r>
              <w:rPr>
                <w:rFonts w:hint="eastAsia" w:ascii="宋体" w:hAnsi="宋体" w:cs="宋体"/>
                <w:b w:val="0"/>
                <w:bCs w:val="0"/>
                <w:color w:val="000000"/>
                <w:kern w:val="0"/>
                <w:sz w:val="24"/>
              </w:rPr>
              <w:t>50</w:t>
            </w:r>
            <w:r>
              <w:rPr>
                <w:rFonts w:hint="eastAsia" w:cs="宋体"/>
                <w:b w:val="0"/>
                <w:bCs w:val="0"/>
                <w:color w:val="000000"/>
                <w:kern w:val="0"/>
                <w:sz w:val="24"/>
                <w:lang w:val="en-US" w:eastAsia="zh-CN"/>
              </w:rPr>
              <w:t>0</w:t>
            </w:r>
            <w:r>
              <w:rPr>
                <w:rFonts w:hint="eastAsia" w:ascii="宋体" w:hAnsi="宋体" w:cs="宋体"/>
                <w:b w:val="0"/>
                <w:bCs w:val="0"/>
                <w:color w:val="000000"/>
                <w:kern w:val="0"/>
                <w:sz w:val="24"/>
              </w:rPr>
              <w:t>0</w:t>
            </w:r>
          </w:p>
        </w:tc>
        <w:tc>
          <w:tcPr>
            <w:tcW w:w="1134" w:type="dxa"/>
            <w:tcBorders>
              <w:top w:val="nil"/>
              <w:left w:val="nil"/>
              <w:bottom w:val="single" w:color="000000" w:sz="4" w:space="0"/>
              <w:right w:val="single" w:color="000000" w:sz="4" w:space="0"/>
            </w:tcBorders>
            <w:shd w:val="clear" w:color="auto" w:fill="auto"/>
            <w:noWrap w:val="0"/>
            <w:vAlign w:val="center"/>
          </w:tcPr>
          <w:p>
            <w:pPr>
              <w:widowControl/>
              <w:spacing w:line="360" w:lineRule="auto"/>
              <w:ind w:left="0" w:leftChars="0" w:firstLine="0" w:firstLineChars="0"/>
              <w:jc w:val="center"/>
              <w:rPr>
                <w:rFonts w:hint="eastAsia" w:ascii="宋体" w:hAnsi="宋体" w:cs="宋体"/>
                <w:b w:val="0"/>
                <w:bCs w:val="0"/>
                <w:color w:val="000000"/>
                <w:kern w:val="0"/>
                <w:sz w:val="24"/>
              </w:rPr>
            </w:pPr>
            <w:r>
              <w:rPr>
                <w:rFonts w:hint="eastAsia" w:ascii="宋体" w:hAnsi="宋体" w:cs="宋体"/>
                <w:b w:val="0"/>
                <w:bCs w:val="0"/>
                <w:color w:val="000000"/>
                <w:kern w:val="0"/>
                <w:sz w:val="24"/>
              </w:rPr>
              <w:t>2</w:t>
            </w:r>
          </w:p>
        </w:tc>
      </w:tr>
    </w:tbl>
    <w:p>
      <w:pPr>
        <w:ind w:left="0" w:leftChars="0" w:firstLine="0" w:firstLineChars="0"/>
        <w:rPr>
          <w:rFonts w:hint="default"/>
          <w:lang w:val="en-US" w:eastAsia="zh-CN"/>
        </w:rPr>
      </w:pPr>
    </w:p>
    <w:p>
      <w:pPr>
        <w:pStyle w:val="3"/>
      </w:pPr>
      <w:bookmarkStart w:id="24" w:name="_Toc63785503"/>
      <w:r>
        <w:rPr>
          <w:rFonts w:hint="eastAsia"/>
        </w:rPr>
        <w:t>其他工作要求</w:t>
      </w:r>
      <w:bookmarkEnd w:id="24"/>
    </w:p>
    <w:p>
      <w:pPr>
        <w:pStyle w:val="4"/>
        <w:ind w:left="480" w:leftChars="0" w:firstLine="0" w:firstLineChars="0"/>
        <w:rPr>
          <w:rFonts w:hint="eastAsia"/>
        </w:rPr>
      </w:pPr>
      <w:r>
        <w:rPr>
          <w:rFonts w:hint="eastAsia"/>
          <w:lang w:val="en-US" w:eastAsia="zh-CN"/>
        </w:rPr>
        <w:t>总体要求</w:t>
      </w:r>
    </w:p>
    <w:p>
      <w:pPr>
        <w:numPr>
          <w:ilvl w:val="0"/>
          <w:numId w:val="4"/>
        </w:numPr>
        <w:ind w:left="0" w:firstLine="480"/>
        <w:rPr>
          <w:b/>
          <w:bCs/>
          <w:color w:val="auto"/>
          <w:szCs w:val="20"/>
        </w:rPr>
      </w:pPr>
      <w:r>
        <w:rPr>
          <w:rFonts w:hint="eastAsia"/>
          <w:color w:val="auto"/>
          <w:szCs w:val="20"/>
        </w:rPr>
        <w:t>供应商需充分考虑满足采购项目的建设要求，根据采购人的详细需求，提出完整的项目管理、培训、项目验收、售后服务方案。</w:t>
      </w:r>
    </w:p>
    <w:p>
      <w:pPr>
        <w:numPr>
          <w:ilvl w:val="0"/>
          <w:numId w:val="4"/>
        </w:numPr>
        <w:ind w:left="0" w:firstLine="480"/>
        <w:rPr>
          <w:szCs w:val="20"/>
        </w:rPr>
      </w:pPr>
      <w:r>
        <w:rPr>
          <w:rFonts w:hint="eastAsia"/>
          <w:szCs w:val="20"/>
        </w:rPr>
        <w:t>供应商应本着认真负责态度，组织技术队伍，认真做好项目的实施工作。在签订合同前，提出具体实施、服务、维护以及今后技术支持的措施计划。</w:t>
      </w:r>
    </w:p>
    <w:p>
      <w:pPr>
        <w:numPr>
          <w:ilvl w:val="0"/>
          <w:numId w:val="4"/>
        </w:numPr>
        <w:ind w:left="0" w:firstLine="480"/>
      </w:pPr>
      <w:r>
        <w:rPr>
          <w:rFonts w:hint="eastAsia"/>
          <w:szCs w:val="20"/>
        </w:rPr>
        <w:t>供应商在</w:t>
      </w:r>
      <w:r>
        <w:rPr>
          <w:rFonts w:hint="eastAsia"/>
          <w:szCs w:val="20"/>
          <w:lang w:eastAsia="zh-CN"/>
        </w:rPr>
        <w:t>成交</w:t>
      </w:r>
      <w:r>
        <w:rPr>
          <w:rFonts w:hint="eastAsia"/>
          <w:szCs w:val="20"/>
        </w:rPr>
        <w:t>并签署合同后，应通过谈话、现场考察、资料学习、座谈会等形式深度了解用户需求，进一步细化明确建设内容，优化技术方案，并组织邀请社会专家参加的方案论证会，系统开发或硬件、软件产品等采购前须制作需求规格说明书或硬件、软件产品采购清单，由用户方书面确认后实施。咨询论证等费用由成交单位承担。</w:t>
      </w:r>
    </w:p>
    <w:p>
      <w:pPr>
        <w:pStyle w:val="4"/>
        <w:ind w:left="480" w:leftChars="0" w:firstLine="0" w:firstLineChars="0"/>
        <w:rPr>
          <w:rFonts w:hint="eastAsia"/>
          <w:lang w:val="en-US" w:eastAsia="zh-CN"/>
        </w:rPr>
      </w:pPr>
      <w:r>
        <w:rPr>
          <w:rFonts w:hint="eastAsia"/>
          <w:lang w:val="en-US" w:eastAsia="zh-CN"/>
        </w:rPr>
        <w:t>技术和性能要求</w:t>
      </w:r>
    </w:p>
    <w:p>
      <w:pPr>
        <w:numPr>
          <w:ilvl w:val="0"/>
          <w:numId w:val="5"/>
        </w:numPr>
        <w:ind w:left="0" w:firstLine="480"/>
        <w:rPr>
          <w:szCs w:val="20"/>
        </w:rPr>
      </w:pPr>
      <w:r>
        <w:rPr>
          <w:rFonts w:hint="eastAsia"/>
          <w:szCs w:val="20"/>
        </w:rPr>
        <w:t>系统支持</w:t>
      </w:r>
      <w:r>
        <w:rPr>
          <w:rFonts w:hint="eastAsia"/>
          <w:szCs w:val="20"/>
          <w:lang w:val="en-US" w:eastAsia="zh-CN"/>
        </w:rPr>
        <w:t>XC</w:t>
      </w:r>
      <w:r>
        <w:rPr>
          <w:rFonts w:hint="eastAsia"/>
          <w:szCs w:val="20"/>
        </w:rPr>
        <w:t>环境。</w:t>
      </w:r>
    </w:p>
    <w:p>
      <w:pPr>
        <w:numPr>
          <w:ilvl w:val="0"/>
          <w:numId w:val="5"/>
        </w:numPr>
        <w:ind w:left="0" w:firstLine="480"/>
        <w:rPr>
          <w:szCs w:val="20"/>
        </w:rPr>
      </w:pPr>
      <w:r>
        <w:rPr>
          <w:rFonts w:hint="eastAsia"/>
          <w:szCs w:val="20"/>
        </w:rPr>
        <w:t>系统具备良好的开放性，充分考虑今后功能扩展和应用系统集成。</w:t>
      </w:r>
    </w:p>
    <w:p>
      <w:pPr>
        <w:numPr>
          <w:ilvl w:val="0"/>
          <w:numId w:val="5"/>
        </w:numPr>
        <w:ind w:left="0" w:firstLine="480"/>
        <w:rPr>
          <w:szCs w:val="20"/>
        </w:rPr>
      </w:pPr>
      <w:r>
        <w:rPr>
          <w:rFonts w:hint="eastAsia"/>
          <w:szCs w:val="20"/>
        </w:rPr>
        <w:t>性能指标：</w:t>
      </w:r>
    </w:p>
    <w:p>
      <w:pPr>
        <w:numPr>
          <w:ilvl w:val="0"/>
          <w:numId w:val="6"/>
        </w:numPr>
        <w:ind w:left="480" w:firstLine="0" w:firstLineChars="0"/>
        <w:rPr>
          <w:szCs w:val="20"/>
        </w:rPr>
      </w:pPr>
      <w:r>
        <w:rPr>
          <w:rFonts w:hint="eastAsia"/>
          <w:szCs w:val="20"/>
        </w:rPr>
        <w:t>标准软硬件配置环境下简单操作响应时间小于等于2秒，复杂操作响应时间不超过10秒；</w:t>
      </w:r>
    </w:p>
    <w:p>
      <w:pPr>
        <w:numPr>
          <w:ilvl w:val="0"/>
          <w:numId w:val="6"/>
        </w:numPr>
        <w:ind w:left="480" w:firstLine="0" w:firstLineChars="0"/>
        <w:rPr>
          <w:szCs w:val="20"/>
        </w:rPr>
      </w:pPr>
      <w:r>
        <w:rPr>
          <w:rFonts w:hint="eastAsia"/>
          <w:szCs w:val="20"/>
        </w:rPr>
        <w:t>一般统计查询响应时间小于等于5秒，复杂查询提供进度状态标志，且响应时间小于15秒；</w:t>
      </w:r>
    </w:p>
    <w:p>
      <w:pPr>
        <w:numPr>
          <w:ilvl w:val="0"/>
          <w:numId w:val="6"/>
        </w:numPr>
        <w:ind w:left="480" w:firstLine="0" w:firstLineChars="0"/>
        <w:rPr>
          <w:szCs w:val="20"/>
        </w:rPr>
      </w:pPr>
      <w:r>
        <w:rPr>
          <w:rFonts w:hint="eastAsia"/>
          <w:szCs w:val="20"/>
        </w:rPr>
        <w:t>支持不少于</w:t>
      </w:r>
      <w:r>
        <w:rPr>
          <w:rFonts w:hint="default"/>
          <w:szCs w:val="20"/>
          <w:lang w:val="en-US"/>
        </w:rPr>
        <w:t>5</w:t>
      </w:r>
      <w:r>
        <w:rPr>
          <w:rFonts w:hint="eastAsia"/>
          <w:szCs w:val="20"/>
        </w:rPr>
        <w:t>0并发用户。</w:t>
      </w:r>
    </w:p>
    <w:p>
      <w:pPr>
        <w:numPr>
          <w:ilvl w:val="0"/>
          <w:numId w:val="5"/>
        </w:numPr>
        <w:ind w:left="0" w:firstLine="480"/>
        <w:rPr>
          <w:szCs w:val="20"/>
        </w:rPr>
      </w:pPr>
      <w:r>
        <w:rPr>
          <w:rFonts w:hint="eastAsia"/>
          <w:szCs w:val="20"/>
        </w:rPr>
        <w:t>本项目建设严格遵循等级保护等相关标准规范要求，依托于上海市电子政务云资源进行部署，做好信息安全防护。</w:t>
      </w:r>
    </w:p>
    <w:p>
      <w:pPr>
        <w:numPr>
          <w:ilvl w:val="0"/>
          <w:numId w:val="5"/>
        </w:numPr>
        <w:spacing w:line="360" w:lineRule="auto"/>
        <w:ind w:left="0" w:firstLine="480" w:firstLineChars="200"/>
      </w:pPr>
      <w:r>
        <w:rPr>
          <w:rFonts w:hint="eastAsia"/>
          <w:szCs w:val="20"/>
        </w:rPr>
        <w:t>系统产生的电子文件符合电子归档的相关要求。</w:t>
      </w:r>
    </w:p>
    <w:p>
      <w:pPr>
        <w:keepNext/>
        <w:keepLines/>
        <w:numPr>
          <w:ilvl w:val="1"/>
          <w:numId w:val="7"/>
        </w:numPr>
        <w:tabs>
          <w:tab w:val="left" w:pos="360"/>
        </w:tabs>
        <w:spacing w:before="120" w:line="240" w:lineRule="auto"/>
        <w:ind w:left="0" w:firstLine="0" w:firstLineChars="0"/>
        <w:outlineLvl w:val="1"/>
        <w:rPr>
          <w:rFonts w:ascii="仿宋" w:hAnsi="仿宋" w:eastAsia="仿宋"/>
          <w:b/>
          <w:vanish/>
          <w:color w:val="000000"/>
          <w:sz w:val="28"/>
          <w:szCs w:val="20"/>
        </w:rPr>
      </w:pPr>
      <w:bookmarkStart w:id="25" w:name="_Toc63151871"/>
      <w:bookmarkEnd w:id="25"/>
      <w:bookmarkStart w:id="26" w:name="_Toc62219358"/>
      <w:bookmarkEnd w:id="26"/>
      <w:bookmarkStart w:id="27" w:name="_Toc63585480"/>
      <w:bookmarkEnd w:id="27"/>
      <w:bookmarkStart w:id="28" w:name="_Toc62209488"/>
      <w:bookmarkEnd w:id="28"/>
      <w:bookmarkStart w:id="29" w:name="_Toc61968111"/>
      <w:bookmarkEnd w:id="29"/>
      <w:bookmarkStart w:id="30" w:name="_Toc63785439"/>
      <w:bookmarkEnd w:id="30"/>
      <w:bookmarkStart w:id="31" w:name="_Toc63762370"/>
      <w:bookmarkEnd w:id="31"/>
      <w:bookmarkStart w:id="32" w:name="_Toc63785504"/>
      <w:bookmarkEnd w:id="32"/>
    </w:p>
    <w:p>
      <w:pPr>
        <w:pStyle w:val="4"/>
        <w:ind w:left="480" w:leftChars="0" w:firstLine="0" w:firstLineChars="0"/>
        <w:rPr>
          <w:rFonts w:hint="eastAsia"/>
          <w:lang w:val="en-US" w:eastAsia="zh-CN"/>
        </w:rPr>
      </w:pPr>
      <w:bookmarkStart w:id="33" w:name="_Toc63785505"/>
      <w:r>
        <w:rPr>
          <w:rFonts w:hint="eastAsia"/>
          <w:lang w:val="en-US" w:eastAsia="zh-CN"/>
        </w:rPr>
        <w:t>售后服务要求</w:t>
      </w:r>
      <w:bookmarkEnd w:id="33"/>
    </w:p>
    <w:p>
      <w:pPr>
        <w:widowControl/>
        <w:adjustRightIn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项目验收通过后，提供一年的免费质量保证服务，承诺为系统提供终身技术支服务。服务对象为全市检察机关与项目相关的单位、部门和用户。为确保系统的正常运行，及时解决发生的各类问题，需结合项目实际，制定有效的运维保障方案和安全应急措施。并按约定，提供以下方式服务：</w:t>
      </w:r>
    </w:p>
    <w:p>
      <w:pPr>
        <w:numPr>
          <w:ilvl w:val="0"/>
          <w:numId w:val="8"/>
        </w:numPr>
        <w:spacing w:line="360" w:lineRule="auto"/>
        <w:ind w:left="502" w:leftChars="0" w:firstLine="0" w:firstLineChars="0"/>
        <w:rPr>
          <w:rFonts w:hint="eastAsia" w:ascii="宋体" w:hAnsi="宋体" w:eastAsia="宋体" w:cs="Times New Roman"/>
          <w:b/>
          <w:bCs/>
          <w:sz w:val="24"/>
          <w:szCs w:val="20"/>
        </w:rPr>
      </w:pPr>
      <w:r>
        <w:rPr>
          <w:rFonts w:hint="eastAsia" w:ascii="宋体" w:hAnsi="宋体" w:eastAsia="宋体" w:cs="Times New Roman"/>
          <w:b/>
          <w:bCs/>
          <w:sz w:val="24"/>
          <w:szCs w:val="20"/>
        </w:rPr>
        <w:t>驻场技术服务</w:t>
      </w:r>
    </w:p>
    <w:p>
      <w:pPr>
        <w:widowControl/>
        <w:adjustRightIn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运维期间，根据系统运行的实际需求派驻现场工作人员，面向全市检察机关，对系统发生的事件、用户的要求进行及时响应；通过应用指导、运维保障和软件开发等多种方式提供高效和优质的综合技术服务。</w:t>
      </w:r>
    </w:p>
    <w:p>
      <w:pPr>
        <w:numPr>
          <w:ilvl w:val="0"/>
          <w:numId w:val="8"/>
        </w:numPr>
        <w:spacing w:line="360" w:lineRule="auto"/>
        <w:ind w:left="502" w:leftChars="0" w:firstLine="0" w:firstLineChars="0"/>
        <w:rPr>
          <w:rFonts w:hint="eastAsia" w:ascii="宋体" w:hAnsi="宋体" w:eastAsia="宋体" w:cs="Times New Roman"/>
          <w:b/>
          <w:bCs/>
          <w:sz w:val="24"/>
          <w:szCs w:val="20"/>
        </w:rPr>
      </w:pPr>
      <w:r>
        <w:rPr>
          <w:rFonts w:hint="eastAsia" w:ascii="宋体" w:hAnsi="宋体" w:eastAsia="宋体" w:cs="Times New Roman"/>
          <w:b/>
          <w:bCs/>
          <w:sz w:val="24"/>
          <w:szCs w:val="20"/>
        </w:rPr>
        <w:t>重大活动伴随服务</w:t>
      </w:r>
    </w:p>
    <w:p>
      <w:pPr>
        <w:widowControl/>
        <w:adjustRightIn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用户若有跟系统相关的重大活动，项目组需提供活动所需专人进行事前调试和始终伴随服务，以确保系统的正常运行，最终实现用户活动的顺利完成。</w:t>
      </w:r>
    </w:p>
    <w:p>
      <w:pPr>
        <w:numPr>
          <w:ilvl w:val="0"/>
          <w:numId w:val="8"/>
        </w:numPr>
        <w:spacing w:line="360" w:lineRule="auto"/>
        <w:ind w:left="502" w:leftChars="0" w:firstLine="0" w:firstLineChars="0"/>
        <w:rPr>
          <w:rFonts w:hint="eastAsia" w:ascii="宋体" w:hAnsi="宋体" w:eastAsia="宋体" w:cs="Times New Roman"/>
          <w:b/>
          <w:bCs/>
          <w:sz w:val="24"/>
          <w:szCs w:val="20"/>
        </w:rPr>
      </w:pPr>
      <w:r>
        <w:rPr>
          <w:rFonts w:hint="eastAsia" w:ascii="宋体" w:hAnsi="宋体" w:eastAsia="宋体" w:cs="Times New Roman"/>
          <w:b/>
          <w:bCs/>
          <w:sz w:val="24"/>
          <w:szCs w:val="20"/>
        </w:rPr>
        <w:t>巡检服务</w:t>
      </w:r>
    </w:p>
    <w:p>
      <w:pPr>
        <w:widowControl/>
        <w:adjustRightIn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每月进行一次巡检服务，由专业的技术支持人员上门通过专业的方式对系统运行状况进行全面检查测试，及时发现和排除隐患，确保数据备份的可靠性，保证系统可持续正常运行，并提交巡检报告。</w:t>
      </w:r>
    </w:p>
    <w:p>
      <w:pPr>
        <w:numPr>
          <w:ilvl w:val="0"/>
          <w:numId w:val="8"/>
        </w:numPr>
        <w:spacing w:line="360" w:lineRule="auto"/>
        <w:ind w:left="502" w:leftChars="0" w:firstLine="0" w:firstLineChars="0"/>
        <w:rPr>
          <w:rFonts w:hint="eastAsia" w:ascii="宋体" w:hAnsi="宋体" w:eastAsia="宋体" w:cs="Times New Roman"/>
          <w:b/>
          <w:bCs/>
          <w:sz w:val="24"/>
          <w:szCs w:val="20"/>
        </w:rPr>
      </w:pPr>
      <w:r>
        <w:rPr>
          <w:rFonts w:hint="eastAsia" w:ascii="宋体" w:hAnsi="宋体" w:eastAsia="宋体" w:cs="Times New Roman"/>
          <w:b/>
          <w:bCs/>
          <w:sz w:val="24"/>
          <w:szCs w:val="20"/>
        </w:rPr>
        <w:t>远程支持服务</w:t>
      </w:r>
    </w:p>
    <w:p>
      <w:pPr>
        <w:pStyle w:val="16"/>
        <w:numPr>
          <w:ilvl w:val="0"/>
          <w:numId w:val="9"/>
        </w:numPr>
        <w:spacing w:line="360" w:lineRule="auto"/>
        <w:ind w:left="0" w:firstLine="480"/>
        <w:rPr>
          <w:rFonts w:eastAsia="宋体"/>
          <w:sz w:val="24"/>
          <w:szCs w:val="22"/>
        </w:rPr>
      </w:pPr>
      <w:r>
        <w:rPr>
          <w:rFonts w:hint="eastAsia" w:eastAsia="宋体"/>
          <w:sz w:val="24"/>
          <w:szCs w:val="22"/>
        </w:rPr>
        <w:t>热线电话服务</w:t>
      </w:r>
    </w:p>
    <w:p>
      <w:pPr>
        <w:widowControl/>
        <w:adjustRightIn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提供项目组技术人员的7*24小时服务热线；针对检察院提出的问题，通过电话解答咨询、指导应用和故障排除。对于无法解决的问题，及时受理登记，安排运维任务。</w:t>
      </w:r>
    </w:p>
    <w:p>
      <w:pPr>
        <w:pStyle w:val="16"/>
        <w:numPr>
          <w:ilvl w:val="0"/>
          <w:numId w:val="9"/>
        </w:numPr>
        <w:spacing w:line="360" w:lineRule="auto"/>
        <w:ind w:left="0" w:firstLine="480"/>
        <w:rPr>
          <w:rFonts w:hint="eastAsia" w:eastAsia="宋体"/>
          <w:sz w:val="24"/>
          <w:szCs w:val="22"/>
        </w:rPr>
      </w:pPr>
      <w:r>
        <w:rPr>
          <w:rFonts w:hint="eastAsia" w:eastAsia="宋体"/>
          <w:sz w:val="24"/>
          <w:szCs w:val="22"/>
        </w:rPr>
        <w:t>电子邮件服务</w:t>
      </w:r>
    </w:p>
    <w:p>
      <w:pPr>
        <w:widowControl/>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提供项目组负责人邮箱地址，若遇到疑难的问题，用户可将问题通过E-mail的方式发给项目组相关负责人，项目组每天至少接收一次邮件，并在2个工作日内及时予以回复。</w:t>
      </w:r>
    </w:p>
    <w:p>
      <w:pPr>
        <w:numPr>
          <w:ilvl w:val="0"/>
          <w:numId w:val="8"/>
        </w:numPr>
        <w:spacing w:line="360" w:lineRule="auto"/>
        <w:ind w:left="502" w:leftChars="0" w:firstLine="0" w:firstLineChars="0"/>
        <w:rPr>
          <w:rFonts w:hint="eastAsia" w:ascii="宋体" w:hAnsi="宋体" w:eastAsia="宋体" w:cs="Times New Roman"/>
          <w:b/>
          <w:bCs/>
          <w:sz w:val="24"/>
          <w:szCs w:val="20"/>
        </w:rPr>
      </w:pPr>
      <w:r>
        <w:rPr>
          <w:rFonts w:hint="eastAsia" w:ascii="宋体" w:hAnsi="宋体" w:eastAsia="宋体" w:cs="Times New Roman"/>
          <w:b/>
          <w:bCs/>
          <w:sz w:val="24"/>
          <w:szCs w:val="20"/>
        </w:rPr>
        <w:t>其它</w:t>
      </w:r>
    </w:p>
    <w:p>
      <w:pPr>
        <w:widowControl/>
        <w:adjustRightInd w:val="0"/>
        <w:spacing w:line="360" w:lineRule="auto"/>
        <w:ind w:firstLine="480" w:firstLineChars="200"/>
        <w:jc w:val="left"/>
        <w:rPr>
          <w:rFonts w:hint="eastAsia" w:ascii="宋体" w:hAnsi="宋体"/>
          <w:sz w:val="24"/>
          <w:szCs w:val="24"/>
        </w:rPr>
      </w:pPr>
      <w:r>
        <w:rPr>
          <w:rFonts w:hint="eastAsia" w:ascii="宋体" w:hAnsi="宋体" w:cs="宋体"/>
          <w:color w:val="000000"/>
          <w:kern w:val="0"/>
          <w:sz w:val="24"/>
        </w:rPr>
        <w:t>将各项运维服务纳入上海检察机关统一运维平台，实现问题统一受理、解决、反馈和汇总，所有运维工作均应在运维管理平台中全程详细记录，并不断丰富应用系统常见问题知识库。</w:t>
      </w:r>
    </w:p>
    <w:p>
      <w:pPr>
        <w:pStyle w:val="4"/>
        <w:ind w:left="480" w:leftChars="0" w:firstLine="0" w:firstLineChars="0"/>
        <w:rPr>
          <w:rFonts w:hint="eastAsia"/>
          <w:lang w:val="en-US" w:eastAsia="zh-CN"/>
        </w:rPr>
      </w:pPr>
      <w:bookmarkStart w:id="34" w:name="_Toc63785506"/>
      <w:r>
        <w:rPr>
          <w:rFonts w:hint="eastAsia"/>
          <w:lang w:val="en-US" w:eastAsia="zh-CN"/>
        </w:rPr>
        <w:t>应急响应要求</w:t>
      </w:r>
      <w:bookmarkEnd w:id="34"/>
    </w:p>
    <w:p>
      <w:pPr>
        <w:pStyle w:val="14"/>
        <w:snapToGrid w:val="0"/>
        <w:spacing w:line="360" w:lineRule="auto"/>
        <w:ind w:firstLine="480"/>
        <w:rPr>
          <w:rFonts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pPr>
        <w:pStyle w:val="14"/>
        <w:snapToGrid w:val="0"/>
        <w:spacing w:line="360" w:lineRule="auto"/>
        <w:ind w:firstLine="480"/>
        <w:rPr>
          <w:rFonts w:ascii="宋体" w:hAnsi="宋体"/>
          <w:sz w:val="24"/>
          <w:szCs w:val="24"/>
        </w:rPr>
      </w:pPr>
      <w:r>
        <w:rPr>
          <w:rFonts w:hint="eastAsia" w:ascii="宋体" w:hAnsi="宋体"/>
          <w:sz w:val="24"/>
          <w:szCs w:val="24"/>
        </w:rPr>
        <w:t>具体故障级别及对应的应急响应要求如下：</w:t>
      </w:r>
    </w:p>
    <w:p>
      <w:pPr>
        <w:pStyle w:val="14"/>
        <w:snapToGrid w:val="0"/>
        <w:spacing w:line="360" w:lineRule="auto"/>
        <w:ind w:firstLine="480"/>
        <w:rPr>
          <w:rFonts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pPr>
        <w:pStyle w:val="14"/>
        <w:snapToGrid w:val="0"/>
        <w:spacing w:line="360" w:lineRule="auto"/>
        <w:ind w:firstLine="480"/>
        <w:rPr>
          <w:rFonts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pPr>
        <w:pStyle w:val="14"/>
        <w:snapToGrid w:val="0"/>
        <w:spacing w:line="360" w:lineRule="auto"/>
        <w:ind w:firstLine="480"/>
        <w:rPr>
          <w:rFonts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pPr>
        <w:pStyle w:val="4"/>
        <w:ind w:left="480" w:leftChars="0" w:firstLine="0" w:firstLineChars="0"/>
        <w:rPr>
          <w:rFonts w:hint="eastAsia"/>
          <w:lang w:val="en-US" w:eastAsia="zh-CN"/>
        </w:rPr>
      </w:pPr>
      <w:bookmarkStart w:id="35" w:name="_Toc63785507"/>
      <w:r>
        <w:rPr>
          <w:rFonts w:hint="eastAsia"/>
          <w:lang w:val="en-US" w:eastAsia="zh-CN"/>
        </w:rPr>
        <w:t>培训要求</w:t>
      </w:r>
      <w:bookmarkEnd w:id="35"/>
    </w:p>
    <w:p>
      <w:pPr>
        <w:pStyle w:val="2"/>
        <w:ind w:firstLine="480"/>
        <w:rPr>
          <w:rFonts w:hint="eastAsia"/>
          <w:bCs/>
        </w:rPr>
      </w:pPr>
      <w:r>
        <w:rPr>
          <w:rFonts w:hint="eastAsia"/>
          <w:bCs/>
        </w:rPr>
        <w:t>根据用户的要求，针对系统用户，应该组织技术交流和培训，内容包括系统的功能升级、常见问题、配置说明、操作技巧等。</w:t>
      </w:r>
    </w:p>
    <w:p>
      <w:pPr>
        <w:pStyle w:val="2"/>
        <w:ind w:firstLine="480"/>
        <w:rPr>
          <w:rFonts w:hint="eastAsia"/>
          <w:bCs/>
        </w:rPr>
      </w:pPr>
      <w:r>
        <w:rPr>
          <w:rFonts w:hint="eastAsia"/>
          <w:bCs/>
        </w:rPr>
        <w:t>培训对象包括系统管理员、业务操作人员，其中系统管理员不少于2天培训，业务操作人员不少于3天培训。系统管理员，经培训后能够完成系统的日常管理维护工作；业务操作人员，经培训后能够熟练掌握使用本系统进行相关业务操作。</w:t>
      </w:r>
    </w:p>
    <w:p>
      <w:pPr>
        <w:pStyle w:val="4"/>
        <w:ind w:left="480" w:leftChars="0" w:firstLine="0" w:firstLineChars="0"/>
        <w:rPr>
          <w:rFonts w:hint="eastAsia"/>
          <w:lang w:val="en-US" w:eastAsia="zh-CN"/>
        </w:rPr>
      </w:pPr>
      <w:bookmarkStart w:id="36" w:name="_Toc63785509"/>
      <w:r>
        <w:rPr>
          <w:rFonts w:hint="eastAsia"/>
          <w:lang w:val="en-US" w:eastAsia="zh-CN"/>
        </w:rPr>
        <w:t>进度要求</w:t>
      </w:r>
      <w:bookmarkEnd w:id="36"/>
    </w:p>
    <w:p>
      <w:pPr>
        <w:pStyle w:val="2"/>
        <w:ind w:firstLine="480"/>
        <w:rPr>
          <w:rFonts w:hint="eastAsia" w:ascii="Tahoma" w:hAnsi="Tahoma"/>
          <w:szCs w:val="20"/>
        </w:rPr>
      </w:pPr>
      <w:r>
        <w:rPr>
          <w:rFonts w:hint="eastAsia" w:ascii="宋体" w:hAnsi="宋体"/>
          <w:szCs w:val="20"/>
        </w:rPr>
        <w:t>本项目要求合同签订后，供应商应根据用户方要求，及时整体或分批启动项目，在需求规格说明书确认后，按双方约定的时间节点完成项目。</w:t>
      </w:r>
    </w:p>
    <w:p>
      <w:pPr>
        <w:rPr>
          <w:rFonts w:hint="eastAsia"/>
        </w:rPr>
      </w:pPr>
      <w:r>
        <w:rPr>
          <w:rFonts w:hint="eastAsia" w:cs="宋体"/>
          <w:kern w:val="0"/>
        </w:rPr>
        <w:t>自合同签订之日起至2026年11月30日前完成系统建设并通过验收。</w:t>
      </w:r>
    </w:p>
    <w:p>
      <w:pPr>
        <w:pStyle w:val="4"/>
        <w:ind w:left="480" w:leftChars="0" w:firstLine="0" w:firstLineChars="0"/>
        <w:rPr>
          <w:rFonts w:hint="eastAsia"/>
          <w:lang w:val="en-US" w:eastAsia="zh-CN"/>
        </w:rPr>
      </w:pPr>
      <w:bookmarkStart w:id="37" w:name="_Toc63785510"/>
      <w:r>
        <w:rPr>
          <w:rFonts w:hint="eastAsia"/>
          <w:lang w:val="en-US" w:eastAsia="zh-CN"/>
        </w:rPr>
        <w:t>项目团队及驻场人员要求</w:t>
      </w:r>
      <w:bookmarkEnd w:id="37"/>
    </w:p>
    <w:p>
      <w:pPr>
        <w:numPr>
          <w:ilvl w:val="0"/>
          <w:numId w:val="10"/>
        </w:numPr>
      </w:pPr>
      <w:r>
        <w:rPr>
          <w:rFonts w:hint="eastAsia"/>
          <w:lang w:eastAsia="zh-CN"/>
        </w:rPr>
        <w:t>供应商需</w:t>
      </w:r>
      <w:r>
        <w:t>具有稳定的在职技术保障力量，能够提供及时的技术支援或服务，应针对本项目提供不少于</w:t>
      </w:r>
      <w:r>
        <w:rPr>
          <w:rFonts w:hint="eastAsia"/>
          <w:lang w:val="en-US" w:eastAsia="zh-CN"/>
        </w:rPr>
        <w:t>8</w:t>
      </w:r>
      <w:r>
        <w:t>人的项目</w:t>
      </w:r>
      <w:r>
        <w:rPr>
          <w:rFonts w:hint="eastAsia"/>
          <w:lang w:eastAsia="zh-CN"/>
        </w:rPr>
        <w:t>服务</w:t>
      </w:r>
      <w:r>
        <w:t>团队（包括</w:t>
      </w:r>
      <w:r>
        <w:rPr>
          <w:rFonts w:hint="eastAsia"/>
        </w:rPr>
        <w:t>项目负责人</w:t>
      </w:r>
      <w:r>
        <w:t>、技术负责人、</w:t>
      </w:r>
      <w:r>
        <w:rPr>
          <w:rFonts w:hint="eastAsia"/>
        </w:rPr>
        <w:t>研发、测试工程师、实施工程师</w:t>
      </w:r>
      <w:r>
        <w:rPr>
          <w:rFonts w:hint="eastAsia"/>
          <w:lang w:eastAsia="zh-CN"/>
        </w:rPr>
        <w:t>等</w:t>
      </w:r>
      <w:r>
        <w:t>）</w:t>
      </w:r>
      <w:r>
        <w:rPr>
          <w:rFonts w:hint="eastAsia"/>
        </w:rPr>
        <w:t>，</w:t>
      </w:r>
      <w:r>
        <w:rPr>
          <w:rFonts w:hint="eastAsia"/>
          <w:lang w:eastAsia="zh-CN"/>
        </w:rPr>
        <w:t>且提供</w:t>
      </w:r>
      <w:r>
        <w:rPr>
          <w:rFonts w:hint="eastAsia"/>
          <w:color w:val="auto"/>
          <w:vertAlign w:val="baseline"/>
          <w:lang w:val="en-US" w:eastAsia="zh-CN"/>
        </w:rPr>
        <w:t>3</w:t>
      </w:r>
      <w:r>
        <w:rPr>
          <w:rFonts w:hint="eastAsia"/>
          <w:color w:val="auto"/>
          <w:vertAlign w:val="baseline"/>
          <w:lang w:eastAsia="zh-CN"/>
        </w:rPr>
        <w:t>人以上驻场。</w:t>
      </w:r>
      <w:r>
        <w:rPr>
          <w:rFonts w:hint="eastAsia"/>
          <w:lang w:eastAsia="zh-CN"/>
        </w:rPr>
        <w:t>供应商</w:t>
      </w:r>
      <w:r>
        <w:t>的相关服务人员需具备相应的服务能力，需提供相关证明。</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3128"/>
        <w:gridCol w:w="1180"/>
        <w:gridCol w:w="1508"/>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rPr>
                <w:b/>
              </w:rPr>
            </w:pPr>
            <w:r>
              <w:rPr>
                <w:rFonts w:hint="eastAsia"/>
                <w:b/>
              </w:rPr>
              <w:t>角色</w:t>
            </w:r>
          </w:p>
        </w:tc>
        <w:tc>
          <w:tcPr>
            <w:tcW w:w="0" w:type="auto"/>
            <w:shd w:val="clear" w:color="auto" w:fill="auto"/>
            <w:noWrap/>
            <w:vAlign w:val="center"/>
          </w:tcPr>
          <w:p>
            <w:pPr>
              <w:widowControl/>
              <w:spacing w:line="240" w:lineRule="auto"/>
              <w:ind w:firstLine="0" w:firstLineChars="0"/>
              <w:jc w:val="center"/>
              <w:rPr>
                <w:b/>
              </w:rPr>
            </w:pPr>
            <w:r>
              <w:rPr>
                <w:rFonts w:hint="eastAsia"/>
                <w:b/>
              </w:rPr>
              <w:t>主要职责</w:t>
            </w:r>
          </w:p>
        </w:tc>
        <w:tc>
          <w:tcPr>
            <w:tcW w:w="0" w:type="auto"/>
            <w:shd w:val="clear" w:color="auto" w:fill="auto"/>
            <w:noWrap/>
            <w:vAlign w:val="center"/>
          </w:tcPr>
          <w:p>
            <w:pPr>
              <w:widowControl/>
              <w:spacing w:line="240" w:lineRule="auto"/>
              <w:ind w:firstLine="0" w:firstLineChars="0"/>
              <w:jc w:val="center"/>
              <w:rPr>
                <w:b/>
              </w:rPr>
            </w:pPr>
            <w:r>
              <w:rPr>
                <w:rFonts w:hint="eastAsia"/>
                <w:b/>
              </w:rPr>
              <w:t>人员数量</w:t>
            </w:r>
          </w:p>
        </w:tc>
        <w:tc>
          <w:tcPr>
            <w:tcW w:w="0" w:type="auto"/>
            <w:vAlign w:val="center"/>
          </w:tcPr>
          <w:p>
            <w:pPr>
              <w:widowControl/>
              <w:spacing w:line="240" w:lineRule="auto"/>
              <w:ind w:firstLine="0" w:firstLineChars="0"/>
              <w:jc w:val="center"/>
              <w:rPr>
                <w:b/>
              </w:rPr>
            </w:pPr>
            <w:r>
              <w:rPr>
                <w:rFonts w:hint="eastAsia"/>
                <w:b/>
              </w:rPr>
              <w:t>人员要求</w:t>
            </w:r>
          </w:p>
        </w:tc>
        <w:tc>
          <w:tcPr>
            <w:tcW w:w="0" w:type="auto"/>
            <w:shd w:val="clear" w:color="auto" w:fill="auto"/>
            <w:noWrap/>
            <w:vAlign w:val="center"/>
          </w:tcPr>
          <w:p>
            <w:pPr>
              <w:widowControl/>
              <w:spacing w:line="240" w:lineRule="auto"/>
              <w:ind w:firstLine="0" w:firstLineChars="0"/>
              <w:jc w:val="center"/>
              <w:rPr>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1176" w:type="dxa"/>
            <w:shd w:val="clear" w:color="auto" w:fill="auto"/>
            <w:noWrap/>
            <w:vAlign w:val="center"/>
          </w:tcPr>
          <w:p>
            <w:pPr>
              <w:widowControl/>
              <w:spacing w:line="240" w:lineRule="auto"/>
              <w:ind w:firstLine="0" w:firstLineChars="0"/>
              <w:jc w:val="center"/>
              <w:rPr>
                <w:sz w:val="24"/>
                <w:szCs w:val="24"/>
              </w:rPr>
            </w:pPr>
            <w:r>
              <w:rPr>
                <w:rFonts w:hint="eastAsia"/>
                <w:sz w:val="24"/>
                <w:szCs w:val="24"/>
              </w:rPr>
              <w:t>项目</w:t>
            </w:r>
            <w:r>
              <w:rPr>
                <w:rFonts w:hint="eastAsia" w:cs="宋体"/>
                <w:sz w:val="24"/>
                <w:szCs w:val="24"/>
              </w:rPr>
              <w:t>负责人</w:t>
            </w:r>
          </w:p>
        </w:tc>
        <w:tc>
          <w:tcPr>
            <w:tcW w:w="3128" w:type="dxa"/>
            <w:shd w:val="clear" w:color="auto" w:fill="auto"/>
            <w:vAlign w:val="center"/>
          </w:tcPr>
          <w:p>
            <w:pPr>
              <w:widowControl/>
              <w:spacing w:line="240" w:lineRule="auto"/>
              <w:ind w:firstLine="0" w:firstLineChars="0"/>
              <w:jc w:val="center"/>
              <w:rPr>
                <w:sz w:val="24"/>
                <w:szCs w:val="24"/>
              </w:rPr>
            </w:pPr>
            <w:r>
              <w:rPr>
                <w:rFonts w:hint="eastAsia" w:cs="宋体"/>
                <w:sz w:val="24"/>
                <w:szCs w:val="24"/>
              </w:rPr>
              <w:t>负责项目规划与调度、风险管理、团队协调和沟通、质量管理、进度控制</w:t>
            </w:r>
          </w:p>
        </w:tc>
        <w:tc>
          <w:tcPr>
            <w:tcW w:w="1180" w:type="dxa"/>
            <w:shd w:val="clear" w:color="auto" w:fill="auto"/>
            <w:noWrap/>
            <w:vAlign w:val="center"/>
          </w:tcPr>
          <w:p>
            <w:pPr>
              <w:widowControl/>
              <w:spacing w:line="240" w:lineRule="auto"/>
              <w:ind w:firstLine="0" w:firstLineChars="0"/>
              <w:jc w:val="center"/>
              <w:rPr>
                <w:sz w:val="24"/>
                <w:szCs w:val="24"/>
              </w:rPr>
            </w:pPr>
            <w:r>
              <w:rPr>
                <w:rFonts w:hint="eastAsia" w:cs="宋体"/>
                <w:sz w:val="24"/>
                <w:szCs w:val="24"/>
              </w:rPr>
              <w:t>1人</w:t>
            </w:r>
          </w:p>
        </w:tc>
        <w:tc>
          <w:tcPr>
            <w:tcW w:w="1508" w:type="dxa"/>
            <w:vAlign w:val="center"/>
          </w:tcPr>
          <w:p>
            <w:pPr>
              <w:widowControl/>
              <w:numPr>
                <w:ilvl w:val="0"/>
                <w:numId w:val="0"/>
              </w:numPr>
              <w:spacing w:line="240" w:lineRule="auto"/>
              <w:jc w:val="both"/>
              <w:rPr>
                <w:rFonts w:hint="eastAsia" w:eastAsia="宋体"/>
                <w:lang w:val="en-US" w:eastAsia="zh-CN"/>
              </w:rPr>
            </w:pPr>
            <w:r>
              <w:rPr>
                <w:rFonts w:hint="eastAsia" w:cs="宋体"/>
                <w:color w:val="E54C5E" w:themeColor="accent6"/>
                <w:sz w:val="24"/>
                <w:szCs w:val="24"/>
                <w:lang w:eastAsia="zh-CN"/>
                <w14:textFill>
                  <w14:solidFill>
                    <w14:schemeClr w14:val="accent6"/>
                  </w14:solidFill>
                </w14:textFill>
              </w:rPr>
              <w:t>以下条件优先考虑：</w:t>
            </w:r>
            <w:r>
              <w:rPr>
                <w:rFonts w:hint="eastAsia" w:cs="宋体"/>
                <w:color w:val="E54C5E" w:themeColor="accent6"/>
                <w:sz w:val="24"/>
                <w:szCs w:val="24"/>
                <w14:textFill>
                  <w14:solidFill>
                    <w14:schemeClr w14:val="accent6"/>
                  </w14:solidFill>
                </w14:textFill>
              </w:rPr>
              <w:t>具备信息系统项目管理师证书</w:t>
            </w:r>
            <w:r>
              <w:rPr>
                <w:rFonts w:hint="eastAsia" w:cs="宋体"/>
                <w:color w:val="E54C5E" w:themeColor="accent6"/>
                <w:sz w:val="24"/>
                <w:szCs w:val="24"/>
                <w:lang w:val="en-US" w:eastAsia="zh-CN"/>
                <w14:textFill>
                  <w14:solidFill>
                    <w14:schemeClr w14:val="accent6"/>
                  </w14:solidFill>
                </w14:textFill>
              </w:rPr>
              <w:t>，</w:t>
            </w:r>
            <w:r>
              <w:rPr>
                <w:rFonts w:hint="eastAsia" w:cs="宋体"/>
                <w:color w:val="E54C5E" w:themeColor="accent6"/>
                <w:sz w:val="24"/>
                <w:szCs w:val="24"/>
                <w14:textFill>
                  <w14:solidFill>
                    <w14:schemeClr w14:val="accent6"/>
                  </w14:solidFill>
                </w14:textFill>
              </w:rPr>
              <w:t>10年（含）以上类似经历</w:t>
            </w:r>
            <w:r>
              <w:rPr>
                <w:rFonts w:hint="eastAsia" w:cs="宋体"/>
                <w:color w:val="E54C5E" w:themeColor="accent6"/>
                <w:sz w:val="24"/>
                <w:szCs w:val="24"/>
                <w:lang w:eastAsia="zh-CN"/>
                <w14:textFill>
                  <w14:solidFill>
                    <w14:schemeClr w14:val="accent6"/>
                  </w14:solidFill>
                </w14:textFill>
              </w:rPr>
              <w:t>，</w:t>
            </w:r>
            <w:r>
              <w:rPr>
                <w:rFonts w:hint="eastAsia" w:cs="宋体"/>
                <w:color w:val="E54C5E" w:themeColor="accent6"/>
                <w:sz w:val="24"/>
                <w:szCs w:val="24"/>
                <w:lang w:val="en-US" w:eastAsia="zh-CN"/>
                <w14:textFill>
                  <w14:solidFill>
                    <w14:schemeClr w14:val="accent6"/>
                  </w14:solidFill>
                </w14:textFill>
              </w:rPr>
              <w:t>具备高级工程师职称。</w:t>
            </w:r>
          </w:p>
        </w:tc>
        <w:tc>
          <w:tcPr>
            <w:tcW w:w="1536" w:type="dxa"/>
            <w:vMerge w:val="restart"/>
            <w:shd w:val="clear" w:color="auto" w:fill="auto"/>
            <w:noWrap/>
            <w:vAlign w:val="center"/>
          </w:tcPr>
          <w:p>
            <w:pPr>
              <w:widowControl/>
              <w:spacing w:line="240" w:lineRule="auto"/>
              <w:ind w:firstLine="0" w:firstLineChars="0"/>
              <w:jc w:val="center"/>
              <w:rPr>
                <w:rFonts w:hint="eastAsia"/>
                <w:lang w:eastAsia="zh-CN"/>
              </w:rPr>
            </w:pPr>
            <w:r>
              <w:t>项目</w:t>
            </w:r>
            <w:r>
              <w:rPr>
                <w:rFonts w:hint="eastAsia"/>
                <w:lang w:eastAsia="zh-CN"/>
              </w:rPr>
              <w:t>服务</w:t>
            </w:r>
            <w:r>
              <w:t>团队</w:t>
            </w:r>
            <w:r>
              <w:rPr>
                <w:rFonts w:hint="eastAsia" w:cs="宋体"/>
                <w:sz w:val="24"/>
                <w:szCs w:val="24"/>
              </w:rPr>
              <w:t>不少于</w:t>
            </w:r>
            <w:r>
              <w:rPr>
                <w:rFonts w:hint="eastAsia" w:cs="宋体"/>
                <w:sz w:val="24"/>
                <w:szCs w:val="24"/>
                <w:lang w:val="en-US" w:eastAsia="zh-CN"/>
              </w:rPr>
              <w:t>3</w:t>
            </w:r>
            <w:r>
              <w:rPr>
                <w:rFonts w:hint="eastAsia" w:cs="宋体"/>
                <w:sz w:val="24"/>
                <w:szCs w:val="24"/>
              </w:rPr>
              <w:t>人驻场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pPr>
              <w:widowControl/>
              <w:spacing w:line="240" w:lineRule="auto"/>
              <w:ind w:firstLine="0" w:firstLineChars="0"/>
              <w:jc w:val="center"/>
              <w:rPr>
                <w:rFonts w:hint="eastAsia" w:eastAsia="宋体"/>
                <w:lang w:val="en-US" w:eastAsia="zh-CN"/>
              </w:rPr>
            </w:pPr>
            <w:r>
              <w:t>项目</w:t>
            </w:r>
            <w:r>
              <w:rPr>
                <w:rFonts w:hint="eastAsia"/>
                <w:lang w:eastAsia="zh-CN"/>
              </w:rPr>
              <w:t>服务</w:t>
            </w:r>
            <w:r>
              <w:t>团队</w:t>
            </w:r>
            <w:r>
              <w:rPr>
                <w:rFonts w:hint="eastAsia"/>
                <w:lang w:eastAsia="zh-CN"/>
              </w:rPr>
              <w:t>其他人员（</w:t>
            </w:r>
            <w:r>
              <w:rPr>
                <w:rFonts w:hint="eastAsia"/>
              </w:rPr>
              <w:t>项目负责人</w:t>
            </w:r>
            <w:r>
              <w:rPr>
                <w:rFonts w:hint="eastAsia"/>
                <w:lang w:eastAsia="zh-CN"/>
              </w:rPr>
              <w:t>除外）</w:t>
            </w:r>
          </w:p>
        </w:tc>
        <w:tc>
          <w:tcPr>
            <w:tcW w:w="3128" w:type="dxa"/>
            <w:shd w:val="clear" w:color="auto" w:fill="auto"/>
            <w:noWrap/>
            <w:vAlign w:val="center"/>
          </w:tcPr>
          <w:p>
            <w:pPr>
              <w:widowControl/>
              <w:spacing w:line="240" w:lineRule="auto"/>
              <w:ind w:firstLine="0" w:firstLineChars="0"/>
              <w:jc w:val="center"/>
              <w:rPr>
                <w:rFonts w:hint="eastAsia" w:eastAsia="宋体"/>
                <w:lang w:eastAsia="zh-CN"/>
              </w:rPr>
            </w:pPr>
            <w:r>
              <w:rPr>
                <w:rFonts w:hint="eastAsia" w:cs="宋体"/>
                <w:sz w:val="24"/>
                <w:szCs w:val="24"/>
              </w:rPr>
              <w:t>负责</w:t>
            </w:r>
            <w:r>
              <w:rPr>
                <w:rFonts w:hint="eastAsia" w:cs="宋体"/>
                <w:sz w:val="24"/>
                <w:szCs w:val="24"/>
                <w:lang w:eastAsia="zh-CN"/>
              </w:rPr>
              <w:t>项目</w:t>
            </w:r>
            <w:r>
              <w:rPr>
                <w:rFonts w:hint="eastAsia" w:cs="宋体"/>
                <w:sz w:val="24"/>
                <w:szCs w:val="24"/>
              </w:rPr>
              <w:t>设计</w:t>
            </w:r>
            <w:r>
              <w:rPr>
                <w:rFonts w:hint="eastAsia" w:cs="宋体"/>
                <w:sz w:val="24"/>
                <w:szCs w:val="24"/>
                <w:lang w:eastAsia="zh-CN"/>
              </w:rPr>
              <w:t>、</w:t>
            </w:r>
            <w:r>
              <w:rPr>
                <w:rFonts w:hint="eastAsia"/>
                <w:sz w:val="24"/>
                <w:szCs w:val="24"/>
              </w:rPr>
              <w:t>开发</w:t>
            </w:r>
            <w:r>
              <w:rPr>
                <w:rFonts w:hint="eastAsia"/>
                <w:sz w:val="24"/>
                <w:szCs w:val="24"/>
                <w:lang w:eastAsia="zh-CN"/>
              </w:rPr>
              <w:t>、</w:t>
            </w:r>
            <w:r>
              <w:rPr>
                <w:rFonts w:hint="eastAsia"/>
                <w:sz w:val="24"/>
                <w:szCs w:val="24"/>
              </w:rPr>
              <w:t>测试</w:t>
            </w:r>
            <w:r>
              <w:rPr>
                <w:rFonts w:hint="eastAsia"/>
                <w:sz w:val="24"/>
                <w:szCs w:val="24"/>
                <w:lang w:eastAsia="zh-CN"/>
              </w:rPr>
              <w:t>、</w:t>
            </w:r>
            <w:r>
              <w:rPr>
                <w:rFonts w:hint="eastAsia"/>
                <w:sz w:val="24"/>
                <w:szCs w:val="24"/>
              </w:rPr>
              <w:t>实施部署</w:t>
            </w:r>
            <w:r>
              <w:rPr>
                <w:rFonts w:hint="eastAsia"/>
                <w:sz w:val="24"/>
                <w:szCs w:val="24"/>
                <w:lang w:eastAsia="zh-CN"/>
              </w:rPr>
              <w:t>、</w:t>
            </w:r>
            <w:r>
              <w:rPr>
                <w:rFonts w:hint="eastAsia"/>
                <w:sz w:val="24"/>
                <w:szCs w:val="24"/>
              </w:rPr>
              <w:t>技术支撑</w:t>
            </w:r>
            <w:r>
              <w:rPr>
                <w:rFonts w:hint="eastAsia"/>
                <w:sz w:val="24"/>
                <w:szCs w:val="24"/>
                <w:lang w:eastAsia="zh-CN"/>
              </w:rPr>
              <w:t>等工作</w:t>
            </w:r>
          </w:p>
        </w:tc>
        <w:tc>
          <w:tcPr>
            <w:tcW w:w="1180" w:type="dxa"/>
            <w:shd w:val="clear" w:color="auto" w:fill="auto"/>
            <w:noWrap/>
            <w:vAlign w:val="center"/>
          </w:tcPr>
          <w:p>
            <w:pPr>
              <w:widowControl/>
              <w:spacing w:line="240" w:lineRule="auto"/>
              <w:ind w:firstLine="0" w:firstLineChars="0"/>
              <w:jc w:val="center"/>
              <w:rPr>
                <w:rFonts w:hint="eastAsia"/>
                <w:lang w:val="en-US" w:eastAsia="zh-CN"/>
              </w:rPr>
            </w:pPr>
            <w:r>
              <w:rPr>
                <w:rFonts w:hint="eastAsia"/>
                <w:sz w:val="24"/>
                <w:szCs w:val="24"/>
                <w:lang w:val="en-US" w:eastAsia="zh-CN"/>
              </w:rPr>
              <w:t>不少于7</w:t>
            </w:r>
            <w:r>
              <w:rPr>
                <w:rFonts w:hint="eastAsia"/>
                <w:sz w:val="24"/>
                <w:szCs w:val="24"/>
              </w:rPr>
              <w:t>人</w:t>
            </w:r>
          </w:p>
        </w:tc>
        <w:tc>
          <w:tcPr>
            <w:tcW w:w="1508" w:type="dxa"/>
            <w:vAlign w:val="center"/>
          </w:tcPr>
          <w:p>
            <w:pPr>
              <w:widowControl/>
              <w:spacing w:line="240" w:lineRule="auto"/>
              <w:ind w:firstLine="0" w:firstLineChars="0"/>
              <w:jc w:val="center"/>
              <w:rPr>
                <w:color w:val="E54C5E" w:themeColor="accent6"/>
                <w14:textFill>
                  <w14:solidFill>
                    <w14:schemeClr w14:val="accent6"/>
                  </w14:solidFill>
                </w14:textFill>
              </w:rPr>
            </w:pPr>
            <w:r>
              <w:rPr>
                <w:rFonts w:hint="eastAsia" w:cs="宋体"/>
                <w:color w:val="E54C5E" w:themeColor="accent6"/>
                <w:sz w:val="24"/>
                <w:szCs w:val="24"/>
                <w:lang w:eastAsia="zh-CN"/>
                <w14:textFill>
                  <w14:solidFill>
                    <w14:schemeClr w14:val="accent6"/>
                  </w14:solidFill>
                </w14:textFill>
              </w:rPr>
              <w:t>团队人员中</w:t>
            </w:r>
            <w:r>
              <w:rPr>
                <w:rFonts w:hint="eastAsia" w:cs="宋体"/>
                <w:color w:val="E54C5E" w:themeColor="accent6"/>
                <w:sz w:val="24"/>
                <w:szCs w:val="24"/>
                <w14:textFill>
                  <w14:solidFill>
                    <w14:schemeClr w14:val="accent6"/>
                  </w14:solidFill>
                </w14:textFill>
              </w:rPr>
              <w:t>具备</w:t>
            </w:r>
            <w:r>
              <w:rPr>
                <w:rFonts w:hint="eastAsia" w:cs="宋体"/>
                <w:color w:val="E54C5E" w:themeColor="accent6"/>
                <w:sz w:val="24"/>
                <w:szCs w:val="24"/>
                <w:lang w:eastAsia="zh-CN"/>
                <w14:textFill>
                  <w14:solidFill>
                    <w14:schemeClr w14:val="accent6"/>
                  </w14:solidFill>
                </w14:textFill>
              </w:rPr>
              <w:t>以下证书：</w:t>
            </w:r>
            <w:r>
              <w:rPr>
                <w:rFonts w:hint="eastAsia" w:cs="宋体"/>
                <w:color w:val="E54C5E" w:themeColor="accent6"/>
                <w:sz w:val="24"/>
                <w:szCs w:val="24"/>
                <w14:textFill>
                  <w14:solidFill>
                    <w14:schemeClr w14:val="accent6"/>
                  </w14:solidFill>
                </w14:textFill>
              </w:rPr>
              <w:t>软件设计师证书</w:t>
            </w:r>
            <w:r>
              <w:rPr>
                <w:rFonts w:hint="eastAsia" w:cs="宋体"/>
                <w:color w:val="E54C5E" w:themeColor="accent6"/>
                <w:sz w:val="24"/>
                <w:szCs w:val="24"/>
                <w:lang w:eastAsia="zh-CN"/>
                <w14:textFill>
                  <w14:solidFill>
                    <w14:schemeClr w14:val="accent6"/>
                  </w14:solidFill>
                </w14:textFill>
              </w:rPr>
              <w:t>、</w:t>
            </w:r>
            <w:r>
              <w:rPr>
                <w:rFonts w:hint="eastAsia" w:cs="宋体"/>
                <w:color w:val="E54C5E" w:themeColor="accent6"/>
                <w:sz w:val="24"/>
                <w:szCs w:val="24"/>
                <w14:textFill>
                  <w14:solidFill>
                    <w14:schemeClr w14:val="accent6"/>
                  </w14:solidFill>
                </w14:textFill>
              </w:rPr>
              <w:t>软件评测师证书</w:t>
            </w:r>
            <w:r>
              <w:rPr>
                <w:rFonts w:hint="eastAsia" w:cs="宋体"/>
                <w:color w:val="E54C5E" w:themeColor="accent6"/>
                <w:sz w:val="24"/>
                <w:szCs w:val="24"/>
                <w:lang w:eastAsia="zh-CN"/>
                <w14:textFill>
                  <w14:solidFill>
                    <w14:schemeClr w14:val="accent6"/>
                  </w14:solidFill>
                </w14:textFill>
              </w:rPr>
              <w:t>、</w:t>
            </w:r>
            <w:r>
              <w:rPr>
                <w:rFonts w:hint="eastAsia" w:cs="宋体"/>
                <w:color w:val="E54C5E" w:themeColor="accent6"/>
                <w:sz w:val="24"/>
                <w:szCs w:val="24"/>
                <w14:textFill>
                  <w14:solidFill>
                    <w14:schemeClr w14:val="accent6"/>
                  </w14:solidFill>
                </w14:textFill>
              </w:rPr>
              <w:t>系统集成项目管理工程师证书</w:t>
            </w:r>
          </w:p>
        </w:tc>
        <w:tc>
          <w:tcPr>
            <w:tcW w:w="1536" w:type="dxa"/>
            <w:vMerge w:val="continue"/>
            <w:shd w:val="clear" w:color="auto" w:fill="auto"/>
            <w:noWrap/>
            <w:vAlign w:val="center"/>
          </w:tcPr>
          <w:p>
            <w:pPr>
              <w:widowControl/>
              <w:spacing w:line="240" w:lineRule="auto"/>
              <w:ind w:firstLine="0" w:firstLineChars="0"/>
              <w:jc w:val="center"/>
              <w:rPr>
                <w:rFonts w:hint="eastAsia"/>
                <w:lang w:eastAsia="zh-CN"/>
              </w:rPr>
            </w:pPr>
          </w:p>
        </w:tc>
      </w:tr>
    </w:tbl>
    <w:p>
      <w:pPr>
        <w:rPr>
          <w:rFonts w:hint="eastAsia" w:eastAsia="宋体"/>
          <w:lang w:eastAsia="zh-CN"/>
        </w:rPr>
      </w:pPr>
      <w:r>
        <w:t>2）</w:t>
      </w:r>
      <w:r>
        <w:rPr>
          <w:rFonts w:hint="eastAsia"/>
          <w:lang w:eastAsia="zh-CN"/>
        </w:rPr>
        <w:t>供应商</w:t>
      </w:r>
      <w:r>
        <w:t>应针对本项目提供不少于</w:t>
      </w:r>
      <w:r>
        <w:rPr>
          <w:rFonts w:hint="eastAsia"/>
          <w:lang w:val="en-US" w:eastAsia="zh-CN"/>
        </w:rPr>
        <w:t>2</w:t>
      </w:r>
      <w:r>
        <w:t>人的质保期间支撑团队（其中</w:t>
      </w:r>
      <w:r>
        <w:rPr>
          <w:rFonts w:hint="eastAsia"/>
          <w:lang w:eastAsia="zh-CN"/>
        </w:rPr>
        <w:t>运维</w:t>
      </w:r>
      <w:r>
        <w:rPr>
          <w:rFonts w:hint="eastAsia"/>
        </w:rPr>
        <w:t>负责人</w:t>
      </w:r>
      <w:r>
        <w:rPr>
          <w:rFonts w:hint="eastAsia"/>
          <w:lang w:val="en-US" w:eastAsia="zh-CN"/>
        </w:rPr>
        <w:t>1人</w:t>
      </w:r>
      <w:r>
        <w:t>，</w:t>
      </w:r>
      <w:r>
        <w:rPr>
          <w:rFonts w:hint="eastAsia"/>
          <w:lang w:eastAsia="zh-CN"/>
        </w:rPr>
        <w:t>其他运维人员</w:t>
      </w:r>
      <w:r>
        <w:t>不少于</w:t>
      </w:r>
      <w:r>
        <w:rPr>
          <w:rFonts w:hint="eastAsia"/>
          <w:lang w:val="en-US" w:eastAsia="zh-CN"/>
        </w:rPr>
        <w:t>1人</w:t>
      </w:r>
      <w:r>
        <w:t>）；</w:t>
      </w:r>
      <w:r>
        <w:rPr>
          <w:rFonts w:hint="eastAsia"/>
          <w:lang w:eastAsia="zh-CN"/>
        </w:rPr>
        <w:t>供应商</w:t>
      </w:r>
      <w:r>
        <w:t>的相关服务人员需具备相应的服务能力，需提供相关证明（最近一个季度依法缴纳社保费的证明）。</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843"/>
        <w:gridCol w:w="1180"/>
        <w:gridCol w:w="1553"/>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rPr>
                <w:b/>
              </w:rPr>
            </w:pPr>
            <w:r>
              <w:rPr>
                <w:rFonts w:hint="eastAsia"/>
                <w:b/>
              </w:rPr>
              <w:t>角色</w:t>
            </w:r>
          </w:p>
        </w:tc>
        <w:tc>
          <w:tcPr>
            <w:tcW w:w="0" w:type="auto"/>
            <w:shd w:val="clear" w:color="auto" w:fill="auto"/>
            <w:noWrap/>
            <w:vAlign w:val="center"/>
          </w:tcPr>
          <w:p>
            <w:pPr>
              <w:widowControl/>
              <w:spacing w:line="240" w:lineRule="auto"/>
              <w:ind w:firstLine="0" w:firstLineChars="0"/>
              <w:jc w:val="center"/>
              <w:rPr>
                <w:b/>
              </w:rPr>
            </w:pPr>
            <w:r>
              <w:rPr>
                <w:rFonts w:hint="eastAsia"/>
                <w:b/>
              </w:rPr>
              <w:t>主要职责</w:t>
            </w:r>
          </w:p>
        </w:tc>
        <w:tc>
          <w:tcPr>
            <w:tcW w:w="0" w:type="auto"/>
            <w:shd w:val="clear" w:color="auto" w:fill="auto"/>
            <w:noWrap/>
            <w:vAlign w:val="center"/>
          </w:tcPr>
          <w:p>
            <w:pPr>
              <w:widowControl/>
              <w:spacing w:line="240" w:lineRule="auto"/>
              <w:ind w:firstLine="0" w:firstLineChars="0"/>
              <w:jc w:val="center"/>
              <w:rPr>
                <w:b/>
              </w:rPr>
            </w:pPr>
            <w:r>
              <w:rPr>
                <w:rFonts w:hint="eastAsia"/>
                <w:b/>
              </w:rPr>
              <w:t>人员数量</w:t>
            </w:r>
          </w:p>
        </w:tc>
        <w:tc>
          <w:tcPr>
            <w:tcW w:w="0" w:type="auto"/>
            <w:vAlign w:val="center"/>
          </w:tcPr>
          <w:p>
            <w:pPr>
              <w:widowControl/>
              <w:spacing w:line="240" w:lineRule="auto"/>
              <w:ind w:firstLine="0" w:firstLineChars="0"/>
              <w:jc w:val="center"/>
              <w:rPr>
                <w:b/>
              </w:rPr>
            </w:pPr>
            <w:r>
              <w:rPr>
                <w:rFonts w:hint="eastAsia"/>
                <w:b/>
              </w:rPr>
              <w:t>人员要求</w:t>
            </w:r>
          </w:p>
        </w:tc>
        <w:tc>
          <w:tcPr>
            <w:tcW w:w="0" w:type="auto"/>
            <w:shd w:val="clear" w:color="auto" w:fill="auto"/>
            <w:noWrap/>
            <w:vAlign w:val="center"/>
          </w:tcPr>
          <w:p>
            <w:pPr>
              <w:widowControl/>
              <w:spacing w:line="240" w:lineRule="auto"/>
              <w:ind w:firstLine="0" w:firstLineChars="0"/>
              <w:jc w:val="center"/>
              <w:rPr>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widowControl/>
              <w:spacing w:line="240" w:lineRule="auto"/>
              <w:ind w:firstLine="0" w:firstLineChars="0"/>
              <w:jc w:val="center"/>
              <w:rPr>
                <w:rFonts w:hint="eastAsia" w:eastAsia="宋体"/>
                <w:lang w:eastAsia="zh-CN"/>
              </w:rPr>
            </w:pPr>
            <w:r>
              <w:rPr>
                <w:rFonts w:hint="eastAsia"/>
                <w:lang w:val="en-US" w:eastAsia="zh-CN"/>
              </w:rPr>
              <w:t>运维负责人</w:t>
            </w:r>
          </w:p>
        </w:tc>
        <w:tc>
          <w:tcPr>
            <w:tcW w:w="2843" w:type="dxa"/>
            <w:shd w:val="clear" w:color="auto" w:fill="auto"/>
            <w:vAlign w:val="center"/>
          </w:tcPr>
          <w:p>
            <w:pPr>
              <w:widowControl/>
              <w:spacing w:line="240" w:lineRule="auto"/>
              <w:ind w:firstLine="0" w:firstLineChars="0"/>
              <w:jc w:val="center"/>
            </w:pPr>
            <w:r>
              <w:rPr>
                <w:rFonts w:hint="eastAsia"/>
              </w:rPr>
              <w:t>负责</w:t>
            </w:r>
            <w:r>
              <w:rPr>
                <w:rFonts w:hint="eastAsia"/>
                <w:lang w:eastAsia="zh-CN"/>
              </w:rPr>
              <w:t>协调和</w:t>
            </w:r>
            <w:r>
              <w:rPr>
                <w:rFonts w:hint="eastAsia"/>
              </w:rPr>
              <w:t>质量控制</w:t>
            </w:r>
          </w:p>
        </w:tc>
        <w:tc>
          <w:tcPr>
            <w:tcW w:w="1180" w:type="dxa"/>
            <w:shd w:val="clear" w:color="auto" w:fill="auto"/>
            <w:noWrap/>
            <w:vAlign w:val="center"/>
          </w:tcPr>
          <w:p>
            <w:pPr>
              <w:widowControl/>
              <w:spacing w:line="240" w:lineRule="auto"/>
              <w:ind w:firstLine="0" w:firstLineChars="0"/>
              <w:jc w:val="center"/>
            </w:pPr>
            <w:r>
              <w:rPr>
                <w:rFonts w:hint="eastAsia"/>
                <w:lang w:val="en-US" w:eastAsia="zh-CN"/>
              </w:rPr>
              <w:t>1</w:t>
            </w:r>
            <w:r>
              <w:rPr>
                <w:rFonts w:hint="eastAsia"/>
              </w:rPr>
              <w:t>人</w:t>
            </w:r>
          </w:p>
        </w:tc>
        <w:tc>
          <w:tcPr>
            <w:tcW w:w="1553" w:type="dxa"/>
            <w:vAlign w:val="center"/>
          </w:tcPr>
          <w:p>
            <w:pPr>
              <w:widowControl/>
              <w:spacing w:line="240" w:lineRule="auto"/>
              <w:ind w:firstLine="0" w:firstLineChars="0"/>
              <w:jc w:val="center"/>
            </w:pPr>
            <w:r>
              <w:rPr>
                <w:rFonts w:hint="eastAsia"/>
                <w:lang w:val="en-US" w:eastAsia="zh-CN"/>
              </w:rPr>
              <w:t>可与实施团队中项目负责人为同一人</w:t>
            </w:r>
          </w:p>
        </w:tc>
        <w:tc>
          <w:tcPr>
            <w:tcW w:w="1536" w:type="dxa"/>
            <w:shd w:val="clear" w:color="auto" w:fill="auto"/>
            <w:noWrap/>
            <w:vAlign w:val="center"/>
          </w:tcPr>
          <w:p>
            <w:pPr>
              <w:widowControl/>
              <w:spacing w:line="240" w:lineRule="auto"/>
              <w:ind w:firstLine="0" w:firstLineChars="0"/>
              <w:jc w:val="center"/>
            </w:pPr>
            <w:r>
              <w:rPr>
                <w:rFonts w:hint="eastAsia"/>
                <w:lang w:eastAsia="zh-CN"/>
              </w:rPr>
              <w:t>不</w:t>
            </w:r>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widowControl/>
              <w:spacing w:line="240" w:lineRule="auto"/>
              <w:ind w:firstLine="0" w:firstLineChars="0"/>
              <w:jc w:val="center"/>
            </w:pPr>
            <w:r>
              <w:rPr>
                <w:rFonts w:hint="eastAsia"/>
                <w:lang w:val="en-US" w:eastAsia="zh-CN"/>
              </w:rPr>
              <w:t>运维人员</w:t>
            </w:r>
          </w:p>
        </w:tc>
        <w:tc>
          <w:tcPr>
            <w:tcW w:w="2843" w:type="dxa"/>
            <w:shd w:val="clear" w:color="auto" w:fill="auto"/>
            <w:vAlign w:val="center"/>
          </w:tcPr>
          <w:p>
            <w:pPr>
              <w:widowControl/>
              <w:spacing w:line="240" w:lineRule="auto"/>
              <w:ind w:firstLine="0" w:firstLineChars="0"/>
              <w:jc w:val="center"/>
            </w:pPr>
            <w:r>
              <w:rPr>
                <w:rFonts w:hint="eastAsia"/>
              </w:rPr>
              <w:t>负责具体</w:t>
            </w:r>
            <w:r>
              <w:rPr>
                <w:rFonts w:hint="eastAsia"/>
                <w:lang w:val="en-US" w:eastAsia="zh-CN"/>
              </w:rPr>
              <w:t>运维工作</w:t>
            </w:r>
          </w:p>
        </w:tc>
        <w:tc>
          <w:tcPr>
            <w:tcW w:w="1180" w:type="dxa"/>
            <w:shd w:val="clear" w:color="auto" w:fill="auto"/>
            <w:noWrap/>
            <w:vAlign w:val="center"/>
          </w:tcPr>
          <w:p>
            <w:pPr>
              <w:widowControl/>
              <w:spacing w:line="240" w:lineRule="auto"/>
              <w:ind w:firstLine="0" w:firstLineChars="0"/>
              <w:jc w:val="center"/>
            </w:pPr>
            <w:r>
              <w:t>不少于</w:t>
            </w:r>
            <w:r>
              <w:rPr>
                <w:rFonts w:hint="eastAsia"/>
                <w:lang w:val="en-US" w:eastAsia="zh-CN"/>
              </w:rPr>
              <w:t>1</w:t>
            </w:r>
            <w:r>
              <w:rPr>
                <w:rFonts w:hint="eastAsia"/>
              </w:rPr>
              <w:t>人</w:t>
            </w:r>
          </w:p>
        </w:tc>
        <w:tc>
          <w:tcPr>
            <w:tcW w:w="1553" w:type="dxa"/>
            <w:vAlign w:val="center"/>
          </w:tcPr>
          <w:p>
            <w:pPr>
              <w:widowControl/>
              <w:spacing w:line="240" w:lineRule="auto"/>
              <w:ind w:firstLine="0" w:firstLineChars="0"/>
              <w:jc w:val="center"/>
            </w:pPr>
            <w:r>
              <w:rPr>
                <w:rFonts w:hint="eastAsia"/>
                <w:lang w:val="en-US" w:eastAsia="zh-CN"/>
              </w:rPr>
              <w:t>可与实施团队中研发实施人员为同一人</w:t>
            </w:r>
          </w:p>
        </w:tc>
        <w:tc>
          <w:tcPr>
            <w:tcW w:w="1536" w:type="dxa"/>
            <w:shd w:val="clear" w:color="auto" w:fill="auto"/>
            <w:noWrap/>
            <w:vAlign w:val="center"/>
          </w:tcPr>
          <w:p>
            <w:pPr>
              <w:widowControl/>
              <w:spacing w:line="240" w:lineRule="auto"/>
              <w:ind w:firstLine="0" w:firstLineChars="0"/>
              <w:jc w:val="center"/>
            </w:pPr>
            <w:r>
              <w:rPr>
                <w:rFonts w:hint="eastAsia"/>
                <w:lang w:eastAsia="zh-CN"/>
              </w:rPr>
              <w:t>不</w:t>
            </w:r>
            <w:r>
              <w:rPr>
                <w:rFonts w:hint="eastAsia"/>
              </w:rPr>
              <w:t>驻场</w:t>
            </w:r>
          </w:p>
        </w:tc>
      </w:tr>
    </w:tbl>
    <w:p>
      <w:pPr>
        <w:pStyle w:val="4"/>
        <w:ind w:left="480" w:leftChars="0" w:firstLine="0" w:firstLineChars="0"/>
      </w:pPr>
      <w:bookmarkStart w:id="38" w:name="_Toc63785511"/>
      <w:r>
        <w:t>等级保护要求</w:t>
      </w:r>
      <w:bookmarkEnd w:id="38"/>
    </w:p>
    <w:p>
      <w:pPr>
        <w:ind w:firstLine="420" w:firstLineChars="0"/>
        <w:rPr>
          <w:rFonts w:ascii="仿宋_GB2312" w:eastAsia="仿宋_GB2312" w:cs="仿宋_GB2312"/>
          <w:color w:val="000000"/>
          <w:kern w:val="0"/>
          <w:sz w:val="28"/>
          <w:szCs w:val="28"/>
        </w:rPr>
      </w:pPr>
      <w:r>
        <w:rPr>
          <w:rFonts w:hint="eastAsia"/>
        </w:rPr>
        <w:t>本项目按照等保2.0第三级进行建设</w:t>
      </w:r>
      <w:r>
        <w:rPr>
          <w:rFonts w:hint="eastAsia"/>
          <w:lang w:eastAsia="zh-CN"/>
        </w:rPr>
        <w:t>。</w:t>
      </w:r>
    </w:p>
    <w:p>
      <w:pPr>
        <w:pStyle w:val="4"/>
        <w:ind w:left="480" w:leftChars="0" w:firstLine="0" w:firstLineChars="0"/>
        <w:rPr>
          <w:rFonts w:hint="eastAsia"/>
          <w:lang w:val="en-US" w:eastAsia="zh-CN"/>
        </w:rPr>
      </w:pPr>
      <w:r>
        <w:rPr>
          <w:rFonts w:hint="eastAsia"/>
          <w:lang w:val="en-US" w:eastAsia="zh-CN"/>
        </w:rPr>
        <w:t>商业密码应用需求</w:t>
      </w:r>
    </w:p>
    <w:p>
      <w:pPr>
        <w:pStyle w:val="2"/>
        <w:ind w:firstLine="480"/>
        <w:rPr>
          <w:bCs/>
        </w:rPr>
      </w:pPr>
      <w:bookmarkStart w:id="39" w:name="_Toc63785512"/>
      <w:r>
        <w:rPr>
          <w:rFonts w:hint="eastAsia"/>
          <w:bCs/>
        </w:rPr>
        <w:t>本项目依据GB/T39786-2021《信息安全技术信息系统密码应用基本要求》</w:t>
      </w:r>
      <w:r>
        <w:rPr>
          <w:rFonts w:hint="eastAsia"/>
          <w:bCs/>
          <w:lang w:val="en-US" w:eastAsia="zh-CN"/>
        </w:rPr>
        <w:t>第</w:t>
      </w:r>
      <w:r>
        <w:rPr>
          <w:rFonts w:hint="eastAsia"/>
          <w:bCs/>
        </w:rPr>
        <w:t>三级</w:t>
      </w:r>
      <w:r>
        <w:rPr>
          <w:rFonts w:hint="eastAsia"/>
          <w:bCs/>
          <w:lang w:val="en-US" w:eastAsia="zh-CN"/>
        </w:rPr>
        <w:t>指标要求进行</w:t>
      </w:r>
      <w:r>
        <w:rPr>
          <w:rFonts w:hint="eastAsia"/>
          <w:bCs/>
        </w:rPr>
        <w:t>建设</w:t>
      </w:r>
      <w:r>
        <w:rPr>
          <w:rFonts w:hint="eastAsia"/>
          <w:bCs/>
          <w:lang w:eastAsia="zh-CN"/>
        </w:rPr>
        <w:t>，</w:t>
      </w:r>
      <w:r>
        <w:rPr>
          <w:rFonts w:hint="eastAsia"/>
          <w:bCs/>
        </w:rPr>
        <w:t>建设完成后需通过第三方密码应用测评，供应商需配合相关的测评工作，对测评中发现的安全问题进行整改，具备的密码应用功能应达到项目验收要求。</w:t>
      </w:r>
    </w:p>
    <w:bookmarkEnd w:id="39"/>
    <w:p>
      <w:pPr>
        <w:pStyle w:val="4"/>
        <w:ind w:left="480" w:leftChars="0" w:firstLine="0" w:firstLineChars="0"/>
        <w:rPr>
          <w:rFonts w:hint="eastAsia"/>
          <w:lang w:val="en-US" w:eastAsia="zh-CN"/>
        </w:rPr>
      </w:pPr>
      <w:r>
        <w:rPr>
          <w:rFonts w:hint="eastAsia"/>
          <w:lang w:val="en-US" w:eastAsia="zh-CN"/>
        </w:rPr>
        <w:t>技术文件要求</w:t>
      </w:r>
    </w:p>
    <w:p>
      <w:pPr>
        <w:pStyle w:val="15"/>
        <w:ind w:firstLine="480"/>
      </w:pPr>
      <w:r>
        <w:rPr>
          <w:rFonts w:hint="eastAsia"/>
          <w:sz w:val="24"/>
          <w:szCs w:val="20"/>
        </w:rPr>
        <w:t>项目验收以用户书面确认的细化需求为依据，完成所有建设要求并通过一个月试运行，期间产生的所有问题都已解决且用户满意。须提交与本项目开发相关的所有文档，包括最终版本需求规格说明书、源代码、数据字典、概要设计文档、详细设计文档、数据库设计文档、安装部署文档、用户手册、维护手册、测试报告等。</w:t>
      </w:r>
    </w:p>
    <w:p>
      <w:pPr>
        <w:pStyle w:val="4"/>
        <w:ind w:left="480" w:leftChars="0" w:firstLine="0" w:firstLineChars="0"/>
        <w:rPr>
          <w:rFonts w:hint="eastAsia"/>
          <w:lang w:val="en-US" w:eastAsia="zh-CN"/>
        </w:rPr>
      </w:pPr>
      <w:r>
        <w:rPr>
          <w:rFonts w:hint="eastAsia"/>
          <w:lang w:val="en-US" w:eastAsia="zh-CN"/>
        </w:rPr>
        <w:t>验收要求</w:t>
      </w:r>
    </w:p>
    <w:p>
      <w:pPr>
        <w:pStyle w:val="16"/>
        <w:numPr>
          <w:ilvl w:val="0"/>
          <w:numId w:val="9"/>
        </w:numPr>
        <w:spacing w:line="360" w:lineRule="auto"/>
        <w:ind w:left="0" w:firstLine="480"/>
        <w:rPr>
          <w:rFonts w:hint="eastAsia" w:eastAsia="宋体"/>
          <w:sz w:val="24"/>
          <w:szCs w:val="22"/>
        </w:rPr>
      </w:pPr>
      <w:r>
        <w:rPr>
          <w:rFonts w:hint="eastAsia" w:eastAsia="宋体"/>
          <w:sz w:val="24"/>
          <w:szCs w:val="22"/>
        </w:rPr>
        <w:t>完成应用系统开发部署；</w:t>
      </w:r>
    </w:p>
    <w:p>
      <w:pPr>
        <w:pStyle w:val="16"/>
        <w:numPr>
          <w:ilvl w:val="0"/>
          <w:numId w:val="9"/>
        </w:numPr>
        <w:spacing w:line="360" w:lineRule="auto"/>
        <w:ind w:left="0" w:firstLine="480"/>
        <w:rPr>
          <w:rFonts w:hint="eastAsia" w:eastAsia="宋体"/>
          <w:sz w:val="24"/>
          <w:szCs w:val="22"/>
        </w:rPr>
      </w:pPr>
      <w:r>
        <w:rPr>
          <w:rFonts w:hint="eastAsia" w:eastAsia="宋体"/>
          <w:sz w:val="24"/>
          <w:szCs w:val="22"/>
        </w:rPr>
        <w:t>试运行时出现的问题已解决；</w:t>
      </w:r>
    </w:p>
    <w:p>
      <w:pPr>
        <w:pStyle w:val="16"/>
        <w:numPr>
          <w:ilvl w:val="0"/>
          <w:numId w:val="9"/>
        </w:numPr>
        <w:spacing w:line="360" w:lineRule="auto"/>
        <w:ind w:left="0" w:firstLine="480"/>
        <w:rPr>
          <w:rFonts w:hint="eastAsia" w:ascii="宋体" w:hAnsi="宋体" w:eastAsia="宋体"/>
          <w:sz w:val="24"/>
          <w:szCs w:val="22"/>
        </w:rPr>
      </w:pPr>
      <w:r>
        <w:rPr>
          <w:rFonts w:hint="eastAsia" w:ascii="宋体" w:hAnsi="宋体" w:eastAsia="宋体"/>
          <w:sz w:val="24"/>
          <w:szCs w:val="22"/>
        </w:rPr>
        <w:t>通过第三方</w:t>
      </w:r>
      <w:r>
        <w:rPr>
          <w:rFonts w:hint="eastAsia" w:ascii="宋体" w:hAnsi="宋体" w:eastAsia="宋体"/>
          <w:sz w:val="24"/>
          <w:szCs w:val="22"/>
          <w:lang w:eastAsia="zh-CN"/>
        </w:rPr>
        <w:t>软件测试、安全测评、</w:t>
      </w:r>
      <w:r>
        <w:rPr>
          <w:rFonts w:hint="eastAsia" w:ascii="宋体" w:hAnsi="宋体" w:eastAsia="宋体"/>
          <w:sz w:val="24"/>
          <w:szCs w:val="22"/>
        </w:rPr>
        <w:t>密码应用测评</w:t>
      </w:r>
      <w:r>
        <w:rPr>
          <w:rFonts w:hint="eastAsia" w:ascii="宋体" w:hAnsi="宋体" w:eastAsia="宋体"/>
          <w:sz w:val="24"/>
          <w:szCs w:val="22"/>
          <w:lang w:eastAsia="zh-CN"/>
        </w:rPr>
        <w:t>；</w:t>
      </w:r>
    </w:p>
    <w:p>
      <w:pPr>
        <w:pStyle w:val="16"/>
        <w:numPr>
          <w:ilvl w:val="0"/>
          <w:numId w:val="9"/>
        </w:numPr>
        <w:spacing w:line="360" w:lineRule="auto"/>
        <w:ind w:left="0" w:firstLine="480"/>
        <w:rPr>
          <w:rFonts w:hint="eastAsia" w:eastAsia="宋体"/>
          <w:sz w:val="24"/>
          <w:szCs w:val="22"/>
        </w:rPr>
      </w:pPr>
      <w:r>
        <w:rPr>
          <w:rFonts w:hint="eastAsia" w:eastAsia="宋体"/>
          <w:sz w:val="24"/>
          <w:szCs w:val="22"/>
        </w:rPr>
        <w:t>系统稳定运行后，由用户方组织项目验收；</w:t>
      </w:r>
    </w:p>
    <w:p>
      <w:pPr>
        <w:pStyle w:val="16"/>
        <w:numPr>
          <w:ilvl w:val="0"/>
          <w:numId w:val="9"/>
        </w:numPr>
        <w:spacing w:line="360" w:lineRule="auto"/>
        <w:ind w:left="0" w:firstLine="480"/>
        <w:rPr>
          <w:rFonts w:hint="eastAsia" w:eastAsia="宋体"/>
          <w:sz w:val="24"/>
          <w:szCs w:val="22"/>
        </w:rPr>
      </w:pPr>
      <w:r>
        <w:rPr>
          <w:rFonts w:hint="eastAsia" w:eastAsia="宋体"/>
          <w:sz w:val="24"/>
          <w:szCs w:val="22"/>
        </w:rPr>
        <w:t>供应商需提供详细的相关技术文档、使用说明书、维护手册等文档资料。</w:t>
      </w:r>
    </w:p>
    <w:p>
      <w:pPr>
        <w:pStyle w:val="4"/>
        <w:ind w:left="480" w:leftChars="0" w:firstLine="0" w:firstLineChars="0"/>
        <w:rPr>
          <w:rFonts w:hint="eastAsia"/>
        </w:rPr>
      </w:pPr>
      <w:r>
        <w:rPr>
          <w:rFonts w:hint="eastAsia"/>
        </w:rPr>
        <w:t>其它要求</w:t>
      </w:r>
    </w:p>
    <w:p>
      <w:pPr>
        <w:pStyle w:val="16"/>
        <w:numPr>
          <w:ilvl w:val="0"/>
          <w:numId w:val="9"/>
        </w:numPr>
        <w:spacing w:line="360" w:lineRule="auto"/>
        <w:ind w:left="0" w:firstLine="480"/>
        <w:rPr>
          <w:rFonts w:hint="eastAsia" w:eastAsia="宋体"/>
          <w:sz w:val="24"/>
          <w:szCs w:val="22"/>
        </w:rPr>
      </w:pPr>
      <w:r>
        <w:rPr>
          <w:rFonts w:hint="eastAsia" w:eastAsia="宋体"/>
          <w:sz w:val="24"/>
          <w:szCs w:val="22"/>
        </w:rPr>
        <w:t>供应商需根据上海市人民检察院设计规划要求进行功能调整等工作。</w:t>
      </w:r>
    </w:p>
    <w:p>
      <w:pPr>
        <w:pStyle w:val="16"/>
        <w:numPr>
          <w:ilvl w:val="0"/>
          <w:numId w:val="9"/>
        </w:numPr>
        <w:spacing w:line="360" w:lineRule="auto"/>
        <w:ind w:left="0" w:firstLine="480"/>
        <w:rPr>
          <w:rFonts w:hint="eastAsia" w:ascii="Calibri" w:hAnsi="Calibri"/>
          <w:color w:val="auto"/>
        </w:rPr>
      </w:pPr>
      <w:r>
        <w:rPr>
          <w:rFonts w:hint="eastAsia" w:eastAsia="宋体"/>
          <w:sz w:val="24"/>
          <w:szCs w:val="22"/>
        </w:rPr>
        <w:t>系统建设过程中需要配合监理方监督检查。</w:t>
      </w:r>
    </w:p>
    <w:sectPr>
      <w:footerReference r:id="rId6" w:type="first"/>
      <w:footerReference r:id="rId5" w:type="defaul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CF8EFE60"/>
    <w:multiLevelType w:val="singleLevel"/>
    <w:tmpl w:val="CF8EFE60"/>
    <w:lvl w:ilvl="0" w:tentative="0">
      <w:start w:val="1"/>
      <w:numFmt w:val="decimal"/>
      <w:suff w:val="nothing"/>
      <w:lvlText w:val="%1）"/>
      <w:lvlJc w:val="left"/>
    </w:lvl>
  </w:abstractNum>
  <w:abstractNum w:abstractNumId="2">
    <w:nsid w:val="DF7835A1"/>
    <w:multiLevelType w:val="singleLevel"/>
    <w:tmpl w:val="DF7835A1"/>
    <w:lvl w:ilvl="0" w:tentative="0">
      <w:start w:val="1"/>
      <w:numFmt w:val="bullet"/>
      <w:lvlText w:val=""/>
      <w:lvlJc w:val="left"/>
      <w:pPr>
        <w:ind w:left="420" w:hanging="420"/>
      </w:pPr>
      <w:rPr>
        <w:rFonts w:hint="default" w:ascii="Wingdings" w:hAnsi="Wingdings"/>
      </w:rPr>
    </w:lvl>
  </w:abstractNum>
  <w:abstractNum w:abstractNumId="3">
    <w:nsid w:val="FDEBD78F"/>
    <w:multiLevelType w:val="multilevel"/>
    <w:tmpl w:val="FDEBD78F"/>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
    <w:nsid w:val="FFFA96EA"/>
    <w:multiLevelType w:val="multilevel"/>
    <w:tmpl w:val="FFFA96EA"/>
    <w:lvl w:ilvl="0" w:tentative="0">
      <w:start w:val="1"/>
      <w:numFmt w:val="decimal"/>
      <w:lvlText w:val="%1)"/>
      <w:lvlJc w:val="left"/>
      <w:pPr>
        <w:ind w:left="920" w:hanging="440"/>
      </w:pPr>
      <w:rPr>
        <w:rFonts w:hint="default"/>
        <w:b w:val="0"/>
        <w:bCs w:val="0"/>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
    <w:nsid w:val="0E4A502D"/>
    <w:multiLevelType w:val="multilevel"/>
    <w:tmpl w:val="0E4A502D"/>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6">
    <w:nsid w:val="66EC3AB1"/>
    <w:multiLevelType w:val="multilevel"/>
    <w:tmpl w:val="66EC3AB1"/>
    <w:lvl w:ilvl="0" w:tentative="0">
      <w:start w:val="1"/>
      <w:numFmt w:val="decimal"/>
      <w:lvlText w:val="%1)"/>
      <w:lvlJc w:val="left"/>
      <w:pPr>
        <w:tabs>
          <w:tab w:val="left" w:pos="-420"/>
        </w:tabs>
        <w:ind w:left="502" w:hanging="440"/>
      </w:pPr>
      <w:rPr>
        <w:rFonts w:hint="eastAsia"/>
      </w:rPr>
    </w:lvl>
    <w:lvl w:ilvl="1" w:tentative="0">
      <w:start w:val="1"/>
      <w:numFmt w:val="lowerLetter"/>
      <w:lvlText w:val="%2)"/>
      <w:lvlJc w:val="left"/>
      <w:pPr>
        <w:tabs>
          <w:tab w:val="left" w:pos="-420"/>
        </w:tabs>
        <w:ind w:left="460" w:hanging="440"/>
      </w:pPr>
    </w:lvl>
    <w:lvl w:ilvl="2" w:tentative="0">
      <w:start w:val="1"/>
      <w:numFmt w:val="lowerRoman"/>
      <w:lvlText w:val="%3."/>
      <w:lvlJc w:val="right"/>
      <w:pPr>
        <w:tabs>
          <w:tab w:val="left" w:pos="-420"/>
        </w:tabs>
        <w:ind w:left="900" w:hanging="440"/>
      </w:pPr>
    </w:lvl>
    <w:lvl w:ilvl="3" w:tentative="0">
      <w:start w:val="1"/>
      <w:numFmt w:val="decimal"/>
      <w:lvlText w:val="%4."/>
      <w:lvlJc w:val="left"/>
      <w:pPr>
        <w:tabs>
          <w:tab w:val="left" w:pos="-420"/>
        </w:tabs>
        <w:ind w:left="1340" w:hanging="440"/>
      </w:pPr>
    </w:lvl>
    <w:lvl w:ilvl="4" w:tentative="0">
      <w:start w:val="1"/>
      <w:numFmt w:val="lowerLetter"/>
      <w:lvlText w:val="%5)"/>
      <w:lvlJc w:val="left"/>
      <w:pPr>
        <w:tabs>
          <w:tab w:val="left" w:pos="-420"/>
        </w:tabs>
        <w:ind w:left="1780" w:hanging="440"/>
      </w:pPr>
    </w:lvl>
    <w:lvl w:ilvl="5" w:tentative="0">
      <w:start w:val="1"/>
      <w:numFmt w:val="lowerRoman"/>
      <w:lvlText w:val="%6."/>
      <w:lvlJc w:val="right"/>
      <w:pPr>
        <w:tabs>
          <w:tab w:val="left" w:pos="-420"/>
        </w:tabs>
        <w:ind w:left="2220" w:hanging="440"/>
      </w:pPr>
    </w:lvl>
    <w:lvl w:ilvl="6" w:tentative="0">
      <w:start w:val="1"/>
      <w:numFmt w:val="decimal"/>
      <w:lvlText w:val="%7."/>
      <w:lvlJc w:val="left"/>
      <w:pPr>
        <w:tabs>
          <w:tab w:val="left" w:pos="-420"/>
        </w:tabs>
        <w:ind w:left="2660" w:hanging="440"/>
      </w:pPr>
    </w:lvl>
    <w:lvl w:ilvl="7" w:tentative="0">
      <w:start w:val="1"/>
      <w:numFmt w:val="lowerLetter"/>
      <w:lvlText w:val="%8)"/>
      <w:lvlJc w:val="left"/>
      <w:pPr>
        <w:tabs>
          <w:tab w:val="left" w:pos="-420"/>
        </w:tabs>
        <w:ind w:left="3100" w:hanging="440"/>
      </w:pPr>
    </w:lvl>
    <w:lvl w:ilvl="8" w:tentative="0">
      <w:start w:val="1"/>
      <w:numFmt w:val="lowerRoman"/>
      <w:lvlText w:val="%9."/>
      <w:lvlJc w:val="right"/>
      <w:pPr>
        <w:tabs>
          <w:tab w:val="left" w:pos="-420"/>
        </w:tabs>
        <w:ind w:left="3540" w:hanging="440"/>
      </w:pPr>
    </w:lvl>
  </w:abstractNum>
  <w:abstractNum w:abstractNumId="7">
    <w:nsid w:val="6A2F4AB3"/>
    <w:multiLevelType w:val="multilevel"/>
    <w:tmpl w:val="6A2F4AB3"/>
    <w:lvl w:ilvl="0" w:tentative="0">
      <w:start w:val="1"/>
      <w:numFmt w:val="chineseCountingThousand"/>
      <w:pStyle w:val="3"/>
      <w:suff w:val="nothing"/>
      <w:lvlText w:val="%1、"/>
      <w:lvlJc w:val="left"/>
      <w:pPr>
        <w:ind w:left="425" w:hanging="425"/>
      </w:pPr>
      <w:rPr>
        <w:rFonts w:hint="eastAsia"/>
        <w:sz w:val="32"/>
        <w:szCs w:val="32"/>
      </w:rPr>
    </w:lvl>
    <w:lvl w:ilvl="1" w:tentative="0">
      <w:start w:val="1"/>
      <w:numFmt w:val="decimal"/>
      <w:pStyle w:val="4"/>
      <w:isLgl/>
      <w:suff w:val="nothing"/>
      <w:lvlText w:val="%1.%2、"/>
      <w:lvlJc w:val="left"/>
      <w:pPr>
        <w:ind w:left="1135"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8">
    <w:nsid w:val="6AF73988"/>
    <w:multiLevelType w:val="singleLevel"/>
    <w:tmpl w:val="6AF73988"/>
    <w:lvl w:ilvl="0" w:tentative="0">
      <w:start w:val="1"/>
      <w:numFmt w:val="decimal"/>
      <w:suff w:val="nothing"/>
      <w:lvlText w:val="%1、"/>
      <w:lvlJc w:val="left"/>
    </w:lvl>
  </w:abstractNum>
  <w:abstractNum w:abstractNumId="9">
    <w:nsid w:val="7362488C"/>
    <w:multiLevelType w:val="multilevel"/>
    <w:tmpl w:val="7362488C"/>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7"/>
  </w:num>
  <w:num w:numId="2">
    <w:abstractNumId w:val="3"/>
  </w:num>
  <w:num w:numId="3">
    <w:abstractNumId w:val="8"/>
  </w:num>
  <w:num w:numId="4">
    <w:abstractNumId w:val="4"/>
  </w:num>
  <w:num w:numId="5">
    <w:abstractNumId w:val="9"/>
  </w:num>
  <w:num w:numId="6">
    <w:abstractNumId w:val="5"/>
  </w:num>
  <w:num w:numId="7">
    <w:abstractNumId w:val="0"/>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OTMyYmVkNDBiZGZjOTJjNzg0ZTljMGM2NGM1NWEifQ=="/>
  </w:docVars>
  <w:rsids>
    <w:rsidRoot w:val="00000000"/>
    <w:rsid w:val="005865DC"/>
    <w:rsid w:val="024C6511"/>
    <w:rsid w:val="04653F60"/>
    <w:rsid w:val="04E1557F"/>
    <w:rsid w:val="073358F5"/>
    <w:rsid w:val="07750071"/>
    <w:rsid w:val="0AB80DB3"/>
    <w:rsid w:val="0D471A7A"/>
    <w:rsid w:val="0EC01066"/>
    <w:rsid w:val="0EF62849"/>
    <w:rsid w:val="0FBA381F"/>
    <w:rsid w:val="1B590390"/>
    <w:rsid w:val="1C6F0CF6"/>
    <w:rsid w:val="1D261FD6"/>
    <w:rsid w:val="1D81668A"/>
    <w:rsid w:val="1FE30F60"/>
    <w:rsid w:val="1FEF7578"/>
    <w:rsid w:val="2084257A"/>
    <w:rsid w:val="20C935DF"/>
    <w:rsid w:val="276702B6"/>
    <w:rsid w:val="29D659C5"/>
    <w:rsid w:val="2C403CDD"/>
    <w:rsid w:val="2DF950BB"/>
    <w:rsid w:val="2E913546"/>
    <w:rsid w:val="2EF52DE8"/>
    <w:rsid w:val="2FDF7A4A"/>
    <w:rsid w:val="31391166"/>
    <w:rsid w:val="31435E6F"/>
    <w:rsid w:val="315E7640"/>
    <w:rsid w:val="32364B30"/>
    <w:rsid w:val="325E9FFD"/>
    <w:rsid w:val="33E505BB"/>
    <w:rsid w:val="33FC76B3"/>
    <w:rsid w:val="354C7D56"/>
    <w:rsid w:val="3DA94408"/>
    <w:rsid w:val="3DEFB741"/>
    <w:rsid w:val="3DF3902D"/>
    <w:rsid w:val="3E950E30"/>
    <w:rsid w:val="3E9769E7"/>
    <w:rsid w:val="3EC7A6F9"/>
    <w:rsid w:val="3EE56007"/>
    <w:rsid w:val="3F543C5D"/>
    <w:rsid w:val="3F97A2D8"/>
    <w:rsid w:val="3FEB63A6"/>
    <w:rsid w:val="3FF6E088"/>
    <w:rsid w:val="41110C42"/>
    <w:rsid w:val="429E4757"/>
    <w:rsid w:val="451E337D"/>
    <w:rsid w:val="46B10E23"/>
    <w:rsid w:val="4A296BD1"/>
    <w:rsid w:val="4A643F0F"/>
    <w:rsid w:val="4A8B21F5"/>
    <w:rsid w:val="4FD03769"/>
    <w:rsid w:val="4FFBB3E3"/>
    <w:rsid w:val="50837E99"/>
    <w:rsid w:val="53A751A2"/>
    <w:rsid w:val="552A1E7A"/>
    <w:rsid w:val="555C7B5A"/>
    <w:rsid w:val="561D378D"/>
    <w:rsid w:val="56D1E20B"/>
    <w:rsid w:val="56F53B34"/>
    <w:rsid w:val="577FB49D"/>
    <w:rsid w:val="59F938F1"/>
    <w:rsid w:val="5BF5622B"/>
    <w:rsid w:val="5CDCFF0D"/>
    <w:rsid w:val="5CF18D57"/>
    <w:rsid w:val="5DFE8159"/>
    <w:rsid w:val="5F03707F"/>
    <w:rsid w:val="5FB7E466"/>
    <w:rsid w:val="6113231A"/>
    <w:rsid w:val="633B0584"/>
    <w:rsid w:val="645D785C"/>
    <w:rsid w:val="6571B4C6"/>
    <w:rsid w:val="65E9368C"/>
    <w:rsid w:val="67FA1B80"/>
    <w:rsid w:val="6AB848D9"/>
    <w:rsid w:val="6EFA6EFB"/>
    <w:rsid w:val="6F4D07E7"/>
    <w:rsid w:val="6FAED744"/>
    <w:rsid w:val="6FFD8B4E"/>
    <w:rsid w:val="6FFE1821"/>
    <w:rsid w:val="6FFFF561"/>
    <w:rsid w:val="700C5FA2"/>
    <w:rsid w:val="704307D1"/>
    <w:rsid w:val="705931BC"/>
    <w:rsid w:val="706758D9"/>
    <w:rsid w:val="72E70465"/>
    <w:rsid w:val="743D707D"/>
    <w:rsid w:val="76EFE56E"/>
    <w:rsid w:val="77E48710"/>
    <w:rsid w:val="795F833F"/>
    <w:rsid w:val="7ABDBC70"/>
    <w:rsid w:val="7B0501C8"/>
    <w:rsid w:val="7BC720F8"/>
    <w:rsid w:val="7BFF61A2"/>
    <w:rsid w:val="7BFF878D"/>
    <w:rsid w:val="7C136F44"/>
    <w:rsid w:val="7C2E0B74"/>
    <w:rsid w:val="7C5D2575"/>
    <w:rsid w:val="7D5FA3C0"/>
    <w:rsid w:val="7E235E07"/>
    <w:rsid w:val="7E384AAD"/>
    <w:rsid w:val="7E635932"/>
    <w:rsid w:val="7E65219A"/>
    <w:rsid w:val="7E979BB6"/>
    <w:rsid w:val="7EFE7950"/>
    <w:rsid w:val="7F3AB836"/>
    <w:rsid w:val="7F963AE5"/>
    <w:rsid w:val="7FC3C27F"/>
    <w:rsid w:val="7FEDBF5C"/>
    <w:rsid w:val="7FEE56D3"/>
    <w:rsid w:val="7FFCFB0C"/>
    <w:rsid w:val="9BBAFFCF"/>
    <w:rsid w:val="9CEE7D8B"/>
    <w:rsid w:val="9FE5C8A4"/>
    <w:rsid w:val="AE2DD5FD"/>
    <w:rsid w:val="BBBE8713"/>
    <w:rsid w:val="BF2BCA92"/>
    <w:rsid w:val="BFAF0C3B"/>
    <w:rsid w:val="C6DD8509"/>
    <w:rsid w:val="D127E923"/>
    <w:rsid w:val="D16E8369"/>
    <w:rsid w:val="D4FBFAE6"/>
    <w:rsid w:val="D6EF8707"/>
    <w:rsid w:val="D77E44B8"/>
    <w:rsid w:val="D7FB11A1"/>
    <w:rsid w:val="DD2C0B57"/>
    <w:rsid w:val="DED709C2"/>
    <w:rsid w:val="DF07AA65"/>
    <w:rsid w:val="DF0DBC07"/>
    <w:rsid w:val="E5EF3AA8"/>
    <w:rsid w:val="E7DF2FA9"/>
    <w:rsid w:val="E7FD4F7C"/>
    <w:rsid w:val="ECDB5B07"/>
    <w:rsid w:val="EFADEEC5"/>
    <w:rsid w:val="F1C5A0E9"/>
    <w:rsid w:val="F4FFD6F3"/>
    <w:rsid w:val="F7F91A23"/>
    <w:rsid w:val="F7FDD561"/>
    <w:rsid w:val="F7FF7DAD"/>
    <w:rsid w:val="FB5F7A32"/>
    <w:rsid w:val="FC35EBD3"/>
    <w:rsid w:val="FC9D2F24"/>
    <w:rsid w:val="FEBE8DBC"/>
    <w:rsid w:val="FF1FA29F"/>
    <w:rsid w:val="FF4EA876"/>
    <w:rsid w:val="FFDB7534"/>
    <w:rsid w:val="FFDE577A"/>
    <w:rsid w:val="FFDF1FB2"/>
    <w:rsid w:val="FFF94EC6"/>
    <w:rsid w:val="FFF9A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4">
    <w:name w:val="heading 2"/>
    <w:basedOn w:val="1"/>
    <w:next w:val="1"/>
    <w:qFormat/>
    <w:uiPriority w:val="9"/>
    <w:pPr>
      <w:keepNext/>
      <w:keepLines/>
      <w:numPr>
        <w:ilvl w:val="1"/>
        <w:numId w:val="1"/>
      </w:numPr>
      <w:spacing w:before="120" w:after="120"/>
      <w:ind w:firstLine="0" w:firstLineChars="0"/>
      <w:outlineLvl w:val="1"/>
    </w:pPr>
    <w:rPr>
      <w:b/>
      <w:bCs/>
      <w:sz w:val="30"/>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spacing w:line="360" w:lineRule="auto"/>
      <w:ind w:firstLine="420" w:firstLineChars="200"/>
    </w:pPr>
    <w:rPr>
      <w:sz w:val="24"/>
    </w:rPr>
  </w:style>
  <w:style w:type="paragraph" w:styleId="5">
    <w:name w:val="Body Text Indent"/>
    <w:basedOn w:val="1"/>
    <w:next w:val="1"/>
    <w:qFormat/>
    <w:uiPriority w:val="0"/>
    <w:pPr>
      <w:tabs>
        <w:tab w:val="left" w:pos="952"/>
      </w:tabs>
      <w:spacing w:after="120"/>
      <w:ind w:left="420" w:leftChars="200"/>
    </w:pPr>
  </w:style>
  <w:style w:type="paragraph" w:styleId="6">
    <w:name w:val="Plain Text"/>
    <w:basedOn w:val="1"/>
    <w:qFormat/>
    <w:uiPriority w:val="0"/>
    <w:rPr>
      <w:rFonts w:ascii="宋体" w:hAnsi="Courier New"/>
      <w:szCs w:val="20"/>
    </w:rPr>
  </w:style>
  <w:style w:type="paragraph" w:styleId="7">
    <w:name w:val="footer"/>
    <w:basedOn w:val="1"/>
    <w:qFormat/>
    <w:uiPriority w:val="99"/>
    <w:pPr>
      <w:tabs>
        <w:tab w:val="center" w:pos="4320"/>
        <w:tab w:val="right" w:pos="8640"/>
      </w:tabs>
      <w:adjustRightInd w:val="0"/>
      <w:spacing w:line="240" w:lineRule="atLeast"/>
      <w:jc w:val="left"/>
    </w:pPr>
    <w:rPr>
      <w:kern w:val="0"/>
      <w:sz w:val="18"/>
      <w:szCs w:val="20"/>
    </w:rPr>
  </w:style>
  <w:style w:type="paragraph" w:styleId="8">
    <w:name w:val="header"/>
    <w:basedOn w:val="1"/>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9">
    <w:name w:val="Normal (Web)"/>
    <w:basedOn w:val="1"/>
    <w:unhideWhenUsed/>
    <w:qFormat/>
    <w:uiPriority w:val="99"/>
    <w:pPr>
      <w:spacing w:beforeAutospacing="1" w:afterAutospacing="1"/>
      <w:jc w:val="left"/>
    </w:pPr>
    <w:rPr>
      <w:rFonts w:cs="Times New Roman"/>
      <w:kern w:val="0"/>
      <w:sz w:val="24"/>
    </w:rPr>
  </w:style>
  <w:style w:type="paragraph" w:styleId="10">
    <w:name w:val="Body Text First Indent 2"/>
    <w:basedOn w:val="5"/>
    <w:next w:val="1"/>
    <w:qFormat/>
    <w:uiPriority w:val="0"/>
    <w:pPr>
      <w:ind w:left="200" w:firstLine="420" w:firstLineChars="200"/>
    </w:pPr>
    <w:rPr>
      <w:rFonts w:ascii="Times New Roman" w:hAnsi="Times New Roman" w:eastAsia="仿宋_GB2312"/>
      <w:sz w:val="32"/>
    </w:rPr>
  </w:style>
  <w:style w:type="table" w:styleId="12">
    <w:name w:val="Table Grid"/>
    <w:basedOn w:val="11"/>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4">
    <w:name w:val="正文缩进1"/>
    <w:basedOn w:val="1"/>
    <w:qFormat/>
    <w:uiPriority w:val="0"/>
    <w:pPr>
      <w:spacing w:line="240" w:lineRule="auto"/>
      <w:ind w:firstLine="420"/>
    </w:pPr>
    <w:rPr>
      <w:rFonts w:ascii="Times New Roman" w:hAnsi="Times New Roman"/>
      <w:sz w:val="21"/>
      <w:szCs w:val="20"/>
    </w:rPr>
  </w:style>
  <w:style w:type="paragraph" w:customStyle="1" w:styleId="15">
    <w:name w:val="正文正文2"/>
    <w:basedOn w:val="1"/>
    <w:qFormat/>
    <w:uiPriority w:val="0"/>
    <w:pPr>
      <w:ind w:firstLine="460"/>
    </w:pPr>
    <w:rPr>
      <w:sz w:val="21"/>
      <w:szCs w:val="21"/>
    </w:rPr>
  </w:style>
  <w:style w:type="paragraph" w:styleId="16">
    <w:name w:val="List Paragraph"/>
    <w:basedOn w:val="1"/>
    <w:qFormat/>
    <w:uiPriority w:val="0"/>
    <w:pPr>
      <w:ind w:firstLine="420" w:firstLineChars="200"/>
    </w:pPr>
    <w:rPr>
      <w:rFonts w:eastAsia="楷体_GB2312"/>
      <w:sz w:val="26"/>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2395</Words>
  <Characters>2403</Characters>
  <Lines>0</Lines>
  <Paragraphs>0</Paragraphs>
  <TotalTime>67</TotalTime>
  <ScaleCrop>false</ScaleCrop>
  <LinksUpToDate>false</LinksUpToDate>
  <CharactersWithSpaces>2404</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2024-05-18T23:04:00Z</dcterms:created>
  <dc:creator>user</dc:creator>
  <cp:lastModifiedBy>user</cp:lastModifiedBy>
  <dcterms:modified xsi:type="dcterms:W3CDTF">2026-04-15T13:37:38Z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C0333D9C9EDC434881011F08177B8D11_12</vt:lpwstr>
  </property>
  <property fmtid="{D5CDD505-2E9C-101B-9397-08002B2CF9AE}" pid="4" name="KSOTemplateDocerSaveRecord">
    <vt:lpwstr>eyJoZGlkIjoiOWYzNWUyYmJiMGNiNGIzNDJlNzAzOTBkMWE5NDhmMTYiLCJ1c2VySWQiOiIzMzE1MjkzOTcifQ==</vt:lpwstr>
  </property>
</Properties>
</file>