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CDE8">
      <w:pPr>
        <w:ind w:firstLine="0" w:firstLineChars="0"/>
        <w:jc w:val="center"/>
        <w:rPr>
          <w:rFonts w:ascii="黑体" w:hAnsi="黑体" w:eastAsia="黑体"/>
          <w:sz w:val="48"/>
          <w:szCs w:val="48"/>
        </w:rPr>
      </w:pPr>
    </w:p>
    <w:p w14:paraId="3968E933">
      <w:pPr>
        <w:ind w:firstLine="0" w:firstLineChars="0"/>
        <w:jc w:val="center"/>
        <w:rPr>
          <w:rFonts w:ascii="黑体" w:hAnsi="黑体" w:eastAsia="黑体"/>
          <w:sz w:val="48"/>
          <w:szCs w:val="48"/>
        </w:rPr>
      </w:pPr>
    </w:p>
    <w:p w14:paraId="5631AB71">
      <w:pPr>
        <w:ind w:firstLine="0" w:firstLineChars="0"/>
        <w:jc w:val="center"/>
        <w:rPr>
          <w:rFonts w:hint="eastAsia" w:ascii="黑体" w:hAnsi="黑体" w:eastAsia="黑体"/>
          <w:sz w:val="52"/>
          <w:szCs w:val="52"/>
        </w:rPr>
      </w:pPr>
      <w:r>
        <w:rPr>
          <w:rFonts w:hint="eastAsia" w:ascii="黑体" w:hAnsi="黑体" w:eastAsia="黑体"/>
          <w:sz w:val="52"/>
          <w:szCs w:val="52"/>
        </w:rPr>
        <w:t>法律援助信息化系统二期</w:t>
      </w:r>
    </w:p>
    <w:p w14:paraId="1DA43B7F">
      <w:pPr>
        <w:ind w:firstLine="0" w:firstLineChars="0"/>
        <w:jc w:val="center"/>
        <w:rPr>
          <w:rFonts w:hint="eastAsia" w:ascii="黑体" w:hAnsi="黑体" w:eastAsia="黑体"/>
          <w:sz w:val="52"/>
          <w:szCs w:val="52"/>
        </w:rPr>
      </w:pPr>
      <w:r>
        <w:rPr>
          <w:rFonts w:hint="eastAsia" w:ascii="黑体" w:hAnsi="黑体" w:eastAsia="黑体"/>
          <w:sz w:val="52"/>
          <w:szCs w:val="52"/>
        </w:rPr>
        <w:t>（全市通办升级改造）建设项目</w:t>
      </w:r>
    </w:p>
    <w:p w14:paraId="3F69D4EB">
      <w:pPr>
        <w:ind w:firstLine="0" w:firstLineChars="0"/>
        <w:jc w:val="center"/>
        <w:rPr>
          <w:rFonts w:hint="eastAsia" w:ascii="黑体" w:hAnsi="黑体" w:eastAsia="黑体"/>
          <w:sz w:val="52"/>
          <w:szCs w:val="52"/>
        </w:rPr>
      </w:pPr>
      <w:r>
        <w:rPr>
          <w:rFonts w:hint="eastAsia" w:ascii="黑体" w:hAnsi="黑体" w:eastAsia="黑体"/>
          <w:sz w:val="52"/>
          <w:szCs w:val="52"/>
        </w:rPr>
        <w:t>（2026年升级改造）</w:t>
      </w:r>
    </w:p>
    <w:p w14:paraId="46BCF79D">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70EA65BF">
      <w:pPr>
        <w:ind w:firstLine="0" w:firstLineChars="0"/>
        <w:jc w:val="center"/>
        <w:rPr>
          <w:rFonts w:ascii="黑体" w:hAnsi="黑体" w:eastAsia="黑体"/>
          <w:sz w:val="72"/>
          <w:szCs w:val="72"/>
        </w:rPr>
      </w:pPr>
    </w:p>
    <w:p w14:paraId="10014704">
      <w:pPr>
        <w:ind w:firstLine="0" w:firstLineChars="0"/>
        <w:jc w:val="both"/>
        <w:rPr>
          <w:rFonts w:ascii="黑体" w:hAnsi="黑体" w:eastAsia="黑体"/>
          <w:sz w:val="52"/>
          <w:szCs w:val="52"/>
        </w:rPr>
      </w:pPr>
    </w:p>
    <w:p w14:paraId="22D31B0B">
      <w:pPr>
        <w:ind w:firstLine="1040"/>
        <w:rPr>
          <w:rFonts w:ascii="黑体" w:hAnsi="黑体" w:eastAsia="黑体"/>
          <w:sz w:val="52"/>
          <w:szCs w:val="52"/>
        </w:rPr>
      </w:pPr>
    </w:p>
    <w:p w14:paraId="69B9084B"/>
    <w:p w14:paraId="16B1DC9F"/>
    <w:p w14:paraId="7870329A"/>
    <w:p w14:paraId="5BE27887"/>
    <w:p w14:paraId="07AA3BB5"/>
    <w:p w14:paraId="68A2E6F5">
      <w:pPr>
        <w:ind w:firstLine="1040"/>
        <w:rPr>
          <w:rFonts w:ascii="黑体" w:hAnsi="黑体" w:eastAsia="黑体"/>
          <w:sz w:val="52"/>
          <w:szCs w:val="52"/>
        </w:rPr>
      </w:pPr>
    </w:p>
    <w:p w14:paraId="313AF851">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4B141991">
      <w:pPr>
        <w:pStyle w:val="2"/>
        <w:ind w:left="0" w:leftChars="0" w:firstLineChars="0"/>
      </w:pPr>
      <w:bookmarkStart w:id="0" w:name="_Toc63785461"/>
      <w:r>
        <w:rPr>
          <w:rFonts w:hint="eastAsia"/>
        </w:rPr>
        <w:t>项目概况</w:t>
      </w:r>
      <w:bookmarkEnd w:id="0"/>
    </w:p>
    <w:p w14:paraId="54FAFB61">
      <w:pPr>
        <w:pStyle w:val="3"/>
        <w:bidi w:val="0"/>
        <w:rPr>
          <w:rFonts w:hint="default"/>
          <w:lang w:val="en-US" w:eastAsia="zh-CN"/>
        </w:rPr>
      </w:pPr>
      <w:r>
        <w:rPr>
          <w:rFonts w:hint="eastAsia"/>
          <w:lang w:val="en-US" w:eastAsia="zh-CN"/>
        </w:rPr>
        <w:t>项目背景及现状</w:t>
      </w:r>
    </w:p>
    <w:p w14:paraId="1C7D4376">
      <w:pPr>
        <w:rPr>
          <w:rFonts w:hint="eastAsia"/>
          <w:sz w:val="24"/>
          <w:szCs w:val="24"/>
          <w:lang w:val="en-US" w:eastAsia="zh-CN"/>
        </w:rPr>
      </w:pPr>
      <w:r>
        <w:rPr>
          <w:rFonts w:hint="default"/>
          <w:sz w:val="24"/>
          <w:szCs w:val="24"/>
          <w:lang w:val="en-US" w:eastAsia="zh-CN"/>
        </w:rPr>
        <w:t></w:t>
      </w:r>
      <w:r>
        <w:rPr>
          <w:rFonts w:hint="eastAsia"/>
          <w:sz w:val="24"/>
          <w:szCs w:val="24"/>
          <w:lang w:val="en-US" w:eastAsia="zh-CN"/>
        </w:rPr>
        <w:t>法律援助是国家建立的保障经济困难和符合法定条件的其他当事人获得无偿法律服务的一项重要制度，也是公共法律服务体系的组成部分。2022年1月1日《中华人民共和国法律援助法》正式颁布实施，标志着我国的法律援助制度建设迈上新台阶。</w:t>
      </w:r>
    </w:p>
    <w:p w14:paraId="752DEF10">
      <w:pPr>
        <w:rPr>
          <w:rFonts w:hint="eastAsia"/>
          <w:sz w:val="24"/>
          <w:szCs w:val="24"/>
          <w:lang w:val="en-US" w:eastAsia="zh-CN"/>
        </w:rPr>
      </w:pPr>
      <w:r>
        <w:rPr>
          <w:rFonts w:hint="eastAsia"/>
          <w:sz w:val="24"/>
          <w:szCs w:val="24"/>
          <w:lang w:val="en-US" w:eastAsia="zh-CN"/>
        </w:rPr>
        <w:t>目前，上海市法律援助中心在用的信息化系统，从正式运行到现在已将近10年。随着案件量的大幅增长，业务场景的不断丰富，与外单位数据交互需求的增多，法援系统在底层架构和使用操作层面，已无法满足当下法律援助业务高效、精准服务群众的需求。</w:t>
      </w:r>
    </w:p>
    <w:p w14:paraId="25C16A99">
      <w:pPr>
        <w:rPr>
          <w:rFonts w:hint="eastAsia"/>
          <w:sz w:val="24"/>
          <w:szCs w:val="24"/>
          <w:lang w:val="en-US" w:eastAsia="zh-CN"/>
        </w:rPr>
      </w:pPr>
      <w:r>
        <w:rPr>
          <w:rFonts w:hint="eastAsia"/>
          <w:sz w:val="24"/>
          <w:szCs w:val="24"/>
          <w:lang w:val="en-US" w:eastAsia="zh-CN"/>
        </w:rPr>
        <w:t>近几年，上海市全面深化一网通办改革，法律援助被列为高频事项后，相关任务急需落实。《上海市人民政府办公厅关于印发上海市推进“人工智能+”行动打造“智慧好办”政务服务实施方案的通知》</w:t>
      </w:r>
      <w:r>
        <w:rPr>
          <w:rFonts w:hint="default"/>
          <w:sz w:val="24"/>
          <w:szCs w:val="24"/>
          <w:lang w:val="en-US" w:eastAsia="zh-CN"/>
        </w:rPr>
        <w:t>（沪府办字〔2024〕10号）</w:t>
      </w:r>
      <w:r>
        <w:rPr>
          <w:rFonts w:hint="eastAsia"/>
          <w:sz w:val="24"/>
          <w:szCs w:val="24"/>
          <w:lang w:val="en-US" w:eastAsia="zh-CN"/>
        </w:rPr>
        <w:t>要求，创新人工智能赋能政务服务供给侧，为政务服务工作人员受理和审批提供智能辅助，为企业群众线上办理提供智能预审。目前法律援助系统智能辅助和智能预审水平较低，限制了工作效率和群众体验感的提升。</w:t>
      </w:r>
    </w:p>
    <w:p w14:paraId="14069EC5">
      <w:pPr>
        <w:rPr>
          <w:rFonts w:hint="default"/>
          <w:sz w:val="24"/>
          <w:szCs w:val="24"/>
          <w:lang w:val="en-US" w:eastAsia="zh-CN"/>
        </w:rPr>
      </w:pPr>
      <w:r>
        <w:rPr>
          <w:rFonts w:hint="default"/>
          <w:sz w:val="24"/>
          <w:szCs w:val="24"/>
          <w:lang w:val="en-US" w:eastAsia="zh-CN"/>
        </w:rPr>
        <w:t>《中华人民共和国法律援助法》</w:t>
      </w:r>
      <w:r>
        <w:rPr>
          <w:rFonts w:hint="eastAsia"/>
          <w:sz w:val="24"/>
          <w:szCs w:val="24"/>
          <w:lang w:val="en-US" w:eastAsia="zh-CN"/>
        </w:rPr>
        <w:t>第二十三条规定</w:t>
      </w:r>
      <w:r>
        <w:rPr>
          <w:rFonts w:hint="default"/>
          <w:sz w:val="24"/>
          <w:szCs w:val="24"/>
          <w:lang w:val="en-US" w:eastAsia="zh-CN"/>
        </w:rPr>
        <w:t>法律援助机构应当通过服务窗口、电话、网络等多种方式提供法律咨询服务；提示当事人享有依法申请法律援助的权利，并告知申请法律援助的条件和程序。法律援助律师应记录咨询人的基本信息、咨询形式、咨询事项以及相应的法律解答，并予以分类登记。条件允许的地区，可采取电子化手段记录接待人员的咨询活动。</w:t>
      </w:r>
      <w:r>
        <w:rPr>
          <w:rFonts w:hint="eastAsia"/>
          <w:sz w:val="24"/>
          <w:szCs w:val="24"/>
          <w:lang w:val="en-US" w:eastAsia="zh-CN"/>
        </w:rPr>
        <w:t>目前法律援助系统缺少法律咨询服务的信息登记功能，限制了对该项工作监管的提升。</w:t>
      </w:r>
    </w:p>
    <w:p w14:paraId="44A5A6D2">
      <w:pPr>
        <w:rPr>
          <w:rFonts w:hint="default"/>
          <w:sz w:val="24"/>
          <w:szCs w:val="24"/>
          <w:lang w:val="en-US" w:eastAsia="zh-CN"/>
        </w:rPr>
      </w:pPr>
      <w:r>
        <w:rPr>
          <w:rFonts w:hint="default"/>
          <w:sz w:val="24"/>
          <w:szCs w:val="24"/>
          <w:lang w:val="en-US" w:eastAsia="zh-CN"/>
        </w:rPr>
        <w:t>《中华人民共和国法律援助法》第五十七条司法行政部门应当加强对法律援助服务的监督，制定法律援助服务质量标准，通过第三方评估等方式定期进行质量考核。</w:t>
      </w:r>
      <w:r>
        <w:rPr>
          <w:rFonts w:hint="eastAsia"/>
          <w:sz w:val="24"/>
          <w:szCs w:val="24"/>
          <w:lang w:val="en-US" w:eastAsia="zh-CN"/>
        </w:rPr>
        <w:t>目前法律援助系统中的案件质量评估功能单一、稳定性不佳、缺少智能分析，需要优化和增设，以支持本市法律援助案件高质量发展。</w:t>
      </w:r>
    </w:p>
    <w:p w14:paraId="47CC450B">
      <w:pPr>
        <w:rPr>
          <w:rFonts w:hint="default"/>
          <w:sz w:val="24"/>
          <w:szCs w:val="24"/>
          <w:lang w:val="en-US" w:eastAsia="zh-CN"/>
        </w:rPr>
      </w:pPr>
      <w:r>
        <w:rPr>
          <w:rFonts w:hint="default"/>
          <w:sz w:val="24"/>
          <w:szCs w:val="24"/>
          <w:lang w:val="en-US" w:eastAsia="zh-CN"/>
        </w:rPr>
        <w:t>《2023 年上海市全面深化“一网通办”改革工作要点》(沪府办发〔2023〕3 号)：提升政务服务线上线下全过程智能化水平。加强顶层设计，强化业务和技术统筹推进，建立长效工作机制，形成工作合力。持续简化、优化线上线下办事流程，推进“双100”高频依申请政务服务事项智能引导、智能申报、智能预审、智能审批等服务，实现线上线下申请材料结构化、业务流程标准化、审查规则指标化、数据比对自动化。深化政策和服务“免申即享”模式。进一步强化“免申即享”工作制度保障，加强市、区统筹协调和宣传引导，推进条件成熟的行政给付、资金补贴扶持、税收优惠等惠企利民政策和服务“免申即享”“政策体检”全覆盖。</w:t>
      </w:r>
      <w:r>
        <w:rPr>
          <w:rFonts w:hint="eastAsia"/>
          <w:sz w:val="24"/>
          <w:szCs w:val="24"/>
          <w:lang w:val="en-US" w:eastAsia="zh-CN"/>
        </w:rPr>
        <w:t>目前法律援助系统“免申即享”相关功能仅能做到数据流通，但需要增设数据统计和展示，便于及时掌握实施情况，推动相关工作。</w:t>
      </w:r>
    </w:p>
    <w:p w14:paraId="76448C55">
      <w:pPr>
        <w:widowControl/>
        <w:jc w:val="left"/>
        <w:rPr>
          <w:rFonts w:hint="default"/>
          <w:sz w:val="24"/>
          <w:szCs w:val="24"/>
          <w:lang w:val="en-US" w:eastAsia="zh-CN"/>
        </w:rPr>
      </w:pPr>
      <w:r>
        <w:rPr>
          <w:rFonts w:hint="default" w:ascii="宋体" w:hAnsi="宋体" w:eastAsia="宋体"/>
          <w:sz w:val="24"/>
          <w:szCs w:val="24"/>
          <w:lang w:val="en-US" w:eastAsia="zh-CN"/>
        </w:rPr>
        <w:t></w:t>
      </w:r>
      <w:r>
        <w:rPr>
          <w:rFonts w:hint="eastAsia" w:ascii="宋体" w:hAnsi="宋体" w:eastAsia="宋体"/>
          <w:sz w:val="24"/>
          <w:szCs w:val="24"/>
          <w:lang w:val="en-US" w:eastAsia="zh-CN"/>
        </w:rPr>
        <w:t>《上海市法律援助若干规定》</w:t>
      </w:r>
      <w:r>
        <w:rPr>
          <w:rFonts w:ascii="宋体" w:hAnsi="宋体" w:eastAsia="宋体" w:cs="Times New Roman"/>
          <w:b w:val="0"/>
          <w:bCs w:val="0"/>
          <w:i w:val="0"/>
          <w:iCs w:val="0"/>
          <w:caps w:val="0"/>
          <w:spacing w:val="0"/>
          <w:kern w:val="2"/>
          <w:sz w:val="24"/>
          <w:szCs w:val="24"/>
          <w:lang w:val="en-US" w:eastAsia="zh-CN" w:bidi="ar"/>
        </w:rPr>
        <w:t>第十三条</w:t>
      </w:r>
      <w:r>
        <w:rPr>
          <w:rFonts w:hint="default" w:ascii="宋体" w:hAnsi="宋体" w:eastAsia="宋体" w:cs="Times New Roman"/>
          <w:i w:val="0"/>
          <w:iCs w:val="0"/>
          <w:caps w:val="0"/>
          <w:spacing w:val="0"/>
          <w:kern w:val="2"/>
          <w:sz w:val="24"/>
          <w:szCs w:val="24"/>
          <w:lang w:val="en-US" w:eastAsia="zh-CN" w:bidi="ar"/>
        </w:rPr>
        <w:t> 对于诉讼事项的法律援助申请，由办理案件的公安机关、人民检察院、一审人民法院所在地的区法律援助机构受理。对非诉讼事项的法律援助申请，由争议处理机关所在地或者事由发生地的区法律援助机构受理。</w:t>
      </w:r>
      <w:r>
        <w:rPr>
          <w:rFonts w:hint="default"/>
          <w:sz w:val="24"/>
          <w:szCs w:val="24"/>
          <w:lang w:val="en-US" w:eastAsia="zh-CN"/>
        </w:rPr>
        <w:t>《上海市人民政府办公厅关于按照“两个集中”要求持续推进优化市级政务服务事项办理模式工作的通知》（沪府办字〔2022〕16 号）</w:t>
      </w:r>
      <w:r>
        <w:rPr>
          <w:rFonts w:hint="eastAsia"/>
          <w:sz w:val="24"/>
          <w:szCs w:val="24"/>
          <w:lang w:val="en-US" w:eastAsia="zh-CN"/>
        </w:rPr>
        <w:t>、</w:t>
      </w:r>
      <w:r>
        <w:rPr>
          <w:rFonts w:hint="default"/>
          <w:sz w:val="24"/>
          <w:szCs w:val="24"/>
          <w:lang w:val="en-US" w:eastAsia="zh-CN"/>
        </w:rPr>
        <w:t>《关于优化本市公共法律服务实体平台功能推动服务下沉的实施方案》：按照市级政务服务事项“能网办，尽量网办”“能下沉，尽量下沉”的原则，不断优化事项办理模式，向基层放权赋能，实现更多事项全程网上办理、下沉基层办理，推动企业事项向区政务服务中心集中、个人事项向社区事务受理服务中心集中（“两个集中”），打造扁平化、便捷化政务服务模式，更好方便企业群众网上办、就近办，切实增强企业群众办事获得感和满意度。</w:t>
      </w:r>
      <w:r>
        <w:rPr>
          <w:rFonts w:hint="eastAsia"/>
          <w:sz w:val="24"/>
          <w:szCs w:val="24"/>
          <w:lang w:val="en-US" w:eastAsia="zh-CN"/>
        </w:rPr>
        <w:t>依据新的法律规定和工作要求，法律援助系统急需优化案件受理功能，打破以往层级限制，赋予基层更多案件受理权限。</w:t>
      </w:r>
    </w:p>
    <w:p w14:paraId="13BD1881">
      <w:pPr>
        <w:rPr>
          <w:rFonts w:hint="default"/>
          <w:sz w:val="24"/>
          <w:szCs w:val="24"/>
          <w:lang w:val="en-US" w:eastAsia="zh-CN"/>
        </w:rPr>
      </w:pPr>
      <w:r>
        <w:rPr>
          <w:rFonts w:hint="default"/>
          <w:sz w:val="24"/>
          <w:szCs w:val="24"/>
          <w:lang w:val="en-US" w:eastAsia="zh-CN"/>
        </w:rPr>
        <w:t>《关于进一步深化刑事案件律师辩护全覆盖试点工作的实施意见》：本市各级司法行政机关和市律师协会要完善从事法律援助工作的律师选拔机制，建立律师资源动态调配机制，做好深化试点工作律师资源储备和支持。重复申请处理，对于已受理通知辩护的案件,犯罪嫌疑人及其近亲属又申请法律援助的,法律援助机构应当告知申请人撤回申请;对于犯罪嫌疑人及其近亲属申请且法律援助机构已作出给予法律援助决定的案件,人民检察院又通知辩护的,法律援助机构应当书面通知人民检察院已作出法律援助决定。</w:t>
      </w:r>
      <w:r>
        <w:rPr>
          <w:rFonts w:hint="eastAsia"/>
          <w:sz w:val="24"/>
          <w:szCs w:val="24"/>
          <w:lang w:val="en-US" w:eastAsia="zh-CN"/>
        </w:rPr>
        <w:t>目前法律援助律师选拔缺少信息化智能化手段，急需通过律师画像功能搭建辅助选拔管理工作。</w:t>
      </w:r>
    </w:p>
    <w:p w14:paraId="51CBF95E">
      <w:pPr>
        <w:rPr>
          <w:rFonts w:hint="default"/>
          <w:sz w:val="24"/>
          <w:szCs w:val="24"/>
          <w:lang w:val="en-US" w:eastAsia="zh-CN"/>
        </w:rPr>
      </w:pPr>
      <w:r>
        <w:rPr>
          <w:rFonts w:hint="default"/>
          <w:sz w:val="24"/>
          <w:szCs w:val="24"/>
          <w:lang w:val="en-US" w:eastAsia="zh-CN"/>
        </w:rPr>
        <w:t>《办理法律援助案件程序规定》</w:t>
      </w:r>
      <w:r>
        <w:rPr>
          <w:rFonts w:hint="eastAsia"/>
          <w:sz w:val="24"/>
          <w:szCs w:val="24"/>
          <w:lang w:val="en-US" w:eastAsia="zh-CN"/>
        </w:rPr>
        <w:t xml:space="preserve">第四十二条 </w:t>
      </w:r>
      <w:r>
        <w:rPr>
          <w:rFonts w:hint="default"/>
          <w:sz w:val="24"/>
          <w:szCs w:val="24"/>
          <w:lang w:val="en-US" w:eastAsia="zh-CN"/>
        </w:rPr>
        <w:t>法律援助机构应当对法律援助案件申请、审查、指派等材料以及法律援助人员提交的结案归档材料进行整理，一案一卷，统一归档管理。</w:t>
      </w:r>
      <w:r>
        <w:rPr>
          <w:rFonts w:hint="eastAsia"/>
          <w:sz w:val="24"/>
          <w:szCs w:val="24"/>
          <w:lang w:val="en-US" w:eastAsia="zh-CN"/>
        </w:rPr>
        <w:t>目前法律援助系统没有给予法律援助律师上传电子办案卷宗的功能，急需通过此次改造增设。</w:t>
      </w:r>
    </w:p>
    <w:p w14:paraId="1C570506">
      <w:pPr>
        <w:rPr>
          <w:rFonts w:hint="default"/>
          <w:sz w:val="24"/>
          <w:szCs w:val="24"/>
          <w:lang w:val="en-US" w:eastAsia="zh-CN"/>
        </w:rPr>
      </w:pPr>
      <w:r>
        <w:rPr>
          <w:rFonts w:hint="default"/>
          <w:sz w:val="24"/>
          <w:szCs w:val="24"/>
          <w:lang w:val="en-US" w:eastAsia="zh-CN"/>
        </w:rPr>
        <w:t>上海市司法局、上海市民政局关于印发《法律援助申请人及其家庭成员经济状况核对工作方案》的通知：上海市居民的经济状况核对须实现线上自动申请、获取。</w:t>
      </w:r>
      <w:r>
        <w:rPr>
          <w:rFonts w:hint="eastAsia"/>
          <w:sz w:val="24"/>
          <w:szCs w:val="24"/>
          <w:lang w:val="en-US" w:eastAsia="zh-CN"/>
        </w:rPr>
        <w:t>为保证该功能的正常运行，需依据民政系统的升级更新做相应调试和优化。</w:t>
      </w:r>
    </w:p>
    <w:p w14:paraId="1B586177">
      <w:pPr>
        <w:pStyle w:val="3"/>
        <w:ind w:left="0" w:leftChars="0" w:firstLineChars="0"/>
        <w:rPr>
          <w:rFonts w:hint="eastAsia" w:cs="Times New Roman"/>
          <w:lang w:val="en-US" w:eastAsia="zh-CN"/>
        </w:rPr>
      </w:pPr>
      <w:r>
        <w:rPr>
          <w:rFonts w:hint="eastAsia" w:cs="Times New Roman"/>
          <w:lang w:val="en-US" w:eastAsia="zh-CN"/>
        </w:rPr>
        <w:t>建设期限</w:t>
      </w:r>
    </w:p>
    <w:p w14:paraId="609996F9">
      <w:pPr>
        <w:ind w:firstLine="0" w:firstLineChars="0"/>
        <w:rPr>
          <w:rFonts w:hint="default"/>
          <w:lang w:val="en-US" w:eastAsia="zh-CN"/>
        </w:rPr>
      </w:pPr>
      <w:r>
        <w:rPr>
          <w:rFonts w:hint="eastAsia" w:cs="Times New Roman"/>
          <w:lang w:val="en-US" w:eastAsia="zh-CN"/>
        </w:rPr>
        <w:t>建设期限：自合同签订之日起至2026年11月15日</w:t>
      </w:r>
      <w:r>
        <w:rPr>
          <w:rFonts w:hint="eastAsia"/>
        </w:rPr>
        <w:t>前完成项目建设并通过验收（包含30天试运行）。</w:t>
      </w:r>
    </w:p>
    <w:p w14:paraId="4E617018">
      <w:pPr>
        <w:pStyle w:val="3"/>
        <w:ind w:left="0" w:leftChars="0" w:firstLineChars="0"/>
        <w:rPr>
          <w:rFonts w:hint="eastAsia" w:cs="Times New Roman"/>
          <w:lang w:val="en-US" w:eastAsia="zh-CN"/>
        </w:rPr>
      </w:pPr>
      <w:r>
        <w:rPr>
          <w:rFonts w:hint="eastAsia" w:cs="Times New Roman"/>
          <w:lang w:val="en-US" w:eastAsia="zh-CN"/>
        </w:rPr>
        <w:t>建设地点</w:t>
      </w:r>
    </w:p>
    <w:p w14:paraId="1547B697">
      <w:pPr>
        <w:rPr>
          <w:rFonts w:hint="default"/>
          <w:lang w:val="en-US" w:eastAsia="zh-CN"/>
        </w:rPr>
      </w:pPr>
      <w:r>
        <w:rPr>
          <w:rFonts w:hint="eastAsia" w:cs="Times New Roman"/>
          <w:lang w:val="en-US" w:eastAsia="zh-CN"/>
        </w:rPr>
        <w:t>建设地点：上海市建国西路648号</w:t>
      </w:r>
    </w:p>
    <w:p w14:paraId="0BBB46CE">
      <w:pPr>
        <w:pStyle w:val="3"/>
        <w:ind w:left="0" w:leftChars="0" w:firstLineChars="0"/>
        <w:rPr>
          <w:rFonts w:hint="eastAsia" w:cs="Times New Roman"/>
          <w:lang w:val="en-US" w:eastAsia="zh-CN"/>
        </w:rPr>
      </w:pPr>
      <w:r>
        <w:rPr>
          <w:rFonts w:hint="eastAsia" w:cs="Times New Roman"/>
          <w:lang w:val="en-US" w:eastAsia="zh-CN"/>
        </w:rPr>
        <w:t>预算金额</w:t>
      </w:r>
    </w:p>
    <w:p w14:paraId="29EE3071">
      <w:pPr>
        <w:rPr>
          <w:rFonts w:hint="default"/>
          <w:lang w:val="en-US" w:eastAsia="zh-CN"/>
        </w:rPr>
      </w:pPr>
      <w:r>
        <w:rPr>
          <w:rFonts w:hint="eastAsia" w:cs="Times New Roman"/>
          <w:lang w:val="en-US" w:eastAsia="zh-CN"/>
        </w:rPr>
        <w:t>预算金额：1375000元</w:t>
      </w:r>
    </w:p>
    <w:p w14:paraId="1E4A1368">
      <w:pPr>
        <w:pStyle w:val="3"/>
        <w:ind w:left="0" w:leftChars="0" w:firstLineChars="0"/>
        <w:rPr>
          <w:rFonts w:hint="eastAsia" w:cs="Times New Roman"/>
          <w:lang w:val="en-US" w:eastAsia="zh-CN"/>
        </w:rPr>
      </w:pPr>
      <w:r>
        <w:rPr>
          <w:rFonts w:hint="eastAsia" w:cs="Times New Roman"/>
          <w:lang w:val="en-US" w:eastAsia="zh-CN"/>
        </w:rPr>
        <w:t>采购金额（最高限价）</w:t>
      </w:r>
    </w:p>
    <w:p w14:paraId="77E29EFD">
      <w:pPr>
        <w:rPr>
          <w:rFonts w:hint="default"/>
          <w:lang w:val="en-US" w:eastAsia="zh-CN"/>
        </w:rPr>
      </w:pPr>
      <w:r>
        <w:rPr>
          <w:rFonts w:hint="eastAsia" w:cs="Times New Roman"/>
          <w:lang w:val="en-US" w:eastAsia="zh-CN"/>
        </w:rPr>
        <w:t>采购金额（最高限价）：1375000元</w:t>
      </w:r>
    </w:p>
    <w:p w14:paraId="3969A05E">
      <w:pPr>
        <w:pStyle w:val="3"/>
        <w:ind w:left="0" w:leftChars="0" w:firstLineChars="0"/>
        <w:rPr>
          <w:rFonts w:hint="eastAsia" w:cs="Times New Roman"/>
          <w:lang w:val="en-US" w:eastAsia="zh-CN"/>
        </w:rPr>
      </w:pPr>
      <w:r>
        <w:rPr>
          <w:rFonts w:hint="eastAsia" w:cs="Times New Roman"/>
          <w:lang w:val="en-US" w:eastAsia="zh-CN"/>
        </w:rPr>
        <w:t>组织形式</w:t>
      </w:r>
    </w:p>
    <w:p w14:paraId="3573AF3B">
      <w:pPr>
        <w:rPr>
          <w:rFonts w:hint="default" w:eastAsia="宋体"/>
          <w:lang w:val="en-US" w:eastAsia="zh-CN"/>
        </w:rPr>
      </w:pPr>
      <w:r>
        <w:rPr>
          <w:rFonts w:hint="eastAsia" w:cs="Times New Roman"/>
          <w:lang w:val="en-US" w:eastAsia="zh-CN"/>
        </w:rPr>
        <w:t>组织形式：</w:t>
      </w:r>
      <w:r>
        <w:rPr>
          <w:rFonts w:hint="default"/>
          <w:lang w:val="en-US" w:eastAsia="zh-CN"/>
        </w:rPr>
        <w:t>集中采购</w:t>
      </w:r>
    </w:p>
    <w:p w14:paraId="35948F96">
      <w:pPr>
        <w:pStyle w:val="3"/>
        <w:ind w:left="0" w:leftChars="0" w:firstLineChars="0"/>
        <w:rPr>
          <w:rFonts w:hint="eastAsia" w:cs="Times New Roman"/>
          <w:lang w:val="en-US" w:eastAsia="zh-CN"/>
        </w:rPr>
      </w:pPr>
      <w:r>
        <w:rPr>
          <w:rFonts w:hint="eastAsia" w:cs="Times New Roman"/>
          <w:lang w:val="en-US" w:eastAsia="zh-CN"/>
        </w:rPr>
        <w:t>采购方式</w:t>
      </w:r>
    </w:p>
    <w:p w14:paraId="5719893C">
      <w:pPr>
        <w:rPr>
          <w:rFonts w:hint="default" w:eastAsia="宋体"/>
          <w:lang w:val="en-US" w:eastAsia="zh-CN"/>
        </w:rPr>
      </w:pPr>
      <w:r>
        <w:rPr>
          <w:rFonts w:hint="eastAsia"/>
          <w:lang w:val="en-US" w:eastAsia="zh-CN"/>
        </w:rPr>
        <w:t>采购方式：竞争性磋商</w:t>
      </w:r>
    </w:p>
    <w:p w14:paraId="5CF9BBF5">
      <w:pPr>
        <w:pStyle w:val="3"/>
        <w:ind w:left="0" w:leftChars="0" w:firstLineChars="0"/>
        <w:rPr>
          <w:rFonts w:hint="eastAsia" w:cs="Times New Roman"/>
          <w:lang w:val="en-US" w:eastAsia="zh-CN"/>
        </w:rPr>
      </w:pPr>
      <w:r>
        <w:rPr>
          <w:rFonts w:hint="eastAsia" w:cs="Times New Roman"/>
          <w:lang w:val="en-US" w:eastAsia="zh-CN"/>
        </w:rPr>
        <w:t>是否接受联合体投标</w:t>
      </w:r>
    </w:p>
    <w:p w14:paraId="73615F36">
      <w:pPr>
        <w:rPr>
          <w:rFonts w:hint="default"/>
          <w:lang w:val="en-US" w:eastAsia="zh-CN"/>
        </w:rPr>
      </w:pPr>
      <w:r>
        <w:rPr>
          <w:rFonts w:hint="eastAsia"/>
          <w:lang w:val="en-US" w:eastAsia="zh-CN"/>
        </w:rPr>
        <w:t>是否接受联合体投标：本项目不接受联合体响应</w:t>
      </w:r>
    </w:p>
    <w:p w14:paraId="063B4538">
      <w:pPr>
        <w:pStyle w:val="3"/>
        <w:ind w:left="0" w:leftChars="0" w:firstLineChars="0"/>
        <w:rPr>
          <w:rFonts w:hint="eastAsia" w:cs="Times New Roman"/>
          <w:lang w:val="en-US" w:eastAsia="zh-CN"/>
        </w:rPr>
      </w:pPr>
      <w:r>
        <w:rPr>
          <w:rFonts w:hint="eastAsia" w:cs="Times New Roman"/>
          <w:lang w:val="en-US" w:eastAsia="zh-CN"/>
        </w:rPr>
        <w:t>是否按XC要求建设</w:t>
      </w:r>
    </w:p>
    <w:p w14:paraId="11D3E1B4">
      <w:pPr>
        <w:rPr>
          <w:rFonts w:hint="default"/>
          <w:lang w:val="en-US" w:eastAsia="zh-CN"/>
        </w:rPr>
      </w:pPr>
      <w:r>
        <w:rPr>
          <w:rFonts w:hint="eastAsia" w:cs="Times New Roman"/>
          <w:lang w:val="en-US" w:eastAsia="zh-CN"/>
        </w:rPr>
        <w:t>是否按XC要求建设：是</w:t>
      </w:r>
    </w:p>
    <w:p w14:paraId="427D8424">
      <w:pPr>
        <w:pStyle w:val="3"/>
        <w:ind w:left="0" w:leftChars="0" w:firstLineChars="0"/>
        <w:rPr>
          <w:rFonts w:hint="default" w:cs="Times New Roman"/>
          <w:lang w:val="en-US" w:eastAsia="zh-CN"/>
        </w:rPr>
      </w:pPr>
      <w:r>
        <w:rPr>
          <w:rFonts w:hint="eastAsia" w:cs="Times New Roman"/>
          <w:lang w:val="en-US" w:eastAsia="zh-CN"/>
        </w:rPr>
        <w:t>运维后所属大系统</w:t>
      </w:r>
    </w:p>
    <w:p w14:paraId="4142AE5A">
      <w:pPr>
        <w:rPr>
          <w:rFonts w:hint="default"/>
          <w:lang w:val="en-US" w:eastAsia="zh-CN"/>
        </w:rPr>
      </w:pPr>
      <w:r>
        <w:rPr>
          <w:rFonts w:hint="eastAsia" w:cs="Times New Roman"/>
          <w:lang w:val="en-US" w:eastAsia="zh-CN"/>
        </w:rPr>
        <w:t>运维后所属大系统：一网通办大系统</w:t>
      </w:r>
    </w:p>
    <w:p w14:paraId="171950B4">
      <w:pPr>
        <w:pStyle w:val="2"/>
        <w:ind w:left="0" w:leftChars="0" w:firstLineChars="0"/>
      </w:pPr>
      <w:bookmarkStart w:id="1" w:name="_Toc47537134"/>
      <w:bookmarkEnd w:id="1"/>
      <w:bookmarkStart w:id="2" w:name="_Toc47536644"/>
      <w:bookmarkEnd w:id="2"/>
      <w:bookmarkStart w:id="3" w:name="_Toc47533256"/>
      <w:bookmarkEnd w:id="3"/>
      <w:bookmarkStart w:id="4" w:name="_Toc47532255"/>
      <w:bookmarkEnd w:id="4"/>
      <w:bookmarkStart w:id="5" w:name="_Toc47539070"/>
      <w:bookmarkEnd w:id="5"/>
      <w:bookmarkStart w:id="6" w:name="_Toc47531634"/>
      <w:bookmarkEnd w:id="6"/>
      <w:bookmarkStart w:id="7" w:name="_Toc47532891"/>
      <w:bookmarkEnd w:id="7"/>
      <w:bookmarkStart w:id="8" w:name="_Toc47536272"/>
      <w:bookmarkEnd w:id="8"/>
      <w:bookmarkStart w:id="9" w:name="_Toc48223882"/>
      <w:bookmarkStart w:id="10" w:name="_Toc63785463"/>
      <w:r>
        <w:rPr>
          <w:rFonts w:hint="eastAsia"/>
        </w:rPr>
        <w:t>建设目标</w:t>
      </w:r>
      <w:bookmarkEnd w:id="9"/>
      <w:bookmarkEnd w:id="10"/>
    </w:p>
    <w:p w14:paraId="0C7D3447">
      <w:pPr>
        <w:pStyle w:val="3"/>
        <w:rPr>
          <w:rFonts w:hint="eastAsia" w:ascii="宋体" w:hAnsi="宋体" w:eastAsia="宋体"/>
          <w:lang w:val="en-US" w:eastAsia="zh-CN"/>
        </w:rPr>
      </w:pPr>
      <w:r>
        <w:rPr>
          <w:rFonts w:hint="eastAsia" w:ascii="宋体" w:hAnsi="宋体" w:eastAsia="宋体"/>
          <w:lang w:val="en-US" w:eastAsia="zh-CN"/>
        </w:rPr>
        <w:t>总体目标</w:t>
      </w:r>
    </w:p>
    <w:p w14:paraId="1F674FF2">
      <w:pPr>
        <w:rPr>
          <w:rFonts w:hint="eastAsia" w:ascii="宋体" w:hAnsi="宋体" w:eastAsia="宋体" w:cs="宋体"/>
          <w:color w:val="auto"/>
          <w:highlight w:val="none"/>
        </w:rPr>
      </w:pPr>
      <w:r>
        <w:rPr>
          <w:rFonts w:hint="eastAsia" w:ascii="宋体" w:hAnsi="宋体" w:eastAsia="宋体" w:cs="宋体"/>
          <w:color w:val="auto"/>
          <w:highlight w:val="none"/>
        </w:rPr>
        <w:t>一、完善系统功能，实现免申即享和指定（委托）案件的业务办理，方便群众网上办、就近办。</w:t>
      </w:r>
    </w:p>
    <w:p w14:paraId="76699FEC">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、聚焦系统使用的痛点问题，满足内部管理需要，充分利用上海市大数据中心的技术能力，</w:t>
      </w:r>
      <w:r>
        <w:rPr>
          <w:rFonts w:hint="eastAsia" w:ascii="宋体" w:hAnsi="宋体" w:eastAsia="宋体" w:cs="宋体"/>
          <w:color w:val="auto"/>
          <w:highlight w:val="none"/>
          <w:lang w:val="en-US" w:eastAsia="zh-CN"/>
        </w:rPr>
        <w:t>提高法援系统的工作效率，</w:t>
      </w:r>
      <w:r>
        <w:rPr>
          <w:rFonts w:hint="eastAsia" w:ascii="宋体" w:hAnsi="宋体" w:eastAsia="宋体" w:cs="宋体"/>
          <w:color w:val="auto"/>
          <w:highlight w:val="none"/>
        </w:rPr>
        <w:t>提升工作人员政务服务能力和服务标准。</w:t>
      </w:r>
    </w:p>
    <w:p w14:paraId="09BBEA09">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加强法援流程的管理，</w:t>
      </w:r>
      <w:r>
        <w:rPr>
          <w:rFonts w:hint="eastAsia" w:ascii="宋体" w:hAnsi="宋体" w:eastAsia="宋体" w:cs="宋体"/>
          <w:color w:val="auto"/>
          <w:highlight w:val="none"/>
        </w:rPr>
        <w:t>提高法援案件办理质量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建立完善服务质量评估机制，督促法律援助人员提升服务质量。</w:t>
      </w:r>
    </w:p>
    <w:p w14:paraId="63A09098">
      <w:pPr>
        <w:rPr>
          <w:rFonts w:hint="eastAsia" w:ascii="宋体" w:hAnsi="宋体" w:eastAsia="宋体" w:cs="宋体"/>
          <w:color w:val="auto"/>
          <w:highlight w:val="none"/>
        </w:rPr>
      </w:pPr>
      <w:r>
        <w:rPr>
          <w:rFonts w:hint="eastAsia" w:ascii="宋体" w:hAnsi="宋体" w:eastAsia="宋体" w:cs="宋体"/>
          <w:color w:val="auto"/>
          <w:highlight w:val="none"/>
        </w:rPr>
        <w:t>四、建立法援律师资源动态调配机制，实现律师资源均衡配置。在案件指派律师环节，应用大数据、人工智能技术实现高效、科学、公平指派。</w:t>
      </w:r>
    </w:p>
    <w:p w14:paraId="58AFAC97">
      <w:pPr>
        <w:pStyle w:val="3"/>
        <w:keepNext w:val="0"/>
        <w:keepLines w:val="0"/>
        <w:widowControl/>
        <w:suppressLineNumbers w:val="0"/>
        <w:shd w:val="clear" w:fill="FFFFFF"/>
        <w:spacing w:before="192" w:beforeAutospacing="0" w:after="192" w:afterAutospacing="0"/>
        <w:ind w:left="0" w:right="0"/>
        <w:rPr>
          <w:rFonts w:hint="eastAsia" w:ascii="宋体" w:hAnsi="宋体" w:eastAsia="宋体" w:cs="Times New Roman"/>
          <w:i w:val="0"/>
          <w:iCs w:val="0"/>
          <w:caps w:val="0"/>
          <w:spacing w:val="0"/>
          <w:kern w:val="2"/>
          <w:sz w:val="30"/>
          <w:szCs w:val="32"/>
          <w:shd w:val="clear"/>
          <w:lang w:val="en-US" w:eastAsia="zh-CN"/>
        </w:rPr>
      </w:pPr>
      <w:r>
        <w:rPr>
          <w:rFonts w:hint="eastAsia" w:ascii="宋体" w:hAnsi="宋体" w:eastAsia="宋体" w:cs="Times New Roman"/>
          <w:i w:val="0"/>
          <w:iCs w:val="0"/>
          <w:caps w:val="0"/>
          <w:spacing w:val="0"/>
          <w:kern w:val="2"/>
          <w:sz w:val="30"/>
          <w:szCs w:val="32"/>
          <w:shd w:val="clear"/>
          <w:lang w:val="en-US" w:eastAsia="zh-CN"/>
        </w:rPr>
        <w:t>技术考核指标</w:t>
      </w:r>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4"/>
        <w:gridCol w:w="1125"/>
        <w:gridCol w:w="1215"/>
        <w:gridCol w:w="1676"/>
        <w:gridCol w:w="2256"/>
        <w:gridCol w:w="1282"/>
      </w:tblGrid>
      <w:tr w14:paraId="67736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8131497">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序号</w:t>
            </w:r>
          </w:p>
        </w:tc>
        <w:tc>
          <w:tcPr>
            <w:tcW w:w="659"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9E688D6">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一级指标</w:t>
            </w:r>
          </w:p>
        </w:tc>
        <w:tc>
          <w:tcPr>
            <w:tcW w:w="71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D2C8604">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二级指标</w:t>
            </w:r>
          </w:p>
        </w:tc>
        <w:tc>
          <w:tcPr>
            <w:tcW w:w="98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67C4942">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三级指标</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FBAB2C3">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四级指标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1563467">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指标值</w:t>
            </w:r>
          </w:p>
        </w:tc>
      </w:tr>
      <w:tr w14:paraId="5FAA1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00FBED9">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restart"/>
            <w:tcBorders>
              <w:top w:val="single" w:color="auto" w:sz="2" w:space="0"/>
              <w:left w:val="single" w:color="auto" w:sz="2" w:space="0"/>
              <w:right w:val="single" w:color="auto" w:sz="2" w:space="0"/>
              <w:tl2br w:val="nil"/>
              <w:tr2bl w:val="nil"/>
            </w:tcBorders>
            <w:noWrap w:val="0"/>
            <w:vAlign w:val="center"/>
          </w:tcPr>
          <w:p w14:paraId="57CEC7E2">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sz w:val="21"/>
                <w:szCs w:val="24"/>
              </w:rPr>
              <w:t>通用指标</w:t>
            </w:r>
          </w:p>
        </w:tc>
        <w:tc>
          <w:tcPr>
            <w:tcW w:w="712" w:type="pct"/>
            <w:vMerge w:val="restart"/>
            <w:tcBorders>
              <w:top w:val="single" w:color="auto" w:sz="2" w:space="0"/>
              <w:left w:val="single" w:color="auto" w:sz="2" w:space="0"/>
              <w:right w:val="single" w:color="auto" w:sz="2" w:space="0"/>
              <w:tl2br w:val="nil"/>
              <w:tr2bl w:val="nil"/>
            </w:tcBorders>
            <w:noWrap w:val="0"/>
            <w:vAlign w:val="center"/>
          </w:tcPr>
          <w:p w14:paraId="75829615">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sz w:val="21"/>
                <w:szCs w:val="24"/>
              </w:rPr>
              <w:t>产出指标</w:t>
            </w:r>
          </w:p>
        </w:tc>
        <w:tc>
          <w:tcPr>
            <w:tcW w:w="982" w:type="pct"/>
            <w:vMerge w:val="restart"/>
            <w:tcBorders>
              <w:top w:val="single" w:color="auto" w:sz="2" w:space="0"/>
              <w:left w:val="single" w:color="auto" w:sz="2" w:space="0"/>
              <w:right w:val="single" w:color="auto" w:sz="2" w:space="0"/>
              <w:tl2br w:val="nil"/>
              <w:tr2bl w:val="nil"/>
            </w:tcBorders>
            <w:noWrap w:val="0"/>
            <w:vAlign w:val="center"/>
          </w:tcPr>
          <w:p w14:paraId="1E86BB6A">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sz w:val="21"/>
                <w:szCs w:val="24"/>
              </w:rPr>
              <w:t>产出数量</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AEBFF10">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软件开发完成率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48CCFB9">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100%</w:t>
            </w:r>
          </w:p>
        </w:tc>
      </w:tr>
      <w:tr w14:paraId="41489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96770A6">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43A06F28">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75215E1C">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right w:val="single" w:color="auto" w:sz="2" w:space="0"/>
              <w:tl2br w:val="nil"/>
              <w:tr2bl w:val="nil"/>
            </w:tcBorders>
            <w:noWrap w:val="0"/>
            <w:vAlign w:val="center"/>
          </w:tcPr>
          <w:p w14:paraId="57134304">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F5CF87B">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软件产品购置完成率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9201A2A">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10CEC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2E96B60">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68238F03">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4408C77A">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bottom w:val="single" w:color="auto" w:sz="2" w:space="0"/>
              <w:right w:val="single" w:color="auto" w:sz="2" w:space="0"/>
              <w:tl2br w:val="nil"/>
              <w:tr2bl w:val="nil"/>
            </w:tcBorders>
            <w:noWrap w:val="0"/>
            <w:vAlign w:val="center"/>
          </w:tcPr>
          <w:p w14:paraId="7762E281">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B263EDA">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硬件设备购置完成率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2006D6C">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45320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479B60D">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20E4FC4E">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5BB44095">
            <w:pPr>
              <w:pStyle w:val="136"/>
              <w:widowControl w:val="0"/>
              <w:spacing w:beforeLines="0" w:afterLines="0" w:line="288" w:lineRule="auto"/>
              <w:jc w:val="center"/>
              <w:rPr>
                <w:rFonts w:hint="eastAsia" w:ascii="宋体" w:hAnsi="宋体" w:eastAsia="宋体" w:cs="宋体"/>
                <w:sz w:val="21"/>
                <w:szCs w:val="24"/>
              </w:rPr>
            </w:pPr>
          </w:p>
        </w:tc>
        <w:tc>
          <w:tcPr>
            <w:tcW w:w="982" w:type="pct"/>
            <w:vMerge w:val="restart"/>
            <w:tcBorders>
              <w:top w:val="single" w:color="auto" w:sz="2" w:space="0"/>
              <w:left w:val="single" w:color="auto" w:sz="2" w:space="0"/>
              <w:right w:val="single" w:color="auto" w:sz="2" w:space="0"/>
              <w:tl2br w:val="nil"/>
              <w:tr2bl w:val="nil"/>
            </w:tcBorders>
            <w:noWrap w:val="0"/>
            <w:vAlign w:val="center"/>
          </w:tcPr>
          <w:p w14:paraId="2E7527C0">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sz w:val="21"/>
                <w:szCs w:val="24"/>
              </w:rPr>
              <w:t>产出质量</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0532727">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系统可靠性</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F6920BD">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100%</w:t>
            </w:r>
          </w:p>
        </w:tc>
      </w:tr>
      <w:tr w14:paraId="202D6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0E85F1A">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60ACD5F0">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3898A6C7">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right w:val="single" w:color="auto" w:sz="2" w:space="0"/>
              <w:tl2br w:val="nil"/>
              <w:tr2bl w:val="nil"/>
            </w:tcBorders>
            <w:noWrap w:val="0"/>
            <w:vAlign w:val="center"/>
          </w:tcPr>
          <w:p w14:paraId="3F4A2605">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4E9984E">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软件测试达标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C154450">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达标</w:t>
            </w:r>
          </w:p>
        </w:tc>
      </w:tr>
      <w:tr w14:paraId="77F30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58A9E07">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02493A82">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34898927">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right w:val="single" w:color="auto" w:sz="2" w:space="0"/>
              <w:tl2br w:val="nil"/>
              <w:tr2bl w:val="nil"/>
            </w:tcBorders>
            <w:noWrap w:val="0"/>
            <w:vAlign w:val="center"/>
          </w:tcPr>
          <w:p w14:paraId="0B81DF36">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D4EF828">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密码测试达标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0EE9EE7">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达标</w:t>
            </w:r>
          </w:p>
        </w:tc>
      </w:tr>
      <w:tr w14:paraId="457B7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9A22D53">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7CDF162C">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2EC6DBE8">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right w:val="single" w:color="auto" w:sz="2" w:space="0"/>
              <w:tl2br w:val="nil"/>
              <w:tr2bl w:val="nil"/>
            </w:tcBorders>
            <w:noWrap w:val="0"/>
            <w:vAlign w:val="center"/>
          </w:tcPr>
          <w:p w14:paraId="48EE2D63">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9A5B463">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网络安全等级达标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FEFC6D4">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达标</w:t>
            </w:r>
          </w:p>
        </w:tc>
      </w:tr>
      <w:tr w14:paraId="13770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61449A0">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3AE337D4">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bottom w:val="single" w:color="auto" w:sz="2" w:space="0"/>
              <w:right w:val="single" w:color="auto" w:sz="2" w:space="0"/>
              <w:tl2br w:val="nil"/>
              <w:tr2bl w:val="nil"/>
            </w:tcBorders>
            <w:noWrap w:val="0"/>
            <w:vAlign w:val="center"/>
          </w:tcPr>
          <w:p w14:paraId="28D75234">
            <w:pPr>
              <w:pStyle w:val="136"/>
              <w:widowControl w:val="0"/>
              <w:spacing w:beforeLines="0" w:afterLines="0" w:line="288" w:lineRule="auto"/>
              <w:jc w:val="center"/>
              <w:rPr>
                <w:rFonts w:hint="eastAsia" w:ascii="宋体" w:hAnsi="宋体" w:eastAsia="宋体" w:cs="宋体"/>
                <w:sz w:val="21"/>
                <w:szCs w:val="24"/>
              </w:rPr>
            </w:pPr>
          </w:p>
        </w:tc>
        <w:tc>
          <w:tcPr>
            <w:tcW w:w="982" w:type="pct"/>
            <w:vMerge w:val="continue"/>
            <w:tcBorders>
              <w:left w:val="single" w:color="auto" w:sz="2" w:space="0"/>
              <w:bottom w:val="single" w:color="auto" w:sz="2" w:space="0"/>
              <w:right w:val="single" w:color="auto" w:sz="2" w:space="0"/>
              <w:tl2br w:val="nil"/>
              <w:tr2bl w:val="nil"/>
            </w:tcBorders>
            <w:noWrap w:val="0"/>
            <w:vAlign w:val="center"/>
          </w:tcPr>
          <w:p w14:paraId="1E94B595">
            <w:pPr>
              <w:pStyle w:val="136"/>
              <w:widowControl w:val="0"/>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7ED4EBB">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安全测试达标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55DAF7F">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达标</w:t>
            </w:r>
          </w:p>
        </w:tc>
      </w:tr>
      <w:tr w14:paraId="6D02E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9B2311D">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27A7FB27">
            <w:pPr>
              <w:pStyle w:val="136"/>
              <w:widowControl w:val="0"/>
              <w:spacing w:beforeLines="0" w:afterLines="0" w:line="288" w:lineRule="auto"/>
              <w:jc w:val="center"/>
              <w:rPr>
                <w:rFonts w:hint="eastAsia" w:ascii="宋体" w:hAnsi="宋体" w:eastAsia="宋体" w:cs="宋体"/>
                <w:sz w:val="21"/>
                <w:szCs w:val="24"/>
              </w:rPr>
            </w:pPr>
          </w:p>
        </w:tc>
        <w:tc>
          <w:tcPr>
            <w:tcW w:w="712" w:type="pct"/>
            <w:vMerge w:val="restart"/>
            <w:tcBorders>
              <w:top w:val="single" w:color="auto" w:sz="2" w:space="0"/>
              <w:left w:val="single" w:color="auto" w:sz="2" w:space="0"/>
              <w:right w:val="single" w:color="auto" w:sz="2" w:space="0"/>
              <w:tl2br w:val="nil"/>
              <w:tr2bl w:val="nil"/>
            </w:tcBorders>
            <w:noWrap w:val="0"/>
            <w:vAlign w:val="center"/>
          </w:tcPr>
          <w:p w14:paraId="7B9FC2A8">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共性平台</w:t>
            </w:r>
          </w:p>
        </w:tc>
        <w:tc>
          <w:tcPr>
            <w:tcW w:w="98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8EB4734">
            <w:pPr>
              <w:pStyle w:val="136"/>
              <w:widowControl w:val="0"/>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系统共享水平</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7C03C93">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跨部门数据共享程度</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34713AB">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5EC27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AB0DD7D">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24CCF824">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bottom w:val="single" w:color="auto" w:sz="2" w:space="0"/>
              <w:right w:val="single" w:color="auto" w:sz="2" w:space="0"/>
              <w:tl2br w:val="nil"/>
              <w:tr2bl w:val="nil"/>
            </w:tcBorders>
            <w:noWrap w:val="0"/>
            <w:vAlign w:val="center"/>
          </w:tcPr>
          <w:p w14:paraId="5D2B8E9D">
            <w:pPr>
              <w:pStyle w:val="136"/>
              <w:widowControl w:val="0"/>
              <w:spacing w:beforeLines="0" w:afterLines="0" w:line="288" w:lineRule="auto"/>
              <w:jc w:val="center"/>
              <w:rPr>
                <w:rFonts w:hint="eastAsia" w:ascii="宋体" w:hAnsi="宋体" w:eastAsia="宋体" w:cs="宋体"/>
                <w:color w:val="000000"/>
                <w:sz w:val="21"/>
                <w:szCs w:val="24"/>
              </w:rPr>
            </w:pPr>
          </w:p>
        </w:tc>
        <w:tc>
          <w:tcPr>
            <w:tcW w:w="98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7EDCE2F">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数据质量水平</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8F805F8">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核心数据缺失率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D428EBC">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0%</w:t>
            </w:r>
          </w:p>
        </w:tc>
      </w:tr>
      <w:tr w14:paraId="4ABA9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A42B359">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28EE1771">
            <w:pPr>
              <w:pStyle w:val="136"/>
              <w:widowControl w:val="0"/>
              <w:spacing w:beforeLines="0" w:afterLines="0" w:line="288" w:lineRule="auto"/>
              <w:jc w:val="center"/>
              <w:rPr>
                <w:rFonts w:hint="eastAsia" w:ascii="宋体" w:hAnsi="宋体" w:eastAsia="宋体" w:cs="宋体"/>
                <w:sz w:val="21"/>
                <w:szCs w:val="24"/>
              </w:rPr>
            </w:pPr>
          </w:p>
        </w:tc>
        <w:tc>
          <w:tcPr>
            <w:tcW w:w="712" w:type="pct"/>
            <w:vMerge w:val="restart"/>
            <w:tcBorders>
              <w:top w:val="single" w:color="auto" w:sz="2" w:space="0"/>
              <w:left w:val="single" w:color="auto" w:sz="2" w:space="0"/>
              <w:right w:val="single" w:color="auto" w:sz="2" w:space="0"/>
              <w:tl2br w:val="nil"/>
              <w:tr2bl w:val="nil"/>
            </w:tcBorders>
            <w:noWrap w:val="0"/>
            <w:vAlign w:val="center"/>
          </w:tcPr>
          <w:p w14:paraId="5DA6E487">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安全体系</w:t>
            </w:r>
          </w:p>
        </w:tc>
        <w:tc>
          <w:tcPr>
            <w:tcW w:w="982" w:type="pct"/>
            <w:vMerge w:val="restart"/>
            <w:tcBorders>
              <w:top w:val="single" w:color="auto" w:sz="2" w:space="0"/>
              <w:left w:val="single" w:color="auto" w:sz="2" w:space="0"/>
              <w:right w:val="single" w:color="auto" w:sz="2" w:space="0"/>
              <w:tl2br w:val="nil"/>
              <w:tr2bl w:val="nil"/>
            </w:tcBorders>
            <w:noWrap w:val="0"/>
            <w:vAlign w:val="center"/>
          </w:tcPr>
          <w:p w14:paraId="1B98CAB6">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安全建设水平</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B47D7B3">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安全设备购置完成率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868456A">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19CEA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8A8F890">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3B8445A6">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544C105F">
            <w:pPr>
              <w:pStyle w:val="136"/>
              <w:widowControl w:val="0"/>
              <w:spacing w:beforeLines="0" w:afterLines="0" w:line="288" w:lineRule="auto"/>
              <w:jc w:val="center"/>
              <w:rPr>
                <w:rFonts w:hint="eastAsia" w:ascii="宋体" w:hAnsi="宋体" w:eastAsia="宋体" w:cs="宋体"/>
                <w:color w:val="000000"/>
                <w:sz w:val="21"/>
                <w:szCs w:val="24"/>
              </w:rPr>
            </w:pPr>
          </w:p>
        </w:tc>
        <w:tc>
          <w:tcPr>
            <w:tcW w:w="982" w:type="pct"/>
            <w:vMerge w:val="continue"/>
            <w:tcBorders>
              <w:left w:val="single" w:color="auto" w:sz="2" w:space="0"/>
              <w:right w:val="single" w:color="auto" w:sz="2" w:space="0"/>
              <w:tl2br w:val="nil"/>
              <w:tr2bl w:val="nil"/>
            </w:tcBorders>
            <w:noWrap w:val="0"/>
            <w:vAlign w:val="center"/>
          </w:tcPr>
          <w:p w14:paraId="0E5552A8">
            <w:pPr>
              <w:pStyle w:val="136"/>
              <w:widowControl w:val="0"/>
              <w:spacing w:beforeLines="0" w:afterLines="0" w:line="288" w:lineRule="auto"/>
              <w:jc w:val="center"/>
              <w:rPr>
                <w:rFonts w:hint="eastAsia" w:ascii="宋体" w:hAnsi="宋体" w:eastAsia="宋体" w:cs="宋体"/>
                <w:color w:val="000000"/>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21419A9">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安全产品购置完成率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35BE9DE">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14157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C705431">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51256F02">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7F443EEE">
            <w:pPr>
              <w:pStyle w:val="136"/>
              <w:widowControl w:val="0"/>
              <w:spacing w:beforeLines="0" w:afterLines="0" w:line="288" w:lineRule="auto"/>
              <w:jc w:val="center"/>
              <w:rPr>
                <w:rFonts w:hint="eastAsia" w:ascii="宋体" w:hAnsi="宋体" w:eastAsia="宋体" w:cs="宋体"/>
                <w:color w:val="000000"/>
                <w:sz w:val="21"/>
                <w:szCs w:val="24"/>
              </w:rPr>
            </w:pPr>
          </w:p>
        </w:tc>
        <w:tc>
          <w:tcPr>
            <w:tcW w:w="982" w:type="pct"/>
            <w:vMerge w:val="continue"/>
            <w:tcBorders>
              <w:left w:val="single" w:color="auto" w:sz="2" w:space="0"/>
              <w:right w:val="single" w:color="auto" w:sz="2" w:space="0"/>
              <w:tl2br w:val="nil"/>
              <w:tr2bl w:val="nil"/>
            </w:tcBorders>
            <w:noWrap w:val="0"/>
            <w:vAlign w:val="center"/>
          </w:tcPr>
          <w:p w14:paraId="66402B0F">
            <w:pPr>
              <w:pStyle w:val="136"/>
              <w:widowControl w:val="0"/>
              <w:spacing w:beforeLines="0" w:afterLines="0" w:line="288" w:lineRule="auto"/>
              <w:jc w:val="center"/>
              <w:rPr>
                <w:rFonts w:hint="eastAsia" w:ascii="宋体" w:hAnsi="宋体" w:eastAsia="宋体" w:cs="宋体"/>
                <w:color w:val="000000"/>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6148648">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信息系统安全监管覆盖率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2946FA9">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2570B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E9D0CB7">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right w:val="single" w:color="auto" w:sz="2" w:space="0"/>
              <w:tl2br w:val="nil"/>
              <w:tr2bl w:val="nil"/>
            </w:tcBorders>
            <w:noWrap w:val="0"/>
            <w:vAlign w:val="center"/>
          </w:tcPr>
          <w:p w14:paraId="70B03FFE">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right w:val="single" w:color="auto" w:sz="2" w:space="0"/>
              <w:tl2br w:val="nil"/>
              <w:tr2bl w:val="nil"/>
            </w:tcBorders>
            <w:noWrap w:val="0"/>
            <w:vAlign w:val="center"/>
          </w:tcPr>
          <w:p w14:paraId="4B8194F2">
            <w:pPr>
              <w:pStyle w:val="136"/>
              <w:widowControl w:val="0"/>
              <w:spacing w:beforeLines="0" w:afterLines="0" w:line="288" w:lineRule="auto"/>
              <w:jc w:val="center"/>
              <w:rPr>
                <w:rFonts w:hint="eastAsia" w:ascii="宋体" w:hAnsi="宋体" w:eastAsia="宋体" w:cs="宋体"/>
                <w:color w:val="000000"/>
                <w:sz w:val="21"/>
                <w:szCs w:val="24"/>
              </w:rPr>
            </w:pPr>
          </w:p>
        </w:tc>
        <w:tc>
          <w:tcPr>
            <w:tcW w:w="982" w:type="pct"/>
            <w:vMerge w:val="continue"/>
            <w:tcBorders>
              <w:left w:val="single" w:color="auto" w:sz="2" w:space="0"/>
              <w:right w:val="single" w:color="auto" w:sz="2" w:space="0"/>
              <w:tl2br w:val="nil"/>
              <w:tr2bl w:val="nil"/>
            </w:tcBorders>
            <w:noWrap w:val="0"/>
            <w:vAlign w:val="center"/>
          </w:tcPr>
          <w:p w14:paraId="6D06CD1E">
            <w:pPr>
              <w:pStyle w:val="136"/>
              <w:widowControl w:val="0"/>
              <w:spacing w:beforeLines="0" w:afterLines="0" w:line="288" w:lineRule="auto"/>
              <w:jc w:val="center"/>
              <w:rPr>
                <w:rFonts w:hint="eastAsia" w:ascii="宋体" w:hAnsi="宋体" w:eastAsia="宋体" w:cs="宋体"/>
                <w:color w:val="000000"/>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FB4FCAC">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数据风险监测</w:t>
            </w:r>
          </w:p>
          <w:p w14:paraId="67F4EC03">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覆盖率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A4A80B5">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10117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D196F89">
            <w:pPr>
              <w:pStyle w:val="136"/>
              <w:widowControl w:val="0"/>
              <w:numPr>
                <w:ilvl w:val="0"/>
                <w:numId w:val="3"/>
              </w:numPr>
              <w:spacing w:beforeLines="0" w:afterLines="0" w:line="288" w:lineRule="auto"/>
              <w:jc w:val="center"/>
              <w:rPr>
                <w:rFonts w:hint="eastAsia" w:ascii="宋体" w:hAnsi="宋体" w:eastAsia="宋体" w:cs="宋体"/>
                <w:sz w:val="21"/>
                <w:szCs w:val="24"/>
              </w:rPr>
            </w:pPr>
          </w:p>
        </w:tc>
        <w:tc>
          <w:tcPr>
            <w:tcW w:w="659" w:type="pct"/>
            <w:vMerge w:val="continue"/>
            <w:tcBorders>
              <w:left w:val="single" w:color="auto" w:sz="2" w:space="0"/>
              <w:bottom w:val="single" w:color="auto" w:sz="2" w:space="0"/>
              <w:right w:val="single" w:color="auto" w:sz="2" w:space="0"/>
              <w:tl2br w:val="nil"/>
              <w:tr2bl w:val="nil"/>
            </w:tcBorders>
            <w:noWrap w:val="0"/>
            <w:vAlign w:val="center"/>
          </w:tcPr>
          <w:p w14:paraId="01B36F72">
            <w:pPr>
              <w:pStyle w:val="136"/>
              <w:widowControl w:val="0"/>
              <w:spacing w:beforeLines="0" w:afterLines="0" w:line="288" w:lineRule="auto"/>
              <w:jc w:val="center"/>
              <w:rPr>
                <w:rFonts w:hint="eastAsia" w:ascii="宋体" w:hAnsi="宋体" w:eastAsia="宋体" w:cs="宋体"/>
                <w:sz w:val="21"/>
                <w:szCs w:val="24"/>
              </w:rPr>
            </w:pPr>
          </w:p>
        </w:tc>
        <w:tc>
          <w:tcPr>
            <w:tcW w:w="712" w:type="pct"/>
            <w:vMerge w:val="continue"/>
            <w:tcBorders>
              <w:left w:val="single" w:color="auto" w:sz="2" w:space="0"/>
              <w:bottom w:val="single" w:color="auto" w:sz="2" w:space="0"/>
              <w:right w:val="single" w:color="auto" w:sz="2" w:space="0"/>
              <w:tl2br w:val="nil"/>
              <w:tr2bl w:val="nil"/>
            </w:tcBorders>
            <w:noWrap w:val="0"/>
            <w:vAlign w:val="center"/>
          </w:tcPr>
          <w:p w14:paraId="3D64C59A">
            <w:pPr>
              <w:pStyle w:val="136"/>
              <w:widowControl w:val="0"/>
              <w:spacing w:beforeLines="0" w:afterLines="0" w:line="288" w:lineRule="auto"/>
              <w:jc w:val="center"/>
              <w:rPr>
                <w:rFonts w:hint="eastAsia" w:ascii="宋体" w:hAnsi="宋体" w:eastAsia="宋体" w:cs="宋体"/>
                <w:color w:val="000000"/>
                <w:sz w:val="21"/>
                <w:szCs w:val="24"/>
              </w:rPr>
            </w:pPr>
          </w:p>
        </w:tc>
        <w:tc>
          <w:tcPr>
            <w:tcW w:w="982" w:type="pct"/>
            <w:vMerge w:val="continue"/>
            <w:tcBorders>
              <w:left w:val="single" w:color="auto" w:sz="2" w:space="0"/>
              <w:bottom w:val="single" w:color="auto" w:sz="2" w:space="0"/>
              <w:right w:val="single" w:color="auto" w:sz="2" w:space="0"/>
              <w:tl2br w:val="nil"/>
              <w:tr2bl w:val="nil"/>
            </w:tcBorders>
            <w:noWrap w:val="0"/>
            <w:vAlign w:val="center"/>
          </w:tcPr>
          <w:p w14:paraId="62D61D94">
            <w:pPr>
              <w:pStyle w:val="136"/>
              <w:widowControl w:val="0"/>
              <w:spacing w:beforeLines="0" w:afterLines="0" w:line="288" w:lineRule="auto"/>
              <w:jc w:val="center"/>
              <w:rPr>
                <w:rFonts w:hint="eastAsia" w:ascii="宋体" w:hAnsi="宋体" w:eastAsia="宋体" w:cs="宋体"/>
                <w:color w:val="000000"/>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B822829">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终端设备安全管理覆盖率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33B5757">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bl>
    <w:p w14:paraId="7ADF1504">
      <w:pPr>
        <w:pStyle w:val="3"/>
        <w:keepNext w:val="0"/>
        <w:keepLines w:val="0"/>
        <w:widowControl/>
        <w:suppressLineNumbers w:val="0"/>
        <w:shd w:val="clear" w:fill="FFFFFF"/>
        <w:spacing w:before="192" w:beforeAutospacing="0" w:after="192" w:afterAutospacing="0"/>
        <w:ind w:left="0" w:right="0"/>
        <w:rPr>
          <w:rFonts w:hint="eastAsia" w:ascii="宋体" w:hAnsi="宋体" w:eastAsia="宋体" w:cs="Times New Roman"/>
          <w:i w:val="0"/>
          <w:iCs w:val="0"/>
          <w:caps w:val="0"/>
          <w:spacing w:val="0"/>
          <w:kern w:val="2"/>
          <w:sz w:val="30"/>
          <w:szCs w:val="32"/>
          <w:shd w:val="clear"/>
        </w:rPr>
      </w:pPr>
      <w:bookmarkStart w:id="11" w:name="_Toc190270424"/>
      <w:r>
        <w:rPr>
          <w:rFonts w:hint="eastAsia" w:ascii="宋体" w:hAnsi="宋体" w:eastAsia="宋体" w:cs="Times New Roman"/>
          <w:i w:val="0"/>
          <w:iCs w:val="0"/>
          <w:caps w:val="0"/>
          <w:color w:val="auto"/>
          <w:spacing w:val="0"/>
          <w:kern w:val="2"/>
          <w:sz w:val="30"/>
          <w:szCs w:val="32"/>
          <w:shd w:val="clear" w:fill="auto"/>
        </w:rPr>
        <w:t>业务考核</w:t>
      </w:r>
      <w:r>
        <w:rPr>
          <w:rFonts w:hint="eastAsia" w:ascii="宋体" w:hAnsi="宋体" w:eastAsia="宋体" w:cs="Times New Roman"/>
          <w:i w:val="0"/>
          <w:iCs w:val="0"/>
          <w:caps w:val="0"/>
          <w:color w:val="auto"/>
          <w:spacing w:val="0"/>
          <w:kern w:val="2"/>
          <w:sz w:val="30"/>
          <w:szCs w:val="32"/>
          <w:shd w:val="clear" w:fill="auto"/>
          <w:lang w:val="en-US" w:eastAsia="zh-CN"/>
        </w:rPr>
        <w:t>指</w:t>
      </w:r>
      <w:r>
        <w:rPr>
          <w:rFonts w:hint="eastAsia" w:ascii="宋体" w:hAnsi="宋体" w:eastAsia="宋体" w:cs="Times New Roman"/>
          <w:i w:val="0"/>
          <w:iCs w:val="0"/>
          <w:caps w:val="0"/>
          <w:color w:val="auto"/>
          <w:spacing w:val="0"/>
          <w:kern w:val="2"/>
          <w:sz w:val="30"/>
          <w:szCs w:val="32"/>
          <w:shd w:val="clear" w:fill="auto"/>
        </w:rPr>
        <w:t>标</w:t>
      </w:r>
      <w:bookmarkEnd w:id="11"/>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1"/>
        <w:gridCol w:w="1266"/>
        <w:gridCol w:w="1481"/>
        <w:gridCol w:w="1411"/>
        <w:gridCol w:w="2256"/>
        <w:gridCol w:w="1283"/>
      </w:tblGrid>
      <w:tr w14:paraId="327C1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70AE9D5">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序号</w:t>
            </w:r>
          </w:p>
        </w:tc>
        <w:tc>
          <w:tcPr>
            <w:tcW w:w="74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503B2EF">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一级指标</w:t>
            </w:r>
          </w:p>
        </w:tc>
        <w:tc>
          <w:tcPr>
            <w:tcW w:w="86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638568D">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二级指标</w:t>
            </w:r>
          </w:p>
        </w:tc>
        <w:tc>
          <w:tcPr>
            <w:tcW w:w="82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1E11E4B">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三级指标</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E1D3A32">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四级指标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E76434C">
            <w:pPr>
              <w:pStyle w:val="136"/>
              <w:widowControl w:val="0"/>
              <w:spacing w:beforeLines="0" w:afterLines="0" w:line="288" w:lineRule="auto"/>
              <w:jc w:val="center"/>
              <w:rPr>
                <w:rFonts w:hint="eastAsia" w:ascii="宋体" w:hAnsi="宋体" w:eastAsia="宋体" w:cs="宋体"/>
                <w:b/>
                <w:sz w:val="21"/>
                <w:szCs w:val="24"/>
              </w:rPr>
            </w:pPr>
            <w:r>
              <w:rPr>
                <w:rFonts w:hint="eastAsia" w:ascii="宋体" w:hAnsi="宋体" w:eastAsia="宋体" w:cs="宋体"/>
                <w:b/>
                <w:sz w:val="21"/>
                <w:szCs w:val="24"/>
              </w:rPr>
              <w:t>指标值</w:t>
            </w:r>
          </w:p>
        </w:tc>
      </w:tr>
      <w:tr w14:paraId="0CE9C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99A2A32">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restart"/>
            <w:tcBorders>
              <w:top w:val="single" w:color="auto" w:sz="2" w:space="0"/>
              <w:left w:val="single" w:color="auto" w:sz="2" w:space="0"/>
              <w:right w:val="single" w:color="auto" w:sz="2" w:space="0"/>
              <w:tl2br w:val="nil"/>
              <w:tr2bl w:val="nil"/>
            </w:tcBorders>
            <w:noWrap w:val="0"/>
            <w:vAlign w:val="center"/>
          </w:tcPr>
          <w:p w14:paraId="1DCD98ED">
            <w:pPr>
              <w:pStyle w:val="136"/>
              <w:spacing w:beforeLines="0" w:afterLines="0" w:line="288" w:lineRule="auto"/>
              <w:jc w:val="center"/>
              <w:rPr>
                <w:rFonts w:hint="eastAsia" w:ascii="宋体" w:hAnsi="宋体" w:eastAsia="宋体" w:cs="宋体"/>
                <w:sz w:val="21"/>
                <w:szCs w:val="24"/>
              </w:rPr>
            </w:pPr>
            <w:r>
              <w:rPr>
                <w:rFonts w:hint="eastAsia" w:ascii="宋体" w:hAnsi="宋体" w:eastAsia="宋体" w:cs="宋体"/>
                <w:sz w:val="21"/>
                <w:szCs w:val="24"/>
              </w:rPr>
              <w:t>通用指标</w:t>
            </w:r>
          </w:p>
        </w:tc>
        <w:tc>
          <w:tcPr>
            <w:tcW w:w="868" w:type="pct"/>
            <w:vMerge w:val="restart"/>
            <w:tcBorders>
              <w:top w:val="single" w:color="auto" w:sz="2" w:space="0"/>
              <w:left w:val="single" w:color="auto" w:sz="2" w:space="0"/>
              <w:right w:val="single" w:color="auto" w:sz="2" w:space="0"/>
              <w:tl2br w:val="nil"/>
              <w:tr2bl w:val="nil"/>
            </w:tcBorders>
            <w:noWrap w:val="0"/>
            <w:vAlign w:val="center"/>
          </w:tcPr>
          <w:p w14:paraId="3AC8D717">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sz w:val="21"/>
                <w:szCs w:val="24"/>
              </w:rPr>
              <w:t>产出指标</w:t>
            </w:r>
          </w:p>
        </w:tc>
        <w:tc>
          <w:tcPr>
            <w:tcW w:w="827" w:type="pct"/>
            <w:vMerge w:val="restart"/>
            <w:tcBorders>
              <w:top w:val="single" w:color="auto" w:sz="2" w:space="0"/>
              <w:left w:val="single" w:color="auto" w:sz="2" w:space="0"/>
              <w:right w:val="single" w:color="auto" w:sz="2" w:space="0"/>
              <w:tl2br w:val="nil"/>
              <w:tr2bl w:val="nil"/>
            </w:tcBorders>
            <w:noWrap w:val="0"/>
            <w:vAlign w:val="center"/>
          </w:tcPr>
          <w:p w14:paraId="5892F732">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产出质量</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932A156">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数据安全事件发生次数</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E268AF8">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0</w:t>
            </w:r>
          </w:p>
        </w:tc>
      </w:tr>
      <w:tr w14:paraId="19942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5503EFD">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798D608B">
            <w:pPr>
              <w:pStyle w:val="136"/>
              <w:spacing w:beforeLines="0" w:afterLines="0" w:line="288" w:lineRule="auto"/>
              <w:jc w:val="center"/>
              <w:rPr>
                <w:rFonts w:hint="eastAsia" w:ascii="宋体" w:hAnsi="宋体" w:eastAsia="宋体" w:cs="宋体"/>
                <w:sz w:val="21"/>
                <w:szCs w:val="24"/>
              </w:rPr>
            </w:pPr>
          </w:p>
        </w:tc>
        <w:tc>
          <w:tcPr>
            <w:tcW w:w="868" w:type="pct"/>
            <w:vMerge w:val="continue"/>
            <w:tcBorders>
              <w:left w:val="single" w:color="auto" w:sz="2" w:space="0"/>
              <w:right w:val="single" w:color="auto" w:sz="2" w:space="0"/>
              <w:tl2br w:val="nil"/>
              <w:tr2bl w:val="nil"/>
            </w:tcBorders>
            <w:noWrap w:val="0"/>
            <w:vAlign w:val="center"/>
          </w:tcPr>
          <w:p w14:paraId="6F147B7D">
            <w:pPr>
              <w:pStyle w:val="136"/>
              <w:widowControl w:val="0"/>
              <w:spacing w:beforeLines="0" w:afterLines="0" w:line="288" w:lineRule="auto"/>
              <w:jc w:val="center"/>
              <w:rPr>
                <w:rFonts w:hint="eastAsia" w:ascii="宋体" w:hAnsi="宋体" w:eastAsia="宋体" w:cs="宋体"/>
                <w:color w:val="000000"/>
                <w:sz w:val="21"/>
                <w:szCs w:val="24"/>
              </w:rPr>
            </w:pPr>
          </w:p>
        </w:tc>
        <w:tc>
          <w:tcPr>
            <w:tcW w:w="827" w:type="pct"/>
            <w:vMerge w:val="continue"/>
            <w:tcBorders>
              <w:left w:val="single" w:color="auto" w:sz="2" w:space="0"/>
              <w:bottom w:val="single" w:color="auto" w:sz="2" w:space="0"/>
              <w:right w:val="single" w:color="auto" w:sz="2" w:space="0"/>
              <w:tl2br w:val="nil"/>
              <w:tr2bl w:val="nil"/>
            </w:tcBorders>
            <w:noWrap w:val="0"/>
            <w:vAlign w:val="center"/>
          </w:tcPr>
          <w:p w14:paraId="5A4B30B7">
            <w:pPr>
              <w:pStyle w:val="136"/>
              <w:widowControl w:val="0"/>
              <w:spacing w:beforeLines="0" w:afterLines="0" w:line="288" w:lineRule="auto"/>
              <w:jc w:val="center"/>
              <w:rPr>
                <w:rFonts w:hint="eastAsia" w:ascii="宋体" w:hAnsi="宋体" w:eastAsia="宋体" w:cs="宋体"/>
                <w:color w:val="000000"/>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DAE238C">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一次性验收合格率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F441959">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697CF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FEF50B9">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4C611A5C">
            <w:pPr>
              <w:pStyle w:val="136"/>
              <w:spacing w:beforeLines="0" w:afterLines="0" w:line="288" w:lineRule="auto"/>
              <w:jc w:val="center"/>
              <w:rPr>
                <w:rFonts w:hint="eastAsia" w:ascii="宋体" w:hAnsi="宋体" w:eastAsia="宋体" w:cs="宋体"/>
                <w:sz w:val="21"/>
                <w:szCs w:val="24"/>
              </w:rPr>
            </w:pPr>
          </w:p>
        </w:tc>
        <w:tc>
          <w:tcPr>
            <w:tcW w:w="868" w:type="pct"/>
            <w:vMerge w:val="continue"/>
            <w:tcBorders>
              <w:left w:val="single" w:color="auto" w:sz="2" w:space="0"/>
              <w:bottom w:val="single" w:color="auto" w:sz="2" w:space="0"/>
              <w:right w:val="single" w:color="auto" w:sz="2" w:space="0"/>
              <w:tl2br w:val="nil"/>
              <w:tr2bl w:val="nil"/>
            </w:tcBorders>
            <w:noWrap w:val="0"/>
            <w:vAlign w:val="center"/>
          </w:tcPr>
          <w:p w14:paraId="3FBB5AED">
            <w:pPr>
              <w:pStyle w:val="136"/>
              <w:widowControl w:val="0"/>
              <w:spacing w:beforeLines="0" w:afterLines="0" w:line="288" w:lineRule="auto"/>
              <w:jc w:val="center"/>
              <w:rPr>
                <w:rFonts w:hint="eastAsia" w:ascii="宋体" w:hAnsi="宋体" w:eastAsia="宋体" w:cs="宋体"/>
                <w:color w:val="000000"/>
                <w:sz w:val="21"/>
                <w:szCs w:val="24"/>
              </w:rPr>
            </w:pPr>
          </w:p>
        </w:tc>
        <w:tc>
          <w:tcPr>
            <w:tcW w:w="82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A9E7E86">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产出时效</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2628B4C">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项目建设周期</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D8E962D">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202</w:t>
            </w:r>
            <w:r>
              <w:rPr>
                <w:rFonts w:hint="eastAsia" w:ascii="宋体" w:hAnsi="宋体" w:eastAsia="宋体" w:cs="宋体"/>
                <w:color w:val="000000"/>
                <w:sz w:val="21"/>
                <w:szCs w:val="24"/>
                <w:lang w:val="en-US" w:eastAsia="zh-CN"/>
              </w:rPr>
              <w:t>6</w:t>
            </w:r>
            <w:r>
              <w:rPr>
                <w:rFonts w:hint="eastAsia" w:ascii="宋体" w:hAnsi="宋体" w:eastAsia="宋体" w:cs="宋体"/>
                <w:color w:val="000000"/>
                <w:sz w:val="21"/>
                <w:szCs w:val="24"/>
              </w:rPr>
              <w:t>年</w:t>
            </w:r>
            <w:r>
              <w:rPr>
                <w:rFonts w:hint="eastAsia" w:ascii="宋体" w:hAnsi="宋体" w:eastAsia="宋体" w:cs="宋体"/>
                <w:color w:val="000000"/>
                <w:sz w:val="21"/>
                <w:szCs w:val="24"/>
                <w:lang w:val="en-US" w:eastAsia="zh-CN"/>
              </w:rPr>
              <w:t>11</w:t>
            </w:r>
            <w:r>
              <w:rPr>
                <w:rFonts w:hint="eastAsia" w:ascii="宋体" w:hAnsi="宋体" w:eastAsia="宋体" w:cs="宋体"/>
                <w:color w:val="000000"/>
                <w:sz w:val="21"/>
                <w:szCs w:val="24"/>
              </w:rPr>
              <w:t>月</w:t>
            </w:r>
            <w:r>
              <w:rPr>
                <w:rFonts w:hint="eastAsia" w:ascii="宋体" w:hAnsi="宋体" w:eastAsia="宋体" w:cs="宋体"/>
                <w:color w:val="000000"/>
                <w:sz w:val="21"/>
                <w:szCs w:val="24"/>
                <w:lang w:val="en-US" w:eastAsia="zh-CN"/>
              </w:rPr>
              <w:t>15日</w:t>
            </w:r>
            <w:r>
              <w:rPr>
                <w:rFonts w:hint="eastAsia" w:ascii="宋体" w:hAnsi="宋体" w:eastAsia="宋体" w:cs="宋体"/>
                <w:color w:val="000000"/>
                <w:sz w:val="21"/>
                <w:szCs w:val="24"/>
              </w:rPr>
              <w:t>前完成</w:t>
            </w:r>
          </w:p>
        </w:tc>
      </w:tr>
      <w:tr w14:paraId="7B5EE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EC16087">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287A182D">
            <w:pPr>
              <w:pStyle w:val="136"/>
              <w:spacing w:beforeLines="0" w:afterLines="0" w:line="288" w:lineRule="auto"/>
              <w:jc w:val="center"/>
              <w:rPr>
                <w:rFonts w:hint="eastAsia" w:ascii="宋体" w:hAnsi="宋体" w:eastAsia="宋体" w:cs="宋体"/>
                <w:sz w:val="21"/>
                <w:szCs w:val="24"/>
              </w:rPr>
            </w:pPr>
          </w:p>
        </w:tc>
        <w:tc>
          <w:tcPr>
            <w:tcW w:w="868" w:type="pct"/>
            <w:tcBorders>
              <w:top w:val="single" w:color="auto" w:sz="2" w:space="0"/>
              <w:left w:val="single" w:color="auto" w:sz="2" w:space="0"/>
              <w:right w:val="single" w:color="auto" w:sz="2" w:space="0"/>
              <w:tl2br w:val="nil"/>
              <w:tr2bl w:val="nil"/>
            </w:tcBorders>
            <w:noWrap w:val="0"/>
            <w:vAlign w:val="center"/>
          </w:tcPr>
          <w:p w14:paraId="2595CAFA">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共性平台</w:t>
            </w:r>
          </w:p>
          <w:p w14:paraId="4DD32068">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应用系统</w:t>
            </w:r>
          </w:p>
        </w:tc>
        <w:tc>
          <w:tcPr>
            <w:tcW w:w="82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6934F90">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平台整合能力</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419A873">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部门使用率</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1677218">
            <w:pPr>
              <w:pStyle w:val="136"/>
              <w:widowControl w:val="0"/>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100%</w:t>
            </w:r>
          </w:p>
        </w:tc>
      </w:tr>
      <w:tr w14:paraId="770AD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D0FC5DD">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060C1784">
            <w:pPr>
              <w:pStyle w:val="136"/>
              <w:spacing w:beforeLines="0" w:afterLines="0" w:line="288" w:lineRule="auto"/>
              <w:jc w:val="center"/>
              <w:rPr>
                <w:rFonts w:hint="eastAsia" w:ascii="宋体" w:hAnsi="宋体" w:eastAsia="宋体" w:cs="宋体"/>
                <w:sz w:val="21"/>
                <w:szCs w:val="24"/>
              </w:rPr>
            </w:pPr>
          </w:p>
        </w:tc>
        <w:tc>
          <w:tcPr>
            <w:tcW w:w="868" w:type="pct"/>
            <w:vMerge w:val="restart"/>
            <w:tcBorders>
              <w:top w:val="single" w:color="auto" w:sz="2" w:space="0"/>
              <w:left w:val="single" w:color="auto" w:sz="2" w:space="0"/>
              <w:right w:val="single" w:color="auto" w:sz="2" w:space="0"/>
              <w:tl2br w:val="nil"/>
              <w:tr2bl w:val="nil"/>
            </w:tcBorders>
            <w:noWrap w:val="0"/>
            <w:vAlign w:val="center"/>
          </w:tcPr>
          <w:p w14:paraId="340DA186">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安全体系</w:t>
            </w:r>
          </w:p>
        </w:tc>
        <w:tc>
          <w:tcPr>
            <w:tcW w:w="827" w:type="pct"/>
            <w:vMerge w:val="restart"/>
            <w:tcBorders>
              <w:top w:val="single" w:color="auto" w:sz="2" w:space="0"/>
              <w:left w:val="single" w:color="auto" w:sz="2" w:space="0"/>
              <w:right w:val="single" w:color="auto" w:sz="2" w:space="0"/>
              <w:tl2br w:val="nil"/>
              <w:tr2bl w:val="nil"/>
            </w:tcBorders>
            <w:noWrap w:val="0"/>
            <w:vAlign w:val="center"/>
          </w:tcPr>
          <w:p w14:paraId="5156DD0C">
            <w:pPr>
              <w:pStyle w:val="136"/>
              <w:spacing w:beforeLines="0" w:afterLines="0" w:line="288" w:lineRule="auto"/>
              <w:jc w:val="center"/>
              <w:rPr>
                <w:rFonts w:hint="eastAsia" w:ascii="宋体" w:hAnsi="宋体" w:eastAsia="宋体" w:cs="宋体"/>
                <w:sz w:val="21"/>
                <w:szCs w:val="24"/>
              </w:rPr>
            </w:pPr>
            <w:r>
              <w:rPr>
                <w:rFonts w:hint="eastAsia" w:ascii="宋体" w:hAnsi="宋体" w:eastAsia="宋体" w:cs="宋体"/>
                <w:color w:val="000000"/>
                <w:sz w:val="21"/>
                <w:szCs w:val="24"/>
              </w:rPr>
              <w:t>安全建设水平</w:t>
            </w: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9EC172C">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sz w:val="21"/>
                <w:szCs w:val="24"/>
              </w:rPr>
              <w:t>数据安全措施</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CC12105">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是</w:t>
            </w:r>
          </w:p>
        </w:tc>
      </w:tr>
      <w:tr w14:paraId="761CF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9F520C7">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2EFD044D">
            <w:pPr>
              <w:pStyle w:val="136"/>
              <w:spacing w:beforeLines="0" w:afterLines="0" w:line="288" w:lineRule="auto"/>
              <w:jc w:val="center"/>
              <w:rPr>
                <w:rFonts w:hint="eastAsia" w:ascii="宋体" w:hAnsi="宋体" w:eastAsia="宋体" w:cs="宋体"/>
                <w:sz w:val="21"/>
                <w:szCs w:val="24"/>
              </w:rPr>
            </w:pPr>
          </w:p>
        </w:tc>
        <w:tc>
          <w:tcPr>
            <w:tcW w:w="868" w:type="pct"/>
            <w:vMerge w:val="continue"/>
            <w:tcBorders>
              <w:left w:val="single" w:color="auto" w:sz="2" w:space="0"/>
              <w:right w:val="single" w:color="auto" w:sz="2" w:space="0"/>
              <w:tl2br w:val="nil"/>
              <w:tr2bl w:val="nil"/>
            </w:tcBorders>
            <w:noWrap w:val="0"/>
            <w:vAlign w:val="center"/>
          </w:tcPr>
          <w:p w14:paraId="732F5511">
            <w:pPr>
              <w:pStyle w:val="136"/>
              <w:spacing w:beforeLines="0" w:afterLines="0" w:line="288" w:lineRule="auto"/>
              <w:jc w:val="center"/>
              <w:rPr>
                <w:rFonts w:hint="eastAsia" w:ascii="宋体" w:hAnsi="宋体" w:eastAsia="宋体" w:cs="宋体"/>
                <w:color w:val="000000"/>
                <w:sz w:val="21"/>
                <w:szCs w:val="24"/>
              </w:rPr>
            </w:pPr>
          </w:p>
        </w:tc>
        <w:tc>
          <w:tcPr>
            <w:tcW w:w="827" w:type="pct"/>
            <w:vMerge w:val="continue"/>
            <w:tcBorders>
              <w:left w:val="single" w:color="auto" w:sz="2" w:space="0"/>
              <w:right w:val="single" w:color="auto" w:sz="2" w:space="0"/>
              <w:tl2br w:val="nil"/>
              <w:tr2bl w:val="nil"/>
            </w:tcBorders>
            <w:noWrap w:val="0"/>
            <w:vAlign w:val="center"/>
          </w:tcPr>
          <w:p w14:paraId="27F93D95">
            <w:pPr>
              <w:pStyle w:val="136"/>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E77E2ED">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sz w:val="21"/>
                <w:szCs w:val="24"/>
              </w:rPr>
              <w:t>网络安全措施</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60C8F6E">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是</w:t>
            </w:r>
          </w:p>
        </w:tc>
      </w:tr>
      <w:tr w14:paraId="53A53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E99E567">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bottom w:val="single" w:color="auto" w:sz="2" w:space="0"/>
              <w:right w:val="single" w:color="auto" w:sz="2" w:space="0"/>
              <w:tl2br w:val="nil"/>
              <w:tr2bl w:val="nil"/>
            </w:tcBorders>
            <w:noWrap w:val="0"/>
            <w:vAlign w:val="center"/>
          </w:tcPr>
          <w:p w14:paraId="3C994CF1">
            <w:pPr>
              <w:pStyle w:val="136"/>
              <w:spacing w:beforeLines="0" w:afterLines="0" w:line="288" w:lineRule="auto"/>
              <w:jc w:val="center"/>
              <w:rPr>
                <w:rFonts w:hint="eastAsia" w:ascii="宋体" w:hAnsi="宋体" w:eastAsia="宋体" w:cs="宋体"/>
                <w:sz w:val="21"/>
                <w:szCs w:val="24"/>
              </w:rPr>
            </w:pPr>
          </w:p>
        </w:tc>
        <w:tc>
          <w:tcPr>
            <w:tcW w:w="868" w:type="pct"/>
            <w:vMerge w:val="continue"/>
            <w:tcBorders>
              <w:left w:val="single" w:color="auto" w:sz="2" w:space="0"/>
              <w:bottom w:val="single" w:color="auto" w:sz="2" w:space="0"/>
              <w:right w:val="single" w:color="auto" w:sz="2" w:space="0"/>
              <w:tl2br w:val="nil"/>
              <w:tr2bl w:val="nil"/>
            </w:tcBorders>
            <w:noWrap w:val="0"/>
            <w:vAlign w:val="center"/>
          </w:tcPr>
          <w:p w14:paraId="3126E344">
            <w:pPr>
              <w:pStyle w:val="136"/>
              <w:spacing w:beforeLines="0" w:afterLines="0" w:line="288" w:lineRule="auto"/>
              <w:jc w:val="center"/>
              <w:rPr>
                <w:rFonts w:hint="eastAsia" w:ascii="宋体" w:hAnsi="宋体" w:eastAsia="宋体" w:cs="宋体"/>
                <w:color w:val="000000"/>
                <w:sz w:val="21"/>
                <w:szCs w:val="24"/>
              </w:rPr>
            </w:pPr>
          </w:p>
        </w:tc>
        <w:tc>
          <w:tcPr>
            <w:tcW w:w="827" w:type="pct"/>
            <w:vMerge w:val="continue"/>
            <w:tcBorders>
              <w:left w:val="single" w:color="auto" w:sz="2" w:space="0"/>
              <w:bottom w:val="single" w:color="auto" w:sz="2" w:space="0"/>
              <w:right w:val="single" w:color="auto" w:sz="2" w:space="0"/>
              <w:tl2br w:val="nil"/>
              <w:tr2bl w:val="nil"/>
            </w:tcBorders>
            <w:noWrap w:val="0"/>
            <w:vAlign w:val="center"/>
          </w:tcPr>
          <w:p w14:paraId="592D8093">
            <w:pPr>
              <w:pStyle w:val="136"/>
              <w:spacing w:beforeLines="0" w:afterLines="0" w:line="288" w:lineRule="auto"/>
              <w:jc w:val="center"/>
              <w:rPr>
                <w:rFonts w:hint="eastAsia" w:ascii="宋体" w:hAnsi="宋体" w:eastAsia="宋体" w:cs="宋体"/>
                <w:sz w:val="21"/>
                <w:szCs w:val="24"/>
              </w:rPr>
            </w:pPr>
          </w:p>
        </w:tc>
        <w:tc>
          <w:tcPr>
            <w:tcW w:w="1322"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0D1EFEE">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sz w:val="21"/>
                <w:szCs w:val="24"/>
              </w:rPr>
              <w:t>系统安全措施</w:t>
            </w:r>
          </w:p>
        </w:tc>
        <w:tc>
          <w:tcPr>
            <w:tcW w:w="75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0C2A4CC">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是</w:t>
            </w:r>
          </w:p>
        </w:tc>
      </w:tr>
      <w:tr w14:paraId="3316E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EC968F0">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restart"/>
            <w:tcBorders>
              <w:top w:val="single" w:color="auto" w:sz="2" w:space="0"/>
              <w:left w:val="single" w:color="auto" w:sz="2" w:space="0"/>
              <w:right w:val="single" w:color="auto" w:sz="2" w:space="0"/>
              <w:tl2br w:val="nil"/>
              <w:tr2bl w:val="nil"/>
            </w:tcBorders>
            <w:noWrap w:val="0"/>
            <w:vAlign w:val="center"/>
          </w:tcPr>
          <w:p w14:paraId="6E0D4EA9">
            <w:pPr>
              <w:pStyle w:val="136"/>
              <w:spacing w:beforeLines="0" w:afterLines="0" w:line="288" w:lineRule="auto"/>
              <w:jc w:val="center"/>
              <w:rPr>
                <w:rFonts w:hint="eastAsia" w:ascii="宋体" w:hAnsi="宋体" w:eastAsia="宋体" w:cs="宋体"/>
                <w:color w:val="000000"/>
                <w:sz w:val="21"/>
                <w:szCs w:val="24"/>
              </w:rPr>
            </w:pPr>
            <w:r>
              <w:rPr>
                <w:rFonts w:hint="eastAsia" w:ascii="宋体" w:hAnsi="宋体" w:eastAsia="宋体" w:cs="宋体"/>
                <w:color w:val="000000"/>
                <w:sz w:val="21"/>
                <w:szCs w:val="24"/>
              </w:rPr>
              <w:t>业务指标</w:t>
            </w:r>
          </w:p>
        </w:tc>
        <w:tc>
          <w:tcPr>
            <w:tcW w:w="868" w:type="pct"/>
            <w:vMerge w:val="restart"/>
            <w:tcBorders>
              <w:top w:val="single" w:color="auto" w:sz="2" w:space="0"/>
              <w:left w:val="single" w:color="auto" w:sz="2" w:space="0"/>
              <w:right w:val="single" w:color="auto" w:sz="2" w:space="0"/>
              <w:tl2br w:val="nil"/>
              <w:tr2bl w:val="nil"/>
            </w:tcBorders>
            <w:shd w:val="clear" w:color="auto" w:fill="auto"/>
            <w:noWrap w:val="0"/>
            <w:vAlign w:val="center"/>
          </w:tcPr>
          <w:p w14:paraId="1DCC0703">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产出指标</w:t>
            </w:r>
          </w:p>
        </w:tc>
        <w:tc>
          <w:tcPr>
            <w:tcW w:w="827"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2B3E5487">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产出数量</w:t>
            </w:r>
          </w:p>
        </w:tc>
        <w:tc>
          <w:tcPr>
            <w:tcW w:w="1322"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18CDC888">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系统用户量</w:t>
            </w:r>
          </w:p>
        </w:tc>
        <w:tc>
          <w:tcPr>
            <w:tcW w:w="751"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3DE53F2A">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≥20</w:t>
            </w:r>
          </w:p>
        </w:tc>
      </w:tr>
      <w:tr w14:paraId="56274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7B83CBA">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7619C252">
            <w:pPr>
              <w:pStyle w:val="136"/>
              <w:spacing w:beforeLines="0" w:afterLines="0" w:line="288" w:lineRule="auto"/>
              <w:jc w:val="center"/>
              <w:rPr>
                <w:rFonts w:hint="eastAsia" w:ascii="宋体" w:hAnsi="宋体" w:eastAsia="宋体" w:cs="宋体"/>
                <w:color w:val="000000"/>
                <w:sz w:val="21"/>
                <w:szCs w:val="24"/>
              </w:rPr>
            </w:pPr>
          </w:p>
        </w:tc>
        <w:tc>
          <w:tcPr>
            <w:tcW w:w="868" w:type="pct"/>
            <w:vMerge w:val="continue"/>
            <w:tcBorders>
              <w:left w:val="single" w:color="auto" w:sz="2" w:space="0"/>
              <w:right w:val="single" w:color="auto" w:sz="2" w:space="0"/>
              <w:tl2br w:val="nil"/>
              <w:tr2bl w:val="nil"/>
            </w:tcBorders>
            <w:noWrap w:val="0"/>
            <w:vAlign w:val="center"/>
          </w:tcPr>
          <w:p w14:paraId="5D6C1C7F">
            <w:pPr>
              <w:pStyle w:val="136"/>
              <w:spacing w:beforeLines="0" w:afterLines="0" w:line="288" w:lineRule="auto"/>
              <w:jc w:val="center"/>
              <w:rPr>
                <w:rFonts w:hint="eastAsia" w:ascii="宋体" w:hAnsi="宋体" w:eastAsia="宋体" w:cs="宋体"/>
                <w:color w:val="000000"/>
                <w:sz w:val="21"/>
                <w:szCs w:val="24"/>
                <w:lang w:val="en-US" w:eastAsia="zh-CN"/>
              </w:rPr>
            </w:pPr>
          </w:p>
        </w:tc>
        <w:tc>
          <w:tcPr>
            <w:tcW w:w="827" w:type="pct"/>
            <w:vMerge w:val="restart"/>
            <w:tcBorders>
              <w:top w:val="single" w:color="auto" w:sz="2" w:space="0"/>
              <w:left w:val="single" w:color="auto" w:sz="2" w:space="0"/>
              <w:right w:val="single" w:color="auto" w:sz="2" w:space="0"/>
              <w:tl2br w:val="nil"/>
              <w:tr2bl w:val="nil"/>
            </w:tcBorders>
            <w:shd w:val="clear" w:color="auto" w:fill="auto"/>
            <w:noWrap w:val="0"/>
            <w:vAlign w:val="center"/>
          </w:tcPr>
          <w:p w14:paraId="24869436">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产出质量</w:t>
            </w:r>
          </w:p>
        </w:tc>
        <w:tc>
          <w:tcPr>
            <w:tcW w:w="1322"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4330BDE5">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统筹对接系统数量</w:t>
            </w:r>
          </w:p>
        </w:tc>
        <w:tc>
          <w:tcPr>
            <w:tcW w:w="751"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39A9C7A0">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≥2</w:t>
            </w:r>
          </w:p>
        </w:tc>
      </w:tr>
      <w:tr w14:paraId="24120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C9CCCCE">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6878AF00">
            <w:pPr>
              <w:pStyle w:val="136"/>
              <w:spacing w:beforeLines="0" w:afterLines="0" w:line="288" w:lineRule="auto"/>
              <w:jc w:val="center"/>
              <w:rPr>
                <w:rFonts w:hint="eastAsia" w:ascii="宋体" w:hAnsi="宋体" w:eastAsia="宋体" w:cs="宋体"/>
                <w:color w:val="000000"/>
                <w:sz w:val="21"/>
                <w:szCs w:val="24"/>
              </w:rPr>
            </w:pPr>
          </w:p>
        </w:tc>
        <w:tc>
          <w:tcPr>
            <w:tcW w:w="868" w:type="pct"/>
            <w:vMerge w:val="continue"/>
            <w:tcBorders>
              <w:left w:val="single" w:color="auto" w:sz="2" w:space="0"/>
              <w:bottom w:val="single" w:color="auto" w:sz="2" w:space="0"/>
              <w:right w:val="single" w:color="auto" w:sz="2" w:space="0"/>
              <w:tl2br w:val="nil"/>
              <w:tr2bl w:val="nil"/>
            </w:tcBorders>
            <w:noWrap w:val="0"/>
            <w:vAlign w:val="center"/>
          </w:tcPr>
          <w:p w14:paraId="0441D54E">
            <w:pPr>
              <w:pStyle w:val="136"/>
              <w:spacing w:beforeLines="0" w:afterLines="0" w:line="288" w:lineRule="auto"/>
              <w:jc w:val="center"/>
              <w:rPr>
                <w:rFonts w:hint="eastAsia" w:ascii="宋体" w:hAnsi="宋体" w:eastAsia="宋体" w:cs="宋体"/>
                <w:color w:val="000000"/>
                <w:sz w:val="21"/>
                <w:szCs w:val="24"/>
                <w:lang w:val="en-US" w:eastAsia="zh-CN"/>
              </w:rPr>
            </w:pPr>
          </w:p>
        </w:tc>
        <w:tc>
          <w:tcPr>
            <w:tcW w:w="827" w:type="pct"/>
            <w:vMerge w:val="continue"/>
            <w:tcBorders>
              <w:left w:val="single" w:color="auto" w:sz="2" w:space="0"/>
              <w:bottom w:val="single" w:color="auto" w:sz="2" w:space="0"/>
              <w:right w:val="single" w:color="auto" w:sz="2" w:space="0"/>
              <w:tl2br w:val="nil"/>
              <w:tr2bl w:val="nil"/>
            </w:tcBorders>
            <w:noWrap w:val="0"/>
            <w:vAlign w:val="center"/>
          </w:tcPr>
          <w:p w14:paraId="3EFC0B62">
            <w:pPr>
              <w:pStyle w:val="136"/>
              <w:spacing w:beforeLines="0" w:afterLines="0" w:line="288" w:lineRule="auto"/>
              <w:jc w:val="center"/>
              <w:rPr>
                <w:rFonts w:hint="eastAsia" w:ascii="宋体" w:hAnsi="宋体" w:eastAsia="宋体" w:cs="宋体"/>
                <w:color w:val="000000"/>
                <w:sz w:val="21"/>
                <w:szCs w:val="24"/>
                <w:lang w:val="en-US" w:eastAsia="zh-CN"/>
              </w:rPr>
            </w:pPr>
          </w:p>
        </w:tc>
        <w:tc>
          <w:tcPr>
            <w:tcW w:w="1322"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649F5657">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单次平均响应时间</w:t>
            </w:r>
          </w:p>
        </w:tc>
        <w:tc>
          <w:tcPr>
            <w:tcW w:w="751"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2AAC0B97">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≤2</w:t>
            </w:r>
          </w:p>
        </w:tc>
      </w:tr>
      <w:tr w14:paraId="02C7B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47FA35C">
            <w:pPr>
              <w:pStyle w:val="136"/>
              <w:widowControl w:val="0"/>
              <w:numPr>
                <w:ilvl w:val="0"/>
                <w:numId w:val="4"/>
              </w:numPr>
              <w:spacing w:beforeLines="0" w:afterLines="0" w:line="288" w:lineRule="auto"/>
              <w:jc w:val="center"/>
              <w:rPr>
                <w:rFonts w:hint="eastAsia" w:ascii="宋体" w:hAnsi="宋体" w:eastAsia="宋体" w:cs="宋体"/>
                <w:sz w:val="21"/>
                <w:szCs w:val="24"/>
              </w:rPr>
            </w:pPr>
          </w:p>
        </w:tc>
        <w:tc>
          <w:tcPr>
            <w:tcW w:w="742" w:type="pct"/>
            <w:vMerge w:val="continue"/>
            <w:tcBorders>
              <w:left w:val="single" w:color="auto" w:sz="2" w:space="0"/>
              <w:right w:val="single" w:color="auto" w:sz="2" w:space="0"/>
              <w:tl2br w:val="nil"/>
              <w:tr2bl w:val="nil"/>
            </w:tcBorders>
            <w:noWrap w:val="0"/>
            <w:vAlign w:val="center"/>
          </w:tcPr>
          <w:p w14:paraId="0A655EB2">
            <w:pPr>
              <w:pStyle w:val="136"/>
              <w:spacing w:beforeLines="0" w:afterLines="0" w:line="288" w:lineRule="auto"/>
              <w:jc w:val="center"/>
              <w:rPr>
                <w:rFonts w:hint="eastAsia" w:ascii="宋体" w:hAnsi="宋体" w:eastAsia="宋体" w:cs="宋体"/>
                <w:color w:val="000000"/>
                <w:sz w:val="21"/>
                <w:szCs w:val="24"/>
              </w:rPr>
            </w:pPr>
          </w:p>
        </w:tc>
        <w:tc>
          <w:tcPr>
            <w:tcW w:w="868" w:type="pct"/>
            <w:vMerge w:val="restart"/>
            <w:tcBorders>
              <w:top w:val="single" w:color="auto" w:sz="2" w:space="0"/>
              <w:left w:val="single" w:color="auto" w:sz="2" w:space="0"/>
              <w:right w:val="single" w:color="auto" w:sz="2" w:space="0"/>
              <w:tl2br w:val="nil"/>
              <w:tr2bl w:val="nil"/>
            </w:tcBorders>
            <w:shd w:val="clear" w:color="auto" w:fill="auto"/>
            <w:noWrap w:val="0"/>
            <w:vAlign w:val="center"/>
          </w:tcPr>
          <w:p w14:paraId="13BA0B42">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效益指标</w:t>
            </w:r>
          </w:p>
        </w:tc>
        <w:tc>
          <w:tcPr>
            <w:tcW w:w="827"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6C48C838">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社会效益</w:t>
            </w:r>
          </w:p>
        </w:tc>
        <w:tc>
          <w:tcPr>
            <w:tcW w:w="1322"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648C4F40">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服务对象满意度</w:t>
            </w:r>
          </w:p>
        </w:tc>
        <w:tc>
          <w:tcPr>
            <w:tcW w:w="751" w:type="pct"/>
            <w:tcBorders>
              <w:top w:val="single" w:color="auto" w:sz="2" w:space="0"/>
              <w:left w:val="single" w:color="auto" w:sz="2" w:space="0"/>
              <w:bottom w:val="single" w:color="auto" w:sz="2" w:space="0"/>
              <w:right w:val="single" w:color="auto" w:sz="2" w:space="0"/>
              <w:tl2br w:val="nil"/>
              <w:tr2bl w:val="nil"/>
            </w:tcBorders>
            <w:shd w:val="clear" w:color="auto" w:fill="auto"/>
            <w:noWrap w:val="0"/>
            <w:vAlign w:val="center"/>
          </w:tcPr>
          <w:p w14:paraId="22207532">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满意</w:t>
            </w:r>
          </w:p>
        </w:tc>
      </w:tr>
      <w:tr w14:paraId="37B9C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87" w:type="pct"/>
          </w:tcPr>
          <w:p w14:paraId="56605963">
            <w:pPr>
              <w:pStyle w:val="136"/>
              <w:widowControl w:val="0"/>
              <w:numPr>
                <w:ilvl w:val="0"/>
                <w:numId w:val="4"/>
              </w:numPr>
              <w:spacing w:beforeLines="0" w:afterLines="0" w:line="288" w:lineRule="auto"/>
              <w:jc w:val="center"/>
              <w:rPr>
                <w:rFonts w:hint="eastAsia" w:ascii="宋体" w:hAnsi="宋体" w:eastAsia="宋体" w:cs="宋体"/>
                <w:sz w:val="21"/>
                <w:szCs w:val="24"/>
              </w:rPr>
            </w:pPr>
            <w:bookmarkStart w:id="12" w:name="_Toc47532923"/>
            <w:bookmarkEnd w:id="12"/>
            <w:bookmarkStart w:id="13" w:name="_Toc47537166"/>
            <w:bookmarkEnd w:id="13"/>
            <w:bookmarkStart w:id="14" w:name="_Toc47533288"/>
            <w:bookmarkEnd w:id="14"/>
            <w:bookmarkStart w:id="15" w:name="_Toc47539102"/>
            <w:bookmarkEnd w:id="15"/>
            <w:bookmarkStart w:id="16" w:name="_Toc47536676"/>
            <w:bookmarkEnd w:id="16"/>
            <w:bookmarkStart w:id="17" w:name="_Toc47536304"/>
            <w:bookmarkEnd w:id="17"/>
          </w:p>
        </w:tc>
        <w:tc>
          <w:tcPr>
            <w:tcW w:w="742" w:type="pct"/>
            <w:vMerge w:val="continue"/>
            <w:tcBorders>
              <w:left w:val="single" w:color="auto" w:sz="2" w:space="0"/>
              <w:right w:val="single" w:color="auto" w:sz="2" w:space="0"/>
            </w:tcBorders>
          </w:tcPr>
          <w:p w14:paraId="3687721B">
            <w:pPr>
              <w:pStyle w:val="136"/>
              <w:spacing w:beforeLines="0" w:afterLines="0" w:line="288" w:lineRule="auto"/>
              <w:jc w:val="center"/>
              <w:rPr>
                <w:rFonts w:hint="eastAsia" w:ascii="宋体" w:hAnsi="宋体" w:eastAsia="宋体" w:cs="宋体"/>
                <w:color w:val="000000"/>
                <w:sz w:val="21"/>
                <w:szCs w:val="24"/>
              </w:rPr>
            </w:pPr>
          </w:p>
        </w:tc>
        <w:tc>
          <w:tcPr>
            <w:tcW w:w="868" w:type="pct"/>
            <w:vMerge w:val="continue"/>
            <w:tcBorders>
              <w:left w:val="single" w:color="auto" w:sz="2" w:space="0"/>
              <w:right w:val="single" w:color="auto" w:sz="2" w:space="0"/>
            </w:tcBorders>
          </w:tcPr>
          <w:p w14:paraId="13B6376F">
            <w:pPr>
              <w:pStyle w:val="136"/>
              <w:spacing w:beforeLines="0" w:afterLines="0" w:line="288" w:lineRule="auto"/>
              <w:jc w:val="center"/>
              <w:rPr>
                <w:rFonts w:hint="eastAsia" w:ascii="宋体" w:hAnsi="宋体" w:eastAsia="宋体" w:cs="宋体"/>
                <w:color w:val="000000"/>
                <w:sz w:val="21"/>
                <w:szCs w:val="24"/>
                <w:lang w:val="en-US" w:eastAsia="zh-CN"/>
              </w:rPr>
            </w:pPr>
          </w:p>
        </w:tc>
        <w:tc>
          <w:tcPr>
            <w:tcW w:w="0" w:type="auto"/>
            <w:shd w:val="clear" w:color="auto" w:fill="auto"/>
            <w:vAlign w:val="center"/>
          </w:tcPr>
          <w:p w14:paraId="217C1519">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经济效益</w:t>
            </w:r>
          </w:p>
        </w:tc>
        <w:tc>
          <w:tcPr>
            <w:tcW w:w="0" w:type="auto"/>
            <w:shd w:val="clear" w:color="auto" w:fill="auto"/>
            <w:vAlign w:val="center"/>
          </w:tcPr>
          <w:p w14:paraId="50D59815">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节约业务成本</w:t>
            </w:r>
          </w:p>
        </w:tc>
        <w:tc>
          <w:tcPr>
            <w:tcW w:w="0" w:type="auto"/>
            <w:shd w:val="clear" w:color="auto" w:fill="auto"/>
            <w:vAlign w:val="center"/>
          </w:tcPr>
          <w:p w14:paraId="3B90E4D2">
            <w:pPr>
              <w:pStyle w:val="136"/>
              <w:spacing w:beforeLines="0" w:afterLines="0" w:line="288" w:lineRule="auto"/>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1"/>
                <w:szCs w:val="24"/>
              </w:rPr>
              <w:t>节约</w:t>
            </w:r>
          </w:p>
        </w:tc>
      </w:tr>
    </w:tbl>
    <w:p w14:paraId="7DC3F3D8">
      <w:pPr>
        <w:pStyle w:val="2"/>
        <w:ind w:left="0" w:leftChars="0" w:firstLineChars="0"/>
      </w:pPr>
      <w:r>
        <w:rPr>
          <w:rFonts w:hint="eastAsia"/>
        </w:rPr>
        <w:t>项目建设内容</w:t>
      </w:r>
    </w:p>
    <w:p w14:paraId="593F8C25">
      <w:pPr>
        <w:pStyle w:val="3"/>
        <w:ind w:left="0"/>
        <w:rPr>
          <w:rFonts w:hint="eastAsia" w:cs="Times New Roman"/>
          <w:b/>
        </w:rPr>
      </w:pPr>
      <w:r>
        <w:rPr>
          <w:rFonts w:hint="eastAsia" w:cs="Times New Roman"/>
          <w:b/>
          <w:lang w:val="en-US" w:eastAsia="zh-CN"/>
        </w:rPr>
        <w:t>技术路线</w:t>
      </w:r>
    </w:p>
    <w:p w14:paraId="553A3B5A">
      <w:pPr>
        <w:pStyle w:val="4"/>
        <w:spacing w:line="360" w:lineRule="auto"/>
        <w:ind w:firstLine="480"/>
        <w:rPr>
          <w:rFonts w:hint="eastAsia" w:ascii="宋体" w:hAnsi="宋体"/>
          <w:sz w:val="24"/>
        </w:rPr>
      </w:pPr>
      <w:r>
        <w:rPr>
          <w:rFonts w:hint="eastAsia" w:ascii="宋体" w:hAnsi="宋体" w:eastAsia="宋体" w:cs="Times New Roman"/>
          <w:sz w:val="24"/>
        </w:rPr>
        <w:t>项目</w:t>
      </w:r>
      <w:r>
        <w:rPr>
          <w:rFonts w:hint="eastAsia" w:ascii="宋体" w:hAnsi="宋体" w:eastAsia="宋体" w:cs="Times New Roman"/>
          <w:sz w:val="24"/>
          <w:lang w:val="en-US" w:eastAsia="zh-CN"/>
        </w:rPr>
        <w:t>应</w:t>
      </w:r>
      <w:r>
        <w:rPr>
          <w:rFonts w:hint="eastAsia" w:ascii="宋体" w:hAnsi="宋体" w:eastAsia="宋体" w:cs="Times New Roman"/>
          <w:sz w:val="24"/>
        </w:rPr>
        <w:t>符合</w:t>
      </w:r>
      <w:r>
        <w:rPr>
          <w:rFonts w:hint="eastAsia" w:ascii="宋体" w:hAnsi="宋体" w:cs="Times New Roman"/>
          <w:sz w:val="24"/>
          <w:lang w:eastAsia="zh-CN"/>
        </w:rPr>
        <w:t>XC</w:t>
      </w:r>
      <w:r>
        <w:rPr>
          <w:rFonts w:hint="eastAsia" w:ascii="宋体" w:hAnsi="宋体" w:eastAsia="宋体" w:cs="Times New Roman"/>
          <w:sz w:val="24"/>
        </w:rPr>
        <w:t>要求，</w:t>
      </w:r>
      <w:r>
        <w:rPr>
          <w:rFonts w:hint="eastAsia" w:ascii="宋体" w:hAnsi="宋体"/>
          <w:sz w:val="24"/>
        </w:rPr>
        <w:t>基于Java编程语言，采用MVC设计模式，兼容主流Spring开发框架以利于维护。</w:t>
      </w:r>
    </w:p>
    <w:p w14:paraId="4D1576FB">
      <w:pPr>
        <w:pStyle w:val="4"/>
        <w:spacing w:line="360" w:lineRule="auto"/>
        <w:ind w:firstLine="480"/>
        <w:rPr>
          <w:rFonts w:hint="eastAsia" w:ascii="宋体" w:hAnsi="宋体"/>
          <w:sz w:val="24"/>
        </w:rPr>
      </w:pPr>
      <w:r>
        <w:rPr>
          <w:rFonts w:hint="eastAsia" w:ascii="宋体" w:hAnsi="宋体"/>
          <w:sz w:val="24"/>
        </w:rPr>
        <w:t>标准性。系统解决方案及相关软硬件系统完全满足相关国内标准；国内没有标准的则参照相应国际标准。对当前正在制定和即将制定的国内标准，在标准出台后能够平稳接轨。</w:t>
      </w:r>
    </w:p>
    <w:p w14:paraId="74C35388">
      <w:pPr>
        <w:pStyle w:val="4"/>
        <w:spacing w:line="360" w:lineRule="auto"/>
        <w:ind w:firstLine="480"/>
        <w:rPr>
          <w:rFonts w:hint="eastAsia" w:ascii="宋体" w:hAnsi="宋体" w:eastAsia="宋体" w:cs="Times New Roman"/>
          <w:sz w:val="24"/>
        </w:rPr>
      </w:pPr>
      <w:r>
        <w:rPr>
          <w:rFonts w:hint="eastAsia" w:ascii="宋体" w:hAnsi="宋体"/>
          <w:sz w:val="24"/>
        </w:rPr>
        <w:t>可扩展性。应在保证初期业务的前提下，留有充分的可扩展空间，保证将来各种新业务的接入。</w:t>
      </w:r>
    </w:p>
    <w:p w14:paraId="77CD1327">
      <w:pPr>
        <w:pStyle w:val="3"/>
        <w:ind w:firstLineChars="200"/>
        <w:rPr>
          <w:rFonts w:hint="eastAsia" w:ascii="宋体" w:hAnsi="宋体" w:eastAsia="宋体" w:cs="Times New Roman"/>
          <w:sz w:val="30"/>
          <w:lang w:val="en-US" w:eastAsia="zh-CN"/>
        </w:rPr>
      </w:pPr>
      <w:r>
        <w:rPr>
          <w:rFonts w:hint="eastAsia" w:ascii="宋体" w:hAnsi="宋体" w:eastAsia="宋体" w:cs="Times New Roman"/>
          <w:sz w:val="30"/>
          <w:lang w:val="en-US" w:eastAsia="zh-CN"/>
        </w:rPr>
        <w:t>技术架构</w:t>
      </w:r>
    </w:p>
    <w:p w14:paraId="3C767CE7">
      <w:pPr>
        <w:pStyle w:val="4"/>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应兼容现有系统架构，前端与后端可解耦，Web前端视图层中应使用主流浏览器支持的规范和技术。应支持模块化开发和分布式部署以便于未来的扩展建设与运行维护。数据访问层连接池使用高性能池化技术，从容应对高并发数据库访问。</w:t>
      </w:r>
    </w:p>
    <w:p w14:paraId="69866724">
      <w:pPr>
        <w:pStyle w:val="4"/>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当前系统使用前后端分离架构，前端以Vue实现页面渲染与交互，后端以RESTful API方式提供服务。</w:t>
      </w:r>
    </w:p>
    <w:p w14:paraId="693F8E94">
      <w:pPr>
        <w:pStyle w:val="3"/>
        <w:ind w:left="0"/>
        <w:rPr>
          <w:rFonts w:hint="eastAsia" w:cs="Times New Roman"/>
          <w:b/>
        </w:rPr>
      </w:pPr>
      <w:r>
        <w:rPr>
          <w:rFonts w:hint="eastAsia" w:cs="Times New Roman"/>
          <w:b/>
          <w:lang w:val="en-US" w:eastAsia="zh-CN"/>
        </w:rPr>
        <w:t>部署环境</w:t>
      </w:r>
    </w:p>
    <w:p w14:paraId="795FCF53">
      <w:pPr>
        <w:pStyle w:val="4"/>
        <w:spacing w:line="360" w:lineRule="auto"/>
        <w:ind w:firstLine="480"/>
        <w:rPr>
          <w:rFonts w:hint="eastAsia" w:ascii="宋体" w:hAnsi="宋体"/>
          <w:sz w:val="24"/>
        </w:rPr>
      </w:pPr>
      <w:r>
        <w:rPr>
          <w:rFonts w:hint="eastAsia" w:ascii="宋体" w:hAnsi="宋体"/>
          <w:sz w:val="24"/>
        </w:rPr>
        <w:t>应用系统根据业务访问需求部署在上海市政务云的</w:t>
      </w:r>
      <w:r>
        <w:rPr>
          <w:rFonts w:hint="eastAsia" w:ascii="宋体" w:hAnsi="宋体"/>
          <w:sz w:val="24"/>
          <w:lang w:eastAsia="zh-CN"/>
        </w:rPr>
        <w:t>XC</w:t>
      </w:r>
      <w:r>
        <w:rPr>
          <w:rFonts w:hint="eastAsia" w:ascii="宋体" w:hAnsi="宋体"/>
          <w:sz w:val="24"/>
        </w:rPr>
        <w:t>资源环境，使用国产化基础软件（操作系统麒麟或统信、中间件东方通或普元应用服务器、数据库达梦或人大金仓）。</w:t>
      </w:r>
    </w:p>
    <w:p w14:paraId="0DCE5F7A">
      <w:pPr>
        <w:pStyle w:val="3"/>
        <w:ind w:left="0"/>
        <w:rPr>
          <w:rFonts w:hint="eastAsia" w:cs="Times New Roman"/>
          <w:b/>
        </w:rPr>
      </w:pPr>
      <w:r>
        <w:rPr>
          <w:rFonts w:hint="eastAsia" w:cs="Times New Roman"/>
          <w:b/>
          <w:lang w:val="en-US" w:eastAsia="zh-CN"/>
        </w:rPr>
        <w:t>系统对接</w:t>
      </w:r>
    </w:p>
    <w:p w14:paraId="2BF0F152">
      <w:pPr>
        <w:pStyle w:val="4"/>
        <w:spacing w:line="360" w:lineRule="auto"/>
        <w:ind w:firstLine="480"/>
        <w:rPr>
          <w:rFonts w:hint="eastAsia" w:ascii="宋体" w:hAnsi="宋体" w:eastAsia="宋体"/>
          <w:sz w:val="24"/>
          <w:lang w:eastAsia="zh-CN"/>
        </w:rPr>
      </w:pPr>
      <w:r>
        <w:rPr>
          <w:rFonts w:hint="eastAsia" w:ascii="宋体" w:hAnsi="宋体"/>
          <w:sz w:val="24"/>
          <w:lang w:val="en-US" w:eastAsia="zh-CN"/>
        </w:rPr>
        <w:t>对接</w:t>
      </w:r>
      <w:r>
        <w:rPr>
          <w:rFonts w:hint="eastAsia" w:ascii="宋体" w:hAnsi="宋体"/>
          <w:sz w:val="24"/>
          <w:lang w:val="en-US"/>
        </w:rPr>
        <w:t>市民政局</w:t>
      </w:r>
      <w:r>
        <w:rPr>
          <w:rFonts w:hint="eastAsia" w:ascii="宋体" w:hAnsi="宋体"/>
          <w:sz w:val="24"/>
          <w:lang w:eastAsia="zh-CN"/>
        </w:rPr>
        <w:t>，</w:t>
      </w:r>
      <w:r>
        <w:rPr>
          <w:rFonts w:hint="eastAsia" w:ascii="宋体" w:hAnsi="宋体"/>
          <w:sz w:val="24"/>
          <w:lang w:val="en-US" w:eastAsia="zh-CN"/>
        </w:rPr>
        <w:t>获取居民经济状况数</w:t>
      </w:r>
      <w:r>
        <w:rPr>
          <w:rFonts w:hint="eastAsia" w:ascii="宋体" w:hAnsi="宋体"/>
          <w:sz w:val="24"/>
        </w:rPr>
        <w:t>据</w:t>
      </w:r>
      <w:r>
        <w:rPr>
          <w:rFonts w:hint="eastAsia" w:ascii="宋体" w:hAnsi="宋体"/>
          <w:sz w:val="24"/>
          <w:lang w:eastAsia="zh-CN"/>
        </w:rPr>
        <w:t>；</w:t>
      </w:r>
    </w:p>
    <w:p w14:paraId="75ABDE45">
      <w:pPr>
        <w:pStyle w:val="4"/>
        <w:spacing w:line="360" w:lineRule="auto"/>
        <w:ind w:firstLine="480"/>
        <w:rPr>
          <w:rFonts w:hint="eastAsia" w:ascii="宋体" w:hAnsi="宋体"/>
          <w:sz w:val="24"/>
          <w:lang w:val="en-US" w:eastAsia="zh-CN"/>
        </w:rPr>
      </w:pPr>
      <w:r>
        <w:rPr>
          <w:rFonts w:hint="eastAsia" w:ascii="宋体" w:hAnsi="宋体"/>
          <w:sz w:val="24"/>
          <w:lang w:val="en-US" w:eastAsia="zh-CN"/>
        </w:rPr>
        <w:t>对接一网通办平台，实现预申请案件、案件办理和制证。</w:t>
      </w:r>
    </w:p>
    <w:p w14:paraId="1062B86D">
      <w:pPr>
        <w:pStyle w:val="3"/>
        <w:ind w:left="0"/>
        <w:rPr>
          <w:rFonts w:hint="eastAsia" w:cs="Times New Roman"/>
          <w:b/>
        </w:rPr>
      </w:pPr>
      <w:r>
        <w:rPr>
          <w:rFonts w:hint="eastAsia" w:cs="Times New Roman"/>
          <w:b/>
        </w:rPr>
        <w:t>软件开发清单</w:t>
      </w:r>
    </w:p>
    <w:tbl>
      <w:tblPr>
        <w:tblStyle w:val="36"/>
        <w:tblW w:w="9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4"/>
        <w:gridCol w:w="2173"/>
        <w:gridCol w:w="6311"/>
      </w:tblGrid>
      <w:tr w14:paraId="61AD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015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bookmarkStart w:id="18" w:name="_Toc63785502"/>
            <w:r>
              <w:rPr>
                <w:rFonts w:hint="eastAsia" w:ascii="华文中宋" w:hAnsi="华文中宋" w:eastAsia="华文中宋" w:cs="华文中宋"/>
                <w:color w:val="auto"/>
                <w:highlight w:val="none"/>
              </w:rPr>
              <w:t>法律援助信息化系统</w:t>
            </w:r>
          </w:p>
        </w:tc>
      </w:tr>
      <w:tr w14:paraId="768D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D9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cs="宋体"/>
                <w:b/>
                <w:i w:val="0"/>
                <w:iCs w:val="0"/>
                <w:color w:val="000000"/>
                <w:kern w:val="0"/>
                <w:sz w:val="22"/>
                <w:szCs w:val="22"/>
                <w:u w:val="none"/>
                <w:lang w:val="en-US" w:eastAsia="zh-CN" w:bidi="ar"/>
              </w:rPr>
              <w:t>功能模块名称</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5C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功能名称</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8C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功能描述</w:t>
            </w:r>
          </w:p>
        </w:tc>
      </w:tr>
      <w:tr w14:paraId="345D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2E5C15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免申即享案件管理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80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免申即享案件管理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司法鉴定免申即享</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127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司法鉴定免申即享案件的受理、进度、案件列表、案件详情、办结。</w:t>
            </w:r>
          </w:p>
        </w:tc>
      </w:tr>
      <w:tr w14:paraId="1B98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523DCF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12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免申即享案件管理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公证免申即享</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5C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公证免申即享案件的受理、进度、案件列表、案件详情、办结。</w:t>
            </w:r>
          </w:p>
        </w:tc>
      </w:tr>
      <w:tr w14:paraId="12C0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6FF6E4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B4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多维分析工具</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04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成熟的多维分析工具，实现多维数据整合与处理、智能化分析与建模、交互式可视化呈现。多源数据集成。1、支持数据库、Excel、CSV、API接口等多类型数据源接入，实现异构数据统一管理与清洗。2、智能化分析与建模。3、交互式可视化呈现</w:t>
            </w:r>
          </w:p>
        </w:tc>
      </w:tr>
      <w:tr w14:paraId="4DDF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0B336C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9A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面向分析型的数据仓</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8F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面向分析型的数据仓，1、获取多源数据，实现案件基本信息、受援人特征、办案进度、经费支出、律师评价等数据的实时抽取、清洗与转换，统一存储至分析型数据仓库。2、数据分层架构：采用ODS（操作数据层）、DWD（明细数据层）、DWS（汇总数据层）、ADS（应用数据层）的分层架构，确保数据的规范性与可复用性。例如，在DWS层按时间、地域、案件类型等维度预聚合数据，提升查询效率。3、数据质量监控：建立数据校验规则库，对关键指标（如案件数量、经费金额）进行完整性、一致性检查，异常数据自动预警并追溯来源，保障统计结果的准确性。</w:t>
            </w:r>
          </w:p>
        </w:tc>
      </w:tr>
      <w:tr w14:paraId="090D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5BDFED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32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主题查询统计分析</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B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免申即享、经费管理、司法部法律援助报表主题统计分析，1、深度钻取分析。2、动态指标计算。</w:t>
            </w:r>
          </w:p>
        </w:tc>
      </w:tr>
      <w:tr w14:paraId="11E1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9BA90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74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综合查询统计分析</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07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实现对系统中法律援助咨询、案件、受援人、机构人员等信息的综合查询和统计分析功能，提供多种业务查询和关联查询。1、自由组合查询。2、跨主题关联分析。3、实时数据刷新。</w:t>
            </w:r>
          </w:p>
        </w:tc>
      </w:tr>
      <w:tr w14:paraId="5D95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274CA7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EB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统计报表管理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统计分析报告、报表导出</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D41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政策效果评估统计分析报告。2、群体案件统计分析报告。3、专项检查统计分析报告。4、社会热点响应统计分析报告。系统支持将上述所有主题查询分析报表，综合查询统计分析结果表，以execl方式导出到本地。</w:t>
            </w:r>
          </w:p>
        </w:tc>
      </w:tr>
      <w:tr w14:paraId="43B5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0285CC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FA2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案件进度指引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183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系统增加法律援助案件进度指引信息，在工作人员选择具体案件的时候，展示案件进度，并提示案件办理的下一流程节点信息。智能提示下一流程节点信息</w:t>
            </w:r>
          </w:p>
        </w:tc>
      </w:tr>
      <w:tr w14:paraId="1A65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A4B2C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05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法律援助接待指引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F5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系统增加指引信息页面和演示视频，工作人员通过系统掌握标准流程信息，规范工作人员接待服务宗旨、服务形象、服务用语、服务技能。</w:t>
            </w:r>
          </w:p>
        </w:tc>
      </w:tr>
      <w:tr w14:paraId="355F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34EBC6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5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案件申请审批指派指引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EB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系统增加律师代理申请、受理、审批、指派指引信息页面和演示视频，系统可展示代理申请的案件范围、申请程序、审批程序。</w:t>
            </w:r>
          </w:p>
        </w:tc>
      </w:tr>
      <w:tr w14:paraId="7C87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BBD3F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9C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结案指引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CD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结案审查要素要点、审批流程的指引信息页面和演示视频、案件补贴的申请、审批流程的指引信息页面和演示视频，工作人员在案件结案补贴环节，查看要素要点、审批流程，规范工作人员和律师办理案件补贴的办理要求。</w:t>
            </w:r>
          </w:p>
        </w:tc>
      </w:tr>
      <w:tr w14:paraId="25C2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4370D3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E33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案件办理指引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A64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系统增加、补正案件、更换承办人员、终止、中止、文书送达、指引信息页面和演示视频，工作人员在案件办理环节，查看法援中心、办理程序。</w:t>
            </w:r>
          </w:p>
        </w:tc>
      </w:tr>
      <w:tr w14:paraId="4BB3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1841D6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F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法律援助案件专家评估指引</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5D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系统增加法律援助案件专家评估指引信息页面和演示视频，工作人员在案件办理环节，查看评估准备、评估标准、评估内容和样式、评估程序、公示与异议、评估结果与运用。</w:t>
            </w:r>
          </w:p>
        </w:tc>
      </w:tr>
      <w:tr w14:paraId="6B3E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8E769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A1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预警提醒</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E9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未处理预警提示信息数、预警提醒信息列表</w:t>
            </w:r>
          </w:p>
        </w:tc>
      </w:tr>
      <w:tr w14:paraId="5CE6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7E88DE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E30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业务办理指引</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智能检索</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A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语义检索引擎、数据资源操作、后台知识图谱生成工具、管理控制台、知识图谱搜索API</w:t>
            </w:r>
          </w:p>
        </w:tc>
      </w:tr>
      <w:tr w14:paraId="7B3D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16B879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指定（委托）案件管理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8F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指定（委托）案件管理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启用指定（委托）案件</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F79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提供法律援助工作人员“指定委托案件”进行标注，标注后，该类案件将自动进入到市区二级业务协同流程中。其中对应的民事二审案件，由二级单位进行案件的信息登记。案件办理为二级单位，案件归属为市级单位。</w:t>
            </w:r>
          </w:p>
        </w:tc>
      </w:tr>
      <w:tr w14:paraId="2E78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04F64F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50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指定（委托）案件管理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指定（委托）案件协同</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EA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针对“指定（委托）案件”，实现区法律援助机构在登记案件后，案件流转至市法律援助中心。</w:t>
            </w:r>
          </w:p>
        </w:tc>
      </w:tr>
      <w:tr w14:paraId="5666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357381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6C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指定（委托）案件管理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指定（委托）案件申请审批</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E0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指定（委托）案件由市法律援助工作人员进行受理和审批，审批通过后，再返回到区级法律援助机构，制作受理阶段各类文书。对接业务办理指引模块并显示案件进度、案件审批流程、等其他提醒信息。</w:t>
            </w:r>
          </w:p>
        </w:tc>
      </w:tr>
      <w:tr w14:paraId="1C7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1B18AD75">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法律援助咨询管理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64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法律援助咨询管理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法律咨询</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B4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提供援助律师值班时，对法律咨询信息进行登记。咨询人信息录入、咨询事项信息录入、咨询事项答复信息录入、咨询列表、咨询详情、打印等功能。</w:t>
            </w:r>
          </w:p>
        </w:tc>
      </w:tr>
      <w:tr w14:paraId="236B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022EC81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1E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法律援助咨询管理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法律咨询服务分析</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EE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1、服务次数总数与变化趋势展示，2、时间序列深度分析，3、各个区固定窗口工作量统计</w:t>
            </w:r>
          </w:p>
        </w:tc>
      </w:tr>
      <w:tr w14:paraId="75C6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0AFCDB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法援案件质量评估管理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F7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评估案件信息登记</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529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1、评估信息登记。2、电子卷宗录入。3、审批材料录入</w:t>
            </w:r>
          </w:p>
        </w:tc>
      </w:tr>
      <w:tr w14:paraId="5A9C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D2C59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60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案件评估</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8B7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件列表，展示上传的案件，和分发给选中的评卷小组情况。2、案件审批评估，案件在工作人员提交后即可在此显示，管理员对其审批材料进行评估。3、案件材料评估以及案件卷宗评估对该案件的审批材料和办案过程进行打分和评价。案件指派后，评卷组组员在自己列表可以查看到待评估的案件，对该案件进行评卷，完成评卷后不可修改评估结果。4、查看评估详情</w:t>
            </w:r>
          </w:p>
        </w:tc>
      </w:tr>
      <w:tr w14:paraId="59F1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0176D1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9D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不合格案件</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D33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评卷组评卷后不合格的案件，然后对案件进行异议分发将案件分发到各区工作人员账号，由工作人员填写意见（个别需要补充材料），管理员通过查看各区工作人员提交的异议反馈并根据反馈意见进行重新指派、修改结果或评估确认操作。</w:t>
            </w:r>
          </w:p>
        </w:tc>
      </w:tr>
      <w:tr w14:paraId="20B1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4CDFBE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0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评卷小组管理</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1D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在此界面进行评估专家的分组，可进行添加小组、添加/修改/移除成员和移除分组等操作。</w:t>
            </w:r>
          </w:p>
        </w:tc>
      </w:tr>
      <w:tr w14:paraId="3B9E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03D917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41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案件评估审查</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DA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人员可通过在线批注功能记录审查意见，对材料中的模糊表述、矛盾之处进行标注。对于复杂或存在争议的材料，审查人员可发起组内讨论，通过评估律师工作台或评估组长工作台与其他专家进行沟通，获取专业意见。审查人员综合系统分析与人工判断，做出审查决策：</w:t>
            </w:r>
          </w:p>
        </w:tc>
      </w:tr>
      <w:tr w14:paraId="15EA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795BF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731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统计报表</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E0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录入案件数量统计、评估案件数量统计、评估结果统计、评估得分统计、案卷评估导出</w:t>
            </w:r>
          </w:p>
        </w:tc>
      </w:tr>
      <w:tr w14:paraId="125A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468AEC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E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评估专家管理</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79C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建立案件质量评估专家库，主要包括上海市评估专家库律师、省级经过培训或有经验的专家律师等，经审批入库。1、定期考核评估2、动态分级调整。</w:t>
            </w:r>
          </w:p>
        </w:tc>
      </w:tr>
      <w:tr w14:paraId="46AC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2F30C8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645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案件库</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E6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系统需要对该类历年历次参与评估案件进行管理，系统应支持案件评估信息的在线存档，同时提供对评估信息进行查询检索、维护与留存的功能。应当按年度、案件类型、已评估及待评估等条件形成不同数据库。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1、检索：可进行单一条件的检索和多条件综合检索。2、排序：可手动调整案件单项为正序或是倒序显示。</w:t>
            </w:r>
          </w:p>
        </w:tc>
      </w:tr>
      <w:tr w14:paraId="1047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008F6C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7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评估对象</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308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既可以设条件随机抽取各省区市已办结归档的案件，不具备抽取条件的也可以由省级管理员向待评估案件数据库上传。操作日志留存：系统完整记录每次随机抽取的操作时间、操作人员、设置条件、抽取结果等信息，形成详细操作日志。支持管理人员随时回溯查看抽取过程，确保操作的规范性与可追溯性。</w:t>
            </w:r>
          </w:p>
        </w:tc>
      </w:tr>
      <w:tr w14:paraId="28F5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5D037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B5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评估指标</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72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司法部案件质量评估相关文件要求，依据案件性质和诉讼阶段，按照以书面评估为主、以回访反馈为辅原则，根据相关文件确定的标准和规则进行评估，设置初评、复评、异议审查三个环节。提供评估指标增加、评估指标修改、评估指标删除等功能。</w:t>
            </w:r>
          </w:p>
        </w:tc>
      </w:tr>
      <w:tr w14:paraId="6B7A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1BC002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4D9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评估程序</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C8A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面向不同用户类型提供不同工作台和功能，包括评估律师工作台、评估组长工作台、管理人员工作台，支持开展案件质量评估。</w:t>
            </w:r>
          </w:p>
        </w:tc>
      </w:tr>
      <w:tr w14:paraId="4D16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1201FF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E07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法律援助质量评估指标体系</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889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案件质量评估指标体系，用于律师绩效考核、案件质量改进、服务资源调配等。实现将新案件的各项指标数据输入模型，自动计算得出案件质量综合评分，并划分优秀、良好、合格、不合格等评估等级。一、评估指标体系1、案件办理规范性指标</w:t>
            </w:r>
          </w:p>
        </w:tc>
      </w:tr>
      <w:tr w14:paraId="7553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22B1A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6AD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评估结果分析</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69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评估结果分析是管理人员能够快速了解被评估对象整体情况，是提供管理人员日常决策的参考建议的重要支持1、评估主题性分析。2、评估指标性分析。3、可视化分析</w:t>
            </w:r>
          </w:p>
        </w:tc>
      </w:tr>
      <w:tr w14:paraId="5F51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04B726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A0C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法援案件质量评估管理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密码应用开发</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EEB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云平台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w:t>
            </w:r>
          </w:p>
        </w:tc>
      </w:tr>
      <w:tr w14:paraId="2DB8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1DAD6B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法援律师画像标签体系</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A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法援律师画像标签体系</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查看律师画像</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F6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查看画像，工作人员可进一步通过点击律师姓名，查看律师的画像信息，从数据角度对拟指派的律师进行全方位了解，为律师指派提供参考依据。</w:t>
            </w:r>
          </w:p>
        </w:tc>
      </w:tr>
      <w:tr w14:paraId="44DD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274811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F7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法援律师画像标签体系</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标签库</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156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建设法援律师画像标签库，人工定义标签，自动实现归类。维度覆盖专业领域（如劳动争议、家事纠纷、未成年人、老年人、道路交通等）、执业年限、典型案例、服务评价等基础数据，形成动态标签库</w:t>
            </w:r>
          </w:p>
        </w:tc>
      </w:tr>
      <w:tr w14:paraId="27EB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2E010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E1B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法援律师画像标签体系</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法援律师能力指标</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A24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采集法援律师办案数据（如案件胜诉率、用户满意度）、服务响应速度等办案效能指标</w:t>
            </w:r>
            <w:r>
              <w:rPr>
                <w:rFonts w:hint="eastAsia" w:cs="宋体"/>
                <w:i w:val="0"/>
                <w:iCs w:val="0"/>
                <w:color w:val="000000"/>
                <w:kern w:val="0"/>
                <w:sz w:val="22"/>
                <w:szCs w:val="22"/>
                <w:u w:val="none"/>
                <w:lang w:val="en-US" w:eastAsia="zh-CN" w:bidi="ar"/>
              </w:rPr>
              <w:t>。</w:t>
            </w:r>
          </w:p>
        </w:tc>
      </w:tr>
      <w:tr w14:paraId="1DA5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1BE241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4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法援律师画像标签体系</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智能匹配与推荐特征指标</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C85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自然语言处理技术识别法援案件信息、紧急程度等特征，生成“用户需求画像”并与律师画像库进行相似度匹配。展示律师接案饱和度与实时可预约时段。展示律师基础信息含执业信息、经典案例、用户评价。1、推荐结果反馈与优化。</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2、推荐规则管理。3、历史推荐记录管理。</w:t>
            </w:r>
          </w:p>
        </w:tc>
      </w:tr>
      <w:tr w14:paraId="5F14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28D96B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案件受理审批流程优化</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020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案件受理审批流程优化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“申请类”案件首页</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89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对申请类案件办理情况进行实时和历史的综合分析和可视化呈现，实时分析功能，1、案件进度实时监控。2、动态趋势分析。3、异常情况预警。4、案件办理周期分析。5、案件结果统计。6、关联关系挖掘。</w:t>
            </w:r>
          </w:p>
        </w:tc>
      </w:tr>
      <w:tr w14:paraId="1C7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980C4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CF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案件受理审批流程优化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案件登记</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A3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“申请类”案件受援人信息登记、“申请类”案件信息登记、“申请类”案件材料上传、特殊案件登记</w:t>
            </w:r>
          </w:p>
        </w:tc>
      </w:tr>
      <w:tr w14:paraId="5D3C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1E09C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4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案件受理审批流程优化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“申请类”案件业务智能审查</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4B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实现案件的案件智能审查，利用人工智能模型对申请类民事、刑事、行政等案件的法律法规、案由、管辖范围、等审查要素要点进行审查。</w:t>
            </w:r>
          </w:p>
        </w:tc>
      </w:tr>
      <w:tr w14:paraId="494A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0DE018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14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案件受理审批流程优化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“申请类”案件材料核验</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B0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1、“申请类”案件申请材料智能核验。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2、“申请类”案件审查意见自动生成。</w:t>
            </w:r>
          </w:p>
        </w:tc>
      </w:tr>
      <w:tr w14:paraId="663E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08900C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申请类案件流程优化</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77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申请类案件流程优化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申请类案件业务流程改造</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57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改造原有业务流程，在材料接收凭证、行政审批通知、行政审批通知送达回证、等流程</w:t>
            </w:r>
            <w:r>
              <w:rPr>
                <w:rFonts w:hint="eastAsia" w:cs="宋体"/>
                <w:i w:val="0"/>
                <w:iCs w:val="0"/>
                <w:color w:val="000000"/>
                <w:kern w:val="0"/>
                <w:sz w:val="22"/>
                <w:szCs w:val="22"/>
                <w:u w:val="none"/>
                <w:lang w:val="en-US" w:eastAsia="zh-CN" w:bidi="ar"/>
              </w:rPr>
              <w:t>节点</w:t>
            </w:r>
            <w:r>
              <w:rPr>
                <w:rFonts w:hint="eastAsia" w:ascii="宋体" w:hAnsi="宋体" w:eastAsia="宋体" w:cs="宋体"/>
                <w:i w:val="0"/>
                <w:iCs w:val="0"/>
                <w:color w:val="000000"/>
                <w:kern w:val="0"/>
                <w:sz w:val="22"/>
                <w:szCs w:val="22"/>
                <w:u w:val="none"/>
                <w:lang w:val="en-US" w:eastAsia="zh-CN" w:bidi="ar"/>
              </w:rPr>
              <w:t>不与大数据中心进行实时交互，让案件直接完成申请受理，实现法律援助业务流程独立。行政审批相关的操作通过对接业务协同支撑模块与大数据中心服务中台交互异步实现。</w:t>
            </w:r>
          </w:p>
        </w:tc>
      </w:tr>
      <w:tr w14:paraId="6946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3725C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DC9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申请类案件流程优化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行政审批文书制作</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3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用户可通过内置的文书模版，制作如“行政审批决定书”、“</w:t>
            </w:r>
            <w:r>
              <w:rPr>
                <w:rFonts w:hint="eastAsia" w:cs="宋体"/>
                <w:i w:val="0"/>
                <w:iCs w:val="0"/>
                <w:color w:val="000000"/>
                <w:kern w:val="0"/>
                <w:sz w:val="22"/>
                <w:szCs w:val="22"/>
                <w:u w:val="none"/>
                <w:lang w:val="en-US" w:eastAsia="zh-CN" w:bidi="ar"/>
              </w:rPr>
              <w:t>行</w:t>
            </w:r>
            <w:r>
              <w:rPr>
                <w:rFonts w:hint="eastAsia" w:ascii="宋体" w:hAnsi="宋体" w:eastAsia="宋体" w:cs="宋体"/>
                <w:i w:val="0"/>
                <w:iCs w:val="0"/>
                <w:color w:val="000000"/>
                <w:kern w:val="0"/>
                <w:sz w:val="22"/>
                <w:szCs w:val="22"/>
                <w:u w:val="none"/>
                <w:lang w:val="en-US" w:eastAsia="zh-CN" w:bidi="ar"/>
              </w:rPr>
              <w:t>政审批通知书”“材料接收凭证”等文书，系统根据案件信息自动填写文书相关内容，工作人员可编辑、预览、打印。文书生成后，通过一网通办案件办理、制证等接口，上传电子文书、获取电子签章等操作，形成有法律效力的文书并实现电子证照归档。对接业务办理指引模块并显示案件进度、文书送达等醒信息。</w:t>
            </w:r>
          </w:p>
        </w:tc>
      </w:tr>
      <w:tr w14:paraId="6CCF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7B7232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DCE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申请类案件流程优化</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文书发送记录存证</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6D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系统实现法律援助相关文书发送记录存证功能，避免因纸质记录丢失或查找困难，保障案件办理的合规性。1、快递单号存证。2、发送记录图片存证</w:t>
            </w:r>
          </w:p>
        </w:tc>
      </w:tr>
      <w:tr w14:paraId="6F9F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5F948BB5">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与大数据中心对接</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93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与大数据中心对接</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经济状况核对</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3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法援系统与民政局对接，获取民政经济状况证明信息和电子文书，并返回状态。市民政局经济状况核对系统升级原接口不使用了，法援系统与新系统对接，获取民政经济状况证明信息和电子文书，并返回状态。</w:t>
            </w:r>
          </w:p>
        </w:tc>
      </w:tr>
      <w:tr w14:paraId="38EE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02451C0E">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E5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与大数据中心对接</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其他业务协同</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17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社会救助证明、优抚对象证明、亲属关系证明、退役军人证明、低保证明、特困人员救助供养证明、律师预约会见、数据归档,、风险预警</w:t>
            </w:r>
          </w:p>
        </w:tc>
      </w:tr>
      <w:tr w14:paraId="09BC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restart"/>
            <w:tcBorders>
              <w:top w:val="single" w:color="000000" w:sz="4" w:space="0"/>
              <w:left w:val="single" w:color="000000" w:sz="4" w:space="0"/>
              <w:right w:val="single" w:color="000000" w:sz="4" w:space="0"/>
            </w:tcBorders>
            <w:shd w:val="clear" w:color="auto" w:fill="auto"/>
            <w:vAlign w:val="center"/>
          </w:tcPr>
          <w:p w14:paraId="032FFE05">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i w:val="0"/>
                <w:iCs w:val="0"/>
                <w:color w:val="000000"/>
                <w:kern w:val="2"/>
                <w:sz w:val="22"/>
                <w:szCs w:val="22"/>
                <w:u w:val="none"/>
                <w:lang w:val="en-US" w:eastAsia="zh-CN" w:bidi="ar-SA"/>
              </w:rPr>
              <w:t>法援律师办案管理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23F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法援律师办案管理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工作概览</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E1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展示法律援助律师办理案件的数据，以及作为快速办案和进入相关应用系统的入口。主要功能包括：办案信息统计、待办案件列表、便捷导航、综合统计分析</w:t>
            </w:r>
          </w:p>
        </w:tc>
      </w:tr>
      <w:tr w14:paraId="6219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7139431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93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法援律师办案管理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案件管理</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EA8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案件列表、案件详情、查询案件、律师办案记录</w:t>
            </w:r>
          </w:p>
        </w:tc>
      </w:tr>
      <w:tr w14:paraId="63BD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6D6C9D9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1FB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法援律师办案管理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卷宗管理</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A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1、上传卷宗2、删除已上传的卷宗3、附件预览</w:t>
            </w:r>
          </w:p>
        </w:tc>
      </w:tr>
      <w:tr w14:paraId="44AB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right w:val="single" w:color="000000" w:sz="4" w:space="0"/>
            </w:tcBorders>
            <w:shd w:val="clear" w:color="auto" w:fill="auto"/>
            <w:vAlign w:val="center"/>
          </w:tcPr>
          <w:p w14:paraId="31507C6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0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法援律师办案管理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申请结案</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72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律师可以在案件列表操作项、或者在案件详情页中，点击申请结案功能，发起结案申请。</w:t>
            </w:r>
          </w:p>
        </w:tc>
      </w:tr>
      <w:tr w14:paraId="4524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4" w:type="dxa"/>
            <w:vMerge w:val="continue"/>
            <w:tcBorders>
              <w:left w:val="single" w:color="000000" w:sz="4" w:space="0"/>
              <w:bottom w:val="single" w:color="000000" w:sz="4" w:space="0"/>
              <w:right w:val="single" w:color="000000" w:sz="4" w:space="0"/>
            </w:tcBorders>
            <w:shd w:val="clear" w:color="auto" w:fill="auto"/>
            <w:vAlign w:val="center"/>
          </w:tcPr>
          <w:p w14:paraId="2E5988F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19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法援律师办案管理</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智能提醒</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4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1、案件提醒用户在收到一件案件指派时，或者申请结案后收到该案件已结案时，系统会在右上角进行提醒。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2、风险提醒对于临近结案期或超期未结案的案件，自动发送风险预警给用户。</w:t>
            </w:r>
          </w:p>
        </w:tc>
      </w:tr>
    </w:tbl>
    <w:p w14:paraId="6B17025F">
      <w:pPr>
        <w:pStyle w:val="2"/>
        <w:ind w:left="0" w:leftChars="0" w:firstLineChars="0"/>
      </w:pPr>
      <w:r>
        <w:rPr>
          <w:rFonts w:hint="eastAsia"/>
        </w:rPr>
        <w:t>电子政务云资源需求</w:t>
      </w:r>
      <w:bookmarkEnd w:id="18"/>
    </w:p>
    <w:p w14:paraId="3A077A0D">
      <w:r>
        <w:rPr>
          <w:rFonts w:hint="eastAsia"/>
        </w:rPr>
        <w:t>本次无需申请新资源。</w:t>
      </w:r>
    </w:p>
    <w:p w14:paraId="082CF6D1">
      <w:pPr>
        <w:pStyle w:val="2"/>
        <w:ind w:left="0" w:leftChars="0" w:firstLineChars="0"/>
        <w:rPr>
          <w:rFonts w:hint="eastAsia" w:ascii="宋体" w:hAnsi="宋体" w:eastAsia="黑体"/>
          <w:b/>
          <w:vanish w:val="0"/>
          <w:sz w:val="32"/>
          <w:szCs w:val="28"/>
        </w:rPr>
      </w:pPr>
      <w:bookmarkStart w:id="19" w:name="_Toc63785503"/>
      <w:r>
        <w:rPr>
          <w:rFonts w:hint="eastAsia"/>
        </w:rPr>
        <w:t>其他工作要求</w:t>
      </w:r>
      <w:bookmarkEnd w:id="19"/>
      <w:bookmarkStart w:id="20" w:name="_Toc62219358"/>
      <w:bookmarkEnd w:id="20"/>
      <w:bookmarkStart w:id="21" w:name="_Toc62209488"/>
      <w:bookmarkEnd w:id="21"/>
      <w:bookmarkStart w:id="22" w:name="_Toc63762370"/>
      <w:bookmarkEnd w:id="22"/>
      <w:bookmarkStart w:id="23" w:name="_Toc63785439"/>
      <w:bookmarkEnd w:id="23"/>
      <w:bookmarkStart w:id="24" w:name="_Toc63785504"/>
      <w:bookmarkEnd w:id="24"/>
      <w:bookmarkStart w:id="25" w:name="_Toc63585480"/>
      <w:bookmarkEnd w:id="25"/>
      <w:bookmarkStart w:id="26" w:name="_Toc61968111"/>
      <w:bookmarkEnd w:id="26"/>
      <w:bookmarkStart w:id="27" w:name="_Toc63151871"/>
      <w:bookmarkEnd w:id="27"/>
    </w:p>
    <w:p w14:paraId="39566FD4">
      <w:pPr>
        <w:pStyle w:val="3"/>
        <w:ind w:left="0" w:leftChars="0" w:firstLineChars="0"/>
      </w:pPr>
      <w:bookmarkStart w:id="28" w:name="_Toc63785505"/>
      <w:r>
        <w:rPr>
          <w:rFonts w:hint="eastAsia"/>
        </w:rPr>
        <w:t>售后服务要求</w:t>
      </w:r>
      <w:bookmarkEnd w:id="28"/>
    </w:p>
    <w:p w14:paraId="7293A36A">
      <w:pPr>
        <w:pStyle w:val="107"/>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77239768">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在质量保证期内，供应商将按照售后服务的承诺提供保修和运行维护服务，如果厂商对信息系统中软件设备等产品中的部分保修期超过上述期限的，则按照厂商的规定进行免费保修。</w:t>
      </w:r>
    </w:p>
    <w:p w14:paraId="00958D50">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r>
        <w:rPr>
          <w:rFonts w:hint="eastAsia" w:ascii="宋体" w:hAnsi="宋体"/>
          <w:sz w:val="24"/>
          <w:szCs w:val="24"/>
          <w:lang w:val="en-US" w:eastAsia="zh-CN"/>
        </w:rPr>
        <w:t>上海市多元矛盾纠纷子系统所涉及的相关内容</w:t>
      </w:r>
      <w:r>
        <w:rPr>
          <w:rFonts w:hint="eastAsia" w:ascii="宋体" w:hAnsi="宋体"/>
          <w:sz w:val="24"/>
          <w:szCs w:val="24"/>
        </w:rPr>
        <w:t>。</w:t>
      </w:r>
    </w:p>
    <w:p w14:paraId="1104A6B0">
      <w:pPr>
        <w:pStyle w:val="3"/>
        <w:ind w:left="0" w:leftChars="0" w:firstLineChars="0"/>
      </w:pPr>
      <w:bookmarkStart w:id="29" w:name="_Toc63785506"/>
      <w:r>
        <w:rPr>
          <w:rFonts w:hint="eastAsia"/>
        </w:rPr>
        <w:t>应急响应要求</w:t>
      </w:r>
      <w:bookmarkEnd w:id="29"/>
    </w:p>
    <w:p w14:paraId="5357E394">
      <w:pPr>
        <w:pStyle w:val="107"/>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w:t>
      </w:r>
      <w:r>
        <w:rPr>
          <w:rFonts w:hint="eastAsia" w:ascii="宋体" w:hAnsi="宋体"/>
          <w:sz w:val="24"/>
          <w:szCs w:val="24"/>
          <w:lang w:val="en-US" w:eastAsia="zh-CN"/>
        </w:rPr>
        <w:t>远程确诊并解决</w:t>
      </w:r>
      <w:r>
        <w:rPr>
          <w:rFonts w:hint="eastAsia" w:ascii="宋体" w:hAnsi="宋体"/>
          <w:sz w:val="24"/>
          <w:szCs w:val="24"/>
        </w:rPr>
        <w:t>。特殊故障与客户沟通协商后，按照协商的方式制定解决方案并进行处理。</w:t>
      </w:r>
    </w:p>
    <w:p w14:paraId="59FDD2CD">
      <w:pPr>
        <w:pStyle w:val="107"/>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4633C053">
      <w:pPr>
        <w:pStyle w:val="107"/>
        <w:snapToGrid w:val="0"/>
        <w:spacing w:line="360" w:lineRule="auto"/>
        <w:ind w:firstLine="480"/>
        <w:rPr>
          <w:rFonts w:hint="eastAsia" w:ascii="宋体" w:hAnsi="宋体" w:eastAsia="宋体"/>
          <w:sz w:val="24"/>
          <w:szCs w:val="24"/>
          <w:lang w:eastAsia="zh-CN"/>
        </w:rPr>
      </w:pPr>
      <w:r>
        <w:rPr>
          <w:rFonts w:hint="eastAsia" w:ascii="宋体" w:hAnsi="宋体"/>
          <w:sz w:val="24"/>
          <w:szCs w:val="24"/>
        </w:rPr>
        <w:t>一级故障：在</w:t>
      </w:r>
      <w:r>
        <w:rPr>
          <w:rFonts w:ascii="宋体" w:hAnsi="宋体"/>
          <w:sz w:val="24"/>
          <w:szCs w:val="24"/>
        </w:rPr>
        <w:t>1小时内确诊，总故障解决时间不超过4小时</w:t>
      </w:r>
      <w:r>
        <w:rPr>
          <w:rFonts w:hint="eastAsia" w:ascii="宋体" w:hAnsi="宋体"/>
          <w:sz w:val="24"/>
          <w:szCs w:val="24"/>
          <w:lang w:eastAsia="zh-CN"/>
        </w:rPr>
        <w:t>；</w:t>
      </w:r>
    </w:p>
    <w:p w14:paraId="16462330">
      <w:pPr>
        <w:pStyle w:val="107"/>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w:t>
      </w:r>
      <w:r>
        <w:rPr>
          <w:rFonts w:hint="eastAsia" w:ascii="宋体" w:hAnsi="宋体"/>
          <w:sz w:val="24"/>
          <w:szCs w:val="24"/>
          <w:lang w:val="en-US" w:eastAsia="zh-CN"/>
        </w:rPr>
        <w:t>远程</w:t>
      </w:r>
      <w:r>
        <w:rPr>
          <w:rFonts w:ascii="宋体" w:hAnsi="宋体"/>
          <w:sz w:val="24"/>
          <w:szCs w:val="24"/>
        </w:rPr>
        <w:t>确诊并解决，总故障解决时间不超过8小时；</w:t>
      </w:r>
    </w:p>
    <w:p w14:paraId="01D18686">
      <w:pPr>
        <w:pStyle w:val="107"/>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49096222">
      <w:pPr>
        <w:pStyle w:val="3"/>
        <w:ind w:left="0" w:leftChars="0" w:firstLineChars="0"/>
      </w:pPr>
      <w:bookmarkStart w:id="30" w:name="_Toc63785507"/>
      <w:r>
        <w:rPr>
          <w:rFonts w:hint="eastAsia"/>
        </w:rPr>
        <w:t>培训要求</w:t>
      </w:r>
      <w:bookmarkEnd w:id="30"/>
    </w:p>
    <w:p w14:paraId="070016E7">
      <w:r>
        <w:rPr>
          <w:rFonts w:hint="eastAsia"/>
        </w:rPr>
        <w:t>对系统使用单位提供业务操作培训，应提供详细培训方案。</w:t>
      </w:r>
    </w:p>
    <w:p w14:paraId="7A5D08F4">
      <w:pPr>
        <w:rPr>
          <w:rFonts w:hint="eastAsia" w:eastAsia="宋体"/>
          <w:lang w:eastAsia="zh-CN"/>
        </w:rPr>
      </w:pPr>
      <w:r>
        <w:rPr>
          <w:rFonts w:hint="eastAsia"/>
        </w:rPr>
        <w:t>(1)在12个月的质量保证期内，提供2次与项目相关的必要培训</w:t>
      </w:r>
      <w:r>
        <w:rPr>
          <w:rFonts w:hint="eastAsia"/>
          <w:lang w:eastAsia="zh-CN"/>
        </w:rPr>
        <w:t>。</w:t>
      </w:r>
    </w:p>
    <w:p w14:paraId="0F1CA877">
      <w:pPr>
        <w:rPr>
          <w:rFonts w:hint="eastAsia" w:eastAsia="宋体"/>
          <w:lang w:eastAsia="zh-CN"/>
        </w:rPr>
      </w:pPr>
      <w:r>
        <w:rPr>
          <w:rFonts w:hint="eastAsia"/>
        </w:rPr>
        <w:t>(2)供应商需要开展分层次的人员培训工作，每次培训后应对参加培训人员进行测试，评估培训成果。培训应具有培训教材、培训环境和高水平的培训讲师</w:t>
      </w:r>
      <w:r>
        <w:rPr>
          <w:rFonts w:hint="eastAsia"/>
          <w:lang w:eastAsia="zh-CN"/>
        </w:rPr>
        <w:t>。</w:t>
      </w:r>
    </w:p>
    <w:p w14:paraId="0178CD98">
      <w:r>
        <w:rPr>
          <w:rFonts w:hint="eastAsia"/>
        </w:rPr>
        <w:t>(3)供应商应提供一般用户的基础操作培训和部门信息管理员的日常应用维护的培训，确保用户对象能够掌握对应的操作技能。</w:t>
      </w:r>
    </w:p>
    <w:p w14:paraId="006BF25F">
      <w:pPr>
        <w:pStyle w:val="3"/>
        <w:ind w:left="0" w:leftChars="0" w:firstLineChars="0"/>
      </w:pPr>
      <w:bookmarkStart w:id="31" w:name="_Toc63785508"/>
      <w:r>
        <w:rPr>
          <w:rFonts w:hint="eastAsia"/>
        </w:rPr>
        <w:t>验收要求</w:t>
      </w:r>
      <w:bookmarkEnd w:id="31"/>
    </w:p>
    <w:p w14:paraId="00026B22">
      <w:pPr>
        <w:rPr>
          <w:szCs w:val="21"/>
        </w:rPr>
      </w:pPr>
      <w:r>
        <w:rPr>
          <w:rFonts w:hint="eastAsia"/>
          <w:szCs w:val="21"/>
        </w:rPr>
        <w:t>本项目按下述方式开展验收。</w:t>
      </w:r>
    </w:p>
    <w:p w14:paraId="4FC51E48">
      <w:pPr>
        <w:rPr>
          <w:szCs w:val="21"/>
        </w:rPr>
      </w:pPr>
      <w:r>
        <w:rPr>
          <w:rFonts w:hint="eastAsia"/>
          <w:szCs w:val="21"/>
        </w:rPr>
        <w:t>（</w:t>
      </w:r>
      <w:r>
        <w:rPr>
          <w:szCs w:val="21"/>
        </w:rPr>
        <w:t>1）验收分初验和终验。</w:t>
      </w:r>
    </w:p>
    <w:p w14:paraId="4FAD0944">
      <w:pPr>
        <w:rPr>
          <w:szCs w:val="21"/>
        </w:rPr>
      </w:pPr>
      <w:r>
        <w:rPr>
          <w:rFonts w:hint="eastAsia"/>
          <w:szCs w:val="21"/>
        </w:rPr>
        <w:t>（</w:t>
      </w:r>
      <w:r>
        <w:rPr>
          <w:szCs w:val="21"/>
        </w:rPr>
        <w:t>2）初验前，供应商须完成软件开发、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6B6A3282">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52519068">
      <w:pPr>
        <w:rPr>
          <w:szCs w:val="21"/>
        </w:rPr>
      </w:pPr>
      <w:r>
        <w:rPr>
          <w:rFonts w:hint="eastAsia"/>
          <w:szCs w:val="21"/>
        </w:rPr>
        <w:t>（</w:t>
      </w:r>
      <w:r>
        <w:rPr>
          <w:szCs w:val="21"/>
        </w:rPr>
        <w:t>4）自初验通过之日起，招标方享有供应商免费提供的</w:t>
      </w:r>
      <w:r>
        <w:rPr>
          <w:rFonts w:hint="eastAsia"/>
          <w:szCs w:val="21"/>
          <w:lang w:val="en-US" w:eastAsia="zh-CN"/>
        </w:rPr>
        <w:t>7</w:t>
      </w:r>
      <w:r>
        <w:rPr>
          <w:szCs w:val="21"/>
        </w:rPr>
        <w:t>天的信息系统试运行服务期。该期间内，供应商应当按照招标方的要求提供技术支持服务，解决信息系统试运行期间可能出现的各类问题，或进一步提高与完善信息系统运行水平。</w:t>
      </w:r>
    </w:p>
    <w:p w14:paraId="7D4E89B1">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lang w:val="en-US" w:eastAsia="zh-CN"/>
        </w:rPr>
        <w:t>7</w:t>
      </w:r>
      <w:r>
        <w:rPr>
          <w:szCs w:val="21"/>
        </w:rPr>
        <w:t>个工作日内发起组织专家验收会。</w:t>
      </w:r>
    </w:p>
    <w:p w14:paraId="097F7AAA">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6CD2C0A2">
      <w:pPr>
        <w:rPr>
          <w:szCs w:val="21"/>
        </w:rPr>
      </w:pPr>
      <w:r>
        <w:rPr>
          <w:rFonts w:hint="eastAsia"/>
          <w:szCs w:val="21"/>
        </w:rPr>
        <w:t>（7</w:t>
      </w:r>
      <w:r>
        <w:rPr>
          <w:szCs w:val="21"/>
        </w:rPr>
        <w:t>）如果由于招标方原因导致本项目在终验通过前出现故障或问题，供应商应及时配合排除该方面的故障或问题。</w:t>
      </w:r>
    </w:p>
    <w:p w14:paraId="1BCDDF9B">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13FC9D45">
      <w:pPr>
        <w:pStyle w:val="3"/>
        <w:ind w:left="0" w:leftChars="0" w:firstLineChars="0"/>
      </w:pPr>
      <w:bookmarkStart w:id="32" w:name="_Toc63785509"/>
      <w:r>
        <w:rPr>
          <w:rFonts w:hint="eastAsia"/>
        </w:rPr>
        <w:t>进度要求</w:t>
      </w:r>
      <w:bookmarkEnd w:id="32"/>
    </w:p>
    <w:p w14:paraId="5D33B8CC">
      <w:pPr>
        <w:ind w:left="0"/>
        <w:rPr>
          <w:rFonts w:hint="eastAsia"/>
        </w:rPr>
      </w:pPr>
      <w:bookmarkStart w:id="33" w:name="_Toc63785510"/>
      <w:r>
        <w:rPr>
          <w:rFonts w:hint="eastAsia"/>
        </w:rPr>
        <w:t>投标人应根据建设内容，分阶段制定合理的时间进度，并且应根据招标方要求进行调整和细化。</w:t>
      </w:r>
    </w:p>
    <w:p w14:paraId="4DFBC8BB">
      <w:pPr>
        <w:rPr>
          <w:rFonts w:hint="eastAsia" w:eastAsia="宋体"/>
          <w:lang w:eastAsia="zh-CN"/>
        </w:rPr>
      </w:pPr>
      <w:r>
        <w:rPr>
          <w:rFonts w:hint="eastAsia"/>
        </w:rPr>
        <w:t>总建设周期为</w:t>
      </w:r>
      <w:r>
        <w:rPr>
          <w:rFonts w:hint="eastAsia"/>
          <w:lang w:eastAsia="zh-CN"/>
        </w:rPr>
        <w:t>自合同签订生效之日</w:t>
      </w:r>
      <w:r>
        <w:rPr>
          <w:rFonts w:hint="eastAsia"/>
        </w:rPr>
        <w:t>起至202</w:t>
      </w:r>
      <w:r>
        <w:rPr>
          <w:rFonts w:hint="eastAsia"/>
          <w:lang w:val="en-US" w:eastAsia="zh-CN"/>
        </w:rPr>
        <w:t>6</w:t>
      </w:r>
      <w:r>
        <w:rPr>
          <w:rFonts w:hint="eastAsia"/>
        </w:rPr>
        <w:t>年11月</w:t>
      </w:r>
      <w:r>
        <w:rPr>
          <w:rFonts w:hint="eastAsia"/>
          <w:lang w:val="en-US" w:eastAsia="zh-CN"/>
        </w:rPr>
        <w:t>15日前</w:t>
      </w:r>
      <w:r>
        <w:rPr>
          <w:rFonts w:hint="eastAsia"/>
        </w:rPr>
        <w:t>结束，分为3个阶段</w:t>
      </w:r>
      <w:r>
        <w:rPr>
          <w:rFonts w:hint="eastAsia"/>
          <w:lang w:eastAsia="zh-CN"/>
        </w:rPr>
        <w:t>。</w:t>
      </w:r>
    </w:p>
    <w:p w14:paraId="5BAC0D46">
      <w:pPr>
        <w:rPr>
          <w:rFonts w:hint="eastAsia" w:eastAsia="宋体"/>
          <w:lang w:eastAsia="zh-CN"/>
        </w:rPr>
      </w:pPr>
      <w:r>
        <w:rPr>
          <w:rFonts w:hint="eastAsia"/>
        </w:rPr>
        <w:t>第一阶段为合同签订起至202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eastAsia="zh-CN"/>
        </w:rPr>
        <w:t>：</w:t>
      </w:r>
      <w:r>
        <w:rPr>
          <w:rFonts w:hint="eastAsia"/>
        </w:rPr>
        <w:t>完成合同签订、需求调研</w:t>
      </w:r>
      <w:r>
        <w:rPr>
          <w:rFonts w:hint="eastAsia"/>
          <w:lang w:eastAsia="zh-CN"/>
        </w:rPr>
        <w:t>，</w:t>
      </w:r>
      <w:r>
        <w:rPr>
          <w:rFonts w:hint="eastAsia"/>
          <w:lang w:val="en-US" w:eastAsia="zh-CN"/>
        </w:rPr>
        <w:t>方案设计等</w:t>
      </w:r>
      <w:r>
        <w:rPr>
          <w:rFonts w:hint="eastAsia"/>
          <w:lang w:eastAsia="zh-CN"/>
        </w:rPr>
        <w:t>；</w:t>
      </w:r>
    </w:p>
    <w:p w14:paraId="7707B623">
      <w:pPr>
        <w:rPr>
          <w:rFonts w:hint="eastAsia" w:eastAsia="宋体"/>
          <w:lang w:eastAsia="zh-CN"/>
        </w:rPr>
      </w:pPr>
      <w:r>
        <w:rPr>
          <w:rFonts w:hint="eastAsia"/>
        </w:rPr>
        <w:t>第二阶段为202</w:t>
      </w:r>
      <w:r>
        <w:rPr>
          <w:rFonts w:hint="eastAsia"/>
          <w:lang w:val="en-US" w:eastAsia="zh-CN"/>
        </w:rPr>
        <w:t>6</w:t>
      </w:r>
      <w:r>
        <w:rPr>
          <w:rFonts w:hint="eastAsia"/>
        </w:rPr>
        <w:t>年5月~10月</w:t>
      </w:r>
      <w:r>
        <w:rPr>
          <w:rFonts w:hint="eastAsia"/>
          <w:lang w:val="en-US" w:eastAsia="zh-CN"/>
        </w:rPr>
        <w:t>15日</w:t>
      </w:r>
      <w:r>
        <w:rPr>
          <w:rFonts w:hint="eastAsia"/>
          <w:lang w:eastAsia="zh-CN"/>
        </w:rPr>
        <w:t>：</w:t>
      </w:r>
      <w:r>
        <w:rPr>
          <w:rFonts w:hint="eastAsia"/>
        </w:rPr>
        <w:t>完成数据归集整合、资源申请和各模块的开发与测试工作，完成系统联调与部署,修正各模块联调中出现的问题,完成系统完善和功能迭代，直至发布正式运行版本。包括应用软件开发、系统集成、部署、测评</w:t>
      </w:r>
      <w:r>
        <w:rPr>
          <w:rFonts w:hint="eastAsia"/>
          <w:lang w:eastAsia="zh-CN"/>
        </w:rPr>
        <w:t>；</w:t>
      </w:r>
    </w:p>
    <w:p w14:paraId="04D3C59D">
      <w:pPr>
        <w:rPr>
          <w:rFonts w:hint="eastAsia"/>
        </w:rPr>
      </w:pPr>
      <w:r>
        <w:rPr>
          <w:rFonts w:hint="eastAsia"/>
        </w:rPr>
        <w:t>第三阶段为</w:t>
      </w:r>
      <w:r>
        <w:rPr>
          <w:rFonts w:hint="eastAsia"/>
          <w:lang w:val="en-US" w:eastAsia="zh-CN"/>
        </w:rPr>
        <w:t>2026年</w:t>
      </w:r>
      <w:r>
        <w:rPr>
          <w:rFonts w:hint="eastAsia"/>
        </w:rPr>
        <w:t>11月</w:t>
      </w:r>
      <w:r>
        <w:rPr>
          <w:rFonts w:hint="eastAsia"/>
          <w:lang w:val="en-US" w:eastAsia="zh-CN"/>
        </w:rPr>
        <w:t>15日</w:t>
      </w:r>
      <w:r>
        <w:rPr>
          <w:rFonts w:hint="eastAsia"/>
        </w:rPr>
        <w:t>前</w:t>
      </w:r>
      <w:r>
        <w:rPr>
          <w:rFonts w:hint="eastAsia"/>
          <w:lang w:eastAsia="zh-CN"/>
        </w:rPr>
        <w:t>（</w:t>
      </w:r>
      <w:r>
        <w:rPr>
          <w:rFonts w:hint="eastAsia"/>
          <w:lang w:val="en-US" w:eastAsia="zh-CN"/>
        </w:rPr>
        <w:t>包含30天试运行）</w:t>
      </w:r>
      <w:r>
        <w:rPr>
          <w:rFonts w:hint="eastAsia"/>
          <w:lang w:eastAsia="zh-CN"/>
        </w:rPr>
        <w:t>：</w:t>
      </w:r>
      <w:r>
        <w:rPr>
          <w:rFonts w:hint="eastAsia"/>
        </w:rPr>
        <w:t>根据项目运行情况和验收要求开展功能优化和绩效评价等工作，完成项目验收并启动项目的正式运行。</w:t>
      </w:r>
    </w:p>
    <w:p w14:paraId="5E4ED77A">
      <w:pPr>
        <w:rPr>
          <w:rFonts w:hint="eastAsia" w:ascii="宋体" w:hAnsi="宋体" w:eastAsia="宋体" w:cs="宋体"/>
          <w:color w:val="auto"/>
          <w:sz w:val="24"/>
          <w:szCs w:val="24"/>
          <w:highlight w:val="none"/>
        </w:rPr>
      </w:pPr>
    </w:p>
    <w:p w14:paraId="73724CF4">
      <w:pPr>
        <w:pStyle w:val="3"/>
        <w:ind w:left="0" w:leftChars="0" w:firstLineChars="0"/>
      </w:pPr>
      <w:r>
        <w:rPr>
          <w:rFonts w:hint="eastAsia"/>
        </w:rPr>
        <w:t>项目团队及驻场人员要求</w:t>
      </w:r>
      <w:bookmarkEnd w:id="33"/>
    </w:p>
    <w:p w14:paraId="389A041F">
      <w:r>
        <w:t>1）投标人须具有稳定的在职技术保障力量，能够提供及时的技术支援或服务，应针对本项目提供不少于</w:t>
      </w:r>
      <w:r>
        <w:rPr>
          <w:rFonts w:hint="eastAsia"/>
          <w:lang w:val="en-US" w:eastAsia="zh-CN"/>
        </w:rPr>
        <w:t>5</w:t>
      </w:r>
      <w:r>
        <w:t>人的项目服务团队（包括项目经理、</w:t>
      </w:r>
      <w:r>
        <w:rPr>
          <w:rFonts w:hint="eastAsia"/>
          <w:sz w:val="22"/>
          <w:szCs w:val="22"/>
          <w:lang w:val="en-US" w:eastAsia="zh-CN"/>
        </w:rPr>
        <w:t>技术负责人</w:t>
      </w:r>
      <w:r>
        <w:t>、研发等），投标单位的相关服务人员需具备相应的服务能力，需提供相关证明。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733"/>
        <w:gridCol w:w="1180"/>
        <w:gridCol w:w="2119"/>
        <w:gridCol w:w="1180"/>
      </w:tblGrid>
      <w:tr w14:paraId="781E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71EA4A7">
            <w:pPr>
              <w:widowControl/>
              <w:spacing w:line="240" w:lineRule="auto"/>
              <w:ind w:firstLine="0" w:firstLineChars="0"/>
              <w:jc w:val="center"/>
              <w:rPr>
                <w:b/>
              </w:rPr>
            </w:pPr>
            <w:r>
              <w:rPr>
                <w:rFonts w:hint="eastAsia"/>
                <w:b/>
              </w:rPr>
              <w:t>角色</w:t>
            </w:r>
          </w:p>
        </w:tc>
        <w:tc>
          <w:tcPr>
            <w:tcW w:w="0" w:type="auto"/>
            <w:noWrap/>
            <w:vAlign w:val="center"/>
          </w:tcPr>
          <w:p w14:paraId="1A061E96">
            <w:pPr>
              <w:widowControl/>
              <w:spacing w:line="240" w:lineRule="auto"/>
              <w:ind w:firstLine="0" w:firstLineChars="0"/>
              <w:jc w:val="center"/>
              <w:rPr>
                <w:b/>
              </w:rPr>
            </w:pPr>
            <w:r>
              <w:rPr>
                <w:rFonts w:hint="eastAsia"/>
                <w:b/>
              </w:rPr>
              <w:t>主要职责</w:t>
            </w:r>
          </w:p>
        </w:tc>
        <w:tc>
          <w:tcPr>
            <w:tcW w:w="0" w:type="auto"/>
            <w:noWrap/>
            <w:vAlign w:val="center"/>
          </w:tcPr>
          <w:p w14:paraId="107CBF68">
            <w:pPr>
              <w:widowControl/>
              <w:spacing w:line="240" w:lineRule="auto"/>
              <w:ind w:firstLine="0" w:firstLineChars="0"/>
              <w:jc w:val="center"/>
              <w:rPr>
                <w:b/>
              </w:rPr>
            </w:pPr>
            <w:r>
              <w:rPr>
                <w:rFonts w:hint="eastAsia"/>
                <w:b/>
              </w:rPr>
              <w:t>人员数量</w:t>
            </w:r>
          </w:p>
        </w:tc>
        <w:tc>
          <w:tcPr>
            <w:tcW w:w="0" w:type="auto"/>
            <w:noWrap w:val="0"/>
            <w:vAlign w:val="center"/>
          </w:tcPr>
          <w:p w14:paraId="049ACC91">
            <w:pPr>
              <w:widowControl/>
              <w:spacing w:line="240" w:lineRule="auto"/>
              <w:ind w:firstLine="0" w:firstLineChars="0"/>
              <w:jc w:val="center"/>
              <w:rPr>
                <w:b/>
              </w:rPr>
            </w:pPr>
            <w:r>
              <w:rPr>
                <w:rFonts w:hint="eastAsia"/>
                <w:b/>
              </w:rPr>
              <w:t>人员要求</w:t>
            </w:r>
          </w:p>
        </w:tc>
        <w:tc>
          <w:tcPr>
            <w:tcW w:w="0" w:type="auto"/>
            <w:noWrap/>
            <w:vAlign w:val="center"/>
          </w:tcPr>
          <w:p w14:paraId="61EF3A6D">
            <w:pPr>
              <w:widowControl/>
              <w:spacing w:line="240" w:lineRule="auto"/>
              <w:ind w:firstLine="0" w:firstLineChars="0"/>
              <w:jc w:val="center"/>
              <w:rPr>
                <w:b/>
              </w:rPr>
            </w:pPr>
            <w:r>
              <w:rPr>
                <w:rFonts w:hint="eastAsia"/>
                <w:b/>
              </w:rPr>
              <w:t>驻场要求</w:t>
            </w:r>
          </w:p>
        </w:tc>
      </w:tr>
      <w:tr w14:paraId="617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27657E4">
            <w:pPr>
              <w:widowControl/>
              <w:spacing w:line="240" w:lineRule="auto"/>
              <w:ind w:firstLine="0" w:firstLineChars="0"/>
              <w:jc w:val="center"/>
              <w:rPr>
                <w:sz w:val="22"/>
                <w:szCs w:val="22"/>
              </w:rPr>
            </w:pPr>
            <w:r>
              <w:rPr>
                <w:rFonts w:hint="eastAsia"/>
                <w:sz w:val="22"/>
                <w:szCs w:val="22"/>
              </w:rPr>
              <w:t>项目经理</w:t>
            </w:r>
          </w:p>
        </w:tc>
        <w:tc>
          <w:tcPr>
            <w:tcW w:w="0" w:type="auto"/>
            <w:noWrap w:val="0"/>
            <w:vAlign w:val="center"/>
          </w:tcPr>
          <w:p w14:paraId="4DEAF515">
            <w:pPr>
              <w:widowControl/>
              <w:spacing w:line="240" w:lineRule="auto"/>
              <w:ind w:firstLine="0" w:firstLineChars="0"/>
              <w:jc w:val="center"/>
              <w:rPr>
                <w:sz w:val="22"/>
                <w:szCs w:val="22"/>
              </w:rPr>
            </w:pPr>
            <w:r>
              <w:rPr>
                <w:rFonts w:hint="eastAsia"/>
                <w:sz w:val="22"/>
                <w:szCs w:val="22"/>
              </w:rPr>
              <w:t>负责项目质量和进度控制</w:t>
            </w:r>
          </w:p>
        </w:tc>
        <w:tc>
          <w:tcPr>
            <w:tcW w:w="0" w:type="auto"/>
            <w:noWrap/>
            <w:vAlign w:val="center"/>
          </w:tcPr>
          <w:p w14:paraId="30EA61D4">
            <w:pPr>
              <w:widowControl/>
              <w:spacing w:line="240" w:lineRule="auto"/>
              <w:ind w:firstLine="0" w:firstLineChars="0"/>
              <w:jc w:val="center"/>
              <w:rPr>
                <w:sz w:val="22"/>
                <w:szCs w:val="22"/>
              </w:rPr>
            </w:pPr>
            <w:r>
              <w:rPr>
                <w:rFonts w:hint="eastAsia"/>
                <w:sz w:val="22"/>
                <w:szCs w:val="22"/>
                <w:lang w:val="en-US" w:eastAsia="zh-CN"/>
              </w:rPr>
              <w:t>1</w:t>
            </w:r>
            <w:r>
              <w:rPr>
                <w:rFonts w:hint="eastAsia"/>
                <w:sz w:val="22"/>
                <w:szCs w:val="22"/>
              </w:rPr>
              <w:t>人</w:t>
            </w:r>
          </w:p>
        </w:tc>
        <w:tc>
          <w:tcPr>
            <w:tcW w:w="0" w:type="auto"/>
            <w:noWrap w:val="0"/>
            <w:vAlign w:val="center"/>
          </w:tcPr>
          <w:p w14:paraId="309771B8">
            <w:pPr>
              <w:widowControl/>
              <w:spacing w:line="240" w:lineRule="auto"/>
              <w:ind w:firstLine="0" w:firstLineChars="0"/>
              <w:jc w:val="center"/>
              <w:rPr>
                <w:sz w:val="22"/>
                <w:szCs w:val="22"/>
              </w:rPr>
            </w:pPr>
            <w:r>
              <w:rPr>
                <w:rFonts w:hint="eastAsia" w:ascii="宋体" w:hAnsi="宋体"/>
                <w:sz w:val="22"/>
                <w:szCs w:val="22"/>
              </w:rPr>
              <w:t>具有</w:t>
            </w:r>
            <w:bookmarkStart w:id="39" w:name="_GoBack"/>
            <w:bookmarkEnd w:id="39"/>
            <w:r>
              <w:rPr>
                <w:rFonts w:hint="eastAsia" w:ascii="宋体" w:hAnsi="宋体"/>
                <w:sz w:val="22"/>
                <w:szCs w:val="22"/>
              </w:rPr>
              <w:t>本科及以上学历，信息系统项目管理师（高级）证书</w:t>
            </w:r>
            <w:r>
              <w:rPr>
                <w:rFonts w:hint="eastAsia"/>
                <w:sz w:val="22"/>
                <w:szCs w:val="22"/>
                <w:lang w:eastAsia="zh-CN"/>
              </w:rPr>
              <w:t>、</w:t>
            </w:r>
            <w:r>
              <w:rPr>
                <w:rFonts w:hint="eastAsia" w:ascii="宋体" w:hAnsi="宋体"/>
                <w:sz w:val="22"/>
                <w:szCs w:val="22"/>
              </w:rPr>
              <w:t>项目经理经验</w:t>
            </w:r>
          </w:p>
        </w:tc>
        <w:tc>
          <w:tcPr>
            <w:tcW w:w="0" w:type="auto"/>
            <w:noWrap/>
            <w:vAlign w:val="center"/>
          </w:tcPr>
          <w:p w14:paraId="7DE0196C">
            <w:pPr>
              <w:widowControl/>
              <w:spacing w:line="240" w:lineRule="auto"/>
              <w:ind w:firstLine="0" w:firstLineChars="0"/>
              <w:jc w:val="center"/>
              <w:rPr>
                <w:sz w:val="22"/>
                <w:szCs w:val="22"/>
              </w:rPr>
            </w:pPr>
            <w:r>
              <w:rPr>
                <w:rFonts w:hint="eastAsia"/>
                <w:sz w:val="22"/>
                <w:szCs w:val="22"/>
              </w:rPr>
              <w:t>不驻场</w:t>
            </w:r>
          </w:p>
        </w:tc>
      </w:tr>
      <w:tr w14:paraId="08FC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3D8A437">
            <w:pPr>
              <w:widowControl/>
              <w:spacing w:line="240" w:lineRule="auto"/>
              <w:ind w:firstLine="0" w:firstLineChars="0"/>
              <w:jc w:val="center"/>
              <w:rPr>
                <w:rFonts w:hint="eastAsia" w:eastAsia="宋体"/>
                <w:sz w:val="22"/>
                <w:szCs w:val="22"/>
                <w:lang w:eastAsia="zh-CN"/>
              </w:rPr>
            </w:pPr>
            <w:r>
              <w:rPr>
                <w:rFonts w:hint="eastAsia"/>
                <w:sz w:val="22"/>
                <w:szCs w:val="22"/>
                <w:lang w:val="en-US" w:eastAsia="zh-CN"/>
              </w:rPr>
              <w:t>技术负责人</w:t>
            </w:r>
          </w:p>
        </w:tc>
        <w:tc>
          <w:tcPr>
            <w:tcW w:w="0" w:type="auto"/>
            <w:noWrap w:val="0"/>
            <w:vAlign w:val="center"/>
          </w:tcPr>
          <w:p w14:paraId="42EB2F3B">
            <w:pPr>
              <w:widowControl/>
              <w:spacing w:line="240" w:lineRule="auto"/>
              <w:ind w:firstLine="0" w:firstLineChars="0"/>
              <w:jc w:val="center"/>
              <w:rPr>
                <w:sz w:val="22"/>
                <w:szCs w:val="22"/>
              </w:rPr>
            </w:pPr>
            <w:r>
              <w:rPr>
                <w:rFonts w:hint="eastAsia"/>
                <w:sz w:val="22"/>
                <w:szCs w:val="22"/>
              </w:rPr>
              <w:t>负责项目需求评估与产品设计</w:t>
            </w:r>
          </w:p>
        </w:tc>
        <w:tc>
          <w:tcPr>
            <w:tcW w:w="0" w:type="auto"/>
            <w:noWrap/>
            <w:vAlign w:val="center"/>
          </w:tcPr>
          <w:p w14:paraId="733EDD88">
            <w:pPr>
              <w:widowControl/>
              <w:spacing w:line="240" w:lineRule="auto"/>
              <w:ind w:firstLine="0" w:firstLineChars="0"/>
              <w:jc w:val="center"/>
              <w:rPr>
                <w:sz w:val="22"/>
                <w:szCs w:val="22"/>
              </w:rPr>
            </w:pPr>
            <w:r>
              <w:rPr>
                <w:rFonts w:hint="eastAsia"/>
                <w:sz w:val="22"/>
                <w:szCs w:val="22"/>
                <w:lang w:val="en-US" w:eastAsia="zh-CN"/>
              </w:rPr>
              <w:t>1</w:t>
            </w:r>
            <w:r>
              <w:rPr>
                <w:rFonts w:hint="eastAsia"/>
                <w:sz w:val="22"/>
                <w:szCs w:val="22"/>
              </w:rPr>
              <w:t>人</w:t>
            </w:r>
          </w:p>
        </w:tc>
        <w:tc>
          <w:tcPr>
            <w:tcW w:w="0" w:type="auto"/>
            <w:noWrap w:val="0"/>
            <w:vAlign w:val="center"/>
          </w:tcPr>
          <w:p w14:paraId="0192389E">
            <w:pPr>
              <w:widowControl/>
              <w:spacing w:line="240" w:lineRule="auto"/>
              <w:ind w:firstLine="0" w:firstLineChars="0"/>
              <w:jc w:val="center"/>
              <w:rPr>
                <w:rFonts w:hint="eastAsia" w:eastAsia="宋体"/>
                <w:sz w:val="22"/>
                <w:szCs w:val="22"/>
                <w:lang w:eastAsia="zh-CN"/>
              </w:rPr>
            </w:pPr>
            <w:r>
              <w:rPr>
                <w:rFonts w:hint="eastAsia"/>
                <w:sz w:val="22"/>
                <w:szCs w:val="22"/>
                <w:lang w:eastAsia="zh-CN"/>
              </w:rPr>
              <w:t>具有</w:t>
            </w:r>
            <w:r>
              <w:rPr>
                <w:rFonts w:hint="eastAsia"/>
                <w:sz w:val="22"/>
                <w:szCs w:val="22"/>
              </w:rPr>
              <w:t>本科及以上学历</w:t>
            </w:r>
            <w:r>
              <w:rPr>
                <w:rFonts w:hint="eastAsia"/>
                <w:sz w:val="22"/>
                <w:szCs w:val="22"/>
                <w:lang w:eastAsia="zh-CN"/>
              </w:rPr>
              <w:t>，高级工程师职称证书</w:t>
            </w:r>
          </w:p>
        </w:tc>
        <w:tc>
          <w:tcPr>
            <w:tcW w:w="0" w:type="auto"/>
            <w:noWrap/>
            <w:vAlign w:val="center"/>
          </w:tcPr>
          <w:p w14:paraId="1BA1D857">
            <w:pPr>
              <w:widowControl/>
              <w:spacing w:line="240" w:lineRule="auto"/>
              <w:ind w:firstLine="0" w:firstLineChars="0"/>
              <w:jc w:val="center"/>
              <w:rPr>
                <w:sz w:val="22"/>
                <w:szCs w:val="22"/>
              </w:rPr>
            </w:pPr>
            <w:r>
              <w:rPr>
                <w:rFonts w:hint="eastAsia"/>
                <w:sz w:val="22"/>
                <w:szCs w:val="22"/>
              </w:rPr>
              <w:t>不驻场</w:t>
            </w:r>
          </w:p>
        </w:tc>
      </w:tr>
      <w:tr w14:paraId="4A8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DC6B813">
            <w:pPr>
              <w:widowControl/>
              <w:spacing w:line="240" w:lineRule="auto"/>
              <w:ind w:firstLine="0" w:firstLineChars="0"/>
              <w:jc w:val="center"/>
              <w:rPr>
                <w:sz w:val="22"/>
                <w:szCs w:val="22"/>
              </w:rPr>
            </w:pPr>
            <w:r>
              <w:rPr>
                <w:rFonts w:hint="eastAsia"/>
                <w:sz w:val="22"/>
                <w:szCs w:val="22"/>
              </w:rPr>
              <w:t>研发工程师</w:t>
            </w:r>
          </w:p>
        </w:tc>
        <w:tc>
          <w:tcPr>
            <w:tcW w:w="0" w:type="auto"/>
            <w:noWrap/>
            <w:vAlign w:val="center"/>
          </w:tcPr>
          <w:p w14:paraId="0B12135E">
            <w:pPr>
              <w:widowControl/>
              <w:spacing w:line="240" w:lineRule="auto"/>
              <w:ind w:firstLine="0" w:firstLineChars="0"/>
              <w:jc w:val="center"/>
              <w:rPr>
                <w:sz w:val="22"/>
                <w:szCs w:val="22"/>
              </w:rPr>
            </w:pPr>
            <w:r>
              <w:rPr>
                <w:rFonts w:hint="eastAsia"/>
                <w:sz w:val="22"/>
                <w:szCs w:val="22"/>
              </w:rPr>
              <w:t>负责项目具体开发与实施</w:t>
            </w:r>
          </w:p>
        </w:tc>
        <w:tc>
          <w:tcPr>
            <w:tcW w:w="0" w:type="auto"/>
            <w:noWrap/>
            <w:vAlign w:val="center"/>
          </w:tcPr>
          <w:p w14:paraId="3464E7B8">
            <w:pPr>
              <w:widowControl/>
              <w:spacing w:line="240" w:lineRule="auto"/>
              <w:ind w:firstLine="0" w:firstLineChars="0"/>
              <w:jc w:val="center"/>
              <w:rPr>
                <w:sz w:val="22"/>
                <w:szCs w:val="22"/>
              </w:rPr>
            </w:pPr>
            <w:r>
              <w:rPr>
                <w:rFonts w:hint="eastAsia"/>
                <w:sz w:val="22"/>
                <w:szCs w:val="22"/>
                <w:lang w:val="en-US" w:eastAsia="zh-CN"/>
              </w:rPr>
              <w:t>3</w:t>
            </w:r>
            <w:r>
              <w:rPr>
                <w:rFonts w:hint="eastAsia"/>
                <w:sz w:val="22"/>
                <w:szCs w:val="22"/>
              </w:rPr>
              <w:t>人</w:t>
            </w:r>
          </w:p>
        </w:tc>
        <w:tc>
          <w:tcPr>
            <w:tcW w:w="0" w:type="auto"/>
            <w:noWrap w:val="0"/>
            <w:vAlign w:val="center"/>
          </w:tcPr>
          <w:p w14:paraId="28152D12">
            <w:pPr>
              <w:widowControl/>
              <w:spacing w:line="240" w:lineRule="auto"/>
              <w:ind w:firstLine="0" w:firstLineChars="0"/>
              <w:jc w:val="center"/>
              <w:rPr>
                <w:sz w:val="22"/>
                <w:szCs w:val="22"/>
              </w:rPr>
            </w:pPr>
            <w:r>
              <w:rPr>
                <w:rFonts w:hint="eastAsia"/>
                <w:sz w:val="22"/>
                <w:szCs w:val="22"/>
              </w:rPr>
              <w:t>本科及以上学历</w:t>
            </w:r>
          </w:p>
        </w:tc>
        <w:tc>
          <w:tcPr>
            <w:tcW w:w="0" w:type="auto"/>
            <w:noWrap/>
            <w:vAlign w:val="center"/>
          </w:tcPr>
          <w:p w14:paraId="689FDE53">
            <w:pPr>
              <w:widowControl/>
              <w:spacing w:line="240" w:lineRule="auto"/>
              <w:ind w:firstLine="0" w:firstLineChars="0"/>
              <w:jc w:val="center"/>
              <w:rPr>
                <w:sz w:val="22"/>
                <w:szCs w:val="22"/>
              </w:rPr>
            </w:pPr>
            <w:r>
              <w:rPr>
                <w:rFonts w:hint="eastAsia"/>
                <w:sz w:val="22"/>
                <w:szCs w:val="22"/>
              </w:rPr>
              <w:t>不驻场</w:t>
            </w:r>
          </w:p>
        </w:tc>
      </w:tr>
    </w:tbl>
    <w:p w14:paraId="6729582E">
      <w:r>
        <w:t>2）投标人应针对本项目提供不少于</w:t>
      </w:r>
      <w:r>
        <w:rPr>
          <w:rFonts w:hint="eastAsia"/>
          <w:lang w:val="en-US" w:eastAsia="zh-CN"/>
        </w:rPr>
        <w:t>3</w:t>
      </w:r>
      <w:r>
        <w:t>人的质保期间支撑团队（其中运维经理</w:t>
      </w:r>
      <w:r>
        <w:rPr>
          <w:rFonts w:hint="eastAsia"/>
          <w:lang w:val="en-US" w:eastAsia="zh-CN"/>
        </w:rPr>
        <w:t>1</w:t>
      </w:r>
      <w:r>
        <w:t>人，运维工程师不少于</w:t>
      </w:r>
      <w:r>
        <w:rPr>
          <w:rFonts w:hint="eastAsia"/>
          <w:lang w:val="en-US" w:eastAsia="zh-CN"/>
        </w:rPr>
        <w:t>2</w:t>
      </w:r>
      <w:r>
        <w:t>人）；投标人的相关服务人员需具备相应的服务能力。</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368"/>
        <w:gridCol w:w="1180"/>
        <w:gridCol w:w="2484"/>
        <w:gridCol w:w="1180"/>
      </w:tblGrid>
      <w:tr w14:paraId="292B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A09AFB5">
            <w:pPr>
              <w:widowControl/>
              <w:spacing w:line="240" w:lineRule="auto"/>
              <w:ind w:firstLine="0" w:firstLineChars="0"/>
              <w:jc w:val="center"/>
              <w:rPr>
                <w:b/>
              </w:rPr>
            </w:pPr>
            <w:r>
              <w:rPr>
                <w:rFonts w:hint="eastAsia"/>
                <w:b/>
              </w:rPr>
              <w:t>角色</w:t>
            </w:r>
          </w:p>
        </w:tc>
        <w:tc>
          <w:tcPr>
            <w:tcW w:w="0" w:type="auto"/>
            <w:noWrap/>
            <w:vAlign w:val="center"/>
          </w:tcPr>
          <w:p w14:paraId="150F73AF">
            <w:pPr>
              <w:widowControl/>
              <w:spacing w:line="240" w:lineRule="auto"/>
              <w:ind w:firstLine="0" w:firstLineChars="0"/>
              <w:jc w:val="center"/>
              <w:rPr>
                <w:b/>
              </w:rPr>
            </w:pPr>
            <w:r>
              <w:rPr>
                <w:rFonts w:hint="eastAsia"/>
                <w:b/>
              </w:rPr>
              <w:t>主要职责</w:t>
            </w:r>
          </w:p>
        </w:tc>
        <w:tc>
          <w:tcPr>
            <w:tcW w:w="0" w:type="auto"/>
            <w:noWrap/>
            <w:vAlign w:val="center"/>
          </w:tcPr>
          <w:p w14:paraId="48DB73F8">
            <w:pPr>
              <w:widowControl/>
              <w:spacing w:line="240" w:lineRule="auto"/>
              <w:ind w:firstLine="0" w:firstLineChars="0"/>
              <w:jc w:val="center"/>
              <w:rPr>
                <w:b/>
              </w:rPr>
            </w:pPr>
            <w:r>
              <w:rPr>
                <w:rFonts w:hint="eastAsia"/>
                <w:b/>
              </w:rPr>
              <w:t>人员数量</w:t>
            </w:r>
          </w:p>
        </w:tc>
        <w:tc>
          <w:tcPr>
            <w:tcW w:w="0" w:type="auto"/>
            <w:noWrap w:val="0"/>
            <w:vAlign w:val="center"/>
          </w:tcPr>
          <w:p w14:paraId="2BBF4DC0">
            <w:pPr>
              <w:widowControl/>
              <w:spacing w:line="240" w:lineRule="auto"/>
              <w:ind w:firstLine="0" w:firstLineChars="0"/>
              <w:jc w:val="center"/>
              <w:rPr>
                <w:b/>
              </w:rPr>
            </w:pPr>
            <w:r>
              <w:rPr>
                <w:rFonts w:hint="eastAsia"/>
                <w:b/>
              </w:rPr>
              <w:t>人员要求</w:t>
            </w:r>
          </w:p>
        </w:tc>
        <w:tc>
          <w:tcPr>
            <w:tcW w:w="0" w:type="auto"/>
            <w:noWrap/>
            <w:vAlign w:val="center"/>
          </w:tcPr>
          <w:p w14:paraId="50CF3F16">
            <w:pPr>
              <w:widowControl/>
              <w:spacing w:line="240" w:lineRule="auto"/>
              <w:ind w:firstLine="0" w:firstLineChars="0"/>
              <w:jc w:val="center"/>
              <w:rPr>
                <w:b/>
              </w:rPr>
            </w:pPr>
            <w:r>
              <w:rPr>
                <w:rFonts w:hint="eastAsia"/>
                <w:b/>
              </w:rPr>
              <w:t>驻场要求</w:t>
            </w:r>
          </w:p>
        </w:tc>
      </w:tr>
      <w:tr w14:paraId="2E77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E3BAB81">
            <w:pPr>
              <w:widowControl/>
              <w:spacing w:line="240" w:lineRule="auto"/>
              <w:ind w:firstLine="0" w:firstLineChars="0"/>
              <w:jc w:val="center"/>
              <w:rPr>
                <w:sz w:val="22"/>
                <w:szCs w:val="22"/>
              </w:rPr>
            </w:pPr>
            <w:r>
              <w:rPr>
                <w:rFonts w:hint="default"/>
                <w:sz w:val="22"/>
                <w:szCs w:val="22"/>
              </w:rPr>
              <w:t>运维</w:t>
            </w:r>
            <w:r>
              <w:rPr>
                <w:rFonts w:hint="eastAsia"/>
                <w:sz w:val="22"/>
                <w:szCs w:val="22"/>
              </w:rPr>
              <w:t>经理</w:t>
            </w:r>
          </w:p>
        </w:tc>
        <w:tc>
          <w:tcPr>
            <w:tcW w:w="0" w:type="auto"/>
            <w:noWrap w:val="0"/>
            <w:vAlign w:val="center"/>
          </w:tcPr>
          <w:p w14:paraId="624A982C">
            <w:pPr>
              <w:widowControl/>
              <w:spacing w:line="240" w:lineRule="auto"/>
              <w:ind w:firstLine="0" w:firstLineChars="0"/>
              <w:jc w:val="center"/>
              <w:rPr>
                <w:sz w:val="22"/>
                <w:szCs w:val="22"/>
              </w:rPr>
            </w:pPr>
            <w:r>
              <w:rPr>
                <w:rFonts w:hint="eastAsia"/>
                <w:sz w:val="22"/>
                <w:szCs w:val="22"/>
              </w:rPr>
              <w:t>负责项目质量和进度控制</w:t>
            </w:r>
          </w:p>
        </w:tc>
        <w:tc>
          <w:tcPr>
            <w:tcW w:w="0" w:type="auto"/>
            <w:noWrap/>
            <w:vAlign w:val="center"/>
          </w:tcPr>
          <w:p w14:paraId="5A45BBD8">
            <w:pPr>
              <w:widowControl/>
              <w:spacing w:line="240" w:lineRule="auto"/>
              <w:ind w:firstLine="0" w:firstLineChars="0"/>
              <w:jc w:val="center"/>
              <w:rPr>
                <w:sz w:val="22"/>
                <w:szCs w:val="22"/>
              </w:rPr>
            </w:pPr>
            <w:r>
              <w:rPr>
                <w:rFonts w:hint="eastAsia"/>
                <w:sz w:val="22"/>
                <w:szCs w:val="22"/>
                <w:lang w:val="en-US" w:eastAsia="zh-CN"/>
              </w:rPr>
              <w:t>1</w:t>
            </w:r>
            <w:r>
              <w:rPr>
                <w:rFonts w:hint="eastAsia"/>
                <w:sz w:val="22"/>
                <w:szCs w:val="22"/>
              </w:rPr>
              <w:t>人</w:t>
            </w:r>
          </w:p>
        </w:tc>
        <w:tc>
          <w:tcPr>
            <w:tcW w:w="0" w:type="auto"/>
            <w:noWrap w:val="0"/>
            <w:vAlign w:val="center"/>
          </w:tcPr>
          <w:p w14:paraId="33454CB4">
            <w:pPr>
              <w:widowControl/>
              <w:spacing w:line="240" w:lineRule="auto"/>
              <w:ind w:firstLine="0" w:firstLineChars="0"/>
              <w:jc w:val="center"/>
              <w:rPr>
                <w:sz w:val="22"/>
                <w:szCs w:val="22"/>
              </w:rPr>
            </w:pPr>
            <w:r>
              <w:rPr>
                <w:rFonts w:hint="eastAsia" w:ascii="宋体" w:hAnsi="宋体"/>
                <w:sz w:val="22"/>
                <w:szCs w:val="22"/>
              </w:rPr>
              <w:t>本科及以上学历，具有项目经理经验</w:t>
            </w:r>
          </w:p>
        </w:tc>
        <w:tc>
          <w:tcPr>
            <w:tcW w:w="0" w:type="auto"/>
            <w:noWrap/>
            <w:vAlign w:val="center"/>
          </w:tcPr>
          <w:p w14:paraId="31304ADB">
            <w:pPr>
              <w:widowControl/>
              <w:spacing w:line="240" w:lineRule="auto"/>
              <w:ind w:firstLine="0" w:firstLineChars="0"/>
              <w:jc w:val="center"/>
              <w:rPr>
                <w:sz w:val="22"/>
                <w:szCs w:val="22"/>
              </w:rPr>
            </w:pPr>
            <w:r>
              <w:rPr>
                <w:rFonts w:hint="eastAsia"/>
                <w:sz w:val="22"/>
                <w:szCs w:val="22"/>
              </w:rPr>
              <w:t>不驻场</w:t>
            </w:r>
          </w:p>
        </w:tc>
      </w:tr>
      <w:tr w14:paraId="6E88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026D6FB">
            <w:pPr>
              <w:widowControl/>
              <w:spacing w:line="240" w:lineRule="auto"/>
              <w:ind w:firstLine="0" w:firstLineChars="0"/>
              <w:jc w:val="center"/>
              <w:rPr>
                <w:sz w:val="22"/>
                <w:szCs w:val="22"/>
              </w:rPr>
            </w:pPr>
            <w:r>
              <w:rPr>
                <w:rFonts w:hint="default"/>
                <w:sz w:val="22"/>
                <w:szCs w:val="22"/>
              </w:rPr>
              <w:t>运维</w:t>
            </w:r>
            <w:r>
              <w:rPr>
                <w:rFonts w:hint="eastAsia"/>
                <w:sz w:val="22"/>
                <w:szCs w:val="22"/>
              </w:rPr>
              <w:t>工程师</w:t>
            </w:r>
          </w:p>
        </w:tc>
        <w:tc>
          <w:tcPr>
            <w:tcW w:w="0" w:type="auto"/>
            <w:noWrap/>
            <w:vAlign w:val="center"/>
          </w:tcPr>
          <w:p w14:paraId="40FE63D1">
            <w:pPr>
              <w:widowControl/>
              <w:spacing w:line="240" w:lineRule="auto"/>
              <w:ind w:firstLine="0" w:firstLineChars="0"/>
              <w:jc w:val="center"/>
              <w:rPr>
                <w:sz w:val="22"/>
                <w:szCs w:val="22"/>
              </w:rPr>
            </w:pPr>
            <w:r>
              <w:rPr>
                <w:rFonts w:hint="eastAsia"/>
                <w:sz w:val="22"/>
                <w:szCs w:val="22"/>
              </w:rPr>
              <w:t>负责项目运行维护</w:t>
            </w:r>
          </w:p>
        </w:tc>
        <w:tc>
          <w:tcPr>
            <w:tcW w:w="0" w:type="auto"/>
            <w:noWrap/>
            <w:vAlign w:val="center"/>
          </w:tcPr>
          <w:p w14:paraId="1AE7B6C3">
            <w:pPr>
              <w:widowControl/>
              <w:spacing w:line="240" w:lineRule="auto"/>
              <w:ind w:firstLine="0" w:firstLineChars="0"/>
              <w:jc w:val="center"/>
              <w:rPr>
                <w:sz w:val="22"/>
                <w:szCs w:val="22"/>
              </w:rPr>
            </w:pPr>
            <w:r>
              <w:rPr>
                <w:rFonts w:hint="eastAsia"/>
                <w:sz w:val="22"/>
                <w:szCs w:val="22"/>
                <w:lang w:val="en-US" w:eastAsia="zh-CN"/>
              </w:rPr>
              <w:t>2</w:t>
            </w:r>
            <w:r>
              <w:rPr>
                <w:rFonts w:hint="eastAsia"/>
                <w:sz w:val="22"/>
                <w:szCs w:val="22"/>
              </w:rPr>
              <w:t>人</w:t>
            </w:r>
          </w:p>
        </w:tc>
        <w:tc>
          <w:tcPr>
            <w:tcW w:w="0" w:type="auto"/>
            <w:noWrap w:val="0"/>
            <w:vAlign w:val="center"/>
          </w:tcPr>
          <w:p w14:paraId="513BC7A2">
            <w:pPr>
              <w:widowControl/>
              <w:spacing w:line="240" w:lineRule="auto"/>
              <w:ind w:firstLine="0" w:firstLineChars="0"/>
              <w:jc w:val="center"/>
              <w:rPr>
                <w:sz w:val="22"/>
                <w:szCs w:val="22"/>
              </w:rPr>
            </w:pPr>
            <w:r>
              <w:rPr>
                <w:rFonts w:hint="default"/>
                <w:sz w:val="22"/>
                <w:szCs w:val="22"/>
              </w:rPr>
              <w:t>专科</w:t>
            </w:r>
            <w:r>
              <w:rPr>
                <w:rFonts w:hint="eastAsia"/>
                <w:sz w:val="22"/>
                <w:szCs w:val="22"/>
              </w:rPr>
              <w:t>及以上学历</w:t>
            </w:r>
          </w:p>
        </w:tc>
        <w:tc>
          <w:tcPr>
            <w:tcW w:w="0" w:type="auto"/>
            <w:noWrap/>
            <w:vAlign w:val="center"/>
          </w:tcPr>
          <w:p w14:paraId="215E4EDE">
            <w:pPr>
              <w:widowControl/>
              <w:spacing w:line="240" w:lineRule="auto"/>
              <w:ind w:firstLine="0" w:firstLineChars="0"/>
              <w:jc w:val="center"/>
              <w:rPr>
                <w:sz w:val="22"/>
                <w:szCs w:val="22"/>
              </w:rPr>
            </w:pPr>
            <w:r>
              <w:rPr>
                <w:rFonts w:hint="eastAsia"/>
                <w:sz w:val="22"/>
                <w:szCs w:val="22"/>
              </w:rPr>
              <w:t>不驻场</w:t>
            </w:r>
          </w:p>
        </w:tc>
      </w:tr>
    </w:tbl>
    <w:p w14:paraId="32B3A1B6">
      <w:pPr>
        <w:pStyle w:val="3"/>
        <w:ind w:left="0" w:leftChars="0" w:firstLineChars="0"/>
      </w:pPr>
      <w:bookmarkStart w:id="34" w:name="_Toc63785511"/>
      <w:r>
        <w:t>等级保护要求</w:t>
      </w:r>
      <w:bookmarkEnd w:id="34"/>
    </w:p>
    <w:p w14:paraId="4EBF48C4">
      <w:pPr>
        <w:rPr>
          <w:sz w:val="24"/>
          <w:szCs w:val="24"/>
        </w:rPr>
      </w:pPr>
      <w:r>
        <w:rPr>
          <w:rFonts w:hint="eastAsia"/>
          <w:sz w:val="24"/>
          <w:szCs w:val="24"/>
        </w:rPr>
        <w:t>本项目参照等级保护三级要求建设。</w:t>
      </w:r>
    </w:p>
    <w:p w14:paraId="422BAF58">
      <w:pPr>
        <w:pStyle w:val="3"/>
        <w:ind w:left="0" w:leftChars="0" w:firstLineChars="0"/>
      </w:pPr>
      <w:r>
        <w:rPr>
          <w:rFonts w:hint="eastAsia"/>
        </w:rPr>
        <w:t>商业密码应用需求</w:t>
      </w:r>
    </w:p>
    <w:p w14:paraId="0FEB0C8E">
      <w:pPr>
        <w:pStyle w:val="35"/>
        <w:spacing w:after="0" w:line="360" w:lineRule="auto"/>
        <w:ind w:firstLine="480" w:firstLineChars="200"/>
        <w:rPr>
          <w:sz w:val="24"/>
        </w:rPr>
      </w:pPr>
      <w:r>
        <w:rPr>
          <w:rFonts w:hint="eastAsia"/>
          <w:sz w:val="24"/>
        </w:rPr>
        <w:t>本项目拟参照等级保护第三级进行建设。依据GB/T39786—2021《信息安全技术信息系统密码应用基本要求》，本系统对密码应用安全需求的满足情况包括物理和环境安全、网络和通信安全、设备和计算安全、应用和数据安全。对照如下：</w:t>
      </w:r>
    </w:p>
    <w:tbl>
      <w:tblPr>
        <w:tblStyle w:val="36"/>
        <w:tblW w:w="909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745"/>
        <w:gridCol w:w="3142"/>
        <w:gridCol w:w="1730"/>
        <w:gridCol w:w="1578"/>
      </w:tblGrid>
      <w:tr w14:paraId="105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2" w:type="dxa"/>
            <w:vAlign w:val="center"/>
          </w:tcPr>
          <w:p w14:paraId="474D5FFA">
            <w:pPr>
              <w:widowControl/>
              <w:ind w:firstLine="0" w:firstLineChars="0"/>
              <w:jc w:val="center"/>
              <w:rPr>
                <w:b/>
              </w:rPr>
            </w:pPr>
            <w:r>
              <w:rPr>
                <w:rFonts w:hint="eastAsia"/>
                <w:b/>
              </w:rPr>
              <w:t>指标要求</w:t>
            </w:r>
          </w:p>
        </w:tc>
        <w:tc>
          <w:tcPr>
            <w:tcW w:w="1745" w:type="dxa"/>
            <w:vAlign w:val="center"/>
          </w:tcPr>
          <w:p w14:paraId="7E67E317">
            <w:pPr>
              <w:widowControl/>
              <w:ind w:firstLine="0" w:firstLineChars="0"/>
              <w:jc w:val="center"/>
              <w:rPr>
                <w:b/>
              </w:rPr>
            </w:pPr>
            <w:r>
              <w:rPr>
                <w:rFonts w:hint="eastAsia"/>
                <w:b/>
              </w:rPr>
              <w:t>密码技术应用点</w:t>
            </w:r>
          </w:p>
        </w:tc>
        <w:tc>
          <w:tcPr>
            <w:tcW w:w="3142" w:type="dxa"/>
            <w:vAlign w:val="center"/>
          </w:tcPr>
          <w:p w14:paraId="727FF16C">
            <w:pPr>
              <w:widowControl/>
              <w:ind w:firstLine="0" w:firstLineChars="0"/>
              <w:jc w:val="center"/>
              <w:rPr>
                <w:b/>
              </w:rPr>
            </w:pPr>
            <w:r>
              <w:rPr>
                <w:rFonts w:hint="eastAsia"/>
                <w:b/>
              </w:rPr>
              <w:t>采取措施</w:t>
            </w:r>
          </w:p>
        </w:tc>
        <w:tc>
          <w:tcPr>
            <w:tcW w:w="1730" w:type="dxa"/>
            <w:vAlign w:val="center"/>
          </w:tcPr>
          <w:p w14:paraId="315DB70B">
            <w:pPr>
              <w:widowControl/>
              <w:ind w:firstLine="0" w:firstLineChars="0"/>
              <w:jc w:val="center"/>
              <w:rPr>
                <w:b/>
              </w:rPr>
            </w:pPr>
            <w:r>
              <w:rPr>
                <w:rFonts w:hint="eastAsia"/>
                <w:b/>
              </w:rPr>
              <w:t>标准符合性</w:t>
            </w:r>
          </w:p>
        </w:tc>
        <w:tc>
          <w:tcPr>
            <w:tcW w:w="1578" w:type="dxa"/>
            <w:vAlign w:val="center"/>
          </w:tcPr>
          <w:p w14:paraId="7343EFBE">
            <w:pPr>
              <w:widowControl/>
              <w:ind w:firstLine="0" w:firstLineChars="0"/>
              <w:jc w:val="center"/>
              <w:rPr>
                <w:b/>
              </w:rPr>
            </w:pPr>
            <w:r>
              <w:rPr>
                <w:rFonts w:hint="eastAsia"/>
                <w:b/>
              </w:rPr>
              <w:t>说明</w:t>
            </w:r>
          </w:p>
        </w:tc>
      </w:tr>
      <w:tr w14:paraId="25A8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14:paraId="1959453B">
            <w:pPr>
              <w:widowControl/>
              <w:ind w:firstLine="0" w:firstLineChars="0"/>
              <w:jc w:val="center"/>
            </w:pPr>
            <w:r>
              <w:rPr>
                <w:rFonts w:hint="eastAsia"/>
                <w:sz w:val="22"/>
                <w:szCs w:val="22"/>
              </w:rPr>
              <w:t>网络和通信安全</w:t>
            </w:r>
          </w:p>
        </w:tc>
        <w:tc>
          <w:tcPr>
            <w:tcW w:w="1745" w:type="dxa"/>
            <w:vAlign w:val="center"/>
          </w:tcPr>
          <w:p w14:paraId="10C1B384">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身份鉴别</w:t>
            </w:r>
          </w:p>
        </w:tc>
        <w:tc>
          <w:tcPr>
            <w:tcW w:w="3142" w:type="dxa"/>
            <w:vAlign w:val="center"/>
          </w:tcPr>
          <w:p w14:paraId="72108293">
            <w:pPr>
              <w:pStyle w:val="138"/>
              <w:ind w:firstLine="0" w:firstLineChars="0"/>
              <w:rPr>
                <w:rFonts w:eastAsia="宋体"/>
                <w:kern w:val="2"/>
                <w:sz w:val="22"/>
                <w:szCs w:val="22"/>
              </w:rPr>
            </w:pPr>
            <w:r>
              <w:rPr>
                <w:rFonts w:eastAsia="宋体"/>
                <w:kern w:val="2"/>
                <w:sz w:val="22"/>
                <w:szCs w:val="22"/>
              </w:rPr>
              <w:t>在网络接入区部署了</w:t>
            </w:r>
            <w:r>
              <w:rPr>
                <w:rFonts w:hint="eastAsia" w:eastAsia="宋体"/>
                <w:kern w:val="2"/>
                <w:sz w:val="22"/>
                <w:szCs w:val="22"/>
              </w:rPr>
              <w:t>V</w:t>
            </w:r>
            <w:r>
              <w:rPr>
                <w:rFonts w:eastAsia="宋体"/>
                <w:kern w:val="2"/>
                <w:sz w:val="22"/>
                <w:szCs w:val="22"/>
              </w:rPr>
              <w:t>PN，通信双方进行身份鉴别</w:t>
            </w:r>
          </w:p>
        </w:tc>
        <w:tc>
          <w:tcPr>
            <w:tcW w:w="1730" w:type="dxa"/>
            <w:vAlign w:val="center"/>
          </w:tcPr>
          <w:p w14:paraId="7E6E475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67B4FF0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5BA5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64D9B1C">
            <w:pPr>
              <w:pStyle w:val="137"/>
              <w:ind w:firstLine="0" w:firstLineChars="0"/>
            </w:pPr>
          </w:p>
        </w:tc>
        <w:tc>
          <w:tcPr>
            <w:tcW w:w="1745" w:type="dxa"/>
            <w:vAlign w:val="center"/>
          </w:tcPr>
          <w:p w14:paraId="2A446C8C">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通信数据完整性</w:t>
            </w:r>
          </w:p>
        </w:tc>
        <w:tc>
          <w:tcPr>
            <w:tcW w:w="3142" w:type="dxa"/>
            <w:vAlign w:val="center"/>
          </w:tcPr>
          <w:p w14:paraId="1E04F580">
            <w:pPr>
              <w:pStyle w:val="138"/>
              <w:ind w:firstLine="0" w:firstLineChars="0"/>
              <w:rPr>
                <w:rFonts w:eastAsia="宋体"/>
                <w:kern w:val="2"/>
                <w:sz w:val="22"/>
                <w:szCs w:val="22"/>
              </w:rPr>
            </w:pPr>
            <w:r>
              <w:rPr>
                <w:rFonts w:eastAsia="宋体"/>
                <w:kern w:val="2"/>
                <w:sz w:val="22"/>
                <w:szCs w:val="22"/>
              </w:rPr>
              <w:t>在网络接入区部署了</w:t>
            </w:r>
            <w:r>
              <w:rPr>
                <w:rFonts w:hint="eastAsia" w:eastAsia="宋体"/>
                <w:kern w:val="2"/>
                <w:sz w:val="22"/>
                <w:szCs w:val="22"/>
              </w:rPr>
              <w:t>V</w:t>
            </w:r>
            <w:r>
              <w:rPr>
                <w:rFonts w:eastAsia="宋体"/>
                <w:kern w:val="2"/>
                <w:sz w:val="22"/>
                <w:szCs w:val="22"/>
              </w:rPr>
              <w:t>PN，通信双方进行身份鉴别</w:t>
            </w:r>
          </w:p>
        </w:tc>
        <w:tc>
          <w:tcPr>
            <w:tcW w:w="1730" w:type="dxa"/>
            <w:vAlign w:val="center"/>
          </w:tcPr>
          <w:p w14:paraId="3F4B03A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3BD7AA1B">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1C14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DFD92E3">
            <w:pPr>
              <w:pStyle w:val="137"/>
              <w:ind w:firstLine="0" w:firstLineChars="0"/>
            </w:pPr>
          </w:p>
        </w:tc>
        <w:tc>
          <w:tcPr>
            <w:tcW w:w="1745" w:type="dxa"/>
            <w:vAlign w:val="center"/>
          </w:tcPr>
          <w:p w14:paraId="03F8FFA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通信过程中重要数据的机密性</w:t>
            </w:r>
          </w:p>
        </w:tc>
        <w:tc>
          <w:tcPr>
            <w:tcW w:w="3142" w:type="dxa"/>
            <w:vAlign w:val="center"/>
          </w:tcPr>
          <w:p w14:paraId="0275A1BD">
            <w:pPr>
              <w:pStyle w:val="138"/>
              <w:ind w:firstLine="0" w:firstLineChars="0"/>
              <w:rPr>
                <w:rFonts w:eastAsia="宋体"/>
                <w:kern w:val="2"/>
                <w:sz w:val="22"/>
                <w:szCs w:val="22"/>
              </w:rPr>
            </w:pPr>
            <w:r>
              <w:rPr>
                <w:rFonts w:eastAsia="宋体"/>
                <w:kern w:val="2"/>
                <w:sz w:val="22"/>
                <w:szCs w:val="22"/>
              </w:rPr>
              <w:t>在网络接入区部署了</w:t>
            </w:r>
            <w:r>
              <w:rPr>
                <w:rFonts w:hint="eastAsia" w:eastAsia="宋体"/>
                <w:kern w:val="2"/>
                <w:sz w:val="22"/>
                <w:szCs w:val="22"/>
              </w:rPr>
              <w:t>V</w:t>
            </w:r>
            <w:r>
              <w:rPr>
                <w:rFonts w:eastAsia="宋体"/>
                <w:kern w:val="2"/>
                <w:sz w:val="22"/>
                <w:szCs w:val="22"/>
              </w:rPr>
              <w:t>PN，通信双方进行身份鉴别</w:t>
            </w:r>
          </w:p>
        </w:tc>
        <w:tc>
          <w:tcPr>
            <w:tcW w:w="1730" w:type="dxa"/>
            <w:vMerge w:val="restart"/>
            <w:vAlign w:val="center"/>
          </w:tcPr>
          <w:p w14:paraId="75CA75D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Merge w:val="restart"/>
            <w:vAlign w:val="center"/>
          </w:tcPr>
          <w:p w14:paraId="7318DE47">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428B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F1D27C4">
            <w:pPr>
              <w:pStyle w:val="137"/>
              <w:ind w:firstLine="0" w:firstLineChars="0"/>
            </w:pPr>
          </w:p>
        </w:tc>
        <w:tc>
          <w:tcPr>
            <w:tcW w:w="1745" w:type="dxa"/>
            <w:vAlign w:val="center"/>
          </w:tcPr>
          <w:p w14:paraId="2C8B6744">
            <w:pPr>
              <w:pStyle w:val="138"/>
              <w:ind w:firstLine="0" w:firstLineChars="0"/>
              <w:rPr>
                <w:rFonts w:eastAsia="宋体"/>
                <w:kern w:val="2"/>
                <w:sz w:val="22"/>
                <w:szCs w:val="22"/>
              </w:rPr>
            </w:pPr>
            <w:r>
              <w:rPr>
                <w:rFonts w:hint="eastAsia" w:eastAsia="宋体"/>
                <w:kern w:val="2"/>
                <w:sz w:val="22"/>
                <w:szCs w:val="22"/>
              </w:rPr>
              <w:t>网络边界访问控制完整性</w:t>
            </w:r>
          </w:p>
        </w:tc>
        <w:tc>
          <w:tcPr>
            <w:tcW w:w="3142" w:type="dxa"/>
            <w:vAlign w:val="center"/>
          </w:tcPr>
          <w:p w14:paraId="7B05661B">
            <w:pPr>
              <w:pStyle w:val="138"/>
              <w:ind w:firstLine="0" w:firstLineChars="0"/>
              <w:rPr>
                <w:rFonts w:eastAsia="宋体"/>
                <w:kern w:val="2"/>
                <w:sz w:val="22"/>
                <w:szCs w:val="22"/>
              </w:rPr>
            </w:pPr>
            <w:r>
              <w:rPr>
                <w:rFonts w:eastAsia="宋体"/>
                <w:kern w:val="2"/>
                <w:sz w:val="22"/>
                <w:szCs w:val="22"/>
              </w:rPr>
              <w:t>在网络接入区部署了</w:t>
            </w:r>
            <w:r>
              <w:rPr>
                <w:rFonts w:hint="eastAsia" w:eastAsia="宋体"/>
                <w:kern w:val="2"/>
                <w:sz w:val="22"/>
                <w:szCs w:val="22"/>
              </w:rPr>
              <w:t>V</w:t>
            </w:r>
            <w:r>
              <w:rPr>
                <w:rFonts w:eastAsia="宋体"/>
                <w:kern w:val="2"/>
                <w:sz w:val="22"/>
                <w:szCs w:val="22"/>
              </w:rPr>
              <w:t>PN，通信双方进行身份鉴别</w:t>
            </w:r>
          </w:p>
          <w:p w14:paraId="192B01D0">
            <w:pPr>
              <w:pStyle w:val="138"/>
              <w:ind w:firstLine="0" w:firstLineChars="0"/>
              <w:rPr>
                <w:rFonts w:eastAsia="宋体"/>
                <w:kern w:val="2"/>
                <w:sz w:val="22"/>
                <w:szCs w:val="22"/>
              </w:rPr>
            </w:pPr>
            <w:r>
              <w:rPr>
                <w:rFonts w:eastAsia="宋体"/>
                <w:kern w:val="2"/>
                <w:sz w:val="22"/>
                <w:szCs w:val="22"/>
              </w:rPr>
              <w:t>运维管理用户使用</w:t>
            </w:r>
            <w:r>
              <w:rPr>
                <w:rFonts w:hint="eastAsia" w:eastAsia="宋体"/>
                <w:kern w:val="2"/>
                <w:sz w:val="22"/>
                <w:szCs w:val="22"/>
              </w:rPr>
              <w:t>V</w:t>
            </w:r>
            <w:r>
              <w:rPr>
                <w:rFonts w:eastAsia="宋体"/>
                <w:kern w:val="2"/>
                <w:sz w:val="22"/>
                <w:szCs w:val="22"/>
              </w:rPr>
              <w:t>PN访问，访问控制信息记录在</w:t>
            </w:r>
            <w:r>
              <w:rPr>
                <w:rFonts w:hint="eastAsia" w:eastAsia="宋体"/>
                <w:kern w:val="2"/>
                <w:sz w:val="22"/>
                <w:szCs w:val="22"/>
              </w:rPr>
              <w:t>V</w:t>
            </w:r>
            <w:r>
              <w:rPr>
                <w:rFonts w:eastAsia="宋体"/>
                <w:kern w:val="2"/>
                <w:sz w:val="22"/>
                <w:szCs w:val="22"/>
              </w:rPr>
              <w:t>PN和堡垒机处</w:t>
            </w:r>
          </w:p>
          <w:p w14:paraId="21F14089">
            <w:pPr>
              <w:pStyle w:val="138"/>
              <w:ind w:firstLine="0" w:firstLineChars="0"/>
              <w:rPr>
                <w:rFonts w:eastAsia="宋体"/>
                <w:kern w:val="2"/>
                <w:sz w:val="22"/>
                <w:szCs w:val="22"/>
              </w:rPr>
            </w:pPr>
            <w:r>
              <w:rPr>
                <w:rFonts w:eastAsia="宋体"/>
                <w:kern w:val="2"/>
                <w:sz w:val="22"/>
                <w:szCs w:val="22"/>
              </w:rPr>
              <w:t>普通管理用户使用</w:t>
            </w:r>
            <w:r>
              <w:rPr>
                <w:rFonts w:hint="eastAsia" w:eastAsia="宋体"/>
                <w:kern w:val="2"/>
                <w:sz w:val="22"/>
                <w:szCs w:val="22"/>
              </w:rPr>
              <w:t>S</w:t>
            </w:r>
            <w:r>
              <w:rPr>
                <w:rFonts w:eastAsia="宋体"/>
                <w:kern w:val="2"/>
                <w:sz w:val="22"/>
                <w:szCs w:val="22"/>
              </w:rPr>
              <w:t>SL证书访问安全认证网关，访问控制信息记录在信息系统数据库。</w:t>
            </w:r>
          </w:p>
          <w:p w14:paraId="3F45958C">
            <w:pPr>
              <w:pStyle w:val="138"/>
              <w:ind w:firstLine="0" w:firstLineChars="0"/>
              <w:rPr>
                <w:rFonts w:eastAsia="宋体"/>
                <w:kern w:val="2"/>
                <w:sz w:val="22"/>
                <w:szCs w:val="22"/>
              </w:rPr>
            </w:pPr>
            <w:r>
              <w:rPr>
                <w:rFonts w:eastAsia="宋体"/>
                <w:kern w:val="2"/>
                <w:sz w:val="22"/>
                <w:szCs w:val="22"/>
              </w:rPr>
              <w:t>普通用户使用浏览器访问安全认证网关，也记录在数据库。</w:t>
            </w:r>
          </w:p>
          <w:p w14:paraId="6B86E42A">
            <w:pPr>
              <w:pStyle w:val="138"/>
              <w:ind w:firstLine="0" w:firstLineChars="0"/>
              <w:rPr>
                <w:rFonts w:eastAsia="宋体"/>
                <w:kern w:val="2"/>
                <w:sz w:val="22"/>
                <w:szCs w:val="22"/>
              </w:rPr>
            </w:pPr>
            <w:r>
              <w:rPr>
                <w:rFonts w:eastAsia="宋体"/>
                <w:kern w:val="2"/>
                <w:sz w:val="22"/>
                <w:szCs w:val="22"/>
              </w:rPr>
              <w:t>可将访问控制信息调用签名完成完整性保护</w:t>
            </w:r>
          </w:p>
        </w:tc>
        <w:tc>
          <w:tcPr>
            <w:tcW w:w="1730" w:type="dxa"/>
            <w:vMerge w:val="continue"/>
            <w:vAlign w:val="center"/>
          </w:tcPr>
          <w:p w14:paraId="30EC03F6">
            <w:pPr>
              <w:pStyle w:val="137"/>
              <w:ind w:firstLine="0" w:firstLineChars="0"/>
              <w:rPr>
                <w:rFonts w:ascii="宋体" w:hAnsi="宋体" w:eastAsia="宋体" w:cs="Times New Roman"/>
                <w:kern w:val="2"/>
                <w:sz w:val="22"/>
                <w:szCs w:val="22"/>
              </w:rPr>
            </w:pPr>
          </w:p>
        </w:tc>
        <w:tc>
          <w:tcPr>
            <w:tcW w:w="1578" w:type="dxa"/>
            <w:vMerge w:val="continue"/>
            <w:vAlign w:val="center"/>
          </w:tcPr>
          <w:p w14:paraId="6960D300">
            <w:pPr>
              <w:pStyle w:val="137"/>
              <w:ind w:firstLine="0" w:firstLineChars="0"/>
              <w:rPr>
                <w:rFonts w:ascii="宋体" w:hAnsi="宋体" w:eastAsia="宋体" w:cs="Times New Roman"/>
                <w:kern w:val="2"/>
                <w:sz w:val="22"/>
                <w:szCs w:val="22"/>
              </w:rPr>
            </w:pPr>
          </w:p>
        </w:tc>
      </w:tr>
      <w:tr w14:paraId="39EE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F390E7C">
            <w:pPr>
              <w:pStyle w:val="137"/>
              <w:ind w:firstLine="0" w:firstLineChars="0"/>
            </w:pPr>
          </w:p>
        </w:tc>
        <w:tc>
          <w:tcPr>
            <w:tcW w:w="1745" w:type="dxa"/>
            <w:vAlign w:val="center"/>
          </w:tcPr>
          <w:p w14:paraId="4AEDB79D">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安全接入认证</w:t>
            </w:r>
          </w:p>
        </w:tc>
        <w:tc>
          <w:tcPr>
            <w:tcW w:w="3142" w:type="dxa"/>
            <w:vAlign w:val="center"/>
          </w:tcPr>
          <w:p w14:paraId="1CA9D296">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c>
          <w:tcPr>
            <w:tcW w:w="1730" w:type="dxa"/>
            <w:vAlign w:val="center"/>
          </w:tcPr>
          <w:p w14:paraId="3A00821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不适用</w:t>
            </w:r>
          </w:p>
        </w:tc>
        <w:tc>
          <w:tcPr>
            <w:tcW w:w="1578" w:type="dxa"/>
            <w:vAlign w:val="center"/>
          </w:tcPr>
          <w:p w14:paraId="408B454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本系统无安全接入认证需求。</w:t>
            </w:r>
          </w:p>
        </w:tc>
      </w:tr>
      <w:tr w14:paraId="63C4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14:paraId="148F9ED2">
            <w:pPr>
              <w:widowControl/>
              <w:ind w:firstLine="0" w:firstLineChars="0"/>
              <w:jc w:val="center"/>
            </w:pPr>
            <w:r>
              <w:rPr>
                <w:rFonts w:hint="eastAsia"/>
                <w:sz w:val="22"/>
                <w:szCs w:val="22"/>
              </w:rPr>
              <w:t>设备和计算安全</w:t>
            </w:r>
          </w:p>
        </w:tc>
        <w:tc>
          <w:tcPr>
            <w:tcW w:w="1745" w:type="dxa"/>
            <w:vAlign w:val="center"/>
          </w:tcPr>
          <w:p w14:paraId="64CC9AFB">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身份鉴别</w:t>
            </w:r>
          </w:p>
        </w:tc>
        <w:tc>
          <w:tcPr>
            <w:tcW w:w="3142" w:type="dxa"/>
            <w:vAlign w:val="center"/>
          </w:tcPr>
          <w:p w14:paraId="18626DF8">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服务器虚拟机未采用密码技术实现身份鉴别。密码设备虚拟机采用基于数字证书的USBKey实现身份鉴别。</w:t>
            </w:r>
          </w:p>
        </w:tc>
        <w:tc>
          <w:tcPr>
            <w:tcW w:w="1730" w:type="dxa"/>
            <w:vAlign w:val="center"/>
          </w:tcPr>
          <w:p w14:paraId="13219452">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部分符合</w:t>
            </w:r>
          </w:p>
        </w:tc>
        <w:tc>
          <w:tcPr>
            <w:tcW w:w="1578" w:type="dxa"/>
            <w:vAlign w:val="center"/>
          </w:tcPr>
          <w:p w14:paraId="0A43BD5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60F3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24FCF4">
            <w:pPr>
              <w:pStyle w:val="137"/>
              <w:ind w:firstLine="0" w:firstLineChars="0"/>
            </w:pPr>
          </w:p>
        </w:tc>
        <w:tc>
          <w:tcPr>
            <w:tcW w:w="1745" w:type="dxa"/>
            <w:vAlign w:val="center"/>
          </w:tcPr>
          <w:p w14:paraId="4808D762">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远程管理通道安全</w:t>
            </w:r>
          </w:p>
        </w:tc>
        <w:tc>
          <w:tcPr>
            <w:tcW w:w="3142" w:type="dxa"/>
            <w:vAlign w:val="center"/>
          </w:tcPr>
          <w:p w14:paraId="163BB407">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服务器虚拟机未采用密码技术实现身份鉴别。密码设备虚拟机采用基于数字证书的USBKey实现身份鉴别。</w:t>
            </w:r>
          </w:p>
        </w:tc>
        <w:tc>
          <w:tcPr>
            <w:tcW w:w="1730" w:type="dxa"/>
            <w:vAlign w:val="center"/>
          </w:tcPr>
          <w:p w14:paraId="0B7639D4">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部分符合</w:t>
            </w:r>
          </w:p>
        </w:tc>
        <w:tc>
          <w:tcPr>
            <w:tcW w:w="1578" w:type="dxa"/>
            <w:vAlign w:val="center"/>
          </w:tcPr>
          <w:p w14:paraId="51951FDB">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399E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77E02B5">
            <w:pPr>
              <w:pStyle w:val="137"/>
              <w:ind w:firstLine="0" w:firstLineChars="0"/>
            </w:pPr>
          </w:p>
        </w:tc>
        <w:tc>
          <w:tcPr>
            <w:tcW w:w="1745" w:type="dxa"/>
            <w:vAlign w:val="center"/>
          </w:tcPr>
          <w:p w14:paraId="083A8A29">
            <w:pPr>
              <w:pStyle w:val="138"/>
              <w:ind w:firstLine="0" w:firstLineChars="0"/>
              <w:rPr>
                <w:rFonts w:eastAsia="宋体"/>
                <w:kern w:val="2"/>
                <w:sz w:val="22"/>
                <w:szCs w:val="22"/>
              </w:rPr>
            </w:pPr>
            <w:r>
              <w:rPr>
                <w:rFonts w:eastAsia="宋体"/>
                <w:kern w:val="2"/>
                <w:sz w:val="22"/>
                <w:szCs w:val="22"/>
              </w:rPr>
              <w:t>系统资源访问控制信息完整性</w:t>
            </w:r>
          </w:p>
        </w:tc>
        <w:tc>
          <w:tcPr>
            <w:tcW w:w="3142" w:type="dxa"/>
            <w:vAlign w:val="center"/>
          </w:tcPr>
          <w:p w14:paraId="48D30768">
            <w:pPr>
              <w:pStyle w:val="138"/>
              <w:ind w:firstLine="0" w:firstLineChars="0"/>
              <w:rPr>
                <w:rFonts w:eastAsia="宋体"/>
                <w:kern w:val="2"/>
                <w:sz w:val="22"/>
                <w:szCs w:val="22"/>
              </w:rPr>
            </w:pPr>
            <w:r>
              <w:rPr>
                <w:rFonts w:eastAsia="宋体"/>
                <w:kern w:val="2"/>
                <w:sz w:val="22"/>
                <w:szCs w:val="22"/>
              </w:rPr>
              <w:t>调用密码资源区中的签名验签产品，使用密码技术对服务器、数据库等设备的系统资源访问控制信息进行完整性保护。密码设备访问控制信息的完整性保护由设备自身实现</w:t>
            </w:r>
          </w:p>
          <w:p w14:paraId="62D009AE">
            <w:pPr>
              <w:pStyle w:val="138"/>
              <w:ind w:firstLine="0" w:firstLineChars="0"/>
              <w:rPr>
                <w:rFonts w:eastAsia="宋体"/>
                <w:kern w:val="2"/>
                <w:sz w:val="22"/>
                <w:szCs w:val="22"/>
              </w:rPr>
            </w:pPr>
            <w:r>
              <w:rPr>
                <w:rFonts w:eastAsia="宋体"/>
                <w:kern w:val="2"/>
                <w:sz w:val="22"/>
                <w:szCs w:val="22"/>
              </w:rPr>
              <w:t>服务器：通过服务器上安装的操作系统（银河</w:t>
            </w:r>
            <w:r>
              <w:rPr>
                <w:rFonts w:hint="eastAsia" w:eastAsia="宋体"/>
                <w:kern w:val="2"/>
                <w:sz w:val="22"/>
                <w:szCs w:val="22"/>
              </w:rPr>
              <w:t>V</w:t>
            </w:r>
            <w:r>
              <w:rPr>
                <w:rFonts w:eastAsia="宋体"/>
                <w:kern w:val="2"/>
                <w:sz w:val="22"/>
                <w:szCs w:val="22"/>
              </w:rPr>
              <w:t>10）将访问日志定期传输到日志归集服务器，在日志归集服务器上定期将访问控制日志打包调用签名验签服务。</w:t>
            </w:r>
          </w:p>
          <w:p w14:paraId="62103D70">
            <w:pPr>
              <w:pStyle w:val="138"/>
              <w:ind w:firstLine="0" w:firstLineChars="0"/>
              <w:rPr>
                <w:rFonts w:eastAsia="宋体"/>
                <w:kern w:val="2"/>
                <w:sz w:val="22"/>
                <w:szCs w:val="22"/>
              </w:rPr>
            </w:pPr>
            <w:r>
              <w:rPr>
                <w:rFonts w:eastAsia="宋体"/>
                <w:kern w:val="2"/>
                <w:sz w:val="22"/>
                <w:szCs w:val="22"/>
              </w:rPr>
              <w:t>数据库：通过数据库本身产生的访问日志，在数据库服务器上，从本机将数据库日志传输到日志归集服务器，和服务器访问控制日志一并纳入签名操作。</w:t>
            </w:r>
          </w:p>
        </w:tc>
        <w:tc>
          <w:tcPr>
            <w:tcW w:w="1730" w:type="dxa"/>
            <w:vAlign w:val="center"/>
          </w:tcPr>
          <w:p w14:paraId="2411DABD">
            <w:pPr>
              <w:pStyle w:val="138"/>
              <w:ind w:firstLine="0" w:firstLineChars="0"/>
              <w:rPr>
                <w:rFonts w:eastAsia="宋体"/>
                <w:kern w:val="2"/>
                <w:sz w:val="22"/>
                <w:szCs w:val="22"/>
              </w:rPr>
            </w:pPr>
            <w:r>
              <w:rPr>
                <w:rFonts w:eastAsia="宋体"/>
                <w:kern w:val="2"/>
                <w:sz w:val="22"/>
                <w:szCs w:val="22"/>
              </w:rPr>
              <w:t>符合</w:t>
            </w:r>
          </w:p>
        </w:tc>
        <w:tc>
          <w:tcPr>
            <w:tcW w:w="1578" w:type="dxa"/>
            <w:vAlign w:val="center"/>
          </w:tcPr>
          <w:p w14:paraId="5C015176">
            <w:pPr>
              <w:pStyle w:val="138"/>
              <w:ind w:firstLine="0" w:firstLineChars="0"/>
              <w:rPr>
                <w:rFonts w:eastAsia="宋体"/>
                <w:kern w:val="2"/>
                <w:sz w:val="22"/>
                <w:szCs w:val="22"/>
              </w:rPr>
            </w:pPr>
            <w:r>
              <w:rPr>
                <w:rFonts w:hint="eastAsia" w:eastAsia="宋体"/>
                <w:kern w:val="2"/>
                <w:sz w:val="22"/>
                <w:szCs w:val="22"/>
              </w:rPr>
              <w:t>无</w:t>
            </w:r>
          </w:p>
        </w:tc>
      </w:tr>
      <w:tr w14:paraId="0D8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23504667">
            <w:pPr>
              <w:pStyle w:val="137"/>
              <w:ind w:firstLine="0" w:firstLineChars="0"/>
            </w:pPr>
          </w:p>
        </w:tc>
        <w:tc>
          <w:tcPr>
            <w:tcW w:w="1745" w:type="dxa"/>
            <w:vAlign w:val="center"/>
          </w:tcPr>
          <w:p w14:paraId="59A990D1">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重要信息资源安全标记的完整性</w:t>
            </w:r>
          </w:p>
        </w:tc>
        <w:tc>
          <w:tcPr>
            <w:tcW w:w="3142" w:type="dxa"/>
            <w:vAlign w:val="center"/>
          </w:tcPr>
          <w:p w14:paraId="592592FE">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c>
          <w:tcPr>
            <w:tcW w:w="1730" w:type="dxa"/>
            <w:vAlign w:val="center"/>
          </w:tcPr>
          <w:p w14:paraId="1184F7C9">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不适用</w:t>
            </w:r>
          </w:p>
        </w:tc>
        <w:tc>
          <w:tcPr>
            <w:tcW w:w="1578" w:type="dxa"/>
            <w:vAlign w:val="center"/>
          </w:tcPr>
          <w:p w14:paraId="3522A7D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本系统不涉及重要信息资源安全标记。</w:t>
            </w:r>
          </w:p>
        </w:tc>
      </w:tr>
      <w:tr w14:paraId="19C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DFF021A">
            <w:pPr>
              <w:pStyle w:val="137"/>
              <w:ind w:firstLine="0" w:firstLineChars="0"/>
            </w:pPr>
          </w:p>
        </w:tc>
        <w:tc>
          <w:tcPr>
            <w:tcW w:w="1745" w:type="dxa"/>
            <w:vAlign w:val="center"/>
          </w:tcPr>
          <w:p w14:paraId="7B007E73">
            <w:pPr>
              <w:pStyle w:val="138"/>
              <w:ind w:firstLine="0" w:firstLineChars="0"/>
              <w:rPr>
                <w:rFonts w:eastAsia="宋体"/>
                <w:kern w:val="2"/>
                <w:sz w:val="22"/>
                <w:szCs w:val="22"/>
              </w:rPr>
            </w:pPr>
            <w:r>
              <w:rPr>
                <w:rFonts w:eastAsia="宋体"/>
                <w:kern w:val="2"/>
                <w:sz w:val="22"/>
                <w:szCs w:val="22"/>
              </w:rPr>
              <w:t>日志记录完整性</w:t>
            </w:r>
          </w:p>
        </w:tc>
        <w:tc>
          <w:tcPr>
            <w:tcW w:w="3142" w:type="dxa"/>
            <w:vAlign w:val="center"/>
          </w:tcPr>
          <w:p w14:paraId="5D000E44">
            <w:pPr>
              <w:pStyle w:val="138"/>
              <w:ind w:firstLine="0" w:firstLineChars="0"/>
              <w:rPr>
                <w:rFonts w:eastAsia="宋体"/>
                <w:kern w:val="2"/>
                <w:sz w:val="22"/>
                <w:szCs w:val="22"/>
              </w:rPr>
            </w:pPr>
            <w:r>
              <w:rPr>
                <w:rFonts w:eastAsia="宋体"/>
                <w:kern w:val="2"/>
                <w:sz w:val="22"/>
                <w:szCs w:val="22"/>
              </w:rPr>
              <w:t>服务器、数据库：相关日志全部定期传输到日志归集服务器，日志归集服务器对各项日志分别调用签名验签服务。</w:t>
            </w:r>
          </w:p>
        </w:tc>
        <w:tc>
          <w:tcPr>
            <w:tcW w:w="1730" w:type="dxa"/>
            <w:vAlign w:val="center"/>
          </w:tcPr>
          <w:p w14:paraId="663036B8">
            <w:pPr>
              <w:pStyle w:val="138"/>
              <w:ind w:firstLine="0" w:firstLineChars="0"/>
              <w:rPr>
                <w:rFonts w:eastAsia="宋体"/>
                <w:kern w:val="2"/>
                <w:sz w:val="22"/>
                <w:szCs w:val="22"/>
              </w:rPr>
            </w:pPr>
            <w:r>
              <w:rPr>
                <w:rFonts w:eastAsia="宋体"/>
                <w:kern w:val="2"/>
                <w:sz w:val="22"/>
                <w:szCs w:val="22"/>
              </w:rPr>
              <w:t>符合</w:t>
            </w:r>
          </w:p>
        </w:tc>
        <w:tc>
          <w:tcPr>
            <w:tcW w:w="1578" w:type="dxa"/>
            <w:vAlign w:val="center"/>
          </w:tcPr>
          <w:p w14:paraId="62B01FE3">
            <w:pPr>
              <w:pStyle w:val="138"/>
              <w:ind w:firstLine="0" w:firstLineChars="0"/>
              <w:rPr>
                <w:rFonts w:eastAsia="宋体"/>
                <w:kern w:val="2"/>
                <w:sz w:val="22"/>
                <w:szCs w:val="22"/>
              </w:rPr>
            </w:pPr>
            <w:r>
              <w:rPr>
                <w:rFonts w:hint="eastAsia" w:eastAsia="宋体"/>
                <w:kern w:val="2"/>
                <w:sz w:val="22"/>
                <w:szCs w:val="22"/>
              </w:rPr>
              <w:t>无</w:t>
            </w:r>
          </w:p>
        </w:tc>
      </w:tr>
      <w:tr w14:paraId="7B10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5583256">
            <w:pPr>
              <w:pStyle w:val="137"/>
              <w:ind w:firstLine="0" w:firstLineChars="0"/>
            </w:pPr>
          </w:p>
        </w:tc>
        <w:tc>
          <w:tcPr>
            <w:tcW w:w="1745" w:type="dxa"/>
            <w:vAlign w:val="center"/>
          </w:tcPr>
          <w:p w14:paraId="738FD266">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重要可执行程序完整性、来源真实性</w:t>
            </w:r>
          </w:p>
        </w:tc>
        <w:tc>
          <w:tcPr>
            <w:tcW w:w="3142" w:type="dxa"/>
            <w:vAlign w:val="center"/>
          </w:tcPr>
          <w:p w14:paraId="6F8785FE">
            <w:pPr>
              <w:pStyle w:val="138"/>
              <w:ind w:firstLine="0" w:firstLineChars="0"/>
              <w:rPr>
                <w:rFonts w:eastAsia="宋体"/>
                <w:kern w:val="2"/>
                <w:sz w:val="22"/>
                <w:szCs w:val="22"/>
              </w:rPr>
            </w:pPr>
            <w:r>
              <w:rPr>
                <w:rFonts w:eastAsia="宋体"/>
                <w:kern w:val="2"/>
                <w:sz w:val="22"/>
                <w:szCs w:val="22"/>
              </w:rPr>
              <w:t>无</w:t>
            </w:r>
          </w:p>
        </w:tc>
        <w:tc>
          <w:tcPr>
            <w:tcW w:w="1730" w:type="dxa"/>
            <w:vAlign w:val="center"/>
          </w:tcPr>
          <w:p w14:paraId="3D2C53B0">
            <w:pPr>
              <w:pStyle w:val="138"/>
              <w:ind w:firstLine="0" w:firstLineChars="0"/>
              <w:rPr>
                <w:rFonts w:eastAsia="宋体"/>
                <w:kern w:val="2"/>
                <w:sz w:val="22"/>
                <w:szCs w:val="22"/>
              </w:rPr>
            </w:pPr>
            <w:r>
              <w:rPr>
                <w:rFonts w:eastAsia="宋体"/>
                <w:kern w:val="2"/>
                <w:sz w:val="22"/>
                <w:szCs w:val="22"/>
              </w:rPr>
              <w:t>不适用</w:t>
            </w:r>
          </w:p>
        </w:tc>
        <w:tc>
          <w:tcPr>
            <w:tcW w:w="1578" w:type="dxa"/>
            <w:vAlign w:val="center"/>
          </w:tcPr>
          <w:p w14:paraId="68936EDC">
            <w:pPr>
              <w:pStyle w:val="138"/>
              <w:ind w:firstLine="0" w:firstLineChars="0"/>
              <w:rPr>
                <w:rFonts w:eastAsia="宋体"/>
                <w:kern w:val="2"/>
                <w:sz w:val="22"/>
                <w:szCs w:val="22"/>
              </w:rPr>
            </w:pPr>
            <w:r>
              <w:rPr>
                <w:rFonts w:eastAsia="宋体"/>
                <w:kern w:val="2"/>
                <w:sz w:val="22"/>
                <w:szCs w:val="22"/>
              </w:rPr>
              <w:t>数据库由政务云提供可信安装包，</w:t>
            </w:r>
            <w:r>
              <w:rPr>
                <w:rFonts w:hint="eastAsia" w:eastAsia="宋体"/>
                <w:kern w:val="2"/>
                <w:sz w:val="22"/>
                <w:szCs w:val="22"/>
              </w:rPr>
              <w:t>无其他涉及可执行程序的安装。</w:t>
            </w:r>
          </w:p>
        </w:tc>
      </w:tr>
      <w:tr w14:paraId="518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32D3790">
            <w:pPr>
              <w:pStyle w:val="137"/>
              <w:ind w:firstLine="0" w:firstLineChars="0"/>
            </w:pPr>
          </w:p>
        </w:tc>
        <w:tc>
          <w:tcPr>
            <w:tcW w:w="1745" w:type="dxa"/>
            <w:vAlign w:val="center"/>
          </w:tcPr>
          <w:p w14:paraId="08B97DB0">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密码服务</w:t>
            </w:r>
          </w:p>
        </w:tc>
        <w:tc>
          <w:tcPr>
            <w:tcW w:w="3142" w:type="dxa"/>
            <w:vAlign w:val="center"/>
          </w:tcPr>
          <w:p w14:paraId="4F176B67">
            <w:pPr>
              <w:pStyle w:val="137"/>
              <w:ind w:firstLine="0" w:firstLineChars="0"/>
              <w:rPr>
                <w:rFonts w:ascii="宋体" w:hAnsi="宋体" w:eastAsia="宋体" w:cs="Times New Roman"/>
                <w:kern w:val="2"/>
                <w:sz w:val="22"/>
                <w:szCs w:val="22"/>
              </w:rPr>
            </w:pPr>
            <w:r>
              <w:rPr>
                <w:rFonts w:ascii="宋体" w:hAnsi="宋体" w:eastAsia="宋体" w:cs="Times New Roman"/>
                <w:kern w:val="2"/>
                <w:sz w:val="22"/>
                <w:szCs w:val="22"/>
              </w:rPr>
              <w:t>无</w:t>
            </w:r>
          </w:p>
        </w:tc>
        <w:tc>
          <w:tcPr>
            <w:tcW w:w="1730" w:type="dxa"/>
            <w:vAlign w:val="center"/>
          </w:tcPr>
          <w:p w14:paraId="50803D89">
            <w:pPr>
              <w:pStyle w:val="137"/>
              <w:ind w:firstLine="0" w:firstLineChars="0"/>
              <w:rPr>
                <w:rFonts w:ascii="宋体" w:hAnsi="宋体" w:eastAsia="宋体" w:cs="Times New Roman"/>
                <w:kern w:val="2"/>
                <w:sz w:val="22"/>
                <w:szCs w:val="22"/>
              </w:rPr>
            </w:pPr>
            <w:r>
              <w:rPr>
                <w:rFonts w:ascii="宋体" w:hAnsi="宋体" w:eastAsia="宋体" w:cs="Times New Roman"/>
                <w:kern w:val="2"/>
                <w:sz w:val="22"/>
                <w:szCs w:val="22"/>
              </w:rPr>
              <w:t>不适用</w:t>
            </w:r>
          </w:p>
        </w:tc>
        <w:tc>
          <w:tcPr>
            <w:tcW w:w="1578" w:type="dxa"/>
            <w:vAlign w:val="center"/>
          </w:tcPr>
          <w:p w14:paraId="62C598EB">
            <w:pPr>
              <w:pStyle w:val="137"/>
              <w:ind w:firstLine="0" w:firstLineChars="0"/>
              <w:rPr>
                <w:rFonts w:ascii="宋体" w:hAnsi="宋体" w:eastAsia="宋体" w:cs="Times New Roman"/>
                <w:kern w:val="2"/>
                <w:sz w:val="22"/>
                <w:szCs w:val="22"/>
              </w:rPr>
            </w:pPr>
            <w:r>
              <w:rPr>
                <w:rFonts w:ascii="宋体" w:hAnsi="宋体" w:eastAsia="宋体" w:cs="Times New Roman"/>
                <w:kern w:val="2"/>
                <w:sz w:val="22"/>
                <w:szCs w:val="22"/>
              </w:rPr>
              <w:t>系统在该层面不需要采用密码服务</w:t>
            </w:r>
          </w:p>
        </w:tc>
      </w:tr>
      <w:tr w14:paraId="37EE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7308E79">
            <w:pPr>
              <w:pStyle w:val="137"/>
              <w:ind w:firstLine="0" w:firstLineChars="0"/>
            </w:pPr>
          </w:p>
        </w:tc>
        <w:tc>
          <w:tcPr>
            <w:tcW w:w="1745" w:type="dxa"/>
            <w:vAlign w:val="center"/>
          </w:tcPr>
          <w:p w14:paraId="1CD6A761">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密码产品</w:t>
            </w:r>
          </w:p>
        </w:tc>
        <w:tc>
          <w:tcPr>
            <w:tcW w:w="3142" w:type="dxa"/>
            <w:vAlign w:val="center"/>
          </w:tcPr>
          <w:p w14:paraId="71DFEB9C">
            <w:pPr>
              <w:pStyle w:val="137"/>
              <w:ind w:firstLine="0" w:firstLineChars="0"/>
              <w:rPr>
                <w:rFonts w:ascii="宋体" w:hAnsi="宋体" w:eastAsia="宋体" w:cs="Times New Roman"/>
                <w:kern w:val="2"/>
                <w:sz w:val="22"/>
                <w:szCs w:val="22"/>
              </w:rPr>
            </w:pPr>
            <w:r>
              <w:rPr>
                <w:rFonts w:ascii="宋体" w:hAnsi="宋体" w:eastAsia="宋体" w:cs="Times New Roman"/>
                <w:kern w:val="2"/>
                <w:sz w:val="22"/>
                <w:szCs w:val="22"/>
              </w:rPr>
              <w:t>采用的签名验签产品智能密码钥匙达到GB/T 37092-2018二级密码要求</w:t>
            </w:r>
          </w:p>
        </w:tc>
        <w:tc>
          <w:tcPr>
            <w:tcW w:w="1730" w:type="dxa"/>
            <w:vAlign w:val="center"/>
          </w:tcPr>
          <w:p w14:paraId="365EA26E">
            <w:pPr>
              <w:pStyle w:val="137"/>
              <w:ind w:firstLine="0" w:firstLineChars="0"/>
              <w:rPr>
                <w:rFonts w:ascii="宋体" w:hAnsi="宋体" w:eastAsia="宋体" w:cs="Times New Roman"/>
                <w:kern w:val="2"/>
                <w:sz w:val="22"/>
                <w:szCs w:val="22"/>
              </w:rPr>
            </w:pPr>
            <w:r>
              <w:rPr>
                <w:rFonts w:ascii="宋体" w:hAnsi="宋体" w:eastAsia="宋体" w:cs="Times New Roman"/>
                <w:kern w:val="2"/>
                <w:sz w:val="22"/>
                <w:szCs w:val="22"/>
              </w:rPr>
              <w:t>符合</w:t>
            </w:r>
          </w:p>
        </w:tc>
        <w:tc>
          <w:tcPr>
            <w:tcW w:w="1578" w:type="dxa"/>
            <w:vAlign w:val="center"/>
          </w:tcPr>
          <w:p w14:paraId="678A190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15EE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14:paraId="5DF3AF11">
            <w:pPr>
              <w:widowControl/>
              <w:ind w:firstLine="0" w:firstLineChars="0"/>
              <w:jc w:val="center"/>
            </w:pPr>
            <w:r>
              <w:rPr>
                <w:rFonts w:hint="eastAsia"/>
                <w:sz w:val="22"/>
                <w:szCs w:val="22"/>
              </w:rPr>
              <w:t>应用和数据安全</w:t>
            </w:r>
          </w:p>
        </w:tc>
        <w:tc>
          <w:tcPr>
            <w:tcW w:w="1745" w:type="dxa"/>
            <w:vAlign w:val="center"/>
          </w:tcPr>
          <w:p w14:paraId="689014F6">
            <w:pPr>
              <w:pStyle w:val="138"/>
              <w:ind w:firstLine="0" w:firstLineChars="0"/>
              <w:rPr>
                <w:rFonts w:eastAsia="宋体"/>
                <w:kern w:val="2"/>
                <w:sz w:val="22"/>
                <w:szCs w:val="22"/>
              </w:rPr>
            </w:pPr>
            <w:r>
              <w:rPr>
                <w:rFonts w:eastAsia="宋体"/>
                <w:kern w:val="2"/>
                <w:sz w:val="22"/>
                <w:szCs w:val="22"/>
              </w:rPr>
              <w:t>身份鉴别</w:t>
            </w:r>
          </w:p>
        </w:tc>
        <w:tc>
          <w:tcPr>
            <w:tcW w:w="3142" w:type="dxa"/>
            <w:vAlign w:val="center"/>
          </w:tcPr>
          <w:p w14:paraId="7A810FE2">
            <w:pPr>
              <w:pStyle w:val="138"/>
              <w:ind w:firstLine="0" w:firstLineChars="0"/>
              <w:rPr>
                <w:rFonts w:eastAsia="宋体"/>
                <w:kern w:val="2"/>
                <w:sz w:val="22"/>
                <w:szCs w:val="22"/>
              </w:rPr>
            </w:pPr>
            <w:r>
              <w:rPr>
                <w:rFonts w:eastAsia="宋体"/>
                <w:kern w:val="2"/>
                <w:sz w:val="22"/>
                <w:szCs w:val="22"/>
              </w:rPr>
              <w:t>政务外网普通用户通过账户密码登录</w:t>
            </w:r>
            <w:r>
              <w:rPr>
                <w:rFonts w:hint="eastAsia" w:eastAsia="宋体"/>
                <w:kern w:val="2"/>
                <w:sz w:val="22"/>
                <w:szCs w:val="22"/>
              </w:rPr>
              <w:t>。</w:t>
            </w:r>
          </w:p>
        </w:tc>
        <w:tc>
          <w:tcPr>
            <w:tcW w:w="1730" w:type="dxa"/>
            <w:vAlign w:val="center"/>
          </w:tcPr>
          <w:p w14:paraId="444B4E3B">
            <w:pPr>
              <w:pStyle w:val="138"/>
              <w:ind w:firstLine="0" w:firstLineChars="0"/>
              <w:rPr>
                <w:rFonts w:eastAsia="宋体"/>
                <w:kern w:val="2"/>
                <w:sz w:val="22"/>
                <w:szCs w:val="22"/>
              </w:rPr>
            </w:pPr>
            <w:r>
              <w:rPr>
                <w:rFonts w:eastAsia="宋体"/>
                <w:kern w:val="2"/>
                <w:sz w:val="22"/>
                <w:szCs w:val="22"/>
              </w:rPr>
              <w:t>部分符合</w:t>
            </w:r>
          </w:p>
        </w:tc>
        <w:tc>
          <w:tcPr>
            <w:tcW w:w="1578" w:type="dxa"/>
            <w:vAlign w:val="center"/>
          </w:tcPr>
          <w:p w14:paraId="18051476">
            <w:pPr>
              <w:pStyle w:val="138"/>
              <w:ind w:firstLine="0" w:firstLineChars="0"/>
              <w:rPr>
                <w:rFonts w:eastAsia="宋体"/>
                <w:kern w:val="2"/>
                <w:sz w:val="22"/>
                <w:szCs w:val="22"/>
              </w:rPr>
            </w:pPr>
            <w:r>
              <w:rPr>
                <w:rFonts w:hint="eastAsia" w:eastAsia="宋体"/>
                <w:kern w:val="2"/>
                <w:sz w:val="22"/>
                <w:szCs w:val="22"/>
              </w:rPr>
              <w:t>无</w:t>
            </w:r>
          </w:p>
        </w:tc>
      </w:tr>
      <w:tr w14:paraId="5365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3C8BD98">
            <w:pPr>
              <w:pStyle w:val="137"/>
              <w:ind w:firstLine="0" w:firstLineChars="0"/>
            </w:pPr>
          </w:p>
        </w:tc>
        <w:tc>
          <w:tcPr>
            <w:tcW w:w="1745" w:type="dxa"/>
            <w:vAlign w:val="center"/>
          </w:tcPr>
          <w:p w14:paraId="471E33A7">
            <w:pPr>
              <w:pStyle w:val="138"/>
              <w:ind w:firstLine="0" w:firstLineChars="0"/>
              <w:rPr>
                <w:rFonts w:eastAsia="宋体"/>
                <w:kern w:val="2"/>
                <w:sz w:val="22"/>
                <w:szCs w:val="22"/>
              </w:rPr>
            </w:pPr>
            <w:r>
              <w:rPr>
                <w:rFonts w:eastAsia="宋体"/>
                <w:kern w:val="2"/>
                <w:sz w:val="22"/>
                <w:szCs w:val="22"/>
              </w:rPr>
              <w:t>访问控制信息完整性</w:t>
            </w:r>
          </w:p>
        </w:tc>
        <w:tc>
          <w:tcPr>
            <w:tcW w:w="3142" w:type="dxa"/>
            <w:vAlign w:val="center"/>
          </w:tcPr>
          <w:p w14:paraId="6CB079C9">
            <w:pPr>
              <w:pStyle w:val="138"/>
              <w:ind w:firstLine="0" w:firstLineChars="0"/>
              <w:rPr>
                <w:rFonts w:eastAsia="宋体"/>
                <w:kern w:val="2"/>
                <w:sz w:val="22"/>
                <w:szCs w:val="22"/>
              </w:rPr>
            </w:pPr>
            <w:r>
              <w:rPr>
                <w:rFonts w:eastAsia="宋体"/>
                <w:kern w:val="2"/>
                <w:sz w:val="22"/>
                <w:szCs w:val="22"/>
              </w:rPr>
              <w:t>系统后台将后台用户登录访问控制信息定期传输到日志归集服务器，定时调用签名验签服务。</w:t>
            </w:r>
          </w:p>
        </w:tc>
        <w:tc>
          <w:tcPr>
            <w:tcW w:w="1730" w:type="dxa"/>
            <w:vAlign w:val="center"/>
          </w:tcPr>
          <w:p w14:paraId="493D1858">
            <w:pPr>
              <w:pStyle w:val="138"/>
              <w:ind w:firstLine="0" w:firstLineChars="0"/>
              <w:rPr>
                <w:rFonts w:eastAsia="宋体"/>
                <w:kern w:val="2"/>
                <w:sz w:val="22"/>
                <w:szCs w:val="22"/>
              </w:rPr>
            </w:pPr>
            <w:r>
              <w:rPr>
                <w:rFonts w:eastAsia="宋体"/>
                <w:kern w:val="2"/>
                <w:sz w:val="22"/>
                <w:szCs w:val="22"/>
              </w:rPr>
              <w:t>符合</w:t>
            </w:r>
          </w:p>
        </w:tc>
        <w:tc>
          <w:tcPr>
            <w:tcW w:w="1578" w:type="dxa"/>
            <w:vAlign w:val="center"/>
          </w:tcPr>
          <w:p w14:paraId="47DBB96A">
            <w:pPr>
              <w:pStyle w:val="138"/>
              <w:ind w:firstLine="0" w:firstLineChars="0"/>
              <w:rPr>
                <w:rFonts w:eastAsia="宋体"/>
                <w:kern w:val="2"/>
                <w:sz w:val="22"/>
                <w:szCs w:val="22"/>
              </w:rPr>
            </w:pPr>
            <w:r>
              <w:rPr>
                <w:rFonts w:hint="eastAsia" w:eastAsia="宋体"/>
                <w:kern w:val="2"/>
                <w:sz w:val="22"/>
                <w:szCs w:val="22"/>
              </w:rPr>
              <w:t>无</w:t>
            </w:r>
          </w:p>
        </w:tc>
      </w:tr>
      <w:tr w14:paraId="35B0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51837A5">
            <w:pPr>
              <w:pStyle w:val="137"/>
              <w:ind w:firstLine="0" w:firstLineChars="0"/>
            </w:pPr>
          </w:p>
        </w:tc>
        <w:tc>
          <w:tcPr>
            <w:tcW w:w="1745" w:type="dxa"/>
            <w:vAlign w:val="center"/>
          </w:tcPr>
          <w:p w14:paraId="6D1BA5EE">
            <w:pPr>
              <w:pStyle w:val="138"/>
              <w:ind w:firstLine="0" w:firstLineChars="0"/>
              <w:rPr>
                <w:rFonts w:eastAsia="宋体"/>
                <w:kern w:val="2"/>
                <w:sz w:val="22"/>
                <w:szCs w:val="22"/>
              </w:rPr>
            </w:pPr>
            <w:r>
              <w:rPr>
                <w:rFonts w:eastAsia="宋体"/>
                <w:kern w:val="2"/>
                <w:sz w:val="22"/>
                <w:szCs w:val="22"/>
              </w:rPr>
              <w:t>重要信息资源安全标记完整性</w:t>
            </w:r>
          </w:p>
        </w:tc>
        <w:tc>
          <w:tcPr>
            <w:tcW w:w="3142" w:type="dxa"/>
            <w:vAlign w:val="center"/>
          </w:tcPr>
          <w:p w14:paraId="58B9985D">
            <w:pPr>
              <w:pStyle w:val="138"/>
              <w:ind w:firstLine="0" w:firstLineChars="0"/>
              <w:rPr>
                <w:rFonts w:eastAsia="宋体"/>
                <w:kern w:val="2"/>
                <w:sz w:val="22"/>
                <w:szCs w:val="22"/>
              </w:rPr>
            </w:pPr>
            <w:r>
              <w:rPr>
                <w:rFonts w:eastAsia="宋体"/>
                <w:kern w:val="2"/>
                <w:sz w:val="22"/>
                <w:szCs w:val="22"/>
              </w:rPr>
              <w:t>无</w:t>
            </w:r>
          </w:p>
        </w:tc>
        <w:tc>
          <w:tcPr>
            <w:tcW w:w="1730" w:type="dxa"/>
            <w:vAlign w:val="center"/>
          </w:tcPr>
          <w:p w14:paraId="63172031">
            <w:pPr>
              <w:pStyle w:val="138"/>
              <w:ind w:firstLine="0" w:firstLineChars="0"/>
              <w:rPr>
                <w:rFonts w:eastAsia="宋体"/>
                <w:kern w:val="2"/>
                <w:sz w:val="22"/>
                <w:szCs w:val="22"/>
              </w:rPr>
            </w:pPr>
            <w:r>
              <w:rPr>
                <w:rFonts w:eastAsia="宋体"/>
                <w:kern w:val="2"/>
                <w:sz w:val="22"/>
                <w:szCs w:val="22"/>
              </w:rPr>
              <w:t>不适用</w:t>
            </w:r>
          </w:p>
        </w:tc>
        <w:tc>
          <w:tcPr>
            <w:tcW w:w="1578" w:type="dxa"/>
            <w:vAlign w:val="center"/>
          </w:tcPr>
          <w:p w14:paraId="093AF409">
            <w:pPr>
              <w:pStyle w:val="138"/>
              <w:ind w:firstLine="0" w:firstLineChars="0"/>
              <w:rPr>
                <w:rFonts w:eastAsia="宋体"/>
                <w:kern w:val="2"/>
                <w:sz w:val="22"/>
                <w:szCs w:val="22"/>
              </w:rPr>
            </w:pPr>
            <w:r>
              <w:rPr>
                <w:rFonts w:hint="eastAsia" w:eastAsia="宋体"/>
                <w:kern w:val="2"/>
                <w:sz w:val="22"/>
                <w:szCs w:val="22"/>
              </w:rPr>
              <w:t>无重要信息资源安全标记</w:t>
            </w:r>
          </w:p>
        </w:tc>
      </w:tr>
      <w:tr w14:paraId="6D90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7651674">
            <w:pPr>
              <w:pStyle w:val="137"/>
              <w:ind w:firstLine="0" w:firstLineChars="0"/>
            </w:pPr>
          </w:p>
        </w:tc>
        <w:tc>
          <w:tcPr>
            <w:tcW w:w="1745" w:type="dxa"/>
            <w:vAlign w:val="center"/>
          </w:tcPr>
          <w:p w14:paraId="5C1B40DF">
            <w:pPr>
              <w:pStyle w:val="138"/>
              <w:ind w:firstLine="0" w:firstLineChars="0"/>
              <w:rPr>
                <w:rFonts w:eastAsia="宋体"/>
                <w:kern w:val="2"/>
                <w:sz w:val="22"/>
                <w:szCs w:val="22"/>
              </w:rPr>
            </w:pPr>
            <w:r>
              <w:rPr>
                <w:rFonts w:eastAsia="宋体"/>
                <w:kern w:val="2"/>
                <w:sz w:val="22"/>
                <w:szCs w:val="22"/>
              </w:rPr>
              <w:t>重要数据传输机密性</w:t>
            </w:r>
          </w:p>
        </w:tc>
        <w:tc>
          <w:tcPr>
            <w:tcW w:w="3142" w:type="dxa"/>
            <w:vAlign w:val="center"/>
          </w:tcPr>
          <w:p w14:paraId="1C9497F6">
            <w:pPr>
              <w:pStyle w:val="138"/>
              <w:ind w:firstLine="0" w:firstLineChars="0"/>
              <w:rPr>
                <w:rFonts w:eastAsia="宋体"/>
                <w:kern w:val="2"/>
                <w:sz w:val="22"/>
                <w:szCs w:val="22"/>
              </w:rPr>
            </w:pPr>
            <w:r>
              <w:rPr>
                <w:rFonts w:eastAsia="宋体"/>
                <w:kern w:val="2"/>
                <w:sz w:val="22"/>
                <w:szCs w:val="22"/>
              </w:rPr>
              <w:t>用户和应用之间使用</w:t>
            </w:r>
            <w:r>
              <w:rPr>
                <w:rFonts w:hint="eastAsia" w:eastAsia="宋体"/>
                <w:kern w:val="2"/>
                <w:sz w:val="22"/>
                <w:szCs w:val="22"/>
              </w:rPr>
              <w:t>h</w:t>
            </w:r>
            <w:r>
              <w:rPr>
                <w:rFonts w:eastAsia="宋体"/>
                <w:kern w:val="2"/>
                <w:sz w:val="22"/>
                <w:szCs w:val="22"/>
              </w:rPr>
              <w:t>ttps通道。保护客户端到安全认证网关的加密传输</w:t>
            </w:r>
          </w:p>
        </w:tc>
        <w:tc>
          <w:tcPr>
            <w:tcW w:w="1730" w:type="dxa"/>
            <w:vAlign w:val="center"/>
          </w:tcPr>
          <w:p w14:paraId="0B966FE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254F4829">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7997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97F01C5">
            <w:pPr>
              <w:pStyle w:val="137"/>
              <w:ind w:firstLine="0" w:firstLineChars="0"/>
            </w:pPr>
          </w:p>
        </w:tc>
        <w:tc>
          <w:tcPr>
            <w:tcW w:w="1745" w:type="dxa"/>
            <w:vAlign w:val="center"/>
          </w:tcPr>
          <w:p w14:paraId="2873B01E">
            <w:pPr>
              <w:pStyle w:val="138"/>
              <w:ind w:firstLine="0" w:firstLineChars="0"/>
              <w:rPr>
                <w:rFonts w:eastAsia="宋体"/>
                <w:kern w:val="2"/>
                <w:sz w:val="22"/>
                <w:szCs w:val="22"/>
              </w:rPr>
            </w:pPr>
            <w:r>
              <w:rPr>
                <w:rFonts w:eastAsia="宋体"/>
                <w:kern w:val="2"/>
                <w:sz w:val="22"/>
                <w:szCs w:val="22"/>
              </w:rPr>
              <w:t>重要数据存储机密性</w:t>
            </w:r>
          </w:p>
        </w:tc>
        <w:tc>
          <w:tcPr>
            <w:tcW w:w="3142" w:type="dxa"/>
            <w:vAlign w:val="center"/>
          </w:tcPr>
          <w:p w14:paraId="793848A9">
            <w:pPr>
              <w:pStyle w:val="138"/>
              <w:ind w:firstLine="0" w:firstLineChars="0"/>
              <w:rPr>
                <w:rFonts w:eastAsia="宋体"/>
                <w:kern w:val="2"/>
                <w:sz w:val="22"/>
                <w:szCs w:val="22"/>
              </w:rPr>
            </w:pPr>
            <w:r>
              <w:rPr>
                <w:rFonts w:eastAsia="宋体"/>
                <w:kern w:val="2"/>
                <w:sz w:val="22"/>
                <w:szCs w:val="22"/>
              </w:rPr>
              <w:t>系统采用市政务云提供的数据库加密进行结构化数据存储。</w:t>
            </w:r>
          </w:p>
        </w:tc>
        <w:tc>
          <w:tcPr>
            <w:tcW w:w="1730" w:type="dxa"/>
            <w:vAlign w:val="center"/>
          </w:tcPr>
          <w:p w14:paraId="7F486C7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1875C875">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326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2542E64">
            <w:pPr>
              <w:pStyle w:val="137"/>
              <w:ind w:firstLine="0" w:firstLineChars="0"/>
            </w:pPr>
          </w:p>
        </w:tc>
        <w:tc>
          <w:tcPr>
            <w:tcW w:w="1745" w:type="dxa"/>
            <w:vAlign w:val="center"/>
          </w:tcPr>
          <w:p w14:paraId="02848F2B">
            <w:pPr>
              <w:pStyle w:val="138"/>
              <w:ind w:firstLine="0" w:firstLineChars="0"/>
              <w:rPr>
                <w:rFonts w:eastAsia="宋体"/>
                <w:kern w:val="2"/>
                <w:sz w:val="22"/>
                <w:szCs w:val="22"/>
              </w:rPr>
            </w:pPr>
            <w:r>
              <w:rPr>
                <w:rFonts w:eastAsia="宋体"/>
                <w:kern w:val="2"/>
                <w:sz w:val="22"/>
                <w:szCs w:val="22"/>
              </w:rPr>
              <w:t>重要数据传输完整性</w:t>
            </w:r>
          </w:p>
        </w:tc>
        <w:tc>
          <w:tcPr>
            <w:tcW w:w="3142" w:type="dxa"/>
            <w:vAlign w:val="center"/>
          </w:tcPr>
          <w:p w14:paraId="32751A1F">
            <w:pPr>
              <w:pStyle w:val="138"/>
              <w:ind w:firstLine="0" w:firstLineChars="0"/>
              <w:rPr>
                <w:rFonts w:eastAsia="宋体"/>
                <w:kern w:val="2"/>
                <w:sz w:val="22"/>
                <w:szCs w:val="22"/>
              </w:rPr>
            </w:pPr>
            <w:r>
              <w:rPr>
                <w:rFonts w:eastAsia="宋体"/>
                <w:kern w:val="2"/>
                <w:sz w:val="22"/>
                <w:szCs w:val="22"/>
              </w:rPr>
              <w:t>政务外网侧，用户和管理员通过安全认证网关访问管理后台，传输过程中使用SM3密码算法保证完整性。</w:t>
            </w:r>
          </w:p>
        </w:tc>
        <w:tc>
          <w:tcPr>
            <w:tcW w:w="1730" w:type="dxa"/>
            <w:vAlign w:val="center"/>
          </w:tcPr>
          <w:p w14:paraId="5177E544">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7FA32F8D">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613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7A6BDA7">
            <w:pPr>
              <w:pStyle w:val="137"/>
              <w:ind w:firstLine="0" w:firstLineChars="0"/>
            </w:pPr>
          </w:p>
        </w:tc>
        <w:tc>
          <w:tcPr>
            <w:tcW w:w="1745" w:type="dxa"/>
            <w:vAlign w:val="center"/>
          </w:tcPr>
          <w:p w14:paraId="62C69C9D">
            <w:pPr>
              <w:pStyle w:val="138"/>
              <w:ind w:firstLine="0" w:firstLineChars="0"/>
              <w:rPr>
                <w:rFonts w:eastAsia="宋体"/>
                <w:kern w:val="2"/>
                <w:sz w:val="22"/>
                <w:szCs w:val="22"/>
              </w:rPr>
            </w:pPr>
            <w:r>
              <w:rPr>
                <w:rFonts w:eastAsia="宋体"/>
                <w:kern w:val="2"/>
                <w:sz w:val="22"/>
                <w:szCs w:val="22"/>
              </w:rPr>
              <w:t>重要数据存储完整性</w:t>
            </w:r>
          </w:p>
        </w:tc>
        <w:tc>
          <w:tcPr>
            <w:tcW w:w="3142" w:type="dxa"/>
            <w:vAlign w:val="center"/>
          </w:tcPr>
          <w:p w14:paraId="787310EB">
            <w:pPr>
              <w:pStyle w:val="138"/>
              <w:ind w:firstLine="0" w:firstLineChars="0"/>
              <w:rPr>
                <w:rFonts w:eastAsia="宋体"/>
                <w:kern w:val="2"/>
                <w:sz w:val="22"/>
                <w:szCs w:val="22"/>
              </w:rPr>
            </w:pPr>
            <w:r>
              <w:rPr>
                <w:rFonts w:eastAsia="宋体"/>
                <w:kern w:val="2"/>
                <w:sz w:val="22"/>
                <w:szCs w:val="22"/>
              </w:rPr>
              <w:t>调用签名验签服务对存储在数据库的字段进行签名，使用算法为</w:t>
            </w:r>
            <w:r>
              <w:rPr>
                <w:rFonts w:hint="eastAsia" w:eastAsia="宋体"/>
                <w:kern w:val="2"/>
                <w:sz w:val="22"/>
                <w:szCs w:val="22"/>
              </w:rPr>
              <w:t>S</w:t>
            </w:r>
            <w:r>
              <w:rPr>
                <w:rFonts w:eastAsia="宋体"/>
                <w:kern w:val="2"/>
                <w:sz w:val="22"/>
                <w:szCs w:val="22"/>
              </w:rPr>
              <w:t>M2，将签名结果存储在数据库中。签名中选取的字段包含唯一值字段，每新增</w:t>
            </w:r>
            <w:r>
              <w:rPr>
                <w:rFonts w:hint="eastAsia" w:eastAsia="宋体"/>
                <w:kern w:val="2"/>
                <w:sz w:val="22"/>
                <w:szCs w:val="22"/>
              </w:rPr>
              <w:t>1条数据，可以实时、或异步的在签名验签服务上找到签名日志。可通过对日志上反应的签名值进行验签操作来验证完整性。</w:t>
            </w:r>
          </w:p>
        </w:tc>
        <w:tc>
          <w:tcPr>
            <w:tcW w:w="1730" w:type="dxa"/>
            <w:vAlign w:val="center"/>
          </w:tcPr>
          <w:p w14:paraId="715CF810">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符合</w:t>
            </w:r>
          </w:p>
        </w:tc>
        <w:tc>
          <w:tcPr>
            <w:tcW w:w="1578" w:type="dxa"/>
            <w:vAlign w:val="center"/>
          </w:tcPr>
          <w:p w14:paraId="16A55ED9">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r>
      <w:tr w14:paraId="6F02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2603F5F">
            <w:pPr>
              <w:pStyle w:val="137"/>
              <w:ind w:firstLine="0" w:firstLineChars="0"/>
            </w:pPr>
          </w:p>
        </w:tc>
        <w:tc>
          <w:tcPr>
            <w:tcW w:w="1745" w:type="dxa"/>
            <w:vAlign w:val="center"/>
          </w:tcPr>
          <w:p w14:paraId="316BE738">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不可否认性</w:t>
            </w:r>
          </w:p>
        </w:tc>
        <w:tc>
          <w:tcPr>
            <w:tcW w:w="3142" w:type="dxa"/>
            <w:vAlign w:val="center"/>
          </w:tcPr>
          <w:p w14:paraId="139222AB">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无</w:t>
            </w:r>
          </w:p>
        </w:tc>
        <w:tc>
          <w:tcPr>
            <w:tcW w:w="1730" w:type="dxa"/>
            <w:vAlign w:val="center"/>
          </w:tcPr>
          <w:p w14:paraId="6848ACFF">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不适用</w:t>
            </w:r>
          </w:p>
        </w:tc>
        <w:tc>
          <w:tcPr>
            <w:tcW w:w="1578" w:type="dxa"/>
            <w:vAlign w:val="center"/>
          </w:tcPr>
          <w:p w14:paraId="4721994A">
            <w:pPr>
              <w:pStyle w:val="137"/>
              <w:ind w:firstLine="0" w:firstLineChars="0"/>
              <w:rPr>
                <w:rFonts w:ascii="宋体" w:hAnsi="宋体" w:eastAsia="宋体" w:cs="Times New Roman"/>
                <w:kern w:val="2"/>
                <w:sz w:val="22"/>
                <w:szCs w:val="22"/>
              </w:rPr>
            </w:pPr>
            <w:r>
              <w:rPr>
                <w:rFonts w:hint="eastAsia" w:ascii="宋体" w:hAnsi="宋体" w:eastAsia="宋体" w:cs="Times New Roman"/>
                <w:kern w:val="2"/>
                <w:sz w:val="22"/>
                <w:szCs w:val="22"/>
              </w:rPr>
              <w:t>信息系统无不可否认性应用需求。</w:t>
            </w:r>
          </w:p>
        </w:tc>
      </w:tr>
    </w:tbl>
    <w:p w14:paraId="5902FFE1">
      <w:pPr>
        <w:pStyle w:val="3"/>
        <w:ind w:left="0" w:leftChars="0" w:firstLineChars="0"/>
      </w:pPr>
      <w:bookmarkStart w:id="35" w:name="_Toc63785512"/>
      <w:r>
        <w:rPr>
          <w:rFonts w:hint="eastAsia"/>
        </w:rPr>
        <w:t>技术文件要求</w:t>
      </w:r>
    </w:p>
    <w:p w14:paraId="0F49B3C5">
      <w:r>
        <w:rPr>
          <w:rFonts w:hint="eastAsia"/>
        </w:rPr>
        <w:t>投标人提供的书面技术资料应能确保系统正常运行所需的管理、运营及维护有关的全套文件。技术文件应该全面、完整、详细。投标人提供的技术文件至少应包括：</w:t>
      </w:r>
    </w:p>
    <w:p w14:paraId="13493923">
      <w:pPr>
        <w:rPr>
          <w:rFonts w:hint="eastAsia" w:eastAsia="宋体"/>
          <w:lang w:eastAsia="zh-CN"/>
        </w:rPr>
      </w:pPr>
      <w:r>
        <w:rPr>
          <w:rFonts w:hint="eastAsia"/>
        </w:rPr>
        <w:t>－</w:t>
      </w:r>
      <w:r>
        <w:t>系统说明文件；</w:t>
      </w:r>
    </w:p>
    <w:p w14:paraId="32B054B5">
      <w:pPr>
        <w:rPr>
          <w:rFonts w:hint="eastAsia" w:eastAsia="宋体"/>
          <w:lang w:eastAsia="zh-CN"/>
        </w:rPr>
      </w:pPr>
      <w:r>
        <w:rPr>
          <w:rFonts w:hint="eastAsia"/>
        </w:rPr>
        <w:t>－</w:t>
      </w:r>
      <w:r>
        <w:t>技术手册(安装、测试、操作、维护、故障排除等)；</w:t>
      </w:r>
    </w:p>
    <w:p w14:paraId="219A16AB">
      <w:r>
        <w:rPr>
          <w:rFonts w:hint="eastAsia"/>
        </w:rPr>
        <w:t>－</w:t>
      </w:r>
      <w:r>
        <w:t>项目文档，应该包括：</w:t>
      </w:r>
    </w:p>
    <w:p w14:paraId="7482DB43">
      <w:pPr>
        <w:ind w:left="360"/>
      </w:pPr>
      <w:r>
        <w:t>(1)</w:t>
      </w:r>
      <w:r>
        <w:rPr>
          <w:rFonts w:hint="eastAsia"/>
        </w:rPr>
        <w:t xml:space="preserve"> </w:t>
      </w:r>
      <w:r>
        <w:t>软件需求说明书</w:t>
      </w:r>
    </w:p>
    <w:p w14:paraId="5B228C94">
      <w:pPr>
        <w:ind w:left="360"/>
      </w:pPr>
      <w:r>
        <w:t>(2)</w:t>
      </w:r>
      <w:r>
        <w:rPr>
          <w:rFonts w:hint="eastAsia"/>
        </w:rPr>
        <w:t xml:space="preserve"> </w:t>
      </w:r>
      <w:r>
        <w:rPr>
          <w:szCs w:val="21"/>
        </w:rPr>
        <w:t>系统概要设计说明书</w:t>
      </w:r>
    </w:p>
    <w:p w14:paraId="5777F1B1">
      <w:pPr>
        <w:ind w:left="360"/>
      </w:pPr>
      <w:r>
        <w:t>(</w:t>
      </w:r>
      <w:r>
        <w:rPr>
          <w:rFonts w:hint="eastAsia"/>
        </w:rPr>
        <w:t>3</w:t>
      </w:r>
      <w:r>
        <w:t>)</w:t>
      </w:r>
      <w:r>
        <w:rPr>
          <w:rFonts w:hint="eastAsia"/>
        </w:rPr>
        <w:t xml:space="preserve"> 系统详细设计说明书</w:t>
      </w:r>
    </w:p>
    <w:p w14:paraId="2F7FEAAB">
      <w:pPr>
        <w:ind w:left="360"/>
      </w:pPr>
      <w:r>
        <w:t>(</w:t>
      </w:r>
      <w:r>
        <w:rPr>
          <w:rFonts w:hint="eastAsia"/>
        </w:rPr>
        <w:t>4</w:t>
      </w:r>
      <w:r>
        <w:t>)</w:t>
      </w:r>
      <w:r>
        <w:rPr>
          <w:rFonts w:hint="eastAsia"/>
        </w:rPr>
        <w:t xml:space="preserve"> 系统数据库设计说明书</w:t>
      </w:r>
    </w:p>
    <w:p w14:paraId="595A7404">
      <w:pPr>
        <w:ind w:left="360"/>
      </w:pPr>
      <w:r>
        <w:t>(</w:t>
      </w:r>
      <w:r>
        <w:rPr>
          <w:rFonts w:hint="eastAsia"/>
        </w:rPr>
        <w:t>5</w:t>
      </w:r>
      <w:r>
        <w:t>)</w:t>
      </w:r>
      <w:r>
        <w:rPr>
          <w:rFonts w:hint="eastAsia"/>
        </w:rPr>
        <w:t xml:space="preserve"> 数字化项目批复建设情况对照表</w:t>
      </w:r>
    </w:p>
    <w:p w14:paraId="7E21ABBE">
      <w:pPr>
        <w:ind w:left="360"/>
      </w:pPr>
      <w:r>
        <w:t>(</w:t>
      </w:r>
      <w:r>
        <w:rPr>
          <w:rFonts w:hint="eastAsia"/>
        </w:rPr>
        <w:t>6</w:t>
      </w:r>
      <w:r>
        <w:t>)</w:t>
      </w:r>
      <w:r>
        <w:rPr>
          <w:rFonts w:hint="eastAsia"/>
        </w:rPr>
        <w:t xml:space="preserve"> </w:t>
      </w:r>
      <w:r>
        <w:t>应用软件功能清单</w:t>
      </w:r>
    </w:p>
    <w:p w14:paraId="6CC6A69C">
      <w:pPr>
        <w:ind w:left="360"/>
        <w:rPr>
          <w:szCs w:val="21"/>
        </w:rPr>
      </w:pPr>
      <w:r>
        <w:t>(</w:t>
      </w:r>
      <w:r>
        <w:rPr>
          <w:rFonts w:hint="eastAsia"/>
        </w:rPr>
        <w:t>7</w:t>
      </w:r>
      <w:r>
        <w:t>)</w:t>
      </w:r>
      <w:r>
        <w:rPr>
          <w:rFonts w:hint="eastAsia"/>
        </w:rPr>
        <w:t xml:space="preserve"> </w:t>
      </w:r>
      <w:r>
        <w:rPr>
          <w:rFonts w:hint="eastAsia"/>
          <w:szCs w:val="21"/>
        </w:rPr>
        <w:t>三方功能需求确认单</w:t>
      </w:r>
    </w:p>
    <w:p w14:paraId="1BF2A1FD">
      <w:pPr>
        <w:ind w:left="360"/>
        <w:rPr>
          <w:szCs w:val="21"/>
        </w:rPr>
      </w:pPr>
      <w:r>
        <w:t>(</w:t>
      </w:r>
      <w:r>
        <w:rPr>
          <w:rFonts w:hint="eastAsia"/>
        </w:rPr>
        <w:t>8</w:t>
      </w:r>
      <w:r>
        <w:t>)</w:t>
      </w:r>
      <w:r>
        <w:rPr>
          <w:rFonts w:hint="eastAsia"/>
        </w:rPr>
        <w:t xml:space="preserve"> </w:t>
      </w:r>
      <w:r>
        <w:rPr>
          <w:szCs w:val="21"/>
        </w:rPr>
        <w:t>测试报告</w:t>
      </w:r>
    </w:p>
    <w:p w14:paraId="463D2F5E">
      <w:pPr>
        <w:ind w:left="360"/>
      </w:pPr>
      <w:r>
        <w:t>(</w:t>
      </w:r>
      <w:r>
        <w:rPr>
          <w:rFonts w:hint="eastAsia"/>
        </w:rPr>
        <w:t>9</w:t>
      </w:r>
      <w:r>
        <w:t>)</w:t>
      </w:r>
      <w:r>
        <w:rPr>
          <w:rFonts w:hint="eastAsia"/>
        </w:rPr>
        <w:t xml:space="preserve"> </w:t>
      </w:r>
      <w:r>
        <w:rPr>
          <w:szCs w:val="21"/>
        </w:rPr>
        <w:t>用户使用手册</w:t>
      </w:r>
    </w:p>
    <w:p w14:paraId="1D88EF0C">
      <w:r>
        <w:rPr>
          <w:rFonts w:hint="eastAsia"/>
        </w:rPr>
        <w:t>提供全套技术文件纸介质</w:t>
      </w:r>
      <w:r>
        <w:t>3套以及电子文件1套。</w:t>
      </w:r>
    </w:p>
    <w:p w14:paraId="0FEC7DBD">
      <w:pPr>
        <w:pStyle w:val="2"/>
        <w:ind w:left="0" w:leftChars="0" w:firstLineChars="0"/>
      </w:pPr>
      <w:r>
        <w:rPr>
          <w:rFonts w:hint="eastAsia"/>
        </w:rPr>
        <w:t>供应商管理要求</w:t>
      </w:r>
      <w:bookmarkEnd w:id="35"/>
    </w:p>
    <w:p w14:paraId="4F39ABD9">
      <w:pPr>
        <w:pStyle w:val="95"/>
        <w:ind w:firstLine="480"/>
        <w:rPr>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4B807CBE">
      <w:pPr>
        <w:pStyle w:val="95"/>
        <w:ind w:firstLine="480"/>
        <w:rPr>
          <w:sz w:val="24"/>
          <w:szCs w:val="24"/>
        </w:rPr>
      </w:pPr>
      <w:r>
        <w:rPr>
          <w:rFonts w:hint="eastAsia"/>
          <w:sz w:val="24"/>
          <w:szCs w:val="24"/>
        </w:rPr>
        <w:t>2、</w:t>
      </w:r>
      <w:r>
        <w:rPr>
          <w:rFonts w:hint="eastAsia"/>
          <w:sz w:val="24"/>
          <w:szCs w:val="24"/>
          <w:lang w:eastAsia="zh-CN"/>
        </w:rPr>
        <w:t>成交供应商</w:t>
      </w:r>
      <w:r>
        <w:rPr>
          <w:rFonts w:hint="eastAsia"/>
          <w:sz w:val="24"/>
          <w:szCs w:val="24"/>
        </w:rPr>
        <w:t>在投标书中承诺并经招标人认定的项目负责人及专业技术人员必须是本单位职工（在本单位缴纳社会保障金）和该项目实施的实际操作者，应具有类似本项目的实施经验。未经采购人同意，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58255470">
      <w:pPr>
        <w:pStyle w:val="95"/>
        <w:ind w:firstLine="480"/>
        <w:rPr>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79D37465">
      <w:pPr>
        <w:pStyle w:val="95"/>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262481B4">
      <w:pPr>
        <w:pStyle w:val="95"/>
        <w:ind w:firstLine="480"/>
        <w:rPr>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7B3F1C53">
      <w:pPr>
        <w:pStyle w:val="95"/>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6EECF643">
      <w:pPr>
        <w:pStyle w:val="95"/>
        <w:ind w:firstLine="480"/>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3ACDAC67">
      <w:pPr>
        <w:pStyle w:val="2"/>
        <w:ind w:left="0" w:leftChars="0" w:firstLineChars="0"/>
      </w:pPr>
      <w:bookmarkStart w:id="36" w:name="_Toc63785513"/>
      <w:r>
        <w:rPr>
          <w:rFonts w:hint="eastAsia"/>
        </w:rPr>
        <w:t>关于转让和分包的规定</w:t>
      </w:r>
    </w:p>
    <w:p w14:paraId="6F70C513">
      <w:pPr>
        <w:rPr>
          <w:rFonts w:hint="eastAsia" w:ascii="宋体" w:hAnsi="宋体" w:eastAsia="宋体" w:cs="Times New Roman"/>
        </w:rPr>
      </w:pPr>
      <w:r>
        <w:rPr>
          <w:rFonts w:hint="eastAsia" w:ascii="宋体" w:hAnsi="宋体" w:eastAsia="宋体" w:cs="Times New Roman"/>
        </w:rPr>
        <w:t>本项目不得转让分包。</w:t>
      </w:r>
    </w:p>
    <w:p w14:paraId="25D7018D">
      <w:pPr>
        <w:pStyle w:val="2"/>
        <w:ind w:left="0" w:leftChars="0" w:firstLineChars="0"/>
      </w:pPr>
      <w:r>
        <w:rPr>
          <w:rFonts w:hint="eastAsia"/>
        </w:rPr>
        <w:t>知识产权及保密要求</w:t>
      </w:r>
      <w:bookmarkEnd w:id="36"/>
    </w:p>
    <w:p w14:paraId="73C4AC8A">
      <w:pPr>
        <w:ind w:firstLine="482"/>
        <w:rPr>
          <w:b/>
        </w:rPr>
      </w:pPr>
      <w:r>
        <w:rPr>
          <w:b/>
        </w:rPr>
        <w:t>1、</w:t>
      </w:r>
      <w:r>
        <w:rPr>
          <w:rFonts w:hint="eastAsia"/>
          <w:b/>
          <w:lang w:eastAsia="zh-CN"/>
        </w:rPr>
        <w:t>成交供应商</w:t>
      </w:r>
      <w:r>
        <w:rPr>
          <w:b/>
        </w:rPr>
        <w:t>数据、文件、资料知识产权</w:t>
      </w:r>
    </w:p>
    <w:p w14:paraId="55C7C54A">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696CACA6">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37E8C33E">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35E70D75">
      <w:pPr>
        <w:ind w:firstLine="482"/>
        <w:rPr>
          <w:b/>
        </w:rPr>
      </w:pPr>
      <w:r>
        <w:rPr>
          <w:b/>
        </w:rPr>
        <w:t>2、项目保密要求</w:t>
      </w:r>
    </w:p>
    <w:p w14:paraId="6E943A7F">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7024E4B3">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11F22E2F">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5077ECDE">
      <w:r>
        <w:rPr>
          <w:rFonts w:hint="eastAsia"/>
        </w:rPr>
        <w:t>以上内容的保密期限自</w:t>
      </w:r>
      <w:r>
        <w:rPr>
          <w:rFonts w:hint="eastAsia"/>
          <w:lang w:eastAsia="zh-CN"/>
        </w:rPr>
        <w:t>成交供应商</w:t>
      </w:r>
      <w:r>
        <w:rPr>
          <w:rFonts w:hint="eastAsia"/>
        </w:rPr>
        <w:t>知悉保密信息起始至保密信息被合法公开之日止。</w:t>
      </w:r>
    </w:p>
    <w:p w14:paraId="1662B6FF">
      <w:pPr>
        <w:ind w:firstLine="482"/>
        <w:rPr>
          <w:b/>
        </w:rPr>
      </w:pPr>
      <w:r>
        <w:rPr>
          <w:b/>
        </w:rPr>
        <w:t>3、临时账号等使用要求</w:t>
      </w:r>
    </w:p>
    <w:p w14:paraId="11452025">
      <w:r>
        <w:rPr>
          <w:rFonts w:hint="eastAsia"/>
          <w:lang w:eastAsia="zh-CN"/>
        </w:rPr>
        <w:t>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699E34DE">
      <w:pPr>
        <w:pStyle w:val="2"/>
        <w:ind w:left="0" w:leftChars="0" w:firstLineChars="0"/>
      </w:pPr>
      <w:bookmarkStart w:id="37" w:name="_Toc65170093"/>
      <w:r>
        <w:t>项目的变更、解除和终止</w:t>
      </w:r>
    </w:p>
    <w:p w14:paraId="32960FD2">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556C4458">
      <w:r>
        <w:rPr>
          <w:rFonts w:hint="eastAsia"/>
        </w:rPr>
        <w:t>如遇国家、行业管理部门等机构的有关标准和规定调整的，导致本项目内容须做相应调整时，双方应按照公平、合理的原则共同协商修改本项目对应的合同的相关条款。</w:t>
      </w:r>
    </w:p>
    <w:bookmarkEnd w:id="37"/>
    <w:p w14:paraId="3B4629B4">
      <w:pPr>
        <w:pStyle w:val="2"/>
        <w:ind w:left="0" w:leftChars="0" w:firstLineChars="0"/>
      </w:pPr>
      <w:bookmarkStart w:id="38" w:name="_Toc63785514"/>
      <w:r>
        <w:rPr>
          <w:rFonts w:hint="eastAsia"/>
          <w:lang w:eastAsia="zh-CN"/>
        </w:rPr>
        <w:t>供应商能力要求</w:t>
      </w:r>
    </w:p>
    <w:p w14:paraId="0A0F48BE">
      <w:pPr>
        <w:rPr>
          <w:rFonts w:hint="eastAsia" w:eastAsia="宋体"/>
          <w:lang w:eastAsia="zh-CN"/>
        </w:rPr>
      </w:pPr>
      <w:r>
        <w:rPr>
          <w:rFonts w:hint="eastAsia"/>
          <w:lang w:eastAsia="zh-CN"/>
        </w:rPr>
        <w:t>供应商具有</w:t>
      </w:r>
      <w:r>
        <w:rPr>
          <w:rFonts w:hint="eastAsia"/>
        </w:rPr>
        <w:t>ISO9001质量管理体系认证证书、ISO27001信息安全管理体系认证证书</w:t>
      </w:r>
      <w:r>
        <w:rPr>
          <w:rFonts w:hint="eastAsia"/>
          <w:lang w:eastAsia="zh-CN"/>
        </w:rPr>
        <w:t>优先考虑。</w:t>
      </w:r>
    </w:p>
    <w:p w14:paraId="109E1B63">
      <w:pPr>
        <w:pStyle w:val="2"/>
        <w:ind w:left="0" w:leftChars="0" w:firstLineChars="0"/>
      </w:pPr>
      <w:r>
        <w:rPr>
          <w:rFonts w:hint="eastAsia"/>
        </w:rPr>
        <w:t>付款</w:t>
      </w:r>
      <w:bookmarkEnd w:id="38"/>
      <w:r>
        <w:rPr>
          <w:rFonts w:hint="eastAsia"/>
        </w:rPr>
        <w:t>方式</w:t>
      </w:r>
    </w:p>
    <w:p w14:paraId="713A05C3">
      <w:pPr>
        <w:rPr>
          <w:rFonts w:hint="eastAsia" w:ascii="宋体" w:hAnsi="宋体" w:eastAsia="宋体" w:cs="Times New Roman"/>
        </w:rPr>
      </w:pPr>
      <w:r>
        <w:rPr>
          <w:rFonts w:hint="eastAsia" w:ascii="宋体" w:hAnsi="宋体" w:eastAsia="宋体" w:cs="Times New Roman"/>
        </w:rPr>
        <w:t>本项目拟采用二期分期付款方式付款</w:t>
      </w:r>
    </w:p>
    <w:p w14:paraId="18D572A4">
      <w:pPr>
        <w:rPr>
          <w:rFonts w:hint="eastAsia" w:ascii="宋体" w:hAnsi="宋体" w:eastAsia="宋体" w:cs="Times New Roman"/>
        </w:rPr>
      </w:pPr>
      <w:r>
        <w:rPr>
          <w:rFonts w:hint="eastAsia" w:ascii="宋体" w:hAnsi="宋体" w:eastAsia="宋体" w:cs="Times New Roman"/>
        </w:rPr>
        <w:t>a.合同签订生效且收到发票后10个工作日内，支付合同总价款的 70 %；</w:t>
      </w:r>
    </w:p>
    <w:p w14:paraId="154987A8">
      <w:pPr>
        <w:rPr>
          <w:rFonts w:hint="eastAsia" w:ascii="宋体" w:hAnsi="宋体" w:eastAsia="宋体" w:cs="Times New Roman"/>
        </w:rPr>
      </w:pPr>
      <w:r>
        <w:rPr>
          <w:rFonts w:hint="eastAsia" w:ascii="宋体" w:hAnsi="宋体" w:eastAsia="宋体" w:cs="Times New Roman"/>
        </w:rPr>
        <w:t>b.本项目通过最终验收且收到发票后10个工作日内，支付合同总价款的尾款。</w:t>
      </w:r>
    </w:p>
    <w:p w14:paraId="282DE99E">
      <w:pPr>
        <w:ind w:firstLine="0" w:firstLineChars="0"/>
        <w:jc w:val="left"/>
      </w:pPr>
      <w:r>
        <w:rPr>
          <w:rFonts w:hint="eastAsia" w:ascii="宋体" w:hAnsi="宋体" w:eastAsia="宋体" w:cs="Times New Roman"/>
        </w:rPr>
        <w:t>付款条件备注：服务提供方应当在采购方每次付款前提前至少10个工作日向采购方提供有效发票。</w:t>
      </w:r>
    </w:p>
    <w:p w14:paraId="40C1BD54">
      <w:pPr>
        <w:ind w:left="0" w:leftChars="0" w:firstLine="0" w:firstLineChars="0"/>
        <w:rPr>
          <w:rFonts w:hint="eastAsia"/>
          <w:b/>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8CD02">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2749D7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602A2"/>
  <w:p w14:paraId="34767A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25E4">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5144">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7D370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4B89">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65FA"/>
  <w:p w14:paraId="4E3A5F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581C">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6B41"/>
    <w:multiLevelType w:val="multilevel"/>
    <w:tmpl w:val="A4E56B41"/>
    <w:lvl w:ilvl="0" w:tentative="0">
      <w:start w:val="1"/>
      <w:numFmt w:val="decimal"/>
      <w:pStyle w:val="2"/>
      <w:suff w:val="nothing"/>
      <w:lvlText w:val="%1 "/>
      <w:lvlJc w:val="left"/>
      <w:pPr>
        <w:ind w:left="0" w:hanging="425"/>
      </w:pPr>
      <w:rPr>
        <w:rFonts w:hint="default"/>
        <w:sz w:val="32"/>
        <w:szCs w:val="32"/>
      </w:rPr>
    </w:lvl>
    <w:lvl w:ilvl="1" w:tentative="0">
      <w:start w:val="1"/>
      <w:numFmt w:val="decimal"/>
      <w:pStyle w:val="3"/>
      <w:isLgl/>
      <w:suff w:val="nothing"/>
      <w:lvlText w:val="%1.%2 "/>
      <w:lvlJc w:val="left"/>
      <w:pPr>
        <w:tabs>
          <w:tab w:val="left" w:pos="0"/>
        </w:tabs>
        <w:ind w:left="0" w:hanging="567"/>
      </w:pPr>
    </w:lvl>
    <w:lvl w:ilvl="2" w:tentative="0">
      <w:start w:val="1"/>
      <w:numFmt w:val="decimal"/>
      <w:pStyle w:val="5"/>
      <w:isLgl/>
      <w:suff w:val="nothing"/>
      <w:lvlText w:val="%1.%2.%3 "/>
      <w:lvlJc w:val="left"/>
      <w:pPr>
        <w:ind w:left="0" w:hanging="1069"/>
      </w:pPr>
      <w:rPr>
        <w:rFonts w:hint="default" w:ascii="宋体" w:hAnsi="宋体" w:eastAsia="宋体" w:cs="Arial"/>
        <w:sz w:val="28"/>
        <w:szCs w:val="28"/>
      </w:rPr>
    </w:lvl>
    <w:lvl w:ilvl="3" w:tentative="0">
      <w:start w:val="1"/>
      <w:numFmt w:val="decimal"/>
      <w:pStyle w:val="6"/>
      <w:isLgl/>
      <w:suff w:val="nothing"/>
      <w:lvlText w:val="%1.%2.%3.%4 "/>
      <w:lvlJc w:val="left"/>
      <w:pPr>
        <w:ind w:left="2978" w:hanging="851"/>
      </w:pPr>
      <w:rPr>
        <w:rFonts w:hint="default"/>
        <w:sz w:val="24"/>
        <w:szCs w:val="24"/>
      </w:r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709" w:hanging="1134"/>
      </w:pPr>
      <w:rPr>
        <w:rFonts w:hint="eastAsia"/>
      </w:rPr>
    </w:lvl>
    <w:lvl w:ilvl="6" w:tentative="0">
      <w:start w:val="1"/>
      <w:numFmt w:val="decimal"/>
      <w:isLgl/>
      <w:lvlText w:val="%1.%2.%3.%4.%5.%6.%7"/>
      <w:lvlJc w:val="left"/>
      <w:pPr>
        <w:tabs>
          <w:tab w:val="left" w:pos="420"/>
        </w:tabs>
        <w:ind w:left="851" w:hanging="1276"/>
      </w:pPr>
      <w:rPr>
        <w:rFonts w:hint="eastAsia"/>
      </w:rPr>
    </w:lvl>
    <w:lvl w:ilvl="7" w:tentative="0">
      <w:start w:val="1"/>
      <w:numFmt w:val="decimal"/>
      <w:isLgl/>
      <w:lvlText w:val="%1.%2.%3.%4.%5.%6.%7.%8"/>
      <w:lvlJc w:val="left"/>
      <w:pPr>
        <w:tabs>
          <w:tab w:val="left" w:pos="1800"/>
        </w:tabs>
        <w:ind w:left="993" w:hanging="1418"/>
      </w:pPr>
      <w:rPr>
        <w:rFonts w:hint="eastAsia"/>
      </w:rPr>
    </w:lvl>
    <w:lvl w:ilvl="8" w:tentative="0">
      <w:start w:val="1"/>
      <w:numFmt w:val="decimal"/>
      <w:isLgl/>
      <w:lvlText w:val="%1.%2.%3.%4.%5.%6.%7.%8.%9"/>
      <w:lvlJc w:val="left"/>
      <w:pPr>
        <w:tabs>
          <w:tab w:val="left" w:pos="2160"/>
        </w:tabs>
        <w:ind w:left="1134" w:hanging="1559"/>
      </w:pPr>
      <w:rPr>
        <w:rFonts w:hint="eastAsia"/>
      </w:rPr>
    </w:lvl>
  </w:abstractNum>
  <w:abstractNum w:abstractNumId="1">
    <w:nsid w:val="CC2D6018"/>
    <w:multiLevelType w:val="multilevel"/>
    <w:tmpl w:val="CC2D6018"/>
    <w:lvl w:ilvl="0" w:tentative="0">
      <w:start w:val="1"/>
      <w:numFmt w:val="decimal"/>
      <w:suff w:val="nothing"/>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2">
    <w:nsid w:val="F0B1CFA4"/>
    <w:multiLevelType w:val="multilevel"/>
    <w:tmpl w:val="F0B1CFA4"/>
    <w:lvl w:ilvl="0" w:tentative="0">
      <w:start w:val="1"/>
      <w:numFmt w:val="decimal"/>
      <w:suff w:val="nothing"/>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3">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4C2712A"/>
    <w:rsid w:val="064A3459"/>
    <w:rsid w:val="09305ADA"/>
    <w:rsid w:val="0A6749FB"/>
    <w:rsid w:val="0E06277D"/>
    <w:rsid w:val="0E2A38AE"/>
    <w:rsid w:val="0E8013B7"/>
    <w:rsid w:val="0E824BFA"/>
    <w:rsid w:val="10D604C6"/>
    <w:rsid w:val="11B515E0"/>
    <w:rsid w:val="13A53267"/>
    <w:rsid w:val="13F970D2"/>
    <w:rsid w:val="14AA4136"/>
    <w:rsid w:val="163A420B"/>
    <w:rsid w:val="16F503D3"/>
    <w:rsid w:val="17143815"/>
    <w:rsid w:val="19413B26"/>
    <w:rsid w:val="1BDFF898"/>
    <w:rsid w:val="1C4A3ECF"/>
    <w:rsid w:val="1C623275"/>
    <w:rsid w:val="1C6D3688"/>
    <w:rsid w:val="1C974DF7"/>
    <w:rsid w:val="1CC63D0A"/>
    <w:rsid w:val="1CF2F073"/>
    <w:rsid w:val="1D681191"/>
    <w:rsid w:val="1DC2081A"/>
    <w:rsid w:val="1DD94266"/>
    <w:rsid w:val="1DDFD253"/>
    <w:rsid w:val="1F9D0947"/>
    <w:rsid w:val="1FFB29C6"/>
    <w:rsid w:val="22AF3620"/>
    <w:rsid w:val="22E70AD4"/>
    <w:rsid w:val="23EB1674"/>
    <w:rsid w:val="24F1508D"/>
    <w:rsid w:val="266F634F"/>
    <w:rsid w:val="26F02602"/>
    <w:rsid w:val="28DC615D"/>
    <w:rsid w:val="291059EA"/>
    <w:rsid w:val="2BBF12EC"/>
    <w:rsid w:val="2BC649D9"/>
    <w:rsid w:val="2D371E00"/>
    <w:rsid w:val="2F9D6FE9"/>
    <w:rsid w:val="2FFF26CC"/>
    <w:rsid w:val="30185CCC"/>
    <w:rsid w:val="310D15A9"/>
    <w:rsid w:val="326A2BB8"/>
    <w:rsid w:val="34A35D81"/>
    <w:rsid w:val="34EA1977"/>
    <w:rsid w:val="3515160D"/>
    <w:rsid w:val="355F7E4E"/>
    <w:rsid w:val="38CFDC29"/>
    <w:rsid w:val="399BAE60"/>
    <w:rsid w:val="39AF019F"/>
    <w:rsid w:val="3ABA315B"/>
    <w:rsid w:val="3C7D00D8"/>
    <w:rsid w:val="3CA06C0C"/>
    <w:rsid w:val="3CF60D5C"/>
    <w:rsid w:val="3D0FF758"/>
    <w:rsid w:val="3D6ED294"/>
    <w:rsid w:val="3E9577F8"/>
    <w:rsid w:val="3EA25851"/>
    <w:rsid w:val="3ED719A7"/>
    <w:rsid w:val="3EFFAC0B"/>
    <w:rsid w:val="3F261A88"/>
    <w:rsid w:val="3F6C3757"/>
    <w:rsid w:val="3F7375FC"/>
    <w:rsid w:val="3F7F23FA"/>
    <w:rsid w:val="3FEFB6A8"/>
    <w:rsid w:val="3FFB8824"/>
    <w:rsid w:val="40580367"/>
    <w:rsid w:val="405D6A10"/>
    <w:rsid w:val="41DA6594"/>
    <w:rsid w:val="43E31666"/>
    <w:rsid w:val="43FF1DD0"/>
    <w:rsid w:val="442C0469"/>
    <w:rsid w:val="444C1A75"/>
    <w:rsid w:val="44A3526F"/>
    <w:rsid w:val="44B032F4"/>
    <w:rsid w:val="457D25F7"/>
    <w:rsid w:val="468341CD"/>
    <w:rsid w:val="472C2589"/>
    <w:rsid w:val="479A0264"/>
    <w:rsid w:val="47BA7997"/>
    <w:rsid w:val="4A760AEB"/>
    <w:rsid w:val="4F3162CA"/>
    <w:rsid w:val="4FF9D0D1"/>
    <w:rsid w:val="50D2381E"/>
    <w:rsid w:val="50D95873"/>
    <w:rsid w:val="51E5789A"/>
    <w:rsid w:val="526102AF"/>
    <w:rsid w:val="528444DA"/>
    <w:rsid w:val="537745D5"/>
    <w:rsid w:val="552306F6"/>
    <w:rsid w:val="565A678F"/>
    <w:rsid w:val="56E352D5"/>
    <w:rsid w:val="57DE25BD"/>
    <w:rsid w:val="57E435FE"/>
    <w:rsid w:val="582D0655"/>
    <w:rsid w:val="5951205C"/>
    <w:rsid w:val="59680D88"/>
    <w:rsid w:val="59D079E8"/>
    <w:rsid w:val="59D40847"/>
    <w:rsid w:val="5A2877DF"/>
    <w:rsid w:val="5A990BC8"/>
    <w:rsid w:val="5AE37F25"/>
    <w:rsid w:val="5AF80325"/>
    <w:rsid w:val="5BF12F89"/>
    <w:rsid w:val="5CB23D47"/>
    <w:rsid w:val="5E976996"/>
    <w:rsid w:val="5EF7FEAB"/>
    <w:rsid w:val="5FAEE07A"/>
    <w:rsid w:val="5FAF09C4"/>
    <w:rsid w:val="5FCDD89F"/>
    <w:rsid w:val="5FFF6559"/>
    <w:rsid w:val="5FFF69BC"/>
    <w:rsid w:val="608C4642"/>
    <w:rsid w:val="61137C66"/>
    <w:rsid w:val="616563B2"/>
    <w:rsid w:val="62795572"/>
    <w:rsid w:val="640F4566"/>
    <w:rsid w:val="64DD6417"/>
    <w:rsid w:val="64DFCD0E"/>
    <w:rsid w:val="64F14763"/>
    <w:rsid w:val="66004745"/>
    <w:rsid w:val="66BE0C0A"/>
    <w:rsid w:val="67F27B79"/>
    <w:rsid w:val="67FE36AA"/>
    <w:rsid w:val="692A3D9F"/>
    <w:rsid w:val="6A1F58CE"/>
    <w:rsid w:val="6A567F20"/>
    <w:rsid w:val="6CD716C5"/>
    <w:rsid w:val="6CD97953"/>
    <w:rsid w:val="6ED30FD7"/>
    <w:rsid w:val="6EFBB217"/>
    <w:rsid w:val="6FACCF09"/>
    <w:rsid w:val="6FB73FD1"/>
    <w:rsid w:val="6FFA78EC"/>
    <w:rsid w:val="6FFF2226"/>
    <w:rsid w:val="6FFF754D"/>
    <w:rsid w:val="727D78FD"/>
    <w:rsid w:val="73CC655F"/>
    <w:rsid w:val="75957445"/>
    <w:rsid w:val="75D01AE1"/>
    <w:rsid w:val="75DFD73A"/>
    <w:rsid w:val="763FD0C7"/>
    <w:rsid w:val="76EFED8F"/>
    <w:rsid w:val="77524363"/>
    <w:rsid w:val="77B5FBF4"/>
    <w:rsid w:val="77B917B5"/>
    <w:rsid w:val="77F0F9CA"/>
    <w:rsid w:val="78703975"/>
    <w:rsid w:val="795F33A0"/>
    <w:rsid w:val="7977A1DA"/>
    <w:rsid w:val="79BF9620"/>
    <w:rsid w:val="79FABF6F"/>
    <w:rsid w:val="79FD150D"/>
    <w:rsid w:val="7A1B6E40"/>
    <w:rsid w:val="7B509322"/>
    <w:rsid w:val="7BE420FD"/>
    <w:rsid w:val="7BFBB676"/>
    <w:rsid w:val="7D0D296B"/>
    <w:rsid w:val="7D4E0B54"/>
    <w:rsid w:val="7D503E78"/>
    <w:rsid w:val="7DF3906D"/>
    <w:rsid w:val="7DFF1C9D"/>
    <w:rsid w:val="7E0160D4"/>
    <w:rsid w:val="7E3F0748"/>
    <w:rsid w:val="7EDCBBB0"/>
    <w:rsid w:val="7F5E434B"/>
    <w:rsid w:val="7FBB1950"/>
    <w:rsid w:val="7FDD5BB8"/>
    <w:rsid w:val="7FE76CE2"/>
    <w:rsid w:val="7FFB6DB8"/>
    <w:rsid w:val="7FFD36D3"/>
    <w:rsid w:val="7FFD552E"/>
    <w:rsid w:val="7FFF6FB0"/>
    <w:rsid w:val="9DEFE093"/>
    <w:rsid w:val="9FCB30D9"/>
    <w:rsid w:val="AEDF5ED3"/>
    <w:rsid w:val="B9DF5A3E"/>
    <w:rsid w:val="BB779AB8"/>
    <w:rsid w:val="BBBF7ABD"/>
    <w:rsid w:val="C9150550"/>
    <w:rsid w:val="CF3B61BD"/>
    <w:rsid w:val="CFD3C625"/>
    <w:rsid w:val="D23F825C"/>
    <w:rsid w:val="DBDE8ED7"/>
    <w:rsid w:val="DFBB2201"/>
    <w:rsid w:val="E568749B"/>
    <w:rsid w:val="EB7FE364"/>
    <w:rsid w:val="EBEF827B"/>
    <w:rsid w:val="EDDBF6D2"/>
    <w:rsid w:val="EDF81CE1"/>
    <w:rsid w:val="EF4FCCAA"/>
    <w:rsid w:val="EFFA16E2"/>
    <w:rsid w:val="EFFD8BB5"/>
    <w:rsid w:val="F1BE373A"/>
    <w:rsid w:val="F5DF454D"/>
    <w:rsid w:val="F5FFDAA5"/>
    <w:rsid w:val="F77FBC64"/>
    <w:rsid w:val="F7CDC357"/>
    <w:rsid w:val="F7EE6DED"/>
    <w:rsid w:val="FA5C86E6"/>
    <w:rsid w:val="FBAFA14D"/>
    <w:rsid w:val="FBEE143F"/>
    <w:rsid w:val="FBFFD9E8"/>
    <w:rsid w:val="FCF25DF9"/>
    <w:rsid w:val="FCF5EB2C"/>
    <w:rsid w:val="FDBBEB8E"/>
    <w:rsid w:val="FDEF5DB4"/>
    <w:rsid w:val="FEDEB826"/>
    <w:rsid w:val="FEDEDDA1"/>
    <w:rsid w:val="FEE5FD62"/>
    <w:rsid w:val="FEED3190"/>
    <w:rsid w:val="FEF8F655"/>
    <w:rsid w:val="FF797FBE"/>
    <w:rsid w:val="FF7F8634"/>
    <w:rsid w:val="FFBBA79D"/>
    <w:rsid w:val="FFBFEC7F"/>
    <w:rsid w:val="FFE9C3B6"/>
    <w:rsid w:val="FFFB9A0E"/>
    <w:rsid w:val="FFFF1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47"/>
    <w:qFormat/>
    <w:uiPriority w:val="0"/>
    <w:pPr>
      <w:keepNext/>
      <w:keepLines/>
      <w:numPr>
        <w:ilvl w:val="0"/>
        <w:numId w:val="1"/>
      </w:numPr>
      <w:spacing w:before="120" w:after="120"/>
      <w:ind w:hanging="425" w:firstLineChars="0"/>
      <w:outlineLvl w:val="0"/>
    </w:pPr>
    <w:rPr>
      <w:rFonts w:eastAsia="黑体"/>
      <w:b/>
      <w:bCs/>
      <w:kern w:val="44"/>
      <w:sz w:val="32"/>
      <w:szCs w:val="28"/>
    </w:rPr>
  </w:style>
  <w:style w:type="paragraph" w:styleId="3">
    <w:name w:val="heading 2"/>
    <w:basedOn w:val="1"/>
    <w:next w:val="4"/>
    <w:link w:val="48"/>
    <w:qFormat/>
    <w:uiPriority w:val="9"/>
    <w:pPr>
      <w:keepNext/>
      <w:keepLines/>
      <w:numPr>
        <w:ilvl w:val="1"/>
        <w:numId w:val="1"/>
      </w:numPr>
      <w:spacing w:before="120" w:after="120"/>
      <w:ind w:firstLine="0" w:firstLineChars="0"/>
      <w:outlineLvl w:val="1"/>
    </w:pPr>
    <w:rPr>
      <w:b/>
      <w:bCs/>
      <w:sz w:val="30"/>
      <w:szCs w:val="32"/>
    </w:rPr>
  </w:style>
  <w:style w:type="paragraph" w:styleId="5">
    <w:name w:val="heading 3"/>
    <w:basedOn w:val="1"/>
    <w:next w:val="1"/>
    <w:link w:val="49"/>
    <w:qFormat/>
    <w:uiPriority w:val="0"/>
    <w:pPr>
      <w:keepNext/>
      <w:keepLines/>
      <w:numPr>
        <w:ilvl w:val="2"/>
        <w:numId w:val="1"/>
      </w:numPr>
      <w:spacing w:before="120" w:after="120"/>
      <w:ind w:hanging="1069" w:firstLineChars="0"/>
      <w:outlineLvl w:val="2"/>
    </w:pPr>
    <w:rPr>
      <w:b/>
      <w:bCs/>
      <w:sz w:val="28"/>
      <w:szCs w:val="28"/>
    </w:rPr>
  </w:style>
  <w:style w:type="paragraph" w:styleId="6">
    <w:name w:val="heading 4"/>
    <w:basedOn w:val="1"/>
    <w:next w:val="1"/>
    <w:link w:val="50"/>
    <w:qFormat/>
    <w:uiPriority w:val="0"/>
    <w:pPr>
      <w:keepNext/>
      <w:keepLines/>
      <w:numPr>
        <w:ilvl w:val="3"/>
        <w:numId w:val="1"/>
      </w:numPr>
      <w:spacing w:before="120" w:after="120"/>
      <w:ind w:left="2978" w:hanging="851" w:firstLineChars="0"/>
      <w:outlineLvl w:val="3"/>
    </w:pPr>
    <w:rPr>
      <w:b/>
      <w:bCs/>
      <w:sz w:val="30"/>
      <w:szCs w:val="30"/>
    </w:rPr>
  </w:style>
  <w:style w:type="paragraph" w:styleId="7">
    <w:name w:val="heading 5"/>
    <w:basedOn w:val="1"/>
    <w:next w:val="1"/>
    <w:link w:val="51"/>
    <w:qFormat/>
    <w:uiPriority w:val="0"/>
    <w:pPr>
      <w:keepNext/>
      <w:keepLines/>
      <w:numPr>
        <w:ilvl w:val="4"/>
        <w:numId w:val="1"/>
      </w:numPr>
      <w:spacing w:before="120" w:after="120"/>
      <w:ind w:left="3544" w:hanging="992" w:firstLineChars="0"/>
      <w:outlineLvl w:val="4"/>
    </w:pPr>
    <w:rPr>
      <w:b/>
      <w:bCs/>
      <w:szCs w:val="28"/>
    </w:rPr>
  </w:style>
  <w:style w:type="paragraph" w:styleId="8">
    <w:name w:val="heading 6"/>
    <w:basedOn w:val="1"/>
    <w:next w:val="1"/>
    <w:link w:val="52"/>
    <w:qFormat/>
    <w:uiPriority w:val="0"/>
    <w:pPr>
      <w:keepNext/>
      <w:keepLines/>
      <w:numPr>
        <w:ilvl w:val="5"/>
        <w:numId w:val="1"/>
      </w:numPr>
      <w:spacing w:before="120" w:after="120"/>
      <w:ind w:hanging="1134" w:firstLineChars="0"/>
      <w:outlineLvl w:val="5"/>
    </w:pPr>
    <w:rPr>
      <w:rFonts w:ascii="Cambria" w:hAnsi="Cambria"/>
      <w:b/>
      <w:bCs/>
    </w:rPr>
  </w:style>
  <w:style w:type="paragraph" w:styleId="9">
    <w:name w:val="heading 7"/>
    <w:basedOn w:val="1"/>
    <w:next w:val="1"/>
    <w:link w:val="5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54"/>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55"/>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line="240" w:lineRule="auto"/>
      <w:ind w:firstLine="420"/>
    </w:pPr>
    <w:rPr>
      <w:rFonts w:ascii="Calibri" w:hAnsi="Calibri"/>
      <w:sz w:val="21"/>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57"/>
    <w:qFormat/>
    <w:uiPriority w:val="0"/>
    <w:rPr>
      <w:rFonts w:hAnsi="Times New Roman"/>
      <w:sz w:val="18"/>
      <w:szCs w:val="18"/>
    </w:rPr>
  </w:style>
  <w:style w:type="paragraph" w:styleId="15">
    <w:name w:val="annotation text"/>
    <w:basedOn w:val="1"/>
    <w:link w:val="58"/>
    <w:qFormat/>
    <w:uiPriority w:val="99"/>
    <w:pPr>
      <w:jc w:val="left"/>
    </w:pPr>
    <w:rPr>
      <w:rFonts w:ascii="Times New Roman" w:hAnsi="Times New Roman" w:eastAsia="仿宋"/>
      <w:sz w:val="28"/>
    </w:rPr>
  </w:style>
  <w:style w:type="paragraph" w:styleId="16">
    <w:name w:val="Body Text"/>
    <w:basedOn w:val="1"/>
    <w:link w:val="46"/>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59"/>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0"/>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61"/>
    <w:qFormat/>
    <w:uiPriority w:val="0"/>
    <w:pPr>
      <w:ind w:left="100" w:leftChars="2500"/>
    </w:pPr>
    <w:rPr>
      <w:rFonts w:ascii="Times New Roman" w:hAnsi="Times New Roman"/>
      <w:sz w:val="21"/>
    </w:rPr>
  </w:style>
  <w:style w:type="paragraph" w:styleId="23">
    <w:name w:val="Balloon Text"/>
    <w:basedOn w:val="1"/>
    <w:link w:val="62"/>
    <w:qFormat/>
    <w:uiPriority w:val="0"/>
    <w:rPr>
      <w:rFonts w:ascii="Times New Roman" w:hAnsi="Times New Roman"/>
      <w:sz w:val="18"/>
      <w:szCs w:val="18"/>
    </w:rPr>
  </w:style>
  <w:style w:type="paragraph" w:styleId="24">
    <w:name w:val="footer"/>
    <w:basedOn w:val="1"/>
    <w:link w:val="63"/>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64"/>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65"/>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66"/>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67"/>
    <w:qFormat/>
    <w:uiPriority w:val="0"/>
    <w:rPr>
      <w:b/>
      <w:bCs/>
      <w:sz w:val="21"/>
    </w:rPr>
  </w:style>
  <w:style w:type="paragraph" w:styleId="35">
    <w:name w:val="Body Text First Indent"/>
    <w:basedOn w:val="16"/>
    <w:qFormat/>
    <w:uiPriority w:val="99"/>
    <w:pPr>
      <w:spacing w:after="120"/>
      <w:ind w:firstLine="420" w:firstLineChars="100"/>
    </w:pPr>
    <w:rPr>
      <w:sz w:val="21"/>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标题 4 字符"/>
    <w:semiHidden/>
    <w:qFormat/>
    <w:uiPriority w:val="9"/>
    <w:rPr>
      <w:rFonts w:ascii="等线 Light" w:hAnsi="等线 Light" w:eastAsia="等线 Light" w:cs="Times New Roman"/>
      <w:b/>
      <w:bCs/>
      <w:kern w:val="2"/>
      <w:sz w:val="28"/>
      <w:szCs w:val="28"/>
    </w:rPr>
  </w:style>
  <w:style w:type="character" w:customStyle="1" w:styleId="44">
    <w:name w:val="标题 6 字符"/>
    <w:semiHidden/>
    <w:qFormat/>
    <w:uiPriority w:val="9"/>
    <w:rPr>
      <w:rFonts w:ascii="等线 Light" w:hAnsi="等线 Light" w:eastAsia="等线 Light" w:cs="Times New Roman"/>
      <w:b/>
      <w:bCs/>
      <w:kern w:val="2"/>
      <w:sz w:val="24"/>
      <w:szCs w:val="24"/>
    </w:rPr>
  </w:style>
  <w:style w:type="character" w:customStyle="1" w:styleId="45">
    <w:name w:val="标题 1 字符"/>
    <w:qFormat/>
    <w:uiPriority w:val="9"/>
    <w:rPr>
      <w:rFonts w:ascii="宋体" w:hAnsi="宋体"/>
      <w:b/>
      <w:bCs/>
      <w:kern w:val="44"/>
      <w:sz w:val="44"/>
      <w:szCs w:val="44"/>
    </w:rPr>
  </w:style>
  <w:style w:type="character" w:customStyle="1" w:styleId="46">
    <w:name w:val="正文文本 Char"/>
    <w:link w:val="16"/>
    <w:qFormat/>
    <w:uiPriority w:val="0"/>
    <w:rPr>
      <w:kern w:val="2"/>
      <w:sz w:val="21"/>
      <w:szCs w:val="24"/>
    </w:rPr>
  </w:style>
  <w:style w:type="character" w:customStyle="1" w:styleId="47">
    <w:name w:val="标题 1 Char1"/>
    <w:link w:val="2"/>
    <w:qFormat/>
    <w:uiPriority w:val="0"/>
    <w:rPr>
      <w:rFonts w:ascii="宋体" w:hAnsi="宋体" w:eastAsia="黑体"/>
      <w:b/>
      <w:bCs/>
      <w:kern w:val="44"/>
      <w:sz w:val="32"/>
      <w:szCs w:val="28"/>
    </w:rPr>
  </w:style>
  <w:style w:type="character" w:customStyle="1" w:styleId="48">
    <w:name w:val="标题 2 Char"/>
    <w:link w:val="3"/>
    <w:qFormat/>
    <w:uiPriority w:val="9"/>
    <w:rPr>
      <w:rFonts w:ascii="宋体" w:hAnsi="宋体" w:eastAsia="宋体"/>
      <w:b/>
      <w:bCs/>
      <w:kern w:val="2"/>
      <w:sz w:val="30"/>
      <w:szCs w:val="32"/>
    </w:rPr>
  </w:style>
  <w:style w:type="character" w:customStyle="1" w:styleId="49">
    <w:name w:val="标题 3 Char"/>
    <w:link w:val="5"/>
    <w:qFormat/>
    <w:uiPriority w:val="0"/>
    <w:rPr>
      <w:rFonts w:ascii="宋体" w:hAnsi="宋体"/>
      <w:b/>
      <w:bCs/>
      <w:kern w:val="2"/>
      <w:sz w:val="28"/>
      <w:szCs w:val="28"/>
    </w:rPr>
  </w:style>
  <w:style w:type="character" w:customStyle="1" w:styleId="50">
    <w:name w:val="标题 4 Char"/>
    <w:link w:val="6"/>
    <w:qFormat/>
    <w:uiPriority w:val="0"/>
    <w:rPr>
      <w:rFonts w:ascii="宋体" w:hAnsi="宋体"/>
      <w:b/>
      <w:bCs/>
      <w:kern w:val="2"/>
      <w:sz w:val="30"/>
      <w:szCs w:val="30"/>
    </w:rPr>
  </w:style>
  <w:style w:type="character" w:customStyle="1" w:styleId="51">
    <w:name w:val="标题 5 Char"/>
    <w:link w:val="7"/>
    <w:qFormat/>
    <w:uiPriority w:val="0"/>
    <w:rPr>
      <w:rFonts w:ascii="宋体" w:hAnsi="宋体"/>
      <w:b/>
      <w:bCs/>
      <w:kern w:val="2"/>
      <w:sz w:val="24"/>
      <w:szCs w:val="28"/>
    </w:rPr>
  </w:style>
  <w:style w:type="character" w:customStyle="1" w:styleId="52">
    <w:name w:val="标题 6 Char"/>
    <w:link w:val="8"/>
    <w:qFormat/>
    <w:uiPriority w:val="0"/>
    <w:rPr>
      <w:rFonts w:ascii="Cambria" w:hAnsi="Cambria"/>
      <w:b/>
      <w:bCs/>
      <w:kern w:val="2"/>
      <w:sz w:val="24"/>
      <w:szCs w:val="24"/>
    </w:rPr>
  </w:style>
  <w:style w:type="character" w:customStyle="1" w:styleId="53">
    <w:name w:val="标题 7 Char"/>
    <w:link w:val="9"/>
    <w:qFormat/>
    <w:uiPriority w:val="9"/>
    <w:rPr>
      <w:b/>
      <w:bCs/>
      <w:kern w:val="2"/>
      <w:sz w:val="21"/>
      <w:szCs w:val="24"/>
    </w:rPr>
  </w:style>
  <w:style w:type="character" w:customStyle="1" w:styleId="54">
    <w:name w:val="标题 8 Char"/>
    <w:link w:val="10"/>
    <w:qFormat/>
    <w:uiPriority w:val="9"/>
    <w:rPr>
      <w:rFonts w:ascii="Cambria" w:hAnsi="Cambria"/>
      <w:kern w:val="2"/>
      <w:sz w:val="21"/>
      <w:szCs w:val="24"/>
    </w:rPr>
  </w:style>
  <w:style w:type="character" w:customStyle="1" w:styleId="55">
    <w:name w:val="标题 9 Char"/>
    <w:link w:val="11"/>
    <w:qFormat/>
    <w:uiPriority w:val="9"/>
    <w:rPr>
      <w:rFonts w:ascii="Cambria" w:hAnsi="Cambria"/>
      <w:kern w:val="2"/>
      <w:sz w:val="21"/>
      <w:szCs w:val="21"/>
    </w:rPr>
  </w:style>
  <w:style w:type="character" w:customStyle="1" w:styleId="56">
    <w:name w:val="题注 Char"/>
    <w:link w:val="13"/>
    <w:qFormat/>
    <w:locked/>
    <w:uiPriority w:val="0"/>
    <w:rPr>
      <w:rFonts w:ascii="Arial" w:hAnsi="Arial" w:eastAsia="黑体"/>
      <w:kern w:val="2"/>
    </w:rPr>
  </w:style>
  <w:style w:type="character" w:customStyle="1" w:styleId="57">
    <w:name w:val="文档结构图 Char"/>
    <w:link w:val="14"/>
    <w:qFormat/>
    <w:uiPriority w:val="0"/>
    <w:rPr>
      <w:rFonts w:ascii="宋体"/>
      <w:kern w:val="2"/>
      <w:sz w:val="18"/>
      <w:szCs w:val="18"/>
    </w:rPr>
  </w:style>
  <w:style w:type="character" w:customStyle="1" w:styleId="58">
    <w:name w:val="批注文字 Char"/>
    <w:link w:val="15"/>
    <w:qFormat/>
    <w:uiPriority w:val="99"/>
    <w:rPr>
      <w:rFonts w:eastAsia="仿宋"/>
      <w:kern w:val="2"/>
      <w:sz w:val="28"/>
      <w:szCs w:val="24"/>
    </w:rPr>
  </w:style>
  <w:style w:type="character" w:customStyle="1" w:styleId="59">
    <w:name w:val="正文文本缩进 Char"/>
    <w:link w:val="17"/>
    <w:qFormat/>
    <w:uiPriority w:val="0"/>
    <w:rPr>
      <w:kern w:val="2"/>
      <w:sz w:val="21"/>
    </w:rPr>
  </w:style>
  <w:style w:type="character" w:customStyle="1" w:styleId="60">
    <w:name w:val="纯文本 Char"/>
    <w:link w:val="20"/>
    <w:qFormat/>
    <w:locked/>
    <w:uiPriority w:val="0"/>
    <w:rPr>
      <w:rFonts w:ascii="宋体" w:hAnsi="Courier New"/>
      <w:kern w:val="2"/>
      <w:sz w:val="21"/>
    </w:rPr>
  </w:style>
  <w:style w:type="character" w:customStyle="1" w:styleId="61">
    <w:name w:val="日期 Char"/>
    <w:link w:val="22"/>
    <w:qFormat/>
    <w:uiPriority w:val="0"/>
    <w:rPr>
      <w:kern w:val="2"/>
      <w:sz w:val="21"/>
      <w:szCs w:val="24"/>
    </w:rPr>
  </w:style>
  <w:style w:type="character" w:customStyle="1" w:styleId="62">
    <w:name w:val="批注框文本 Char"/>
    <w:link w:val="23"/>
    <w:qFormat/>
    <w:uiPriority w:val="0"/>
    <w:rPr>
      <w:kern w:val="2"/>
      <w:sz w:val="18"/>
      <w:szCs w:val="18"/>
    </w:rPr>
  </w:style>
  <w:style w:type="character" w:customStyle="1" w:styleId="63">
    <w:name w:val="页脚 Char"/>
    <w:link w:val="24"/>
    <w:qFormat/>
    <w:uiPriority w:val="99"/>
    <w:rPr>
      <w:kern w:val="2"/>
      <w:sz w:val="18"/>
      <w:szCs w:val="18"/>
    </w:rPr>
  </w:style>
  <w:style w:type="character" w:customStyle="1" w:styleId="64">
    <w:name w:val="页眉 Char"/>
    <w:link w:val="25"/>
    <w:qFormat/>
    <w:uiPriority w:val="99"/>
    <w:rPr>
      <w:kern w:val="2"/>
      <w:sz w:val="18"/>
      <w:szCs w:val="18"/>
    </w:rPr>
  </w:style>
  <w:style w:type="character" w:customStyle="1" w:styleId="65">
    <w:name w:val="副标题 Char"/>
    <w:link w:val="28"/>
    <w:qFormat/>
    <w:uiPriority w:val="0"/>
    <w:rPr>
      <w:rFonts w:ascii="Calibri Light" w:hAnsi="Calibri Light"/>
      <w:b/>
      <w:bCs/>
      <w:kern w:val="28"/>
      <w:sz w:val="32"/>
      <w:szCs w:val="32"/>
    </w:rPr>
  </w:style>
  <w:style w:type="character" w:customStyle="1" w:styleId="66">
    <w:name w:val="标题 Char"/>
    <w:link w:val="33"/>
    <w:qFormat/>
    <w:uiPriority w:val="0"/>
    <w:rPr>
      <w:rFonts w:ascii="Cambria" w:hAnsi="Cambria" w:eastAsia="黑体"/>
      <w:b/>
      <w:bCs/>
      <w:kern w:val="2"/>
      <w:sz w:val="52"/>
      <w:szCs w:val="32"/>
    </w:rPr>
  </w:style>
  <w:style w:type="character" w:customStyle="1" w:styleId="67">
    <w:name w:val="批注主题 Char"/>
    <w:link w:val="34"/>
    <w:qFormat/>
    <w:uiPriority w:val="0"/>
    <w:rPr>
      <w:rFonts w:eastAsia="仿宋"/>
      <w:b/>
      <w:bCs/>
      <w:kern w:val="2"/>
      <w:sz w:val="21"/>
      <w:szCs w:val="24"/>
    </w:rPr>
  </w:style>
  <w:style w:type="character" w:customStyle="1" w:styleId="68">
    <w:name w:val="标题 3 字符"/>
    <w:semiHidden/>
    <w:qFormat/>
    <w:uiPriority w:val="9"/>
    <w:rPr>
      <w:rFonts w:ascii="宋体" w:hAnsi="宋体"/>
      <w:b/>
      <w:bCs/>
      <w:kern w:val="2"/>
      <w:sz w:val="32"/>
      <w:szCs w:val="32"/>
    </w:rPr>
  </w:style>
  <w:style w:type="character" w:customStyle="1" w:styleId="69">
    <w:name w:val="标题 3 字符1"/>
    <w:qFormat/>
    <w:uiPriority w:val="0"/>
    <w:rPr>
      <w:rFonts w:ascii="宋体" w:hAnsi="宋体"/>
      <w:b/>
      <w:bCs/>
      <w:kern w:val="2"/>
      <w:sz w:val="28"/>
      <w:szCs w:val="28"/>
    </w:rPr>
  </w:style>
  <w:style w:type="character" w:customStyle="1" w:styleId="70">
    <w:name w:val="首行缩进正文 Char"/>
    <w:link w:val="71"/>
    <w:qFormat/>
    <w:uiPriority w:val="0"/>
    <w:rPr>
      <w:kern w:val="2"/>
      <w:sz w:val="24"/>
    </w:rPr>
  </w:style>
  <w:style w:type="paragraph" w:customStyle="1" w:styleId="71">
    <w:name w:val="首行缩进正文"/>
    <w:basedOn w:val="1"/>
    <w:link w:val="70"/>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72">
    <w:name w:val="日期 字符"/>
    <w:semiHidden/>
    <w:qFormat/>
    <w:uiPriority w:val="99"/>
    <w:rPr>
      <w:rFonts w:ascii="宋体" w:hAnsi="宋体"/>
      <w:kern w:val="2"/>
      <w:sz w:val="24"/>
      <w:szCs w:val="24"/>
    </w:rPr>
  </w:style>
  <w:style w:type="character" w:customStyle="1" w:styleId="73">
    <w:name w:val="未处理的提及1"/>
    <w:unhideWhenUsed/>
    <w:qFormat/>
    <w:uiPriority w:val="99"/>
    <w:rPr>
      <w:color w:val="605E5C"/>
      <w:shd w:val="clear" w:color="auto" w:fill="E1DFDD"/>
    </w:rPr>
  </w:style>
  <w:style w:type="character" w:customStyle="1" w:styleId="74">
    <w:name w:val="页脚 字符"/>
    <w:qFormat/>
    <w:uiPriority w:val="99"/>
  </w:style>
  <w:style w:type="character" w:customStyle="1" w:styleId="75">
    <w:name w:val="标题 5 字符"/>
    <w:semiHidden/>
    <w:qFormat/>
    <w:uiPriority w:val="9"/>
    <w:rPr>
      <w:rFonts w:ascii="宋体" w:hAnsi="宋体"/>
      <w:b/>
      <w:bCs/>
      <w:kern w:val="2"/>
      <w:sz w:val="28"/>
      <w:szCs w:val="28"/>
    </w:rPr>
  </w:style>
  <w:style w:type="character" w:customStyle="1" w:styleId="76">
    <w:name w:val="标题 2 字符"/>
    <w:semiHidden/>
    <w:qFormat/>
    <w:uiPriority w:val="9"/>
    <w:rPr>
      <w:rFonts w:ascii="等线 Light" w:hAnsi="等线 Light" w:eastAsia="等线 Light" w:cs="Times New Roman"/>
      <w:b/>
      <w:bCs/>
      <w:kern w:val="2"/>
      <w:sz w:val="32"/>
      <w:szCs w:val="32"/>
    </w:rPr>
  </w:style>
  <w:style w:type="character" w:customStyle="1" w:styleId="77">
    <w:name w:val="纯文本 字符"/>
    <w:qFormat/>
    <w:uiPriority w:val="0"/>
    <w:rPr>
      <w:rFonts w:ascii="宋体" w:hAnsi="Courier New" w:cs="Courier New"/>
      <w:kern w:val="2"/>
      <w:sz w:val="21"/>
      <w:szCs w:val="21"/>
    </w:rPr>
  </w:style>
  <w:style w:type="character" w:customStyle="1" w:styleId="78">
    <w:name w:val="列表段落 字符"/>
    <w:qFormat/>
    <w:uiPriority w:val="34"/>
    <w:rPr>
      <w:kern w:val="2"/>
      <w:sz w:val="21"/>
      <w:szCs w:val="22"/>
    </w:rPr>
  </w:style>
  <w:style w:type="character" w:customStyle="1" w:styleId="79">
    <w:name w:val="列出段落 Char"/>
    <w:link w:val="80"/>
    <w:qFormat/>
    <w:uiPriority w:val="34"/>
    <w:rPr>
      <w:kern w:val="2"/>
      <w:sz w:val="21"/>
      <w:szCs w:val="24"/>
    </w:rPr>
  </w:style>
  <w:style w:type="paragraph" w:styleId="80">
    <w:name w:val="List Paragraph"/>
    <w:basedOn w:val="1"/>
    <w:link w:val="79"/>
    <w:qFormat/>
    <w:uiPriority w:val="34"/>
    <w:pPr>
      <w:ind w:firstLine="420"/>
    </w:pPr>
    <w:rPr>
      <w:rFonts w:ascii="Times New Roman" w:hAnsi="Times New Roman"/>
      <w:sz w:val="21"/>
    </w:rPr>
  </w:style>
  <w:style w:type="character" w:customStyle="1" w:styleId="81">
    <w:name w:val="font21"/>
    <w:qFormat/>
    <w:uiPriority w:val="0"/>
    <w:rPr>
      <w:rFonts w:ascii="Calibri" w:hAnsi="Calibri" w:cs="Calibri"/>
      <w:color w:val="000000"/>
      <w:sz w:val="21"/>
      <w:szCs w:val="21"/>
      <w:u w:val="none"/>
    </w:rPr>
  </w:style>
  <w:style w:type="character" w:customStyle="1" w:styleId="82">
    <w:name w:val="*正文 Char"/>
    <w:link w:val="83"/>
    <w:qFormat/>
    <w:uiPriority w:val="0"/>
    <w:rPr>
      <w:rFonts w:ascii="time" w:hAnsi="time"/>
      <w:sz w:val="24"/>
      <w:szCs w:val="24"/>
      <w:lang w:bidi="en-US"/>
    </w:rPr>
  </w:style>
  <w:style w:type="paragraph" w:customStyle="1" w:styleId="83">
    <w:name w:val="*正文"/>
    <w:basedOn w:val="1"/>
    <w:link w:val="82"/>
    <w:qFormat/>
    <w:uiPriority w:val="0"/>
    <w:pPr>
      <w:widowControl/>
      <w:ind w:firstLine="200"/>
      <w:contextualSpacing/>
    </w:pPr>
    <w:rPr>
      <w:rFonts w:ascii="time" w:hAnsi="time"/>
      <w:kern w:val="0"/>
      <w:lang w:bidi="en-US"/>
    </w:rPr>
  </w:style>
  <w:style w:type="character" w:customStyle="1" w:styleId="84">
    <w:name w:val="正文文本缩进 字符"/>
    <w:semiHidden/>
    <w:qFormat/>
    <w:uiPriority w:val="99"/>
    <w:rPr>
      <w:rFonts w:ascii="宋体" w:hAnsi="宋体"/>
      <w:kern w:val="2"/>
      <w:sz w:val="24"/>
      <w:szCs w:val="24"/>
    </w:rPr>
  </w:style>
  <w:style w:type="character" w:customStyle="1" w:styleId="85">
    <w:name w:val="my正文 Char"/>
    <w:link w:val="86"/>
    <w:qFormat/>
    <w:uiPriority w:val="0"/>
    <w:rPr>
      <w:kern w:val="2"/>
      <w:sz w:val="21"/>
      <w:szCs w:val="24"/>
    </w:rPr>
  </w:style>
  <w:style w:type="paragraph" w:customStyle="1" w:styleId="86">
    <w:name w:val="my正文"/>
    <w:basedOn w:val="1"/>
    <w:link w:val="85"/>
    <w:qFormat/>
    <w:uiPriority w:val="0"/>
    <w:pPr>
      <w:spacing w:line="240" w:lineRule="auto"/>
      <w:ind w:firstLine="0" w:firstLineChars="0"/>
    </w:pPr>
    <w:rPr>
      <w:rFonts w:ascii="Times New Roman" w:hAnsi="Times New Roman"/>
      <w:sz w:val="21"/>
    </w:rPr>
  </w:style>
  <w:style w:type="character" w:customStyle="1" w:styleId="87">
    <w:name w:val="正文2 字符"/>
    <w:link w:val="88"/>
    <w:qFormat/>
    <w:uiPriority w:val="0"/>
    <w:rPr>
      <w:kern w:val="2"/>
      <w:sz w:val="21"/>
      <w:szCs w:val="24"/>
    </w:rPr>
  </w:style>
  <w:style w:type="paragraph" w:customStyle="1" w:styleId="88">
    <w:name w:val="正文2"/>
    <w:basedOn w:val="1"/>
    <w:link w:val="87"/>
    <w:qFormat/>
    <w:uiPriority w:val="0"/>
    <w:pPr>
      <w:ind w:firstLine="420"/>
    </w:pPr>
    <w:rPr>
      <w:rFonts w:ascii="Times New Roman" w:hAnsi="Times New Roman"/>
      <w:sz w:val="21"/>
    </w:rPr>
  </w:style>
  <w:style w:type="character" w:customStyle="1" w:styleId="89">
    <w:name w:val="font41"/>
    <w:qFormat/>
    <w:uiPriority w:val="0"/>
    <w:rPr>
      <w:rFonts w:hint="eastAsia" w:ascii="宋体" w:hAnsi="宋体" w:eastAsia="宋体" w:cs="宋体"/>
      <w:color w:val="000000"/>
      <w:sz w:val="21"/>
      <w:szCs w:val="21"/>
      <w:u w:val="none"/>
    </w:rPr>
  </w:style>
  <w:style w:type="character" w:customStyle="1" w:styleId="90">
    <w:name w:val="批注框文本 字符"/>
    <w:semiHidden/>
    <w:qFormat/>
    <w:uiPriority w:val="99"/>
    <w:rPr>
      <w:rFonts w:ascii="宋体" w:hAnsi="宋体"/>
      <w:kern w:val="2"/>
      <w:sz w:val="18"/>
      <w:szCs w:val="18"/>
    </w:rPr>
  </w:style>
  <w:style w:type="character" w:customStyle="1" w:styleId="91">
    <w:name w:val="副标题 Char1"/>
    <w:qFormat/>
    <w:uiPriority w:val="0"/>
    <w:rPr>
      <w:rFonts w:ascii="Calibri Light" w:hAnsi="Calibri Light" w:cs="Times New Roman"/>
      <w:b/>
      <w:bCs/>
      <w:kern w:val="28"/>
      <w:sz w:val="32"/>
      <w:szCs w:val="32"/>
    </w:rPr>
  </w:style>
  <w:style w:type="character" w:customStyle="1" w:styleId="92">
    <w:name w:val="批注文字 字符"/>
    <w:qFormat/>
    <w:uiPriority w:val="99"/>
    <w:rPr>
      <w:rFonts w:ascii="宋体" w:hAnsi="宋体"/>
      <w:kern w:val="2"/>
      <w:sz w:val="24"/>
      <w:szCs w:val="24"/>
    </w:rPr>
  </w:style>
  <w:style w:type="character" w:customStyle="1" w:styleId="93">
    <w:name w:val="文档结构图 字符"/>
    <w:semiHidden/>
    <w:qFormat/>
    <w:uiPriority w:val="99"/>
    <w:rPr>
      <w:rFonts w:ascii="Microsoft YaHei UI" w:hAnsi="宋体" w:eastAsia="Microsoft YaHei UI"/>
      <w:kern w:val="2"/>
      <w:sz w:val="18"/>
      <w:szCs w:val="18"/>
    </w:rPr>
  </w:style>
  <w:style w:type="character" w:customStyle="1" w:styleId="94">
    <w:name w:val="正文正文2 Char"/>
    <w:link w:val="95"/>
    <w:qFormat/>
    <w:uiPriority w:val="0"/>
    <w:rPr>
      <w:rFonts w:ascii="宋体" w:hAnsi="宋体"/>
      <w:kern w:val="2"/>
      <w:sz w:val="21"/>
      <w:szCs w:val="21"/>
    </w:rPr>
  </w:style>
  <w:style w:type="paragraph" w:customStyle="1" w:styleId="95">
    <w:name w:val="正文正文2"/>
    <w:basedOn w:val="1"/>
    <w:link w:val="94"/>
    <w:qFormat/>
    <w:uiPriority w:val="0"/>
    <w:pPr>
      <w:ind w:firstLine="460"/>
    </w:pPr>
    <w:rPr>
      <w:sz w:val="21"/>
      <w:szCs w:val="21"/>
    </w:rPr>
  </w:style>
  <w:style w:type="character" w:customStyle="1" w:styleId="96">
    <w:name w:val="页眉 字符"/>
    <w:semiHidden/>
    <w:qFormat/>
    <w:uiPriority w:val="99"/>
    <w:rPr>
      <w:rFonts w:ascii="宋体" w:hAnsi="宋体"/>
      <w:kern w:val="2"/>
      <w:sz w:val="18"/>
      <w:szCs w:val="18"/>
    </w:rPr>
  </w:style>
  <w:style w:type="character" w:customStyle="1" w:styleId="97">
    <w:name w:val="批注主题 字符"/>
    <w:semiHidden/>
    <w:qFormat/>
    <w:uiPriority w:val="99"/>
    <w:rPr>
      <w:rFonts w:ascii="宋体" w:hAnsi="宋体"/>
      <w:b/>
      <w:bCs/>
      <w:kern w:val="2"/>
      <w:sz w:val="24"/>
      <w:szCs w:val="24"/>
    </w:rPr>
  </w:style>
  <w:style w:type="character" w:customStyle="1" w:styleId="98">
    <w:name w:val="font31"/>
    <w:qFormat/>
    <w:uiPriority w:val="0"/>
    <w:rPr>
      <w:rFonts w:hint="eastAsia" w:ascii="宋体" w:hAnsi="宋体" w:eastAsia="宋体" w:cs="宋体"/>
      <w:color w:val="000000"/>
      <w:sz w:val="21"/>
      <w:szCs w:val="21"/>
      <w:u w:val="none"/>
    </w:rPr>
  </w:style>
  <w:style w:type="character" w:customStyle="1" w:styleId="99">
    <w:name w:val="标准正文 Char"/>
    <w:link w:val="100"/>
    <w:qFormat/>
    <w:uiPriority w:val="0"/>
    <w:rPr>
      <w:rFonts w:ascii="Arial" w:hAnsi="Arial"/>
      <w:kern w:val="2"/>
      <w:sz w:val="24"/>
    </w:rPr>
  </w:style>
  <w:style w:type="paragraph" w:customStyle="1" w:styleId="100">
    <w:name w:val="标准正文"/>
    <w:basedOn w:val="17"/>
    <w:link w:val="99"/>
    <w:qFormat/>
    <w:uiPriority w:val="0"/>
    <w:pPr>
      <w:spacing w:before="60" w:after="60"/>
      <w:ind w:firstLine="482" w:firstLineChars="0"/>
    </w:pPr>
    <w:rPr>
      <w:rFonts w:ascii="Arial" w:hAnsi="Arial"/>
      <w:sz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ilvl w:val="0"/>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Revision"/>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Heading"/>
    <w:basedOn w:val="2"/>
    <w:next w:val="1"/>
    <w:qFormat/>
    <w:uiPriority w:val="39"/>
    <w:pPr>
      <w:widowControl/>
      <w:numPr>
        <w:ilvl w:val="0"/>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出段落1"/>
    <w:basedOn w:val="1"/>
    <w:qFormat/>
    <w:uiPriority w:val="34"/>
    <w:pPr>
      <w:spacing w:line="240" w:lineRule="auto"/>
      <w:ind w:firstLine="420"/>
    </w:pPr>
    <w:rPr>
      <w:rFonts w:ascii="Calibri" w:hAnsi="Calibri"/>
      <w:sz w:val="21"/>
      <w:szCs w:val="22"/>
    </w:rPr>
  </w:style>
  <w:style w:type="paragraph" w:customStyle="1" w:styleId="136">
    <w:name w:val="B-表正文"/>
    <w:unhideWhenUsed/>
    <w:qFormat/>
    <w:uiPriority w:val="0"/>
    <w:pPr>
      <w:spacing w:beforeLines="0" w:afterLines="0"/>
    </w:pPr>
    <w:rPr>
      <w:rFonts w:hint="eastAsia" w:ascii="Times New Roman" w:hAnsi="Times New Roman" w:eastAsia="Times New Roman" w:cs="Times New Roman"/>
      <w:kern w:val="2"/>
      <w:sz w:val="21"/>
      <w:szCs w:val="24"/>
      <w:lang w:val="en-US" w:eastAsia="zh-CN" w:bidi="ar-SA"/>
    </w:rPr>
  </w:style>
  <w:style w:type="paragraph" w:customStyle="1" w:styleId="137">
    <w:name w:val="0表格"/>
    <w:basedOn w:val="1"/>
    <w:qFormat/>
    <w:uiPriority w:val="0"/>
    <w:pPr>
      <w:widowControl/>
      <w:spacing w:line="263" w:lineRule="atLeast"/>
      <w:jc w:val="left"/>
    </w:pPr>
    <w:rPr>
      <w:rFonts w:ascii="仿宋" w:hAnsi="仿宋" w:eastAsia="仿宋" w:cs="Calibri"/>
      <w:kern w:val="0"/>
      <w:szCs w:val="21"/>
    </w:rPr>
  </w:style>
  <w:style w:type="paragraph" w:customStyle="1" w:styleId="138">
    <w:name w:val="0table"/>
    <w:basedOn w:val="1"/>
    <w:qFormat/>
    <w:uiPriority w:val="0"/>
    <w:pPr>
      <w:spacing w:line="276" w:lineRule="auto"/>
    </w:pPr>
    <w:rPr>
      <w:rFonts w:eastAsia="仿宋"/>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7f6e2e23-1b27-470e-9c05-db06f5120be4</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25C16A99</paraID>
      <start xmlns="http://schemas.wps.cn/vas-ai-hub/contract-review">11</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ceea8d1c-e79c-4f2f-8fae-4d62c18ff0a5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47CC450B</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0093b0da-794a-4d49-97a8-d354e67e3370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47CC450B</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7e0be8ef-66c8-45d5-b358-25dede762836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13BD1881</paraID>
      <start xmlns="http://schemas.wps.cn/vas-ai-hub/contract-review">116</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0d47ef70-fc02-447b-aaaa-1a861578bcdd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13BD1881</paraID>
      <start xmlns="http://schemas.wps.cn/vas-ai-hub/contract-review">135</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1b106408-fd21-4154-88fd-76729a8a9419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13BD1881</paraID>
      <start xmlns="http://schemas.wps.cn/vas-ai-hub/contract-review">153</start>
      <end xmlns="http://schemas.wps.cn/vas-ai-hub/contract-review">154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53cf06f0-2b85-4b00-85b5-68b67035c83a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13BD1881</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bf85d46d-7bf5-4c5c-9485-d11ab517cd85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13BD1881</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942cccb9-3e74-4bd6-bf6c-79f8524af2fc</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4142AE5A</paraID>
      <start xmlns="http://schemas.wps.cn/vas-ai-hub/contract-review">9</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13f1298e-d05a-437d-8703-21e75f82175a</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75ABDE45</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f32e4317-dbbe-4059-a147-a178165cabab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78A3480E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0aa1c471-91b0-4c13-a233-3263d9bbb4a5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3BBA12C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1e4b77fa-7bf7-4f19-9493-6d8843da56ba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68A39A5B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a57dbc1b-96e1-4f26-b8a0-227550c22ade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7C1ECEBA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58533bbf-7cd8-487c-aefb-fd1f3d67b7a1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D2D413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e9ab9e0b-068e-4516-9338-8e70284d698e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7CF8FA26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876fa10e-6bf3-45a1-8a8e-32fc2cc27718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2344D057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b48e02d6-c774-4e0f-b84f-9963b4a6e6f0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13B765B8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b0af08f6-6cf6-4082-96b7-850b509082f3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70C8F9C9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f173f3bf-c92f-4bc1-a95a-2f364934005b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21B7E331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8a3b1a27-248f-482b-b05f-99ce9c471e38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6791EF3C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55caad38-af48-4161-b486-83bdd80b6700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CE1BA15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4df4a85f-d547-42f4-b206-d91b4292358c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2D6E303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b1167ab1-db62-4cd3-aff5-2d860004305d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6A5718F5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8f66ac28-cdb0-4dc6-b516-ea289718a4a2</errorID>
      <errorWord xmlns="http://schemas.wps.cn/vas-ai-hub/contract-review">进入到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进入</item>
      </candidateList>
      <explain xmlns="http://schemas.wps.cn/vas-ai-hub/contract-review">〈动〉支进到某个范围或某个时期里：～学校｜～新阶段◇～角色。</explain>
      <paraID xmlns="http://schemas.wps.cn/vas-ai-hub/contract-review">59CCF796</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12692ac3-7148-46d2-b3bb-455c7ee06dc1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BEE50F9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7d80e94e-2419-4cd7-af72-53f5d4b1656e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60C776C3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53f33263-4b75-43ba-84f6-cc422444c748</errorID>
      <errorWord xmlns="http://schemas.wps.cn/vas-ai-hub/contract-review">返回到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返回</item>
      </candidateList>
      <explain xmlns="http://schemas.wps.cn/vas-ai-hub/contract-review"/>
      <paraID xmlns="http://schemas.wps.cn/vas-ai-hub/contract-review">6B9AEE0D</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ef47b8d3-d18d-46a3-8c1d-640674a23562</errorID>
      <errorWord xmlns="http://schemas.wps.cn/vas-ai-hub/contract-review">、等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6B9AEE0D</paraID>
      <start xmlns="http://schemas.wps.cn/vas-ai-hub/contract-review">80</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016c838e-983f-4e43-8957-66e91dab64e6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4720FEE1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79279e49-8312-46b1-8b1e-844d912a8d3e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90BF7AD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e735e623-3de9-46ac-a19c-bf693e7dbfe8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2621529A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ce22a43b-02c7-4e27-958b-d2b82e66361d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3541A60E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7b1b99fb-e870-4464-8fc2-d360f7243509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58928B75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39ae3fa6-8a7c-4825-87a2-923e027d8903</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58928B75</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af00861a-fde4-436d-9ed6-203f35e0b76b</errorID>
      <errorWord xmlns="http://schemas.wps.cn/vas-ai-hub/contract-review">组组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组</item>
      </candidateList>
      <explain xmlns="http://schemas.wps.cn/vas-ai-hub/contract-review"/>
      <paraID xmlns="http://schemas.wps.cn/vas-ai-hub/contract-review">58928B75</paraID>
      <start xmlns="http://schemas.wps.cn/vas-ai-hub/contract-review">115</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43f2e238-4c67-4351-ba98-f74656773c97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7299DEE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04b23897-7a55-42df-9c81-641cfabcd0a0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1813B089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b42d7c62-171b-4678-b693-62aca14f131c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16BAA413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44b9221c-65ec-4578-9d68-ad2b36972ed2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32EBCE84</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1e822b75-d527-456f-9a89-85c66d97f228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5F686458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e0d25cf5-c50d-4184-8d62-60918726614d</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74B9BE6F</paraID>
      <start xmlns="http://schemas.wps.cn/vas-ai-hub/contract-review">135</start>
      <end xmlns="http://schemas.wps.cn/vas-ai-hub/contract-review">137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79e9b059-c08e-4813-942e-ac183a120d61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75669736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0902be1a-1873-44dd-a854-1c576d145276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46B8DB59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ce6eb14d-0892-4e35-9fe2-3bb595b2dcac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7EAA4D9C</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d6b2bfd7-7d2f-4bd1-a679-9e72fd0ce627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66BCE077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46623ad0-110c-47f3-8b3d-0d2523098ae3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54CB6AD5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256dfaee-3307-4cd6-a2b7-8e44441634a9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73847A80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497646c2-99b7-44f7-8e32-fa08eff32e83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266D6F71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01ac9070-4862-4c0a-931d-fc8675ab482e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54D0E1BF</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a5325a28-722d-4e0a-ba57-6e536bd2c34a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5BD0E4C8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5589c5d1-648d-45f6-8e28-48e3699fb60f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AF1020A</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69ccf095-a5dd-44cb-b94c-c3192acf4236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B732CF3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896c4c70-d8ab-4f4c-88f9-0ee5d9387132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6214B45B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beb008c8-6f57-41d6-8a89-cb3f1b8baced</errorID>
      <errorWord xmlns="http://schemas.wps.cn/vas-ai-hub/contract-review">、等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2C9194B7</paraID>
      <start xmlns="http://schemas.wps.cn/vas-ai-hub/contract-review">48</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42bd66d7-c237-4127-83f1-7781bcfa38fd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6413F14B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4b8bb1c9-0a7d-4266-bbe9-288d7a35cd3a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57540B0C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3c6be9d1-ae0d-4578-93a4-004293773c79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50EEA776</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7ad98460-26cc-4852-b7e9-bf9a46539d3a</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29895752</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f0949f2f-a4d0-4085-a6dd-cf9ca9db4ead</errorID>
      <errorWord xmlns="http://schemas.wps.cn/vas-ai-hub/contract-review">节点不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节点</item>
      </candidateList>
      <explain xmlns="http://schemas.wps.cn/vas-ai-hub/contract-review"/>
      <paraID xmlns="http://schemas.wps.cn/vas-ai-hub/contract-review">29895752</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09591a10-7c80-44bd-9fe8-c1e273220427</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xmlns="http://schemas.wps.cn/vas-ai-hub/contract-review">7370A3DD</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0baac101-41a3-46ec-99c4-47f3a77eda58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7370A3DD</paraID>
      <start xmlns="http://schemas.wps.cn/vas-ai-hub/contract-review">24</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e7048c86-59a9-45a2-a32a-d852f59848a6</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7370A3DD</paraID>
      <start xmlns="http://schemas.wps.cn/vas-ai-hub/contract-review">91</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0f2e9da2-a5db-4245-980e-6aeae6b5d0dc</errorID>
      <errorWord xmlns="http://schemas.wps.cn/vas-ai-hub/contract-review">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成具</item>
      </candidateList>
      <explain xmlns="http://schemas.wps.cn/vas-ai-hub/contract-review"/>
      <paraID xmlns="http://schemas.wps.cn/vas-ai-hub/contract-review">7370A3DD</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103d750e-886e-4e5e-b5fe-62753230fb02</errorID>
      <errorWord xmlns="http://schemas.wps.cn/vas-ai-hub/contract-review">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等提</item>
      </candidateList>
      <explain xmlns="http://schemas.wps.cn/vas-ai-hub/contract-review"/>
      <paraID xmlns="http://schemas.wps.cn/vas-ai-hub/contract-review">7370A3DD</paraID>
      <start xmlns="http://schemas.wps.cn/vas-ai-hub/contract-review">165</start>
      <end xmlns="http://schemas.wps.cn/vas-ai-hub/contract-review">166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14f984ce-dad8-4262-a2ad-d5941dadc347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22A9C937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4bd9a894-1e40-4185-8120-810b4218d9d8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22374E53</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1600eb1f-8746-44d1-80bd-155ee9a8107c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B77617C</paraID>
      <start xmlns="http://schemas.wps.cn/vas-ai-hub/contract-review">55</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e7fbfe1b-783e-4121-ba06-a06d4451c331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755E23F3</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7ffee1da-63f0-4fa7-8a50-2ee5b0b77170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47EAD932</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d113663f-a8ac-4654-806f-75c44cd4572b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11B31FB7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074f65af-01d2-4dec-8881-755ce30fd615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7C1B6A3C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91bc7468-1bf5-4aed-9df6-dc798d836480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3C9760EA</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41981c4b-e472-4515-aefa-590485d7dab8</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，或者</item>
      </candidateList>
      <explain xmlns="http://schemas.wps.cn/vas-ai-hub/contract-review"/>
      <paraID xmlns="http://schemas.wps.cn/vas-ai-hub/contract-review">4E774725</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5fbb04d6-aeae-429c-ac9b-bca843e844ff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42BA0197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aa91af5d-2ca3-4345-821c-9def2b1c6af6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4C84F148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c3bec2ba-1b2e-4187-ba4f-0dd337834856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7A5D08F4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e6910822-a988-4641-8b55-52984e06581a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F1CA877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0e1b10d4-6baa-4c6b-81d7-f837eb479778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178CD98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93fc7376-3ff8-41bf-80d5-de5b8fcc65ca</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 178CD98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d932acf1-138e-40d4-a19e-0dd580933438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7275f6e1-3065-4030-b8d0-0755ea41939c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66ecbfc2-5f4b-43bd-8173-25c350606bc7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61c2de65-f502-4443-b909-9f8c312d3a99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8c695325-05db-4898-b571-f1e08c0694ca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4c57bf98-5d1c-497c-9858-2fb91ffa12de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6B6A3282</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e02e6cb0-2817-43ff-a356-186438bf11aa</errorID>
      <errorWord xmlns="http://schemas.wps.cn/vas-ai-hub/contract-review">建设周期为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建设周期</item>
      </candidateList>
      <explain xmlns="http://schemas.wps.cn/vas-ai-hub/contract-review"/>
      <paraID xmlns="http://schemas.wps.cn/vas-ai-hub/contract-review">4DFBC8BB</paraID>
      <start xmlns="http://schemas.wps.cn/vas-ai-hub/contract-review">1</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f9b3b7d8-a027-41c5-90ab-dc82c63a5bf4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7707B623</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37e7e1b7-1aa5-4654-ae8c-4bf63aab7461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7707B623</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c9af4382-bdee-4f41-8b58-5080e850edd3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7707B623</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2fe7ffa9-7b17-445d-ac10-be07ef96a6c1</errorID>
      <errorWord xmlns="http://schemas.wps.cn/vas-ai-hub/contract-review">月15前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月15日前</item>
      </candidateList>
      <explain xmlns="http://schemas.wps.cn/vas-ai-hub/contract-review"/>
      <paraID xmlns="http://schemas.wps.cn/vas-ai-hub/contract-review"> 4D3C59D</paraID>
      <start xmlns="http://schemas.wps.cn/vas-ai-hub/contract-review">12</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1a48da81-b1d6-4e89-911a-ad77609b3470</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389A041F</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c797477d-93b9-4abf-b968-fb935cd71232</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6729582E</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4f169c65-a5dd-4a17-a53f-be48236a834e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32B054B5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f33ff7d6-4ee9-4af8-aef5-0f64aeb724a4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32B054B5</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35450fcc-8179-4860-bc52-a4493c36d2cb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3A1C709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b9274042-f4c8-4639-b7c4-59a7d95bcf1a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50C1B14C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4275648b-9eb6-473e-976d-8e8c4bffd81f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1B67CB17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9fa532ab-f6fb-4bc3-b4b1-b83e256a48e5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4AE334F3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c5a07af1-5d33-4c54-818b-6da3222dbfe9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69296379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7e85dc27-6040-4024-b9ee-3819a7755c19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32BCE720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6b3a1ddd-6f5c-4dd0-882b-9633f69bee65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5A606AE3</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54573281-e479-4cc0-8a39-9799781dbb64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5A606AE3</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becc87aa-479e-43d4-b102-abb98516906e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5A606AE3</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bb01c43f-0cf9-4dd3-97d3-bd52e38f5755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5A606AE3</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f73c71af-17b3-43bc-b483-0a380ad7b36d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4F39ABD9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f92a6ea1-5069-44df-aafc-e088c52dc6ee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4F39ABD9</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c6d44c7c-b63a-4106-b404-79233dd40987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4B807CBE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9e81afee-20b9-426f-99ac-bb0dab6839dd</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4B807CBE</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a7998298-db0a-4fe0-9e93-785215ded8b6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58255470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8def9d26-3a9c-4b8d-ae00-08164c690886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79D37465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6e9bbf27-aac4-4c51-b0c9-a5f44ee1022d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262481B4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fe65adff-5355-4c8e-9a89-36cda841a395</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7B3F1C53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115c24c8-fad4-41ea-9df4-48615d741448</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6EECF643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4fc632ac-cb85-4eb8-86d4-ad74ef803f64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73C4AC8A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3114172a-115a-4069-9e62-5b9ef1512cdc</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73C4AC8A</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e86c33e7-bcc1-4412-ae23-e072db3b43cf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35E70D75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2ebea7f9-fe95-453d-909e-e01b54f6f018</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5077ECDE</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0576b5b2-993c-4568-886e-563ecc6fd9b6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1662B6FF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9785d5c7-87cb-4d05-a72c-caa035a41342</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11452025</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f488a8b9-8513-4935-9597-3556b630578c</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11452025</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068df7f8-118c-4715-9d03-f12fc7fff9ba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11452025</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bf067494-eb1d-4ba1-b030-044fd63ee2a6</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556C4458</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e678a30a-5b8c-4b52-8b0e-c25183a35232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283AAD0A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a39a728c-6ae7-401d-8c6e-a670fb4b7da7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5999FEED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3ee8f697-5831-4d49-8774-da64d5b1c32f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1282E0B4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dfba4cf3-ae3a-4d8b-93f6-8ce56da5ee6c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361B37BB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7ff4ce7d-c195-4d43-8f44-0c2ec93ab82f</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理服</item>
      </candidateList>
      <explain xmlns="http://schemas.wps.cn/vas-ai-hub/contract-review"/>
      <paraID xmlns="http://schemas.wps.cn/vas-ai-hub/contract-review">72CC85ED</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68dbcef4-81a6-4a54-97ed-94432a384b53}">
  <ds:schemaRefs/>
</ds:datastoreItem>
</file>

<file path=docProps/app.xml><?xml version="1.0" encoding="utf-8"?>
<Properties xmlns="http://schemas.openxmlformats.org/officeDocument/2006/extended-properties" xmlns:vt="http://schemas.openxmlformats.org/officeDocument/2006/docPropsVTypes">
  <Pages>25</Pages>
  <Words>3029</Words>
  <Characters>3118</Characters>
  <Lines>65</Lines>
  <Paragraphs>18</Paragraphs>
  <TotalTime>170</TotalTime>
  <ScaleCrop>false</ScaleCrop>
  <LinksUpToDate>false</LinksUpToDate>
  <CharactersWithSpaces>3124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2023-01-04T17:54:00Z</dcterms:created>
  <dc:creator>gtig_tzb</dc:creator>
  <cp:lastModifiedBy>user</cp:lastModifiedBy>
  <cp:lastPrinted>2025-12-13T00:54:00Z</cp:lastPrinted>
  <dcterms:modified xsi:type="dcterms:W3CDTF">2026-01-14T14:47:30Z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C95C435C8DD21B98F20B3969FDAF8888_43</vt:lpwstr>
  </property>
  <property fmtid="{D5CDD505-2E9C-101B-9397-08002B2CF9AE}" pid="4" name="KSOTemplateDocerSaveRecord">
    <vt:lpwstr>eyJoZGlkIjoiY2U2ZjliNDdiOTk0MmY5NDBhMWEwYWQwOWExNjRhNWUiLCJ1c2VySWQiOiI2NjQyMTk2NDEifQ==</vt:lpwstr>
  </property>
</Properties>
</file>