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BFE4F">
      <w:pPr>
        <w:pStyle w:val="2"/>
        <w:numPr>
          <w:ilvl w:val="0"/>
          <w:numId w:val="0"/>
        </w:numPr>
        <w:ind w:left="425"/>
        <w:jc w:val="center"/>
        <w:rPr>
          <w:rFonts w:hint="eastAsia"/>
        </w:rPr>
      </w:pPr>
      <w:bookmarkStart w:id="0" w:name="_Toc63785461"/>
      <w:r>
        <w:rPr>
          <w:rFonts w:hint="eastAsia"/>
        </w:rPr>
        <w:t>上海市交通行业数智能力子系统新建项目</w:t>
      </w:r>
    </w:p>
    <w:p w14:paraId="13C1966E">
      <w:pPr>
        <w:pStyle w:val="2"/>
        <w:numPr>
          <w:ilvl w:val="0"/>
          <w:numId w:val="0"/>
        </w:numPr>
        <w:ind w:left="425"/>
        <w:jc w:val="center"/>
        <w:rPr>
          <w:rFonts w:hint="eastAsia"/>
        </w:rPr>
      </w:pPr>
      <w:r>
        <w:rPr>
          <w:rFonts w:hint="eastAsia"/>
        </w:rPr>
        <w:t>采购需求</w:t>
      </w:r>
    </w:p>
    <w:p w14:paraId="3221DE6F">
      <w:pPr>
        <w:pStyle w:val="2"/>
        <w:ind w:left="424" w:hanging="422" w:hangingChars="132"/>
        <w:rPr>
          <w:rFonts w:hint="eastAsia"/>
        </w:rPr>
      </w:pPr>
      <w:r>
        <w:rPr>
          <w:rFonts w:hint="eastAsia"/>
        </w:rPr>
        <w:t>项目概况</w:t>
      </w:r>
      <w:bookmarkEnd w:id="0"/>
    </w:p>
    <w:p w14:paraId="059E8C50">
      <w:pPr>
        <w:pStyle w:val="3"/>
        <w:ind w:left="1138" w:hanging="1134" w:hangingChars="378"/>
        <w:rPr>
          <w:rFonts w:hint="eastAsia"/>
        </w:rPr>
      </w:pPr>
      <w:r>
        <w:rPr>
          <w:rFonts w:hint="eastAsia"/>
        </w:rPr>
        <w:t>项目背景</w:t>
      </w:r>
    </w:p>
    <w:p w14:paraId="007AEA56">
      <w:pPr>
        <w:rPr>
          <w:rFonts w:ascii="Times New Roman" w:hAnsi="Times New Roman"/>
          <w:szCs w:val="22"/>
          <w:shd w:val="clear" w:color="auto" w:fill="FFFFFF"/>
        </w:rPr>
      </w:pPr>
      <w:r>
        <w:rPr>
          <w:rFonts w:ascii="Times New Roman" w:hAnsi="Times New Roman"/>
          <w:szCs w:val="22"/>
          <w:shd w:val="clear" w:color="auto" w:fill="FFFFFF"/>
        </w:rPr>
        <w:t>在全球数字化发展大趋势和数字时代国际大格局下，我国通过不断加大对数字化的政策支持力度，以政策引领和规范数字化建设，指导各行各业逐步实现数字化转型，把握全球数字化发展新机遇。党的二十大明确提出，建设现代化产业体系，坚持把发展经济的着力点放在实体经济上，推进新型工业化，加快建设制造强国、质量强国、航天强国、交通强国、网络强国和数字中国。在交通运输领域，推动数字经济和实体经济深度融合发展，已成为交通强国建设的重要抓手。交通数字化建设也步入快车道，国家、地方纷纷出台数字化发展规划，提出运用数字化手段提升交通服务水平，包括党中央国务院发布关于加快建设科技强国、交通强国、数字中国战略部署，印发《数字中国建设整体布局规划》《中共中央国务院关于构建数据基础制度更好发挥数据要素作用的意见》，交通运输部印发《交通强国建设纲要》《推进综合交通运输大数据发展行动纲要（2020-2025年）》《数字交通“十四五”发展规划》，上海市委、市政府印发《上海市全面推进城市数字化转型“十四五”规划》《上海市促进城市数字化转型的若干政策措施》《上海市加快推进数据治理促进公共数据应用实施方案》《2023年上海市城市数字化转型重点工作安排》，上海市交通委印发《上海市交通委员会”一网统管”建设三年行动计划（2023-2025年）》《上海市交通行业数字化转型实施意见（2024-2026）》。在交通运输领域，推动数字经济和实体经济深度融合发展，推动交通基础设施数字化转型升级，已成为交通强国建设的重要抓手。本项目是为贯彻落实国家和上海市对交通数字化发展的战略规划，推进新型城市建设、推行城市运行“一网统管”的总体要求，以数字化驱动生产生活和治理方式变革，深入践行人民城市重要理念，巩固上一轮交通行业“一网统管”建设成果和传承发扬建设经验，进一步深化本市交通行业管理全面数字化转型进程。</w:t>
      </w:r>
    </w:p>
    <w:p w14:paraId="067C8D42">
      <w:pPr>
        <w:rPr>
          <w:rFonts w:ascii="Times New Roman" w:hAnsi="Times New Roman"/>
          <w:szCs w:val="22"/>
          <w:shd w:val="clear" w:color="auto" w:fill="FFFFFF"/>
        </w:rPr>
      </w:pPr>
      <w:r>
        <w:rPr>
          <w:rFonts w:ascii="Times New Roman" w:hAnsi="Times New Roman"/>
          <w:szCs w:val="22"/>
          <w:shd w:val="clear" w:color="auto" w:fill="FFFFFF"/>
        </w:rPr>
        <w:t>AI大模型在全球拉开了革新的序幕，以前所未有的方式，颠覆各行各业并改变我们的生活。国家和上海市针对推进大模型发展和应用落地，出台了一系列政策文件和战略规划，体现了将大模型作为推动产业升级、提升国际竞争力和发展新质生产力的核心驱动力。</w:t>
      </w:r>
      <w:r>
        <w:rPr>
          <w:rFonts w:ascii="Times New Roman" w:hAnsi="Times New Roman"/>
          <w:b/>
          <w:bCs/>
          <w:szCs w:val="22"/>
          <w:shd w:val="clear" w:color="auto" w:fill="FFFFFF"/>
        </w:rPr>
        <w:t>大模型迎来爆发式发展，也开辟新的交通数据应用和交通业务应用场景。</w:t>
      </w:r>
      <w:r>
        <w:rPr>
          <w:rFonts w:ascii="Times New Roman" w:hAnsi="Times New Roman"/>
          <w:szCs w:val="22"/>
          <w:shd w:val="clear" w:color="auto" w:fill="FFFFFF"/>
        </w:rPr>
        <w:t>交通出行作为人民群众生活的基本需求，具有与人工智能深度交叉融合的广阔应用场景，更好发掘交通数据价值，满足人民群众对美好出行的需求。</w:t>
      </w:r>
    </w:p>
    <w:p w14:paraId="7343D04D">
      <w:pPr>
        <w:ind w:firstLine="482"/>
        <w:rPr>
          <w:rFonts w:ascii="Times New Roman" w:hAnsi="Times New Roman"/>
          <w:szCs w:val="22"/>
          <w:shd w:val="clear" w:color="auto" w:fill="FFFFFF"/>
        </w:rPr>
      </w:pPr>
      <w:r>
        <w:rPr>
          <w:rFonts w:ascii="Times New Roman" w:hAnsi="Times New Roman"/>
          <w:b/>
          <w:bCs/>
          <w:szCs w:val="22"/>
          <w:shd w:val="clear" w:color="auto" w:fill="FFFFFF"/>
        </w:rPr>
        <w:t>本市公共数据开发利用持续向更广范围、更深层次、更高质量迈进。</w:t>
      </w:r>
      <w:r>
        <w:rPr>
          <w:rFonts w:ascii="Times New Roman" w:hAnsi="Times New Roman"/>
          <w:szCs w:val="22"/>
          <w:shd w:val="clear" w:color="auto" w:fill="FFFFFF"/>
        </w:rPr>
        <w:t>交通行业也亟需要通过建设高质量数据集，更好支撑各类业务应用，本项目通过数据融合治理，积累大量高质量行业数据，建立高质量数据集，提升数据的准确性、完整性和时效性，更好支撑交通行业核心业务应用。此外，政策和产业层面高度重视和积极推进可信数据空间，可以通过构建安全可信的数据共享环境，解决交通领域“数据孤岛”和隐私保护难题，促进跨部门、跨区域的多源交通数据的高效整合与合规流通。</w:t>
      </w:r>
    </w:p>
    <w:p w14:paraId="0B9B0F92">
      <w:pPr>
        <w:rPr>
          <w:rFonts w:ascii="Times New Roman" w:hAnsi="Times New Roman"/>
          <w:szCs w:val="22"/>
          <w:shd w:val="clear" w:color="auto" w:fill="FFFFFF"/>
        </w:rPr>
      </w:pPr>
      <w:r>
        <w:rPr>
          <w:rFonts w:ascii="Times New Roman" w:hAnsi="Times New Roman"/>
          <w:szCs w:val="22"/>
          <w:shd w:val="clear" w:color="auto" w:fill="FFFFFF"/>
        </w:rPr>
        <w:t>目前，上海市交通委已形成一系列信息化平台成果，建成上海交通行业数据中心、上海市交通运行监测和应急指挥省级平台、“云路中心”等，初步完成交通行业的信息化系统整合和数据汇集工作，实现与长三角地区毗邻地市的部分信息和业务互联。</w:t>
      </w:r>
      <w:r>
        <w:rPr>
          <w:rFonts w:ascii="Times New Roman" w:hAnsi="Times New Roman"/>
          <w:b/>
          <w:bCs/>
          <w:szCs w:val="22"/>
          <w:shd w:val="clear" w:color="auto" w:fill="FFFFFF"/>
        </w:rPr>
        <w:t>上海市交通委与大数据中心（四分中心）依托市电子政务云及其基础支撑服务体系，联合开展了交通行业数据融合治理服务</w:t>
      </w:r>
      <w:r>
        <w:rPr>
          <w:rFonts w:ascii="Times New Roman" w:hAnsi="Times New Roman"/>
          <w:szCs w:val="22"/>
          <w:shd w:val="clear" w:color="auto" w:fill="FFFFFF"/>
        </w:rPr>
        <w:t>，通过整合委内外数据资产，促进数据深度融合组织，建立数据质量监测及溯源体系，实现对数据质量的可视化管理，实现跨部门、跨系统、跨平台的融合数据及融合数据能力共享，支持数据应用，实现了初步的“数聚、数治、数融、数享”。</w:t>
      </w:r>
      <w:r>
        <w:rPr>
          <w:rFonts w:ascii="Times New Roman" w:hAnsi="Times New Roman"/>
          <w:b/>
          <w:bCs/>
          <w:szCs w:val="22"/>
          <w:shd w:val="clear" w:color="auto" w:fill="FFFFFF"/>
        </w:rPr>
        <w:t>但是随着治理服务的深入，其不足和落实实体化平台的必要性更加显露</w:t>
      </w:r>
      <w:r>
        <w:rPr>
          <w:rFonts w:ascii="Times New Roman" w:hAnsi="Times New Roman"/>
          <w:szCs w:val="22"/>
          <w:shd w:val="clear" w:color="auto" w:fill="FFFFFF"/>
        </w:rPr>
        <w:t>：一是业务需求多元复杂，服务模式难以为继，原人工对接的定制化服务聚焦结构化数据表关联，仅适用于小规模单一需求场景，随着数字化转型，行业内外对多维度数据可视化、地图空间分析、自主建模能力需求激增，传统模式效率低、成本高，亟需构建高效灵活的服务体系；二是数据加工标准缺失，传统开发效率受阻，过往数据融合项目依赖技术人员经验开发，导致数据分析规范不一、效率差异大，面对数据处理量大幅增长，唯有建设实体化平台，统一数据标准与开发流程，才能实现数据处理标准化，提升工作效能；三是数据开放模式多元，现有条件安全难保，治理服务项目探索的是“外数内用”的模式，而当前需要考虑“外数内用”、“内数外用”，甚至“外数外用”等各类混合模式，数据共享过程中安全风险加剧，需通过实体化平台完善权限管理、加密传输等机制，保障数据安全共享，释放数据价值。</w:t>
      </w:r>
    </w:p>
    <w:p w14:paraId="56B11659">
      <w:pPr>
        <w:rPr>
          <w:rFonts w:ascii="Times New Roman" w:hAnsi="Times New Roman"/>
          <w:szCs w:val="22"/>
          <w:shd w:val="clear" w:color="auto" w:fill="FFFFFF"/>
        </w:rPr>
      </w:pPr>
      <w:r>
        <w:rPr>
          <w:rFonts w:ascii="Times New Roman" w:hAnsi="Times New Roman"/>
          <w:szCs w:val="22"/>
          <w:shd w:val="clear" w:color="auto" w:fill="FFFFFF"/>
        </w:rPr>
        <w:t>总的来说，目前上海市交通行业存在着为跨部门跨地区数据对接和联动管理、提供行业业务高质量数据集服务、充分释放行业数据要素价值、加快推进数据可信流通赋能更多场景的迫切需求。本项目旨在通过跨领域、跨层级、跨地区的交通行业数据资源汇聚，数据治理功能完善，数智能力强化，数据服务深化，满足为行业发展提供数据支撑、完善交通数据知识体系、提高数据应用效率、综合交通运行监测和应急指挥调度、长三角一体化发展的需要，推动实现上海市交通行业数治能力持续提升，行业治理数字化转型基本成形，全息感知和协同管控能力稳步提升，安全风险预防和应急处置能力大幅增强。</w:t>
      </w:r>
    </w:p>
    <w:p w14:paraId="2DF8CA3E">
      <w:pPr>
        <w:rPr>
          <w:rFonts w:hint="eastAsia"/>
        </w:rPr>
      </w:pPr>
      <w:r>
        <w:rPr>
          <w:rFonts w:ascii="Times New Roman" w:hAnsi="Times New Roman"/>
          <w:szCs w:val="22"/>
          <w:shd w:val="clear" w:color="auto" w:fill="FFFFFF"/>
        </w:rPr>
        <w:t>因此，加快在交通行业数据要素深度融合利用，建设上海市交通行业数智能力，作为交通数字化转型的重要一环，即是顺应数字化、人工智能发展大潮，深入贯彻党中央决策部署，对于提升交通行业服务质量、促进交通运输一体化发展也具有重要意义。</w:t>
      </w:r>
    </w:p>
    <w:p w14:paraId="37B97466">
      <w:pPr>
        <w:pStyle w:val="3"/>
        <w:ind w:left="1138" w:hanging="1134" w:hangingChars="378"/>
        <w:rPr>
          <w:rFonts w:hint="eastAsia"/>
        </w:rPr>
      </w:pPr>
      <w:r>
        <w:rPr>
          <w:rFonts w:hint="eastAsia"/>
        </w:rPr>
        <w:t>建设需求</w:t>
      </w:r>
    </w:p>
    <w:p w14:paraId="33F98A52">
      <w:pPr>
        <w:rPr>
          <w:rFonts w:hint="eastAsia"/>
        </w:rPr>
      </w:pPr>
      <w:r>
        <w:rPr>
          <w:shd w:val="clear" w:color="auto" w:fill="FFFFFF"/>
        </w:rPr>
        <w:t>本项目需要在上海交通行业数据融合治理服务项目基础上，围绕“拓宽数聚、完善数治、强化数能、深化数服”四大方向，进一步扩展</w:t>
      </w:r>
      <w:r>
        <w:rPr>
          <w:rFonts w:hint="eastAsia"/>
          <w:shd w:val="clear" w:color="auto" w:fill="FFFFFF"/>
        </w:rPr>
        <w:t>行业</w:t>
      </w:r>
      <w:r>
        <w:rPr>
          <w:shd w:val="clear" w:color="auto" w:fill="FFFFFF"/>
        </w:rPr>
        <w:t>数据接入、融合治理，形成行业高质量数据集、绘制交通一张图、搭建交通行业通用大模型和垂类智能体等建设内容</w:t>
      </w:r>
      <w:r>
        <w:rPr>
          <w:rFonts w:hint="eastAsia"/>
          <w:shd w:val="clear" w:color="auto" w:fill="FFFFFF"/>
        </w:rPr>
        <w:t>，构筑数、图、模一体化的行业综合能力平台，为行业</w:t>
      </w:r>
      <w:r>
        <w:rPr>
          <w:shd w:val="clear" w:color="auto" w:fill="FFFFFF"/>
        </w:rPr>
        <w:t>智慧化决策、精细化管理</w:t>
      </w:r>
      <w:r>
        <w:rPr>
          <w:rFonts w:hint="eastAsia"/>
          <w:shd w:val="clear" w:color="auto" w:fill="FFFFFF"/>
        </w:rPr>
        <w:t>应用</w:t>
      </w:r>
      <w:r>
        <w:rPr>
          <w:shd w:val="clear" w:color="auto" w:fill="FFFFFF"/>
        </w:rPr>
        <w:t>提供更</w:t>
      </w:r>
      <w:r>
        <w:rPr>
          <w:rFonts w:hint="eastAsia"/>
          <w:shd w:val="clear" w:color="auto" w:fill="FFFFFF"/>
        </w:rPr>
        <w:t>为全面的</w:t>
      </w:r>
      <w:r>
        <w:rPr>
          <w:shd w:val="clear" w:color="auto" w:fill="FFFFFF"/>
        </w:rPr>
        <w:t>数字化支撑。</w:t>
      </w:r>
    </w:p>
    <w:p w14:paraId="523EFC86">
      <w:pPr>
        <w:pStyle w:val="4"/>
        <w:numPr>
          <w:ilvl w:val="0"/>
          <w:numId w:val="2"/>
        </w:numPr>
        <w:ind w:firstLineChars="0"/>
        <w:rPr>
          <w:rFonts w:hint="eastAsia"/>
        </w:rPr>
      </w:pPr>
      <w:r>
        <w:rPr>
          <w:rFonts w:hint="eastAsia"/>
        </w:rPr>
        <w:t>数据层-行业数据资源拓展</w:t>
      </w:r>
    </w:p>
    <w:p w14:paraId="556A8349">
      <w:pPr>
        <w:rPr>
          <w:rFonts w:ascii="Times New Roman" w:hAnsi="Times New Roman"/>
          <w:szCs w:val="22"/>
        </w:rPr>
      </w:pPr>
      <w:r>
        <w:rPr>
          <w:rFonts w:hint="eastAsia" w:ascii="Times New Roman" w:hAnsi="Times New Roman"/>
          <w:szCs w:val="22"/>
        </w:rPr>
        <w:t>为了满足交通行业对多源异构数据整合与高效利用的需求，需要增强数据资源拓展建设，具体功能包括：建立面向多源、异构、分层的数据接入机制，支持数据的物理汇聚和逻辑汇聚，涵盖文件系统、关系数据库、大数据云服务等多种数据源；对接市大数据中心、委内业务数据、行业内重点企业数据等多源数据，实现数据的集中管理和共享；对源数据进行验证和例行监测，确保数据的准确性和完整性。拟通过这些功能的建设，实现为交通行业的数字化转型提供丰富且高质量的数据基础，为后续的数据治理和应用提供坚实保障。</w:t>
      </w:r>
    </w:p>
    <w:p w14:paraId="723B62DB">
      <w:pPr>
        <w:pStyle w:val="4"/>
        <w:numPr>
          <w:ilvl w:val="0"/>
          <w:numId w:val="2"/>
        </w:numPr>
        <w:ind w:firstLineChars="0"/>
        <w:rPr>
          <w:rFonts w:hint="eastAsia"/>
        </w:rPr>
      </w:pPr>
      <w:r>
        <w:rPr>
          <w:rFonts w:hint="eastAsia"/>
        </w:rPr>
        <w:t>数据层-行业数据融合治理</w:t>
      </w:r>
    </w:p>
    <w:p w14:paraId="6B4C5581">
      <w:pPr>
        <w:rPr>
          <w:rFonts w:ascii="Times New Roman" w:hAnsi="Times New Roman"/>
          <w:szCs w:val="22"/>
        </w:rPr>
      </w:pPr>
      <w:r>
        <w:rPr>
          <w:rFonts w:hint="eastAsia" w:ascii="Times New Roman" w:hAnsi="Times New Roman"/>
          <w:szCs w:val="22"/>
        </w:rPr>
        <w:t>为了满足交通行业对数据质量提升与规范化管理的需求，需要加强数据融合治理建设，具体功能包括：构建数据分级分类工具集，实现数据的标准化处理，通过可视化任务创建向导、智能任务推荐、多维度实时监控等功能，确保分级分类工作的高效、规范运行；建立数据质量统计、检验规则类型分布、核验任务更新状态分布等功能，对数据进行全方位的质量检测和优化；通过主数据定义字典管理、业务规范管理、表规范管理等功能，实现对交通行业主数据的规范化管理，确保数据的一致性和准确性。拟通过这些功能的建设，实现提升数据的质量和可用性，满足交通行业对数据治理的高标准要求，为交通行业的精细化管理和决策提供高质量的数据支持。</w:t>
      </w:r>
    </w:p>
    <w:p w14:paraId="6A793012">
      <w:pPr>
        <w:pStyle w:val="4"/>
        <w:numPr>
          <w:ilvl w:val="0"/>
          <w:numId w:val="2"/>
        </w:numPr>
        <w:ind w:firstLineChars="0"/>
        <w:rPr>
          <w:rFonts w:hint="eastAsia"/>
        </w:rPr>
      </w:pPr>
      <w:r>
        <w:rPr>
          <w:rFonts w:hint="eastAsia"/>
        </w:rPr>
        <w:t>数据层-行业数据融合库建设</w:t>
      </w:r>
    </w:p>
    <w:p w14:paraId="46360645">
      <w:pPr>
        <w:rPr>
          <w:rFonts w:ascii="Times New Roman" w:hAnsi="Times New Roman"/>
          <w:szCs w:val="22"/>
        </w:rPr>
      </w:pPr>
      <w:r>
        <w:rPr>
          <w:rFonts w:hint="eastAsia" w:ascii="Times New Roman" w:hAnsi="Times New Roman"/>
          <w:szCs w:val="22"/>
        </w:rPr>
        <w:t>为了满足交通行业对数据深度整合与高效利用的需求，需要建设行业数据融合库，具体功能包括：构建线路对象库、视频对象库、运行监测设施对象库等，涵盖公交线路、客运线路、视频信息、监测设施等多维度数据，为交通业务提供全面的对象数据支持；建立人员关系库、车辆关系库、企业关系库等，实现人员与车辆、企业与车辆等之间的关联关系管理，为交通行业的人员和车辆管理提供关联数据支持；通过交通人员标签库、交通车辆标签库、交通企业标签库等，对交通行业各类对象进行精细化标签管理，提升数据的分析和应用价值。拟通过这些功能的建设，实现为交通业务提供全面的数据支持，为交通行业的智能化管理和决策提供丰富的数据资源。</w:t>
      </w:r>
    </w:p>
    <w:p w14:paraId="219B55D7">
      <w:pPr>
        <w:pStyle w:val="4"/>
        <w:numPr>
          <w:ilvl w:val="0"/>
          <w:numId w:val="2"/>
        </w:numPr>
        <w:ind w:firstLineChars="0"/>
        <w:rPr>
          <w:rFonts w:hint="eastAsia"/>
        </w:rPr>
      </w:pPr>
      <w:r>
        <w:rPr>
          <w:rFonts w:hint="eastAsia"/>
        </w:rPr>
        <w:t>数据层-交通行业空间库建设</w:t>
      </w:r>
    </w:p>
    <w:p w14:paraId="5F38EB9A">
      <w:pPr>
        <w:rPr>
          <w:rFonts w:ascii="Times New Roman" w:hAnsi="Times New Roman"/>
          <w:szCs w:val="22"/>
        </w:rPr>
      </w:pPr>
      <w:r>
        <w:rPr>
          <w:rFonts w:hint="eastAsia" w:ascii="Times New Roman" w:hAnsi="Times New Roman"/>
          <w:szCs w:val="22"/>
        </w:rPr>
        <w:t>为了满足交通行业空间数据分析与可视化应用的需求，需要建设交通行业空间库，具体功能包括：接入城市道路、公共交通、静态交通等基础要素数据，实现数据的标准化和融合处理，构建统一的坐标体系和空间拓扑关系；构建路网与事件、流量、气象等动态数据的时空融合关系，支持交通运行状态的实时监测和分析，为交通管理部门提供动态数据支持；建立区域与路网、航道、设施设备等的空间关系，为区域交通规划和管理提供数据支持，助力交通规划的科学性和合理性。拟通过这些功能的建设，实现为交通行业的空间数据分析和可视化应用提供统一的空间数据基础，提升交通行业的空间数据管理水平。</w:t>
      </w:r>
    </w:p>
    <w:p w14:paraId="25B34C43">
      <w:pPr>
        <w:pStyle w:val="4"/>
        <w:numPr>
          <w:ilvl w:val="0"/>
          <w:numId w:val="2"/>
        </w:numPr>
        <w:ind w:firstLineChars="0"/>
        <w:rPr>
          <w:rFonts w:hint="eastAsia"/>
        </w:rPr>
      </w:pPr>
      <w:r>
        <w:rPr>
          <w:rFonts w:hint="eastAsia"/>
        </w:rPr>
        <w:t>能力层-交通时空数据能力建设</w:t>
      </w:r>
    </w:p>
    <w:p w14:paraId="6A816D98">
      <w:pPr>
        <w:rPr>
          <w:rFonts w:ascii="Times New Roman" w:hAnsi="Times New Roman"/>
          <w:szCs w:val="22"/>
        </w:rPr>
      </w:pPr>
      <w:r>
        <w:rPr>
          <w:rFonts w:hint="eastAsia" w:ascii="Times New Roman" w:hAnsi="Times New Roman"/>
          <w:szCs w:val="22"/>
        </w:rPr>
        <w:t>为了满足交通行业智能化决策对时空数据高效分析和应用的需求，需要建设交通时空数据能力，具体功能包括：代理市“一张图”平台的时空底图服务、时空功能服务和时空数据服务，为交通业务提供时空数据支持；提供时空分布分析能力，包括OD分析、要素聚合、时空热点等功能，支持交通流量、设施服务范围等分析；发布交通行业专题查询服务，提供城市道路、公共交通、静态交通等要素的查询和分析服务。拟通过这些功能的建设，实现提供交通时空数据的高效分析和应用能力，支持交通行业的智能化决策，为交通管理部门提供科学的决策依据。</w:t>
      </w:r>
    </w:p>
    <w:p w14:paraId="02565676">
      <w:pPr>
        <w:pStyle w:val="4"/>
        <w:numPr>
          <w:ilvl w:val="0"/>
          <w:numId w:val="2"/>
        </w:numPr>
        <w:ind w:firstLineChars="0"/>
        <w:rPr>
          <w:rFonts w:hint="eastAsia"/>
        </w:rPr>
      </w:pPr>
      <w:r>
        <w:rPr>
          <w:rFonts w:hint="eastAsia"/>
        </w:rPr>
        <w:t>能力层-高质量数据集能力建设</w:t>
      </w:r>
    </w:p>
    <w:p w14:paraId="453F921B">
      <w:pPr>
        <w:rPr>
          <w:rFonts w:ascii="Times New Roman" w:hAnsi="Times New Roman"/>
          <w:szCs w:val="22"/>
        </w:rPr>
      </w:pPr>
      <w:r>
        <w:rPr>
          <w:rFonts w:hint="eastAsia" w:ascii="Times New Roman" w:hAnsi="Times New Roman"/>
          <w:szCs w:val="22"/>
        </w:rPr>
        <w:t>为了满足不同用户对高质量数据的需求，需要建设高质量数据集能力，具体功能包括：通过字段标准化审查、分级分类一致性审查等手段，确保开放数据集的质量和合规性；对敏感数据进行动态脱敏和加密处理，保护数据隐私，同时提供多级脱敏策略配置；支持生成多种协议接口，满足不同用户的数据调用需求。拟通过这些功能的建设，实现提升数据集的质量和可用性，满足不同用户对高质量数据的需求，促进数据的共享和应用。</w:t>
      </w:r>
    </w:p>
    <w:p w14:paraId="32D4FA37">
      <w:pPr>
        <w:pStyle w:val="4"/>
        <w:numPr>
          <w:ilvl w:val="0"/>
          <w:numId w:val="2"/>
        </w:numPr>
        <w:ind w:firstLineChars="0"/>
        <w:rPr>
          <w:rFonts w:hint="eastAsia"/>
        </w:rPr>
      </w:pPr>
      <w:r>
        <w:rPr>
          <w:rFonts w:hint="eastAsia"/>
        </w:rPr>
        <w:t>服务层-数据赋能中心建设</w:t>
      </w:r>
    </w:p>
    <w:p w14:paraId="2F8FE9BF">
      <w:pPr>
        <w:rPr>
          <w:rFonts w:ascii="Times New Roman" w:hAnsi="Times New Roman"/>
          <w:szCs w:val="22"/>
        </w:rPr>
      </w:pPr>
      <w:r>
        <w:rPr>
          <w:rFonts w:hint="eastAsia" w:ascii="Times New Roman" w:hAnsi="Times New Roman"/>
          <w:szCs w:val="22"/>
        </w:rPr>
        <w:t>为了满足数据资源的有效管理和共享，提升数据资源的利用价值的需求，需要建设数据赋能中心，具体功能包括：提供数据资源态势、接入资源概览、融合资源概览等功能，实时展示数据资源的使用情况和趋势；支持精准搜索、模糊搜索、组合检索等多种检索方式，方便用户快速查找所需数据资源；提供模型数据管理、模型构建、模型资产管理和模型超市等功能，支持用户进行数据建模和分析。拟通过这些功能的建设，实现数据资源的有效管理和共享，提升数据资源的利用价值，为交通行业的数据应用提供强大的支持。</w:t>
      </w:r>
    </w:p>
    <w:p w14:paraId="3F070F17">
      <w:pPr>
        <w:pStyle w:val="4"/>
        <w:numPr>
          <w:ilvl w:val="0"/>
          <w:numId w:val="2"/>
        </w:numPr>
        <w:ind w:firstLineChars="0"/>
        <w:rPr>
          <w:rFonts w:hint="eastAsia"/>
        </w:rPr>
      </w:pPr>
      <w:r>
        <w:rPr>
          <w:rFonts w:hint="eastAsia"/>
        </w:rPr>
        <w:t>配套能力建设</w:t>
      </w:r>
    </w:p>
    <w:p w14:paraId="0CDAC2DF">
      <w:pPr>
        <w:rPr>
          <w:rFonts w:ascii="Times New Roman" w:hAnsi="Times New Roman"/>
          <w:szCs w:val="22"/>
        </w:rPr>
      </w:pPr>
      <w:r>
        <w:rPr>
          <w:rFonts w:hint="eastAsia" w:ascii="Times New Roman" w:hAnsi="Times New Roman"/>
          <w:szCs w:val="22"/>
        </w:rPr>
        <w:t>为了提升系统的整体运行效率和用户体验，需要建设配套能力，具体功能包括：实现用户账号的统一管理，支持用户全生命周期管理，包括用户信息维护、账号状态控制及安全策略实施；提供基础设施智能监控，包括主机、网络、存储和应用性能监控，确保系统的稳定运行；建立统一的服务接口管理，支持数据服务接口的全生命周期管理，包括接口定义、发布、版本控制及下线等操作。拟通过这些功能的建设，实现提升系统的整体运行效率和用户体验，为交通行业的数字化转型提供有力的技术保障。</w:t>
      </w:r>
    </w:p>
    <w:p w14:paraId="3F728C80">
      <w:pPr>
        <w:pStyle w:val="4"/>
        <w:numPr>
          <w:ilvl w:val="0"/>
          <w:numId w:val="2"/>
        </w:numPr>
        <w:ind w:firstLineChars="0"/>
        <w:rPr>
          <w:rFonts w:hint="eastAsia"/>
        </w:rPr>
      </w:pPr>
      <w:r>
        <w:rPr>
          <w:rFonts w:hint="eastAsia"/>
        </w:rPr>
        <w:t>安全部分建设</w:t>
      </w:r>
    </w:p>
    <w:p w14:paraId="2884D9C7">
      <w:pPr>
        <w:rPr>
          <w:rFonts w:ascii="Times New Roman" w:hAnsi="Times New Roman"/>
          <w:szCs w:val="22"/>
        </w:rPr>
      </w:pPr>
      <w:r>
        <w:rPr>
          <w:rFonts w:hint="eastAsia" w:ascii="Times New Roman" w:hAnsi="Times New Roman"/>
          <w:szCs w:val="22"/>
        </w:rPr>
        <w:t>为了满足交通数智系统在数据安全防护和隐私保护方面的需求，在依托市级统一安全能力的基础上，追加自建数据加工安全空间和管控平台建设。具体功能包括：实现工作台管理、用户认证、资产管控、数据脱敏及安全审计；部署密码应用体系，通过证书认证、签名验签和数据加密保障安全。拟通过这些功能的建设，构建符合等保三级的安全体系，实现系统边界、数据全生命周期防护，防范数据泄露与攻击，为交通数智系统的安全运行提供坚实保障，为数据融合、知识图谱等业务提供安全支撑。</w:t>
      </w:r>
    </w:p>
    <w:p w14:paraId="0BA36184">
      <w:pPr>
        <w:pStyle w:val="4"/>
        <w:numPr>
          <w:ilvl w:val="0"/>
          <w:numId w:val="2"/>
        </w:numPr>
        <w:ind w:firstLineChars="0"/>
        <w:rPr>
          <w:rFonts w:hint="eastAsia"/>
        </w:rPr>
      </w:pPr>
      <w:r>
        <w:rPr>
          <w:rFonts w:hint="eastAsia"/>
        </w:rPr>
        <w:t>大模型部分建设需求</w:t>
      </w:r>
    </w:p>
    <w:p w14:paraId="410085F3">
      <w:pPr>
        <w:rPr>
          <w:rFonts w:hint="eastAsia"/>
        </w:rPr>
      </w:pPr>
      <w:r>
        <w:rPr>
          <w:rFonts w:hint="eastAsia" w:ascii="Times New Roman" w:hAnsi="Times New Roman"/>
          <w:szCs w:val="22"/>
        </w:rPr>
        <w:t>为了满足交通行业在文书生成、资料查询、智能问数等方面对智能化处理的需求，基于市级MAP平台能力，开展交通行业专属大模型应用建设。具体功能包括：对接市级MAP平台，调用自然语言对话、思维链、文档解析、知识库管理、智能体编排等能力接口，获取自然语言处理与知识推理能力；开展文书生成、知识检索与智能问答三大智能体建设，为交通管理、决策分析提供高效的智能工具支撑。拟通过这些功能的建设，实现对交通领域多源异构数据的智能处理与知识融合，提升交通系统的智能化分析、决策支持与交互能力，推动交通系统的数字化治理水平提升。</w:t>
      </w:r>
    </w:p>
    <w:p w14:paraId="7EE4564D">
      <w:pPr>
        <w:pStyle w:val="3"/>
        <w:ind w:left="1138" w:hanging="1134" w:hangingChars="378"/>
        <w:rPr>
          <w:rFonts w:hint="eastAsia"/>
        </w:rPr>
      </w:pPr>
      <w:r>
        <w:rPr>
          <w:rFonts w:hint="eastAsia"/>
        </w:rPr>
        <w:t>建设周期</w:t>
      </w:r>
    </w:p>
    <w:p w14:paraId="23B36AE7">
      <w:pPr>
        <w:spacing w:line="560" w:lineRule="exact"/>
        <w:rPr>
          <w:rFonts w:hint="eastAsia"/>
        </w:rPr>
      </w:pPr>
      <w:r>
        <w:rPr>
          <w:rFonts w:hint="eastAsia"/>
        </w:rPr>
        <w:t>建设期限：自</w:t>
      </w:r>
      <w:r>
        <w:rPr>
          <w:rFonts w:hint="eastAsia"/>
          <w:lang w:val="en-US" w:eastAsia="zh-CN"/>
        </w:rPr>
        <w:t>合同签订、开工令发布</w:t>
      </w:r>
      <w:r>
        <w:rPr>
          <w:rFonts w:hint="eastAsia"/>
        </w:rPr>
        <w:t>起至项目完成终验。</w:t>
      </w:r>
    </w:p>
    <w:p w14:paraId="67C5D3B8">
      <w:pPr>
        <w:rPr>
          <w:rFonts w:hint="eastAsia"/>
          <w:shd w:val="clear" w:color="auto" w:fill="FFFFFF" w:themeFill="background1"/>
        </w:rPr>
      </w:pPr>
      <w:r>
        <w:rPr>
          <w:shd w:val="clear" w:color="auto" w:fill="FFFFFF" w:themeFill="background1"/>
        </w:rPr>
        <w:t>本项目建设周期约为</w:t>
      </w:r>
      <w:r>
        <w:rPr>
          <w:rFonts w:hint="eastAsia"/>
          <w:shd w:val="clear" w:color="auto" w:fill="FFFFFF" w:themeFill="background1"/>
        </w:rPr>
        <w:t>7</w:t>
      </w:r>
      <w:r>
        <w:rPr>
          <w:shd w:val="clear" w:color="auto" w:fill="FFFFFF" w:themeFill="background1"/>
        </w:rPr>
        <w:t>个月</w:t>
      </w:r>
      <w:r>
        <w:rPr>
          <w:rFonts w:hint="eastAsia"/>
          <w:shd w:val="clear" w:color="auto" w:fill="FFFFFF" w:themeFill="background1"/>
        </w:rPr>
        <w:t>（210天），具体如下：</w:t>
      </w:r>
    </w:p>
    <w:p w14:paraId="60A28A53">
      <w:pPr>
        <w:rPr>
          <w:rFonts w:hint="eastAsia"/>
          <w:kern w:val="0"/>
          <w:lang w:bidi="ar"/>
        </w:rPr>
      </w:pPr>
      <w:r>
        <w:rPr>
          <w:rFonts w:hint="eastAsia"/>
          <w:kern w:val="0"/>
          <w:lang w:bidi="ar"/>
        </w:rPr>
        <w:t>1）项目启动和深化设计阶段（</w:t>
      </w:r>
      <w:r>
        <w:rPr>
          <w:kern w:val="0"/>
          <w:lang w:bidi="ar"/>
        </w:rPr>
        <w:t xml:space="preserve">t+30 </w:t>
      </w:r>
      <w:r>
        <w:rPr>
          <w:rFonts w:hint="eastAsia"/>
          <w:kern w:val="0"/>
          <w:lang w:bidi="ar"/>
        </w:rPr>
        <w:t>天）</w:t>
      </w:r>
    </w:p>
    <w:p w14:paraId="56A18C22">
      <w:pPr>
        <w:rPr>
          <w:rFonts w:hint="eastAsia"/>
          <w:kern w:val="0"/>
          <w:lang w:bidi="ar"/>
        </w:rPr>
      </w:pPr>
      <w:r>
        <w:rPr>
          <w:rFonts w:hint="eastAsia"/>
          <w:kern w:val="0"/>
          <w:lang w:bidi="ar"/>
        </w:rPr>
        <w:t>核心目标：完成项目筹备、需求明确及整体规划。</w:t>
      </w:r>
    </w:p>
    <w:p w14:paraId="0E89E978">
      <w:pPr>
        <w:rPr>
          <w:rFonts w:hint="eastAsia"/>
          <w:kern w:val="0"/>
          <w:lang w:bidi="ar"/>
        </w:rPr>
      </w:pPr>
      <w:r>
        <w:rPr>
          <w:rFonts w:hint="eastAsia"/>
          <w:kern w:val="0"/>
          <w:lang w:bidi="ar"/>
        </w:rPr>
        <w:t>组建包含项目经理、数据工程师、开发人员的核心团队，召开启动会确定项目目标、范围与交付标准。通过</w:t>
      </w:r>
      <w:r>
        <w:rPr>
          <w:kern w:val="0"/>
          <w:lang w:bidi="ar"/>
        </w:rPr>
        <w:t>3-5</w:t>
      </w:r>
      <w:r>
        <w:rPr>
          <w:rFonts w:hint="eastAsia"/>
          <w:kern w:val="0"/>
          <w:lang w:bidi="ar"/>
        </w:rPr>
        <w:t>轮调研梳理业务需求，形成《需求规格说明书》，明确数据接入来源及数智应用功能。制定</w:t>
      </w:r>
      <w:r>
        <w:rPr>
          <w:kern w:val="0"/>
          <w:lang w:bidi="ar"/>
        </w:rPr>
        <w:t>210</w:t>
      </w:r>
      <w:r>
        <w:rPr>
          <w:rFonts w:hint="eastAsia"/>
          <w:kern w:val="0"/>
          <w:lang w:bidi="ar"/>
        </w:rPr>
        <w:t>天甘特图，确定数据接入</w:t>
      </w:r>
      <w:r>
        <w:rPr>
          <w:kern w:val="0"/>
          <w:lang w:bidi="ar"/>
        </w:rPr>
        <w:t>-</w:t>
      </w:r>
      <w:r>
        <w:rPr>
          <w:rFonts w:hint="eastAsia"/>
          <w:kern w:val="0"/>
          <w:lang w:bidi="ar"/>
        </w:rPr>
        <w:t>治理</w:t>
      </w:r>
      <w:r>
        <w:rPr>
          <w:kern w:val="0"/>
          <w:lang w:bidi="ar"/>
        </w:rPr>
        <w:t>-</w:t>
      </w:r>
      <w:r>
        <w:rPr>
          <w:rFonts w:hint="eastAsia"/>
          <w:kern w:val="0"/>
          <w:lang w:bidi="ar"/>
        </w:rPr>
        <w:t>开发</w:t>
      </w:r>
      <w:r>
        <w:rPr>
          <w:kern w:val="0"/>
          <w:lang w:bidi="ar"/>
        </w:rPr>
        <w:t>-</w:t>
      </w:r>
      <w:r>
        <w:rPr>
          <w:rFonts w:hint="eastAsia"/>
          <w:kern w:val="0"/>
          <w:lang w:bidi="ar"/>
        </w:rPr>
        <w:t>测试关键节点，完成技术方案初步选型，输出《项目规划方案》并通过评审，建立周例会与风险管理机制。</w:t>
      </w:r>
    </w:p>
    <w:p w14:paraId="5BCE5066">
      <w:pPr>
        <w:rPr>
          <w:rFonts w:hint="eastAsia"/>
          <w:kern w:val="0"/>
          <w:lang w:bidi="ar"/>
        </w:rPr>
      </w:pPr>
      <w:r>
        <w:rPr>
          <w:rFonts w:hint="eastAsia"/>
          <w:kern w:val="0"/>
          <w:lang w:bidi="ar"/>
        </w:rPr>
        <w:t>2）系统建设阶段（</w:t>
      </w:r>
      <w:r>
        <w:rPr>
          <w:kern w:val="0"/>
          <w:lang w:bidi="ar"/>
        </w:rPr>
        <w:t>t+31-150</w:t>
      </w:r>
      <w:r>
        <w:rPr>
          <w:rFonts w:hint="eastAsia"/>
          <w:kern w:val="0"/>
          <w:lang w:bidi="ar"/>
        </w:rPr>
        <w:t>天，</w:t>
      </w:r>
      <w:r>
        <w:rPr>
          <w:kern w:val="0"/>
          <w:lang w:bidi="ar"/>
        </w:rPr>
        <w:t>120</w:t>
      </w:r>
      <w:r>
        <w:rPr>
          <w:rFonts w:hint="eastAsia"/>
          <w:kern w:val="0"/>
          <w:lang w:bidi="ar"/>
        </w:rPr>
        <w:t>天）</w:t>
      </w:r>
    </w:p>
    <w:p w14:paraId="14EF2E8D">
      <w:pPr>
        <w:rPr>
          <w:rFonts w:hint="eastAsia"/>
          <w:kern w:val="0"/>
          <w:lang w:bidi="ar"/>
        </w:rPr>
      </w:pPr>
      <w:r>
        <w:rPr>
          <w:rFonts w:hint="eastAsia"/>
          <w:kern w:val="0"/>
          <w:lang w:bidi="ar"/>
        </w:rPr>
        <w:t>核心目标：完成数据接入、治理及应用开发，形成可用系统。</w:t>
      </w:r>
    </w:p>
    <w:p w14:paraId="36D9945D">
      <w:pPr>
        <w:rPr>
          <w:rFonts w:hint="eastAsia"/>
          <w:kern w:val="0"/>
          <w:lang w:bidi="ar"/>
        </w:rPr>
      </w:pPr>
      <w:r>
        <w:rPr>
          <w:rFonts w:hint="eastAsia"/>
          <w:kern w:val="0"/>
          <w:lang w:bidi="ar"/>
        </w:rPr>
        <w:t>对接业务部门明确数据来源、类型及频率，开发数据采集工具，完成</w:t>
      </w:r>
      <w:r>
        <w:rPr>
          <w:kern w:val="0"/>
          <w:lang w:bidi="ar"/>
        </w:rPr>
        <w:t>ETL</w:t>
      </w:r>
      <w:r>
        <w:rPr>
          <w:rFonts w:hint="eastAsia"/>
          <w:kern w:val="0"/>
          <w:lang w:bidi="ar"/>
        </w:rPr>
        <w:t>流程并进行质量初检。统一数据编码、字典及格式，清洗脏数据并设计数据仓库架构，构建数据资产目录，制定安全策略。基于需求设计应用架构，选定技术框架，分阶段开发数据可视化、模型调用等功能，完成模块联调与单元测试，形成可演示的系统原型。</w:t>
      </w:r>
    </w:p>
    <w:p w14:paraId="541D9604">
      <w:pPr>
        <w:rPr>
          <w:rFonts w:hint="eastAsia"/>
          <w:kern w:val="0"/>
          <w:lang w:bidi="ar"/>
        </w:rPr>
      </w:pPr>
      <w:r>
        <w:rPr>
          <w:rFonts w:hint="eastAsia"/>
          <w:kern w:val="0"/>
          <w:lang w:bidi="ar"/>
        </w:rPr>
        <w:t>3）系统测试阶段（</w:t>
      </w:r>
      <w:r>
        <w:rPr>
          <w:kern w:val="0"/>
          <w:lang w:bidi="ar"/>
        </w:rPr>
        <w:t>t+151-180</w:t>
      </w:r>
      <w:r>
        <w:rPr>
          <w:rFonts w:hint="eastAsia"/>
          <w:kern w:val="0"/>
          <w:lang w:bidi="ar"/>
        </w:rPr>
        <w:t>天，</w:t>
      </w:r>
      <w:r>
        <w:rPr>
          <w:kern w:val="0"/>
          <w:lang w:bidi="ar"/>
        </w:rPr>
        <w:t>30</w:t>
      </w:r>
      <w:r>
        <w:rPr>
          <w:rFonts w:hint="eastAsia"/>
          <w:kern w:val="0"/>
          <w:lang w:bidi="ar"/>
        </w:rPr>
        <w:t>天）</w:t>
      </w:r>
    </w:p>
    <w:p w14:paraId="0E10F651">
      <w:pPr>
        <w:rPr>
          <w:rFonts w:hint="eastAsia"/>
          <w:kern w:val="0"/>
          <w:lang w:bidi="ar"/>
        </w:rPr>
      </w:pPr>
      <w:r>
        <w:rPr>
          <w:rFonts w:hint="eastAsia"/>
          <w:kern w:val="0"/>
          <w:lang w:bidi="ar"/>
        </w:rPr>
        <w:t>核心目标：全面测试系统功能、性能及安全性。</w:t>
      </w:r>
    </w:p>
    <w:p w14:paraId="3BC63341">
      <w:pPr>
        <w:rPr>
          <w:rFonts w:hint="eastAsia"/>
          <w:kern w:val="0"/>
          <w:lang w:bidi="ar"/>
        </w:rPr>
      </w:pPr>
      <w:r>
        <w:rPr>
          <w:rFonts w:hint="eastAsia"/>
          <w:kern w:val="0"/>
          <w:lang w:bidi="ar"/>
        </w:rPr>
        <w:t>开展功能测试验证业务流程，修复逻辑错误；通过压测工具检测系统性能，优化数据库索引提升响应速度；进行安全扫描修复漏洞，确保符合等保要求。打通数据全链路进行集成测试，验证数据流转一致性与处理效率，收集用户体验反馈并优化界面交互，输出测试报告，确认系统达到上线标准。</w:t>
      </w:r>
    </w:p>
    <w:p w14:paraId="3DA9166F">
      <w:pPr>
        <w:rPr>
          <w:rFonts w:hint="eastAsia"/>
          <w:kern w:val="0"/>
          <w:lang w:bidi="ar"/>
        </w:rPr>
      </w:pPr>
      <w:r>
        <w:rPr>
          <w:rFonts w:hint="eastAsia"/>
          <w:kern w:val="0"/>
          <w:lang w:bidi="ar"/>
        </w:rPr>
        <w:t>4）系统试运行与验收阶段（</w:t>
      </w:r>
      <w:r>
        <w:rPr>
          <w:kern w:val="0"/>
          <w:lang w:bidi="ar"/>
        </w:rPr>
        <w:t>t+181-210</w:t>
      </w:r>
      <w:r>
        <w:rPr>
          <w:rFonts w:hint="eastAsia"/>
          <w:kern w:val="0"/>
          <w:lang w:bidi="ar"/>
        </w:rPr>
        <w:t>天，</w:t>
      </w:r>
      <w:r>
        <w:rPr>
          <w:kern w:val="0"/>
          <w:lang w:bidi="ar"/>
        </w:rPr>
        <w:t>30</w:t>
      </w:r>
      <w:r>
        <w:rPr>
          <w:rFonts w:hint="eastAsia"/>
          <w:kern w:val="0"/>
          <w:lang w:bidi="ar"/>
        </w:rPr>
        <w:t>天）</w:t>
      </w:r>
    </w:p>
    <w:p w14:paraId="1ACE87A7">
      <w:pPr>
        <w:rPr>
          <w:rFonts w:hint="eastAsia"/>
          <w:kern w:val="0"/>
          <w:lang w:bidi="ar"/>
        </w:rPr>
      </w:pPr>
      <w:r>
        <w:rPr>
          <w:rFonts w:hint="eastAsia"/>
          <w:kern w:val="0"/>
          <w:lang w:bidi="ar"/>
        </w:rPr>
        <w:t>核心目标：完成生产部署、用户交付及项目验收。</w:t>
      </w:r>
    </w:p>
    <w:p w14:paraId="53E31FC8">
      <w:pPr>
        <w:rPr>
          <w:rFonts w:hint="eastAsia"/>
          <w:kern w:val="0"/>
          <w:lang w:bidi="ar"/>
        </w:rPr>
      </w:pPr>
      <w:r>
        <w:rPr>
          <w:rFonts w:hint="eastAsia"/>
          <w:kern w:val="0"/>
          <w:lang w:bidi="ar"/>
        </w:rPr>
        <w:t>将系统部署至生产环境，试点运行并配置服务器与迁移数据，开展用户培训与操作指导。实时监控系统性能与数据质量，快速响应业务问题并优化功能。整理技术文档、源代码等交付物，组织验收会议演示系统功能，提交试运行报告，签署验收文件。召开复盘会总结经验，移交运维团队并提供持续支持，完成项目闭环。</w:t>
      </w:r>
    </w:p>
    <w:p w14:paraId="28D2441F">
      <w:pPr>
        <w:pStyle w:val="3"/>
        <w:ind w:left="1138" w:hanging="1134" w:hangingChars="378"/>
        <w:rPr>
          <w:rFonts w:hint="eastAsia"/>
        </w:rPr>
      </w:pPr>
      <w:r>
        <w:rPr>
          <w:rFonts w:hint="eastAsia"/>
        </w:rPr>
        <w:t>建设地点</w:t>
      </w:r>
    </w:p>
    <w:p w14:paraId="06843CA1">
      <w:pPr>
        <w:spacing w:line="560" w:lineRule="exact"/>
        <w:rPr>
          <w:rFonts w:hint="eastAsia"/>
        </w:rPr>
      </w:pPr>
      <w:r>
        <w:rPr>
          <w:rFonts w:hint="eastAsia"/>
        </w:rPr>
        <w:t>建设地点：上海市交通指挥中心</w:t>
      </w:r>
    </w:p>
    <w:p w14:paraId="6CDBAEF2">
      <w:pPr>
        <w:pStyle w:val="3"/>
        <w:ind w:left="1138" w:hanging="1134" w:hangingChars="378"/>
        <w:rPr>
          <w:rFonts w:hint="eastAsia"/>
        </w:rPr>
      </w:pPr>
      <w:r>
        <w:rPr>
          <w:rFonts w:hint="eastAsia"/>
        </w:rPr>
        <w:t>其他</w:t>
      </w:r>
    </w:p>
    <w:p w14:paraId="63732322">
      <w:pPr>
        <w:rPr>
          <w:rFonts w:hint="eastAsia"/>
        </w:rPr>
      </w:pPr>
      <w:r>
        <w:t>是否按信息技术应用创新要求建设：是</w:t>
      </w:r>
    </w:p>
    <w:p w14:paraId="614DD223">
      <w:pPr>
        <w:rPr>
          <w:rFonts w:hint="eastAsia"/>
        </w:rPr>
      </w:pPr>
      <w:r>
        <w:rPr>
          <w:rFonts w:hint="eastAsia"/>
        </w:rPr>
        <w:t>运维后所属大系统：上海交通运行和应急指挥系统</w:t>
      </w:r>
    </w:p>
    <w:p w14:paraId="29483AAA">
      <w:pPr>
        <w:pStyle w:val="2"/>
        <w:ind w:left="424" w:hanging="422" w:hangingChars="132"/>
        <w:rPr>
          <w:rFonts w:hint="eastAsia"/>
        </w:rPr>
      </w:pPr>
      <w:bookmarkStart w:id="1" w:name="_Toc47536272"/>
      <w:bookmarkEnd w:id="1"/>
      <w:bookmarkStart w:id="2" w:name="_Toc47533256"/>
      <w:bookmarkEnd w:id="2"/>
      <w:bookmarkStart w:id="3" w:name="_Toc47531634"/>
      <w:bookmarkEnd w:id="3"/>
      <w:bookmarkStart w:id="4" w:name="_Toc47536644"/>
      <w:bookmarkEnd w:id="4"/>
      <w:bookmarkStart w:id="5" w:name="_Toc47532255"/>
      <w:bookmarkEnd w:id="5"/>
      <w:bookmarkStart w:id="6" w:name="_Toc47537134"/>
      <w:bookmarkEnd w:id="6"/>
      <w:bookmarkStart w:id="7" w:name="_Toc47539070"/>
      <w:bookmarkEnd w:id="7"/>
      <w:bookmarkStart w:id="8" w:name="_Toc47532891"/>
      <w:bookmarkEnd w:id="8"/>
      <w:bookmarkStart w:id="9" w:name="_Toc63785463"/>
      <w:bookmarkStart w:id="10" w:name="_Toc48223882"/>
      <w:r>
        <w:rPr>
          <w:rFonts w:hint="eastAsia"/>
        </w:rPr>
        <w:t>建设目标</w:t>
      </w:r>
      <w:bookmarkEnd w:id="9"/>
      <w:bookmarkEnd w:id="10"/>
    </w:p>
    <w:p w14:paraId="30E32F98">
      <w:pPr>
        <w:pStyle w:val="3"/>
        <w:ind w:left="1138" w:hanging="1134" w:hangingChars="378"/>
        <w:rPr>
          <w:rFonts w:hint="eastAsia"/>
        </w:rPr>
      </w:pPr>
      <w:r>
        <w:rPr>
          <w:rFonts w:hint="eastAsia"/>
        </w:rPr>
        <w:t>建设目标</w:t>
      </w:r>
    </w:p>
    <w:p w14:paraId="77358DDC">
      <w:pPr>
        <w:rPr>
          <w:rFonts w:hint="eastAsia" w:cs="宋体"/>
        </w:rPr>
      </w:pPr>
      <w:r>
        <w:rPr>
          <w:rFonts w:ascii="Times New Roman" w:hAnsi="Times New Roman"/>
          <w:szCs w:val="22"/>
          <w:shd w:val="clear" w:color="auto" w:fill="FFFFFF"/>
        </w:rPr>
        <w:t>本项目需要在上海交通行业数据融合治理服务项目基础上，重点解决跨部门跨地区数据对接和联动管理、提供行业业务高质量数据集服务、充分释放行业数据要素价值、加快推进数据可信流通赋能等方面的问题</w:t>
      </w:r>
      <w:r>
        <w:rPr>
          <w:rFonts w:hint="eastAsia" w:ascii="Times New Roman" w:hAnsi="Times New Roman"/>
          <w:szCs w:val="22"/>
          <w:shd w:val="clear" w:color="auto" w:fill="FFFFFF"/>
        </w:rPr>
        <w:t>，</w:t>
      </w:r>
      <w:r>
        <w:rPr>
          <w:rFonts w:hint="eastAsia"/>
        </w:rPr>
        <w:t>依托于大数据中心的数据资源、</w:t>
      </w:r>
      <w:r>
        <w:t>MAP</w:t>
      </w:r>
      <w:r>
        <w:rPr>
          <w:rFonts w:hint="eastAsia"/>
        </w:rPr>
        <w:t>平台基础能力和“一张图”共性能力，</w:t>
      </w:r>
      <w:r>
        <w:rPr>
          <w:rFonts w:ascii="Times New Roman" w:hAnsi="Times New Roman"/>
          <w:szCs w:val="22"/>
          <w:shd w:val="clear" w:color="auto" w:fill="FFFFFF"/>
        </w:rPr>
        <w:t>从</w:t>
      </w:r>
      <w:r>
        <w:rPr>
          <w:rFonts w:ascii="Times New Roman" w:hAnsi="Times New Roman"/>
          <w:b/>
          <w:bCs/>
          <w:szCs w:val="22"/>
          <w:shd w:val="clear" w:color="auto" w:fill="FFFFFF"/>
        </w:rPr>
        <w:t>拓宽数聚、完善数治、深化数融、强化数服</w:t>
      </w:r>
      <w:r>
        <w:rPr>
          <w:rFonts w:ascii="Times New Roman" w:hAnsi="Times New Roman"/>
          <w:szCs w:val="22"/>
          <w:shd w:val="clear" w:color="auto" w:fill="FFFFFF"/>
        </w:rPr>
        <w:t>四个方面深化交通行业数据融合治理和服务能力，</w:t>
      </w:r>
      <w:r>
        <w:rPr>
          <w:rFonts w:hint="eastAsia"/>
        </w:rPr>
        <w:t>统筹实现对交通行业业务系统的支撑、对外统一供数（支持可信数据空间、公共数据授权和数据实验室）及对大数据中心的能力反哺，</w:t>
      </w:r>
      <w:r>
        <w:rPr>
          <w:rFonts w:ascii="Times New Roman" w:hAnsi="Times New Roman"/>
          <w:szCs w:val="22"/>
        </w:rPr>
        <w:t>加快在交通运输领域数据要素深度融合利用，推动实现上海市交通行业数治能力持续提升，行业治理数字化转型基本成形，全息感知和协同管控能力稳步提升，安全风险预防和应急处置能力大幅增强。</w:t>
      </w:r>
    </w:p>
    <w:p w14:paraId="5D3072C4">
      <w:pPr>
        <w:pStyle w:val="3"/>
        <w:ind w:left="1138" w:hanging="1134" w:hangingChars="378"/>
        <w:rPr>
          <w:rFonts w:hint="eastAsia"/>
        </w:rPr>
      </w:pPr>
      <w:r>
        <w:rPr>
          <w:rFonts w:hint="eastAsia"/>
        </w:rPr>
        <w:t>技术指标</w:t>
      </w:r>
    </w:p>
    <w:p w14:paraId="490AB72C">
      <w:pPr>
        <w:rPr>
          <w:rFonts w:hint="eastAsia"/>
          <w:bCs/>
          <w:color w:val="000000"/>
        </w:rPr>
      </w:pPr>
      <w:r>
        <w:rPr>
          <w:rFonts w:hint="eastAsia"/>
          <w:bCs/>
          <w:color w:val="000000"/>
        </w:rPr>
        <w:t>本项目建设应该满足如下技术指标要求：</w:t>
      </w:r>
    </w:p>
    <w:tbl>
      <w:tblPr>
        <w:tblStyle w:val="12"/>
        <w:tblW w:w="5000" w:type="pct"/>
        <w:tblInd w:w="0" w:type="dxa"/>
        <w:tblLayout w:type="autofit"/>
        <w:tblCellMar>
          <w:top w:w="0" w:type="dxa"/>
          <w:left w:w="57" w:type="dxa"/>
          <w:bottom w:w="0" w:type="dxa"/>
          <w:right w:w="57" w:type="dxa"/>
        </w:tblCellMar>
      </w:tblPr>
      <w:tblGrid>
        <w:gridCol w:w="957"/>
        <w:gridCol w:w="764"/>
        <w:gridCol w:w="1637"/>
        <w:gridCol w:w="3504"/>
        <w:gridCol w:w="1564"/>
      </w:tblGrid>
      <w:tr w14:paraId="53244457">
        <w:tblPrEx>
          <w:tblCellMar>
            <w:top w:w="0" w:type="dxa"/>
            <w:left w:w="57" w:type="dxa"/>
            <w:bottom w:w="0" w:type="dxa"/>
            <w:right w:w="57" w:type="dxa"/>
          </w:tblCellMar>
        </w:tblPrEx>
        <w:trPr>
          <w:trHeight w:val="280" w:hRule="atLeast"/>
        </w:trPr>
        <w:tc>
          <w:tcPr>
            <w:tcW w:w="568" w:type="pct"/>
            <w:tcBorders>
              <w:top w:val="single" w:color="000000" w:sz="4" w:space="0"/>
              <w:left w:val="single" w:color="000000" w:sz="4" w:space="0"/>
              <w:bottom w:val="single" w:color="auto" w:sz="4" w:space="0"/>
              <w:right w:val="single" w:color="auto" w:sz="4" w:space="0"/>
            </w:tcBorders>
            <w:vAlign w:val="center"/>
          </w:tcPr>
          <w:p w14:paraId="6FA176F0">
            <w:pPr>
              <w:spacing w:line="240" w:lineRule="auto"/>
              <w:ind w:firstLine="0" w:firstLineChars="0"/>
              <w:jc w:val="center"/>
              <w:rPr>
                <w:rFonts w:ascii="Times New Roman" w:hAnsi="Times New Roman"/>
                <w:szCs w:val="20"/>
              </w:rPr>
            </w:pPr>
            <w:r>
              <w:rPr>
                <w:rFonts w:hint="eastAsia" w:ascii="Times New Roman" w:hAnsi="Times New Roman"/>
                <w:szCs w:val="20"/>
                <w:lang w:bidi="ar"/>
              </w:rPr>
              <w:t>一级指标</w:t>
            </w:r>
          </w:p>
        </w:tc>
        <w:tc>
          <w:tcPr>
            <w:tcW w:w="453" w:type="pct"/>
            <w:tcBorders>
              <w:top w:val="single" w:color="000000" w:sz="4" w:space="0"/>
              <w:left w:val="single" w:color="auto" w:sz="4" w:space="0"/>
              <w:bottom w:val="single" w:color="auto" w:sz="4" w:space="0"/>
              <w:right w:val="single" w:color="000000" w:sz="4" w:space="0"/>
            </w:tcBorders>
            <w:vAlign w:val="center"/>
          </w:tcPr>
          <w:p w14:paraId="205CC309">
            <w:pPr>
              <w:spacing w:line="240" w:lineRule="auto"/>
              <w:ind w:firstLine="0" w:firstLineChars="0"/>
              <w:jc w:val="center"/>
              <w:rPr>
                <w:rFonts w:ascii="Times New Roman" w:hAnsi="Times New Roman"/>
                <w:szCs w:val="20"/>
              </w:rPr>
            </w:pPr>
            <w:r>
              <w:rPr>
                <w:rFonts w:hint="eastAsia" w:ascii="Times New Roman" w:hAnsi="Times New Roman"/>
                <w:szCs w:val="20"/>
                <w:lang w:bidi="ar"/>
              </w:rPr>
              <w:t>二级指标</w:t>
            </w:r>
          </w:p>
        </w:tc>
        <w:tc>
          <w:tcPr>
            <w:tcW w:w="971" w:type="pct"/>
            <w:tcBorders>
              <w:top w:val="single" w:color="000000" w:sz="4" w:space="0"/>
              <w:left w:val="single" w:color="000000" w:sz="4" w:space="0"/>
              <w:bottom w:val="single" w:color="000000" w:sz="4" w:space="0"/>
              <w:right w:val="single" w:color="000000" w:sz="4" w:space="0"/>
            </w:tcBorders>
            <w:vAlign w:val="center"/>
          </w:tcPr>
          <w:p w14:paraId="21B2EED6">
            <w:pPr>
              <w:spacing w:line="240" w:lineRule="auto"/>
              <w:ind w:firstLine="0" w:firstLineChars="0"/>
              <w:jc w:val="center"/>
              <w:rPr>
                <w:rFonts w:ascii="Times New Roman" w:hAnsi="Times New Roman"/>
                <w:szCs w:val="20"/>
              </w:rPr>
            </w:pPr>
            <w:r>
              <w:rPr>
                <w:rFonts w:hint="eastAsia" w:ascii="Times New Roman" w:hAnsi="Times New Roman"/>
                <w:szCs w:val="20"/>
                <w:lang w:bidi="ar"/>
              </w:rPr>
              <w:t>三级指标</w:t>
            </w:r>
          </w:p>
        </w:tc>
        <w:tc>
          <w:tcPr>
            <w:tcW w:w="2079" w:type="pct"/>
            <w:tcBorders>
              <w:top w:val="single" w:color="000000" w:sz="4" w:space="0"/>
              <w:left w:val="single" w:color="000000" w:sz="4" w:space="0"/>
              <w:bottom w:val="single" w:color="000000" w:sz="4" w:space="0"/>
              <w:right w:val="single" w:color="000000" w:sz="4" w:space="0"/>
            </w:tcBorders>
            <w:vAlign w:val="center"/>
          </w:tcPr>
          <w:p w14:paraId="688154EB">
            <w:pPr>
              <w:spacing w:line="240" w:lineRule="auto"/>
              <w:ind w:firstLine="0" w:firstLineChars="0"/>
              <w:jc w:val="center"/>
              <w:rPr>
                <w:rFonts w:ascii="Times New Roman" w:hAnsi="Times New Roman"/>
                <w:szCs w:val="20"/>
              </w:rPr>
            </w:pPr>
            <w:r>
              <w:rPr>
                <w:rFonts w:hint="eastAsia" w:ascii="Times New Roman" w:hAnsi="Times New Roman"/>
                <w:szCs w:val="20"/>
                <w:lang w:bidi="ar"/>
              </w:rPr>
              <w:t>四级指标</w:t>
            </w:r>
          </w:p>
        </w:tc>
        <w:tc>
          <w:tcPr>
            <w:tcW w:w="928" w:type="pct"/>
            <w:tcBorders>
              <w:top w:val="single" w:color="000000" w:sz="4" w:space="0"/>
              <w:left w:val="single" w:color="000000" w:sz="4" w:space="0"/>
              <w:bottom w:val="single" w:color="000000" w:sz="4" w:space="0"/>
              <w:right w:val="single" w:color="000000" w:sz="4" w:space="0"/>
            </w:tcBorders>
            <w:vAlign w:val="center"/>
          </w:tcPr>
          <w:p w14:paraId="44A398A8">
            <w:pPr>
              <w:spacing w:line="240" w:lineRule="auto"/>
              <w:ind w:firstLine="0" w:firstLineChars="0"/>
              <w:jc w:val="center"/>
              <w:rPr>
                <w:rFonts w:ascii="Times New Roman" w:hAnsi="Times New Roman"/>
                <w:szCs w:val="20"/>
              </w:rPr>
            </w:pPr>
            <w:r>
              <w:rPr>
                <w:rFonts w:hint="eastAsia" w:ascii="Times New Roman" w:hAnsi="Times New Roman"/>
                <w:szCs w:val="20"/>
                <w:lang w:bidi="ar"/>
              </w:rPr>
              <w:t>目标值</w:t>
            </w:r>
          </w:p>
        </w:tc>
      </w:tr>
      <w:tr w14:paraId="3438274D">
        <w:tblPrEx>
          <w:tblCellMar>
            <w:top w:w="0" w:type="dxa"/>
            <w:left w:w="57" w:type="dxa"/>
            <w:bottom w:w="0" w:type="dxa"/>
            <w:right w:w="57" w:type="dxa"/>
          </w:tblCellMar>
        </w:tblPrEx>
        <w:trPr>
          <w:trHeight w:val="280" w:hRule="atLeast"/>
        </w:trPr>
        <w:tc>
          <w:tcPr>
            <w:tcW w:w="568" w:type="pct"/>
            <w:vMerge w:val="restart"/>
            <w:tcBorders>
              <w:top w:val="single" w:color="auto" w:sz="4" w:space="0"/>
              <w:left w:val="single" w:color="000000" w:sz="4" w:space="0"/>
              <w:right w:val="single" w:color="auto" w:sz="4" w:space="0"/>
            </w:tcBorders>
            <w:vAlign w:val="center"/>
          </w:tcPr>
          <w:p w14:paraId="315E993E">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restart"/>
            <w:tcBorders>
              <w:top w:val="single" w:color="000000" w:sz="4" w:space="0"/>
              <w:left w:val="single" w:color="auto" w:sz="4" w:space="0"/>
              <w:right w:val="single" w:color="000000" w:sz="4" w:space="0"/>
            </w:tcBorders>
            <w:vAlign w:val="center"/>
          </w:tcPr>
          <w:p w14:paraId="1529BEFC">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restart"/>
            <w:tcBorders>
              <w:top w:val="single" w:color="000000" w:sz="4" w:space="0"/>
              <w:left w:val="single" w:color="000000" w:sz="4" w:space="0"/>
              <w:right w:val="single" w:color="000000" w:sz="4" w:space="0"/>
            </w:tcBorders>
            <w:vAlign w:val="center"/>
          </w:tcPr>
          <w:p w14:paraId="7D908CC1">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产出数量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2D74C5B2">
            <w:pPr>
              <w:spacing w:line="240" w:lineRule="auto"/>
              <w:ind w:firstLine="0" w:firstLineChars="0"/>
              <w:jc w:val="center"/>
              <w:rPr>
                <w:rFonts w:ascii="Times New Roman" w:hAnsi="Times New Roman"/>
                <w:szCs w:val="20"/>
              </w:rPr>
            </w:pPr>
            <w:r>
              <w:rPr>
                <w:rFonts w:hint="eastAsia" w:ascii="Times New Roman" w:hAnsi="Times New Roman"/>
                <w:szCs w:val="20"/>
                <w:lang w:bidi="ar"/>
              </w:rPr>
              <w:t>软件开发完成率</w:t>
            </w:r>
          </w:p>
        </w:tc>
        <w:tc>
          <w:tcPr>
            <w:tcW w:w="1540" w:type="dxa"/>
            <w:tcBorders>
              <w:top w:val="single" w:color="000000" w:sz="4" w:space="0"/>
              <w:left w:val="single" w:color="000000" w:sz="4" w:space="0"/>
              <w:bottom w:val="single" w:color="000000" w:sz="4" w:space="0"/>
              <w:right w:val="single" w:color="000000" w:sz="4" w:space="0"/>
            </w:tcBorders>
            <w:vAlign w:val="center"/>
          </w:tcPr>
          <w:p w14:paraId="73D1019F">
            <w:pPr>
              <w:widowControl/>
              <w:textAlignment w:val="center"/>
              <w:rPr>
                <w:rFonts w:ascii="Times New Roman" w:hAnsi="Times New Roman"/>
                <w:szCs w:val="20"/>
                <w:lang w:bidi="ar"/>
              </w:rPr>
            </w:pPr>
            <w:r>
              <w:rPr>
                <w:rFonts w:hint="eastAsia" w:ascii="Times New Roman" w:hAnsi="Times New Roman"/>
                <w:szCs w:val="20"/>
                <w:lang w:bidi="ar"/>
              </w:rPr>
              <w:t>=100%</w:t>
            </w:r>
          </w:p>
        </w:tc>
      </w:tr>
      <w:tr w14:paraId="3CC33241">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6948763C">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1BECBDA8">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top w:val="single" w:color="000000" w:sz="4" w:space="0"/>
              <w:left w:val="single" w:color="000000" w:sz="4" w:space="0"/>
              <w:right w:val="single" w:color="000000" w:sz="4" w:space="0"/>
            </w:tcBorders>
            <w:vAlign w:val="center"/>
          </w:tcPr>
          <w:p w14:paraId="6434920C">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产出数量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4FD3C328">
            <w:pPr>
              <w:spacing w:line="240" w:lineRule="auto"/>
              <w:ind w:firstLine="0" w:firstLineChars="0"/>
              <w:jc w:val="center"/>
              <w:rPr>
                <w:rFonts w:ascii="Times New Roman" w:hAnsi="Times New Roman"/>
                <w:szCs w:val="20"/>
              </w:rPr>
            </w:pPr>
            <w:r>
              <w:rPr>
                <w:rFonts w:hint="eastAsia" w:ascii="Times New Roman" w:hAnsi="Times New Roman"/>
                <w:szCs w:val="20"/>
                <w:lang w:bidi="ar"/>
              </w:rPr>
              <w:t>硬件设备购置完成率</w:t>
            </w:r>
          </w:p>
        </w:tc>
        <w:tc>
          <w:tcPr>
            <w:tcW w:w="1540" w:type="dxa"/>
            <w:tcBorders>
              <w:top w:val="single" w:color="000000" w:sz="4" w:space="0"/>
              <w:left w:val="single" w:color="000000" w:sz="4" w:space="0"/>
              <w:bottom w:val="single" w:color="000000" w:sz="4" w:space="0"/>
              <w:right w:val="single" w:color="000000" w:sz="4" w:space="0"/>
            </w:tcBorders>
            <w:vAlign w:val="center"/>
          </w:tcPr>
          <w:p w14:paraId="09F2A57C">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w:t>
            </w:r>
          </w:p>
        </w:tc>
      </w:tr>
      <w:tr w14:paraId="2FAB011D">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276BC7E6">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6CE085B0">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left w:val="single" w:color="000000" w:sz="4" w:space="0"/>
              <w:bottom w:val="single" w:color="000000" w:sz="4" w:space="0"/>
              <w:right w:val="single" w:color="000000" w:sz="4" w:space="0"/>
            </w:tcBorders>
            <w:vAlign w:val="center"/>
          </w:tcPr>
          <w:p w14:paraId="7C75A78C">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产出数量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48A99461">
            <w:pPr>
              <w:spacing w:line="240" w:lineRule="auto"/>
              <w:ind w:firstLine="0" w:firstLineChars="0"/>
              <w:jc w:val="center"/>
              <w:rPr>
                <w:rFonts w:ascii="Times New Roman" w:hAnsi="Times New Roman"/>
                <w:szCs w:val="20"/>
              </w:rPr>
            </w:pPr>
            <w:r>
              <w:rPr>
                <w:rFonts w:hint="eastAsia" w:ascii="Times New Roman" w:hAnsi="Times New Roman"/>
                <w:szCs w:val="20"/>
                <w:lang w:bidi="ar"/>
              </w:rPr>
              <w:t>软件产品购置完成率</w:t>
            </w:r>
          </w:p>
        </w:tc>
        <w:tc>
          <w:tcPr>
            <w:tcW w:w="1540" w:type="dxa"/>
            <w:tcBorders>
              <w:top w:val="single" w:color="000000" w:sz="4" w:space="0"/>
              <w:left w:val="single" w:color="000000" w:sz="4" w:space="0"/>
              <w:bottom w:val="single" w:color="000000" w:sz="4" w:space="0"/>
              <w:right w:val="single" w:color="000000" w:sz="4" w:space="0"/>
            </w:tcBorders>
            <w:vAlign w:val="center"/>
          </w:tcPr>
          <w:p w14:paraId="2CAE2415">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w:t>
            </w:r>
          </w:p>
        </w:tc>
      </w:tr>
      <w:tr w14:paraId="45DB48F0">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4E5673F3">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65AB16E1">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restart"/>
            <w:tcBorders>
              <w:top w:val="single" w:color="000000" w:sz="4" w:space="0"/>
              <w:left w:val="single" w:color="000000" w:sz="4" w:space="0"/>
              <w:right w:val="single" w:color="000000" w:sz="4" w:space="0"/>
            </w:tcBorders>
            <w:vAlign w:val="center"/>
          </w:tcPr>
          <w:p w14:paraId="6F999B43">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72E65E43">
            <w:pPr>
              <w:spacing w:line="240" w:lineRule="auto"/>
              <w:ind w:firstLine="0" w:firstLineChars="0"/>
              <w:jc w:val="center"/>
              <w:rPr>
                <w:rFonts w:ascii="Times New Roman" w:hAnsi="Times New Roman"/>
                <w:szCs w:val="20"/>
              </w:rPr>
            </w:pPr>
            <w:r>
              <w:rPr>
                <w:rFonts w:hint="eastAsia" w:ascii="Times New Roman" w:hAnsi="Times New Roman"/>
                <w:szCs w:val="20"/>
                <w:lang w:bidi="ar"/>
              </w:rPr>
              <w:t>软件测试达标</w:t>
            </w:r>
          </w:p>
        </w:tc>
        <w:tc>
          <w:tcPr>
            <w:tcW w:w="1540" w:type="dxa"/>
            <w:tcBorders>
              <w:top w:val="single" w:color="000000" w:sz="4" w:space="0"/>
              <w:left w:val="single" w:color="000000" w:sz="4" w:space="0"/>
              <w:bottom w:val="single" w:color="000000" w:sz="4" w:space="0"/>
              <w:right w:val="single" w:color="000000" w:sz="4" w:space="0"/>
            </w:tcBorders>
            <w:vAlign w:val="center"/>
          </w:tcPr>
          <w:p w14:paraId="0ABB132D">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100</w:t>
            </w:r>
          </w:p>
        </w:tc>
      </w:tr>
      <w:tr w14:paraId="12DCE3FB">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088A03BF">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31BE60B9">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top w:val="single" w:color="000000" w:sz="4" w:space="0"/>
              <w:left w:val="single" w:color="000000" w:sz="4" w:space="0"/>
              <w:right w:val="single" w:color="000000" w:sz="4" w:space="0"/>
            </w:tcBorders>
            <w:vAlign w:val="center"/>
          </w:tcPr>
          <w:p w14:paraId="6F9164BB">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37D25DBC">
            <w:pPr>
              <w:spacing w:line="240" w:lineRule="auto"/>
              <w:ind w:firstLine="0" w:firstLineChars="0"/>
              <w:jc w:val="center"/>
              <w:rPr>
                <w:rFonts w:ascii="Times New Roman" w:hAnsi="Times New Roman"/>
                <w:szCs w:val="20"/>
              </w:rPr>
            </w:pPr>
            <w:r>
              <w:rPr>
                <w:rFonts w:hint="eastAsia" w:ascii="Times New Roman" w:hAnsi="Times New Roman"/>
                <w:szCs w:val="20"/>
                <w:lang w:bidi="ar"/>
              </w:rPr>
              <w:t>安全事件发生次数</w:t>
            </w:r>
          </w:p>
        </w:tc>
        <w:tc>
          <w:tcPr>
            <w:tcW w:w="1540" w:type="dxa"/>
            <w:tcBorders>
              <w:top w:val="single" w:color="000000" w:sz="4" w:space="0"/>
              <w:left w:val="single" w:color="000000" w:sz="4" w:space="0"/>
              <w:bottom w:val="single" w:color="000000" w:sz="4" w:space="0"/>
              <w:right w:val="single" w:color="000000" w:sz="4" w:space="0"/>
            </w:tcBorders>
            <w:vAlign w:val="center"/>
          </w:tcPr>
          <w:p w14:paraId="1C62BC42">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0次</w:t>
            </w:r>
          </w:p>
        </w:tc>
      </w:tr>
      <w:tr w14:paraId="7508BFA7">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3F22C9E8">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34A8AC30">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top w:val="single" w:color="000000" w:sz="4" w:space="0"/>
              <w:left w:val="single" w:color="000000" w:sz="4" w:space="0"/>
              <w:right w:val="single" w:color="000000" w:sz="4" w:space="0"/>
            </w:tcBorders>
            <w:vAlign w:val="center"/>
          </w:tcPr>
          <w:p w14:paraId="45E27E49">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1D138FFD">
            <w:pPr>
              <w:spacing w:line="240" w:lineRule="auto"/>
              <w:ind w:firstLine="0" w:firstLineChars="0"/>
              <w:jc w:val="center"/>
              <w:rPr>
                <w:rFonts w:ascii="Times New Roman" w:hAnsi="Times New Roman"/>
                <w:szCs w:val="20"/>
              </w:rPr>
            </w:pPr>
            <w:r>
              <w:rPr>
                <w:rFonts w:hint="eastAsia" w:ascii="Times New Roman" w:hAnsi="Times New Roman"/>
                <w:szCs w:val="20"/>
                <w:lang w:bidi="ar"/>
              </w:rPr>
              <w:t>密码测试达标</w:t>
            </w:r>
          </w:p>
        </w:tc>
        <w:tc>
          <w:tcPr>
            <w:tcW w:w="1540" w:type="dxa"/>
            <w:tcBorders>
              <w:top w:val="single" w:color="000000" w:sz="4" w:space="0"/>
              <w:left w:val="single" w:color="000000" w:sz="4" w:space="0"/>
              <w:bottom w:val="single" w:color="000000" w:sz="4" w:space="0"/>
              <w:right w:val="single" w:color="000000" w:sz="4" w:space="0"/>
            </w:tcBorders>
            <w:vAlign w:val="center"/>
          </w:tcPr>
          <w:p w14:paraId="12878BBE">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达标</w:t>
            </w:r>
          </w:p>
        </w:tc>
      </w:tr>
      <w:tr w14:paraId="0B8542C3">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6BAD5C61">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74BDF909">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top w:val="single" w:color="000000" w:sz="4" w:space="0"/>
              <w:left w:val="single" w:color="000000" w:sz="4" w:space="0"/>
              <w:right w:val="single" w:color="000000" w:sz="4" w:space="0"/>
            </w:tcBorders>
            <w:vAlign w:val="center"/>
          </w:tcPr>
          <w:p w14:paraId="3707BB97">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3EB46A4B">
            <w:pPr>
              <w:spacing w:line="240" w:lineRule="auto"/>
              <w:ind w:firstLine="0" w:firstLineChars="0"/>
              <w:jc w:val="center"/>
              <w:rPr>
                <w:rFonts w:ascii="Times New Roman" w:hAnsi="Times New Roman"/>
                <w:szCs w:val="20"/>
              </w:rPr>
            </w:pPr>
            <w:r>
              <w:rPr>
                <w:rFonts w:hint="eastAsia" w:ascii="Times New Roman" w:hAnsi="Times New Roman"/>
                <w:szCs w:val="20"/>
                <w:lang w:bidi="ar"/>
              </w:rPr>
              <w:t>安全测试达标</w:t>
            </w:r>
          </w:p>
        </w:tc>
        <w:tc>
          <w:tcPr>
            <w:tcW w:w="1540" w:type="dxa"/>
            <w:tcBorders>
              <w:top w:val="single" w:color="000000" w:sz="4" w:space="0"/>
              <w:left w:val="single" w:color="000000" w:sz="4" w:space="0"/>
              <w:bottom w:val="single" w:color="000000" w:sz="4" w:space="0"/>
              <w:right w:val="single" w:color="000000" w:sz="4" w:space="0"/>
            </w:tcBorders>
            <w:vAlign w:val="center"/>
          </w:tcPr>
          <w:p w14:paraId="2A5EA24E">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达标</w:t>
            </w:r>
          </w:p>
        </w:tc>
      </w:tr>
      <w:tr w14:paraId="26789BC1">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125EDDB4">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5C6BF1F8">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top w:val="single" w:color="000000" w:sz="4" w:space="0"/>
              <w:left w:val="single" w:color="000000" w:sz="4" w:space="0"/>
              <w:right w:val="single" w:color="000000" w:sz="4" w:space="0"/>
            </w:tcBorders>
            <w:vAlign w:val="center"/>
          </w:tcPr>
          <w:p w14:paraId="342E9E0C">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7B71FBDC">
            <w:pPr>
              <w:spacing w:line="240" w:lineRule="auto"/>
              <w:ind w:firstLine="0" w:firstLineChars="0"/>
              <w:jc w:val="center"/>
              <w:rPr>
                <w:rFonts w:ascii="Times New Roman" w:hAnsi="Times New Roman"/>
                <w:szCs w:val="20"/>
              </w:rPr>
            </w:pPr>
            <w:r>
              <w:rPr>
                <w:rFonts w:hint="eastAsia" w:ascii="Times New Roman" w:hAnsi="Times New Roman"/>
                <w:szCs w:val="20"/>
                <w:lang w:bidi="ar"/>
              </w:rPr>
              <w:t>网络安全等级保护</w:t>
            </w:r>
          </w:p>
        </w:tc>
        <w:tc>
          <w:tcPr>
            <w:tcW w:w="1540" w:type="dxa"/>
            <w:tcBorders>
              <w:top w:val="single" w:color="000000" w:sz="4" w:space="0"/>
              <w:left w:val="single" w:color="000000" w:sz="4" w:space="0"/>
              <w:bottom w:val="single" w:color="000000" w:sz="4" w:space="0"/>
              <w:right w:val="single" w:color="000000" w:sz="4" w:space="0"/>
            </w:tcBorders>
            <w:vAlign w:val="center"/>
          </w:tcPr>
          <w:p w14:paraId="5ED82E64">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三级</w:t>
            </w:r>
          </w:p>
        </w:tc>
      </w:tr>
      <w:tr w14:paraId="79FB18C5">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7BFC0464">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0E4162E6">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top w:val="single" w:color="000000" w:sz="4" w:space="0"/>
              <w:left w:val="single" w:color="000000" w:sz="4" w:space="0"/>
              <w:right w:val="single" w:color="000000" w:sz="4" w:space="0"/>
            </w:tcBorders>
            <w:vAlign w:val="center"/>
          </w:tcPr>
          <w:p w14:paraId="7D7BBAB0">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0EB5E76E">
            <w:pPr>
              <w:spacing w:line="240" w:lineRule="auto"/>
              <w:ind w:firstLine="0" w:firstLineChars="0"/>
              <w:jc w:val="center"/>
              <w:rPr>
                <w:rFonts w:ascii="Times New Roman" w:hAnsi="Times New Roman"/>
                <w:szCs w:val="20"/>
              </w:rPr>
            </w:pPr>
            <w:r>
              <w:rPr>
                <w:rFonts w:hint="eastAsia" w:ascii="Times New Roman" w:hAnsi="Times New Roman"/>
                <w:szCs w:val="20"/>
                <w:lang w:bidi="ar"/>
              </w:rPr>
              <w:t>一次性验收合格率</w:t>
            </w:r>
          </w:p>
        </w:tc>
        <w:tc>
          <w:tcPr>
            <w:tcW w:w="1540" w:type="dxa"/>
            <w:tcBorders>
              <w:top w:val="single" w:color="000000" w:sz="4" w:space="0"/>
              <w:left w:val="single" w:color="000000" w:sz="4" w:space="0"/>
              <w:bottom w:val="single" w:color="000000" w:sz="4" w:space="0"/>
              <w:right w:val="single" w:color="000000" w:sz="4" w:space="0"/>
            </w:tcBorders>
            <w:vAlign w:val="center"/>
          </w:tcPr>
          <w:p w14:paraId="737C133E">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=100%</w:t>
            </w:r>
          </w:p>
        </w:tc>
      </w:tr>
      <w:tr w14:paraId="38D36D28">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30F24975">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59F8EC23">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left w:val="single" w:color="000000" w:sz="4" w:space="0"/>
              <w:bottom w:val="single" w:color="000000" w:sz="4" w:space="0"/>
              <w:right w:val="single" w:color="000000" w:sz="4" w:space="0"/>
            </w:tcBorders>
            <w:vAlign w:val="center"/>
          </w:tcPr>
          <w:p w14:paraId="3D87E45D">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2150A1F9">
            <w:pPr>
              <w:spacing w:line="240" w:lineRule="auto"/>
              <w:ind w:firstLine="0" w:firstLineChars="0"/>
              <w:jc w:val="center"/>
              <w:rPr>
                <w:rFonts w:ascii="Times New Roman" w:hAnsi="Times New Roman"/>
                <w:szCs w:val="20"/>
              </w:rPr>
            </w:pPr>
            <w:r>
              <w:rPr>
                <w:rFonts w:hint="eastAsia" w:ascii="Times New Roman" w:hAnsi="Times New Roman"/>
                <w:szCs w:val="20"/>
                <w:lang w:bidi="ar"/>
              </w:rPr>
              <w:t>系统可靠性</w:t>
            </w:r>
          </w:p>
        </w:tc>
        <w:tc>
          <w:tcPr>
            <w:tcW w:w="1540" w:type="dxa"/>
            <w:tcBorders>
              <w:top w:val="single" w:color="000000" w:sz="4" w:space="0"/>
              <w:left w:val="single" w:color="000000" w:sz="4" w:space="0"/>
              <w:bottom w:val="single" w:color="000000" w:sz="4" w:space="0"/>
              <w:right w:val="single" w:color="000000" w:sz="4" w:space="0"/>
            </w:tcBorders>
            <w:vAlign w:val="center"/>
          </w:tcPr>
          <w:p w14:paraId="2D628D4C">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≥99%</w:t>
            </w:r>
          </w:p>
        </w:tc>
      </w:tr>
      <w:tr w14:paraId="1868F653">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220F7B7D">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left w:val="single" w:color="auto" w:sz="4" w:space="0"/>
              <w:bottom w:val="single" w:color="000000" w:sz="4" w:space="0"/>
              <w:right w:val="single" w:color="000000" w:sz="4" w:space="0"/>
            </w:tcBorders>
            <w:vAlign w:val="center"/>
          </w:tcPr>
          <w:p w14:paraId="470129B9">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tcBorders>
              <w:top w:val="single" w:color="000000" w:sz="4" w:space="0"/>
              <w:left w:val="single" w:color="000000" w:sz="4" w:space="0"/>
              <w:bottom w:val="single" w:color="000000" w:sz="4" w:space="0"/>
              <w:right w:val="single" w:color="000000" w:sz="4" w:space="0"/>
            </w:tcBorders>
            <w:vAlign w:val="center"/>
          </w:tcPr>
          <w:p w14:paraId="12AA8AB5">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产出时效</w:t>
            </w:r>
          </w:p>
        </w:tc>
        <w:tc>
          <w:tcPr>
            <w:tcW w:w="2079" w:type="pct"/>
            <w:tcBorders>
              <w:top w:val="single" w:color="000000" w:sz="4" w:space="0"/>
              <w:left w:val="single" w:color="000000" w:sz="4" w:space="0"/>
              <w:bottom w:val="single" w:color="000000" w:sz="4" w:space="0"/>
              <w:right w:val="single" w:color="000000" w:sz="4" w:space="0"/>
            </w:tcBorders>
            <w:vAlign w:val="center"/>
          </w:tcPr>
          <w:p w14:paraId="3397F5D5">
            <w:pPr>
              <w:spacing w:line="240" w:lineRule="auto"/>
              <w:ind w:firstLine="0" w:firstLineChars="0"/>
              <w:jc w:val="center"/>
              <w:rPr>
                <w:rFonts w:ascii="Times New Roman" w:hAnsi="Times New Roman"/>
                <w:szCs w:val="20"/>
              </w:rPr>
            </w:pPr>
            <w:r>
              <w:rPr>
                <w:rFonts w:hint="eastAsia" w:ascii="Times New Roman" w:hAnsi="Times New Roman"/>
                <w:szCs w:val="20"/>
                <w:lang w:bidi="ar"/>
              </w:rPr>
              <w:t>项目建设周期</w:t>
            </w:r>
          </w:p>
        </w:tc>
        <w:tc>
          <w:tcPr>
            <w:tcW w:w="1540" w:type="dxa"/>
            <w:tcBorders>
              <w:top w:val="single" w:color="000000" w:sz="4" w:space="0"/>
              <w:left w:val="single" w:color="000000" w:sz="4" w:space="0"/>
              <w:bottom w:val="single" w:color="000000" w:sz="4" w:space="0"/>
              <w:right w:val="single" w:color="000000" w:sz="4" w:space="0"/>
            </w:tcBorders>
            <w:vAlign w:val="center"/>
          </w:tcPr>
          <w:p w14:paraId="67BEA912">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≤12月</w:t>
            </w:r>
          </w:p>
        </w:tc>
      </w:tr>
      <w:tr w14:paraId="40EFF4EA">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0DBE9F61">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restart"/>
            <w:tcBorders>
              <w:top w:val="single" w:color="000000" w:sz="4" w:space="0"/>
              <w:left w:val="single" w:color="auto" w:sz="4" w:space="0"/>
              <w:right w:val="single" w:color="000000" w:sz="4" w:space="0"/>
            </w:tcBorders>
            <w:vAlign w:val="center"/>
          </w:tcPr>
          <w:p w14:paraId="64F4FBD1">
            <w:pPr>
              <w:spacing w:line="240" w:lineRule="auto"/>
              <w:ind w:firstLine="0" w:firstLineChars="0"/>
              <w:jc w:val="center"/>
              <w:rPr>
                <w:rFonts w:ascii="Times New Roman" w:hAnsi="Times New Roman"/>
                <w:szCs w:val="20"/>
              </w:rPr>
            </w:pPr>
            <w:r>
              <w:rPr>
                <w:rFonts w:hint="eastAsia" w:ascii="Times New Roman" w:hAnsi="Times New Roman"/>
                <w:szCs w:val="20"/>
              </w:rPr>
              <w:t>支撑系统/数据库/中间件</w:t>
            </w:r>
          </w:p>
        </w:tc>
        <w:tc>
          <w:tcPr>
            <w:tcW w:w="971" w:type="pct"/>
            <w:tcBorders>
              <w:top w:val="single" w:color="000000" w:sz="4" w:space="0"/>
              <w:left w:val="single" w:color="000000" w:sz="4" w:space="0"/>
              <w:bottom w:val="single" w:color="000000" w:sz="4" w:space="0"/>
              <w:right w:val="single" w:color="000000" w:sz="4" w:space="0"/>
            </w:tcBorders>
            <w:vAlign w:val="center"/>
          </w:tcPr>
          <w:p w14:paraId="256D67E1">
            <w:pPr>
              <w:spacing w:line="240" w:lineRule="auto"/>
              <w:ind w:firstLine="0" w:firstLineChars="0"/>
              <w:jc w:val="center"/>
              <w:rPr>
                <w:rFonts w:ascii="Times New Roman" w:hAnsi="Times New Roman"/>
                <w:szCs w:val="20"/>
              </w:rPr>
            </w:pPr>
            <w:r>
              <w:rPr>
                <w:rFonts w:hint="eastAsia" w:ascii="Times New Roman" w:hAnsi="Times New Roman"/>
                <w:szCs w:val="20"/>
                <w:lang w:bidi="ar"/>
              </w:rPr>
              <w:t>数字底座支撑能力</w:t>
            </w:r>
          </w:p>
        </w:tc>
        <w:tc>
          <w:tcPr>
            <w:tcW w:w="2079" w:type="pct"/>
            <w:tcBorders>
              <w:top w:val="single" w:color="000000" w:sz="4" w:space="0"/>
              <w:left w:val="single" w:color="000000" w:sz="4" w:space="0"/>
              <w:bottom w:val="single" w:color="000000" w:sz="4" w:space="0"/>
              <w:right w:val="single" w:color="000000" w:sz="4" w:space="0"/>
            </w:tcBorders>
            <w:vAlign w:val="center"/>
          </w:tcPr>
          <w:p w14:paraId="7136EC3E">
            <w:pPr>
              <w:spacing w:line="240" w:lineRule="auto"/>
              <w:ind w:firstLine="0" w:firstLineChars="0"/>
              <w:jc w:val="center"/>
              <w:rPr>
                <w:rFonts w:ascii="Times New Roman" w:hAnsi="Times New Roman"/>
                <w:szCs w:val="20"/>
              </w:rPr>
            </w:pPr>
            <w:r>
              <w:rPr>
                <w:rFonts w:hint="eastAsia" w:ascii="Times New Roman" w:hAnsi="Times New Roman"/>
                <w:szCs w:val="20"/>
                <w:lang w:bidi="ar"/>
              </w:rPr>
              <w:t>支撑业务数量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6311E7A1">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≥10项</w:t>
            </w:r>
          </w:p>
        </w:tc>
      </w:tr>
      <w:tr w14:paraId="0314CD94">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50937E49">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top w:val="single" w:color="000000" w:sz="4" w:space="0"/>
              <w:left w:val="single" w:color="auto" w:sz="4" w:space="0"/>
              <w:right w:val="single" w:color="000000" w:sz="4" w:space="0"/>
            </w:tcBorders>
            <w:vAlign w:val="center"/>
          </w:tcPr>
          <w:p w14:paraId="4560A916">
            <w:pPr>
              <w:spacing w:line="240" w:lineRule="auto"/>
              <w:ind w:firstLine="0" w:firstLineChars="0"/>
              <w:jc w:val="center"/>
              <w:rPr>
                <w:rFonts w:ascii="Times New Roman" w:hAnsi="Times New Roman"/>
                <w:szCs w:val="20"/>
              </w:rPr>
            </w:pPr>
            <w:r>
              <w:rPr>
                <w:rFonts w:hint="eastAsia" w:ascii="Times New Roman" w:hAnsi="Times New Roman"/>
                <w:szCs w:val="20"/>
              </w:rPr>
              <w:t>支撑系统/数据库/中间件</w:t>
            </w:r>
          </w:p>
        </w:tc>
        <w:tc>
          <w:tcPr>
            <w:tcW w:w="971" w:type="pct"/>
            <w:vMerge w:val="restart"/>
            <w:tcBorders>
              <w:top w:val="single" w:color="000000" w:sz="4" w:space="0"/>
              <w:left w:val="single" w:color="000000" w:sz="4" w:space="0"/>
              <w:right w:val="single" w:color="000000" w:sz="4" w:space="0"/>
            </w:tcBorders>
            <w:vAlign w:val="center"/>
          </w:tcPr>
          <w:p w14:paraId="2843806B">
            <w:pPr>
              <w:spacing w:line="240" w:lineRule="auto"/>
              <w:ind w:firstLine="0" w:firstLineChars="0"/>
              <w:jc w:val="center"/>
              <w:rPr>
                <w:rFonts w:ascii="Times New Roman" w:hAnsi="Times New Roman"/>
                <w:szCs w:val="20"/>
              </w:rPr>
            </w:pPr>
            <w:r>
              <w:rPr>
                <w:rFonts w:hint="eastAsia" w:ascii="Times New Roman" w:hAnsi="Times New Roman"/>
                <w:szCs w:val="20"/>
                <w:lang w:bidi="ar"/>
              </w:rPr>
              <w:t>操作系统或数据库或中间件水平</w:t>
            </w:r>
          </w:p>
        </w:tc>
        <w:tc>
          <w:tcPr>
            <w:tcW w:w="2079" w:type="pct"/>
            <w:tcBorders>
              <w:top w:val="single" w:color="000000" w:sz="4" w:space="0"/>
              <w:left w:val="single" w:color="000000" w:sz="4" w:space="0"/>
              <w:bottom w:val="single" w:color="000000" w:sz="4" w:space="0"/>
              <w:right w:val="single" w:color="000000" w:sz="4" w:space="0"/>
            </w:tcBorders>
            <w:vAlign w:val="center"/>
          </w:tcPr>
          <w:p w14:paraId="40A25107">
            <w:pPr>
              <w:spacing w:line="240" w:lineRule="auto"/>
              <w:ind w:firstLine="0" w:firstLineChars="0"/>
              <w:jc w:val="center"/>
              <w:rPr>
                <w:rFonts w:ascii="Times New Roman" w:hAnsi="Times New Roman"/>
                <w:szCs w:val="20"/>
              </w:rPr>
            </w:pPr>
            <w:r>
              <w:rPr>
                <w:rFonts w:hint="eastAsia" w:ascii="Times New Roman" w:hAnsi="Times New Roman"/>
                <w:szCs w:val="20"/>
                <w:lang w:bidi="ar"/>
              </w:rPr>
              <w:t>系统、数据库或中间件月调用频率</w:t>
            </w:r>
          </w:p>
        </w:tc>
        <w:tc>
          <w:tcPr>
            <w:tcW w:w="1540" w:type="dxa"/>
            <w:tcBorders>
              <w:top w:val="single" w:color="000000" w:sz="4" w:space="0"/>
              <w:left w:val="single" w:color="000000" w:sz="4" w:space="0"/>
              <w:bottom w:val="single" w:color="000000" w:sz="4" w:space="0"/>
              <w:right w:val="single" w:color="000000" w:sz="4" w:space="0"/>
            </w:tcBorders>
            <w:vAlign w:val="center"/>
          </w:tcPr>
          <w:p w14:paraId="2E0B5050">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≥2000次</w:t>
            </w:r>
          </w:p>
        </w:tc>
      </w:tr>
      <w:tr w14:paraId="719ABED8">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501F694D">
            <w:pPr>
              <w:spacing w:line="240" w:lineRule="auto"/>
              <w:ind w:firstLine="0" w:firstLineChars="0"/>
              <w:jc w:val="center"/>
              <w:rPr>
                <w:rFonts w:ascii="Times New Roman" w:hAnsi="Times New Roman"/>
                <w:szCs w:val="20"/>
              </w:rPr>
            </w:pPr>
            <w:r>
              <w:rPr>
                <w:rFonts w:hint="eastAsia" w:ascii="Times New Roman" w:hAnsi="Times New Roman"/>
                <w:szCs w:val="20"/>
                <w:lang w:bidi="ar"/>
              </w:rPr>
              <w:t>通用指标</w:t>
            </w:r>
          </w:p>
        </w:tc>
        <w:tc>
          <w:tcPr>
            <w:tcW w:w="453" w:type="pct"/>
            <w:vMerge w:val="continue"/>
            <w:tcBorders>
              <w:left w:val="single" w:color="auto" w:sz="4" w:space="0"/>
              <w:bottom w:val="single" w:color="000000" w:sz="4" w:space="0"/>
              <w:right w:val="single" w:color="000000" w:sz="4" w:space="0"/>
            </w:tcBorders>
            <w:vAlign w:val="center"/>
          </w:tcPr>
          <w:p w14:paraId="60179434">
            <w:pPr>
              <w:spacing w:line="240" w:lineRule="auto"/>
              <w:ind w:firstLine="0" w:firstLineChars="0"/>
              <w:jc w:val="center"/>
              <w:rPr>
                <w:rFonts w:ascii="Times New Roman" w:hAnsi="Times New Roman"/>
                <w:szCs w:val="20"/>
              </w:rPr>
            </w:pPr>
            <w:r>
              <w:rPr>
                <w:rFonts w:hint="eastAsia" w:ascii="Times New Roman" w:hAnsi="Times New Roman"/>
                <w:szCs w:val="20"/>
              </w:rPr>
              <w:t>支撑系统/数据库/中间件</w:t>
            </w:r>
          </w:p>
        </w:tc>
        <w:tc>
          <w:tcPr>
            <w:tcW w:w="971" w:type="pct"/>
            <w:vMerge w:val="continue"/>
            <w:tcBorders>
              <w:left w:val="single" w:color="000000" w:sz="4" w:space="0"/>
              <w:bottom w:val="single" w:color="000000" w:sz="4" w:space="0"/>
              <w:right w:val="single" w:color="000000" w:sz="4" w:space="0"/>
            </w:tcBorders>
            <w:vAlign w:val="center"/>
          </w:tcPr>
          <w:p w14:paraId="039D6895">
            <w:pPr>
              <w:spacing w:line="240" w:lineRule="auto"/>
              <w:ind w:firstLine="0" w:firstLineChars="0"/>
              <w:jc w:val="center"/>
              <w:rPr>
                <w:rFonts w:ascii="Times New Roman" w:hAnsi="Times New Roman"/>
                <w:szCs w:val="20"/>
              </w:rPr>
            </w:pPr>
            <w:r>
              <w:rPr>
                <w:rFonts w:hint="eastAsia" w:ascii="Times New Roman" w:hAnsi="Times New Roman"/>
                <w:szCs w:val="20"/>
                <w:lang w:bidi="ar"/>
              </w:rPr>
              <w:t>操作系统或数据库或中间件水平</w:t>
            </w:r>
          </w:p>
        </w:tc>
        <w:tc>
          <w:tcPr>
            <w:tcW w:w="2079" w:type="pct"/>
            <w:tcBorders>
              <w:top w:val="single" w:color="000000" w:sz="4" w:space="0"/>
              <w:left w:val="single" w:color="000000" w:sz="4" w:space="0"/>
              <w:bottom w:val="single" w:color="000000" w:sz="4" w:space="0"/>
              <w:right w:val="single" w:color="000000" w:sz="4" w:space="0"/>
            </w:tcBorders>
            <w:vAlign w:val="center"/>
          </w:tcPr>
          <w:p w14:paraId="48C1DFDD">
            <w:pPr>
              <w:spacing w:line="240" w:lineRule="auto"/>
              <w:ind w:firstLine="0" w:firstLineChars="0"/>
              <w:jc w:val="center"/>
              <w:rPr>
                <w:rFonts w:ascii="Times New Roman" w:hAnsi="Times New Roman"/>
                <w:szCs w:val="20"/>
              </w:rPr>
            </w:pPr>
            <w:r>
              <w:rPr>
                <w:rFonts w:hint="eastAsia" w:ascii="Times New Roman" w:hAnsi="Times New Roman"/>
                <w:szCs w:val="20"/>
                <w:lang w:bidi="ar"/>
              </w:rPr>
              <w:t>系统、数据库或中间件数量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50B602EB">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≥10个</w:t>
            </w:r>
          </w:p>
        </w:tc>
      </w:tr>
      <w:tr w14:paraId="565BBE67">
        <w:trPr>
          <w:trHeight w:val="280" w:hRule="atLeast"/>
        </w:trPr>
        <w:tc>
          <w:tcPr>
            <w:tcW w:w="568" w:type="pct"/>
            <w:vMerge w:val="restart"/>
            <w:tcBorders>
              <w:top w:val="single" w:color="auto" w:sz="4" w:space="0"/>
              <w:left w:val="single" w:color="000000" w:sz="4" w:space="0"/>
              <w:right w:val="single" w:color="auto" w:sz="4" w:space="0"/>
            </w:tcBorders>
            <w:vAlign w:val="center"/>
          </w:tcPr>
          <w:p w14:paraId="58985DA0">
            <w:pPr>
              <w:spacing w:line="240" w:lineRule="auto"/>
              <w:ind w:firstLine="0" w:firstLineChars="0"/>
              <w:jc w:val="center"/>
              <w:rPr>
                <w:rFonts w:ascii="Times New Roman" w:hAnsi="Times New Roman"/>
                <w:szCs w:val="20"/>
              </w:rPr>
            </w:pPr>
            <w:r>
              <w:rPr>
                <w:rFonts w:hint="eastAsia" w:ascii="Times New Roman" w:hAnsi="Times New Roman"/>
                <w:szCs w:val="20"/>
                <w:lang w:bidi="ar"/>
              </w:rPr>
              <w:t>业务指标</w:t>
            </w:r>
          </w:p>
        </w:tc>
        <w:tc>
          <w:tcPr>
            <w:tcW w:w="453" w:type="pct"/>
            <w:vMerge w:val="restart"/>
            <w:tcBorders>
              <w:top w:val="single" w:color="000000" w:sz="4" w:space="0"/>
              <w:left w:val="single" w:color="auto" w:sz="4" w:space="0"/>
              <w:right w:val="single" w:color="000000" w:sz="4" w:space="0"/>
            </w:tcBorders>
            <w:vAlign w:val="center"/>
          </w:tcPr>
          <w:p w14:paraId="684CB863">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restart"/>
            <w:tcBorders>
              <w:top w:val="single" w:color="000000" w:sz="4" w:space="0"/>
              <w:left w:val="single" w:color="000000" w:sz="4" w:space="0"/>
              <w:right w:val="single" w:color="000000" w:sz="4" w:space="0"/>
            </w:tcBorders>
            <w:vAlign w:val="center"/>
          </w:tcPr>
          <w:p w14:paraId="624A9211">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产出数量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61D289CA">
            <w:pPr>
              <w:spacing w:line="240" w:lineRule="auto"/>
              <w:ind w:firstLine="0" w:firstLineChars="0"/>
              <w:jc w:val="center"/>
              <w:rPr>
                <w:rFonts w:ascii="Times New Roman" w:hAnsi="Times New Roman"/>
                <w:szCs w:val="20"/>
              </w:rPr>
            </w:pPr>
            <w:r>
              <w:rPr>
                <w:rFonts w:hint="eastAsia" w:ascii="Times New Roman" w:hAnsi="Times New Roman"/>
                <w:szCs w:val="20"/>
                <w:lang w:bidi="ar"/>
              </w:rPr>
              <w:t>形成可共享数据表</w:t>
            </w:r>
          </w:p>
        </w:tc>
        <w:tc>
          <w:tcPr>
            <w:tcW w:w="1540" w:type="dxa"/>
            <w:tcBorders>
              <w:top w:val="single" w:color="000000" w:sz="4" w:space="0"/>
              <w:left w:val="single" w:color="000000" w:sz="4" w:space="0"/>
              <w:bottom w:val="single" w:color="000000" w:sz="4" w:space="0"/>
              <w:right w:val="single" w:color="000000" w:sz="4" w:space="0"/>
            </w:tcBorders>
            <w:vAlign w:val="center"/>
          </w:tcPr>
          <w:p w14:paraId="64FCEEA3">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＞200张</w:t>
            </w:r>
          </w:p>
        </w:tc>
      </w:tr>
      <w:tr w14:paraId="08AC3554">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18A4516F">
            <w:pPr>
              <w:spacing w:line="240" w:lineRule="auto"/>
              <w:ind w:firstLine="0" w:firstLineChars="0"/>
              <w:jc w:val="center"/>
              <w:rPr>
                <w:rFonts w:ascii="Times New Roman" w:hAnsi="Times New Roman"/>
                <w:szCs w:val="20"/>
              </w:rPr>
            </w:pPr>
            <w:r>
              <w:rPr>
                <w:rFonts w:hint="eastAsia" w:ascii="Times New Roman" w:hAnsi="Times New Roman"/>
                <w:szCs w:val="20"/>
                <w:lang w:bidi="ar"/>
              </w:rPr>
              <w:t>业务指标</w:t>
            </w:r>
          </w:p>
        </w:tc>
        <w:tc>
          <w:tcPr>
            <w:tcW w:w="453" w:type="pct"/>
            <w:vMerge w:val="continue"/>
            <w:tcBorders>
              <w:top w:val="single" w:color="000000" w:sz="4" w:space="0"/>
              <w:left w:val="single" w:color="auto" w:sz="4" w:space="0"/>
              <w:right w:val="single" w:color="000000" w:sz="4" w:space="0"/>
            </w:tcBorders>
            <w:vAlign w:val="center"/>
          </w:tcPr>
          <w:p w14:paraId="72D4C4E5">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top w:val="single" w:color="000000" w:sz="4" w:space="0"/>
              <w:left w:val="single" w:color="000000" w:sz="4" w:space="0"/>
              <w:right w:val="single" w:color="000000" w:sz="4" w:space="0"/>
            </w:tcBorders>
            <w:vAlign w:val="center"/>
          </w:tcPr>
          <w:p w14:paraId="67928085">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产出数量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7A596DEB">
            <w:pPr>
              <w:spacing w:line="240" w:lineRule="auto"/>
              <w:ind w:firstLine="0" w:firstLineChars="0"/>
              <w:jc w:val="center"/>
              <w:rPr>
                <w:rFonts w:ascii="Times New Roman" w:hAnsi="Times New Roman"/>
                <w:szCs w:val="20"/>
              </w:rPr>
            </w:pPr>
            <w:r>
              <w:rPr>
                <w:rFonts w:hint="eastAsia" w:ascii="Times New Roman" w:hAnsi="Times New Roman"/>
                <w:szCs w:val="20"/>
                <w:lang w:bidi="ar"/>
              </w:rPr>
              <w:t>形成交通行业图层</w:t>
            </w:r>
          </w:p>
        </w:tc>
        <w:tc>
          <w:tcPr>
            <w:tcW w:w="1540" w:type="dxa"/>
            <w:tcBorders>
              <w:top w:val="single" w:color="000000" w:sz="4" w:space="0"/>
              <w:left w:val="single" w:color="000000" w:sz="4" w:space="0"/>
              <w:bottom w:val="single" w:color="000000" w:sz="4" w:space="0"/>
              <w:right w:val="single" w:color="000000" w:sz="4" w:space="0"/>
            </w:tcBorders>
            <w:vAlign w:val="center"/>
          </w:tcPr>
          <w:p w14:paraId="53DAB706">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＞100个</w:t>
            </w:r>
          </w:p>
        </w:tc>
      </w:tr>
      <w:tr w14:paraId="100BAFDE">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51868A51">
            <w:pPr>
              <w:spacing w:line="240" w:lineRule="auto"/>
              <w:ind w:firstLine="0" w:firstLineChars="0"/>
              <w:jc w:val="center"/>
              <w:rPr>
                <w:rFonts w:ascii="Times New Roman" w:hAnsi="Times New Roman"/>
                <w:szCs w:val="20"/>
              </w:rPr>
            </w:pPr>
            <w:r>
              <w:rPr>
                <w:rFonts w:hint="eastAsia" w:ascii="Times New Roman" w:hAnsi="Times New Roman"/>
                <w:szCs w:val="20"/>
                <w:lang w:bidi="ar"/>
              </w:rPr>
              <w:t>业务指标</w:t>
            </w:r>
          </w:p>
        </w:tc>
        <w:tc>
          <w:tcPr>
            <w:tcW w:w="453" w:type="pct"/>
            <w:vMerge w:val="continue"/>
            <w:tcBorders>
              <w:top w:val="single" w:color="000000" w:sz="4" w:space="0"/>
              <w:left w:val="single" w:color="auto" w:sz="4" w:space="0"/>
              <w:right w:val="single" w:color="000000" w:sz="4" w:space="0"/>
            </w:tcBorders>
            <w:vAlign w:val="center"/>
          </w:tcPr>
          <w:p w14:paraId="3175251C">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left w:val="single" w:color="000000" w:sz="4" w:space="0"/>
              <w:bottom w:val="single" w:color="000000" w:sz="4" w:space="0"/>
              <w:right w:val="single" w:color="000000" w:sz="4" w:space="0"/>
            </w:tcBorders>
            <w:vAlign w:val="center"/>
          </w:tcPr>
          <w:p w14:paraId="761D7B49">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产出数量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640F90BC">
            <w:pPr>
              <w:spacing w:line="240" w:lineRule="auto"/>
              <w:ind w:firstLine="0" w:firstLineChars="0"/>
              <w:jc w:val="center"/>
              <w:rPr>
                <w:rFonts w:ascii="Times New Roman" w:hAnsi="Times New Roman"/>
                <w:szCs w:val="20"/>
              </w:rPr>
            </w:pPr>
            <w:r>
              <w:rPr>
                <w:rFonts w:hint="eastAsia" w:ascii="Times New Roman" w:hAnsi="Times New Roman"/>
                <w:szCs w:val="20"/>
                <w:lang w:bidi="ar"/>
              </w:rPr>
              <w:t>形成融合标签</w:t>
            </w:r>
          </w:p>
        </w:tc>
        <w:tc>
          <w:tcPr>
            <w:tcW w:w="1540" w:type="dxa"/>
            <w:tcBorders>
              <w:top w:val="single" w:color="000000" w:sz="4" w:space="0"/>
              <w:left w:val="single" w:color="000000" w:sz="4" w:space="0"/>
              <w:bottom w:val="single" w:color="000000" w:sz="4" w:space="0"/>
              <w:right w:val="single" w:color="000000" w:sz="4" w:space="0"/>
            </w:tcBorders>
            <w:vAlign w:val="center"/>
          </w:tcPr>
          <w:p w14:paraId="443067D2">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＞100个</w:t>
            </w:r>
          </w:p>
        </w:tc>
      </w:tr>
      <w:tr w14:paraId="3B7534DF">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2B66A38D">
            <w:pPr>
              <w:spacing w:line="240" w:lineRule="auto"/>
              <w:ind w:firstLine="0" w:firstLineChars="0"/>
              <w:jc w:val="center"/>
              <w:rPr>
                <w:rFonts w:ascii="Times New Roman" w:hAnsi="Times New Roman"/>
                <w:szCs w:val="20"/>
              </w:rPr>
            </w:pPr>
            <w:r>
              <w:rPr>
                <w:rFonts w:hint="eastAsia" w:ascii="Times New Roman" w:hAnsi="Times New Roman"/>
                <w:szCs w:val="20"/>
                <w:lang w:bidi="ar"/>
              </w:rPr>
              <w:t>业务指标</w:t>
            </w:r>
          </w:p>
        </w:tc>
        <w:tc>
          <w:tcPr>
            <w:tcW w:w="453" w:type="pct"/>
            <w:vMerge w:val="continue"/>
            <w:tcBorders>
              <w:top w:val="single" w:color="000000" w:sz="4" w:space="0"/>
              <w:left w:val="single" w:color="auto" w:sz="4" w:space="0"/>
              <w:right w:val="single" w:color="000000" w:sz="4" w:space="0"/>
            </w:tcBorders>
            <w:vAlign w:val="center"/>
          </w:tcPr>
          <w:p w14:paraId="1B9D3224">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restart"/>
            <w:tcBorders>
              <w:top w:val="single" w:color="000000" w:sz="4" w:space="0"/>
              <w:left w:val="single" w:color="000000" w:sz="4" w:space="0"/>
              <w:right w:val="single" w:color="000000" w:sz="4" w:space="0"/>
            </w:tcBorders>
            <w:vAlign w:val="center"/>
          </w:tcPr>
          <w:p w14:paraId="7899415A">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2A6D1554">
            <w:pPr>
              <w:spacing w:line="240" w:lineRule="auto"/>
              <w:ind w:firstLine="0" w:firstLineChars="0"/>
              <w:jc w:val="center"/>
              <w:rPr>
                <w:rFonts w:ascii="Times New Roman" w:hAnsi="Times New Roman"/>
                <w:szCs w:val="20"/>
              </w:rPr>
            </w:pPr>
            <w:r>
              <w:rPr>
                <w:rFonts w:hint="eastAsia" w:ascii="Times New Roman" w:hAnsi="Times New Roman"/>
                <w:szCs w:val="20"/>
                <w:lang w:bidi="ar"/>
              </w:rPr>
              <w:t>根据标签查询图层平均响应时间</w:t>
            </w:r>
          </w:p>
        </w:tc>
        <w:tc>
          <w:tcPr>
            <w:tcW w:w="1540" w:type="dxa"/>
            <w:tcBorders>
              <w:top w:val="single" w:color="000000" w:sz="4" w:space="0"/>
              <w:left w:val="single" w:color="000000" w:sz="4" w:space="0"/>
              <w:bottom w:val="single" w:color="000000" w:sz="4" w:space="0"/>
              <w:right w:val="single" w:color="000000" w:sz="4" w:space="0"/>
            </w:tcBorders>
            <w:vAlign w:val="center"/>
          </w:tcPr>
          <w:p w14:paraId="35D80644">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＜5秒</w:t>
            </w:r>
          </w:p>
        </w:tc>
      </w:tr>
      <w:tr w14:paraId="4D74B653">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1A7A2482">
            <w:pPr>
              <w:spacing w:line="240" w:lineRule="auto"/>
              <w:ind w:firstLine="0" w:firstLineChars="0"/>
              <w:jc w:val="center"/>
              <w:rPr>
                <w:rFonts w:ascii="Times New Roman" w:hAnsi="Times New Roman"/>
                <w:szCs w:val="20"/>
              </w:rPr>
            </w:pPr>
            <w:r>
              <w:rPr>
                <w:rFonts w:hint="eastAsia" w:ascii="Times New Roman" w:hAnsi="Times New Roman"/>
                <w:szCs w:val="20"/>
                <w:lang w:bidi="ar"/>
              </w:rPr>
              <w:t>业务指标</w:t>
            </w:r>
          </w:p>
        </w:tc>
        <w:tc>
          <w:tcPr>
            <w:tcW w:w="453" w:type="pct"/>
            <w:vMerge w:val="continue"/>
            <w:tcBorders>
              <w:left w:val="single" w:color="auto" w:sz="4" w:space="0"/>
              <w:bottom w:val="single" w:color="000000" w:sz="4" w:space="0"/>
              <w:right w:val="single" w:color="000000" w:sz="4" w:space="0"/>
            </w:tcBorders>
            <w:vAlign w:val="center"/>
          </w:tcPr>
          <w:p w14:paraId="5AD74C5E">
            <w:pPr>
              <w:spacing w:line="240" w:lineRule="auto"/>
              <w:ind w:firstLine="0" w:firstLineChars="0"/>
              <w:jc w:val="center"/>
              <w:rPr>
                <w:rFonts w:ascii="Times New Roman" w:hAnsi="Times New Roman"/>
                <w:szCs w:val="20"/>
              </w:rPr>
            </w:pPr>
            <w:r>
              <w:rPr>
                <w:rFonts w:hint="eastAsia" w:ascii="Times New Roman" w:hAnsi="Times New Roman"/>
                <w:szCs w:val="20"/>
              </w:rPr>
              <w:t>产出指标</w:t>
            </w:r>
          </w:p>
        </w:tc>
        <w:tc>
          <w:tcPr>
            <w:tcW w:w="971" w:type="pct"/>
            <w:vMerge w:val="continue"/>
            <w:tcBorders>
              <w:left w:val="single" w:color="000000" w:sz="4" w:space="0"/>
              <w:bottom w:val="single" w:color="000000" w:sz="4" w:space="0"/>
              <w:right w:val="single" w:color="000000" w:sz="4" w:space="0"/>
            </w:tcBorders>
            <w:vAlign w:val="center"/>
          </w:tcPr>
          <w:p w14:paraId="10999462">
            <w:pPr>
              <w:spacing w:line="240" w:lineRule="auto"/>
              <w:ind w:firstLine="0" w:firstLineChars="0"/>
              <w:jc w:val="center"/>
              <w:rPr>
                <w:rFonts w:ascii="Times New Roman" w:hAnsi="Times New Roman"/>
                <w:szCs w:val="20"/>
              </w:rPr>
            </w:pPr>
            <w:r>
              <w:rPr>
                <w:rFonts w:hint="eastAsia" w:ascii="Times New Roman" w:hAnsi="Times New Roman"/>
                <w:szCs w:val="20"/>
                <w:lang w:bidi="ar"/>
              </w:rPr>
              <w:t>产出质量</w:t>
            </w:r>
          </w:p>
        </w:tc>
        <w:tc>
          <w:tcPr>
            <w:tcW w:w="2079" w:type="pct"/>
            <w:tcBorders>
              <w:top w:val="single" w:color="000000" w:sz="4" w:space="0"/>
              <w:left w:val="single" w:color="000000" w:sz="4" w:space="0"/>
              <w:bottom w:val="single" w:color="000000" w:sz="4" w:space="0"/>
              <w:right w:val="single" w:color="000000" w:sz="4" w:space="0"/>
            </w:tcBorders>
            <w:vAlign w:val="center"/>
          </w:tcPr>
          <w:p w14:paraId="6EDE2C18">
            <w:pPr>
              <w:spacing w:line="240" w:lineRule="auto"/>
              <w:ind w:firstLine="0" w:firstLineChars="0"/>
              <w:jc w:val="center"/>
              <w:rPr>
                <w:rFonts w:ascii="Times New Roman" w:hAnsi="Times New Roman"/>
                <w:szCs w:val="20"/>
              </w:rPr>
            </w:pPr>
            <w:r>
              <w:rPr>
                <w:rFonts w:hint="eastAsia" w:ascii="Times New Roman" w:hAnsi="Times New Roman"/>
                <w:szCs w:val="20"/>
                <w:lang w:bidi="ar"/>
              </w:rPr>
              <w:t>根据标签查询数据表平均响应时间</w:t>
            </w:r>
          </w:p>
        </w:tc>
        <w:tc>
          <w:tcPr>
            <w:tcW w:w="1540" w:type="dxa"/>
            <w:tcBorders>
              <w:top w:val="single" w:color="000000" w:sz="4" w:space="0"/>
              <w:left w:val="single" w:color="000000" w:sz="4" w:space="0"/>
              <w:bottom w:val="single" w:color="000000" w:sz="4" w:space="0"/>
              <w:right w:val="single" w:color="000000" w:sz="4" w:space="0"/>
            </w:tcBorders>
            <w:vAlign w:val="center"/>
          </w:tcPr>
          <w:p w14:paraId="5C4E9345">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＜3秒</w:t>
            </w:r>
          </w:p>
        </w:tc>
      </w:tr>
      <w:tr w14:paraId="529FF08B">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11837C73">
            <w:pPr>
              <w:spacing w:line="240" w:lineRule="auto"/>
              <w:ind w:firstLine="0" w:firstLineChars="0"/>
              <w:jc w:val="center"/>
              <w:rPr>
                <w:rFonts w:ascii="Times New Roman" w:hAnsi="Times New Roman"/>
                <w:szCs w:val="20"/>
              </w:rPr>
            </w:pPr>
            <w:r>
              <w:rPr>
                <w:rFonts w:hint="eastAsia" w:ascii="Times New Roman" w:hAnsi="Times New Roman"/>
                <w:szCs w:val="20"/>
                <w:lang w:bidi="ar"/>
              </w:rPr>
              <w:t>业务指标</w:t>
            </w:r>
          </w:p>
        </w:tc>
        <w:tc>
          <w:tcPr>
            <w:tcW w:w="453" w:type="pct"/>
            <w:vMerge w:val="restart"/>
            <w:tcBorders>
              <w:top w:val="single" w:color="000000" w:sz="4" w:space="0"/>
              <w:left w:val="single" w:color="auto" w:sz="4" w:space="0"/>
              <w:right w:val="single" w:color="000000" w:sz="4" w:space="0"/>
            </w:tcBorders>
            <w:vAlign w:val="center"/>
          </w:tcPr>
          <w:p w14:paraId="7C4A09A3">
            <w:pPr>
              <w:spacing w:line="240" w:lineRule="auto"/>
              <w:ind w:firstLine="0" w:firstLineChars="0"/>
              <w:jc w:val="center"/>
              <w:rPr>
                <w:rFonts w:ascii="Times New Roman" w:hAnsi="Times New Roman"/>
                <w:szCs w:val="20"/>
              </w:rPr>
            </w:pPr>
            <w:r>
              <w:rPr>
                <w:rFonts w:hint="eastAsia" w:ascii="Times New Roman" w:hAnsi="Times New Roman"/>
                <w:szCs w:val="20"/>
              </w:rPr>
              <w:t>效益指标</w:t>
            </w:r>
          </w:p>
        </w:tc>
        <w:tc>
          <w:tcPr>
            <w:tcW w:w="971" w:type="pct"/>
            <w:vMerge w:val="restart"/>
            <w:tcBorders>
              <w:top w:val="single" w:color="000000" w:sz="4" w:space="0"/>
              <w:left w:val="single" w:color="000000" w:sz="4" w:space="0"/>
              <w:right w:val="single" w:color="000000" w:sz="4" w:space="0"/>
            </w:tcBorders>
            <w:vAlign w:val="center"/>
          </w:tcPr>
          <w:p w14:paraId="3F60A574">
            <w:pPr>
              <w:spacing w:line="240" w:lineRule="auto"/>
              <w:ind w:firstLine="0" w:firstLineChars="0"/>
              <w:jc w:val="center"/>
              <w:rPr>
                <w:rFonts w:ascii="Times New Roman" w:hAnsi="Times New Roman"/>
                <w:szCs w:val="20"/>
              </w:rPr>
            </w:pPr>
            <w:r>
              <w:rPr>
                <w:rFonts w:hint="eastAsia" w:ascii="Times New Roman" w:hAnsi="Times New Roman"/>
                <w:szCs w:val="20"/>
                <w:lang w:bidi="ar"/>
              </w:rPr>
              <w:t>社会效益</w:t>
            </w:r>
          </w:p>
        </w:tc>
        <w:tc>
          <w:tcPr>
            <w:tcW w:w="2079" w:type="pct"/>
            <w:tcBorders>
              <w:top w:val="single" w:color="000000" w:sz="4" w:space="0"/>
              <w:left w:val="single" w:color="000000" w:sz="4" w:space="0"/>
              <w:bottom w:val="single" w:color="000000" w:sz="4" w:space="0"/>
              <w:right w:val="single" w:color="000000" w:sz="4" w:space="0"/>
            </w:tcBorders>
            <w:vAlign w:val="center"/>
          </w:tcPr>
          <w:p w14:paraId="79B83B10">
            <w:pPr>
              <w:spacing w:line="240" w:lineRule="auto"/>
              <w:ind w:firstLine="0" w:firstLineChars="0"/>
              <w:jc w:val="center"/>
              <w:rPr>
                <w:rFonts w:ascii="Times New Roman" w:hAnsi="Times New Roman"/>
                <w:szCs w:val="20"/>
              </w:rPr>
            </w:pPr>
            <w:r>
              <w:rPr>
                <w:rFonts w:hint="eastAsia" w:ascii="Times New Roman" w:hAnsi="Times New Roman"/>
                <w:szCs w:val="20"/>
                <w:lang w:bidi="ar"/>
              </w:rPr>
              <w:t>数据支撑行业委办单位</w:t>
            </w:r>
          </w:p>
        </w:tc>
        <w:tc>
          <w:tcPr>
            <w:tcW w:w="1540" w:type="dxa"/>
            <w:tcBorders>
              <w:top w:val="single" w:color="000000" w:sz="4" w:space="0"/>
              <w:left w:val="single" w:color="000000" w:sz="4" w:space="0"/>
              <w:bottom w:val="single" w:color="000000" w:sz="4" w:space="0"/>
              <w:right w:val="single" w:color="000000" w:sz="4" w:space="0"/>
            </w:tcBorders>
            <w:vAlign w:val="center"/>
          </w:tcPr>
          <w:p w14:paraId="2BBED28B">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＞4家</w:t>
            </w:r>
          </w:p>
        </w:tc>
      </w:tr>
      <w:tr w14:paraId="43781895">
        <w:tblPrEx>
          <w:tblCellMar>
            <w:top w:w="0" w:type="dxa"/>
            <w:left w:w="57" w:type="dxa"/>
            <w:bottom w:w="0" w:type="dxa"/>
            <w:right w:w="57" w:type="dxa"/>
          </w:tblCellMar>
        </w:tblPrEx>
        <w:trPr>
          <w:trHeight w:val="280" w:hRule="atLeast"/>
        </w:trPr>
        <w:tc>
          <w:tcPr>
            <w:tcW w:w="568" w:type="pct"/>
            <w:vMerge w:val="continue"/>
            <w:tcBorders>
              <w:left w:val="single" w:color="000000" w:sz="4" w:space="0"/>
              <w:bottom w:val="single" w:color="auto" w:sz="4" w:space="0"/>
              <w:right w:val="single" w:color="auto" w:sz="4" w:space="0"/>
            </w:tcBorders>
            <w:vAlign w:val="center"/>
          </w:tcPr>
          <w:p w14:paraId="5CDBDA5D">
            <w:pPr>
              <w:spacing w:line="240" w:lineRule="auto"/>
              <w:ind w:firstLine="0" w:firstLineChars="0"/>
              <w:jc w:val="center"/>
              <w:rPr>
                <w:rFonts w:ascii="Times New Roman" w:hAnsi="Times New Roman"/>
                <w:szCs w:val="20"/>
              </w:rPr>
            </w:pPr>
            <w:r>
              <w:rPr>
                <w:rFonts w:hint="eastAsia" w:ascii="Times New Roman" w:hAnsi="Times New Roman"/>
                <w:szCs w:val="20"/>
                <w:lang w:bidi="ar"/>
              </w:rPr>
              <w:t>业务指标</w:t>
            </w:r>
          </w:p>
        </w:tc>
        <w:tc>
          <w:tcPr>
            <w:tcW w:w="453" w:type="pct"/>
            <w:vMerge w:val="continue"/>
            <w:tcBorders>
              <w:left w:val="single" w:color="auto" w:sz="4" w:space="0"/>
              <w:bottom w:val="single" w:color="000000" w:sz="4" w:space="0"/>
              <w:right w:val="single" w:color="000000" w:sz="4" w:space="0"/>
            </w:tcBorders>
            <w:vAlign w:val="center"/>
          </w:tcPr>
          <w:p w14:paraId="795501C4">
            <w:pPr>
              <w:spacing w:line="240" w:lineRule="auto"/>
              <w:ind w:firstLine="0" w:firstLineChars="0"/>
              <w:jc w:val="center"/>
              <w:rPr>
                <w:rFonts w:ascii="Times New Roman" w:hAnsi="Times New Roman"/>
                <w:szCs w:val="20"/>
              </w:rPr>
            </w:pPr>
            <w:r>
              <w:rPr>
                <w:rFonts w:hint="eastAsia" w:ascii="Times New Roman" w:hAnsi="Times New Roman"/>
                <w:szCs w:val="20"/>
              </w:rPr>
              <w:t>效益指标</w:t>
            </w:r>
          </w:p>
        </w:tc>
        <w:tc>
          <w:tcPr>
            <w:tcW w:w="971" w:type="pct"/>
            <w:vMerge w:val="continue"/>
            <w:tcBorders>
              <w:left w:val="single" w:color="000000" w:sz="4" w:space="0"/>
              <w:bottom w:val="single" w:color="000000" w:sz="4" w:space="0"/>
              <w:right w:val="single" w:color="000000" w:sz="4" w:space="0"/>
            </w:tcBorders>
            <w:vAlign w:val="center"/>
          </w:tcPr>
          <w:p w14:paraId="4D31B031">
            <w:pPr>
              <w:spacing w:line="240" w:lineRule="auto"/>
              <w:ind w:firstLine="0" w:firstLineChars="0"/>
              <w:jc w:val="center"/>
              <w:rPr>
                <w:rFonts w:ascii="Times New Roman" w:hAnsi="Times New Roman"/>
                <w:szCs w:val="20"/>
              </w:rPr>
            </w:pPr>
            <w:r>
              <w:rPr>
                <w:rFonts w:hint="eastAsia" w:ascii="Times New Roman" w:hAnsi="Times New Roman"/>
                <w:szCs w:val="20"/>
                <w:lang w:bidi="ar"/>
              </w:rPr>
              <w:t>社会效益</w:t>
            </w:r>
          </w:p>
        </w:tc>
        <w:tc>
          <w:tcPr>
            <w:tcW w:w="2079" w:type="pct"/>
            <w:tcBorders>
              <w:top w:val="single" w:color="000000" w:sz="4" w:space="0"/>
              <w:left w:val="single" w:color="000000" w:sz="4" w:space="0"/>
              <w:bottom w:val="single" w:color="000000" w:sz="4" w:space="0"/>
              <w:right w:val="single" w:color="000000" w:sz="4" w:space="0"/>
            </w:tcBorders>
            <w:vAlign w:val="center"/>
          </w:tcPr>
          <w:p w14:paraId="06412889">
            <w:pPr>
              <w:spacing w:line="240" w:lineRule="auto"/>
              <w:ind w:firstLine="0" w:firstLineChars="0"/>
              <w:jc w:val="center"/>
              <w:rPr>
                <w:rFonts w:ascii="Times New Roman" w:hAnsi="Times New Roman"/>
                <w:szCs w:val="20"/>
              </w:rPr>
            </w:pPr>
            <w:r>
              <w:rPr>
                <w:rFonts w:hint="eastAsia" w:ascii="Times New Roman" w:hAnsi="Times New Roman"/>
                <w:szCs w:val="20"/>
                <w:lang w:bidi="ar"/>
              </w:rPr>
              <w:t>数据支撑行业重点企业</w:t>
            </w:r>
          </w:p>
        </w:tc>
        <w:tc>
          <w:tcPr>
            <w:tcW w:w="1540" w:type="dxa"/>
            <w:tcBorders>
              <w:top w:val="single" w:color="000000" w:sz="4" w:space="0"/>
              <w:left w:val="single" w:color="000000" w:sz="4" w:space="0"/>
              <w:bottom w:val="single" w:color="000000" w:sz="4" w:space="0"/>
              <w:right w:val="single" w:color="000000" w:sz="4" w:space="0"/>
            </w:tcBorders>
            <w:vAlign w:val="center"/>
          </w:tcPr>
          <w:p w14:paraId="0CBCD65B">
            <w:pPr>
              <w:spacing w:line="240" w:lineRule="auto"/>
              <w:ind w:firstLine="0" w:firstLineChars="0"/>
              <w:jc w:val="center"/>
              <w:rPr>
                <w:rFonts w:ascii="Times New Roman" w:hAnsi="Times New Roman"/>
                <w:szCs w:val="20"/>
                <w:lang w:bidi="ar"/>
              </w:rPr>
            </w:pPr>
            <w:r>
              <w:rPr>
                <w:rFonts w:hint="eastAsia" w:ascii="Times New Roman" w:hAnsi="Times New Roman"/>
                <w:szCs w:val="20"/>
                <w:lang w:bidi="ar"/>
              </w:rPr>
              <w:t>＞5家</w:t>
            </w:r>
          </w:p>
        </w:tc>
      </w:tr>
    </w:tbl>
    <w:p w14:paraId="180163F2">
      <w:pPr>
        <w:ind w:firstLine="0" w:firstLineChars="0"/>
        <w:rPr>
          <w:rFonts w:hint="eastAsia"/>
          <w:bCs/>
          <w:color w:val="000000"/>
        </w:rPr>
      </w:pPr>
    </w:p>
    <w:p w14:paraId="2F4C13D7">
      <w:pPr>
        <w:pStyle w:val="2"/>
        <w:rPr>
          <w:rFonts w:hint="eastAsia"/>
        </w:rPr>
      </w:pPr>
      <w:bookmarkStart w:id="11" w:name="_Toc47533288"/>
      <w:bookmarkEnd w:id="11"/>
      <w:bookmarkStart w:id="12" w:name="_Toc47537166"/>
      <w:bookmarkEnd w:id="12"/>
      <w:bookmarkStart w:id="13" w:name="_Toc47536304"/>
      <w:bookmarkEnd w:id="13"/>
      <w:bookmarkStart w:id="14" w:name="_Toc47532923"/>
      <w:bookmarkEnd w:id="14"/>
      <w:bookmarkStart w:id="15" w:name="_Toc47536676"/>
      <w:bookmarkEnd w:id="15"/>
      <w:bookmarkStart w:id="16" w:name="_Toc47539102"/>
      <w:bookmarkEnd w:id="16"/>
      <w:r>
        <w:rPr>
          <w:rFonts w:hint="eastAsia"/>
        </w:rPr>
        <w:t>项目建设内容</w:t>
      </w:r>
    </w:p>
    <w:p w14:paraId="383C5F4B">
      <w:pPr>
        <w:pStyle w:val="3"/>
        <w:ind w:left="1138" w:hanging="1134" w:hangingChars="378"/>
        <w:rPr>
          <w:rFonts w:hint="eastAsia"/>
        </w:rPr>
      </w:pPr>
      <w:r>
        <w:rPr>
          <w:rFonts w:hint="eastAsia"/>
        </w:rPr>
        <w:t>总体建设内容</w:t>
      </w:r>
    </w:p>
    <w:p w14:paraId="36035DCE">
      <w:pPr>
        <w:pStyle w:val="8"/>
        <w:ind w:firstLine="480"/>
      </w:pPr>
      <w:r>
        <w:t>项目依托市电子政务云及其基础支撑服务体系，以实现交通数据资产的深度融合，数据赋能跨平台跨场景交通行业“智慧管理”、“智慧服务”、“智慧产业”应用场景为建设目标，在上海交通行业数据融合治理服务项目建设成果基础上，重点围绕拓宽数聚、完善数治、强化数能、深化数服四个方面开展建设，包括针对大数据中心、委内系统的数据拓展接入，通过进一步整合委内外数据资产促进交通行业数据深度融合组织，通过元数据治理、主数据治理提升数据资源管理运营能力，开展交通数据知识图谱建设、交通行业空间库建设和大模型数据预处理，构建交通时空服务能力、行业高质量数据集能力和大模型智能体能力，建设智能交互中心、数据资源中心、数据建模中心、知识图谱中心、交通时空一体化服务中心、共享中心六大赋能中心，拓宽和深化融合应用场景服务，实现跨部门、跨系统、跨平台的融合数据及融合数据能力共享。</w:t>
      </w:r>
    </w:p>
    <w:p w14:paraId="708E6C97">
      <w:pPr>
        <w:ind w:firstLine="0" w:firstLineChars="0"/>
        <w:rPr>
          <w:rFonts w:ascii="Times New Roman" w:hAnsi="Times New Roman"/>
          <w:szCs w:val="22"/>
        </w:rPr>
      </w:pPr>
      <w:bookmarkStart w:id="17" w:name="_Hlk200547323"/>
      <w:r>
        <w:drawing>
          <wp:inline distT="0" distB="0" distL="114300" distR="114300">
            <wp:extent cx="5581650" cy="3771900"/>
            <wp:effectExtent l="0" t="0" r="635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stretch>
                      <a:fillRect/>
                    </a:stretch>
                  </pic:blipFill>
                  <pic:spPr>
                    <a:xfrm>
                      <a:off x="0" y="0"/>
                      <a:ext cx="5581650" cy="3771900"/>
                    </a:xfrm>
                    <a:prstGeom prst="rect">
                      <a:avLst/>
                    </a:prstGeom>
                  </pic:spPr>
                </pic:pic>
              </a:graphicData>
            </a:graphic>
          </wp:inline>
        </w:drawing>
      </w:r>
    </w:p>
    <w:p w14:paraId="4C122B99">
      <w:pPr>
        <w:ind w:firstLine="0" w:firstLineChars="0"/>
        <w:jc w:val="center"/>
        <w:rPr>
          <w:rFonts w:hint="eastAsia"/>
        </w:rPr>
      </w:pPr>
      <w:r>
        <w:rPr>
          <w:rFonts w:ascii="Times New Roman" w:hAnsi="Times New Roman"/>
          <w:szCs w:val="20"/>
        </w:rPr>
        <w:t xml:space="preserve">图 </w:t>
      </w:r>
      <w:r>
        <w:rPr>
          <w:rFonts w:hint="eastAsia" w:ascii="Times New Roman" w:hAnsi="Times New Roman"/>
          <w:szCs w:val="20"/>
        </w:rPr>
        <w:t>3.1</w:t>
      </w:r>
      <w:r>
        <w:rPr>
          <w:rFonts w:ascii="Times New Roman" w:hAnsi="Times New Roman"/>
          <w:szCs w:val="20"/>
        </w:rPr>
        <w:noBreakHyphen/>
      </w:r>
      <w:r>
        <w:rPr>
          <w:rFonts w:hint="eastAsia" w:ascii="Times New Roman" w:hAnsi="Times New Roman"/>
          <w:szCs w:val="20"/>
        </w:rPr>
        <w:t>1</w:t>
      </w:r>
      <w:r>
        <w:rPr>
          <w:rFonts w:ascii="Times New Roman" w:hAnsi="Times New Roman"/>
          <w:szCs w:val="20"/>
        </w:rPr>
        <w:t xml:space="preserve"> </w:t>
      </w:r>
      <w:r>
        <w:rPr>
          <w:rFonts w:ascii="Times New Roman" w:hAnsi="Times New Roman"/>
          <w:szCs w:val="20"/>
          <w:shd w:val="clear" w:color="auto" w:fill="FFFFFF"/>
        </w:rPr>
        <w:t>总体架构图</w:t>
      </w:r>
      <w:bookmarkEnd w:id="17"/>
    </w:p>
    <w:p w14:paraId="13B2533D">
      <w:pPr>
        <w:pStyle w:val="8"/>
        <w:ind w:firstLine="482"/>
      </w:pPr>
      <w:r>
        <w:rPr>
          <w:rFonts w:hint="eastAsia"/>
          <w:b/>
          <w:bCs/>
        </w:rPr>
        <w:t>项目实施期间，需要组织召开专家审查及专家评审工作不少于2次，其中包括一次概要设计评审、一次中期评审。</w:t>
      </w:r>
    </w:p>
    <w:p w14:paraId="3DF73331">
      <w:pPr>
        <w:pStyle w:val="8"/>
        <w:ind w:firstLine="480"/>
      </w:pPr>
      <w:r>
        <w:rPr>
          <w:rFonts w:hint="eastAsia"/>
        </w:rPr>
        <w:t>总体建设内容根据推进过程中技术发展和实际需求按需调整，不超过建设内容10%的调整，由项目实行包干制。</w:t>
      </w:r>
    </w:p>
    <w:p w14:paraId="3A326BDF">
      <w:pPr>
        <w:pStyle w:val="4"/>
        <w:numPr>
          <w:ilvl w:val="0"/>
          <w:numId w:val="3"/>
        </w:numPr>
        <w:ind w:firstLine="602"/>
        <w:rPr>
          <w:rFonts w:hint="eastAsia"/>
        </w:rPr>
      </w:pPr>
      <w:r>
        <w:t>拓展数聚</w:t>
      </w:r>
    </w:p>
    <w:p w14:paraId="3B612127">
      <w:pPr>
        <w:pStyle w:val="8"/>
        <w:ind w:firstLine="480"/>
      </w:pPr>
      <w:r>
        <w:t>应对交通行业数据维度不够广泛、融合深度有待提升的需求，为达成数据全面整合与汇聚、提升数据质量管控和服务监管精细化水平的目标，</w:t>
      </w:r>
      <w:r>
        <w:rPr>
          <w:rFonts w:hint="eastAsia"/>
          <w:shd w:val="clear" w:color="auto" w:fill="FFFFFF" w:themeFill="background1"/>
        </w:rPr>
        <w:t>依托政务数据目录，构建覆盖分层级、多运输方式的交通运输公共数据资源目录体系，以公共数据资源目录为基础，推动数据资源“按需归集、应归尽归”。</w:t>
      </w:r>
      <w:r>
        <w:rPr>
          <w:shd w:val="clear" w:color="auto" w:fill="FFFFFF" w:themeFill="background1"/>
        </w:rPr>
        <w:t>具体包括：在交通行业数据融合治理服务基础上，重点关注和拓展</w:t>
      </w:r>
      <w:r>
        <w:rPr>
          <w:rFonts w:hint="eastAsia"/>
          <w:shd w:val="clear" w:color="auto" w:fill="FFFFFF" w:themeFill="background1"/>
        </w:rPr>
        <w:t>安全</w:t>
      </w:r>
      <w:r>
        <w:rPr>
          <w:shd w:val="clear" w:color="auto" w:fill="FFFFFF" w:themeFill="background1"/>
        </w:rPr>
        <w:t>接入大数据中心（环保、文旅等其他委办数据，网约车监管平台数据）、委内系统（港航、道运</w:t>
      </w:r>
      <w:r>
        <w:rPr>
          <w:rFonts w:hint="eastAsia"/>
          <w:shd w:val="clear" w:color="auto" w:fill="FFFFFF" w:themeFill="background1"/>
        </w:rPr>
        <w:t>、交研中心、申通、交通卡公司、耐特公司等单位</w:t>
      </w:r>
      <w:r>
        <w:rPr>
          <w:shd w:val="clear" w:color="auto" w:fill="FFFFFF" w:themeFill="background1"/>
        </w:rPr>
        <w:t>业务系统</w:t>
      </w:r>
      <w:r>
        <w:rPr>
          <w:rFonts w:hint="eastAsia"/>
          <w:shd w:val="clear" w:color="auto" w:fill="FFFFFF" w:themeFill="background1"/>
        </w:rPr>
        <w:t>的岸线、码头、运政、路政、ETC门架图片、</w:t>
      </w:r>
      <w:r>
        <w:rPr>
          <w:rFonts w:hint="eastAsia"/>
        </w:rPr>
        <w:t>公交等相关数据及</w:t>
      </w:r>
      <w:r>
        <w:t>视频结构化数据）的数据资源。</w:t>
      </w:r>
    </w:p>
    <w:p w14:paraId="1841B887">
      <w:pPr>
        <w:pStyle w:val="4"/>
        <w:numPr>
          <w:ilvl w:val="0"/>
          <w:numId w:val="3"/>
        </w:numPr>
        <w:ind w:firstLine="602"/>
        <w:rPr>
          <w:rFonts w:hint="eastAsia"/>
        </w:rPr>
      </w:pPr>
      <w:r>
        <w:t>完善数治</w:t>
      </w:r>
    </w:p>
    <w:p w14:paraId="0D7C632D">
      <w:pPr>
        <w:pStyle w:val="8"/>
        <w:ind w:firstLine="480"/>
      </w:pPr>
      <w:r>
        <w:t>在交通行业前期数据融合治理的总体逻辑框架下，</w:t>
      </w:r>
      <w:r>
        <w:rPr>
          <w:rFonts w:hint="eastAsia"/>
        </w:rPr>
        <w:t>通过工具完善</w:t>
      </w:r>
      <w:r>
        <w:t>数据治理</w:t>
      </w:r>
      <w:r>
        <w:rPr>
          <w:rFonts w:hint="eastAsia"/>
        </w:rPr>
        <w:t>工作</w:t>
      </w:r>
      <w:r>
        <w:t>，提升治理效能，</w:t>
      </w:r>
      <w:r>
        <w:rPr>
          <w:rFonts w:hint="eastAsia"/>
        </w:rPr>
        <w:t>建立交通运输高质量数据资源体系，强化数据源头治理，开展数据质量多源校核，识别并减少无效数据、错误数据，为相关决策提供可靠的数据支撑，</w:t>
      </w:r>
      <w:r>
        <w:t>具体包括：</w:t>
      </w:r>
    </w:p>
    <w:p w14:paraId="157BB76E">
      <w:pPr>
        <w:pStyle w:val="8"/>
        <w:numPr>
          <w:ilvl w:val="0"/>
          <w:numId w:val="4"/>
        </w:numPr>
        <w:ind w:left="0" w:firstLine="425" w:firstLineChars="0"/>
      </w:pPr>
      <w:r>
        <w:t>面向交通行业增量接入的数据扩建</w:t>
      </w:r>
      <w:r>
        <w:rPr>
          <w:rFonts w:hint="eastAsia"/>
        </w:rPr>
        <w:t>对象&amp;业务主题</w:t>
      </w:r>
      <w:r>
        <w:t>库、融合关系库、融合标签库；</w:t>
      </w:r>
    </w:p>
    <w:p w14:paraId="5F59FAB0">
      <w:pPr>
        <w:pStyle w:val="8"/>
        <w:numPr>
          <w:ilvl w:val="0"/>
          <w:numId w:val="4"/>
        </w:numPr>
        <w:ind w:left="0" w:firstLine="425" w:firstLineChars="0"/>
      </w:pPr>
      <w:r>
        <w:rPr>
          <w:rFonts w:hint="eastAsia"/>
        </w:rPr>
        <w:t>拓展和升级数据融合治理功能，包括交通主数据治理、交通元数据治理、数据标准化、数据知识图谱等，提升快速定位及解决数据技术和质量问题的能力。开展交通行业主要对象（基础设施、运载工具、经营业户、从业人员、综合管理等）的主数据治理；提供智能化的元数据检索、数据链路分析、数据影响分析等，实现数据资产的高效治理，提升数据的可追溯性与可管理性；以及依托交通行业主题库、对象库、专题库、关系库和标签库，实现各类场景知识推理服务，实现数据资产的高效治理；</w:t>
      </w:r>
    </w:p>
    <w:p w14:paraId="13C6A726">
      <w:pPr>
        <w:pStyle w:val="8"/>
        <w:numPr>
          <w:ilvl w:val="0"/>
          <w:numId w:val="4"/>
        </w:numPr>
        <w:ind w:left="0" w:firstLine="425" w:firstLineChars="0"/>
      </w:pPr>
      <w:r>
        <w:rPr>
          <w:rFonts w:hint="eastAsia"/>
        </w:rPr>
        <w:t>开展交通行业空间库建设，实现行业基础要素空间库、交通行业拓扑要素空间库等功能，为交通行业协同管理、重点区域空间分析和路网拓扑（按发布段、路口、路段等切分）深度应用提供坚实有力的空间数据支撑；</w:t>
      </w:r>
    </w:p>
    <w:p w14:paraId="6714D42C">
      <w:pPr>
        <w:pStyle w:val="8"/>
        <w:numPr>
          <w:ilvl w:val="0"/>
          <w:numId w:val="4"/>
        </w:numPr>
        <w:ind w:left="0" w:firstLine="425" w:firstLineChars="0"/>
      </w:pPr>
      <w:r>
        <w:t>开展大模型数据预处理，在数据融合治理成果上，对结构化数据集、数据图谱、数据图层、数据模型、数据图像、行业文本开展数据去噪、标准化和增强</w:t>
      </w:r>
      <w:r>
        <w:rPr>
          <w:rFonts w:hint="eastAsia"/>
        </w:rPr>
        <w:t>；</w:t>
      </w:r>
    </w:p>
    <w:p w14:paraId="7876C650">
      <w:pPr>
        <w:pStyle w:val="8"/>
        <w:numPr>
          <w:ilvl w:val="0"/>
          <w:numId w:val="4"/>
        </w:numPr>
        <w:ind w:left="0" w:firstLine="425" w:firstLineChars="0"/>
      </w:pPr>
      <w:r>
        <w:rPr>
          <w:rFonts w:hint="eastAsia"/>
        </w:rPr>
        <w:t>构建交通大模型知识库，在数据融合治理成果基础上，对结构化数据依据其格式规整特点开展清洗、标准化处理，并进行特征提取、向量化与知识抽取；对非结构化数据通过语言理解实现知识切片与抽取；针对组合型数据，基于规则或语义进行融合并确保一致性。最终实现知识抽取、知识质量评估、知识增强、向量表征、索引构建及知识库管控等能力。</w:t>
      </w:r>
    </w:p>
    <w:p w14:paraId="2C50C0FA">
      <w:pPr>
        <w:pStyle w:val="8"/>
        <w:numPr>
          <w:ilvl w:val="0"/>
          <w:numId w:val="4"/>
        </w:numPr>
        <w:ind w:left="0" w:firstLine="425" w:firstLineChars="0"/>
      </w:pPr>
      <w:r>
        <w:rPr>
          <w:rFonts w:hint="eastAsia"/>
        </w:rPr>
        <w:t>加强数据质量评估，强化监督考核机制，全面提升数据质量；开展存量公共数据资源目录著录工作，建立健全目录采集、更新及发布机制，实现“一数一源”动态更新。</w:t>
      </w:r>
    </w:p>
    <w:p w14:paraId="3107F78F">
      <w:pPr>
        <w:pStyle w:val="4"/>
        <w:numPr>
          <w:ilvl w:val="0"/>
          <w:numId w:val="3"/>
        </w:numPr>
        <w:ind w:firstLine="602"/>
        <w:rPr>
          <w:rFonts w:hint="eastAsia"/>
        </w:rPr>
      </w:pPr>
      <w:r>
        <w:t>强化数能</w:t>
      </w:r>
    </w:p>
    <w:p w14:paraId="1BBDBC56">
      <w:pPr>
        <w:pStyle w:val="8"/>
        <w:ind w:firstLine="480"/>
      </w:pPr>
      <w:r>
        <w:t>以强化数智能力为核心，重点构建三大能力体系，为数据服务提供能力基础，具体包括：</w:t>
      </w:r>
    </w:p>
    <w:p w14:paraId="0B0B6FF0">
      <w:pPr>
        <w:pStyle w:val="8"/>
        <w:ind w:firstLine="482"/>
      </w:pPr>
      <w:r>
        <w:rPr>
          <w:rFonts w:hint="eastAsia"/>
          <w:b/>
          <w:bCs/>
        </w:rPr>
        <w:t>一是</w:t>
      </w:r>
      <w:r>
        <w:t>建立交通时空服务能力，</w:t>
      </w:r>
      <w:r>
        <w:rPr>
          <w:rFonts w:hint="eastAsia"/>
        </w:rPr>
        <w:t>基于</w:t>
      </w:r>
      <w:r>
        <w:t>大数据中心的</w:t>
      </w:r>
      <w:r>
        <w:rPr>
          <w:rFonts w:hint="eastAsia"/>
        </w:rPr>
        <w:t>“</w:t>
      </w:r>
      <w:r>
        <w:t>一张图</w:t>
      </w:r>
      <w:r>
        <w:rPr>
          <w:rFonts w:hint="eastAsia"/>
        </w:rPr>
        <w:t>”</w:t>
      </w:r>
      <w:r>
        <w:t>共性能力</w:t>
      </w:r>
      <w:r>
        <w:rPr>
          <w:rFonts w:hint="eastAsia"/>
        </w:rPr>
        <w:t>，</w:t>
      </w:r>
      <w:r>
        <w:t>建设制作融合数据专题图层，具备空间分析计算能力，构建交通行业基础数据统一底图，夯实时空数据治理与可视化决策基础</w:t>
      </w:r>
      <w:r>
        <w:rPr>
          <w:rFonts w:hint="eastAsia"/>
        </w:rPr>
        <w:t>。</w:t>
      </w:r>
    </w:p>
    <w:p w14:paraId="0EC2F509">
      <w:pPr>
        <w:pStyle w:val="8"/>
        <w:ind w:firstLine="482"/>
      </w:pPr>
      <w:r>
        <w:rPr>
          <w:rFonts w:hint="eastAsia"/>
          <w:b/>
          <w:bCs/>
        </w:rPr>
        <w:t>二是</w:t>
      </w:r>
      <w:r>
        <w:rPr>
          <w:rFonts w:hint="eastAsia"/>
        </w:rPr>
        <w:t>建立</w:t>
      </w:r>
      <w:r>
        <w:t>交通行业高质量数据集</w:t>
      </w:r>
      <w:r>
        <w:rPr>
          <w:rFonts w:hint="eastAsia"/>
        </w:rPr>
        <w:t>（经过采集、加工等处理，可直接用于开发和训练AI模型，并能有效提升模型表现的数据集合）建设运营能力</w:t>
      </w:r>
      <w:r>
        <w:t>，</w:t>
      </w:r>
      <w:r>
        <w:rPr>
          <w:rFonts w:hint="eastAsia"/>
        </w:rPr>
        <w:t>统筹行业通识高质量数据集，行业专识数据集原则上由各业务系统完成，并反哺到本项目。高质量数据集的建设遵循以需求为牵引的“场景驱动”模式，按照“数据需求→数据规划→数据采集→数据预处理→数据标注→模型验证”全生命周期管理的六个核心环节，以标准评价为保障，在交通运输行业形成拥堵治理高质量数据集（包括道路交通运行实况数据、常发性拥堵路段数据、交通治理政策法规等）、大客流感知预警和评估高质量数据集（包括多源客流［轨道/公交/场站］实时监测数据、客流历史规律与OD矩阵、多业态接驳转换关系规则等）、监管对象风险识别高质量数据集（包括从业人员档案数据、企业安全风险档案数据、违法违规行为数据、人-车-企关联知识图谱等）、重大枢纽数据洞察高质量数据集（包括枢纽核心运营客流数据、枢纽接驳运力［出租/网约/公交/停车］供需动态数据等）、公水联动数据洞察高质量数据集（包括航道与港口基础能力、水路运输动态运行数据、公水衔接设施［跨航道桥梁］专题数据等）、两网融合数据洞察高质量数据集（包括公交轨道一体化线网基础数据、班次计划与执行实时数据等）、行业文书、资料、智能问答高质量数据集（包括政策、法规、标准、公文等）等，支撑“人工智能+交通运输”应用。开发元数据填报模块并构建一套元数据管理平台，将元数据从填报、采集到构建档案到形成资源目录聚合成一套有序的管理，通过人、车、企、设施、项目全要素关联研究，结合交通核心要素管理和交通数据血缘管理，为高质量数据集的建设提供支撑。</w:t>
      </w:r>
      <w:r>
        <w:t>严格遵循可信数据空间建设要求，形成标准化、场景化的数据产品供给体系，强化数据资产价值释放</w:t>
      </w:r>
      <w:r>
        <w:rPr>
          <w:rFonts w:hint="eastAsia"/>
        </w:rPr>
        <w:t>。</w:t>
      </w:r>
    </w:p>
    <w:p w14:paraId="19B10065">
      <w:pPr>
        <w:pStyle w:val="8"/>
        <w:ind w:firstLine="482"/>
        <w:rPr>
          <w:highlight w:val="magenta"/>
        </w:rPr>
      </w:pPr>
      <w:r>
        <w:rPr>
          <w:rFonts w:hint="eastAsia"/>
          <w:b/>
          <w:bCs/>
        </w:rPr>
        <w:t>三是</w:t>
      </w:r>
      <w:r>
        <w:t>基于</w:t>
      </w:r>
      <w:r>
        <w:rPr>
          <w:rFonts w:hint="eastAsia"/>
        </w:rPr>
        <w:t>大数据中心</w:t>
      </w:r>
      <w:r>
        <w:t>MAP平台建设行业大模型智能体能力，</w:t>
      </w:r>
      <w:r>
        <w:rPr>
          <w:rFonts w:hint="eastAsia"/>
        </w:rPr>
        <w:t>结合大模型接口开发，</w:t>
      </w:r>
      <w:r>
        <w:t>通过</w:t>
      </w:r>
      <w:r>
        <w:rPr>
          <w:rFonts w:hint="eastAsia"/>
        </w:rPr>
        <w:t>交通</w:t>
      </w:r>
      <w:r>
        <w:t>知识库，构建行业文书生成智能体、行业资料检索智能体</w:t>
      </w:r>
      <w:r>
        <w:rPr>
          <w:rFonts w:hint="eastAsia"/>
        </w:rPr>
        <w:t>、</w:t>
      </w:r>
      <w:r>
        <w:t>行业智能问答智能体</w:t>
      </w:r>
      <w:r>
        <w:rPr>
          <w:rFonts w:hint="eastAsia"/>
        </w:rPr>
        <w:t>、交互建模辅助智能体、交互图谱辅助智能体、监管对象风险识别智能体、公水融合等专项场景智能体、治堵专项相关智能体、重大枢纽数据洞察智能体等</w:t>
      </w:r>
      <w:r>
        <w:t>。</w:t>
      </w:r>
      <w:r>
        <w:rPr>
          <w:rFonts w:hint="eastAsia"/>
        </w:rPr>
        <w:t>同时，应提供稳定可靠的资源保障和技术能力，如必要的本地算力、算法等，在安全可控的条件下，保障项目建设阶段模型训练、推理、渲染等工作有序开展，并与大数据中心MAP平台实现有效衔接。</w:t>
      </w:r>
    </w:p>
    <w:p w14:paraId="310CBE30">
      <w:pPr>
        <w:pStyle w:val="8"/>
        <w:ind w:firstLine="480"/>
        <w:rPr>
          <w:highlight w:val="magenta"/>
        </w:rPr>
      </w:pPr>
    </w:p>
    <w:p w14:paraId="3668D532">
      <w:pPr>
        <w:pStyle w:val="4"/>
        <w:numPr>
          <w:ilvl w:val="0"/>
          <w:numId w:val="3"/>
        </w:numPr>
        <w:ind w:firstLine="602"/>
        <w:rPr>
          <w:rFonts w:hint="eastAsia"/>
        </w:rPr>
      </w:pPr>
      <w:r>
        <w:t>深化数服</w:t>
      </w:r>
    </w:p>
    <w:p w14:paraId="6E866DBF">
      <w:pPr>
        <w:pStyle w:val="8"/>
        <w:ind w:firstLine="480"/>
      </w:pPr>
      <w:r>
        <w:t>系统性完善数据服务生态，</w:t>
      </w:r>
      <w:r>
        <w:rPr>
          <w:rFonts w:hint="eastAsia"/>
        </w:rPr>
        <w:t>提高数据融合创新应用水平，</w:t>
      </w:r>
      <w:r>
        <w:t>构建“纵向贯通、横向联通、内外互通”的交通数据服务体系，</w:t>
      </w:r>
      <w:r>
        <w:rPr>
          <w:rFonts w:hint="eastAsia"/>
        </w:rPr>
        <w:t>在基础设施智慧扩容、安全增效、旅客联程运输、超限治理、水上安全、物流降本增效、公众出行、保通保畅、多式联运、绿色低碳、金融服务等领域支撑行业数据协同应用、跨行业数据融合应用，</w:t>
      </w:r>
      <w:r>
        <w:t>为行业决策支持、民生服务优化、区域协同发展提供高质量数据赋能，具体包括：</w:t>
      </w:r>
    </w:p>
    <w:p w14:paraId="13A9399B">
      <w:pPr>
        <w:pStyle w:val="8"/>
        <w:numPr>
          <w:ilvl w:val="0"/>
          <w:numId w:val="5"/>
        </w:numPr>
        <w:ind w:left="0" w:firstLine="425" w:firstLineChars="0"/>
      </w:pPr>
      <w:r>
        <w:t>构建智能交互中心，</w:t>
      </w:r>
      <w:r>
        <w:rPr>
          <w:rFonts w:hint="eastAsia"/>
        </w:rPr>
        <w:t>作为交通行业的统一应用门户，接入行业核心业务智能体；</w:t>
      </w:r>
      <w:r>
        <w:t>提供</w:t>
      </w:r>
      <w:r>
        <w:rPr>
          <w:rFonts w:hint="eastAsia"/>
        </w:rPr>
        <w:t>自然语言交互、查询以及交通行业智能体上架、发布等</w:t>
      </w:r>
      <w:r>
        <w:t>功能丰富的应用功能</w:t>
      </w:r>
      <w:r>
        <w:rPr>
          <w:rFonts w:hint="eastAsia"/>
        </w:rPr>
        <w:t>。</w:t>
      </w:r>
    </w:p>
    <w:p w14:paraId="29C2C820">
      <w:pPr>
        <w:pStyle w:val="8"/>
        <w:numPr>
          <w:ilvl w:val="0"/>
          <w:numId w:val="5"/>
        </w:numPr>
        <w:ind w:left="0" w:firstLine="425" w:firstLineChars="0"/>
      </w:pPr>
      <w:r>
        <w:t>构建数据资源中心，实现数据分类，形成行业数据资产目录，动态展现资产数据资源情况；</w:t>
      </w:r>
      <w:r>
        <w:rPr>
          <w:rFonts w:hint="eastAsia"/>
        </w:rPr>
        <w:t>加强数据分类分级、数据共享管理，依法依规予以保密的公共数据不予开放，严格管控未依法依规公开的原始公共数据直接进入市场。</w:t>
      </w:r>
    </w:p>
    <w:p w14:paraId="6B000A44">
      <w:pPr>
        <w:pStyle w:val="8"/>
        <w:numPr>
          <w:ilvl w:val="0"/>
          <w:numId w:val="5"/>
        </w:numPr>
        <w:ind w:left="0" w:firstLine="425" w:firstLineChars="0"/>
      </w:pPr>
      <w:r>
        <w:t>构建数据</w:t>
      </w:r>
      <w:r>
        <w:rPr>
          <w:rFonts w:hint="eastAsia"/>
        </w:rPr>
        <w:t>建模</w:t>
      </w:r>
      <w:r>
        <w:t>中心，提供用户自由模型过程管理和全局模型运行管理能力，形成全生命周期模型管控机制，支撑模型高效迭代与稳定运行</w:t>
      </w:r>
      <w:r>
        <w:rPr>
          <w:rFonts w:hint="eastAsia"/>
        </w:rPr>
        <w:t>。</w:t>
      </w:r>
    </w:p>
    <w:p w14:paraId="34499B5C">
      <w:pPr>
        <w:pStyle w:val="8"/>
        <w:numPr>
          <w:ilvl w:val="0"/>
          <w:numId w:val="5"/>
        </w:numPr>
        <w:ind w:left="0" w:firstLine="425" w:firstLineChars="0"/>
      </w:pPr>
      <w:r>
        <w:t>构建知识图谱中心，提供数据图谱分析服务，实现数据关联透视</w:t>
      </w:r>
      <w:r>
        <w:rPr>
          <w:rFonts w:hint="eastAsia"/>
        </w:rPr>
        <w:t>。</w:t>
      </w:r>
    </w:p>
    <w:p w14:paraId="0E9CF6EA">
      <w:pPr>
        <w:pStyle w:val="8"/>
        <w:numPr>
          <w:ilvl w:val="0"/>
          <w:numId w:val="5"/>
        </w:numPr>
        <w:ind w:left="0" w:firstLine="425" w:firstLineChars="0"/>
      </w:pPr>
      <w:r>
        <w:t>构建交通时空一体化服务中心，提供行业一张图各类图层展示和分析服务</w:t>
      </w:r>
      <w:r>
        <w:rPr>
          <w:rFonts w:hint="eastAsia"/>
        </w:rPr>
        <w:t>。</w:t>
      </w:r>
    </w:p>
    <w:p w14:paraId="199BFDD3">
      <w:pPr>
        <w:pStyle w:val="8"/>
        <w:numPr>
          <w:ilvl w:val="0"/>
          <w:numId w:val="5"/>
        </w:numPr>
        <w:ind w:left="0" w:firstLine="425" w:firstLineChars="0"/>
      </w:pPr>
      <w:r>
        <w:t>构建共享中心，</w:t>
      </w:r>
      <w:r>
        <w:rPr>
          <w:rFonts w:hint="eastAsia"/>
        </w:rPr>
        <w:t>支撑交通运输公共数据资源供给，开展面向场景应用的数据共享，有序推动公共数据开放，</w:t>
      </w:r>
      <w:r>
        <w:t>为相关领域的业务系统提供高质量数据集，为部委、地方政府、行业企业等多元主体需求提供标准化、场景化的数据产品。</w:t>
      </w:r>
    </w:p>
    <w:p w14:paraId="7BC4130E">
      <w:pPr>
        <w:pStyle w:val="4"/>
        <w:numPr>
          <w:ilvl w:val="0"/>
          <w:numId w:val="3"/>
        </w:numPr>
        <w:ind w:firstLine="602"/>
        <w:rPr>
          <w:rFonts w:hint="eastAsia"/>
        </w:rPr>
      </w:pPr>
      <w:r>
        <w:t>配套能力建设</w:t>
      </w:r>
    </w:p>
    <w:p w14:paraId="7536366E">
      <w:pPr>
        <w:pStyle w:val="8"/>
        <w:ind w:firstLine="480"/>
      </w:pPr>
      <w:r>
        <w:t>在用户管理方面，实现门户统一身份认证，支持用户账号全生命周期管理，包括用户信息维护、账号状态控制及安全策略实施，确保用户身份合法性和安全性。</w:t>
      </w:r>
    </w:p>
    <w:p w14:paraId="791B6BBB">
      <w:pPr>
        <w:pStyle w:val="8"/>
        <w:ind w:firstLine="480"/>
      </w:pPr>
      <w:r>
        <w:t>在系统运行监控方面，提供基础设施智能监控，涵盖主机、网络、存储和应用性能监控，保障系统稳定运行。</w:t>
      </w:r>
    </w:p>
    <w:p w14:paraId="42783B71">
      <w:pPr>
        <w:pStyle w:val="8"/>
        <w:ind w:firstLine="480"/>
      </w:pPr>
      <w:r>
        <w:t>在数据安全防护方面，依托市级统一安全能力，追加自建数据加工安全空间和管控平台建设，实现工作台管理、用户认证、资产管控、数据脱敏及安全审计；部署密码应用体系，通过证书认证、签名验签和数据加密保障安全。</w:t>
      </w:r>
      <w:r>
        <w:rPr>
          <w:rFonts w:hint="eastAsia"/>
        </w:rPr>
        <w:t>同时，</w:t>
      </w:r>
      <w:r>
        <w:rPr>
          <w:rFonts w:hint="eastAsia"/>
          <w:b/>
          <w:bCs/>
        </w:rPr>
        <w:t>完善数据安全管理规范体系</w:t>
      </w:r>
      <w:r>
        <w:rPr>
          <w:rFonts w:hint="eastAsia"/>
        </w:rPr>
        <w:t>，建立健全公共数据资源开发利用安全风险识别评估、监测预警、应急处置等数据安全规范体系，明确数据资源生产、采集存储、加工使用、产品开发及经营等过程中相关主体安全责任，开展事前、事中、事后业务规范性审查和监督管理。</w:t>
      </w:r>
      <w:r>
        <w:rPr>
          <w:rFonts w:hint="eastAsia"/>
          <w:b/>
          <w:bCs/>
        </w:rPr>
        <w:t>提升数据安全保障能力，</w:t>
      </w:r>
      <w:r>
        <w:rPr>
          <w:rFonts w:hint="eastAsia"/>
        </w:rPr>
        <w:t>加强公共数据可信采集、加密传输、可靠存储、受控交换共享、实时分析、智能应用、销毁确认及存证溯源等环节的安全技术支撑，有效规避数据隐私泄露、违规滥用等风险。依法开展数据安全风险评估，及时排查整改风险隐患，提升数据汇聚关联风险识别和管控水平，确保公共数据资源开发利用全流程安全可控。</w:t>
      </w:r>
    </w:p>
    <w:p w14:paraId="002B0A64">
      <w:pPr>
        <w:pStyle w:val="3"/>
        <w:ind w:left="1138" w:hanging="1134" w:hangingChars="378"/>
        <w:rPr>
          <w:rFonts w:hint="eastAsia"/>
        </w:rPr>
      </w:pPr>
      <w:r>
        <w:rPr>
          <w:rFonts w:hint="eastAsia"/>
        </w:rPr>
        <w:t>软件开发建设清单</w:t>
      </w:r>
    </w:p>
    <w:p w14:paraId="406A0932">
      <w:pPr>
        <w:pStyle w:val="4"/>
        <w:numPr>
          <w:ilvl w:val="0"/>
          <w:numId w:val="6"/>
        </w:numPr>
        <w:ind w:firstLine="602"/>
        <w:rPr>
          <w:rFonts w:hint="eastAsia"/>
        </w:rPr>
      </w:pPr>
      <w:r>
        <w:rPr>
          <w:rFonts w:hint="eastAsia"/>
        </w:rPr>
        <w:t>拓宽数聚</w:t>
      </w:r>
    </w:p>
    <w:tbl>
      <w:tblPr>
        <w:tblStyle w:val="12"/>
        <w:tblW w:w="8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703"/>
        <w:gridCol w:w="1342"/>
        <w:gridCol w:w="2561"/>
        <w:gridCol w:w="3957"/>
      </w:tblGrid>
      <w:tr w14:paraId="03BCD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3" w:type="dxa"/>
            <w:shd w:val="clear" w:color="auto" w:fill="FFFFFF" w:themeFill="background1"/>
            <w:noWrap/>
            <w:vAlign w:val="center"/>
          </w:tcPr>
          <w:p w14:paraId="2B9D383C">
            <w:pPr>
              <w:widowControl/>
              <w:adjustRightInd w:val="0"/>
              <w:snapToGrid w:val="0"/>
              <w:spacing w:line="240" w:lineRule="auto"/>
              <w:ind w:firstLine="0" w:firstLineChars="0"/>
              <w:textAlignment w:val="center"/>
              <w:rPr>
                <w:rFonts w:hint="eastAsia" w:cs="宋体"/>
                <w:b/>
                <w:bCs/>
                <w:color w:val="000000"/>
                <w:sz w:val="21"/>
                <w:szCs w:val="21"/>
              </w:rPr>
            </w:pPr>
            <w:r>
              <w:rPr>
                <w:rFonts w:hint="eastAsia" w:cs="宋体"/>
                <w:b/>
                <w:bCs/>
                <w:color w:val="000000"/>
                <w:kern w:val="0"/>
                <w:sz w:val="21"/>
                <w:szCs w:val="21"/>
                <w:lang w:bidi="ar"/>
              </w:rPr>
              <w:t>序号</w:t>
            </w:r>
          </w:p>
        </w:tc>
        <w:tc>
          <w:tcPr>
            <w:tcW w:w="1342" w:type="dxa"/>
            <w:shd w:val="clear" w:color="auto" w:fill="FFFFFF" w:themeFill="background1"/>
            <w:vAlign w:val="center"/>
          </w:tcPr>
          <w:p w14:paraId="295F80A0">
            <w:pPr>
              <w:widowControl/>
              <w:adjustRightInd w:val="0"/>
              <w:snapToGrid w:val="0"/>
              <w:spacing w:line="240" w:lineRule="auto"/>
              <w:ind w:firstLine="0" w:firstLineChars="0"/>
              <w:textAlignment w:val="center"/>
              <w:rPr>
                <w:rFonts w:hint="eastAsia" w:cs="宋体"/>
                <w:b/>
                <w:bCs/>
                <w:color w:val="000000"/>
                <w:sz w:val="21"/>
                <w:szCs w:val="21"/>
              </w:rPr>
            </w:pPr>
            <w:r>
              <w:rPr>
                <w:rFonts w:hint="eastAsia" w:cs="宋体"/>
                <w:b/>
                <w:bCs/>
                <w:color w:val="000000"/>
                <w:kern w:val="0"/>
                <w:sz w:val="21"/>
                <w:szCs w:val="21"/>
                <w:lang w:bidi="ar"/>
              </w:rPr>
              <w:t>模块</w:t>
            </w:r>
          </w:p>
        </w:tc>
        <w:tc>
          <w:tcPr>
            <w:tcW w:w="2561" w:type="dxa"/>
            <w:shd w:val="clear" w:color="auto" w:fill="FFFFFF" w:themeFill="background1"/>
            <w:noWrap/>
            <w:vAlign w:val="center"/>
          </w:tcPr>
          <w:p w14:paraId="12C9389C">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功能点</w:t>
            </w:r>
          </w:p>
        </w:tc>
        <w:tc>
          <w:tcPr>
            <w:tcW w:w="3957" w:type="dxa"/>
            <w:shd w:val="clear" w:color="auto" w:fill="FFFFFF" w:themeFill="background1"/>
            <w:noWrap/>
            <w:vAlign w:val="center"/>
          </w:tcPr>
          <w:p w14:paraId="5EEF4906">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功能描述</w:t>
            </w:r>
          </w:p>
        </w:tc>
      </w:tr>
      <w:tr w14:paraId="02166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703" w:type="dxa"/>
            <w:shd w:val="clear" w:color="auto" w:fill="FFFFFF" w:themeFill="background1"/>
            <w:noWrap/>
            <w:vAlign w:val="center"/>
          </w:tcPr>
          <w:p w14:paraId="62C861CC">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1342" w:type="dxa"/>
            <w:shd w:val="clear" w:color="auto" w:fill="FFFFFF" w:themeFill="background1"/>
            <w:vAlign w:val="center"/>
          </w:tcPr>
          <w:p w14:paraId="1F2FD3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134C8BF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大数据中心数据接入服务-批量数据对接（非实时）</w:t>
            </w:r>
          </w:p>
        </w:tc>
        <w:tc>
          <w:tcPr>
            <w:tcW w:w="3957" w:type="dxa"/>
            <w:shd w:val="clear" w:color="auto" w:fill="FFFFFF" w:themeFill="background1"/>
            <w:vAlign w:val="center"/>
          </w:tcPr>
          <w:p w14:paraId="7641D88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通过大数据中心接入上海市文化和旅游局、环保局、体育局、市热线等数据，扩宽委外行业数据资源，打破交通与其他行业的数据壁垒，构建跨行业数据融合能力。</w:t>
            </w:r>
          </w:p>
        </w:tc>
      </w:tr>
      <w:tr w14:paraId="43DEB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703" w:type="dxa"/>
            <w:shd w:val="clear" w:color="auto" w:fill="FFFFFF" w:themeFill="background1"/>
            <w:noWrap/>
            <w:vAlign w:val="center"/>
          </w:tcPr>
          <w:p w14:paraId="748983C2">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w:t>
            </w:r>
          </w:p>
        </w:tc>
        <w:tc>
          <w:tcPr>
            <w:tcW w:w="1342" w:type="dxa"/>
            <w:shd w:val="clear" w:color="auto" w:fill="FFFFFF" w:themeFill="background1"/>
            <w:vAlign w:val="center"/>
          </w:tcPr>
          <w:p w14:paraId="74ED74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31DFB37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大数据中心数据接入服务-实时数据接入</w:t>
            </w:r>
          </w:p>
        </w:tc>
        <w:tc>
          <w:tcPr>
            <w:tcW w:w="3957" w:type="dxa"/>
            <w:shd w:val="clear" w:color="auto" w:fill="FFFFFF" w:themeFill="background1"/>
            <w:vAlign w:val="center"/>
          </w:tcPr>
          <w:p w14:paraId="618EBD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通过大数据中心接入网约车、出租车、两客一危GPS数据以及网约车分析统计数据，推动交通管理从事后处置向事前预警转变，提升交通运行的响应速度。</w:t>
            </w:r>
          </w:p>
        </w:tc>
      </w:tr>
      <w:tr w14:paraId="14D71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88" w:hRule="atLeast"/>
        </w:trPr>
        <w:tc>
          <w:tcPr>
            <w:tcW w:w="703" w:type="dxa"/>
            <w:shd w:val="clear" w:color="auto" w:fill="FFFFFF" w:themeFill="background1"/>
            <w:noWrap/>
            <w:vAlign w:val="center"/>
          </w:tcPr>
          <w:p w14:paraId="17448D63">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w:t>
            </w:r>
          </w:p>
        </w:tc>
        <w:tc>
          <w:tcPr>
            <w:tcW w:w="1342" w:type="dxa"/>
            <w:shd w:val="clear" w:color="auto" w:fill="FFFFFF" w:themeFill="background1"/>
            <w:vAlign w:val="center"/>
          </w:tcPr>
          <w:p w14:paraId="2F02855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702733C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委内业务数据接入-港航中心批量数据接入服务</w:t>
            </w:r>
          </w:p>
        </w:tc>
        <w:tc>
          <w:tcPr>
            <w:tcW w:w="3957" w:type="dxa"/>
            <w:shd w:val="clear" w:color="auto" w:fill="FFFFFF" w:themeFill="background1"/>
            <w:vAlign w:val="center"/>
          </w:tcPr>
          <w:p w14:paraId="345385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通过与港航中心对接接入岸线、码头等数据，以支撑主题库的建设。</w:t>
            </w:r>
          </w:p>
        </w:tc>
      </w:tr>
      <w:tr w14:paraId="75670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703" w:type="dxa"/>
            <w:shd w:val="clear" w:color="auto" w:fill="FFFFFF" w:themeFill="background1"/>
            <w:noWrap/>
            <w:vAlign w:val="center"/>
          </w:tcPr>
          <w:p w14:paraId="709B43E4">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w:t>
            </w:r>
          </w:p>
        </w:tc>
        <w:tc>
          <w:tcPr>
            <w:tcW w:w="1342" w:type="dxa"/>
            <w:shd w:val="clear" w:color="auto" w:fill="FFFFFF" w:themeFill="background1"/>
            <w:vAlign w:val="center"/>
          </w:tcPr>
          <w:p w14:paraId="20B2D74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660A584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委内业务数据接入-道运中心批量数据接入服务</w:t>
            </w:r>
          </w:p>
        </w:tc>
        <w:tc>
          <w:tcPr>
            <w:tcW w:w="3957" w:type="dxa"/>
            <w:shd w:val="clear" w:color="auto" w:fill="FFFFFF" w:themeFill="background1"/>
            <w:vAlign w:val="center"/>
          </w:tcPr>
          <w:p w14:paraId="2F676499">
            <w:pPr>
              <w:widowControl/>
              <w:adjustRightInd w:val="0"/>
              <w:snapToGrid w:val="0"/>
              <w:spacing w:line="240" w:lineRule="auto"/>
              <w:ind w:firstLine="0" w:firstLineChars="0"/>
              <w:jc w:val="left"/>
              <w:textAlignment w:val="center"/>
              <w:rPr>
                <w:rFonts w:hint="eastAsia" w:cs="宋体"/>
                <w:color w:val="000000"/>
                <w:sz w:val="21"/>
                <w:szCs w:val="21"/>
              </w:rPr>
            </w:pPr>
            <w:r>
              <w:rPr>
                <w:rStyle w:val="47"/>
                <w:rFonts w:hint="default"/>
                <w:lang w:bidi="ar"/>
              </w:rPr>
              <w:t>通过与道运中心对接接入路政、运政</w:t>
            </w:r>
            <w:r>
              <w:rPr>
                <w:rFonts w:hint="eastAsia" w:cs="宋体"/>
                <w:kern w:val="0"/>
                <w:sz w:val="21"/>
                <w:szCs w:val="21"/>
                <w:lang w:bidi="ar"/>
              </w:rPr>
              <w:t>以及ETC门架图片</w:t>
            </w:r>
            <w:r>
              <w:rPr>
                <w:rStyle w:val="47"/>
                <w:rFonts w:hint="default"/>
                <w:color w:val="auto"/>
                <w:lang w:bidi="ar"/>
              </w:rPr>
              <w:t>相关</w:t>
            </w:r>
            <w:r>
              <w:rPr>
                <w:rStyle w:val="47"/>
                <w:rFonts w:hint="default"/>
                <w:lang w:bidi="ar"/>
              </w:rPr>
              <w:t>数据，支撑主题库的建设，获取道路及运输车辆的相关信息。</w:t>
            </w:r>
          </w:p>
        </w:tc>
      </w:tr>
      <w:tr w14:paraId="365D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703" w:type="dxa"/>
            <w:shd w:val="clear" w:color="auto" w:fill="FFFFFF" w:themeFill="background1"/>
            <w:noWrap/>
            <w:vAlign w:val="center"/>
          </w:tcPr>
          <w:p w14:paraId="1228662C">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w:t>
            </w:r>
          </w:p>
        </w:tc>
        <w:tc>
          <w:tcPr>
            <w:tcW w:w="1342" w:type="dxa"/>
            <w:shd w:val="clear" w:color="auto" w:fill="FFFFFF" w:themeFill="background1"/>
            <w:vAlign w:val="center"/>
          </w:tcPr>
          <w:p w14:paraId="0A29787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54B327D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委内业务数据接入-交研中心批量数据接入服务</w:t>
            </w:r>
          </w:p>
        </w:tc>
        <w:tc>
          <w:tcPr>
            <w:tcW w:w="3957" w:type="dxa"/>
            <w:shd w:val="clear" w:color="auto" w:fill="FFFFFF" w:themeFill="background1"/>
            <w:vAlign w:val="center"/>
          </w:tcPr>
          <w:p w14:paraId="488A95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通过与交研中心对接公交相关数据，支撑主题库的建设，支撑交通行业科学决策，推动公共交通服务供给与市民出行需求匹配。</w:t>
            </w:r>
          </w:p>
        </w:tc>
      </w:tr>
      <w:tr w14:paraId="14239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703" w:type="dxa"/>
            <w:shd w:val="clear" w:color="auto" w:fill="FFFFFF" w:themeFill="background1"/>
            <w:noWrap/>
            <w:vAlign w:val="center"/>
          </w:tcPr>
          <w:p w14:paraId="634DA694">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w:t>
            </w:r>
          </w:p>
        </w:tc>
        <w:tc>
          <w:tcPr>
            <w:tcW w:w="1342" w:type="dxa"/>
            <w:shd w:val="clear" w:color="auto" w:fill="FFFFFF" w:themeFill="background1"/>
            <w:vAlign w:val="center"/>
          </w:tcPr>
          <w:p w14:paraId="199649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36093C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委内业务数据接入-随申行批量数据接入服务</w:t>
            </w:r>
          </w:p>
        </w:tc>
        <w:tc>
          <w:tcPr>
            <w:tcW w:w="3957" w:type="dxa"/>
            <w:shd w:val="clear" w:color="auto" w:fill="FFFFFF" w:themeFill="background1"/>
            <w:vAlign w:val="center"/>
          </w:tcPr>
          <w:p w14:paraId="2B9A868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通过与随申行系统对接定制公交信息，为后续提升数字化出行服务的普惠性与便捷性，且支撑主题库的建设。</w:t>
            </w:r>
          </w:p>
        </w:tc>
      </w:tr>
      <w:tr w14:paraId="1E013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703" w:type="dxa"/>
            <w:shd w:val="clear" w:color="auto" w:fill="FFFFFF" w:themeFill="background1"/>
            <w:noWrap/>
            <w:vAlign w:val="center"/>
          </w:tcPr>
          <w:p w14:paraId="0B111576">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w:t>
            </w:r>
          </w:p>
        </w:tc>
        <w:tc>
          <w:tcPr>
            <w:tcW w:w="1342" w:type="dxa"/>
            <w:shd w:val="clear" w:color="auto" w:fill="FFFFFF" w:themeFill="background1"/>
            <w:vAlign w:val="center"/>
          </w:tcPr>
          <w:p w14:paraId="579A9B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219F818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委内业务数据接入-交通卡公司批量数据接入服务</w:t>
            </w:r>
          </w:p>
        </w:tc>
        <w:tc>
          <w:tcPr>
            <w:tcW w:w="3957" w:type="dxa"/>
            <w:shd w:val="clear" w:color="auto" w:fill="FFFFFF" w:themeFill="background1"/>
            <w:vAlign w:val="center"/>
          </w:tcPr>
          <w:p w14:paraId="52B5D2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通过与交通卡公司系统对接，以推动交通支付数据向治理能力转化，支撑主题库的建设。</w:t>
            </w:r>
          </w:p>
        </w:tc>
      </w:tr>
      <w:tr w14:paraId="45DE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703" w:type="dxa"/>
            <w:shd w:val="clear" w:color="auto" w:fill="FFFFFF" w:themeFill="background1"/>
            <w:noWrap/>
            <w:vAlign w:val="center"/>
          </w:tcPr>
          <w:p w14:paraId="42421F49">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w:t>
            </w:r>
          </w:p>
        </w:tc>
        <w:tc>
          <w:tcPr>
            <w:tcW w:w="1342" w:type="dxa"/>
            <w:shd w:val="clear" w:color="auto" w:fill="FFFFFF" w:themeFill="background1"/>
            <w:vAlign w:val="center"/>
          </w:tcPr>
          <w:p w14:paraId="560538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35FF11C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委内业务数据接入-闵行交通委批量数据接入服务</w:t>
            </w:r>
          </w:p>
        </w:tc>
        <w:tc>
          <w:tcPr>
            <w:tcW w:w="3957" w:type="dxa"/>
            <w:shd w:val="clear" w:color="auto" w:fill="FFFFFF" w:themeFill="background1"/>
            <w:vAlign w:val="center"/>
          </w:tcPr>
          <w:p w14:paraId="3F0221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通过与闵行交通委系统对接，获取虹桥枢纽出租车车监测数据，支撑主题库的建设</w:t>
            </w:r>
          </w:p>
        </w:tc>
      </w:tr>
      <w:tr w14:paraId="4E8F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703" w:type="dxa"/>
            <w:shd w:val="clear" w:color="auto" w:fill="FFFFFF" w:themeFill="background1"/>
            <w:noWrap/>
            <w:vAlign w:val="center"/>
          </w:tcPr>
          <w:p w14:paraId="20AE53DD">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w:t>
            </w:r>
          </w:p>
        </w:tc>
        <w:tc>
          <w:tcPr>
            <w:tcW w:w="1342" w:type="dxa"/>
            <w:shd w:val="clear" w:color="auto" w:fill="FFFFFF" w:themeFill="background1"/>
            <w:vAlign w:val="center"/>
          </w:tcPr>
          <w:p w14:paraId="0075AF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1402D57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委内业务数据接入-货运处批量数据接入服务</w:t>
            </w:r>
          </w:p>
        </w:tc>
        <w:tc>
          <w:tcPr>
            <w:tcW w:w="3957" w:type="dxa"/>
            <w:shd w:val="clear" w:color="auto" w:fill="FFFFFF" w:themeFill="background1"/>
            <w:vAlign w:val="center"/>
          </w:tcPr>
          <w:p w14:paraId="37752A2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通过与货运处业务单位对接，掌握货运车辆的运行与载重等信息，支撑主题库的建设。</w:t>
            </w:r>
          </w:p>
        </w:tc>
      </w:tr>
      <w:tr w14:paraId="68EB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703" w:type="dxa"/>
            <w:shd w:val="clear" w:color="auto" w:fill="FFFFFF" w:themeFill="background1"/>
            <w:noWrap/>
            <w:vAlign w:val="center"/>
          </w:tcPr>
          <w:p w14:paraId="2F0E6D8F">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10</w:t>
            </w:r>
          </w:p>
        </w:tc>
        <w:tc>
          <w:tcPr>
            <w:tcW w:w="1342" w:type="dxa"/>
            <w:shd w:val="clear" w:color="auto" w:fill="FFFFFF" w:themeFill="background1"/>
            <w:vAlign w:val="center"/>
          </w:tcPr>
          <w:p w14:paraId="226A27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0AE01D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委内业务数据接入-申通集团非结构化数据接入服务</w:t>
            </w:r>
          </w:p>
        </w:tc>
        <w:tc>
          <w:tcPr>
            <w:tcW w:w="3957" w:type="dxa"/>
            <w:shd w:val="clear" w:color="auto" w:fill="FFFFFF" w:themeFill="background1"/>
            <w:vAlign w:val="center"/>
          </w:tcPr>
          <w:p w14:paraId="0D5BD0C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通过与申通集团对接，接入轨交的非结构化数据，支撑主题库的建设。</w:t>
            </w:r>
          </w:p>
        </w:tc>
      </w:tr>
      <w:tr w14:paraId="56B3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97" w:hRule="atLeast"/>
        </w:trPr>
        <w:tc>
          <w:tcPr>
            <w:tcW w:w="703" w:type="dxa"/>
            <w:vMerge w:val="restart"/>
            <w:shd w:val="clear" w:color="auto" w:fill="FFFFFF" w:themeFill="background1"/>
            <w:noWrap/>
            <w:vAlign w:val="center"/>
          </w:tcPr>
          <w:p w14:paraId="0BFEBF9D">
            <w:pPr>
              <w:widowControl/>
              <w:adjustRightInd w:val="0"/>
              <w:snapToGrid w:val="0"/>
              <w:spacing w:line="240" w:lineRule="auto"/>
              <w:ind w:firstLine="0" w:firstLineChars="0"/>
              <w:jc w:val="center"/>
              <w:textAlignment w:val="center"/>
              <w:rPr>
                <w:rFonts w:hint="eastAsia" w:cs="宋体"/>
                <w:color w:val="000000"/>
                <w:kern w:val="0"/>
                <w:sz w:val="21"/>
                <w:szCs w:val="21"/>
                <w:lang w:bidi="ar"/>
              </w:rPr>
            </w:pPr>
            <w:r>
              <w:rPr>
                <w:rFonts w:hint="eastAsia" w:cs="宋体"/>
                <w:color w:val="000000"/>
                <w:kern w:val="0"/>
                <w:sz w:val="21"/>
                <w:szCs w:val="21"/>
                <w:lang w:bidi="ar"/>
              </w:rPr>
              <w:t>11</w:t>
            </w:r>
          </w:p>
        </w:tc>
        <w:tc>
          <w:tcPr>
            <w:tcW w:w="1342" w:type="dxa"/>
            <w:vMerge w:val="restart"/>
            <w:shd w:val="clear" w:color="auto" w:fill="FFFFFF" w:themeFill="background1"/>
            <w:vAlign w:val="center"/>
          </w:tcPr>
          <w:p w14:paraId="511B0CCC">
            <w:pPr>
              <w:widowControl/>
              <w:adjustRightInd w:val="0"/>
              <w:snapToGrid w:val="0"/>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数据层(行业数据资源拓展)</w:t>
            </w:r>
          </w:p>
        </w:tc>
        <w:tc>
          <w:tcPr>
            <w:tcW w:w="2561" w:type="dxa"/>
            <w:vMerge w:val="restart"/>
            <w:shd w:val="clear" w:color="auto" w:fill="FFFFFF" w:themeFill="background1"/>
            <w:noWrap/>
            <w:vAlign w:val="center"/>
          </w:tcPr>
          <w:p w14:paraId="00A78E2E">
            <w:pPr>
              <w:widowControl/>
              <w:adjustRightInd w:val="0"/>
              <w:snapToGrid w:val="0"/>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委内业务数据接入-行业通用公文接入服务</w:t>
            </w:r>
          </w:p>
        </w:tc>
        <w:tc>
          <w:tcPr>
            <w:tcW w:w="3957" w:type="dxa"/>
            <w:vMerge w:val="restart"/>
            <w:shd w:val="clear" w:color="auto" w:fill="FFFFFF" w:themeFill="background1"/>
            <w:vAlign w:val="center"/>
          </w:tcPr>
          <w:p w14:paraId="394198F8">
            <w:pPr>
              <w:widowControl/>
              <w:adjustRightInd w:val="0"/>
              <w:snapToGrid w:val="0"/>
              <w:spacing w:line="240" w:lineRule="auto"/>
              <w:ind w:firstLine="0" w:firstLineChars="0"/>
              <w:jc w:val="center"/>
              <w:textAlignment w:val="center"/>
              <w:rPr>
                <w:rFonts w:hint="eastAsia" w:cs="宋体"/>
                <w:color w:val="000000"/>
                <w:kern w:val="0"/>
                <w:sz w:val="21"/>
                <w:szCs w:val="21"/>
                <w:lang w:bidi="ar"/>
              </w:rPr>
            </w:pPr>
            <w:r>
              <w:rPr>
                <w:rFonts w:hint="eastAsia" w:cs="宋体"/>
                <w:color w:val="000000"/>
                <w:kern w:val="0"/>
                <w:sz w:val="21"/>
                <w:szCs w:val="21"/>
                <w:lang w:bidi="ar"/>
              </w:rPr>
              <w:t>丰富行业公文知识库，支撑智能体建设</w:t>
            </w:r>
          </w:p>
        </w:tc>
      </w:tr>
      <w:tr w14:paraId="1442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703" w:type="dxa"/>
            <w:vMerge w:val="continue"/>
            <w:shd w:val="clear" w:color="auto" w:fill="FFFFFF" w:themeFill="background1"/>
            <w:noWrap/>
            <w:vAlign w:val="center"/>
          </w:tcPr>
          <w:p w14:paraId="6835292E">
            <w:pPr>
              <w:widowControl/>
              <w:adjustRightInd w:val="0"/>
              <w:snapToGrid w:val="0"/>
              <w:spacing w:line="240" w:lineRule="auto"/>
              <w:ind w:firstLine="0" w:firstLineChars="0"/>
              <w:jc w:val="center"/>
              <w:rPr>
                <w:rFonts w:hint="eastAsia" w:cs="宋体"/>
                <w:color w:val="000000"/>
                <w:sz w:val="21"/>
                <w:szCs w:val="21"/>
              </w:rPr>
            </w:pPr>
          </w:p>
        </w:tc>
        <w:tc>
          <w:tcPr>
            <w:tcW w:w="1342" w:type="dxa"/>
            <w:vMerge w:val="continue"/>
            <w:shd w:val="clear" w:color="auto" w:fill="FFFFFF" w:themeFill="background1"/>
            <w:vAlign w:val="center"/>
          </w:tcPr>
          <w:p w14:paraId="3E6B1007">
            <w:pPr>
              <w:widowControl/>
              <w:adjustRightInd w:val="0"/>
              <w:snapToGrid w:val="0"/>
              <w:spacing w:line="240" w:lineRule="auto"/>
              <w:ind w:firstLine="0" w:firstLineChars="0"/>
              <w:jc w:val="left"/>
              <w:rPr>
                <w:rFonts w:hint="eastAsia" w:cs="宋体"/>
                <w:color w:val="000000"/>
                <w:sz w:val="21"/>
                <w:szCs w:val="21"/>
              </w:rPr>
            </w:pPr>
          </w:p>
        </w:tc>
        <w:tc>
          <w:tcPr>
            <w:tcW w:w="2561" w:type="dxa"/>
            <w:vMerge w:val="continue"/>
            <w:shd w:val="clear" w:color="auto" w:fill="FFFFFF" w:themeFill="background1"/>
            <w:noWrap/>
            <w:vAlign w:val="center"/>
          </w:tcPr>
          <w:p w14:paraId="570FFCEF">
            <w:pPr>
              <w:widowControl/>
              <w:adjustRightInd w:val="0"/>
              <w:snapToGrid w:val="0"/>
              <w:spacing w:line="240" w:lineRule="auto"/>
              <w:ind w:firstLine="0" w:firstLineChars="0"/>
              <w:jc w:val="left"/>
              <w:rPr>
                <w:rFonts w:hint="eastAsia" w:cs="宋体"/>
                <w:color w:val="000000"/>
                <w:sz w:val="21"/>
                <w:szCs w:val="21"/>
              </w:rPr>
            </w:pPr>
          </w:p>
        </w:tc>
        <w:tc>
          <w:tcPr>
            <w:tcW w:w="3957" w:type="dxa"/>
            <w:vMerge w:val="continue"/>
            <w:shd w:val="clear" w:color="auto" w:fill="FFFFFF" w:themeFill="background1"/>
            <w:vAlign w:val="center"/>
          </w:tcPr>
          <w:p w14:paraId="781C8FDD">
            <w:pPr>
              <w:widowControl/>
              <w:adjustRightInd w:val="0"/>
              <w:snapToGrid w:val="0"/>
              <w:spacing w:line="240" w:lineRule="auto"/>
              <w:ind w:firstLine="0" w:firstLineChars="0"/>
              <w:jc w:val="left"/>
              <w:rPr>
                <w:rFonts w:hint="eastAsia" w:cs="宋体"/>
                <w:color w:val="000000"/>
                <w:sz w:val="21"/>
                <w:szCs w:val="21"/>
              </w:rPr>
            </w:pPr>
          </w:p>
        </w:tc>
      </w:tr>
      <w:tr w14:paraId="19C33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12" w:hRule="atLeast"/>
        </w:trPr>
        <w:tc>
          <w:tcPr>
            <w:tcW w:w="703" w:type="dxa"/>
            <w:vMerge w:val="continue"/>
            <w:shd w:val="clear" w:color="auto" w:fill="FFFFFF" w:themeFill="background1"/>
            <w:noWrap/>
            <w:vAlign w:val="center"/>
          </w:tcPr>
          <w:p w14:paraId="00941BB2">
            <w:pPr>
              <w:widowControl/>
              <w:adjustRightInd w:val="0"/>
              <w:snapToGrid w:val="0"/>
              <w:spacing w:line="240" w:lineRule="auto"/>
              <w:ind w:firstLine="0" w:firstLineChars="0"/>
              <w:jc w:val="center"/>
              <w:rPr>
                <w:rFonts w:hint="eastAsia" w:cs="宋体"/>
                <w:color w:val="000000"/>
                <w:sz w:val="21"/>
                <w:szCs w:val="21"/>
              </w:rPr>
            </w:pPr>
          </w:p>
        </w:tc>
        <w:tc>
          <w:tcPr>
            <w:tcW w:w="1342" w:type="dxa"/>
            <w:vMerge w:val="continue"/>
            <w:shd w:val="clear" w:color="auto" w:fill="FFFFFF" w:themeFill="background1"/>
            <w:vAlign w:val="center"/>
          </w:tcPr>
          <w:p w14:paraId="34783152">
            <w:pPr>
              <w:widowControl/>
              <w:adjustRightInd w:val="0"/>
              <w:snapToGrid w:val="0"/>
              <w:spacing w:line="240" w:lineRule="auto"/>
              <w:ind w:firstLine="0" w:firstLineChars="0"/>
              <w:jc w:val="left"/>
              <w:rPr>
                <w:rFonts w:hint="eastAsia" w:cs="宋体"/>
                <w:color w:val="000000"/>
                <w:sz w:val="21"/>
                <w:szCs w:val="21"/>
              </w:rPr>
            </w:pPr>
          </w:p>
        </w:tc>
        <w:tc>
          <w:tcPr>
            <w:tcW w:w="2561" w:type="dxa"/>
            <w:vMerge w:val="continue"/>
            <w:shd w:val="clear" w:color="auto" w:fill="FFFFFF" w:themeFill="background1"/>
            <w:noWrap/>
            <w:vAlign w:val="center"/>
          </w:tcPr>
          <w:p w14:paraId="0353526B">
            <w:pPr>
              <w:widowControl/>
              <w:adjustRightInd w:val="0"/>
              <w:snapToGrid w:val="0"/>
              <w:spacing w:line="240" w:lineRule="auto"/>
              <w:ind w:firstLine="0" w:firstLineChars="0"/>
              <w:jc w:val="left"/>
              <w:rPr>
                <w:rFonts w:hint="eastAsia" w:cs="宋体"/>
                <w:color w:val="000000"/>
                <w:sz w:val="21"/>
                <w:szCs w:val="21"/>
              </w:rPr>
            </w:pPr>
          </w:p>
        </w:tc>
        <w:tc>
          <w:tcPr>
            <w:tcW w:w="3957" w:type="dxa"/>
            <w:vMerge w:val="continue"/>
            <w:shd w:val="clear" w:color="auto" w:fill="FFFFFF" w:themeFill="background1"/>
            <w:vAlign w:val="center"/>
          </w:tcPr>
          <w:p w14:paraId="314F834D">
            <w:pPr>
              <w:widowControl/>
              <w:adjustRightInd w:val="0"/>
              <w:snapToGrid w:val="0"/>
              <w:spacing w:line="240" w:lineRule="auto"/>
              <w:ind w:firstLine="0" w:firstLineChars="0"/>
              <w:jc w:val="left"/>
              <w:rPr>
                <w:rFonts w:hint="eastAsia" w:cs="宋体"/>
                <w:color w:val="000000"/>
                <w:sz w:val="21"/>
                <w:szCs w:val="21"/>
              </w:rPr>
            </w:pPr>
          </w:p>
        </w:tc>
      </w:tr>
      <w:tr w14:paraId="40EB6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72" w:hRule="atLeast"/>
        </w:trPr>
        <w:tc>
          <w:tcPr>
            <w:tcW w:w="703" w:type="dxa"/>
            <w:vMerge w:val="continue"/>
            <w:shd w:val="clear" w:color="auto" w:fill="FFFFFF" w:themeFill="background1"/>
            <w:noWrap/>
            <w:vAlign w:val="center"/>
          </w:tcPr>
          <w:p w14:paraId="5ACCAF87">
            <w:pPr>
              <w:widowControl/>
              <w:adjustRightInd w:val="0"/>
              <w:snapToGrid w:val="0"/>
              <w:spacing w:line="240" w:lineRule="auto"/>
              <w:ind w:firstLine="0" w:firstLineChars="0"/>
              <w:jc w:val="center"/>
              <w:rPr>
                <w:rFonts w:hint="eastAsia" w:cs="宋体"/>
                <w:color w:val="000000"/>
                <w:sz w:val="21"/>
                <w:szCs w:val="21"/>
              </w:rPr>
            </w:pPr>
          </w:p>
        </w:tc>
        <w:tc>
          <w:tcPr>
            <w:tcW w:w="1342" w:type="dxa"/>
            <w:vMerge w:val="continue"/>
            <w:shd w:val="clear" w:color="auto" w:fill="FFFFFF" w:themeFill="background1"/>
            <w:vAlign w:val="center"/>
          </w:tcPr>
          <w:p w14:paraId="2891C346">
            <w:pPr>
              <w:widowControl/>
              <w:adjustRightInd w:val="0"/>
              <w:snapToGrid w:val="0"/>
              <w:spacing w:line="240" w:lineRule="auto"/>
              <w:ind w:firstLine="0" w:firstLineChars="0"/>
              <w:jc w:val="left"/>
              <w:rPr>
                <w:rFonts w:hint="eastAsia" w:cs="宋体"/>
                <w:color w:val="000000"/>
                <w:sz w:val="21"/>
                <w:szCs w:val="21"/>
              </w:rPr>
            </w:pPr>
          </w:p>
        </w:tc>
        <w:tc>
          <w:tcPr>
            <w:tcW w:w="2561" w:type="dxa"/>
            <w:vMerge w:val="continue"/>
            <w:shd w:val="clear" w:color="auto" w:fill="FFFFFF" w:themeFill="background1"/>
            <w:noWrap/>
            <w:vAlign w:val="center"/>
          </w:tcPr>
          <w:p w14:paraId="74C13DDF">
            <w:pPr>
              <w:widowControl/>
              <w:adjustRightInd w:val="0"/>
              <w:snapToGrid w:val="0"/>
              <w:spacing w:line="240" w:lineRule="auto"/>
              <w:ind w:firstLine="0" w:firstLineChars="0"/>
              <w:jc w:val="left"/>
              <w:rPr>
                <w:rFonts w:hint="eastAsia" w:cs="宋体"/>
                <w:color w:val="000000"/>
                <w:sz w:val="21"/>
                <w:szCs w:val="21"/>
              </w:rPr>
            </w:pPr>
          </w:p>
        </w:tc>
        <w:tc>
          <w:tcPr>
            <w:tcW w:w="3957" w:type="dxa"/>
            <w:vMerge w:val="continue"/>
            <w:shd w:val="clear" w:color="auto" w:fill="FFFFFF" w:themeFill="background1"/>
            <w:vAlign w:val="center"/>
          </w:tcPr>
          <w:p w14:paraId="1FD831E3">
            <w:pPr>
              <w:widowControl/>
              <w:adjustRightInd w:val="0"/>
              <w:snapToGrid w:val="0"/>
              <w:spacing w:line="240" w:lineRule="auto"/>
              <w:ind w:firstLine="0" w:firstLineChars="0"/>
              <w:jc w:val="left"/>
              <w:rPr>
                <w:rFonts w:hint="eastAsia" w:cs="宋体"/>
                <w:color w:val="000000"/>
                <w:sz w:val="21"/>
                <w:szCs w:val="21"/>
              </w:rPr>
            </w:pPr>
          </w:p>
        </w:tc>
      </w:tr>
      <w:tr w14:paraId="3B6E8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703" w:type="dxa"/>
            <w:shd w:val="clear" w:color="auto" w:fill="FFFFFF" w:themeFill="background1"/>
            <w:noWrap/>
            <w:vAlign w:val="center"/>
          </w:tcPr>
          <w:p w14:paraId="1A4DCC42">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12</w:t>
            </w:r>
          </w:p>
        </w:tc>
        <w:tc>
          <w:tcPr>
            <w:tcW w:w="1342" w:type="dxa"/>
            <w:shd w:val="clear" w:color="auto" w:fill="FFFFFF" w:themeFill="background1"/>
            <w:vAlign w:val="center"/>
          </w:tcPr>
          <w:p w14:paraId="240C1BD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2BB745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委内业务数据接入-视频数据接入</w:t>
            </w:r>
          </w:p>
        </w:tc>
        <w:tc>
          <w:tcPr>
            <w:tcW w:w="3957" w:type="dxa"/>
            <w:shd w:val="clear" w:color="auto" w:fill="FFFFFF" w:themeFill="background1"/>
            <w:vAlign w:val="center"/>
          </w:tcPr>
          <w:p w14:paraId="1AFA98C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获取视频流与结构化数据，扩宽行业数据资源</w:t>
            </w:r>
          </w:p>
        </w:tc>
      </w:tr>
      <w:tr w14:paraId="5871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703" w:type="dxa"/>
            <w:shd w:val="clear" w:color="auto" w:fill="FFFFFF" w:themeFill="background1"/>
            <w:noWrap/>
            <w:vAlign w:val="center"/>
          </w:tcPr>
          <w:p w14:paraId="3061F599">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13</w:t>
            </w:r>
          </w:p>
        </w:tc>
        <w:tc>
          <w:tcPr>
            <w:tcW w:w="1342" w:type="dxa"/>
            <w:shd w:val="clear" w:color="auto" w:fill="FFFFFF" w:themeFill="background1"/>
            <w:vAlign w:val="center"/>
          </w:tcPr>
          <w:p w14:paraId="1ECDCA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7BF64E5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数据接入管理-数据接入概览</w:t>
            </w:r>
          </w:p>
        </w:tc>
        <w:tc>
          <w:tcPr>
            <w:tcW w:w="3957" w:type="dxa"/>
            <w:shd w:val="clear" w:color="auto" w:fill="FFFFFF" w:themeFill="background1"/>
            <w:vAlign w:val="center"/>
          </w:tcPr>
          <w:p w14:paraId="25876B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提供对数据接入、任务调度、接入现状等多维度的数据接入统计分析。</w:t>
            </w:r>
          </w:p>
        </w:tc>
      </w:tr>
      <w:tr w14:paraId="3D8B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703" w:type="dxa"/>
            <w:shd w:val="clear" w:color="auto" w:fill="FFFFFF" w:themeFill="background1"/>
            <w:noWrap/>
            <w:vAlign w:val="center"/>
          </w:tcPr>
          <w:p w14:paraId="322BC3F7">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14</w:t>
            </w:r>
          </w:p>
        </w:tc>
        <w:tc>
          <w:tcPr>
            <w:tcW w:w="1342" w:type="dxa"/>
            <w:shd w:val="clear" w:color="auto" w:fill="FFFFFF" w:themeFill="background1"/>
            <w:vAlign w:val="center"/>
          </w:tcPr>
          <w:p w14:paraId="4FDB2A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75A1E8E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数据接入管理-接入类型管理</w:t>
            </w:r>
          </w:p>
        </w:tc>
        <w:tc>
          <w:tcPr>
            <w:tcW w:w="3957" w:type="dxa"/>
            <w:shd w:val="clear" w:color="auto" w:fill="FFFFFF" w:themeFill="background1"/>
            <w:vAlign w:val="center"/>
          </w:tcPr>
          <w:p w14:paraId="7D61A4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支持对关系型数据库、平台数据、流式数据、API、文件等多种方式的数据源进行接入的管理功能。</w:t>
            </w:r>
          </w:p>
        </w:tc>
      </w:tr>
      <w:tr w14:paraId="2EC70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703" w:type="dxa"/>
            <w:shd w:val="clear" w:color="auto" w:fill="FFFFFF" w:themeFill="background1"/>
            <w:noWrap/>
            <w:vAlign w:val="center"/>
          </w:tcPr>
          <w:p w14:paraId="40B10705">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15</w:t>
            </w:r>
          </w:p>
        </w:tc>
        <w:tc>
          <w:tcPr>
            <w:tcW w:w="1342" w:type="dxa"/>
            <w:shd w:val="clear" w:color="auto" w:fill="FFFFFF" w:themeFill="background1"/>
            <w:vAlign w:val="center"/>
          </w:tcPr>
          <w:p w14:paraId="470A04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2E152C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数据接入管理-接入模式管理</w:t>
            </w:r>
          </w:p>
        </w:tc>
        <w:tc>
          <w:tcPr>
            <w:tcW w:w="3957" w:type="dxa"/>
            <w:shd w:val="clear" w:color="auto" w:fill="FFFFFF" w:themeFill="background1"/>
            <w:vAlign w:val="center"/>
          </w:tcPr>
          <w:p w14:paraId="18C742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系统提供接入模式管理能力，支持预览已构建链接数据库的表结构，展示表字段组成；可按增量规则同步原始数据，保障大批量数据高效传输。</w:t>
            </w:r>
          </w:p>
        </w:tc>
      </w:tr>
      <w:tr w14:paraId="13C0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703" w:type="dxa"/>
            <w:shd w:val="clear" w:color="auto" w:fill="FFFFFF" w:themeFill="background1"/>
            <w:noWrap/>
            <w:vAlign w:val="center"/>
          </w:tcPr>
          <w:p w14:paraId="0ADE61ED">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16</w:t>
            </w:r>
          </w:p>
        </w:tc>
        <w:tc>
          <w:tcPr>
            <w:tcW w:w="1342" w:type="dxa"/>
            <w:shd w:val="clear" w:color="auto" w:fill="FFFFFF" w:themeFill="background1"/>
            <w:vAlign w:val="center"/>
          </w:tcPr>
          <w:p w14:paraId="4AC249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0E9CB4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数据接入管理-接入任务管理</w:t>
            </w:r>
          </w:p>
        </w:tc>
        <w:tc>
          <w:tcPr>
            <w:tcW w:w="3957" w:type="dxa"/>
            <w:shd w:val="clear" w:color="auto" w:fill="FFFFFF" w:themeFill="background1"/>
            <w:vAlign w:val="center"/>
          </w:tcPr>
          <w:p w14:paraId="0797088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任务管理支持按状态（同步完成/进行中/失败/停止）筛选任务，可创建单表或多表同步任务并配置处理流程；提供任务记录查询（含状态、耗时等信息），调度列表展示任务详情；对同步失败任务预警错误信息，便于快速定位问题。</w:t>
            </w:r>
          </w:p>
        </w:tc>
      </w:tr>
      <w:tr w14:paraId="01D09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703" w:type="dxa"/>
            <w:shd w:val="clear" w:color="auto" w:fill="FFFFFF" w:themeFill="background1"/>
            <w:noWrap/>
            <w:vAlign w:val="center"/>
          </w:tcPr>
          <w:p w14:paraId="1329BE96">
            <w:pPr>
              <w:widowControl/>
              <w:adjustRightInd w:val="0"/>
              <w:snapToGrid w:val="0"/>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17</w:t>
            </w:r>
          </w:p>
        </w:tc>
        <w:tc>
          <w:tcPr>
            <w:tcW w:w="1342" w:type="dxa"/>
            <w:shd w:val="clear" w:color="auto" w:fill="FFFFFF" w:themeFill="background1"/>
            <w:vAlign w:val="center"/>
          </w:tcPr>
          <w:p w14:paraId="5FC24D5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数据层(行业数据资源拓展)</w:t>
            </w:r>
          </w:p>
        </w:tc>
        <w:tc>
          <w:tcPr>
            <w:tcW w:w="2561" w:type="dxa"/>
            <w:shd w:val="clear" w:color="auto" w:fill="FFFFFF" w:themeFill="background1"/>
            <w:noWrap/>
            <w:vAlign w:val="center"/>
          </w:tcPr>
          <w:p w14:paraId="26E5B9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数据接入管理-数据同步管理</w:t>
            </w:r>
          </w:p>
        </w:tc>
        <w:tc>
          <w:tcPr>
            <w:tcW w:w="3957" w:type="dxa"/>
            <w:shd w:val="clear" w:color="auto" w:fill="FFFFFF" w:themeFill="background1"/>
            <w:vAlign w:val="center"/>
          </w:tcPr>
          <w:p w14:paraId="461D608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实现包含数据全量同步、数据增量同步、数据定时同步、自定义筛选同步、同步设置等功能。</w:t>
            </w:r>
          </w:p>
        </w:tc>
      </w:tr>
    </w:tbl>
    <w:p w14:paraId="0B124BFD">
      <w:pPr>
        <w:rPr>
          <w:rFonts w:hint="eastAsia"/>
        </w:rPr>
      </w:pPr>
    </w:p>
    <w:p w14:paraId="048C2CE3">
      <w:pPr>
        <w:pStyle w:val="4"/>
        <w:numPr>
          <w:ilvl w:val="0"/>
          <w:numId w:val="6"/>
        </w:numPr>
        <w:ind w:firstLine="602"/>
        <w:rPr>
          <w:rFonts w:hint="eastAsia"/>
        </w:rPr>
      </w:pPr>
      <w:r>
        <w:rPr>
          <w:rFonts w:hint="eastAsia"/>
        </w:rPr>
        <w:t>完善数治</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677"/>
        <w:gridCol w:w="1701"/>
        <w:gridCol w:w="1553"/>
        <w:gridCol w:w="4597"/>
      </w:tblGrid>
      <w:tr w14:paraId="799C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7" w:type="dxa"/>
            <w:shd w:val="clear" w:color="auto" w:fill="FFFFFF" w:themeFill="background1"/>
            <w:vAlign w:val="center"/>
          </w:tcPr>
          <w:p w14:paraId="6696A539">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序号</w:t>
            </w:r>
          </w:p>
        </w:tc>
        <w:tc>
          <w:tcPr>
            <w:tcW w:w="1701" w:type="dxa"/>
            <w:shd w:val="clear" w:color="auto" w:fill="FFFFFF" w:themeFill="background1"/>
            <w:vAlign w:val="center"/>
          </w:tcPr>
          <w:p w14:paraId="75DF81E5">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模块</w:t>
            </w:r>
          </w:p>
        </w:tc>
        <w:tc>
          <w:tcPr>
            <w:tcW w:w="1553" w:type="dxa"/>
            <w:shd w:val="clear" w:color="auto" w:fill="FFFFFF" w:themeFill="background1"/>
            <w:vAlign w:val="center"/>
          </w:tcPr>
          <w:p w14:paraId="5C51E10D">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功能点</w:t>
            </w:r>
          </w:p>
        </w:tc>
        <w:tc>
          <w:tcPr>
            <w:tcW w:w="4597" w:type="dxa"/>
            <w:shd w:val="clear" w:color="auto" w:fill="FFFFFF" w:themeFill="background1"/>
            <w:vAlign w:val="center"/>
          </w:tcPr>
          <w:p w14:paraId="6A3E0C1E">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功能描述</w:t>
            </w:r>
          </w:p>
        </w:tc>
      </w:tr>
      <w:tr w14:paraId="0EE5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6CCD7F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w:t>
            </w:r>
          </w:p>
        </w:tc>
        <w:tc>
          <w:tcPr>
            <w:tcW w:w="1701" w:type="dxa"/>
            <w:shd w:val="clear" w:color="auto" w:fill="FFFFFF" w:themeFill="background1"/>
            <w:vAlign w:val="center"/>
          </w:tcPr>
          <w:p w14:paraId="10D6CD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160707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对象主题库-线路对象库</w:t>
            </w:r>
          </w:p>
        </w:tc>
        <w:tc>
          <w:tcPr>
            <w:tcW w:w="4597" w:type="dxa"/>
            <w:shd w:val="clear" w:color="auto" w:fill="FFFFFF" w:themeFill="background1"/>
            <w:vAlign w:val="center"/>
          </w:tcPr>
          <w:p w14:paraId="35FC083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线路对象库包括公交线路、客运班线、地铁线路的各个维度属性描述的信息集合。</w:t>
            </w:r>
          </w:p>
        </w:tc>
      </w:tr>
      <w:tr w14:paraId="1869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5" w:hRule="atLeast"/>
        </w:trPr>
        <w:tc>
          <w:tcPr>
            <w:tcW w:w="677" w:type="dxa"/>
            <w:shd w:val="clear" w:color="auto" w:fill="FFFFFF" w:themeFill="background1"/>
            <w:vAlign w:val="center"/>
          </w:tcPr>
          <w:p w14:paraId="072A3C9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w:t>
            </w:r>
          </w:p>
        </w:tc>
        <w:tc>
          <w:tcPr>
            <w:tcW w:w="1701" w:type="dxa"/>
            <w:shd w:val="clear" w:color="auto" w:fill="FFFFFF" w:themeFill="background1"/>
            <w:vAlign w:val="center"/>
          </w:tcPr>
          <w:p w14:paraId="19218CF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3B99CA7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对象主题库-视频对象库</w:t>
            </w:r>
          </w:p>
        </w:tc>
        <w:tc>
          <w:tcPr>
            <w:tcW w:w="4597" w:type="dxa"/>
            <w:shd w:val="clear" w:color="auto" w:fill="FFFFFF" w:themeFill="background1"/>
            <w:vAlign w:val="center"/>
          </w:tcPr>
          <w:p w14:paraId="086487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视频对象库以全市采集的交通行业视频信息为主的相关视频属性信息</w:t>
            </w:r>
          </w:p>
        </w:tc>
      </w:tr>
      <w:tr w14:paraId="21602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645B0BD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w:t>
            </w:r>
          </w:p>
        </w:tc>
        <w:tc>
          <w:tcPr>
            <w:tcW w:w="1701" w:type="dxa"/>
            <w:shd w:val="clear" w:color="auto" w:fill="FFFFFF" w:themeFill="background1"/>
            <w:vAlign w:val="center"/>
          </w:tcPr>
          <w:p w14:paraId="5856F7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3E0B62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对象主题库-运行监测设施对象库</w:t>
            </w:r>
          </w:p>
        </w:tc>
        <w:tc>
          <w:tcPr>
            <w:tcW w:w="4597" w:type="dxa"/>
            <w:shd w:val="clear" w:color="auto" w:fill="FFFFFF" w:themeFill="background1"/>
            <w:vAlign w:val="center"/>
          </w:tcPr>
          <w:p w14:paraId="6E75C6F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运行监测设施对象库包括交通行业的道路的门架、线圈配置各个维度属性描述的信息集合。</w:t>
            </w:r>
          </w:p>
        </w:tc>
      </w:tr>
      <w:tr w14:paraId="2A13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4E02FB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w:t>
            </w:r>
          </w:p>
        </w:tc>
        <w:tc>
          <w:tcPr>
            <w:tcW w:w="1701" w:type="dxa"/>
            <w:shd w:val="clear" w:color="auto" w:fill="FFFFFF" w:themeFill="background1"/>
            <w:vAlign w:val="center"/>
          </w:tcPr>
          <w:p w14:paraId="6FB127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75D142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对象主题库-站点对象库</w:t>
            </w:r>
          </w:p>
        </w:tc>
        <w:tc>
          <w:tcPr>
            <w:tcW w:w="4597" w:type="dxa"/>
            <w:shd w:val="clear" w:color="auto" w:fill="FFFFFF" w:themeFill="background1"/>
            <w:vAlign w:val="center"/>
          </w:tcPr>
          <w:p w14:paraId="58D1A9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站点对象库包括交通行业的客运站、地铁站、公交站的各个维度属性描述的信息集合。</w:t>
            </w:r>
          </w:p>
        </w:tc>
      </w:tr>
      <w:tr w14:paraId="03EB3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5" w:hRule="atLeast"/>
        </w:trPr>
        <w:tc>
          <w:tcPr>
            <w:tcW w:w="677" w:type="dxa"/>
            <w:shd w:val="clear" w:color="auto" w:fill="FFFFFF" w:themeFill="background1"/>
            <w:vAlign w:val="center"/>
          </w:tcPr>
          <w:p w14:paraId="04F1D35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w:t>
            </w:r>
          </w:p>
        </w:tc>
        <w:tc>
          <w:tcPr>
            <w:tcW w:w="1701" w:type="dxa"/>
            <w:shd w:val="clear" w:color="auto" w:fill="FFFFFF" w:themeFill="background1"/>
            <w:vAlign w:val="center"/>
          </w:tcPr>
          <w:p w14:paraId="0D5BA9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1CA2B71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对象主题库-项目对象库</w:t>
            </w:r>
          </w:p>
        </w:tc>
        <w:tc>
          <w:tcPr>
            <w:tcW w:w="4597" w:type="dxa"/>
            <w:shd w:val="clear" w:color="auto" w:fill="FFFFFF" w:themeFill="background1"/>
            <w:vAlign w:val="center"/>
          </w:tcPr>
          <w:p w14:paraId="10F2B1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项目对象库汇聚养护作业统计明细信息表高速及国省干线信息。</w:t>
            </w:r>
          </w:p>
        </w:tc>
      </w:tr>
      <w:tr w14:paraId="1401D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5" w:hRule="atLeast"/>
        </w:trPr>
        <w:tc>
          <w:tcPr>
            <w:tcW w:w="677" w:type="dxa"/>
            <w:shd w:val="clear" w:color="auto" w:fill="FFFFFF" w:themeFill="background1"/>
            <w:vAlign w:val="center"/>
          </w:tcPr>
          <w:p w14:paraId="330BF80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w:t>
            </w:r>
          </w:p>
        </w:tc>
        <w:tc>
          <w:tcPr>
            <w:tcW w:w="1701" w:type="dxa"/>
            <w:shd w:val="clear" w:color="auto" w:fill="FFFFFF" w:themeFill="background1"/>
            <w:vAlign w:val="center"/>
          </w:tcPr>
          <w:p w14:paraId="5E753B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02B413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对象主题库-场所对象库</w:t>
            </w:r>
          </w:p>
        </w:tc>
        <w:tc>
          <w:tcPr>
            <w:tcW w:w="4597" w:type="dxa"/>
            <w:shd w:val="clear" w:color="auto" w:fill="FFFFFF" w:themeFill="background1"/>
            <w:vAlign w:val="center"/>
          </w:tcPr>
          <w:p w14:paraId="1299F9A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场所对象库包括停车场、货运场等各个维度属性描述的信息集合。</w:t>
            </w:r>
          </w:p>
        </w:tc>
      </w:tr>
      <w:tr w14:paraId="23947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5" w:hRule="atLeast"/>
        </w:trPr>
        <w:tc>
          <w:tcPr>
            <w:tcW w:w="677" w:type="dxa"/>
            <w:shd w:val="clear" w:color="auto" w:fill="FFFFFF" w:themeFill="background1"/>
            <w:vAlign w:val="center"/>
          </w:tcPr>
          <w:p w14:paraId="574EC8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w:t>
            </w:r>
          </w:p>
        </w:tc>
        <w:tc>
          <w:tcPr>
            <w:tcW w:w="1701" w:type="dxa"/>
            <w:shd w:val="clear" w:color="auto" w:fill="FFFFFF" w:themeFill="background1"/>
            <w:vAlign w:val="center"/>
          </w:tcPr>
          <w:p w14:paraId="05DC2F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721D2C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对象主题库-信用对象库</w:t>
            </w:r>
          </w:p>
        </w:tc>
        <w:tc>
          <w:tcPr>
            <w:tcW w:w="4597" w:type="dxa"/>
            <w:shd w:val="clear" w:color="auto" w:fill="FFFFFF" w:themeFill="background1"/>
            <w:vAlign w:val="center"/>
          </w:tcPr>
          <w:p w14:paraId="1EA2B8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信用对象库汇聚、治理法人组织严重失信信用档案信息。</w:t>
            </w:r>
          </w:p>
        </w:tc>
      </w:tr>
      <w:tr w14:paraId="3F47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0579FFC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w:t>
            </w:r>
          </w:p>
        </w:tc>
        <w:tc>
          <w:tcPr>
            <w:tcW w:w="1701" w:type="dxa"/>
            <w:shd w:val="clear" w:color="auto" w:fill="FFFFFF" w:themeFill="background1"/>
            <w:vAlign w:val="center"/>
          </w:tcPr>
          <w:p w14:paraId="6113B5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6E567A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对象主题库-证照对象库</w:t>
            </w:r>
          </w:p>
        </w:tc>
        <w:tc>
          <w:tcPr>
            <w:tcW w:w="4597" w:type="dxa"/>
            <w:shd w:val="clear" w:color="auto" w:fill="FFFFFF" w:themeFill="background1"/>
            <w:vAlign w:val="center"/>
          </w:tcPr>
          <w:p w14:paraId="091E39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证照对象库包括客运标志牌信息、长三角跨省标志牌信息、人员从业资格证件信息。</w:t>
            </w:r>
          </w:p>
        </w:tc>
      </w:tr>
      <w:tr w14:paraId="6823C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7EC5C7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w:t>
            </w:r>
          </w:p>
        </w:tc>
        <w:tc>
          <w:tcPr>
            <w:tcW w:w="1701" w:type="dxa"/>
            <w:shd w:val="clear" w:color="auto" w:fill="FFFFFF" w:themeFill="background1"/>
            <w:vAlign w:val="center"/>
          </w:tcPr>
          <w:p w14:paraId="486A56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3A4CD0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对象主题库-事件对象库</w:t>
            </w:r>
          </w:p>
        </w:tc>
        <w:tc>
          <w:tcPr>
            <w:tcW w:w="4597" w:type="dxa"/>
            <w:shd w:val="clear" w:color="auto" w:fill="FFFFFF" w:themeFill="background1"/>
            <w:vAlign w:val="center"/>
          </w:tcPr>
          <w:p w14:paraId="7468B4D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事件对象库是以事件为主体，覆盖事件流程的相关数据集合。如高速路突发事件、快速路突发事件信息等。</w:t>
            </w:r>
          </w:p>
        </w:tc>
      </w:tr>
      <w:tr w14:paraId="2D8D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05B646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w:t>
            </w:r>
          </w:p>
        </w:tc>
        <w:tc>
          <w:tcPr>
            <w:tcW w:w="1701" w:type="dxa"/>
            <w:shd w:val="clear" w:color="auto" w:fill="FFFFFF" w:themeFill="background1"/>
            <w:vAlign w:val="center"/>
          </w:tcPr>
          <w:p w14:paraId="0A12A4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13F0672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对象主题库-船舶对象库</w:t>
            </w:r>
          </w:p>
        </w:tc>
        <w:tc>
          <w:tcPr>
            <w:tcW w:w="4597" w:type="dxa"/>
            <w:shd w:val="clear" w:color="auto" w:fill="FFFFFF" w:themeFill="background1"/>
            <w:vAlign w:val="center"/>
          </w:tcPr>
          <w:p w14:paraId="641B4C5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船舶对象库聚合归属企业、关联所有人、船舶营运资质、船舶监管等各个维度属性描述的信息集合。</w:t>
            </w:r>
          </w:p>
        </w:tc>
      </w:tr>
      <w:tr w14:paraId="55ADE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733870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w:t>
            </w:r>
          </w:p>
        </w:tc>
        <w:tc>
          <w:tcPr>
            <w:tcW w:w="1701" w:type="dxa"/>
            <w:shd w:val="clear" w:color="auto" w:fill="FFFFFF" w:themeFill="background1"/>
            <w:vAlign w:val="center"/>
          </w:tcPr>
          <w:p w14:paraId="160752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6467FF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对象主题库-码头对象库</w:t>
            </w:r>
          </w:p>
        </w:tc>
        <w:tc>
          <w:tcPr>
            <w:tcW w:w="4597" w:type="dxa"/>
            <w:shd w:val="clear" w:color="auto" w:fill="FFFFFF" w:themeFill="background1"/>
            <w:vAlign w:val="center"/>
          </w:tcPr>
          <w:p w14:paraId="0DDC13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通过码头信息表、码头管理运营信息表、码头设施信息表等抽取码头信息，包括码头代码、码头名称、所属地区、泊位数量、年吞吐量、客运信息等</w:t>
            </w:r>
          </w:p>
        </w:tc>
      </w:tr>
      <w:tr w14:paraId="0ABBE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221FF95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w:t>
            </w:r>
          </w:p>
        </w:tc>
        <w:tc>
          <w:tcPr>
            <w:tcW w:w="1701" w:type="dxa"/>
            <w:shd w:val="clear" w:color="auto" w:fill="FFFFFF" w:themeFill="background1"/>
            <w:vAlign w:val="center"/>
          </w:tcPr>
          <w:p w14:paraId="108DDF0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333B8F0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业务主题库-综合交通枢纽应急处置主题库</w:t>
            </w:r>
          </w:p>
        </w:tc>
        <w:tc>
          <w:tcPr>
            <w:tcW w:w="4597" w:type="dxa"/>
            <w:shd w:val="clear" w:color="auto" w:fill="FFFFFF" w:themeFill="background1"/>
            <w:vAlign w:val="center"/>
          </w:tcPr>
          <w:p w14:paraId="41FCD8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虹桥火车站 “轨交 + 公交 + 出租+网约”多业态数据，为单一综合体的综合交通运行监测和分析提供支撑</w:t>
            </w:r>
          </w:p>
        </w:tc>
      </w:tr>
      <w:tr w14:paraId="7C84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0D29CAD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w:t>
            </w:r>
          </w:p>
        </w:tc>
        <w:tc>
          <w:tcPr>
            <w:tcW w:w="1701" w:type="dxa"/>
            <w:shd w:val="clear" w:color="auto" w:fill="FFFFFF" w:themeFill="background1"/>
            <w:vAlign w:val="center"/>
          </w:tcPr>
          <w:p w14:paraId="0D0EBC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144CE15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业务主题库-跨区域交通协同主题库</w:t>
            </w:r>
          </w:p>
        </w:tc>
        <w:tc>
          <w:tcPr>
            <w:tcW w:w="4597" w:type="dxa"/>
            <w:shd w:val="clear" w:color="auto" w:fill="FFFFFF" w:themeFill="background1"/>
            <w:vAlign w:val="center"/>
          </w:tcPr>
          <w:p w14:paraId="2C9C6AA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整合长三角铁路联运数据（上海 - 南京 / 杭州货运编组）、省界道口协同疏导数据、铁水 / 公铁跨区域接驳数据，支撑长三角交通一体化调度；</w:t>
            </w:r>
          </w:p>
        </w:tc>
      </w:tr>
      <w:tr w14:paraId="45C1F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39C4DD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w:t>
            </w:r>
          </w:p>
        </w:tc>
        <w:tc>
          <w:tcPr>
            <w:tcW w:w="1701" w:type="dxa"/>
            <w:shd w:val="clear" w:color="auto" w:fill="FFFFFF" w:themeFill="background1"/>
            <w:vAlign w:val="center"/>
          </w:tcPr>
          <w:p w14:paraId="2BA372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685FAF4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业务主题库-港路协同监管主题库</w:t>
            </w:r>
          </w:p>
        </w:tc>
        <w:tc>
          <w:tcPr>
            <w:tcW w:w="4597" w:type="dxa"/>
            <w:shd w:val="clear" w:color="auto" w:fill="FFFFFF" w:themeFill="background1"/>
            <w:vAlign w:val="center"/>
          </w:tcPr>
          <w:p w14:paraId="2BBBCD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通过港航数据与路政运政数据融合，实现公路水路空间“危化品运输全闭环监管”“货运运输全闭环监管”（如港航危化品装卸数据与公路危化品运输轨迹数据联动，确保从港口到目的地的全程可追溯）</w:t>
            </w:r>
          </w:p>
        </w:tc>
      </w:tr>
      <w:tr w14:paraId="5D342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15BDE8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w:t>
            </w:r>
          </w:p>
        </w:tc>
        <w:tc>
          <w:tcPr>
            <w:tcW w:w="1701" w:type="dxa"/>
            <w:shd w:val="clear" w:color="auto" w:fill="FFFFFF" w:themeFill="background1"/>
            <w:vAlign w:val="center"/>
          </w:tcPr>
          <w:p w14:paraId="442E24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数据层(行业对象主题库建设)</w:t>
            </w:r>
          </w:p>
        </w:tc>
        <w:tc>
          <w:tcPr>
            <w:tcW w:w="1553" w:type="dxa"/>
            <w:shd w:val="clear" w:color="auto" w:fill="FFFFFF" w:themeFill="background1"/>
            <w:vAlign w:val="center"/>
          </w:tcPr>
          <w:p w14:paraId="56C6549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业务主题库-安监数据主题库</w:t>
            </w:r>
          </w:p>
        </w:tc>
        <w:tc>
          <w:tcPr>
            <w:tcW w:w="4597" w:type="dxa"/>
            <w:shd w:val="clear" w:color="auto" w:fill="FFFFFF" w:themeFill="background1"/>
            <w:vAlign w:val="center"/>
          </w:tcPr>
          <w:p w14:paraId="3D36C5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安全类突发事件、质量类突发事件、工程项目基本信息表、建设单位信息表、施工总承包单位信息表、施工分包（承建）单位信息表等信息汇聚</w:t>
            </w:r>
          </w:p>
        </w:tc>
      </w:tr>
      <w:tr w14:paraId="39B5E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56A48A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w:t>
            </w:r>
          </w:p>
        </w:tc>
        <w:tc>
          <w:tcPr>
            <w:tcW w:w="1701" w:type="dxa"/>
            <w:shd w:val="clear" w:color="auto" w:fill="FFFFFF" w:themeFill="background1"/>
            <w:vAlign w:val="center"/>
          </w:tcPr>
          <w:p w14:paraId="0701E0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5921E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交通行业基础要素空间库-快速路空间库-快速路中心线图层</w:t>
            </w:r>
          </w:p>
        </w:tc>
        <w:tc>
          <w:tcPr>
            <w:tcW w:w="4597" w:type="dxa"/>
            <w:shd w:val="clear" w:color="auto" w:fill="FFFFFF" w:themeFill="background1"/>
            <w:vAlign w:val="center"/>
          </w:tcPr>
          <w:p w14:paraId="681F1C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浦东新区交警支队的快速路中心线图形和属性信息，与交通指挥中心的快速路中心线进行融合处理，按照道路交叉节点进行分段并标准化字段分类和属性描述。全市快速路共245公里，输出3个图层：快速路主线中心线图层、快速路匝道中心线图层、快速路转接道中心线图层。</w:t>
            </w:r>
          </w:p>
        </w:tc>
      </w:tr>
      <w:tr w14:paraId="008B8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039BF69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w:t>
            </w:r>
          </w:p>
        </w:tc>
        <w:tc>
          <w:tcPr>
            <w:tcW w:w="1701" w:type="dxa"/>
            <w:shd w:val="clear" w:color="auto" w:fill="FFFFFF" w:themeFill="background1"/>
            <w:vAlign w:val="center"/>
          </w:tcPr>
          <w:p w14:paraId="226551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81292F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交通行业基础要素空间库-快速路空间库-快速路发布段图层</w:t>
            </w:r>
          </w:p>
        </w:tc>
        <w:tc>
          <w:tcPr>
            <w:tcW w:w="4597" w:type="dxa"/>
            <w:shd w:val="clear" w:color="auto" w:fill="FFFFFF" w:themeFill="background1"/>
            <w:vAlign w:val="center"/>
          </w:tcPr>
          <w:p w14:paraId="34B13F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上海市交通信息综合平台、浦东新区交警支队的快速路发布段图形和属性信息，与交通指挥中心的快速路发布段及指数区域进行融合处理。全市快速路状态发布要素1000多个，输出4个图层：快速路主线发布段图层、快速路匝道发布段图层、快速路转接道发布段图层、快速路指数区域图层。</w:t>
            </w:r>
          </w:p>
        </w:tc>
      </w:tr>
      <w:tr w14:paraId="04519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785" w:hRule="atLeast"/>
        </w:trPr>
        <w:tc>
          <w:tcPr>
            <w:tcW w:w="677" w:type="dxa"/>
            <w:shd w:val="clear" w:color="auto" w:fill="FFFFFF" w:themeFill="background1"/>
            <w:vAlign w:val="center"/>
          </w:tcPr>
          <w:p w14:paraId="6B1EE5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w:t>
            </w:r>
          </w:p>
        </w:tc>
        <w:tc>
          <w:tcPr>
            <w:tcW w:w="1701" w:type="dxa"/>
            <w:shd w:val="clear" w:color="auto" w:fill="FFFFFF" w:themeFill="background1"/>
            <w:vAlign w:val="center"/>
          </w:tcPr>
          <w:p w14:paraId="4CE878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8993D6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交通行业基础要素空间库-快速路空间库-快速路设备图层</w:t>
            </w:r>
          </w:p>
        </w:tc>
        <w:tc>
          <w:tcPr>
            <w:tcW w:w="4597" w:type="dxa"/>
            <w:shd w:val="clear" w:color="auto" w:fill="FFFFFF" w:themeFill="background1"/>
            <w:vAlign w:val="center"/>
          </w:tcPr>
          <w:p w14:paraId="06CC7E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浦东新区交警支队的快速路设备和属性信息，与交通指挥中心的快速路设备进行融合处理，输出11个图层：快速路信号灯图层、快速路摄像机图层、快速路情报板图层、快速路车检器、快速路线圈图层、快速路联动控制图层、联动控制_监控视频图层、联动控制_卡口图层、联图层动控制_雷达图层、联动控制_线圈图层、联动控制_信号灯图层，其中匝道控制信号灯100余个、摄像机1000余个、情报板100余个、车检器500余个、线圈2000余个。</w:t>
            </w:r>
          </w:p>
        </w:tc>
      </w:tr>
      <w:tr w14:paraId="5C2C6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0091B4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w:t>
            </w:r>
          </w:p>
        </w:tc>
        <w:tc>
          <w:tcPr>
            <w:tcW w:w="1701" w:type="dxa"/>
            <w:shd w:val="clear" w:color="auto" w:fill="FFFFFF" w:themeFill="background1"/>
            <w:vAlign w:val="center"/>
          </w:tcPr>
          <w:p w14:paraId="2222BE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937C0A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交通行业基础要素空间库-快速路空间库-快速路设施图层</w:t>
            </w:r>
          </w:p>
        </w:tc>
        <w:tc>
          <w:tcPr>
            <w:tcW w:w="4597" w:type="dxa"/>
            <w:shd w:val="clear" w:color="auto" w:fill="FFFFFF" w:themeFill="background1"/>
            <w:vAlign w:val="center"/>
          </w:tcPr>
          <w:p w14:paraId="42A1FF8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接入市道运中心的快速路设施和属性信息，与交通指挥中心的快速路桥隧设施进行融合处理，输出4个图层：快速路桥梁图层、快速路隧道图层、快速路地道图层、快速路立交图层。</w:t>
            </w:r>
          </w:p>
        </w:tc>
      </w:tr>
      <w:tr w14:paraId="038A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530" w:hRule="atLeast"/>
        </w:trPr>
        <w:tc>
          <w:tcPr>
            <w:tcW w:w="677" w:type="dxa"/>
            <w:shd w:val="clear" w:color="auto" w:fill="FFFFFF" w:themeFill="background1"/>
            <w:vAlign w:val="center"/>
          </w:tcPr>
          <w:p w14:paraId="3703A7B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w:t>
            </w:r>
          </w:p>
        </w:tc>
        <w:tc>
          <w:tcPr>
            <w:tcW w:w="1701" w:type="dxa"/>
            <w:shd w:val="clear" w:color="auto" w:fill="FFFFFF" w:themeFill="background1"/>
            <w:vAlign w:val="center"/>
          </w:tcPr>
          <w:p w14:paraId="4A2B9B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ADD95E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交通行业基础要素空间库-快速路空间库-快速路标志标线图层</w:t>
            </w:r>
          </w:p>
        </w:tc>
        <w:tc>
          <w:tcPr>
            <w:tcW w:w="4597" w:type="dxa"/>
            <w:shd w:val="clear" w:color="auto" w:fill="FFFFFF" w:themeFill="background1"/>
            <w:vAlign w:val="center"/>
          </w:tcPr>
          <w:p w14:paraId="38F28C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易得PASS平台的快速路标志标线的图形和属性信息，与交通指挥中心的快速路标志标线进行融合处理，输出10个图层：快速路标志牌图层、快速路直立杆图层、快速路L杆图层、快速路连接线图层、快速路龙门架图层、快速路线形标线图层、快速路轮廓标线图层、快速路面状标线图层、快速路道路面图层、快速路路面点状文字标线图层。</w:t>
            </w:r>
          </w:p>
        </w:tc>
      </w:tr>
      <w:tr w14:paraId="7FF38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530" w:hRule="atLeast"/>
        </w:trPr>
        <w:tc>
          <w:tcPr>
            <w:tcW w:w="677" w:type="dxa"/>
            <w:shd w:val="clear" w:color="auto" w:fill="FFFFFF" w:themeFill="background1"/>
            <w:vAlign w:val="center"/>
          </w:tcPr>
          <w:p w14:paraId="0C7AAF1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w:t>
            </w:r>
          </w:p>
        </w:tc>
        <w:tc>
          <w:tcPr>
            <w:tcW w:w="1701" w:type="dxa"/>
            <w:shd w:val="clear" w:color="auto" w:fill="FFFFFF" w:themeFill="background1"/>
            <w:vAlign w:val="center"/>
          </w:tcPr>
          <w:p w14:paraId="3B7686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09FBA9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交通行业基础要素空间库-地面道路空间库-地面道路中心线图层</w:t>
            </w:r>
          </w:p>
        </w:tc>
        <w:tc>
          <w:tcPr>
            <w:tcW w:w="4597" w:type="dxa"/>
            <w:shd w:val="clear" w:color="auto" w:fill="FFFFFF" w:themeFill="background1"/>
            <w:vAlign w:val="center"/>
          </w:tcPr>
          <w:p w14:paraId="12EDBDA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地面道路中心线图形和属性信息，与交通指挥中心的地面道路中心线进行融合处理，按照道路类型及交叉节点进行分段并标准化字段分类和属性描述。全市地面道路共5925公里，输出4个图层：中心城地面道路主干道路中心线图层、中心城地面道路次干道路中心线图层、中心城地面道路一般道路中心线图层、外环外地面道路中心线图层。</w:t>
            </w:r>
          </w:p>
        </w:tc>
      </w:tr>
      <w:tr w14:paraId="0BDBF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040" w:hRule="atLeast"/>
        </w:trPr>
        <w:tc>
          <w:tcPr>
            <w:tcW w:w="677" w:type="dxa"/>
            <w:shd w:val="clear" w:color="auto" w:fill="FFFFFF" w:themeFill="background1"/>
            <w:vAlign w:val="center"/>
          </w:tcPr>
          <w:p w14:paraId="2BC0EBE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w:t>
            </w:r>
          </w:p>
        </w:tc>
        <w:tc>
          <w:tcPr>
            <w:tcW w:w="1701" w:type="dxa"/>
            <w:shd w:val="clear" w:color="auto" w:fill="FFFFFF" w:themeFill="background1"/>
            <w:vAlign w:val="center"/>
          </w:tcPr>
          <w:p w14:paraId="3AD424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3CF83C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交通行业基础要素空间库-地面道路空间库-地面道路状态发布图层</w:t>
            </w:r>
          </w:p>
        </w:tc>
        <w:tc>
          <w:tcPr>
            <w:tcW w:w="4597" w:type="dxa"/>
            <w:shd w:val="clear" w:color="auto" w:fill="FFFFFF" w:themeFill="background1"/>
            <w:vAlign w:val="center"/>
          </w:tcPr>
          <w:p w14:paraId="2A1E5E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上海市交通信息综合平台的地面道路发布段图形和属性信息，与交通指挥中心的地面道路发布段及指数区域进行融合处理。输出9个图层：中心城地面道路主干道路发布段图层、中心城地面道路次干道路发布段图层、中心城地面道路一般道路发布段图层、外环外地面道路发布段图层、地面车道发布段图层、中心城地面道路指数区域图层、地面主要道路指数区域图层、五大新城指数区域图层、中心城区功能区图层，其中，中心城主干道5000余段、次干道3000余段、全市一般道路50000余段。</w:t>
            </w:r>
          </w:p>
        </w:tc>
      </w:tr>
      <w:tr w14:paraId="57F9E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181ED2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w:t>
            </w:r>
          </w:p>
        </w:tc>
        <w:tc>
          <w:tcPr>
            <w:tcW w:w="1701" w:type="dxa"/>
            <w:shd w:val="clear" w:color="auto" w:fill="FFFFFF" w:themeFill="background1"/>
            <w:vAlign w:val="center"/>
          </w:tcPr>
          <w:p w14:paraId="0915B0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C8C23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交通行业基础要素空间库-地面道路空间库-地面道路设备图层</w:t>
            </w:r>
          </w:p>
        </w:tc>
        <w:tc>
          <w:tcPr>
            <w:tcW w:w="4597" w:type="dxa"/>
            <w:shd w:val="clear" w:color="auto" w:fill="FFFFFF" w:themeFill="background1"/>
            <w:vAlign w:val="center"/>
          </w:tcPr>
          <w:p w14:paraId="2F332E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市交警总队的地面道路设备和属性信息，与交通指挥中心的地面道路设备进行融合处理，输出3个图层：地面道路信号灯图层、地面道路摄像机图层、地面道路情报板图层，其中信号灯50000余个、摄像机1000余个、情报板150余个。</w:t>
            </w:r>
          </w:p>
        </w:tc>
      </w:tr>
      <w:tr w14:paraId="35C04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513D39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24</w:t>
            </w:r>
          </w:p>
        </w:tc>
        <w:tc>
          <w:tcPr>
            <w:tcW w:w="1701" w:type="dxa"/>
            <w:shd w:val="clear" w:color="auto" w:fill="FFFFFF" w:themeFill="background1"/>
            <w:vAlign w:val="center"/>
          </w:tcPr>
          <w:p w14:paraId="6211F4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32F0E4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交通行业基础要素空间库-地面道路空间库-地面道路设施图层</w:t>
            </w:r>
          </w:p>
        </w:tc>
        <w:tc>
          <w:tcPr>
            <w:tcW w:w="4597" w:type="dxa"/>
            <w:shd w:val="clear" w:color="auto" w:fill="FFFFFF" w:themeFill="background1"/>
            <w:vAlign w:val="center"/>
          </w:tcPr>
          <w:p w14:paraId="155E21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的地面道路设施和属性信息，与交通指挥中心的地面道路桥隧设施进行融合处理，输出3个图层：地面道路桥梁图层、地面道路隧道图层、地面道路下立交图层，其中，城市桥隧数量3000余座、下立交500余个。</w:t>
            </w:r>
          </w:p>
        </w:tc>
      </w:tr>
      <w:tr w14:paraId="48408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530" w:hRule="atLeast"/>
        </w:trPr>
        <w:tc>
          <w:tcPr>
            <w:tcW w:w="677" w:type="dxa"/>
            <w:shd w:val="clear" w:color="auto" w:fill="FFFFFF" w:themeFill="background1"/>
            <w:vAlign w:val="center"/>
          </w:tcPr>
          <w:p w14:paraId="136F74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25</w:t>
            </w:r>
          </w:p>
        </w:tc>
        <w:tc>
          <w:tcPr>
            <w:tcW w:w="1701" w:type="dxa"/>
            <w:shd w:val="clear" w:color="auto" w:fill="FFFFFF" w:themeFill="background1"/>
            <w:vAlign w:val="center"/>
          </w:tcPr>
          <w:p w14:paraId="6F1A7EE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681450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交通行业基础要素空间库-地面道路空间库-地面道路标志标线图层</w:t>
            </w:r>
          </w:p>
        </w:tc>
        <w:tc>
          <w:tcPr>
            <w:tcW w:w="4597" w:type="dxa"/>
            <w:shd w:val="clear" w:color="auto" w:fill="FFFFFF" w:themeFill="background1"/>
            <w:vAlign w:val="center"/>
          </w:tcPr>
          <w:p w14:paraId="1892BA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易得PASS平台的地面道路标志标线的图形和属性信息，与交通指挥中心的地面道路标志标线进行融合处理，输出13个图层：地面道路标志牌图层、地面道路直立杆图层、地面道路L杆图层、地面道路连接线图层、地面路线形标线图层、地面路轮廓标线图层、地面路面状标线图层、地面道路面图层、地面护栏图层、地面警示桩图层、地面绿化带图层、地面人行天桥图层、地面路面点状文字标线图层。</w:t>
            </w:r>
          </w:p>
        </w:tc>
      </w:tr>
      <w:tr w14:paraId="5DE8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07BD314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26</w:t>
            </w:r>
          </w:p>
        </w:tc>
        <w:tc>
          <w:tcPr>
            <w:tcW w:w="1701" w:type="dxa"/>
            <w:shd w:val="clear" w:color="auto" w:fill="FFFFFF" w:themeFill="background1"/>
            <w:vAlign w:val="center"/>
          </w:tcPr>
          <w:p w14:paraId="3A4040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6375A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交通行业基础要素空间库-公路空间库-公路中心线图层</w:t>
            </w:r>
          </w:p>
        </w:tc>
        <w:tc>
          <w:tcPr>
            <w:tcW w:w="4597" w:type="dxa"/>
            <w:shd w:val="clear" w:color="auto" w:fill="FFFFFF" w:themeFill="background1"/>
            <w:vAlign w:val="center"/>
          </w:tcPr>
          <w:p w14:paraId="3D04CE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的公路中心线图形和属性信息，与交通指挥中心的公路中心线进行融合处理，按照道路类型及交叉节点进行分段并标准化字段分类和属性描述。公路里程约为12998公里，输出5个图层：高速公路中心线图层、一级公路中心线图层、二级公路中心线图层、三级公路中心线图层、四级公路中心线图层。</w:t>
            </w:r>
          </w:p>
        </w:tc>
      </w:tr>
      <w:tr w14:paraId="0647C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2E962F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27</w:t>
            </w:r>
          </w:p>
        </w:tc>
        <w:tc>
          <w:tcPr>
            <w:tcW w:w="1701" w:type="dxa"/>
            <w:shd w:val="clear" w:color="auto" w:fill="FFFFFF" w:themeFill="background1"/>
            <w:vAlign w:val="center"/>
          </w:tcPr>
          <w:p w14:paraId="6BE2B9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09A75A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交通行业基础要素空间库-公路空间库-公路里程桩号图层</w:t>
            </w:r>
          </w:p>
        </w:tc>
        <w:tc>
          <w:tcPr>
            <w:tcW w:w="4597" w:type="dxa"/>
            <w:shd w:val="clear" w:color="auto" w:fill="FFFFFF" w:themeFill="background1"/>
            <w:vAlign w:val="center"/>
          </w:tcPr>
          <w:p w14:paraId="7317551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根据公路起讫点里程桩号信息，新建公路里程桩号点位图层，输出1个图层：公路里程桩号图层</w:t>
            </w:r>
          </w:p>
        </w:tc>
      </w:tr>
      <w:tr w14:paraId="17226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5386A0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28</w:t>
            </w:r>
          </w:p>
        </w:tc>
        <w:tc>
          <w:tcPr>
            <w:tcW w:w="1701" w:type="dxa"/>
            <w:shd w:val="clear" w:color="auto" w:fill="FFFFFF" w:themeFill="background1"/>
            <w:vAlign w:val="center"/>
          </w:tcPr>
          <w:p w14:paraId="1CECE3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5C7CF7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交通行业基础要素空间库-公路空间库-公路状态发布图层</w:t>
            </w:r>
          </w:p>
        </w:tc>
        <w:tc>
          <w:tcPr>
            <w:tcW w:w="4597" w:type="dxa"/>
            <w:shd w:val="clear" w:color="auto" w:fill="FFFFFF" w:themeFill="background1"/>
            <w:vAlign w:val="center"/>
          </w:tcPr>
          <w:p w14:paraId="65853D3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上海市交通信息综合平台的公路发布段图形和属性信息，与交通指挥中心的公路发布段属性进行融合处理，输出6个图层：高速公路发布段图层、一级公路发布段图层、二级公路发布段图层、三级公路发布段图层、四级公路发布段图层、高速公路指数区域图层。</w:t>
            </w:r>
          </w:p>
        </w:tc>
      </w:tr>
      <w:tr w14:paraId="485B4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530" w:hRule="atLeast"/>
        </w:trPr>
        <w:tc>
          <w:tcPr>
            <w:tcW w:w="677" w:type="dxa"/>
            <w:shd w:val="clear" w:color="auto" w:fill="FFFFFF" w:themeFill="background1"/>
            <w:vAlign w:val="center"/>
          </w:tcPr>
          <w:p w14:paraId="46941CE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29</w:t>
            </w:r>
          </w:p>
        </w:tc>
        <w:tc>
          <w:tcPr>
            <w:tcW w:w="1701" w:type="dxa"/>
            <w:shd w:val="clear" w:color="auto" w:fill="FFFFFF" w:themeFill="background1"/>
            <w:vAlign w:val="center"/>
          </w:tcPr>
          <w:p w14:paraId="3317013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F187C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交通行业基础要素空间库-公路空间库-公路设备图层</w:t>
            </w:r>
          </w:p>
        </w:tc>
        <w:tc>
          <w:tcPr>
            <w:tcW w:w="4597" w:type="dxa"/>
            <w:shd w:val="clear" w:color="auto" w:fill="FFFFFF" w:themeFill="background1"/>
            <w:vAlign w:val="center"/>
          </w:tcPr>
          <w:p w14:paraId="5993E7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市公路路网管理中心的公路设备图形和属性信息，与交通指挥中心的公路设施设备进行融合处理，输出11个图层：包括ETC门架图层、高速摄像机图层、高速情报板图层、高速信号灯图层、高速车检器图层、高速线圈图层、高速匝道情报板图层、高速匝道通行灯图层、高速下立交摄像机图层、高速能见度仪图层、高速气象站图层。</w:t>
            </w:r>
          </w:p>
        </w:tc>
      </w:tr>
      <w:tr w14:paraId="0DBB5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10ABC07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30</w:t>
            </w:r>
          </w:p>
        </w:tc>
        <w:tc>
          <w:tcPr>
            <w:tcW w:w="1701" w:type="dxa"/>
            <w:shd w:val="clear" w:color="auto" w:fill="FFFFFF" w:themeFill="background1"/>
            <w:vAlign w:val="center"/>
          </w:tcPr>
          <w:p w14:paraId="067D42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D818AA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交通行业基础要素空间库-公路空间库-公路设施图层</w:t>
            </w:r>
          </w:p>
        </w:tc>
        <w:tc>
          <w:tcPr>
            <w:tcW w:w="4597" w:type="dxa"/>
            <w:shd w:val="clear" w:color="auto" w:fill="FFFFFF" w:themeFill="background1"/>
            <w:vAlign w:val="center"/>
          </w:tcPr>
          <w:p w14:paraId="2D3F907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市公路路网管理中心的公路设施图形和属性信息，与交通指挥中心的公路设施进行融合处理，输出6个图层：公路收费站图层、服务区图层、服务区范围图层、公路桥梁图层、公路隧道图层、公路下立交图层。</w:t>
            </w:r>
          </w:p>
        </w:tc>
      </w:tr>
      <w:tr w14:paraId="6BE9C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76D5E9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31</w:t>
            </w:r>
          </w:p>
        </w:tc>
        <w:tc>
          <w:tcPr>
            <w:tcW w:w="1701" w:type="dxa"/>
            <w:shd w:val="clear" w:color="auto" w:fill="FFFFFF" w:themeFill="background1"/>
            <w:vAlign w:val="center"/>
          </w:tcPr>
          <w:p w14:paraId="35CFB79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56A5C65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交通行业基础要素空间库-公路空间库-公路标志标线图层</w:t>
            </w:r>
          </w:p>
        </w:tc>
        <w:tc>
          <w:tcPr>
            <w:tcW w:w="4597" w:type="dxa"/>
            <w:shd w:val="clear" w:color="auto" w:fill="FFFFFF" w:themeFill="background1"/>
            <w:vAlign w:val="center"/>
          </w:tcPr>
          <w:p w14:paraId="34D8F6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易的PASS平台的公路标志标线的图形和属性信息，与交通指挥中心的公路标志标线进行融合处理，输出8个图层：高速路线形标线图层、高速路轮廓标线图层、高速路面状标线图层、高速道路面图层、高速标志牌图层、高速直立杆图层、高速L杆图层、高速连接线图层。</w:t>
            </w:r>
          </w:p>
        </w:tc>
      </w:tr>
      <w:tr w14:paraId="55AE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6E2DAFD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32</w:t>
            </w:r>
          </w:p>
        </w:tc>
        <w:tc>
          <w:tcPr>
            <w:tcW w:w="1701" w:type="dxa"/>
            <w:shd w:val="clear" w:color="auto" w:fill="FFFFFF" w:themeFill="background1"/>
            <w:vAlign w:val="center"/>
          </w:tcPr>
          <w:p w14:paraId="618ABA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09A5B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交通行业基础要素空间库-铁路交通空间库-铁路站点图层</w:t>
            </w:r>
          </w:p>
        </w:tc>
        <w:tc>
          <w:tcPr>
            <w:tcW w:w="4597" w:type="dxa"/>
            <w:shd w:val="clear" w:color="auto" w:fill="FFFFFF" w:themeFill="background1"/>
            <w:vAlign w:val="center"/>
          </w:tcPr>
          <w:p w14:paraId="04F853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新建铁路站点图形，根据客运货运类型标准化字段分类，附加站点名称、站点位置等属性描述，输出2个图层：铁路站点图层、铁路轨道专线车站图层。</w:t>
            </w:r>
          </w:p>
        </w:tc>
      </w:tr>
      <w:tr w14:paraId="79E9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605C24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33</w:t>
            </w:r>
          </w:p>
        </w:tc>
        <w:tc>
          <w:tcPr>
            <w:tcW w:w="1701" w:type="dxa"/>
            <w:shd w:val="clear" w:color="auto" w:fill="FFFFFF" w:themeFill="background1"/>
            <w:vAlign w:val="center"/>
          </w:tcPr>
          <w:p w14:paraId="4DC9B7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3DF5C7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交通行业基础要素空间库-铁路交通空间库-铁路线网图层</w:t>
            </w:r>
          </w:p>
        </w:tc>
        <w:tc>
          <w:tcPr>
            <w:tcW w:w="4597" w:type="dxa"/>
            <w:shd w:val="clear" w:color="auto" w:fill="FFFFFF" w:themeFill="background1"/>
            <w:vAlign w:val="center"/>
          </w:tcPr>
          <w:p w14:paraId="61A616C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新建铁路线网空间要素和属性信息，输出4个图层：铁路线网图层、铁路节假日专线图层、铁路轨道专线图层、铁路应急公交图层。</w:t>
            </w:r>
          </w:p>
        </w:tc>
      </w:tr>
      <w:tr w14:paraId="71E91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4103A7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34</w:t>
            </w:r>
          </w:p>
        </w:tc>
        <w:tc>
          <w:tcPr>
            <w:tcW w:w="1701" w:type="dxa"/>
            <w:shd w:val="clear" w:color="auto" w:fill="FFFFFF" w:themeFill="background1"/>
            <w:vAlign w:val="center"/>
          </w:tcPr>
          <w:p w14:paraId="3538F1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02319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交通行业基础要素空间库-铁路交通空间库-客运站精细化图层</w:t>
            </w:r>
          </w:p>
        </w:tc>
        <w:tc>
          <w:tcPr>
            <w:tcW w:w="4597" w:type="dxa"/>
            <w:shd w:val="clear" w:color="auto" w:fill="FFFFFF" w:themeFill="background1"/>
            <w:vAlign w:val="center"/>
          </w:tcPr>
          <w:p w14:paraId="270960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接入客运站精细化室内室外等图层和属性信息，标准化字段分类和属性描述，输出23个图层：网约车上客区图层、上海南站建筑图层、虹桥火车站边界图层等。</w:t>
            </w:r>
          </w:p>
        </w:tc>
      </w:tr>
      <w:tr w14:paraId="75135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4001E95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35</w:t>
            </w:r>
          </w:p>
        </w:tc>
        <w:tc>
          <w:tcPr>
            <w:tcW w:w="1701" w:type="dxa"/>
            <w:shd w:val="clear" w:color="auto" w:fill="FFFFFF" w:themeFill="background1"/>
            <w:vAlign w:val="center"/>
          </w:tcPr>
          <w:p w14:paraId="786E5D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807199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交通行业基础要素空间库-铁路交通空间库-客运站三维模型</w:t>
            </w:r>
          </w:p>
        </w:tc>
        <w:tc>
          <w:tcPr>
            <w:tcW w:w="4597" w:type="dxa"/>
            <w:shd w:val="clear" w:color="auto" w:fill="FFFFFF" w:themeFill="background1"/>
            <w:vAlign w:val="center"/>
          </w:tcPr>
          <w:p w14:paraId="20AF2D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客运站三维模型，包括基础信息、出入口、停车场、出租车、网约车、蓄车场、周边相关设施要素等图层和属性信息，标准化字段分类和属性描述，输出7个大类共15个三维模型图层：客运站基础信息图层、出入口图层、停车场图层、出租车图层、网约车图层、蓄车场图层、周边相关设施要素图层。</w:t>
            </w:r>
          </w:p>
        </w:tc>
      </w:tr>
      <w:tr w14:paraId="0977B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5EE36D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36</w:t>
            </w:r>
          </w:p>
        </w:tc>
        <w:tc>
          <w:tcPr>
            <w:tcW w:w="1701" w:type="dxa"/>
            <w:shd w:val="clear" w:color="auto" w:fill="FFFFFF" w:themeFill="background1"/>
            <w:vAlign w:val="center"/>
          </w:tcPr>
          <w:p w14:paraId="00F6ADF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09AE86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交通行业基础要素空间库-水路交通空间库-航道图层</w:t>
            </w:r>
          </w:p>
        </w:tc>
        <w:tc>
          <w:tcPr>
            <w:tcW w:w="4597" w:type="dxa"/>
            <w:shd w:val="clear" w:color="auto" w:fill="FFFFFF" w:themeFill="background1"/>
            <w:vAlign w:val="center"/>
          </w:tcPr>
          <w:p w14:paraId="199AFE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接入市港航中心航道网络要素，包括航道图、航标、航道水深等图层和属性信息，标准化字段分类和属性描述，输出16个图层：航道图层、航标图层、航道水深图层、航道相关隧道图层、航道相关取水口图层等。</w:t>
            </w:r>
          </w:p>
        </w:tc>
      </w:tr>
      <w:tr w14:paraId="07B5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5E1F3BD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37</w:t>
            </w:r>
          </w:p>
        </w:tc>
        <w:tc>
          <w:tcPr>
            <w:tcW w:w="1701" w:type="dxa"/>
            <w:shd w:val="clear" w:color="auto" w:fill="FFFFFF" w:themeFill="background1"/>
            <w:vAlign w:val="center"/>
          </w:tcPr>
          <w:p w14:paraId="7E28C2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6E4E0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交通行业基础要素空间库-水路交通空间库-港口基础设施图层</w:t>
            </w:r>
          </w:p>
        </w:tc>
        <w:tc>
          <w:tcPr>
            <w:tcW w:w="4597" w:type="dxa"/>
            <w:shd w:val="clear" w:color="auto" w:fill="FFFFFF" w:themeFill="background1"/>
            <w:vAlign w:val="center"/>
          </w:tcPr>
          <w:p w14:paraId="66A1B673">
            <w:pPr>
              <w:widowControl/>
              <w:adjustRightInd w:val="0"/>
              <w:snapToGrid w:val="0"/>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接入市港航中心航道相关设施要素，包括陆域边界、港口、码头、泊位、普通货物堆场、视频监控点等图层和属性信息，标准化字段分类和属性描述，输出6个图层：陆域边界图层、港口图层、码头图层、泊位图层、普通货物堆场图层、视频监控点图层等。</w:t>
            </w:r>
          </w:p>
        </w:tc>
      </w:tr>
      <w:tr w14:paraId="76FEE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4B212E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38</w:t>
            </w:r>
          </w:p>
        </w:tc>
        <w:tc>
          <w:tcPr>
            <w:tcW w:w="1701" w:type="dxa"/>
            <w:shd w:val="clear" w:color="auto" w:fill="FFFFFF" w:themeFill="background1"/>
            <w:vAlign w:val="center"/>
          </w:tcPr>
          <w:p w14:paraId="6F6D51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1F74F4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交通行业基础要素空间库-水路交通空间库-航运服务设施图层</w:t>
            </w:r>
          </w:p>
        </w:tc>
        <w:tc>
          <w:tcPr>
            <w:tcW w:w="4597" w:type="dxa"/>
            <w:shd w:val="clear" w:color="auto" w:fill="FFFFFF" w:themeFill="background1"/>
            <w:vAlign w:val="center"/>
          </w:tcPr>
          <w:p w14:paraId="0D80A7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接入市港航中心航运服务要素，包括水上服务区、停泊区、轮渡站等图层和属性信息，标准化字段分类和属性描述，输出14个图层：水上服务区图层、停泊区图层、轮渡站图层、吴淞导堤图层等。</w:t>
            </w:r>
          </w:p>
        </w:tc>
      </w:tr>
      <w:tr w14:paraId="06BB0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7A5E328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39</w:t>
            </w:r>
          </w:p>
        </w:tc>
        <w:tc>
          <w:tcPr>
            <w:tcW w:w="1701" w:type="dxa"/>
            <w:shd w:val="clear" w:color="auto" w:fill="FFFFFF" w:themeFill="background1"/>
            <w:vAlign w:val="center"/>
          </w:tcPr>
          <w:p w14:paraId="2864BEA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6D1971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交通行业基础要素空间库-水路交通空间库-轮渡航线图层</w:t>
            </w:r>
          </w:p>
        </w:tc>
        <w:tc>
          <w:tcPr>
            <w:tcW w:w="4597" w:type="dxa"/>
            <w:shd w:val="clear" w:color="auto" w:fill="FFFFFF" w:themeFill="background1"/>
            <w:vAlign w:val="center"/>
          </w:tcPr>
          <w:p w14:paraId="3EAE594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接入市港航中心轮渡航线要素，包括三岛客运、对江轮渡等图层和属性信息，标准化字段分类和属性描述，输出2个图层：三岛客运图层、对江轮渡图层。</w:t>
            </w:r>
          </w:p>
        </w:tc>
      </w:tr>
      <w:tr w14:paraId="17033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6F3617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40</w:t>
            </w:r>
          </w:p>
        </w:tc>
        <w:tc>
          <w:tcPr>
            <w:tcW w:w="1701" w:type="dxa"/>
            <w:shd w:val="clear" w:color="auto" w:fill="FFFFFF" w:themeFill="background1"/>
            <w:vAlign w:val="center"/>
          </w:tcPr>
          <w:p w14:paraId="3C8A67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F4052E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交通行业基础要素空间库-水路交通空间库-岸线图层</w:t>
            </w:r>
          </w:p>
        </w:tc>
        <w:tc>
          <w:tcPr>
            <w:tcW w:w="4597" w:type="dxa"/>
            <w:shd w:val="clear" w:color="auto" w:fill="FFFFFF" w:themeFill="background1"/>
            <w:vAlign w:val="center"/>
          </w:tcPr>
          <w:p w14:paraId="167C8E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接入市港航中心岸线图层要素和属性信息，标准化字段分类和属性描述，输出1个图层：岸线图层。</w:t>
            </w:r>
          </w:p>
        </w:tc>
      </w:tr>
      <w:tr w14:paraId="3487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29EC43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41</w:t>
            </w:r>
          </w:p>
        </w:tc>
        <w:tc>
          <w:tcPr>
            <w:tcW w:w="1701" w:type="dxa"/>
            <w:shd w:val="clear" w:color="auto" w:fill="FFFFFF" w:themeFill="background1"/>
            <w:vAlign w:val="center"/>
          </w:tcPr>
          <w:p w14:paraId="4052768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0479EE7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交通行业基础要素空间库-航空交通空间库-航空枢纽图层</w:t>
            </w:r>
          </w:p>
        </w:tc>
        <w:tc>
          <w:tcPr>
            <w:tcW w:w="4597" w:type="dxa"/>
            <w:shd w:val="clear" w:color="auto" w:fill="FFFFFF" w:themeFill="background1"/>
            <w:vAlign w:val="center"/>
          </w:tcPr>
          <w:p w14:paraId="286AAC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新建机场空间要素和属性信息，标准化字段分类和属性描述，输出6个图层：机场面图层、机场点图层、机场节假日专线、机场轨道专线、机场轨道专线车站、机场应急公交。</w:t>
            </w:r>
          </w:p>
        </w:tc>
      </w:tr>
      <w:tr w14:paraId="4D86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160CBE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42</w:t>
            </w:r>
          </w:p>
        </w:tc>
        <w:tc>
          <w:tcPr>
            <w:tcW w:w="1701" w:type="dxa"/>
            <w:shd w:val="clear" w:color="auto" w:fill="FFFFFF" w:themeFill="background1"/>
            <w:vAlign w:val="center"/>
          </w:tcPr>
          <w:p w14:paraId="74C93A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1532241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交通行业基础要素空间库-航空交通空间库-低空飞行区域图层</w:t>
            </w:r>
          </w:p>
        </w:tc>
        <w:tc>
          <w:tcPr>
            <w:tcW w:w="4597" w:type="dxa"/>
            <w:shd w:val="clear" w:color="auto" w:fill="FFFFFF" w:themeFill="background1"/>
            <w:vAlign w:val="center"/>
          </w:tcPr>
          <w:p w14:paraId="6709691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接入民用航空处的低空飞行区域要素，包括区域名称、用途、管理方式等图层和属性信息，标准化字段分类和属性描述，输出1个图层：低空飞行区域图层。</w:t>
            </w:r>
          </w:p>
        </w:tc>
      </w:tr>
      <w:tr w14:paraId="009B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2A7553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43</w:t>
            </w:r>
          </w:p>
        </w:tc>
        <w:tc>
          <w:tcPr>
            <w:tcW w:w="1701" w:type="dxa"/>
            <w:shd w:val="clear" w:color="auto" w:fill="FFFFFF" w:themeFill="background1"/>
            <w:vAlign w:val="center"/>
          </w:tcPr>
          <w:p w14:paraId="5BFE2C6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691527E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交通行业基础要素空间库-航空交通空间库-机场三维模型</w:t>
            </w:r>
          </w:p>
        </w:tc>
        <w:tc>
          <w:tcPr>
            <w:tcW w:w="4597" w:type="dxa"/>
            <w:shd w:val="clear" w:color="auto" w:fill="FFFFFF" w:themeFill="background1"/>
            <w:vAlign w:val="center"/>
          </w:tcPr>
          <w:p w14:paraId="05D4325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机场三维模型，包括基础信息、出入口、停车场、出租车、网约车、蓄车场、周边相关设施要素等图层和属性信息，标准化字段分类和属性描述，输出7个大类32个三维模型图层：机场基础信息图层、出入口图层、停车场图层、出租车图层、网约车图层、蓄车场图层、周边相关设施要素图层。</w:t>
            </w:r>
          </w:p>
        </w:tc>
      </w:tr>
      <w:tr w14:paraId="40301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688456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44</w:t>
            </w:r>
          </w:p>
        </w:tc>
        <w:tc>
          <w:tcPr>
            <w:tcW w:w="1701" w:type="dxa"/>
            <w:shd w:val="clear" w:color="auto" w:fill="FFFFFF" w:themeFill="background1"/>
            <w:vAlign w:val="center"/>
          </w:tcPr>
          <w:p w14:paraId="1D135B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1FCD5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交通行业基础要素空间库-公共交通空间库-轨道交通图层</w:t>
            </w:r>
          </w:p>
        </w:tc>
        <w:tc>
          <w:tcPr>
            <w:tcW w:w="4597" w:type="dxa"/>
            <w:shd w:val="clear" w:color="auto" w:fill="FFFFFF" w:themeFill="background1"/>
            <w:vAlign w:val="center"/>
          </w:tcPr>
          <w:p w14:paraId="575737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或新建申通的轨道交通要素，包括轨道线路、轨道站点、站点出入口、车辆停保场、站内厕所等图层和属性信息，与本地的轨道交通要素进行融合处理，标准化字段分类和属性描述，输出6个图层：轨道线路图层、轨道实时面图层、轨道站点图层、站点出入口图（新建）、车辆停保场图层、站内厕所图层（新建）。</w:t>
            </w:r>
          </w:p>
        </w:tc>
      </w:tr>
      <w:tr w14:paraId="5834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609BD1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45</w:t>
            </w:r>
          </w:p>
        </w:tc>
        <w:tc>
          <w:tcPr>
            <w:tcW w:w="1701" w:type="dxa"/>
            <w:shd w:val="clear" w:color="auto" w:fill="FFFFFF" w:themeFill="background1"/>
            <w:vAlign w:val="center"/>
          </w:tcPr>
          <w:p w14:paraId="43D3A0D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5AD9AB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交通行业基础要素空间库-公共交通空间库-市域铁路图层</w:t>
            </w:r>
          </w:p>
        </w:tc>
        <w:tc>
          <w:tcPr>
            <w:tcW w:w="4597" w:type="dxa"/>
            <w:shd w:val="clear" w:color="auto" w:fill="FFFFFF" w:themeFill="background1"/>
            <w:vAlign w:val="center"/>
          </w:tcPr>
          <w:p w14:paraId="527B21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新建市域铁路线路及站点空间要素和属性信息，标准化字段分类和属性描述，输出2个图层：市域铁路线路图层、市域铁路站点图层。</w:t>
            </w:r>
          </w:p>
        </w:tc>
      </w:tr>
      <w:tr w14:paraId="2B4F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530" w:hRule="atLeast"/>
        </w:trPr>
        <w:tc>
          <w:tcPr>
            <w:tcW w:w="677" w:type="dxa"/>
            <w:shd w:val="clear" w:color="auto" w:fill="FFFFFF" w:themeFill="background1"/>
            <w:vAlign w:val="center"/>
          </w:tcPr>
          <w:p w14:paraId="627F4C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46</w:t>
            </w:r>
          </w:p>
        </w:tc>
        <w:tc>
          <w:tcPr>
            <w:tcW w:w="1701" w:type="dxa"/>
            <w:shd w:val="clear" w:color="auto" w:fill="FFFFFF" w:themeFill="background1"/>
            <w:vAlign w:val="center"/>
          </w:tcPr>
          <w:p w14:paraId="710B5A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610D96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交通行业基础要素空间库-公共交通空间库-地面公交图层</w:t>
            </w:r>
          </w:p>
        </w:tc>
        <w:tc>
          <w:tcPr>
            <w:tcW w:w="4597" w:type="dxa"/>
            <w:shd w:val="clear" w:color="auto" w:fill="FFFFFF" w:themeFill="background1"/>
            <w:vAlign w:val="center"/>
          </w:tcPr>
          <w:p w14:paraId="068688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或新建久事公交、浦东公交、区县公交等的地面公交要素，包括公交线路、公交站点、公交首末站、公交枢纽、公交专用道、公交停保场等图层和属性信息，与本地的地面公交要素进行融合处理，标准化字段分类和属性描述，输出7个图层：公交线路图层、公交站点图层、公交站点覆盖图层、公交首末站图层、公交枢纽图层、公交专用道图层（新建）、公交停保场图层。</w:t>
            </w:r>
          </w:p>
        </w:tc>
      </w:tr>
      <w:tr w14:paraId="092F5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36C61E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47</w:t>
            </w:r>
          </w:p>
        </w:tc>
        <w:tc>
          <w:tcPr>
            <w:tcW w:w="1701" w:type="dxa"/>
            <w:shd w:val="clear" w:color="auto" w:fill="FFFFFF" w:themeFill="background1"/>
            <w:vAlign w:val="center"/>
          </w:tcPr>
          <w:p w14:paraId="4353B73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F51DA8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交通行业基础要素空间库-公共交通空间库-定制公交图层</w:t>
            </w:r>
          </w:p>
        </w:tc>
        <w:tc>
          <w:tcPr>
            <w:tcW w:w="4597" w:type="dxa"/>
            <w:shd w:val="clear" w:color="auto" w:fill="FFFFFF" w:themeFill="background1"/>
            <w:vAlign w:val="center"/>
          </w:tcPr>
          <w:p w14:paraId="5B2D2E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新建定制公交要素，包括公交线路、停靠站点等图层和班次时间等属性信息，标准化字段分类和属性描述，输出2个图层：公交线路图层、停靠站点图层。</w:t>
            </w:r>
          </w:p>
        </w:tc>
      </w:tr>
      <w:tr w14:paraId="1A76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29C8F5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48</w:t>
            </w:r>
          </w:p>
        </w:tc>
        <w:tc>
          <w:tcPr>
            <w:tcW w:w="1701" w:type="dxa"/>
            <w:shd w:val="clear" w:color="auto" w:fill="FFFFFF" w:themeFill="background1"/>
            <w:vAlign w:val="center"/>
          </w:tcPr>
          <w:p w14:paraId="729A03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1814C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交通行业基础要素空间库-公共交通空间库-汽车客运站图层</w:t>
            </w:r>
          </w:p>
        </w:tc>
        <w:tc>
          <w:tcPr>
            <w:tcW w:w="4597" w:type="dxa"/>
            <w:shd w:val="clear" w:color="auto" w:fill="FFFFFF" w:themeFill="background1"/>
            <w:vAlign w:val="center"/>
          </w:tcPr>
          <w:p w14:paraId="359720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接入市道运中心汽车客运站空间要素和属性信息，标准化字段分类和属性描述，输出1个图层：汽车客运站图层。</w:t>
            </w:r>
          </w:p>
        </w:tc>
      </w:tr>
      <w:tr w14:paraId="522C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20C366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49</w:t>
            </w:r>
          </w:p>
        </w:tc>
        <w:tc>
          <w:tcPr>
            <w:tcW w:w="1701" w:type="dxa"/>
            <w:shd w:val="clear" w:color="auto" w:fill="FFFFFF" w:themeFill="background1"/>
            <w:vAlign w:val="center"/>
          </w:tcPr>
          <w:p w14:paraId="6E0EB5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522895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交通行业基础要素空间库-静态交通空间库-公共停车场库图层</w:t>
            </w:r>
          </w:p>
        </w:tc>
        <w:tc>
          <w:tcPr>
            <w:tcW w:w="4597" w:type="dxa"/>
            <w:shd w:val="clear" w:color="auto" w:fill="FFFFFF" w:themeFill="background1"/>
            <w:vAlign w:val="center"/>
          </w:tcPr>
          <w:p w14:paraId="0E33BA7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公共停车场库要素，包括公共停车场库、停车场出入口、充电设施等图层和属性信息，与本地的公共停车场库要素进行融合处理，标准化字段分类和属性描述，输出3个图层：公共停车场库图层、停车场出入口图层、充电设施图层。其中公共停车场库4000余个。</w:t>
            </w:r>
          </w:p>
        </w:tc>
      </w:tr>
      <w:tr w14:paraId="0C5C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776E67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50</w:t>
            </w:r>
          </w:p>
        </w:tc>
        <w:tc>
          <w:tcPr>
            <w:tcW w:w="1701" w:type="dxa"/>
            <w:shd w:val="clear" w:color="auto" w:fill="FFFFFF" w:themeFill="background1"/>
            <w:vAlign w:val="center"/>
          </w:tcPr>
          <w:p w14:paraId="2C5F470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330DD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交通行业基础要素空间库-静态交通空间库-道路停车场图层</w:t>
            </w:r>
          </w:p>
        </w:tc>
        <w:tc>
          <w:tcPr>
            <w:tcW w:w="4597" w:type="dxa"/>
            <w:shd w:val="clear" w:color="auto" w:fill="FFFFFF" w:themeFill="background1"/>
            <w:vAlign w:val="center"/>
          </w:tcPr>
          <w:p w14:paraId="1980AD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道路停车场要素，包括道路停车场、停车位、停车设备等图层和属性信息，与本地的道路停车场要素进行融合处理，标准化字段分类和属性描述，输出3个图层：道路停车场图层、停车位图层、停车设备图层。其中道路停车场1000余个。</w:t>
            </w:r>
          </w:p>
        </w:tc>
      </w:tr>
      <w:tr w14:paraId="140D2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1619E38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51</w:t>
            </w:r>
          </w:p>
        </w:tc>
        <w:tc>
          <w:tcPr>
            <w:tcW w:w="1701" w:type="dxa"/>
            <w:shd w:val="clear" w:color="auto" w:fill="FFFFFF" w:themeFill="background1"/>
            <w:vAlign w:val="center"/>
          </w:tcPr>
          <w:p w14:paraId="042650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6075E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交通行业基础要素空间库-静态交通空间库-其他停车场图层</w:t>
            </w:r>
          </w:p>
        </w:tc>
        <w:tc>
          <w:tcPr>
            <w:tcW w:w="4597" w:type="dxa"/>
            <w:shd w:val="clear" w:color="auto" w:fill="FFFFFF" w:themeFill="background1"/>
            <w:vAlign w:val="center"/>
          </w:tcPr>
          <w:p w14:paraId="2DABBB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P+R停车场、配建停车场、共享车位等要素和属性信息，与本地的其他停车场要素进行融合处理，标准化字段分类和属性描述，输出4个图层：P+R停车场图层、配建停车场图层、共享车位图层、停车场指数图层。</w:t>
            </w:r>
          </w:p>
        </w:tc>
      </w:tr>
      <w:tr w14:paraId="236E3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6D6E88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52</w:t>
            </w:r>
          </w:p>
        </w:tc>
        <w:tc>
          <w:tcPr>
            <w:tcW w:w="1701" w:type="dxa"/>
            <w:shd w:val="clear" w:color="auto" w:fill="FFFFFF" w:themeFill="background1"/>
            <w:vAlign w:val="center"/>
          </w:tcPr>
          <w:p w14:paraId="58EE9A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6079C9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交通行业基础要素空间库-慢行交通空间库-过街设施图层</w:t>
            </w:r>
          </w:p>
        </w:tc>
        <w:tc>
          <w:tcPr>
            <w:tcW w:w="4597" w:type="dxa"/>
            <w:shd w:val="clear" w:color="auto" w:fill="FFFFFF" w:themeFill="background1"/>
            <w:vAlign w:val="center"/>
          </w:tcPr>
          <w:p w14:paraId="5DD825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新建过街设施要素，包括人行天桥、过街地道等图层和属性信息，标准化字段分类和属性描述，输出2个图层：人行天桥图层、过街地道图层。</w:t>
            </w:r>
          </w:p>
        </w:tc>
      </w:tr>
      <w:tr w14:paraId="2F28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275" w:hRule="atLeast"/>
        </w:trPr>
        <w:tc>
          <w:tcPr>
            <w:tcW w:w="677" w:type="dxa"/>
            <w:shd w:val="clear" w:color="auto" w:fill="FFFFFF" w:themeFill="background1"/>
            <w:vAlign w:val="center"/>
          </w:tcPr>
          <w:p w14:paraId="3D58B74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53</w:t>
            </w:r>
          </w:p>
        </w:tc>
        <w:tc>
          <w:tcPr>
            <w:tcW w:w="1701" w:type="dxa"/>
            <w:shd w:val="clear" w:color="auto" w:fill="FFFFFF" w:themeFill="background1"/>
            <w:vAlign w:val="center"/>
          </w:tcPr>
          <w:p w14:paraId="24FF3A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3AB53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交通行业基础要素空间库-慢行交通空间库-非机动车设施图层</w:t>
            </w:r>
          </w:p>
        </w:tc>
        <w:tc>
          <w:tcPr>
            <w:tcW w:w="4597" w:type="dxa"/>
            <w:shd w:val="clear" w:color="auto" w:fill="FFFFFF" w:themeFill="background1"/>
            <w:vAlign w:val="center"/>
          </w:tcPr>
          <w:p w14:paraId="1B4E510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非机动车设施要素，包括单车禁停电子围栏、非机动车充电桩、非机动车换电站等图层和属性信息，与本地的非机动车设施要素进行融合处理，标准化字段分类和属性描述，输出3个图层：单车禁停电子围栏图层、非机动车充电桩图层、非机动车换电站图层。</w:t>
            </w:r>
          </w:p>
        </w:tc>
      </w:tr>
      <w:tr w14:paraId="24F7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3C3CCF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54</w:t>
            </w:r>
          </w:p>
        </w:tc>
        <w:tc>
          <w:tcPr>
            <w:tcW w:w="1701" w:type="dxa"/>
            <w:shd w:val="clear" w:color="auto" w:fill="FFFFFF" w:themeFill="background1"/>
            <w:vAlign w:val="center"/>
          </w:tcPr>
          <w:p w14:paraId="0338B1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B5EB6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交通行业基础要素空间库-交通工程空间库-在建工程图层</w:t>
            </w:r>
          </w:p>
        </w:tc>
        <w:tc>
          <w:tcPr>
            <w:tcW w:w="4597" w:type="dxa"/>
            <w:shd w:val="clear" w:color="auto" w:fill="FFFFFF" w:themeFill="background1"/>
            <w:vAlign w:val="center"/>
          </w:tcPr>
          <w:p w14:paraId="6ADCC0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交通建设工程管理中心在建工程要素，包括点位、区域范围、工程名称、工程类型、开工完工日期等空间及属性信息，标准化字段分类和属性描述，输出3个图层：在建工程线图层、在建工程面图层、在建工程摄像机图层。</w:t>
            </w:r>
          </w:p>
        </w:tc>
      </w:tr>
      <w:tr w14:paraId="62558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28579C9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55</w:t>
            </w:r>
          </w:p>
        </w:tc>
        <w:tc>
          <w:tcPr>
            <w:tcW w:w="1701" w:type="dxa"/>
            <w:shd w:val="clear" w:color="auto" w:fill="FFFFFF" w:themeFill="background1"/>
            <w:vAlign w:val="center"/>
          </w:tcPr>
          <w:p w14:paraId="73698A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5CE1C3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交通行业基础要素空间库-交通工程空间库-规划工程图层</w:t>
            </w:r>
          </w:p>
        </w:tc>
        <w:tc>
          <w:tcPr>
            <w:tcW w:w="4597" w:type="dxa"/>
            <w:shd w:val="clear" w:color="auto" w:fill="FFFFFF" w:themeFill="background1"/>
            <w:vAlign w:val="center"/>
          </w:tcPr>
          <w:p w14:paraId="76311FA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接入市交通建设工程管理中心规划工程要素，包括点位、区域范围、工程名称、工程类型、工程周边相关要素等图层和属性信息，标准化字段分类和属性描述，输出1个图层：规划工程图层。</w:t>
            </w:r>
          </w:p>
        </w:tc>
      </w:tr>
      <w:tr w14:paraId="378DD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02AF0E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56</w:t>
            </w:r>
          </w:p>
        </w:tc>
        <w:tc>
          <w:tcPr>
            <w:tcW w:w="1701" w:type="dxa"/>
            <w:shd w:val="clear" w:color="auto" w:fill="FFFFFF" w:themeFill="background1"/>
            <w:vAlign w:val="center"/>
          </w:tcPr>
          <w:p w14:paraId="1CE45F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65621F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交通行业基础要素空间库-交通工程空间库-重点工程图层</w:t>
            </w:r>
          </w:p>
        </w:tc>
        <w:tc>
          <w:tcPr>
            <w:tcW w:w="4597" w:type="dxa"/>
            <w:shd w:val="clear" w:color="auto" w:fill="FFFFFF" w:themeFill="background1"/>
            <w:vAlign w:val="center"/>
          </w:tcPr>
          <w:p w14:paraId="3665805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接入市道运中心重点工程三维模型，包括工程基础信息、周边相关设施要素等属性信息，标准化字段分类和属性描述，输出1个图层：重点工程图层。</w:t>
            </w:r>
          </w:p>
        </w:tc>
      </w:tr>
      <w:tr w14:paraId="1C4A2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0252B27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57</w:t>
            </w:r>
          </w:p>
        </w:tc>
        <w:tc>
          <w:tcPr>
            <w:tcW w:w="1701" w:type="dxa"/>
            <w:shd w:val="clear" w:color="auto" w:fill="FFFFFF" w:themeFill="background1"/>
            <w:vAlign w:val="center"/>
          </w:tcPr>
          <w:p w14:paraId="4EB828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755A42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交通行业基础要素空间库-交通执法空间库-交通执法图层</w:t>
            </w:r>
          </w:p>
        </w:tc>
        <w:tc>
          <w:tcPr>
            <w:tcW w:w="4597" w:type="dxa"/>
            <w:shd w:val="clear" w:color="auto" w:fill="FFFFFF" w:themeFill="background1"/>
            <w:vAlign w:val="center"/>
          </w:tcPr>
          <w:p w14:paraId="6E6F70E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市交通委员会执法总队交通执法要素，包括道口、检查站、执法区域等要素信息，标准化字段分类和属性描述，形成统一业务标准的交通执法空间库，供交通委内单位共同使用，同时归集到市大数据中心。共输出3个图层。</w:t>
            </w:r>
          </w:p>
        </w:tc>
      </w:tr>
      <w:tr w14:paraId="7408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721161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58</w:t>
            </w:r>
          </w:p>
        </w:tc>
        <w:tc>
          <w:tcPr>
            <w:tcW w:w="1701" w:type="dxa"/>
            <w:shd w:val="clear" w:color="auto" w:fill="FFFFFF" w:themeFill="background1"/>
            <w:vAlign w:val="center"/>
          </w:tcPr>
          <w:p w14:paraId="11A3928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3365A0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交通行业基础要素空间库-交通企业空间库-交通企业图层</w:t>
            </w:r>
          </w:p>
        </w:tc>
        <w:tc>
          <w:tcPr>
            <w:tcW w:w="4597" w:type="dxa"/>
            <w:shd w:val="clear" w:color="auto" w:fill="FFFFFF" w:themeFill="background1"/>
            <w:vAlign w:val="center"/>
          </w:tcPr>
          <w:p w14:paraId="0084DB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接入委客运处、货运处的运营企业要素，包括运输企业，租赁企业，维修企业等要素信息，标准化字段分类和属性描述，形成统一业务标准的交通企业空间库，供交通委内单位共同使用，同时归集到市大数据中心。共输出3个图层。</w:t>
            </w:r>
          </w:p>
        </w:tc>
      </w:tr>
      <w:tr w14:paraId="7EB0D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07EF834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59</w:t>
            </w:r>
          </w:p>
        </w:tc>
        <w:tc>
          <w:tcPr>
            <w:tcW w:w="1701" w:type="dxa"/>
            <w:shd w:val="clear" w:color="auto" w:fill="FFFFFF" w:themeFill="background1"/>
            <w:vAlign w:val="center"/>
          </w:tcPr>
          <w:p w14:paraId="2F8EF9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0925F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交通行业基础要素空间库-长三角交通空间库-公路要素图层</w:t>
            </w:r>
          </w:p>
        </w:tc>
        <w:tc>
          <w:tcPr>
            <w:tcW w:w="4597" w:type="dxa"/>
            <w:shd w:val="clear" w:color="auto" w:fill="FFFFFF" w:themeFill="background1"/>
            <w:vAlign w:val="center"/>
          </w:tcPr>
          <w:p w14:paraId="155169D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新建长三角公路要素，包括高速公路、国省干线等图层和属性信息，标准化字段分类和属性描述，输出2个图层：高速公路图层、国省干线图层。</w:t>
            </w:r>
          </w:p>
        </w:tc>
      </w:tr>
      <w:tr w14:paraId="12F3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210944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60</w:t>
            </w:r>
          </w:p>
        </w:tc>
        <w:tc>
          <w:tcPr>
            <w:tcW w:w="1701" w:type="dxa"/>
            <w:shd w:val="clear" w:color="auto" w:fill="FFFFFF" w:themeFill="background1"/>
            <w:vAlign w:val="center"/>
          </w:tcPr>
          <w:p w14:paraId="1FA56EE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0124756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交通行业基础要素空间库-长三角交通空间库-铁路要素图层</w:t>
            </w:r>
          </w:p>
        </w:tc>
        <w:tc>
          <w:tcPr>
            <w:tcW w:w="4597" w:type="dxa"/>
            <w:shd w:val="clear" w:color="auto" w:fill="FFFFFF" w:themeFill="background1"/>
            <w:vAlign w:val="center"/>
          </w:tcPr>
          <w:p w14:paraId="6BB7ABC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新建长三角铁路要素，包括铁路线网、铁路站点等图层和属性信息，标准化字段分类和属性描述，输出2个图层：铁路线网图层、铁路站点图层。</w:t>
            </w:r>
          </w:p>
        </w:tc>
      </w:tr>
      <w:tr w14:paraId="512FE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739DDB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61</w:t>
            </w:r>
          </w:p>
        </w:tc>
        <w:tc>
          <w:tcPr>
            <w:tcW w:w="1701" w:type="dxa"/>
            <w:shd w:val="clear" w:color="auto" w:fill="FFFFFF" w:themeFill="background1"/>
            <w:vAlign w:val="center"/>
          </w:tcPr>
          <w:p w14:paraId="516B54D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67DF26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交通行业基础要素空间库-长三角交通空间库-水路要素图层</w:t>
            </w:r>
          </w:p>
        </w:tc>
        <w:tc>
          <w:tcPr>
            <w:tcW w:w="4597" w:type="dxa"/>
            <w:shd w:val="clear" w:color="auto" w:fill="FFFFFF" w:themeFill="background1"/>
            <w:vAlign w:val="center"/>
          </w:tcPr>
          <w:p w14:paraId="626A95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新建长三角水路要素，包括主要河流等图层和属性信息，标准化字段分类和属性描述，输出1个图层：主要河流图层。</w:t>
            </w:r>
          </w:p>
        </w:tc>
      </w:tr>
      <w:tr w14:paraId="1855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03DA97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62</w:t>
            </w:r>
          </w:p>
        </w:tc>
        <w:tc>
          <w:tcPr>
            <w:tcW w:w="1701" w:type="dxa"/>
            <w:shd w:val="clear" w:color="auto" w:fill="FFFFFF" w:themeFill="background1"/>
            <w:vAlign w:val="center"/>
          </w:tcPr>
          <w:p w14:paraId="651CE3D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506D2E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交通行业拓扑要素空间库-道路拓扑空间库-快速路拓扑节点图层</w:t>
            </w:r>
          </w:p>
        </w:tc>
        <w:tc>
          <w:tcPr>
            <w:tcW w:w="4597" w:type="dxa"/>
            <w:shd w:val="clear" w:color="auto" w:fill="FFFFFF" w:themeFill="background1"/>
            <w:vAlign w:val="center"/>
          </w:tcPr>
          <w:p w14:paraId="4617DF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按照快速路分流合流点（上匝道，下匝道，转接道）新建快速路拓扑节点，并编辑节点属性，输出1个图层：快速路拓扑节点图层。</w:t>
            </w:r>
          </w:p>
        </w:tc>
      </w:tr>
      <w:tr w14:paraId="5DB1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378285A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63</w:t>
            </w:r>
          </w:p>
        </w:tc>
        <w:tc>
          <w:tcPr>
            <w:tcW w:w="1701" w:type="dxa"/>
            <w:shd w:val="clear" w:color="auto" w:fill="FFFFFF" w:themeFill="background1"/>
            <w:vAlign w:val="center"/>
          </w:tcPr>
          <w:p w14:paraId="7CABD0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FCE3E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交通行业拓扑要素空间库-道路拓扑空间库-快速路拓扑路段图层</w:t>
            </w:r>
          </w:p>
        </w:tc>
        <w:tc>
          <w:tcPr>
            <w:tcW w:w="4597" w:type="dxa"/>
            <w:shd w:val="clear" w:color="auto" w:fill="FFFFFF" w:themeFill="background1"/>
            <w:vAlign w:val="center"/>
          </w:tcPr>
          <w:p w14:paraId="4F116BD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新建快速路双向路段，按照快速路网运行的分流合流点进行打断，并编辑路段属性，全市快速路共245公里，输出1个图层：带行车方向的快速路拓扑路段图层。</w:t>
            </w:r>
          </w:p>
        </w:tc>
      </w:tr>
      <w:tr w14:paraId="74D78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46F554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64</w:t>
            </w:r>
          </w:p>
        </w:tc>
        <w:tc>
          <w:tcPr>
            <w:tcW w:w="1701" w:type="dxa"/>
            <w:shd w:val="clear" w:color="auto" w:fill="FFFFFF" w:themeFill="background1"/>
            <w:vAlign w:val="center"/>
          </w:tcPr>
          <w:p w14:paraId="4D99047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7AF54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交通行业拓扑要素空间库-道路拓扑空间库-地面道路拓扑节点图层</w:t>
            </w:r>
          </w:p>
        </w:tc>
        <w:tc>
          <w:tcPr>
            <w:tcW w:w="4597" w:type="dxa"/>
            <w:shd w:val="clear" w:color="auto" w:fill="FFFFFF" w:themeFill="background1"/>
            <w:vAlign w:val="center"/>
          </w:tcPr>
          <w:p w14:paraId="7C0EE4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按照地面道路分流合流点（路口）新建地面道路拓扑节点，并编辑节点属性，输出1个图层：地面道路拓扑节点图层。</w:t>
            </w:r>
          </w:p>
        </w:tc>
      </w:tr>
      <w:tr w14:paraId="02F60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6C27E57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65</w:t>
            </w:r>
          </w:p>
        </w:tc>
        <w:tc>
          <w:tcPr>
            <w:tcW w:w="1701" w:type="dxa"/>
            <w:shd w:val="clear" w:color="auto" w:fill="FFFFFF" w:themeFill="background1"/>
            <w:vAlign w:val="center"/>
          </w:tcPr>
          <w:p w14:paraId="3AD31A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B981E5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交通行业拓扑要素空间库-道路拓扑空间库-地面道路拓扑路段图层</w:t>
            </w:r>
          </w:p>
        </w:tc>
        <w:tc>
          <w:tcPr>
            <w:tcW w:w="4597" w:type="dxa"/>
            <w:shd w:val="clear" w:color="auto" w:fill="FFFFFF" w:themeFill="background1"/>
            <w:vAlign w:val="center"/>
          </w:tcPr>
          <w:p w14:paraId="4FAC92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新建地面道路双向路段，按照地面道路网运行的交叉口进行打断，并编辑路段属性，全市地面道路共5925公里，输出1个图层：带行车方向的地面道路拓扑路段图层。</w:t>
            </w:r>
          </w:p>
        </w:tc>
      </w:tr>
      <w:tr w14:paraId="2DA0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0264A7C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66</w:t>
            </w:r>
          </w:p>
        </w:tc>
        <w:tc>
          <w:tcPr>
            <w:tcW w:w="1701" w:type="dxa"/>
            <w:shd w:val="clear" w:color="auto" w:fill="FFFFFF" w:themeFill="background1"/>
            <w:vAlign w:val="center"/>
          </w:tcPr>
          <w:p w14:paraId="2B03DC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3CF9D3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交通行业拓扑要素空间库-道路拓扑空间库-公路拓扑节点图层</w:t>
            </w:r>
          </w:p>
        </w:tc>
        <w:tc>
          <w:tcPr>
            <w:tcW w:w="4597" w:type="dxa"/>
            <w:shd w:val="clear" w:color="auto" w:fill="FFFFFF" w:themeFill="background1"/>
            <w:vAlign w:val="center"/>
          </w:tcPr>
          <w:p w14:paraId="33B260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按照公路分流合流点（路口、收费站、服务区、高速立交）新建公路拓扑节点，并编辑节点属性，输出1个图层：公路拓扑节点图层。</w:t>
            </w:r>
          </w:p>
        </w:tc>
      </w:tr>
      <w:tr w14:paraId="0B364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47E478B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67</w:t>
            </w:r>
          </w:p>
        </w:tc>
        <w:tc>
          <w:tcPr>
            <w:tcW w:w="1701" w:type="dxa"/>
            <w:shd w:val="clear" w:color="auto" w:fill="FFFFFF" w:themeFill="background1"/>
            <w:vAlign w:val="center"/>
          </w:tcPr>
          <w:p w14:paraId="744B89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3FABBB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交通行业拓扑要素空间库-道路拓扑空间库-公路拓扑路段图层</w:t>
            </w:r>
          </w:p>
        </w:tc>
        <w:tc>
          <w:tcPr>
            <w:tcW w:w="4597" w:type="dxa"/>
            <w:shd w:val="clear" w:color="auto" w:fill="FFFFFF" w:themeFill="background1"/>
            <w:vAlign w:val="center"/>
          </w:tcPr>
          <w:p w14:paraId="0B9577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新建公路双向路段，按照公路网运行的分流合流点进行打断，并编辑路段属性，全市公路共12998公里，输出1个图层：带行车方向的公路拓扑路段图层。</w:t>
            </w:r>
          </w:p>
        </w:tc>
      </w:tr>
      <w:tr w14:paraId="69EC8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2C37925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68</w:t>
            </w:r>
          </w:p>
        </w:tc>
        <w:tc>
          <w:tcPr>
            <w:tcW w:w="1701" w:type="dxa"/>
            <w:shd w:val="clear" w:color="auto" w:fill="FFFFFF" w:themeFill="background1"/>
            <w:vAlign w:val="center"/>
          </w:tcPr>
          <w:p w14:paraId="3CC7012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175E3B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交通行业拓扑要素空间库-轨道拓扑空间库-轨道拓扑节点图层</w:t>
            </w:r>
          </w:p>
        </w:tc>
        <w:tc>
          <w:tcPr>
            <w:tcW w:w="4597" w:type="dxa"/>
            <w:shd w:val="clear" w:color="auto" w:fill="FFFFFF" w:themeFill="background1"/>
            <w:vAlign w:val="center"/>
          </w:tcPr>
          <w:p w14:paraId="58C9756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按照轨道站点类型（普通站点、换乘站点、首末站、P+R换乘站点）新建轨道拓扑节点，并编辑节点属性，全市运营站点517个，输出1个图层：轨道拓扑节点图层。</w:t>
            </w:r>
          </w:p>
        </w:tc>
      </w:tr>
      <w:tr w14:paraId="49EB2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3349D4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69</w:t>
            </w:r>
          </w:p>
        </w:tc>
        <w:tc>
          <w:tcPr>
            <w:tcW w:w="1701" w:type="dxa"/>
            <w:shd w:val="clear" w:color="auto" w:fill="FFFFFF" w:themeFill="background1"/>
            <w:vAlign w:val="center"/>
          </w:tcPr>
          <w:p w14:paraId="398BB75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38C4E2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交通行业拓扑要素空间库-轨道拓扑空间库-轨道拓扑站间段图层</w:t>
            </w:r>
          </w:p>
        </w:tc>
        <w:tc>
          <w:tcPr>
            <w:tcW w:w="4597" w:type="dxa"/>
            <w:shd w:val="clear" w:color="auto" w:fill="FFFFFF" w:themeFill="background1"/>
            <w:vAlign w:val="center"/>
          </w:tcPr>
          <w:p w14:paraId="017945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新建轨道站间段，按照轨道站点进行上下行打断，并编辑站间段属性，全市线路21条，输出1个图层：带上下行方向的轨道拓扑站间段图层。</w:t>
            </w:r>
          </w:p>
        </w:tc>
      </w:tr>
      <w:tr w14:paraId="10FB1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34B319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70</w:t>
            </w:r>
          </w:p>
        </w:tc>
        <w:tc>
          <w:tcPr>
            <w:tcW w:w="1701" w:type="dxa"/>
            <w:shd w:val="clear" w:color="auto" w:fill="FFFFFF" w:themeFill="background1"/>
            <w:vAlign w:val="center"/>
          </w:tcPr>
          <w:p w14:paraId="271F83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2C56DE4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交通行业拓扑要素空间库-公交拓扑空间库-公交拓扑节点图层</w:t>
            </w:r>
          </w:p>
        </w:tc>
        <w:tc>
          <w:tcPr>
            <w:tcW w:w="4597" w:type="dxa"/>
            <w:shd w:val="clear" w:color="auto" w:fill="FFFFFF" w:themeFill="background1"/>
            <w:vAlign w:val="center"/>
          </w:tcPr>
          <w:p w14:paraId="7A48BD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按照公交站点类型（普通站点、换乘站点、首末站）新建公交拓扑节点，全市运营站点20000余个，并编辑节点属性，输出1个图层：公交拓扑节点图层。</w:t>
            </w:r>
          </w:p>
        </w:tc>
      </w:tr>
      <w:tr w14:paraId="6C95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109AAD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71</w:t>
            </w:r>
          </w:p>
        </w:tc>
        <w:tc>
          <w:tcPr>
            <w:tcW w:w="1701" w:type="dxa"/>
            <w:shd w:val="clear" w:color="auto" w:fill="FFFFFF" w:themeFill="background1"/>
            <w:vAlign w:val="center"/>
          </w:tcPr>
          <w:p w14:paraId="4A52D8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10CD87A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交通行业拓扑要素空间库-公交拓扑空间库-公交拓扑站间段图层</w:t>
            </w:r>
          </w:p>
        </w:tc>
        <w:tc>
          <w:tcPr>
            <w:tcW w:w="4597" w:type="dxa"/>
            <w:shd w:val="clear" w:color="auto" w:fill="FFFFFF" w:themeFill="background1"/>
            <w:vAlign w:val="center"/>
          </w:tcPr>
          <w:p w14:paraId="2C020C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新建公交站间段，按照公交站点进行上下行打断，并编辑站间段属性，全市线路1500余条，输出1个图层：带上下行方向的公交拓扑站间段图层。</w:t>
            </w:r>
          </w:p>
        </w:tc>
      </w:tr>
      <w:tr w14:paraId="07444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03C9165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72</w:t>
            </w:r>
          </w:p>
        </w:tc>
        <w:tc>
          <w:tcPr>
            <w:tcW w:w="1701" w:type="dxa"/>
            <w:shd w:val="clear" w:color="auto" w:fill="FFFFFF" w:themeFill="background1"/>
            <w:vAlign w:val="center"/>
          </w:tcPr>
          <w:p w14:paraId="55ED35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4C48B6F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交通行业拓扑要素空间库-铁路拓扑空间库-铁路拓扑节点图层</w:t>
            </w:r>
          </w:p>
        </w:tc>
        <w:tc>
          <w:tcPr>
            <w:tcW w:w="4597" w:type="dxa"/>
            <w:shd w:val="clear" w:color="auto" w:fill="FFFFFF" w:themeFill="background1"/>
            <w:vAlign w:val="center"/>
          </w:tcPr>
          <w:p w14:paraId="7EC077F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按照铁路站点类型（首发站、途径站）新建铁路拓扑节点，并编辑节点属性，输出1个图层：铁路拓扑节点图层。</w:t>
            </w:r>
          </w:p>
        </w:tc>
      </w:tr>
      <w:tr w14:paraId="74D5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4948E6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73</w:t>
            </w:r>
          </w:p>
        </w:tc>
        <w:tc>
          <w:tcPr>
            <w:tcW w:w="1701" w:type="dxa"/>
            <w:shd w:val="clear" w:color="auto" w:fill="FFFFFF" w:themeFill="background1"/>
            <w:vAlign w:val="center"/>
          </w:tcPr>
          <w:p w14:paraId="14B76FE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7E09F39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交通行业拓扑要素空间库-铁路拓扑空间库-铁路拓扑站间段图层</w:t>
            </w:r>
          </w:p>
        </w:tc>
        <w:tc>
          <w:tcPr>
            <w:tcW w:w="4597" w:type="dxa"/>
            <w:shd w:val="clear" w:color="auto" w:fill="FFFFFF" w:themeFill="background1"/>
            <w:vAlign w:val="center"/>
          </w:tcPr>
          <w:p w14:paraId="42BE4A3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新建铁路站间段，按照铁路站点进行上下行打断，并编辑站间段属性，输出1个图层：带上下行方向的铁路拓扑站间段图层。</w:t>
            </w:r>
          </w:p>
        </w:tc>
      </w:tr>
      <w:tr w14:paraId="1CAF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51FC4F1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74</w:t>
            </w:r>
          </w:p>
        </w:tc>
        <w:tc>
          <w:tcPr>
            <w:tcW w:w="1701" w:type="dxa"/>
            <w:shd w:val="clear" w:color="auto" w:fill="FFFFFF" w:themeFill="background1"/>
            <w:vAlign w:val="center"/>
          </w:tcPr>
          <w:p w14:paraId="70EC72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6A907D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交通行业拓扑要素空间库-水路拓扑空间库-水路拓扑节点图层</w:t>
            </w:r>
          </w:p>
        </w:tc>
        <w:tc>
          <w:tcPr>
            <w:tcW w:w="4597" w:type="dxa"/>
            <w:shd w:val="clear" w:color="auto" w:fill="FFFFFF" w:themeFill="background1"/>
            <w:vAlign w:val="center"/>
          </w:tcPr>
          <w:p w14:paraId="154EE4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按照水路站点类型（客运码头、货运码头、桥梁）新建水路拓扑节点，并编辑节点属性，输出1个图层：水路拓扑节点图层。</w:t>
            </w:r>
          </w:p>
        </w:tc>
      </w:tr>
      <w:tr w14:paraId="1E4A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198003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75</w:t>
            </w:r>
          </w:p>
        </w:tc>
        <w:tc>
          <w:tcPr>
            <w:tcW w:w="1701" w:type="dxa"/>
            <w:shd w:val="clear" w:color="auto" w:fill="FFFFFF" w:themeFill="background1"/>
            <w:vAlign w:val="center"/>
          </w:tcPr>
          <w:p w14:paraId="18528D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数据层(交通行业空间库建设)</w:t>
            </w:r>
          </w:p>
        </w:tc>
        <w:tc>
          <w:tcPr>
            <w:tcW w:w="1553" w:type="dxa"/>
            <w:shd w:val="clear" w:color="auto" w:fill="FFFFFF" w:themeFill="background1"/>
            <w:vAlign w:val="center"/>
          </w:tcPr>
          <w:p w14:paraId="398D04B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交通行业拓扑要素空间库-水路拓扑空间库-水路拓扑航段图层</w:t>
            </w:r>
          </w:p>
        </w:tc>
        <w:tc>
          <w:tcPr>
            <w:tcW w:w="4597" w:type="dxa"/>
            <w:shd w:val="clear" w:color="auto" w:fill="FFFFFF" w:themeFill="background1"/>
            <w:vAlign w:val="center"/>
          </w:tcPr>
          <w:p w14:paraId="518BE0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新建水路站间段，按照水路站点进行航道上下行打断，并编辑航段属性，输出1个图层：带上下行方向的水路拓扑航段图层。</w:t>
            </w:r>
          </w:p>
        </w:tc>
      </w:tr>
      <w:tr w14:paraId="0B5EB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32E668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76</w:t>
            </w:r>
          </w:p>
        </w:tc>
        <w:tc>
          <w:tcPr>
            <w:tcW w:w="1701" w:type="dxa"/>
            <w:shd w:val="clear" w:color="auto" w:fill="FFFFFF" w:themeFill="background1"/>
            <w:vAlign w:val="center"/>
          </w:tcPr>
          <w:p w14:paraId="3ACEA8B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43A3544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交通行业结构化数据去噪-统计异常检测</w:t>
            </w:r>
          </w:p>
        </w:tc>
        <w:tc>
          <w:tcPr>
            <w:tcW w:w="4597" w:type="dxa"/>
            <w:shd w:val="clear" w:color="auto" w:fill="FFFFFF" w:themeFill="background1"/>
            <w:vAlign w:val="center"/>
          </w:tcPr>
          <w:p w14:paraId="490130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运用孤立森林算法对人、车、路、场、站、企等属性统计结果中的异常值进行识别，依据交通业务逻辑和历史数据分布特征判断并修正偏离正常范围的统计值</w:t>
            </w:r>
          </w:p>
        </w:tc>
      </w:tr>
      <w:tr w14:paraId="3D5E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33947B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77</w:t>
            </w:r>
          </w:p>
        </w:tc>
        <w:tc>
          <w:tcPr>
            <w:tcW w:w="1701" w:type="dxa"/>
            <w:shd w:val="clear" w:color="auto" w:fill="FFFFFF" w:themeFill="background1"/>
            <w:vAlign w:val="center"/>
          </w:tcPr>
          <w:p w14:paraId="24BD54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3A6CF0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交通行业结构化数据去噪-多源数据融合去噪</w:t>
            </w:r>
          </w:p>
        </w:tc>
        <w:tc>
          <w:tcPr>
            <w:tcW w:w="4597" w:type="dxa"/>
            <w:shd w:val="clear" w:color="auto" w:fill="FFFFFF" w:themeFill="background1"/>
            <w:vAlign w:val="center"/>
          </w:tcPr>
          <w:p w14:paraId="771ED59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结合大模型的跨模态理解能力，将交通流量数据与气象数据、事件数据关联，通过因果推理区分真实异常与环境因素导致的波动。</w:t>
            </w:r>
          </w:p>
        </w:tc>
      </w:tr>
      <w:tr w14:paraId="0FB2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25117F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78</w:t>
            </w:r>
          </w:p>
        </w:tc>
        <w:tc>
          <w:tcPr>
            <w:tcW w:w="1701" w:type="dxa"/>
            <w:shd w:val="clear" w:color="auto" w:fill="FFFFFF" w:themeFill="background1"/>
            <w:vAlign w:val="center"/>
          </w:tcPr>
          <w:p w14:paraId="7227E67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0CE9E15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交通行业结构化数据去噪-相似数据去重</w:t>
            </w:r>
          </w:p>
        </w:tc>
        <w:tc>
          <w:tcPr>
            <w:tcW w:w="4597" w:type="dxa"/>
            <w:shd w:val="clear" w:color="auto" w:fill="FFFFFF" w:themeFill="background1"/>
            <w:vAlign w:val="center"/>
          </w:tcPr>
          <w:p w14:paraId="484186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基于大模型的语义相似度计算，识别不同来源的人、车、路等统计数据中的近义重复；利用大模型的跨模态理解能力，关联同一实体在不同系统中的表示，消除因命名差异导致的重复数据</w:t>
            </w:r>
          </w:p>
        </w:tc>
      </w:tr>
      <w:tr w14:paraId="765A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7D5349D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79</w:t>
            </w:r>
          </w:p>
        </w:tc>
        <w:tc>
          <w:tcPr>
            <w:tcW w:w="1701" w:type="dxa"/>
            <w:shd w:val="clear" w:color="auto" w:fill="FFFFFF" w:themeFill="background1"/>
            <w:vAlign w:val="center"/>
          </w:tcPr>
          <w:p w14:paraId="763756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227359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交通行业结构化数据去噪-多维度异常检测</w:t>
            </w:r>
          </w:p>
        </w:tc>
        <w:tc>
          <w:tcPr>
            <w:tcW w:w="4597" w:type="dxa"/>
            <w:shd w:val="clear" w:color="auto" w:fill="FFFFFF" w:themeFill="background1"/>
            <w:vAlign w:val="center"/>
          </w:tcPr>
          <w:p w14:paraId="006CED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引入基于时间序列的异常检测方法。例如，对于交通流量数据，分析其在不同时间段的正常波动模式，识别出与这些模式显著偏离的数据点作为异常。</w:t>
            </w:r>
          </w:p>
        </w:tc>
      </w:tr>
      <w:tr w14:paraId="1810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11195C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80</w:t>
            </w:r>
          </w:p>
        </w:tc>
        <w:tc>
          <w:tcPr>
            <w:tcW w:w="1701" w:type="dxa"/>
            <w:shd w:val="clear" w:color="auto" w:fill="FFFFFF" w:themeFill="background1"/>
            <w:vAlign w:val="center"/>
          </w:tcPr>
          <w:p w14:paraId="5E40EDD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50C1EB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交通行业知识图谱去噪-关键词提取去噪</w:t>
            </w:r>
          </w:p>
        </w:tc>
        <w:tc>
          <w:tcPr>
            <w:tcW w:w="4597" w:type="dxa"/>
            <w:shd w:val="clear" w:color="auto" w:fill="FFFFFF" w:themeFill="background1"/>
            <w:vAlign w:val="center"/>
          </w:tcPr>
          <w:p w14:paraId="1557FD1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基于自然语言提取图数据关键词进行内容片段检索，清洗无关干扰信息</w:t>
            </w:r>
          </w:p>
        </w:tc>
      </w:tr>
      <w:tr w14:paraId="4BC22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6D58C7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81</w:t>
            </w:r>
          </w:p>
        </w:tc>
        <w:tc>
          <w:tcPr>
            <w:tcW w:w="1701" w:type="dxa"/>
            <w:shd w:val="clear" w:color="auto" w:fill="FFFFFF" w:themeFill="background1"/>
            <w:vAlign w:val="center"/>
          </w:tcPr>
          <w:p w14:paraId="396EB2E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6CA4DD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交通行业数据模型去噪-关键词提取去噪</w:t>
            </w:r>
          </w:p>
        </w:tc>
        <w:tc>
          <w:tcPr>
            <w:tcW w:w="4597" w:type="dxa"/>
            <w:shd w:val="clear" w:color="auto" w:fill="FFFFFF" w:themeFill="background1"/>
            <w:vAlign w:val="center"/>
          </w:tcPr>
          <w:p w14:paraId="257D22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基于自然语言提取建模指令关键词进行内容片段检索，清洗无关干扰信息</w:t>
            </w:r>
          </w:p>
        </w:tc>
      </w:tr>
      <w:tr w14:paraId="1A04F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03A359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82</w:t>
            </w:r>
          </w:p>
        </w:tc>
        <w:tc>
          <w:tcPr>
            <w:tcW w:w="1701" w:type="dxa"/>
            <w:shd w:val="clear" w:color="auto" w:fill="FFFFFF" w:themeFill="background1"/>
            <w:vAlign w:val="center"/>
          </w:tcPr>
          <w:p w14:paraId="0FEAAB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163735D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交通视频图像数据去噪-关键帧交通事件校核</w:t>
            </w:r>
          </w:p>
        </w:tc>
        <w:tc>
          <w:tcPr>
            <w:tcW w:w="4597" w:type="dxa"/>
            <w:shd w:val="clear" w:color="auto" w:fill="FFFFFF" w:themeFill="background1"/>
            <w:vAlign w:val="center"/>
          </w:tcPr>
          <w:p w14:paraId="7ECADE7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基于视觉大模型自动提取监控视频中的关键交通事件帧，通过多帧语义关联判断异常场景，避免传统算法对光照、遮挡的误判。</w:t>
            </w:r>
          </w:p>
        </w:tc>
      </w:tr>
      <w:tr w14:paraId="03EBD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6F89B1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83</w:t>
            </w:r>
          </w:p>
        </w:tc>
        <w:tc>
          <w:tcPr>
            <w:tcW w:w="1701" w:type="dxa"/>
            <w:shd w:val="clear" w:color="auto" w:fill="FFFFFF" w:themeFill="background1"/>
            <w:vAlign w:val="center"/>
          </w:tcPr>
          <w:p w14:paraId="728C53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334B23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交通行业结构化数据标准化处理-大模型的智能分类与标注</w:t>
            </w:r>
          </w:p>
        </w:tc>
        <w:tc>
          <w:tcPr>
            <w:tcW w:w="4597" w:type="dxa"/>
            <w:shd w:val="clear" w:color="auto" w:fill="FFFFFF" w:themeFill="background1"/>
            <w:vAlign w:val="center"/>
          </w:tcPr>
          <w:p w14:paraId="3E6C3C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利用大模型的自然语言处理能力，对交通行业结构化数据进行语义分析，自动提取关键信息并进行智能分类与标注。同时，结合上下文信息，对数据进行精准标注，提升数据的可利用性和分析效率。</w:t>
            </w:r>
          </w:p>
        </w:tc>
      </w:tr>
      <w:tr w14:paraId="1DBFF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4B55DE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84</w:t>
            </w:r>
          </w:p>
        </w:tc>
        <w:tc>
          <w:tcPr>
            <w:tcW w:w="1701" w:type="dxa"/>
            <w:shd w:val="clear" w:color="auto" w:fill="FFFFFF" w:themeFill="background1"/>
            <w:vAlign w:val="center"/>
          </w:tcPr>
          <w:p w14:paraId="64117C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47A430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交通行业结构化数据标准化处理-数据安全与隐私保护</w:t>
            </w:r>
          </w:p>
        </w:tc>
        <w:tc>
          <w:tcPr>
            <w:tcW w:w="4597" w:type="dxa"/>
            <w:shd w:val="clear" w:color="auto" w:fill="FFFFFF" w:themeFill="background1"/>
            <w:vAlign w:val="center"/>
          </w:tcPr>
          <w:p w14:paraId="37896E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借助大模型的数据加密与隐私保护能力，为交通行业结构化数据提供全方位的安全保障。大模型支持复杂的加密算法，对交通数据进行加密处理，确保数据在传输和存储过程中的安全性。同时，大模型采用差分隐私等技术，自动识别并隐藏数据中的个人隐私信息。</w:t>
            </w:r>
          </w:p>
        </w:tc>
      </w:tr>
      <w:tr w14:paraId="1E0D0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7DB17B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85</w:t>
            </w:r>
          </w:p>
        </w:tc>
        <w:tc>
          <w:tcPr>
            <w:tcW w:w="1701" w:type="dxa"/>
            <w:shd w:val="clear" w:color="auto" w:fill="FFFFFF" w:themeFill="background1"/>
            <w:vAlign w:val="center"/>
          </w:tcPr>
          <w:p w14:paraId="225E844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036597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交通行业知识图谱标准化处理-图上内容摘要</w:t>
            </w:r>
          </w:p>
        </w:tc>
        <w:tc>
          <w:tcPr>
            <w:tcW w:w="4597" w:type="dxa"/>
            <w:shd w:val="clear" w:color="auto" w:fill="FFFFFF" w:themeFill="background1"/>
            <w:vAlign w:val="center"/>
          </w:tcPr>
          <w:p w14:paraId="7A93D8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智能整合图谱中实体及关系信息，提供频次统计、关系密切度等摘要数据</w:t>
            </w:r>
          </w:p>
        </w:tc>
      </w:tr>
      <w:tr w14:paraId="55950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550FFF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86</w:t>
            </w:r>
          </w:p>
        </w:tc>
        <w:tc>
          <w:tcPr>
            <w:tcW w:w="1701" w:type="dxa"/>
            <w:shd w:val="clear" w:color="auto" w:fill="FFFFFF" w:themeFill="background1"/>
            <w:vAlign w:val="center"/>
          </w:tcPr>
          <w:p w14:paraId="6720BF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229A20E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交通行业知识图谱标准化处理-交通行业人员知识库构建</w:t>
            </w:r>
          </w:p>
        </w:tc>
        <w:tc>
          <w:tcPr>
            <w:tcW w:w="4597" w:type="dxa"/>
            <w:shd w:val="clear" w:color="auto" w:fill="FFFFFF" w:themeFill="background1"/>
            <w:vAlign w:val="center"/>
          </w:tcPr>
          <w:p w14:paraId="57758FA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抽取人员姓名、岗位类型、资质等级、所属单位、工作记录等字段，构建标准化的从业人员知识库</w:t>
            </w:r>
          </w:p>
        </w:tc>
      </w:tr>
      <w:tr w14:paraId="632A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25B4B1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87</w:t>
            </w:r>
          </w:p>
        </w:tc>
        <w:tc>
          <w:tcPr>
            <w:tcW w:w="1701" w:type="dxa"/>
            <w:shd w:val="clear" w:color="auto" w:fill="FFFFFF" w:themeFill="background1"/>
            <w:vAlign w:val="center"/>
          </w:tcPr>
          <w:p w14:paraId="1761D0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78C1AC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交通行业知识图谱标准化处理-交通行业车辆知识库构建</w:t>
            </w:r>
          </w:p>
        </w:tc>
        <w:tc>
          <w:tcPr>
            <w:tcW w:w="4597" w:type="dxa"/>
            <w:shd w:val="clear" w:color="auto" w:fill="FFFFFF" w:themeFill="background1"/>
            <w:vAlign w:val="center"/>
          </w:tcPr>
          <w:p w14:paraId="6F95A2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整合车辆基础信息、技术参数、使用单位、运行状态等，形成面向业务的车辆主题知识库</w:t>
            </w:r>
          </w:p>
        </w:tc>
      </w:tr>
      <w:tr w14:paraId="42934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206E26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88</w:t>
            </w:r>
          </w:p>
        </w:tc>
        <w:tc>
          <w:tcPr>
            <w:tcW w:w="1701" w:type="dxa"/>
            <w:shd w:val="clear" w:color="auto" w:fill="FFFFFF" w:themeFill="background1"/>
            <w:vAlign w:val="center"/>
          </w:tcPr>
          <w:p w14:paraId="6A46D9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363139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交通行业知识图谱标准化处理-交通行业企业知识库构建</w:t>
            </w:r>
          </w:p>
        </w:tc>
        <w:tc>
          <w:tcPr>
            <w:tcW w:w="4597" w:type="dxa"/>
            <w:shd w:val="clear" w:color="auto" w:fill="FFFFFF" w:themeFill="background1"/>
            <w:vAlign w:val="center"/>
          </w:tcPr>
          <w:p w14:paraId="47F3E8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抽取企业名称、类型、经营范围、资质等级、归属地区等字段，构建统一企业知识库</w:t>
            </w:r>
          </w:p>
        </w:tc>
      </w:tr>
      <w:tr w14:paraId="189D2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7D4D0DB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89</w:t>
            </w:r>
          </w:p>
        </w:tc>
        <w:tc>
          <w:tcPr>
            <w:tcW w:w="1701" w:type="dxa"/>
            <w:shd w:val="clear" w:color="auto" w:fill="FFFFFF" w:themeFill="background1"/>
            <w:vAlign w:val="center"/>
          </w:tcPr>
          <w:p w14:paraId="2F4035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0CB035E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交通行业知识图谱标准化处理-交通行业事件知识库构建</w:t>
            </w:r>
          </w:p>
        </w:tc>
        <w:tc>
          <w:tcPr>
            <w:tcW w:w="4597" w:type="dxa"/>
            <w:shd w:val="clear" w:color="auto" w:fill="FFFFFF" w:themeFill="background1"/>
            <w:vAlign w:val="center"/>
          </w:tcPr>
          <w:p w14:paraId="07D5DE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结构化处理事件时间、地点、类型、主体、影响范围、处置情况等，构建标准化事件知识库</w:t>
            </w:r>
          </w:p>
        </w:tc>
      </w:tr>
      <w:tr w14:paraId="1586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1B267F7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90</w:t>
            </w:r>
          </w:p>
        </w:tc>
        <w:tc>
          <w:tcPr>
            <w:tcW w:w="1701" w:type="dxa"/>
            <w:shd w:val="clear" w:color="auto" w:fill="FFFFFF" w:themeFill="background1"/>
            <w:vAlign w:val="center"/>
          </w:tcPr>
          <w:p w14:paraId="1976DB9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78CB2C9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交通行业知识图谱标准化处理-交通行综合管理件知识库构建</w:t>
            </w:r>
          </w:p>
        </w:tc>
        <w:tc>
          <w:tcPr>
            <w:tcW w:w="4597" w:type="dxa"/>
            <w:shd w:val="clear" w:color="auto" w:fill="FFFFFF" w:themeFill="background1"/>
            <w:vAlign w:val="center"/>
          </w:tcPr>
          <w:p w14:paraId="6923EA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抽取管理件名称、归属单位、作用范围、使用规则、管理权限、配套制度等，构建综合管理件知识库</w:t>
            </w:r>
          </w:p>
        </w:tc>
      </w:tr>
      <w:tr w14:paraId="1FD8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5" w:hRule="atLeast"/>
        </w:trPr>
        <w:tc>
          <w:tcPr>
            <w:tcW w:w="677" w:type="dxa"/>
            <w:shd w:val="clear" w:color="auto" w:fill="FFFFFF" w:themeFill="background1"/>
            <w:vAlign w:val="center"/>
          </w:tcPr>
          <w:p w14:paraId="2B1AA8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91</w:t>
            </w:r>
          </w:p>
        </w:tc>
        <w:tc>
          <w:tcPr>
            <w:tcW w:w="1701" w:type="dxa"/>
            <w:shd w:val="clear" w:color="auto" w:fill="FFFFFF" w:themeFill="background1"/>
            <w:vAlign w:val="center"/>
          </w:tcPr>
          <w:p w14:paraId="23694C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44E0DF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交通行业数据模型标准化处理-模板库知识结构化处理</w:t>
            </w:r>
          </w:p>
        </w:tc>
        <w:tc>
          <w:tcPr>
            <w:tcW w:w="4597" w:type="dxa"/>
            <w:shd w:val="clear" w:color="auto" w:fill="FFFFFF" w:themeFill="background1"/>
            <w:vAlign w:val="center"/>
          </w:tcPr>
          <w:p w14:paraId="0C120B3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构建私有模板库，对用户知识结构化处理，提升调用与推荐的效率</w:t>
            </w:r>
          </w:p>
        </w:tc>
      </w:tr>
      <w:tr w14:paraId="788B0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21D552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92</w:t>
            </w:r>
          </w:p>
        </w:tc>
        <w:tc>
          <w:tcPr>
            <w:tcW w:w="1701" w:type="dxa"/>
            <w:shd w:val="clear" w:color="auto" w:fill="FFFFFF" w:themeFill="background1"/>
            <w:vAlign w:val="center"/>
          </w:tcPr>
          <w:p w14:paraId="6253173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099D64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交通视频图像数据标准化处理-时空特征对齐</w:t>
            </w:r>
          </w:p>
        </w:tc>
        <w:tc>
          <w:tcPr>
            <w:tcW w:w="4597" w:type="dxa"/>
            <w:shd w:val="clear" w:color="auto" w:fill="FFFFFF" w:themeFill="background1"/>
            <w:vAlign w:val="center"/>
          </w:tcPr>
          <w:p w14:paraId="252FF8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利用时空大模型对不同时间、空间采集的视频数据进行对齐，解决因摄像头角度、光照条件导致的特征偏差，例如将早晚高峰的相同路段视频映射到统一特征空间。</w:t>
            </w:r>
          </w:p>
        </w:tc>
      </w:tr>
      <w:tr w14:paraId="1CF4E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11A1211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93</w:t>
            </w:r>
          </w:p>
        </w:tc>
        <w:tc>
          <w:tcPr>
            <w:tcW w:w="1701" w:type="dxa"/>
            <w:shd w:val="clear" w:color="auto" w:fill="FFFFFF" w:themeFill="background1"/>
            <w:vAlign w:val="center"/>
          </w:tcPr>
          <w:p w14:paraId="66B781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0EB5F8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交通视频图像数据标准化处理-术语库构建与标准化</w:t>
            </w:r>
          </w:p>
        </w:tc>
        <w:tc>
          <w:tcPr>
            <w:tcW w:w="4597" w:type="dxa"/>
            <w:shd w:val="clear" w:color="auto" w:fill="FFFFFF" w:themeFill="background1"/>
            <w:vAlign w:val="center"/>
          </w:tcPr>
          <w:p w14:paraId="2D2F201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构建交通行业大模型专业术语库，自动识别并统一公文中的同义异形词，通过术语向量相似度计算实现标准化</w:t>
            </w:r>
          </w:p>
        </w:tc>
      </w:tr>
      <w:tr w14:paraId="175D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161A4B1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94</w:t>
            </w:r>
          </w:p>
        </w:tc>
        <w:tc>
          <w:tcPr>
            <w:tcW w:w="1701" w:type="dxa"/>
            <w:shd w:val="clear" w:color="auto" w:fill="FFFFFF" w:themeFill="background1"/>
            <w:vAlign w:val="center"/>
          </w:tcPr>
          <w:p w14:paraId="1A07E6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7F7F2C0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交通行业公文文本数据标准化处理-文档结构标准化</w:t>
            </w:r>
          </w:p>
        </w:tc>
        <w:tc>
          <w:tcPr>
            <w:tcW w:w="4597" w:type="dxa"/>
            <w:shd w:val="clear" w:color="auto" w:fill="FFFFFF" w:themeFill="background1"/>
            <w:vAlign w:val="center"/>
          </w:tcPr>
          <w:p w14:paraId="71435E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利用文档理解大模型分析公文的层次结构，将不同格式的政策文件（如 Word、PDF）转换为统一的 XML 格式，自动提取标题、正文、附件等元素。</w:t>
            </w:r>
          </w:p>
        </w:tc>
      </w:tr>
      <w:tr w14:paraId="43573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7D05C3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95</w:t>
            </w:r>
          </w:p>
        </w:tc>
        <w:tc>
          <w:tcPr>
            <w:tcW w:w="1701" w:type="dxa"/>
            <w:shd w:val="clear" w:color="auto" w:fill="FFFFFF" w:themeFill="background1"/>
            <w:vAlign w:val="center"/>
          </w:tcPr>
          <w:p w14:paraId="05C884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73DDE17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交通行业结构化数据增强-小样本数据增强</w:t>
            </w:r>
          </w:p>
        </w:tc>
        <w:tc>
          <w:tcPr>
            <w:tcW w:w="4597" w:type="dxa"/>
            <w:shd w:val="clear" w:color="auto" w:fill="FFFFFF" w:themeFill="background1"/>
            <w:vAlign w:val="center"/>
          </w:tcPr>
          <w:p w14:paraId="706FF90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针对出租车、网约车、甚至新能源车辆、自动驾驶等新兴领域的少量统计数据，采用基于大模型的条件生成，在保留数据分布特征的前提下扩充样本量，例如生成不同条件下的车辆运行分析</w:t>
            </w:r>
          </w:p>
        </w:tc>
      </w:tr>
      <w:tr w14:paraId="61E4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49B5228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96</w:t>
            </w:r>
          </w:p>
        </w:tc>
        <w:tc>
          <w:tcPr>
            <w:tcW w:w="1701" w:type="dxa"/>
            <w:shd w:val="clear" w:color="auto" w:fill="FFFFFF" w:themeFill="background1"/>
            <w:vAlign w:val="center"/>
          </w:tcPr>
          <w:p w14:paraId="2B0B60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7B60B3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交通行业交互图谱数据增强-基于文本的实体与关系抽取</w:t>
            </w:r>
          </w:p>
        </w:tc>
        <w:tc>
          <w:tcPr>
            <w:tcW w:w="4597" w:type="dxa"/>
            <w:shd w:val="clear" w:color="auto" w:fill="FFFFFF" w:themeFill="background1"/>
            <w:vAlign w:val="center"/>
          </w:tcPr>
          <w:p w14:paraId="23DCD8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结合大模型的知识融合能力，将多源异构的交通知识图谱进行实体对齐；通过大模型生成的规则模板，检测并修复图谱中因数据更新不及时导致的关系冲突</w:t>
            </w:r>
          </w:p>
        </w:tc>
      </w:tr>
      <w:tr w14:paraId="66EEB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5" w:hRule="atLeast"/>
        </w:trPr>
        <w:tc>
          <w:tcPr>
            <w:tcW w:w="677" w:type="dxa"/>
            <w:shd w:val="clear" w:color="auto" w:fill="FFFFFF" w:themeFill="background1"/>
            <w:vAlign w:val="center"/>
          </w:tcPr>
          <w:p w14:paraId="571514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97</w:t>
            </w:r>
          </w:p>
        </w:tc>
        <w:tc>
          <w:tcPr>
            <w:tcW w:w="1701" w:type="dxa"/>
            <w:shd w:val="clear" w:color="auto" w:fill="FFFFFF" w:themeFill="background1"/>
            <w:vAlign w:val="center"/>
          </w:tcPr>
          <w:p w14:paraId="1B9D81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3B795D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交通行业交互图谱数据增强-自然语言驱动图数据查询</w:t>
            </w:r>
          </w:p>
        </w:tc>
        <w:tc>
          <w:tcPr>
            <w:tcW w:w="4597" w:type="dxa"/>
            <w:shd w:val="clear" w:color="auto" w:fill="FFFFFF" w:themeFill="background1"/>
            <w:vAlign w:val="center"/>
          </w:tcPr>
          <w:p w14:paraId="23EB26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自动解析自然语言描述，从中提取实体与关系，并生成图谱展示</w:t>
            </w:r>
          </w:p>
        </w:tc>
      </w:tr>
      <w:tr w14:paraId="07499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394F8C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98</w:t>
            </w:r>
          </w:p>
        </w:tc>
        <w:tc>
          <w:tcPr>
            <w:tcW w:w="1701" w:type="dxa"/>
            <w:shd w:val="clear" w:color="auto" w:fill="FFFFFF" w:themeFill="background1"/>
            <w:vAlign w:val="center"/>
          </w:tcPr>
          <w:p w14:paraId="07708E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3848E7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交通行业数据知识图谱数据增强-多源图谱合并</w:t>
            </w:r>
          </w:p>
        </w:tc>
        <w:tc>
          <w:tcPr>
            <w:tcW w:w="4597" w:type="dxa"/>
            <w:shd w:val="clear" w:color="auto" w:fill="FFFFFF" w:themeFill="background1"/>
            <w:vAlign w:val="center"/>
          </w:tcPr>
          <w:p w14:paraId="4ED65A3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用户用自然语言发起查询，系统将其解析为图查询语句并进行查询与可视化展示</w:t>
            </w:r>
          </w:p>
        </w:tc>
      </w:tr>
      <w:tr w14:paraId="46985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28AE83C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99</w:t>
            </w:r>
          </w:p>
        </w:tc>
        <w:tc>
          <w:tcPr>
            <w:tcW w:w="1701" w:type="dxa"/>
            <w:shd w:val="clear" w:color="auto" w:fill="FFFFFF" w:themeFill="background1"/>
            <w:vAlign w:val="center"/>
          </w:tcPr>
          <w:p w14:paraId="0156A0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7CBE70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交通行业数据模型数据增强-数据模型问答增强</w:t>
            </w:r>
          </w:p>
        </w:tc>
        <w:tc>
          <w:tcPr>
            <w:tcW w:w="4597" w:type="dxa"/>
            <w:shd w:val="clear" w:color="auto" w:fill="FFFFFF" w:themeFill="background1"/>
            <w:vAlign w:val="center"/>
          </w:tcPr>
          <w:p w14:paraId="464F29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将大模型封装为算子服务，支持建模过程中自动分析、摘要、提取等任务</w:t>
            </w:r>
          </w:p>
        </w:tc>
      </w:tr>
      <w:tr w14:paraId="2B0D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5" w:hRule="atLeast"/>
        </w:trPr>
        <w:tc>
          <w:tcPr>
            <w:tcW w:w="677" w:type="dxa"/>
            <w:shd w:val="clear" w:color="auto" w:fill="FFFFFF" w:themeFill="background1"/>
            <w:vAlign w:val="center"/>
          </w:tcPr>
          <w:p w14:paraId="173604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100</w:t>
            </w:r>
          </w:p>
        </w:tc>
        <w:tc>
          <w:tcPr>
            <w:tcW w:w="1701" w:type="dxa"/>
            <w:shd w:val="clear" w:color="auto" w:fill="FFFFFF" w:themeFill="background1"/>
            <w:vAlign w:val="center"/>
          </w:tcPr>
          <w:p w14:paraId="6AD19E3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66BF13B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交通行业数据模型数据增强-模板驱动建模生成增强</w:t>
            </w:r>
          </w:p>
        </w:tc>
        <w:tc>
          <w:tcPr>
            <w:tcW w:w="4597" w:type="dxa"/>
            <w:shd w:val="clear" w:color="auto" w:fill="FFFFFF" w:themeFill="background1"/>
            <w:vAlign w:val="center"/>
          </w:tcPr>
          <w:p w14:paraId="56D7B7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基于模板推荐与用户输入，一键生成可视化建模草图</w:t>
            </w:r>
          </w:p>
        </w:tc>
      </w:tr>
      <w:tr w14:paraId="185B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10" w:hRule="atLeast"/>
        </w:trPr>
        <w:tc>
          <w:tcPr>
            <w:tcW w:w="677" w:type="dxa"/>
            <w:shd w:val="clear" w:color="auto" w:fill="FFFFFF" w:themeFill="background1"/>
            <w:vAlign w:val="center"/>
          </w:tcPr>
          <w:p w14:paraId="4C1C14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101</w:t>
            </w:r>
          </w:p>
        </w:tc>
        <w:tc>
          <w:tcPr>
            <w:tcW w:w="1701" w:type="dxa"/>
            <w:shd w:val="clear" w:color="auto" w:fill="FFFFFF" w:themeFill="background1"/>
            <w:vAlign w:val="center"/>
          </w:tcPr>
          <w:p w14:paraId="22EA1E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574E75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交通行业数据模型数据增强-对话式交互建模规划</w:t>
            </w:r>
          </w:p>
        </w:tc>
        <w:tc>
          <w:tcPr>
            <w:tcW w:w="4597" w:type="dxa"/>
            <w:shd w:val="clear" w:color="auto" w:fill="FFFFFF" w:themeFill="background1"/>
            <w:vAlign w:val="center"/>
          </w:tcPr>
          <w:p w14:paraId="786DA5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智能对话理解用户目标，逐步明确建模结构与参数设定，并自动优化模型逻辑</w:t>
            </w:r>
          </w:p>
        </w:tc>
      </w:tr>
      <w:tr w14:paraId="7E5E4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5DD82B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102</w:t>
            </w:r>
          </w:p>
        </w:tc>
        <w:tc>
          <w:tcPr>
            <w:tcW w:w="1701" w:type="dxa"/>
            <w:shd w:val="clear" w:color="auto" w:fill="FFFFFF" w:themeFill="background1"/>
            <w:vAlign w:val="center"/>
          </w:tcPr>
          <w:p w14:paraId="20F53A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6F1B86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交通行业图层矢量数据增强-拓扑关系推理</w:t>
            </w:r>
          </w:p>
        </w:tc>
        <w:tc>
          <w:tcPr>
            <w:tcW w:w="4597" w:type="dxa"/>
            <w:shd w:val="clear" w:color="auto" w:fill="FFFFFF" w:themeFill="background1"/>
            <w:vAlign w:val="center"/>
          </w:tcPr>
          <w:p w14:paraId="51BB41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结合大模型的地理空间计算和分析能力，分析交通行业空间数据的拓扑关系，如给定要素 A和 B 的几何，让模型判断关系(如“包含““相交”)</w:t>
            </w:r>
          </w:p>
        </w:tc>
      </w:tr>
      <w:tr w14:paraId="69B7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5" w:hRule="atLeast"/>
        </w:trPr>
        <w:tc>
          <w:tcPr>
            <w:tcW w:w="677" w:type="dxa"/>
            <w:shd w:val="clear" w:color="auto" w:fill="FFFFFF" w:themeFill="background1"/>
            <w:vAlign w:val="center"/>
          </w:tcPr>
          <w:p w14:paraId="137447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103</w:t>
            </w:r>
          </w:p>
        </w:tc>
        <w:tc>
          <w:tcPr>
            <w:tcW w:w="1701" w:type="dxa"/>
            <w:shd w:val="clear" w:color="auto" w:fill="FFFFFF" w:themeFill="background1"/>
            <w:vAlign w:val="center"/>
          </w:tcPr>
          <w:p w14:paraId="273D32E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大模型数据集预处理</w:t>
            </w:r>
          </w:p>
        </w:tc>
        <w:tc>
          <w:tcPr>
            <w:tcW w:w="1553" w:type="dxa"/>
            <w:shd w:val="clear" w:color="auto" w:fill="FFFFFF" w:themeFill="background1"/>
            <w:vAlign w:val="center"/>
          </w:tcPr>
          <w:p w14:paraId="056951D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交通行业图层矢量数据增强-地理实体关联</w:t>
            </w:r>
          </w:p>
        </w:tc>
        <w:tc>
          <w:tcPr>
            <w:tcW w:w="4597" w:type="dxa"/>
            <w:shd w:val="clear" w:color="auto" w:fill="FFFFFF" w:themeFill="background1"/>
            <w:vAlign w:val="center"/>
          </w:tcPr>
          <w:p w14:paraId="13E762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结合大模型的实体关联能力，将交通行业空间数据按空间坐标与地理实体对齐，如输入坐标(121.4810，31.9219)，模型输出“光华路 SOHO”</w:t>
            </w:r>
          </w:p>
        </w:tc>
      </w:tr>
      <w:tr w14:paraId="2A4AF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08E7E5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104</w:t>
            </w:r>
          </w:p>
        </w:tc>
        <w:tc>
          <w:tcPr>
            <w:tcW w:w="1701" w:type="dxa"/>
            <w:shd w:val="clear" w:color="auto" w:fill="FFFFFF" w:themeFill="background1"/>
            <w:vAlign w:val="center"/>
          </w:tcPr>
          <w:p w14:paraId="05692C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大模型知识库</w:t>
            </w:r>
          </w:p>
        </w:tc>
        <w:tc>
          <w:tcPr>
            <w:tcW w:w="1553" w:type="dxa"/>
            <w:shd w:val="clear" w:color="auto" w:fill="FFFFFF" w:themeFill="background1"/>
            <w:vAlign w:val="center"/>
          </w:tcPr>
          <w:p w14:paraId="7026960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行业通用知识库-数据知识库</w:t>
            </w:r>
          </w:p>
        </w:tc>
        <w:tc>
          <w:tcPr>
            <w:tcW w:w="4597" w:type="dxa"/>
            <w:shd w:val="clear" w:color="auto" w:fill="FFFFFF" w:themeFill="background1"/>
            <w:vAlign w:val="center"/>
          </w:tcPr>
          <w:p w14:paraId="06DC5B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以交通业务数据为核心，打通跨部门、跨类型（动/静态、结构化/非结构化）数据链路，通过统一格式与语义融合，形成可持续共享、可深度计算的交通全域数据资产池，为后续所有模型与决策提供原始“燃料”。</w:t>
            </w:r>
          </w:p>
        </w:tc>
      </w:tr>
      <w:tr w14:paraId="7AE3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631D31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105</w:t>
            </w:r>
          </w:p>
        </w:tc>
        <w:tc>
          <w:tcPr>
            <w:tcW w:w="1701" w:type="dxa"/>
            <w:shd w:val="clear" w:color="auto" w:fill="FFFFFF" w:themeFill="background1"/>
            <w:vAlign w:val="center"/>
          </w:tcPr>
          <w:p w14:paraId="43FB86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大模型知识库</w:t>
            </w:r>
          </w:p>
        </w:tc>
        <w:tc>
          <w:tcPr>
            <w:tcW w:w="1553" w:type="dxa"/>
            <w:shd w:val="clear" w:color="auto" w:fill="FFFFFF" w:themeFill="background1"/>
            <w:vAlign w:val="center"/>
          </w:tcPr>
          <w:p w14:paraId="3576C79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行业通用知识库-图谱数据库</w:t>
            </w:r>
          </w:p>
        </w:tc>
        <w:tc>
          <w:tcPr>
            <w:tcW w:w="4597" w:type="dxa"/>
            <w:shd w:val="clear" w:color="auto" w:fill="FFFFFF" w:themeFill="background1"/>
            <w:vAlign w:val="center"/>
          </w:tcPr>
          <w:p w14:paraId="717B4BD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把交通领域“人-车-企-事-管”五类实体的关键属性及关系抽取成结构化三元组，构建行业级语义网络，既支持大模型直接调用，也可图算法挖掘隐含关联，实现行业问答、合规审查、事件归因等上层智能应用。</w:t>
            </w:r>
          </w:p>
        </w:tc>
      </w:tr>
      <w:tr w14:paraId="6626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729644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106</w:t>
            </w:r>
          </w:p>
        </w:tc>
        <w:tc>
          <w:tcPr>
            <w:tcW w:w="1701" w:type="dxa"/>
            <w:shd w:val="clear" w:color="auto" w:fill="FFFFFF" w:themeFill="background1"/>
            <w:vAlign w:val="center"/>
          </w:tcPr>
          <w:p w14:paraId="0833F1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大模型知识库</w:t>
            </w:r>
          </w:p>
        </w:tc>
        <w:tc>
          <w:tcPr>
            <w:tcW w:w="1553" w:type="dxa"/>
            <w:shd w:val="clear" w:color="auto" w:fill="FFFFFF" w:themeFill="background1"/>
            <w:vAlign w:val="center"/>
          </w:tcPr>
          <w:p w14:paraId="63253E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行业通用知识库-图层数据库</w:t>
            </w:r>
          </w:p>
        </w:tc>
        <w:tc>
          <w:tcPr>
            <w:tcW w:w="4597" w:type="dxa"/>
            <w:shd w:val="clear" w:color="auto" w:fill="FFFFFF" w:themeFill="background1"/>
            <w:vAlign w:val="center"/>
          </w:tcPr>
          <w:p w14:paraId="32B9091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 GIS 把交通设施、拥堵、事件等一切具有空间维度的数据映射为可叠加、可时空演算的电子图层，提供“一张图”可视化与空间分析能力，支撑规划、建设、应急、治理等业务的精确定位与趋势研判。</w:t>
            </w:r>
          </w:p>
        </w:tc>
      </w:tr>
      <w:tr w14:paraId="18F7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020" w:hRule="atLeast"/>
        </w:trPr>
        <w:tc>
          <w:tcPr>
            <w:tcW w:w="677" w:type="dxa"/>
            <w:shd w:val="clear" w:color="auto" w:fill="FFFFFF" w:themeFill="background1"/>
            <w:vAlign w:val="center"/>
          </w:tcPr>
          <w:p w14:paraId="7BB0E0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107</w:t>
            </w:r>
          </w:p>
        </w:tc>
        <w:tc>
          <w:tcPr>
            <w:tcW w:w="1701" w:type="dxa"/>
            <w:shd w:val="clear" w:color="auto" w:fill="FFFFFF" w:themeFill="background1"/>
            <w:vAlign w:val="center"/>
          </w:tcPr>
          <w:p w14:paraId="25B28D7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大模型知识库</w:t>
            </w:r>
          </w:p>
        </w:tc>
        <w:tc>
          <w:tcPr>
            <w:tcW w:w="1553" w:type="dxa"/>
            <w:shd w:val="clear" w:color="auto" w:fill="FFFFFF" w:themeFill="background1"/>
            <w:vAlign w:val="center"/>
          </w:tcPr>
          <w:p w14:paraId="75D0E50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行业通用知识库-文件数据库</w:t>
            </w:r>
          </w:p>
        </w:tc>
        <w:tc>
          <w:tcPr>
            <w:tcW w:w="4597" w:type="dxa"/>
            <w:shd w:val="clear" w:color="auto" w:fill="FFFFFF" w:themeFill="background1"/>
            <w:vAlign w:val="center"/>
          </w:tcPr>
          <w:p w14:paraId="089C51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对分散的政策法规、技术标准、项目文档等非结构化文件进行集中归档、版本管理与全文检索，确保行业用户随时获取权威、最新、可追溯的文本依据，为合规运营、技术选型及项目验收提供一站式文档支撑。</w:t>
            </w:r>
          </w:p>
        </w:tc>
      </w:tr>
    </w:tbl>
    <w:p w14:paraId="71D604BD">
      <w:pPr>
        <w:ind w:firstLine="0" w:firstLineChars="0"/>
        <w:jc w:val="left"/>
        <w:rPr>
          <w:rFonts w:hint="eastAsia"/>
        </w:rPr>
      </w:pPr>
    </w:p>
    <w:p w14:paraId="4C94E5E1">
      <w:pPr>
        <w:pStyle w:val="4"/>
        <w:numPr>
          <w:ilvl w:val="0"/>
          <w:numId w:val="6"/>
        </w:numPr>
        <w:ind w:firstLine="602"/>
        <w:rPr>
          <w:rFonts w:hint="eastAsia"/>
        </w:rPr>
      </w:pPr>
      <w:r>
        <w:rPr>
          <w:rFonts w:hint="eastAsia"/>
        </w:rPr>
        <w:t>强化数能</w:t>
      </w:r>
    </w:p>
    <w:tbl>
      <w:tblPr>
        <w:tblStyle w:val="12"/>
        <w:tblW w:w="0" w:type="auto"/>
        <w:tblInd w:w="0" w:type="dxa"/>
        <w:tblLayout w:type="autofit"/>
        <w:tblCellMar>
          <w:top w:w="0" w:type="dxa"/>
          <w:left w:w="108" w:type="dxa"/>
          <w:bottom w:w="0" w:type="dxa"/>
          <w:right w:w="108" w:type="dxa"/>
        </w:tblCellMar>
      </w:tblPr>
      <w:tblGrid>
        <w:gridCol w:w="696"/>
        <w:gridCol w:w="1325"/>
        <w:gridCol w:w="2289"/>
        <w:gridCol w:w="4218"/>
      </w:tblGrid>
      <w:tr w14:paraId="1DF15C02">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5EA57">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EA4A8">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模块</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AA5A2">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功能点</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AE471">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功能描述</w:t>
            </w:r>
          </w:p>
        </w:tc>
      </w:tr>
      <w:tr w14:paraId="05B10509">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70A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EC3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0D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时空服务代理能力建设-市级时空服务代理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35BE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代理市“一张图”平台的时空底图服务（遥感影像数据等）、时空功能服务（地名地址服务等）以及时空数据服务（基础时空数据、业务专题时空数据等），按需提供给委内相关单位调用。</w:t>
            </w:r>
          </w:p>
        </w:tc>
      </w:tr>
      <w:tr w14:paraId="2AF7025C">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154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BB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524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时空服务代理能力建设-委内地图服务代理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E195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代理委内相关业务系统的专业化地图服务，如市道运中心云路平台设施养护地图服务等，按需提供给委内相关单位调用。</w:t>
            </w:r>
          </w:p>
        </w:tc>
      </w:tr>
      <w:tr w14:paraId="4A19C7E0">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CF2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EED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5A1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交通拓扑关系结构化建模-道路拓扑结构化建模-快速路拓扑连接关系构建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DFD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基于快速路拓扑节点与路段图层，构建快速路节点与路段的拓扑连接关系，形成快速路拓扑结构。</w:t>
            </w:r>
          </w:p>
        </w:tc>
      </w:tr>
      <w:tr w14:paraId="7A5FC86E">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9B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E10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FC55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交通拓扑关系结构化建模-道路拓扑结构化建模-地面道路拓扑连接关系构建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59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基于地面道路拓扑节点与路段图层，构建地面道路节点与路段的拓扑连接关系，形成地面道路拓扑结构。</w:t>
            </w:r>
          </w:p>
        </w:tc>
      </w:tr>
      <w:tr w14:paraId="0EA0F3B6">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B65D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042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B9E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交通拓扑关系结构化建模-道路拓扑结构化建模-公路拓扑连接关系构建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821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基于公路拓扑节点与路段图层，构建公路节点与路段的拓扑连接关系，形成公路拓扑结构。</w:t>
            </w:r>
          </w:p>
        </w:tc>
      </w:tr>
      <w:tr w14:paraId="12DE39E7">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EA07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DE8E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325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交通拓扑关系结构化建模-道路拓扑结构化建模-路网之间连接关系构建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5000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基于不同路网已有的拓扑，构建的路网间的连接关系拓扑结构（如快速路与地面道路间上下匝道连接，公路与地面道路连接）。</w:t>
            </w:r>
          </w:p>
        </w:tc>
      </w:tr>
      <w:tr w14:paraId="6803D260">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E79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9B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F58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交通拓扑关系结构化建模-道路拓扑结构化建模-地面道路转向关系构建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F71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转向关系构建是基于已构建的地面道路路网拓扑结构（如节点、路段），定义和建立路段之间的转向逻辑关系。</w:t>
            </w:r>
          </w:p>
        </w:tc>
      </w:tr>
      <w:tr w14:paraId="4ABF9110">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30F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9538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1BD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交通拓扑关系结构化建模-道路拓扑结构化建模-公路转向关系构建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A0F8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转向关系构建是基于已构建的公路路网拓扑结构（如节点、路段），定义和建立路段之间的转向逻辑关系。</w:t>
            </w:r>
          </w:p>
        </w:tc>
      </w:tr>
      <w:tr w14:paraId="5E13ADC4">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221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4E74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15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交通拓扑关系结构化建模-道路拓扑结构化建模-路网权重设定</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FF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按照实际路网运行情况，添加限行、限速等网络拓扑分析的权重。</w:t>
            </w:r>
          </w:p>
        </w:tc>
      </w:tr>
      <w:tr w14:paraId="77720EFA">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AA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4CE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05E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交通拓扑关系结构化建模-轨道拓扑结构化建模-轨道拓扑连接关系构建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7E5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基于轨道拓扑节点与站间段图层，构建轨道节点与站间段的拓扑连接关系，形成轨道拓扑结构。</w:t>
            </w:r>
          </w:p>
        </w:tc>
      </w:tr>
      <w:tr w14:paraId="15016339">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CB7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DAD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AFF4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交通拓扑关系结构化建模-轨道拓扑结构化建模-轨道权重设定</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FB6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按照实际轨道运行情况，添加上下行首末班时间等网络拓扑分析的权重。</w:t>
            </w:r>
          </w:p>
        </w:tc>
      </w:tr>
      <w:tr w14:paraId="3C83F567">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CB46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84E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714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交通拓扑关系结构化建模-公交拓扑结构化建模-公交拓扑连接关系构建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6C3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基于公交拓扑节点与站间段图层，构建公交节点与站间段的拓扑连接关系，形成公交拓扑结构。</w:t>
            </w:r>
          </w:p>
        </w:tc>
      </w:tr>
      <w:tr w14:paraId="1EE02E38">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385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8DE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C33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交通拓扑关系结构化建模-公交拓扑结构化建模-公交权重设定</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0E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按照实际公交运行情况，添加上下行首末班时间等网络拓扑分析的权重。</w:t>
            </w:r>
          </w:p>
        </w:tc>
      </w:tr>
      <w:tr w14:paraId="7228A7A7">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A20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083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51F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交通拓扑关系结构化建模-铁路拓扑结构化建模-铁路拓扑连接关系构建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920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基于铁路拓扑节点与站间段图层，构建铁路节点与站间段的拓扑连接关系，形成铁路拓扑结构。</w:t>
            </w:r>
          </w:p>
        </w:tc>
      </w:tr>
      <w:tr w14:paraId="7555ABC1">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FCB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702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400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交通拓扑关系结构化建模-水路拓扑结构化建模-水路客运拓扑连接关系构建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6C46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基于水路拓扑客运节点与站间段图层（包含三岛客运和对江轮渡等客运航线），构建水路客运节点与站间段的拓扑连接关系，形成水路客运拓扑结构。</w:t>
            </w:r>
          </w:p>
        </w:tc>
      </w:tr>
      <w:tr w14:paraId="29A6C040">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BE2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6FC4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6197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交通拓扑关系结构化建模-水路拓扑结构化建模-水路客运权重设定</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C1E6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按照实际水路客运运行情况，添加客运上下行首末班时间等网络拓扑分析的权重。</w:t>
            </w:r>
          </w:p>
        </w:tc>
      </w:tr>
      <w:tr w14:paraId="2A3F6337">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6268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A0E5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B68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交通拓扑关系结构化建模-水路拓扑结构化建模-水路货运拓扑连接关系构建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784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基于水路拓扑货运节点与站间段图层（包含货运码头、货运航线、桥梁），构建水路货运节点与站间段的拓扑连接关系，形成水路货运拓扑结构。</w:t>
            </w:r>
          </w:p>
        </w:tc>
      </w:tr>
      <w:tr w14:paraId="4FDABC5B">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2F0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2F7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C04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交通拓扑关系结构化建模-水路拓扑结构化建模-水路货运权重设定</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E61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按照实际水路货运运行情况，添加桥梁限高等网络拓扑分析的权重。</w:t>
            </w:r>
          </w:p>
        </w:tc>
      </w:tr>
      <w:tr w14:paraId="53297A67">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9427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6199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645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交通拓扑关系结构化建模-客运多式换乘拓扑结构化建模-虚拟换乘点构建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223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多方式客运换乘虚拟换乘点建立是通过整合不同交通方式，在物理换乘设施缺失的场景下通过建立虚拟换乘点实现无缝衔接。</w:t>
            </w:r>
          </w:p>
        </w:tc>
      </w:tr>
      <w:tr w14:paraId="5A214B59">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D8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80A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259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交通拓扑关系结构化建模-客运多式换乘拓扑结构化建模-换乘连接线构建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A4F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换乘连接线是连接不同交通方式（如轨道、公交、市域铁、轮渡）站点间的物理通道或逻辑链路。</w:t>
            </w:r>
          </w:p>
        </w:tc>
      </w:tr>
      <w:tr w14:paraId="1C7500FA">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8E1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B9A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DC7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交通拓扑关系结构化建模-货运多式联运拓扑结构化建模-虚拟联运点构建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008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虚拟联运点建立是通过整合不同货运交通方式，在物理设施缺失的场景下通过建立虚拟联运点实现无缝衔接。</w:t>
            </w:r>
          </w:p>
        </w:tc>
      </w:tr>
      <w:tr w14:paraId="23B72D7B">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F1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44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C62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交通拓扑关系结构化建模-货运多式联运拓扑结构化建模-联运连接线构建</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7D3D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联运连接线是连接不同交通方式（如公铁水航）转运点间的物理通道或逻辑链路。</w:t>
            </w:r>
          </w:p>
        </w:tc>
      </w:tr>
      <w:tr w14:paraId="2EC0EAB3">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CF7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08FB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24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交通拓扑分析能力建设-道路路径分析能力-地面道路路径规划功能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D48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基于地面道路单一路网拓扑数据进行最短路径分析，用于计算两个指定点之间的地面道路最短路径。</w:t>
            </w:r>
          </w:p>
        </w:tc>
      </w:tr>
      <w:tr w14:paraId="5FA2C330">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4C3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AC94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A6D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交通拓扑分析能力建设-道路路径分析能力-快速道路路径规划功能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FE6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基于快速路单一路网拓扑数据进行最短路径分析，用于计算两个指定点之间的城市快速路最短路径。</w:t>
            </w:r>
          </w:p>
        </w:tc>
      </w:tr>
      <w:tr w14:paraId="5A5BB371">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655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20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BB8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交通拓扑分析能力建设-道路路径分析能力-公路路径规划功能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649F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基于公路单一路网拓扑数据进行最短路径分析，用于计算两个指定点之间的公路最短路径。</w:t>
            </w:r>
          </w:p>
        </w:tc>
      </w:tr>
      <w:tr w14:paraId="4757C059">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D3E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BE6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531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交通拓扑分析能力建设-道路路径分析能力-多路网路径规划功能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11F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基于多路网拓扑数据（如城市道路+公路）进行最短路径分析，用于计算两个指定点之间的道路最短路径。</w:t>
            </w:r>
          </w:p>
        </w:tc>
      </w:tr>
      <w:tr w14:paraId="4C37117E">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7E49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166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EE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交通拓扑分析能力建设-客运路径分析能力-轨道拓扑路径规划功能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BDC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通过单一轨道交通方式（轨道、市域铁）的网络拓扑进行计算，找到从起点到终点的最短路径。</w:t>
            </w:r>
          </w:p>
        </w:tc>
      </w:tr>
      <w:tr w14:paraId="7295ABBC">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6B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BA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02B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交通拓扑分析能力建设-客运路径分析能力-公交拓扑路径规划功能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689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通过单一公交交通方式的网络拓扑进行计算，找到从起点到终点的最短路径。</w:t>
            </w:r>
          </w:p>
        </w:tc>
      </w:tr>
      <w:tr w14:paraId="4CE368F6">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6EB9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1D3C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54C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交通拓扑分析能力建设-客运路径分析能力-客运多方式换乘路径规划功能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40FB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通过多种公共交通方式（轨道+市域铁+公交+轮渡，步行虚拟连接）的网络拓扑进行计算，为用户提供从起点到终点的最短路径。</w:t>
            </w:r>
          </w:p>
        </w:tc>
      </w:tr>
      <w:tr w14:paraId="314759FD">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A991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60FA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F52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交通拓扑分析能力建设-货运路径分析能力-海铁联运路径规划功能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C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通过港口+铁路虚拟连接的网络拓扑进行计算，找到从起点到终点的海铁联运路径。</w:t>
            </w:r>
          </w:p>
        </w:tc>
      </w:tr>
      <w:tr w14:paraId="630A3B25">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665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38C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3C6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交通拓扑分析能力建设-货运路径分析能力-公铁联运路径规划功能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64C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通过公路+铁路虚拟连接的网络拓扑进行计算，找到从起点到终点的公铁联运路径。</w:t>
            </w:r>
          </w:p>
        </w:tc>
      </w:tr>
      <w:tr w14:paraId="12ABF841">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68C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0C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8E9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交通拓扑分析能力建设-货运路径分析能力-公水联运路径规划功能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606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通过公路+水路虚拟连接的网络拓扑进行计算，找到从起点到终点的公水联运路径。</w:t>
            </w:r>
          </w:p>
        </w:tc>
      </w:tr>
      <w:tr w14:paraId="7BE45DBD">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B43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AA8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DA7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交通拓扑分析能力建设-货运路径分析能力-铁水联运路径规划功能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087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通过铁路+水路虚拟连接的网络拓扑进行计算，找到从起点到终点的铁水联运路径。</w:t>
            </w:r>
          </w:p>
        </w:tc>
      </w:tr>
      <w:tr w14:paraId="082DEBC2">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7BB8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BB2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92FC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交通时空分析能力建设-交通时空分布分析能力-交通OD分析功能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612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交通对象在不同交通区域（如行政区、功能区、重点区域、站点等）之间的起点和终点通行情况，如网约车的重点区域OD流量。</w:t>
            </w:r>
          </w:p>
        </w:tc>
      </w:tr>
      <w:tr w14:paraId="5ED13F25">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E4C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6BD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8EC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交通时空分析能力建设-交通时空分布分析能力-交通要素聚合功能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1A8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将分散的交通要素（如车辆位置、事件等）通过空间关联、属性关联进行整合，形成具有更高价值的聚合单元，如事故高发区域。</w:t>
            </w:r>
          </w:p>
        </w:tc>
      </w:tr>
      <w:tr w14:paraId="79592E20">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F7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5BAC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15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交通时空分析能力建设-交通时空分布分析能力-交通时空热点功能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A0A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通过分析空间和时间维度上的数据分布，识别出具有显著集聚特征的区域（热点）或时段，并评估这些热点在地理空间和时间序列上的变化，如单车在时空上的热点变化。</w:t>
            </w:r>
          </w:p>
        </w:tc>
      </w:tr>
      <w:tr w14:paraId="65BED807">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BEE5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891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F20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交通时空分析能力建设-交通设施服务范围分析能力-等距服务分析功能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C9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通过计算从设施出发的等距离范围，生成设施等距离服务范围图.</w:t>
            </w:r>
          </w:p>
        </w:tc>
      </w:tr>
      <w:tr w14:paraId="722CD872">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8BEE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32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EC14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交通时空分析能力建设-交通设施服务范围分析能力-等时服务分析功能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D83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通过计算从设施出发，在特定时间内能够到达的区域范围，生成等时线（或等时圈）。</w:t>
            </w:r>
          </w:p>
        </w:tc>
      </w:tr>
      <w:tr w14:paraId="621BB79C">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E0C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9BA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11B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交通时空分析能力建设-交通设施服务范围分析能力-分时服务对比功能</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09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通过对比同一交通设施在不同时间段的覆盖范围，评估其服务效率和可达性变化。</w:t>
            </w:r>
          </w:p>
        </w:tc>
      </w:tr>
      <w:tr w14:paraId="623F0144">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EEFE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4613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C3B3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交通行业空间库查询服务能力建设-交通行业基础要素空间库查询服务-快速路空间库查询服务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75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发布快速路空间库图层，包括中心线、发布段、设备、设施、标志标线的查询服务，查询结果包括时空要素的属性信息和空间坐标信息。</w:t>
            </w:r>
          </w:p>
        </w:tc>
      </w:tr>
      <w:tr w14:paraId="395A2798">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E2A9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163F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9C5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交通行业空间库查询服务能力建设-交通行业基础要素空间库查询服务-地面道路空间库查询服务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EA8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发布地面道路空间库图层，包括中心线、发布段、设备、设施、标志标线的查询服务，查询结果包括时空要素的属性信息和空间坐标信息。</w:t>
            </w:r>
          </w:p>
        </w:tc>
      </w:tr>
      <w:tr w14:paraId="7D519D10">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9B9F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03A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F874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交通行业空间库查询服务能力建设-交通行业基础要素空间库查询服务-公路空间库查询服务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0CE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发布公路空间库图层，包括中心线、里程桩号、发布段、设备、设施、标志标线的查询服务，查询结果包括时空要素的属性信息和空间坐标信息。</w:t>
            </w:r>
          </w:p>
        </w:tc>
      </w:tr>
      <w:tr w14:paraId="5A984CD0">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18E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0FB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725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交通行业空间库查询服务能力建设-交通行业基础要素空间库查询服务-铁路交通空间库查询服务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E47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发布铁路交通空间库图层，包括铁路站点、铁路线网、市域铁路的查询服务，查询结果包括时空要素的属性信息和空间坐标信息。</w:t>
            </w:r>
          </w:p>
        </w:tc>
      </w:tr>
      <w:tr w14:paraId="438357D6">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F14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F06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BB0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交通行业空间库查询服务能力建设-交通行业基础要素空间库查询服务-水路交通空间库查询服务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540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发布水路交通空间库图层，包括航道网络、港口基础设施、航运服务设施、轮渡航线和岸线的查询服务，查询结果包括时空要素的属性信息和空间坐标信息。</w:t>
            </w:r>
          </w:p>
        </w:tc>
      </w:tr>
      <w:tr w14:paraId="3C26DCEF">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6A1C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2B4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E9B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交通行业空间库查询服务能力建设-交通行业基础要素空间库查询服务-航空交通空间库查询服务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48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发布航空交通空间库图层，包括机场、低空飞行区域的查询服务，查询结果包括时空要素的属性信息和空间坐标信息。</w:t>
            </w:r>
          </w:p>
        </w:tc>
      </w:tr>
      <w:tr w14:paraId="54DBD56E">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FAB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2656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2BF8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交通行业空间库查询服务能力建设-交通行业基础要素空间库查询服务-公共交通空间库查询服务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106B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发布公共交通空间库图层，包括轨道交通、市域铁路、地面公交、定制公交、轮渡客运、长途客运的查询服务，查询结果包括时空要素的属性信息和空间坐标信息。</w:t>
            </w:r>
          </w:p>
        </w:tc>
      </w:tr>
      <w:tr w14:paraId="0565D205">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C1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F9C1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83A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交通行业空间库查询服务能力建设-交通行业基础要素空间库查询服务-静态交通空间库查询服务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C227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发布静态交通空间库图层，包括公共停车场库、道路停车场、其他停车场的查询服务，查询结果包括时空要素的属性信息和空间坐标信息。</w:t>
            </w:r>
          </w:p>
        </w:tc>
      </w:tr>
      <w:tr w14:paraId="23F2D138">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219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AD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03D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交通行业空间库查询服务能力建设-交通行业基础要素空间库查询服务-慢行交通空间库查询服务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B8A5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发布慢行交通空间库图层，包括过街设施、非机动车设施的查询服务，查询结果包括时空要素的属性信息和空间坐标信息。</w:t>
            </w:r>
          </w:p>
        </w:tc>
      </w:tr>
      <w:tr w14:paraId="3E3E7A1A">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801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BF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CAF1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交通行业空间库查询服务能力建设-交通行业基础要素空间库查询服务-交通工程空间库查询服务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DEE5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发布交通工程空间库图层，包括交通在建及规划工程的点位、区域、工程周边相关要素的查询服务，查询结果包括时空要素的属性信息和空间坐标信息。</w:t>
            </w:r>
          </w:p>
        </w:tc>
      </w:tr>
      <w:tr w14:paraId="43C6460F">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593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334B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D7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交通行业空间库查询服务能力建设-交通行业基础要素空间库查询服务-交通执法空间库查询服务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369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发布交通执法空间库图层，包括道口、检查站、执法区域的查询服务，查询结果包括时空要素的属性信息和空间坐标信息。</w:t>
            </w:r>
          </w:p>
        </w:tc>
      </w:tr>
      <w:tr w14:paraId="5D863A7E">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1C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87E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AAC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交通行业空间库查询服务能力建设-交通行业基础要素空间库查询服务-交通企业空间库查询服务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9E2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发布交通企业空间库图层，包括运输企业、租赁企业、维修企业的查询服务，查询结果包括时空要素的属性信息和空间坐标信息。</w:t>
            </w:r>
          </w:p>
        </w:tc>
      </w:tr>
      <w:tr w14:paraId="12251346">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8698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97C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D0A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交通行业空间库查询服务能力建设-交通行业基础要素空间库查询服务-长三角交通空间库查询服务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B30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发布长三角交通空间库图层，包括公路要素、铁路要素、水路要素的查询服务，查询结果包括时空要素的属性信息和空间坐标信息。</w:t>
            </w:r>
          </w:p>
        </w:tc>
      </w:tr>
      <w:tr w14:paraId="51B9DA04">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129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37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4B0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交通行业空间库查询服务能力建设-交通行业拓扑要素空间库查询服务-道路拓扑空间库查询服务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1D18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发布道路拓扑空间库，包括快速路拓扑图层、地面道路拓扑图层、公路拓扑图层的查询服务，查询结果包括时空要素的属性信息和空间坐标信息。</w:t>
            </w:r>
          </w:p>
        </w:tc>
      </w:tr>
      <w:tr w14:paraId="5383FE8B">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30B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ECF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6F0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交通行业空间库查询服务能力建设-交通行业拓扑要素空间库查询服务-轨道拓扑空间库查询服务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06A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发布轨道拓扑空间库，包括轨道拓扑图层的查询服务，查询结果包括时空要素的属性信息和空间坐标信息。</w:t>
            </w:r>
          </w:p>
        </w:tc>
      </w:tr>
      <w:tr w14:paraId="48A760F8">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9C9A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58F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CFD5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交通行业空间库查询服务能力建设-交通行业拓扑要素空间库查询服务-公交拓扑空间库查询服务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442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发布公交拓扑空间库，包括公交拓扑图层的查询服务，查询结果包括时空要素的属性信息和空间坐标信息。</w:t>
            </w:r>
          </w:p>
        </w:tc>
      </w:tr>
      <w:tr w14:paraId="5C0A0EEB">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401F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B89E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868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交通行业空间库查询服务能力建设-交通行业拓扑要素空间库查询服务-铁路拓扑空间库查询服务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11D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发布铁路拓扑空间库，包括铁路拓扑图层的查询服务，查询结果包括时空要素的属性信息和空间坐标信息。</w:t>
            </w:r>
          </w:p>
        </w:tc>
      </w:tr>
      <w:tr w14:paraId="147F183E">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15B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60E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FBEF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交通行业空间库查询服务能力建设-交通行业拓扑要素空间库查询服务-水路拓扑空间库查询服务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741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发布水路拓扑空间库，包括水路拓扑图层的查询服务，查询结果包括时空要素的属性信息和空间坐标信息。</w:t>
            </w:r>
          </w:p>
        </w:tc>
      </w:tr>
      <w:tr w14:paraId="0B1A05DB">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17D9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FF0C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15E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交通行业空间库查询服务能力建设-交通动态轨迹查询服务-出租车GPS查询服务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61F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出租车GPS查询服务是一种基于路网和出租车GPS数据融合的数据服务，通过出租车的实时位置与路段相结合显示车辆分布和路况通行情况。</w:t>
            </w:r>
          </w:p>
        </w:tc>
      </w:tr>
      <w:tr w14:paraId="21D01889">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F7F4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A9F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CCC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交通行业空间库查询服务能力建设-交通动态轨迹查询服务-公交GPS查询服务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21C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公交GPS查询服务是一种基于路网和公交车GPS数据融合的数据服务，通过公交车的实时位置与路段相结合显示车辆分布和路况通行情况。</w:t>
            </w:r>
          </w:p>
        </w:tc>
      </w:tr>
      <w:tr w14:paraId="50BFC299">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BEC9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3DBA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065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交通行业空间库查询服务能力建设-交通动态轨迹查询服务-两客一危GPS查询服务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8C6A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两客一危GPS查询服务是一种基于路网和公交车GPS数据融合的数据服务，通过公交车的实时位置与路段相结合显示车辆分布和路况通行情况。</w:t>
            </w:r>
          </w:p>
        </w:tc>
      </w:tr>
      <w:tr w14:paraId="3139F249">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A63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DC6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A7B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交通行业空间库查询服务能力建设-交通动态轨迹查询服务-单车GPS查询服务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958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单车GPS查询服务是一种基于实时获取的共享单车的位置信息的实时服务，为用户提供便捷、高效和可视化的服务。</w:t>
            </w:r>
          </w:p>
        </w:tc>
      </w:tr>
      <w:tr w14:paraId="71E330F4">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CD6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3B46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F5C4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交通行业空间库查询服务能力建设-交通动态轨迹查询服务-船舶AIS查询服务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2ADF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船舶AIS动态服务是一种基于AIS数据的地图服务，用于实时监测和展示船舶的动态信息。</w:t>
            </w:r>
          </w:p>
        </w:tc>
      </w:tr>
      <w:tr w14:paraId="6FFF7746">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1A9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A35D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FCF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交通行业空间库查询服务能力建设-交通行业专题切片服务-交通发布段切片服务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DDB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将交通发布段按照专题要求进行配图作业，并根据不同比例尺进行切片处理和展示，以便于在不同的地图应用和平台上进行高效访问，如交通实施路况图。</w:t>
            </w:r>
          </w:p>
        </w:tc>
      </w:tr>
      <w:tr w14:paraId="2D53D45D">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607D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158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10A0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交通行业空间库查询服务能力建设-交通行业专题切片服务-交通设施设备切片服务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DCC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将交通设施设备按照专题要求进行配图作业，并根据不同比例尺进行切片处理和展示，以便于在不同的地图应用和平台上进行高效访问，如道路摄像机分布图。</w:t>
            </w:r>
          </w:p>
        </w:tc>
      </w:tr>
      <w:tr w14:paraId="7735A041">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1336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0D9F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F1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交通行业空间库查询服务能力建设-交通行业专题切片服务-交通标志标线切片服务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FCC9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将交通标志标线按照专题要求进行配图作业，并根据不同比例尺进行切片处理和展示，以便于在不同的地图应用和平台上进行高效访问，如快速路标志标线示例图。</w:t>
            </w:r>
          </w:p>
        </w:tc>
      </w:tr>
      <w:tr w14:paraId="5D9F2E45">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4DC7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958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70F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交通行业空间库查询服务能力建设-交通行业专题切片服务-轨道线路站点切片服务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43FA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将轨道线路站点按照专题要求进行配图作业，并根据不同比例尺进行切片处理和展示，以便于在不同的地图应用和平台上进行高效访问，如轨道线路分色图。</w:t>
            </w:r>
          </w:p>
        </w:tc>
      </w:tr>
      <w:tr w14:paraId="29087797">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433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24C3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AC5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交通行业空间库查询服务能力建设-交通行业专题切片服务-公交线路站点切片服务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1A3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将公交线路站点按照专题要求进行配图作业，并根据不同比例尺进行切片处理和展示，以便于在不同的地图应用和平台上进行高效访问，如公交线路图。</w:t>
            </w:r>
          </w:p>
        </w:tc>
      </w:tr>
      <w:tr w14:paraId="4B696312">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91C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DB90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E1F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交通行业空间库查询服务能力建设-交通行业专题切片服务-水路航道港口切片服务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90CD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将水路航道港口按照专题要求进行配图作业，并根据不同比例尺进行切片处理和展示，以便于在不同的地图应用和平台上进行高效访问，如水路航道图。</w:t>
            </w:r>
          </w:p>
        </w:tc>
      </w:tr>
      <w:tr w14:paraId="5FCE045C">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F80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23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042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交通行业空间库查询服务能力建设-交通行业专题切片服务-长三角交通切片服务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17D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将长三角交通按照专题要求进行配图作业，并根据不同比例尺进行切片处理和展示，以便于在不同的地图应用和平台上进行高效访问，如长三角高速公路图。</w:t>
            </w:r>
          </w:p>
        </w:tc>
      </w:tr>
      <w:tr w14:paraId="5BB860C7">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773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069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548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交通行业空间库查询服务能力建设-交通行业专题三维服务-两场四站三维服务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76F9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将两场四站（包括虹桥机场、浦东机场、虹桥火车站、上海火车站、上海南站、上海松江站等重要场站）的三维模型数据发布为三维服务，提供可视化展示。</w:t>
            </w:r>
          </w:p>
        </w:tc>
      </w:tr>
      <w:tr w14:paraId="56B03896">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5E5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8F1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能力层(交通时空数据能力建设)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014F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交通行业空间库查询服务能力建设-交通行业专题三维服务-重点工程三维服务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1F4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将重点工程（包括北横通道、杨浦大桥等）的三维模型数据发布为三维服务，提供可视化展示。</w:t>
            </w:r>
          </w:p>
        </w:tc>
      </w:tr>
      <w:tr w14:paraId="5B7610D5">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479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F3FF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8DD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开放数据集内容审核-字段标准化审查-字段扫描与标记</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62F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自动遍历数据集所有字段名称，生成字段清单，基于正则表达式/语义模型（如 BERT）识别不规范字段名称</w:t>
            </w:r>
          </w:p>
        </w:tc>
      </w:tr>
      <w:tr w14:paraId="473C5A8B">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0AFC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02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4A0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开放数据集内容审核-字段标准化审查-标准化规则库管理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112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维护相关数据字典（含标准名称、数据类型、单位、示例值），支持新增/修改/删除标准字段模板，配置字段别名映射（如 “车速”→“车辆行驶速度”）</w:t>
            </w:r>
          </w:p>
        </w:tc>
      </w:tr>
      <w:tr w14:paraId="56539FC3">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FE3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98E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E79A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开放数据集内容审核-分级分类一致性审查-密级自动审核引擎</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DF6C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分级分类一致性审查-密级自动审核引擎</w:t>
            </w:r>
          </w:p>
        </w:tc>
      </w:tr>
      <w:tr w14:paraId="5E7536C0">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9D2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320C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C15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开放数据集内容审核-分级分类一致性审查-人工审核工作台</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821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分级分类一致性审查-人工审核工作台</w:t>
            </w:r>
          </w:p>
        </w:tc>
      </w:tr>
      <w:tr w14:paraId="2C807993">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A41C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7ED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1BB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开放数据集内容审核-时空数据精度审查-时空范围有效性检查</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F75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加载本市、区行政边界，和交通分析单元的矢量文件，建立空间过滤规则、对经纬度坐标进行空间拓扑检查，标记超出边界的异常数据</w:t>
            </w:r>
          </w:p>
        </w:tc>
      </w:tr>
      <w:tr w14:paraId="107FD3E2">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0370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8111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9B4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开放数据集内容审核-时空数据精度审查-空间精度分级控制</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2DA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区分 “展示级”（小数点后 4 位）与 “分析级”（小数点后 6 位）精度要求；对公开数据自动降低坐标精度，对内部数据保留原始精度</w:t>
            </w:r>
          </w:p>
        </w:tc>
      </w:tr>
      <w:tr w14:paraId="6B22328F">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A504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E2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69C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开放数据集脱敏加密-数据字段动态脱敏-敏感字段识别</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29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基于正则表达式库（如身份证号、手机号规则）识别敏感字段，支持自定义敏感词库（如企业名称、特殊地址关键词）</w:t>
            </w:r>
          </w:p>
        </w:tc>
      </w:tr>
      <w:tr w14:paraId="6A3EC481">
        <w:tblPrEx>
          <w:tblCellMar>
            <w:top w:w="0" w:type="dxa"/>
            <w:left w:w="108" w:type="dxa"/>
            <w:bottom w:w="0" w:type="dxa"/>
            <w:right w:w="108" w:type="dxa"/>
          </w:tblCellMar>
        </w:tblPrEx>
        <w:trPr>
          <w:trHeight w:val="127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F66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26D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FDD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开放数据集脱敏加密-数据字段动态脱敏-多级脱敏策略配置</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E594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按敏感等级（极高/高/中/低）配置差异化处理方式：</w:t>
            </w:r>
            <w:r>
              <w:rPr>
                <w:rFonts w:hint="eastAsia" w:cs="宋体"/>
                <w:color w:val="000000"/>
                <w:kern w:val="0"/>
                <w:sz w:val="21"/>
                <w:szCs w:val="21"/>
                <w:lang w:bidi="ar"/>
              </w:rPr>
              <w:br w:type="textWrapping"/>
            </w:r>
            <w:r>
              <w:rPr>
                <w:rFonts w:hint="eastAsia" w:cs="宋体"/>
                <w:color w:val="000000"/>
                <w:kern w:val="0"/>
                <w:sz w:val="21"/>
                <w:szCs w:val="21"/>
                <w:lang w:bidi="ar"/>
              </w:rPr>
              <w:t>极高敏感：AES-256 加密 + 盐值混淆（如银行卡信息）</w:t>
            </w:r>
            <w:r>
              <w:rPr>
                <w:rFonts w:hint="eastAsia" w:cs="宋体"/>
                <w:color w:val="000000"/>
                <w:kern w:val="0"/>
                <w:sz w:val="21"/>
                <w:szCs w:val="21"/>
                <w:lang w:bidi="ar"/>
              </w:rPr>
              <w:br w:type="textWrapping"/>
            </w:r>
            <w:r>
              <w:rPr>
                <w:rFonts w:hint="eastAsia" w:cs="宋体"/>
                <w:color w:val="000000"/>
                <w:kern w:val="0"/>
                <w:sz w:val="21"/>
                <w:szCs w:val="21"/>
                <w:lang w:bidi="ar"/>
              </w:rPr>
              <w:t>高敏感：部分屏蔽 + 泛化（如身份证号前 6 位屏蔽，后 4 位保留）</w:t>
            </w:r>
            <w:r>
              <w:rPr>
                <w:rFonts w:hint="eastAsia" w:cs="宋体"/>
                <w:color w:val="000000"/>
                <w:kern w:val="0"/>
                <w:sz w:val="21"/>
                <w:szCs w:val="21"/>
                <w:lang w:bidi="ar"/>
              </w:rPr>
              <w:br w:type="textWrapping"/>
            </w:r>
            <w:r>
              <w:rPr>
                <w:rFonts w:hint="eastAsia" w:cs="宋体"/>
                <w:color w:val="000000"/>
                <w:kern w:val="0"/>
                <w:sz w:val="21"/>
                <w:szCs w:val="21"/>
                <w:lang w:bidi="ar"/>
              </w:rPr>
              <w:t>中敏感：可逆脱敏（如车辆 VIN 码映射为伪数据，支持权限恢复）</w:t>
            </w:r>
            <w:r>
              <w:rPr>
                <w:rFonts w:hint="eastAsia" w:cs="宋体"/>
                <w:color w:val="000000"/>
                <w:kern w:val="0"/>
                <w:sz w:val="21"/>
                <w:szCs w:val="21"/>
                <w:lang w:bidi="ar"/>
              </w:rPr>
              <w:br w:type="textWrapping"/>
            </w:r>
            <w:r>
              <w:rPr>
                <w:rFonts w:hint="eastAsia" w:cs="宋体"/>
                <w:color w:val="000000"/>
                <w:kern w:val="0"/>
                <w:sz w:val="21"/>
                <w:szCs w:val="21"/>
                <w:lang w:bidi="ar"/>
              </w:rPr>
              <w:t>低敏感：格式掩码（如手机号中间 4 位替换为 ****）</w:t>
            </w:r>
          </w:p>
        </w:tc>
      </w:tr>
      <w:tr w14:paraId="57934563">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AEC1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D55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5DB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开放数据集脱敏加密-数据字段动态脱敏-动态策略引擎</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C2DF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按用户角色（外部开发者/内部人员）、数据用途（展示/分析）自动匹配脱敏规则，支持实时预览脱敏后数据效果，快速调整策略</w:t>
            </w:r>
          </w:p>
        </w:tc>
      </w:tr>
      <w:tr w14:paraId="0CBE8719">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721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D5F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6427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开放数据集脱敏加密-图层数据格式转换</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44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将交通行业专用的图层数据格式（如 SHP）批量转换为通用的GIS格式（GeoJSON、Vector Tile），以及将图层要素信息数据格式（如DBF）批量转换为通用的CSV格式，便于外部系统直接调用和显示。</w:t>
            </w:r>
          </w:p>
        </w:tc>
      </w:tr>
      <w:tr w14:paraId="4CA1D79A">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1D6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376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04E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开放数据集脱敏加密-图层数据敏感隐藏-可视化标注工具</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02F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WebGIS 可视化标注界面，支持绘制多边形/圆形/路径线标记敏感区域。配置敏感等级（一级隐藏/二级偏移/三级模糊），关联脱敏方式</w:t>
            </w:r>
          </w:p>
        </w:tc>
      </w:tr>
      <w:tr w14:paraId="03AD7CE0">
        <w:tblPrEx>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03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5BB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C54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开放数据集脱敏加密-图层数据敏感隐藏-多模式脱敏处理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FBB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完全隐藏：删除敏感区域几何图形与属性记录</w:t>
            </w:r>
            <w:r>
              <w:rPr>
                <w:rFonts w:hint="eastAsia" w:cs="宋体"/>
                <w:color w:val="000000"/>
                <w:kern w:val="0"/>
                <w:sz w:val="21"/>
                <w:szCs w:val="21"/>
                <w:lang w:bidi="ar"/>
              </w:rPr>
              <w:br w:type="textWrapping"/>
            </w:r>
            <w:r>
              <w:rPr>
                <w:rFonts w:hint="eastAsia" w:cs="宋体"/>
                <w:color w:val="000000"/>
                <w:kern w:val="0"/>
                <w:sz w:val="21"/>
                <w:szCs w:val="21"/>
                <w:lang w:bidi="ar"/>
              </w:rPr>
              <w:t>坐标偏移：添加随机扰动（如 ±50 米），保持区域相对位置</w:t>
            </w:r>
            <w:r>
              <w:rPr>
                <w:rFonts w:hint="eastAsia" w:cs="宋体"/>
                <w:color w:val="000000"/>
                <w:kern w:val="0"/>
                <w:sz w:val="21"/>
                <w:szCs w:val="21"/>
                <w:lang w:bidi="ar"/>
              </w:rPr>
              <w:br w:type="textWrapping"/>
            </w:r>
            <w:r>
              <w:rPr>
                <w:rFonts w:hint="eastAsia" w:cs="宋体"/>
                <w:color w:val="000000"/>
                <w:kern w:val="0"/>
                <w:sz w:val="21"/>
                <w:szCs w:val="21"/>
                <w:lang w:bidi="ar"/>
              </w:rPr>
              <w:t>像素模糊：对遥感影像敏感区域进行高斯模糊处理</w:t>
            </w:r>
            <w:r>
              <w:rPr>
                <w:rFonts w:hint="eastAsia" w:cs="宋体"/>
                <w:color w:val="000000"/>
                <w:kern w:val="0"/>
                <w:sz w:val="21"/>
                <w:szCs w:val="21"/>
                <w:lang w:bidi="ar"/>
              </w:rPr>
              <w:br w:type="textWrapping"/>
            </w:r>
            <w:r>
              <w:rPr>
                <w:rFonts w:hint="eastAsia" w:cs="宋体"/>
                <w:color w:val="000000"/>
                <w:kern w:val="0"/>
                <w:sz w:val="21"/>
                <w:szCs w:val="21"/>
                <w:lang w:bidi="ar"/>
              </w:rPr>
              <w:t>属性泛化：将敏感地址字段替换为 “XX 区”“XX 路段”</w:t>
            </w:r>
          </w:p>
        </w:tc>
      </w:tr>
      <w:tr w14:paraId="408491B4">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C508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731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1835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开放数据集脱敏加密-知识图谱节点模糊</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FA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扫描知识图谱中的所有节点，识别敏感实体（如个人姓名、企业详细地址），将其替换为匿名化标识，仅保留实体的基础属性信息。</w:t>
            </w:r>
          </w:p>
        </w:tc>
      </w:tr>
      <w:tr w14:paraId="237797F6">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DBA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AFAA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06C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开放数据集脱敏加密-知识图谱敏感连线剪短</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A0D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依据预设的敏感关系规则（如 “个人→详细住址”“危险品车辆→实时位置→司机手机号”），自动检测知识图谱中的敏感连线，将其从图谱中删除，仅保留公开、安全的关系链条。</w:t>
            </w:r>
          </w:p>
        </w:tc>
      </w:tr>
      <w:tr w14:paraId="0EA60BF4">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78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6C9D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59F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开放数据集接口封装工具集-多协议接口适配</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5C88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支持生成GraphQL 接口（适配复杂查询场景，减少前端多次调用）、gRPC 接口（高性能、低延迟，适合微服务架构）、WebSocket 接口（实时数据推送，如交通流量实时更新）。</w:t>
            </w:r>
            <w:r>
              <w:rPr>
                <w:rFonts w:hint="eastAsia" w:cs="宋体"/>
                <w:color w:val="000000"/>
                <w:kern w:val="0"/>
                <w:sz w:val="21"/>
                <w:szCs w:val="21"/>
                <w:lang w:bidi="ar"/>
              </w:rPr>
              <w:br w:type="textWrapping"/>
            </w:r>
            <w:r>
              <w:rPr>
                <w:rFonts w:hint="eastAsia" w:cs="宋体"/>
                <w:color w:val="000000"/>
                <w:kern w:val="0"/>
                <w:sz w:val="21"/>
                <w:szCs w:val="21"/>
                <w:lang w:bidi="ar"/>
              </w:rPr>
              <w:t>自动将传统 REST API 转换为OData 接口（支持过滤、排序、分页等高级查询），满足企业级数据分析工具（如 Power BI、Tableau）对接需求。</w:t>
            </w:r>
          </w:p>
        </w:tc>
      </w:tr>
      <w:tr w14:paraId="7A57DC85">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88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7C06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B14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开放数据集接口封装工具集-动态参数映射引擎</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3BA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支持字段别名映射（如外部系统需将 “车辆行驶速度” 字段名映射为 “Speed”），自动生成映射规则文件（JSON/XML 格式）。</w:t>
            </w:r>
            <w:r>
              <w:rPr>
                <w:rFonts w:hint="eastAsia" w:cs="宋体"/>
                <w:color w:val="000000"/>
                <w:kern w:val="0"/>
                <w:sz w:val="21"/>
                <w:szCs w:val="21"/>
                <w:lang w:bidi="ar"/>
              </w:rPr>
              <w:br w:type="textWrapping"/>
            </w:r>
            <w:r>
              <w:rPr>
                <w:rFonts w:hint="eastAsia" w:cs="宋体"/>
                <w:color w:val="000000"/>
                <w:kern w:val="0"/>
                <w:sz w:val="21"/>
                <w:szCs w:val="21"/>
                <w:lang w:bidi="ar"/>
              </w:rPr>
              <w:t>配置动态参数校验规则（如限制 “时间范围” 参数跨度≤30 天，“坐标范围” 参数必须包含本市边界），接口调用时自动拦截非法请求。</w:t>
            </w:r>
          </w:p>
        </w:tc>
      </w:tr>
      <w:tr w14:paraId="25614AC5">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F90F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537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853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开放数据集接口封装工具集-数据聚合与编排</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4EA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支持跨数据集组合查询（如同时调用 “道路基础信息” 与 “实时拥堵数据” 接口，返回关联结果），通过可视化流程编辑器定义数据关联逻辑（如 JOIN、UNION 操作）。</w:t>
            </w:r>
            <w:r>
              <w:rPr>
                <w:rFonts w:hint="eastAsia" w:cs="宋体"/>
                <w:color w:val="000000"/>
                <w:kern w:val="0"/>
                <w:sz w:val="21"/>
                <w:szCs w:val="21"/>
                <w:lang w:bidi="ar"/>
              </w:rPr>
              <w:br w:type="textWrapping"/>
            </w:r>
            <w:r>
              <w:rPr>
                <w:rFonts w:hint="eastAsia" w:cs="宋体"/>
                <w:color w:val="000000"/>
                <w:kern w:val="0"/>
                <w:sz w:val="21"/>
                <w:szCs w:val="21"/>
                <w:lang w:bidi="ar"/>
              </w:rPr>
              <w:t>内置数据计算函数（如平均值、最大值、空间距离计算），接口响应时直接返回计算结果（如 “返回某路段过去 1 小时平均车速”）。</w:t>
            </w:r>
          </w:p>
        </w:tc>
      </w:tr>
      <w:tr w14:paraId="150C01AD">
        <w:tblPrEx>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6DE2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4157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B8D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交通核心要素管理-人员核心要素字典管理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49663">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该模块用于建立和维护人员相关的核心要素字典，包括人员类别、岗位类型、职务层级、从业资质等基础标准。通过统一的数据字典定义，可以保证不同业务系统在人员信息采集、交换和使用过程中口径一致，避免重复定义和信息歧义。同时，该模块支持字典条目的动态维护与扩展，满足组织架构调整、业务规则更新等场景的需要，为人员数据的规范化管理和跨系统共享提供统一标准支撑。</w:t>
            </w:r>
          </w:p>
        </w:tc>
      </w:tr>
      <w:tr w14:paraId="450F05B1">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78C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1230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0191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交通核心要素管理-车辆核心要素字典管理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42C95">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用于建立和维护车辆相关的核心要素字典，包括车辆类型、用途分类、车牌编码规则、能源类型、环保等级等基础标准。</w:t>
            </w:r>
          </w:p>
        </w:tc>
      </w:tr>
      <w:tr w14:paraId="2A85EBFA">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4DF3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794D5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2BDD9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交通核心要素管理-企业核心要素字典管理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047B0">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模块用于建立和维护企业相关的核心要素字典，包括企业类别、行业分类、信用等级、经营范围、注册地属性等基础标准。</w:t>
            </w:r>
          </w:p>
        </w:tc>
      </w:tr>
      <w:tr w14:paraId="7D606A45">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DB98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274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E29B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交通核心要素管理-运输对象核心要素字典管理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DF769">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该模块用于建立和维护货物及危险品相关的核心要素字典，包括货物种类、危险品分类、包装与容器类型、运输条件、风险等级等基础标准。</w:t>
            </w:r>
          </w:p>
        </w:tc>
      </w:tr>
      <w:tr w14:paraId="2B491E79">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47FE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65DE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D37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交通核心要素管理-道路核心要素字典管理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F3AC3F">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该模块用于建立和维护道路的核心要素字典，包括路线编码、路线名称、道路等级、起点名称、起点桩号、止点名称、止点桩号等基础要素的统一标准。</w:t>
            </w:r>
          </w:p>
        </w:tc>
      </w:tr>
      <w:tr w14:paraId="6CF63BB0">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10370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729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F178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交通核心要素管理-桥梁核心要素字典管理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1206F">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该模块用于建立和维护桥梁的核心要素字典，包括桥梁编码、桥梁名称、桥梁等级、类型、分类、跨越、结构形式等基础要素的统一标准。</w:t>
            </w:r>
          </w:p>
        </w:tc>
      </w:tr>
      <w:tr w14:paraId="252030DE">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4EB8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7326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2F01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交通核心要素管理-隧道核心要素字典管理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D9245B">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该模块用于建立和维护隧道的核心要素字典，包括隧道编码、隧道名称、结构类型、道路等级等基础要素的统一标准。</w:t>
            </w:r>
          </w:p>
        </w:tc>
      </w:tr>
      <w:tr w14:paraId="347A3D94">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3244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D3B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C3D6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交通核心要素管理-人员核心要素业务规范管理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BA78E">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制定并管理交通行业从业人员核心要素的业务标准，覆盖身份信息、从业资质、信用等级等数据。</w:t>
            </w:r>
          </w:p>
        </w:tc>
      </w:tr>
      <w:tr w14:paraId="43F07184">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5B2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DB94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7F28D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交通核心要素管理-车辆核心要素业务规范管理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D8F05A">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制定并管理交通行业车辆核心要素的业务标准，覆盖车辆基本信息、车型、营运资质、使用状态等数据。</w:t>
            </w:r>
          </w:p>
        </w:tc>
      </w:tr>
      <w:tr w14:paraId="3BA3AE5A">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4754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50E5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6A4F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交通核心要素管理-企业核心要素业务规范管理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F67E9">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制定并管理交通行业企业核心要素的业务标准，覆盖企业基本信息、行业分类、资质证书等数据。</w:t>
            </w:r>
          </w:p>
        </w:tc>
      </w:tr>
      <w:tr w14:paraId="55E69F97">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46C10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AC31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A78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交通核心要素管理-运输对象核心要素业务规范管理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F71D4">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制定并管理交通行业运输对象核心要素的业务标准，覆盖货物类别、危险品分类等数据。</w:t>
            </w:r>
          </w:p>
        </w:tc>
      </w:tr>
      <w:tr w14:paraId="4C2A9741">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45B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1835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D53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交通核心要素管理-道路核心要素业务规范管理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5B2C68">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制定并管理交通行业道路核心要素的业务标准，覆盖路线编码、名称、等级、起止点及桩号等数据。</w:t>
            </w:r>
          </w:p>
        </w:tc>
      </w:tr>
      <w:tr w14:paraId="59AE020C">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D05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E792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6ED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交通核心要素管理-桥梁核心要素业务规范管理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A9E87">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制定并管理交通行业桥梁核心要素的业务标准，覆盖桥梁编码、名称、等级、类型、分类、跨越、结构形式等数据。</w:t>
            </w:r>
          </w:p>
        </w:tc>
      </w:tr>
      <w:tr w14:paraId="42CA7AC1">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48B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7DF4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241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交通核心要素管理-隧道核心要素业务规范管理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CCE50">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制定并管理交通行业隧道核心要素的业务标准，覆盖隧道编码、名称、结构类型、道路等级等数据。</w:t>
            </w:r>
          </w:p>
        </w:tc>
      </w:tr>
      <w:tr w14:paraId="17DA20FF">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877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99E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E0BE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交通核心要素管理-人员核心要素表规范管理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171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制定并管理人员核心要素在应用层面的标准化表规范，确保表命名在不同数据源中保持一致。</w:t>
            </w:r>
          </w:p>
        </w:tc>
      </w:tr>
      <w:tr w14:paraId="6A46B2EC">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AAA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17E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5859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交通核心要素管理-车辆核心要素表规范管理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C7B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制定并管理车辆核心要素在应用层面的标准化表规范，保证不同数据源的表结构和命名一致。</w:t>
            </w:r>
          </w:p>
        </w:tc>
      </w:tr>
      <w:tr w14:paraId="4882571F">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EA3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0C8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FE04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交通核心要素管理-企业核心要素表规范管理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58B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制定并管理企业核心要素在应用层面的标准化表规范，实现表命名和结构统一。</w:t>
            </w:r>
          </w:p>
        </w:tc>
      </w:tr>
      <w:tr w14:paraId="19A4DABE">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B9C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68D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EAD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交通核心要素管理-运输对象核心要素表规范管理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97A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制定并管理运输对象核心要素在应用层面的标准化表规范，确保表名在不同系统中一致。</w:t>
            </w:r>
          </w:p>
        </w:tc>
      </w:tr>
      <w:tr w14:paraId="08ECE39C">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ADF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E9F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8DD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交通核心要素管理-道路核心要素表规范管理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0C9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制定并管理道路核心要素在应用层面的标准化表规范，实现跨数据源表名和结构统一。</w:t>
            </w:r>
          </w:p>
        </w:tc>
      </w:tr>
      <w:tr w14:paraId="291EECDF">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4D89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7588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F83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交通核心要素管理-桥梁核心要素表规范管理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C04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制定并管理桥梁核心要素在应用层面的标准化表规范，保证表命名在各系统中一致。</w:t>
            </w:r>
          </w:p>
        </w:tc>
      </w:tr>
      <w:tr w14:paraId="4FA5DE02">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7AF5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B350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1CD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交通核心要素管理-隧道核心要素表规范管理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89C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制定并管理隧道核心要素在应用层面的标准化表规范，确保表命名在不同数据源中保持一致。</w:t>
            </w:r>
          </w:p>
        </w:tc>
      </w:tr>
      <w:tr w14:paraId="03A27A34">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6F4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177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67CB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交通核心要素管理-人员核心要素查询应用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351E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提供交通行业人员核心要素的高效查询和使用管理，覆盖姓名、身份证号、岗位类型、从业资质、所属企业、信用等级等核心信息。</w:t>
            </w:r>
          </w:p>
        </w:tc>
      </w:tr>
      <w:tr w14:paraId="3695AEB9">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D6D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A87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88F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交通核心要素管理-车辆核心要素查询应用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10A0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提供交通行业车辆核心要素的快速查询和调用管理，覆盖车牌号、VIN、车型、营运资质、车辆状态等核心信息。</w:t>
            </w:r>
          </w:p>
        </w:tc>
      </w:tr>
      <w:tr w14:paraId="0823FC88">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12A9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A14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DE5F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交通核心要素管理-企业核心要素查询应用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B2A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提供交通行业企业核心要素的高效查询和使用，覆盖企业名称、统一社会信用代码、行业分类、资质证书、信用等级等核心信息。</w:t>
            </w:r>
          </w:p>
        </w:tc>
      </w:tr>
      <w:tr w14:paraId="194ABC83">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BB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15E3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880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交通核心要素管理-运输对象核心要素查询应用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2AF4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提供交通行业货物及危险品核心要素的高效查询和调用，覆盖货物类别、危险品分类、包装类型、运输条件、编号等信息。</w:t>
            </w:r>
          </w:p>
        </w:tc>
      </w:tr>
      <w:tr w14:paraId="41AEBAF5">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8F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CD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757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交通核心要素管理-道路核心要素查询应用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BED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提供交通行业道路核心要素的快速查询和使用，覆盖路线编码、名称、等级、起止点名称及桩号等核心信息。</w:t>
            </w:r>
          </w:p>
        </w:tc>
      </w:tr>
      <w:tr w14:paraId="45A23329">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8D9E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F72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676D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交通核心要素管理-桥梁核心要素查询应用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B10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提供交通行业桥梁核心要素的高效查询和调用，覆盖桥梁编码、名称、等级、类型、分类、跨越、结构形式等信息。</w:t>
            </w:r>
          </w:p>
        </w:tc>
      </w:tr>
      <w:tr w14:paraId="0AE7385F">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8D5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13B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5D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交通核心要素管理-隧道核心要素查询应用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71E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提供交通行业隧道核心要素的快速查询和使用，覆盖隧道编码、名称、结构类型、道路等级等核心信息。</w:t>
            </w:r>
          </w:p>
        </w:tc>
      </w:tr>
      <w:tr w14:paraId="7BD6DE84">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94D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6F3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ED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交通核心要素管理-交通核心要素质量概览</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EC86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数据质量统计功能通过自动化统计与可视化展示，呈现系统内规则模板、核验规则、任务、数据表及数据量等关键指标</w:t>
            </w:r>
          </w:p>
        </w:tc>
      </w:tr>
      <w:tr w14:paraId="6BF5F17B">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DED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756E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25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交通核心要素管理-交通核心要素质量检索预览</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4D0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任务全流程管理与多维度检索：可通过任务名称、描述、核验对象、状态、质量分等组合检索任务信息；支持新建任务，利用原始库、标准库、主题库等数据资源，设置核验对象及检验规则完成创建；具备任务流程管理及详情查看等操作功能。</w:t>
            </w:r>
          </w:p>
        </w:tc>
      </w:tr>
      <w:tr w14:paraId="1D451C0A">
        <w:tblPrEx>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7D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CC1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9AD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交通核心要素管理-交通核心要素质量核验任务管理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B071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任务全流程管理与多维度检索：可通过任务名称、描述、核验对象、状态、质量分等组合检索任务信息；支持新建任务，利用原始库、标准库、主题库等数据资源，设置核验对象及检验规则完成创建；具备任务流程管理及详情查看等操作功能。数据质量统计通过可视化方式呈现关键指标：以条形图展示核验任务运行平均质量分及核验数据表平均质量分值排名，并用列表呈现失败核验任务的名称、描述、核验对象、异常信息等详情。</w:t>
            </w:r>
          </w:p>
        </w:tc>
      </w:tr>
      <w:tr w14:paraId="1CC2AAC0">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A1BF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E81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3EB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交通核心要素管理-交通核心要素质量规则模板管理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D1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对规则模板及规则进行全生命周期管理与多维度检索：可通过模板名称、描述、状态、更新时间检索已创建模板，支持新建模板（选择规则类型并配置信息）及编辑迭代；对规则支持按名称、描述、状态、更新时间组合检索（结果列表展示），并提供分类、编辑、启用/禁用、删除、预览等操作功能。</w:t>
            </w:r>
          </w:p>
        </w:tc>
      </w:tr>
      <w:tr w14:paraId="776F53EC">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871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D3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D06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交通核心要素管理-交通核心要素API封装</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050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提供核心要素API服务检索、创建、发布、监控、下架、删除等操作管理功能。</w:t>
            </w:r>
          </w:p>
        </w:tc>
      </w:tr>
      <w:tr w14:paraId="68B733EA">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9ABA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67A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C1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交通核心要素管理-交通核心要素库服务管理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E194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提供核心要素对外服务的授权管理，支持核心要素库、表的服务新增、检索、启停、详情、统计等管理功能。</w:t>
            </w:r>
          </w:p>
        </w:tc>
      </w:tr>
      <w:tr w14:paraId="0A76C9B5">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ED5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AF20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DAE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交通核心要素管理-交通核心要素导出任务管理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560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提供核心要素导出任务的创建、检索、编辑、删除、详情查看等管理功能。</w:t>
            </w:r>
          </w:p>
        </w:tc>
      </w:tr>
      <w:tr w14:paraId="620655B5">
        <w:tblPrEx>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FF7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E668B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C3F1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交通数据血缘管理-铁路运输行业数据血缘分析</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7353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该模块面向铁路运输企业开展数据元信息的系统化分析，覆盖企业基础信息、机车车辆、从业人员以及</w:t>
            </w:r>
            <w:r>
              <w:rPr>
                <w:rFonts w:hint="eastAsia" w:cs="宋体"/>
                <w:kern w:val="0"/>
                <w:sz w:val="21"/>
                <w:szCs w:val="21"/>
                <w:lang w:bidi="ar"/>
              </w:rPr>
              <w:t>运输业务等核心数据资产。建设元数据管理平台的元数据搜索和图谱分析功能，通过对表结构、字段分布及数据质量指标（如空值率、重</w:t>
            </w:r>
            <w:r>
              <w:rPr>
                <w:rFonts w:hint="eastAsia" w:cs="宋体"/>
                <w:color w:val="000000"/>
                <w:kern w:val="0"/>
                <w:sz w:val="21"/>
                <w:szCs w:val="21"/>
                <w:lang w:bidi="ar"/>
              </w:rPr>
              <w:t>复率、逻辑合理性等）的检测，能够发现铁路运输行业数据资产中的薄弱环节和潜在风险；同时，结合血缘关系分析，评估企业数据在上下游系统中的依赖链条与关键节点，帮助定位核心数据表、关键任务及服务的使用情况及影响范围。例如，可识别出某铁路企业在“机车司机资质”字段存在异常值过多的问题，可能导致运输安全管理和业务合规性存在隐患。</w:t>
            </w:r>
          </w:p>
        </w:tc>
      </w:tr>
      <w:tr w14:paraId="150D01E0">
        <w:tblPrEx>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C087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B54E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3A1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交通数据血缘管理-道路运输行业数据血缘分析</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D658A4">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面向道路运输企业开展数据元信息的深度分析，全面覆盖企业基础信息、营运车辆、驾驶员及运输业务等核心数据资产。建设元数据管理平台的元数据搜索和图谱分析功能，通过对表结构、字段分布及数据质量指标（如空值率、重复率、逻辑合理性等）的检测，能够发现道路运输行业数据资产中的薄弱环节和潜在风险；同时，结合血缘关系分析，评估企业数据在上下游系统中的依赖链条与关键节点，帮助识别核心数据表、关键任务及服务的使用情况及影响范围。例如，可发现某道路运输企业的“驾驶员从业资格证”字段缺失率偏高，可能影响道路运输安全监管与合规管理。</w:t>
            </w:r>
          </w:p>
        </w:tc>
      </w:tr>
      <w:tr w14:paraId="09BC4BB3">
        <w:tblPrEx>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79DD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F86B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A51C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交通数据血缘管理-港口运输行业数据血缘分析</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0B5905">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面向港口运输企业开展数据元信息的系统化分析，覆盖企业基础信息、码头设施、作业车辆、从业人员及运输业务等核心数据资产。建设元数据管理平台的元数据搜索和图谱分析功能，通过对表结构、字段分布及数据质量指标（如空值率、重复率、逻辑合理性等）的检测，能够发现港口运输行业数据资产中的薄弱环节和潜在风险；同时，结合血缘关系分析，评估企业数据在上下游系统中的依赖链条与关键节点，帮助识别核心数据表、关键任务及服务的使用情况及影响范围。例如，可发现某港口企业的“船舶靠泊记录”字段缺失率偏高，可能影响港口运营安全管理及作业调度决策。</w:t>
            </w:r>
          </w:p>
        </w:tc>
      </w:tr>
      <w:tr w14:paraId="6458E837">
        <w:tblPrEx>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2709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E44ED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2EC0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交通数据血缘管理-道路数据血缘分析</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99E47C">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对道路数据元信息进行深度分析，全面覆盖路线编码、路线名称、道路等级、起点名称、起点桩号、止点名称、止点桩号等核心资产。建设元数据管理平台的元数据搜索和图谱分析功能，通过分析表结构、字段分布及数据质量指标（如空值率、重复率、异常值等），能够发现道路数据资产中的薄弱环节和潜在风险；利用血缘关系分析评估道路数据上下游依赖及关键节点，帮助识别关键数据表、任务和服务的使用情况及影响范围。</w:t>
            </w:r>
          </w:p>
        </w:tc>
      </w:tr>
      <w:tr w14:paraId="0E48156C">
        <w:tblPrEx>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2B26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F42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6C20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交通数据血缘管理-桥梁数据血缘分析</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AAD60B">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对桥梁数据元信息进行深度分析，全面覆盖桥梁编码、桥梁名称、桥梁等级、类型、分类、跨越、结构形式等核心资产。建设元数据管理平台的元数据搜索和图谱分析功能，通过分析表结构、字段分布及数据质量指标（如空值率、重复率、异常值等），能够发现桥梁数据资产中的薄弱环节和潜在风险；利用血缘关系分析评估道路数据上下游依赖及关键节点，帮助识别关键数据表、任务和服务的使用情况及影响范围。</w:t>
            </w:r>
          </w:p>
        </w:tc>
      </w:tr>
      <w:tr w14:paraId="24CD7969">
        <w:tblPrEx>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F087F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1B66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BCE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交通数据血缘管理-隧道数据血缘分析</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D2D6E">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对道路隧道元信息进行深度分析，全面覆盖隧道编码、隧道名称、结构类型、道路等级等核心资产。建设元数据管理平台的元数据搜索和图谱分析功能，通过分析表结构、字段分布及数据质量指标（如空值率、重复率、异常值等），能够发现隧道数据资产中的薄弱环节和潜在风险；利用血缘关系分析评估道路数据上下游依赖及关键节点，帮助识别关键数据表、任务和服务的使用情况及影响范围。</w:t>
            </w:r>
          </w:p>
        </w:tc>
      </w:tr>
      <w:tr w14:paraId="657EF9C6">
        <w:tblPrEx>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E7A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18EC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B150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交通数据血缘管理-铁路运输行业数据血缘档案管理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528A89">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对铁路运输企业的数据元信息进行系统化管理，全面覆盖企业基础信息、车辆、从业人员及业务数据等核心资产。支持元数据录入填报，建设元数据管理平台的元数据档案管理功能，支持表结构预览，包括字段名称、类型及描述，并通过血缘图展示企业数据的上下游依赖关系及字段血缘，便于追踪数据来源和流向。用户可查看表关联的服务列表、数据加工任务及数据质量核验任务，同时追溯表的变更记录与使用情况。模块还可统计字段空值率、重复率等数据质量指标，为监管部门和企业管理者提供标准化、可视化、可追溯的数据资产管理支撑，助力业务分析、风险监控及运营决策。</w:t>
            </w:r>
          </w:p>
        </w:tc>
      </w:tr>
      <w:tr w14:paraId="2070D3E4">
        <w:tblPrEx>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20855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045C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0766E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交通数据血缘管理-道路运输服务行业数据血缘档案管理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C6A50">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对道路运输服务企业的数据元信息进行系统化管理，全面覆盖企业基础信息、营运车辆、驾驶员及运输业务等核心资产。支持元数据录入填报，建设元数据管理平台的元数据档案管理功能，支持表结构预览，包括字段名称、类型及描述，并通过血缘图展示企业数据的上下游依赖关系及字段血缘，便于追踪数据来源和流向。用户可查看表关联的服务列表、数据加工任务及数据质量核验任务，同时追溯表的变更记录与使用情况。模块还可统计字段空值率、重复率等数据质量指标，为监管部门和企业管理者提供标准化、可视化、可追溯的数据资产管理支撑，助力业务分析、风险监控及运营决策。</w:t>
            </w:r>
          </w:p>
        </w:tc>
      </w:tr>
      <w:tr w14:paraId="376474B7">
        <w:tblPrEx>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D70E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CCE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7E2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交通数据血缘管理-港口运输行业数据血缘档案管理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D2BD0">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对港口运输企业的数据元信息进行系统化管理，全面覆盖企业基础信息、码头设施、作业车辆、从业人员及运输业务等核心资产。支持元数据录入填报，建设元数据管理平台的元数据档案管理功能，支持表结构预览，包括字段名称、类型及描述，并通过血缘图展示企业数据的上下游依赖关系及字段血缘，便于追踪数据来源和流向。用户可查看表关联的服务列表、数据加工任务及数据质量核验任务，同时追溯表的变更记录与使用情况。模块还可统计字段空值率、重复率等数据质量指标，为监管部门和企业管理者提供标准化、可视化、可追溯的数据资产管理支撑，助力业务分析、风险监控及运营决策。</w:t>
            </w:r>
          </w:p>
        </w:tc>
      </w:tr>
      <w:tr w14:paraId="006E6E8F">
        <w:tblPrEx>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BAAF3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0E3C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93D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交通数据血缘管理-道路数据血缘档案管理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3DDEA9">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管理道路数据元信息，全面覆盖路线编码、路线名称、道路等级、起点名称、起点桩号、止点名称、止点桩号等核心资产。支持元数据录入填报，建设元数据管理平台的元数据档案管理功能，支持表结构预览，包括字段名称、类型及描述，并通过血缘图展示道路数据上下游关系及字段血缘，便于追踪数据来源和流向；可查看表关联的服务列表、数据加工任务及数据质量核验任务，追溯表的变更记录与使用情况；同时统计字段空值率、重复率等数据指标，为监管部门和企业管理者提供道路数据资产的标准化、可视化及可追溯管理支撑，助力业务分析、风险监控和运营决策。</w:t>
            </w:r>
          </w:p>
        </w:tc>
      </w:tr>
      <w:tr w14:paraId="39CF2C85">
        <w:tblPrEx>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5D5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0885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33D9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交通数据血缘管理-桥梁数据血缘档案管理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9881B8">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管理桥梁数据元信息，全面覆盖桥梁编码、桥梁名称、桥梁等级、类型、分类、跨越、结构形式等核心资产。支持元数据录入填报，建设元数据管理平台的元数据档案管理功能，支持表结构预览，包括字段名称、类型及描述，并通过血缘图展示桥梁数据上下游关系及字段血缘，便于追踪数据来源和流向；可查看表关联的服务列表、数据加工任务及数据质量核验任务，追溯表的变更记录与使用情况；同时统计字段空值率、重复率等数据指标，为监管部门和企业管理者提供桥梁数据资产的标准化、可视化及可追溯管理支撑，助力业务分析、风险监控和运营决策。</w:t>
            </w:r>
          </w:p>
        </w:tc>
      </w:tr>
      <w:tr w14:paraId="1F1F4BFF">
        <w:tblPrEx>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1BA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86B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5D1C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交通数据血缘管理-隧道数据血缘档案管理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F3B72B">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该模块用于管理隧道数据元信息，全面覆盖隧道编码、隧道名称、结构类型、道路等级等核心资产。支持元数据录入填报，建设元数据管理平台的元数据档案管理功能，支持表结构预览，包括字段名称、类型及描述，并通过血缘图展示隧道数据上下游关系及字段血缘，便于追踪数据来源和流向；可查看表关联的服务列表、数据加工任务及数据质量核验任务，追溯表的变更记录与使用情况；同时统计字段空值率、重复率等数据指标，为监管部门和企业管理者提供隧道数据资产的标准化、可视化及可追溯管理支撑，助力业务分析、风险监控和运营决策。</w:t>
            </w:r>
          </w:p>
        </w:tc>
      </w:tr>
      <w:tr w14:paraId="6023BF8B">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090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68B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F57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交通数据血缘管理-交通数据血缘探查</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4E3D85">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建设元数据管理平台的数据探查功能，对平台的数据情况、使用情况等进行探查；包含数据资产分类统计、数据资产应用情况统计、数据资产使用频率统计、数据资产规模及增长趋势、数据资产更新频次、活跃用户变化情况、关键词搜索排名、实体维度操作统计等</w:t>
            </w:r>
          </w:p>
        </w:tc>
      </w:tr>
      <w:tr w14:paraId="3E754098">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8F5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F0B3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A59D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交通数据血缘管理-数据血缘链路分析应用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4A02DE">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建设元数据管理平台的元数据应用和数据链路分析管理功能，数据链路分析应用，支持对重点应用进行血缘全链路查看、异常链路节点预警、异常信息查看等</w:t>
            </w:r>
          </w:p>
        </w:tc>
      </w:tr>
      <w:tr w14:paraId="538BA7EB">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4083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53DFC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6C6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交通数据血缘管理-数据血缘影响分析应用</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7ACC6B">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建设元数据管理平台的元数据应用和数据影响分析管理功能，数据影响分析应用，支持对核心数据资产进行识别、上游血缘查看、下游影响分析、异常链路节点预警等</w:t>
            </w:r>
          </w:p>
        </w:tc>
      </w:tr>
      <w:tr w14:paraId="33442179">
        <w:tblPrEx>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E0362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A3F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578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交通数据血缘管理-交通业务数据血缘多维度搜索</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EF662">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建设元数据管理平台的元数据搜索功能，系统支持多维度信息展示：可查看业务域的名称、描述及数据主人信息；业务分类的名称、描述及数据主人信息；标签的名称、描述及数据主人信息；人员的名称、手机号码、电子邮箱及所属组织信息；组织的名称、描述及数据主人信息。</w:t>
            </w:r>
          </w:p>
        </w:tc>
      </w:tr>
      <w:tr w14:paraId="07F164E5">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14E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755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能力层（高质量数据集能力建设）</w:t>
            </w:r>
          </w:p>
        </w:tc>
        <w:tc>
          <w:tcPr>
            <w:tcW w:w="22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4A89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交通数据血缘管理-交通数据血缘资源目录管理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6CC7D">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建设元数据管理平台的元数据资源目录功能，实现对数据血缘资源目录的操作、展示、编辑、检索等功能。</w:t>
            </w:r>
          </w:p>
        </w:tc>
      </w:tr>
      <w:tr w14:paraId="406C257C">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BCC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70FD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DC2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大模型对话能力</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96BD8">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支持用户与大模型进行自然语言交互，实现多轮对话、上下文理解及意图识别；可根据对话场景生成拟人化回应，满足智能问答、信息咨询等交互需求。</w:t>
            </w:r>
          </w:p>
        </w:tc>
      </w:tr>
      <w:tr w14:paraId="037A83BB">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76DA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453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1B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大模型思维链能力</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87368">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使大模型具备逻辑推理与问题拆解能力，将复杂问题分解为可解释的步骤；通过生成思维链过程，提升答案的可追溯性和推理严谨性。</w:t>
            </w:r>
          </w:p>
        </w:tc>
      </w:tr>
      <w:tr w14:paraId="62E20176">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22CA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791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644B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知识库语料上传</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6C978">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允许用户上传本地文本、文档等语料数据，支持 PDF/Word/TXT 等格式批量导入；上传后自动存储并关联至指定知识库，用于模型训练或知识增强。</w:t>
            </w:r>
          </w:p>
        </w:tc>
      </w:tr>
      <w:tr w14:paraId="125A6CEC">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056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01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E2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知识库增删改查</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8A640">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提供文档全生命周期管理功能，支持新建、删除、编辑及检索操作；可通过关键词、时间、类型等维度快速定位文档，配套权限控制保障数据安全。</w:t>
            </w:r>
          </w:p>
        </w:tc>
      </w:tr>
      <w:tr w14:paraId="22B54F81">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6A65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3AD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936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知识库解析状态获取</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C909">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实时追踪文档解析进度，展示解析中、已完成或失败状态；支持查看解析详情（如文本提取、格式转换结果），便于用户管理批量文档任务。</w:t>
            </w:r>
          </w:p>
        </w:tc>
      </w:tr>
      <w:tr w14:paraId="273C741A">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C90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937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3017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知识库列表获取</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18B17">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以列表形式展示所有已创建的知识库，包含名称、创建时间、数据规模等信息；支持按领域、类型筛选知识库，快速定位目标知识集合。</w:t>
            </w:r>
          </w:p>
        </w:tc>
      </w:tr>
      <w:tr w14:paraId="79838C1A">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C58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B0CE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D6B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知识库召回查询</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E8959">
            <w:pPr>
              <w:widowControl/>
              <w:adjustRightInd w:val="0"/>
              <w:snapToGrid w:val="0"/>
              <w:spacing w:line="240" w:lineRule="auto"/>
              <w:ind w:firstLine="0" w:firstLineChars="0"/>
              <w:jc w:val="left"/>
              <w:textAlignment w:val="center"/>
              <w:rPr>
                <w:rFonts w:hint="eastAsia" w:cs="宋体"/>
                <w:sz w:val="21"/>
                <w:szCs w:val="21"/>
              </w:rPr>
            </w:pPr>
            <w:r>
              <w:rPr>
                <w:rFonts w:hint="eastAsia" w:cs="宋体"/>
                <w:kern w:val="0"/>
                <w:sz w:val="21"/>
                <w:szCs w:val="21"/>
                <w:lang w:bidi="ar"/>
              </w:rPr>
              <w:t>通过自然语言或关键词从知识库中检索相关信息，结合语义匹配提升召回准确率；支持多源知识融合检索，返回结构化答案及知识来源。</w:t>
            </w:r>
          </w:p>
        </w:tc>
      </w:tr>
      <w:tr w14:paraId="5959C786">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427C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7D95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F48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知识库配置</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CD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允许用户自定义知识库结构，如添加领域标签、设置知识更新规则；支持配置检索参数（如相似度阈值），优化知识匹配效果。</w:t>
            </w:r>
          </w:p>
        </w:tc>
      </w:tr>
      <w:tr w14:paraId="49B0CF6C">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22DE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149</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BB6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C6D6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智能体列表和详情查询</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DD0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展示系统支持的大模型类型（如对话模型、文档模型）及版本信息；提供模型参数、性能指标、适用场景等详情，辅助用户选择合适模型。</w:t>
            </w:r>
          </w:p>
        </w:tc>
      </w:tr>
      <w:tr w14:paraId="2F4E5FB5">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F9C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FB14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287D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智能体增删改查</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6A94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支持部署新模型、删除冗余模型、更新模型版本及配置参数；可通过 API 或界面操作管理模型实例，适配不同业务场景需求。</w:t>
            </w:r>
          </w:p>
        </w:tc>
      </w:tr>
      <w:tr w14:paraId="7BCE216B">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A6DD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300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00D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可视化监管</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6F2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通过图表实时展示系统运行状态（如模型调用量、知识库更新频率）；提供异常预警功能，以可视化方式呈现数据趋势和性能瓶颈。</w:t>
            </w:r>
          </w:p>
        </w:tc>
      </w:tr>
      <w:tr w14:paraId="573B955B">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2E1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AA9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大模型接口开发</w:t>
            </w:r>
          </w:p>
        </w:tc>
        <w:tc>
          <w:tcPr>
            <w:tcW w:w="2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8BD9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敏感词识别和处理</w:t>
            </w:r>
          </w:p>
        </w:tc>
        <w:tc>
          <w:tcPr>
            <w:tcW w:w="4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EAA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自动检测文本中的敏感词汇、违规内容，支持自定义敏感词库；发现敏感信息时可触发屏蔽、替换或预警机制，保障内容合规性。</w:t>
            </w:r>
          </w:p>
        </w:tc>
      </w:tr>
    </w:tbl>
    <w:p w14:paraId="68FD9091">
      <w:pPr>
        <w:pStyle w:val="4"/>
        <w:numPr>
          <w:ilvl w:val="0"/>
          <w:numId w:val="6"/>
        </w:numPr>
        <w:ind w:firstLine="602"/>
        <w:rPr>
          <w:rFonts w:hint="eastAsia" w:eastAsia="黑体"/>
        </w:rPr>
      </w:pPr>
      <w:r>
        <w:rPr>
          <w:rFonts w:hint="eastAsia"/>
        </w:rPr>
        <w:t>深化数服</w:t>
      </w:r>
      <w:r>
        <w:rPr>
          <w:rFonts w:hint="eastAsia" w:eastAsia="黑体"/>
        </w:rPr>
        <w:fldChar w:fldCharType="begin"/>
      </w:r>
      <w:r>
        <w:instrText xml:space="preserve"> LINK Excel.Sheet.12 "H:\\2024\\交委数字化转型\\指挥中心底座及一张网项目\\融合平台二期\\【！！】20251126招标技术需求\\V6元数据管理20260113（修改+总体）.xlsx" "数服240!R1C1:R241C4" \h \a  \* MERGEFORMAT</w:instrText>
      </w:r>
      <w:r>
        <w:rPr>
          <w:rFonts w:hint="eastAsia" w:eastAsia="黑体"/>
        </w:rPr>
        <w:fldChar w:fldCharType="separate"/>
      </w:r>
    </w:p>
    <w:tbl>
      <w:tblPr>
        <w:tblStyle w:val="12"/>
        <w:tblW w:w="4998" w:type="pct"/>
        <w:tblInd w:w="0" w:type="dxa"/>
        <w:tblLayout w:type="autofit"/>
        <w:tblCellMar>
          <w:top w:w="0" w:type="dxa"/>
          <w:left w:w="108" w:type="dxa"/>
          <w:bottom w:w="0" w:type="dxa"/>
          <w:right w:w="108" w:type="dxa"/>
        </w:tblCellMar>
      </w:tblPr>
      <w:tblGrid>
        <w:gridCol w:w="551"/>
        <w:gridCol w:w="1223"/>
        <w:gridCol w:w="1842"/>
        <w:gridCol w:w="4909"/>
      </w:tblGrid>
      <w:tr w14:paraId="786B475A">
        <w:tblPrEx>
          <w:tblCellMar>
            <w:top w:w="0" w:type="dxa"/>
            <w:left w:w="108" w:type="dxa"/>
            <w:bottom w:w="0" w:type="dxa"/>
            <w:right w:w="108" w:type="dxa"/>
          </w:tblCellMar>
        </w:tblPrEx>
        <w:trPr>
          <w:trHeight w:val="28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6DA43">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序号</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EC8EA">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模块</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1C092">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功能点</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248C5">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功能描述</w:t>
            </w:r>
          </w:p>
        </w:tc>
      </w:tr>
      <w:tr w14:paraId="62176D84">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2C9B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901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476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智能交互中心建设-系统功能模块封装-系统功能大模型 API 适配</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CA7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改造系统功能模块，使其兼容大模型 API 接口标准，打通与大模型的数据交互通道。</w:t>
            </w:r>
          </w:p>
        </w:tc>
      </w:tr>
      <w:tr w14:paraId="02880FAB">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CB68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669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B2B7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智能交互中心建设-系统功能模块封装-API 封装与说明编制</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263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对系统 API 进行统一封装，编制详细使用文档，降低开发者调用系统功能的技术门槛。</w:t>
            </w:r>
          </w:p>
        </w:tc>
      </w:tr>
      <w:tr w14:paraId="2389C646">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035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CC8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40B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智能交互中心建设-用户交互特征分析-用户画像构建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3839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整合用户基础信息、操作行为、偏好数据，构建多维度用户画像，支撑个性化服务。</w:t>
            </w:r>
          </w:p>
        </w:tc>
      </w:tr>
      <w:tr w14:paraId="724EDBB6">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3A99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BB6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0A7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智能交互中心建设-用户交互特征分析-用户行为分析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F6F5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对用户在系统中的操作行为进行统计与分析，挖掘用户需求与使用习惯。</w:t>
            </w:r>
          </w:p>
        </w:tc>
      </w:tr>
      <w:tr w14:paraId="311D42B1">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F533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551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849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智能交互中心建设-用户交互特征分析-自适应优化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4F9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根据用户行为、系统负载等动态调整系统参数与功能策略，提升运行效率与用户体验。</w:t>
            </w:r>
          </w:p>
        </w:tc>
      </w:tr>
      <w:tr w14:paraId="4389F12C">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C82A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E68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5558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智能交互中心建设-应用展示与系统集成-卡片式功能模块展示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0B3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以简洁直观的卡片形式呈现智能体应用，方便用户快速浏览与调用。</w:t>
            </w:r>
          </w:p>
        </w:tc>
      </w:tr>
      <w:tr w14:paraId="6E19FBD8">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FF1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F16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908E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智能交互中心建设-应用展示与系统集成-交互数据可视化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21DE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将用户交互数据转化为图表、图形等可视化形式，直观呈现交互过程与结果。</w:t>
            </w:r>
          </w:p>
        </w:tc>
      </w:tr>
      <w:tr w14:paraId="700DCA7A">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1FDB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457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BB1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智能交互中心建设-应用展示与系统集成-应用能力分组展现</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4160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按功能特性、使用场景等对应用能力进行分组展示,包括数的能力、图的能力、视频，便于用户快速定位所需功能。</w:t>
            </w:r>
          </w:p>
        </w:tc>
      </w:tr>
      <w:tr w14:paraId="129F928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9DA2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763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7FB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智能交互中心建设-平台统一用户-用户管理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2F5A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实现用户全生命周期管理，包括用户信息维护、账号状态控制及安全策略实施。</w:t>
            </w:r>
          </w:p>
        </w:tc>
      </w:tr>
      <w:tr w14:paraId="07D0B27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1C3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A6A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F78A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智能交互中心建设-平台统一用户-角色管理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4DD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基于预定义角色体系（如管理员/操作员/审计员）进行门户权限的集中分配与管理。</w:t>
            </w:r>
          </w:p>
        </w:tc>
      </w:tr>
      <w:tr w14:paraId="4C1D229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C1DD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0A0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BC78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智能交互中心建设-平台统一用户-组织架构管理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05A4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构建企业树形部门与岗位层级结构，支持权限沿组织关系自动继承和例外覆盖。</w:t>
            </w:r>
          </w:p>
        </w:tc>
      </w:tr>
      <w:tr w14:paraId="487FB3A3">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65A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D08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8A7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智能交互中心建设-平台统一认证-模块管理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2BC9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统一管控应用模块的注册、状态变更（启用/停用/注销）及生命周期操作。</w:t>
            </w:r>
          </w:p>
        </w:tc>
      </w:tr>
      <w:tr w14:paraId="7D41A1AA">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52AE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AB3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F8E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智能交互中心建设-平台统一认证-门户一键跳转</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33F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在系统门户提供快捷入口，支持一键跳转至目标功能模块或页面，提升操作效率。</w:t>
            </w:r>
          </w:p>
        </w:tc>
      </w:tr>
      <w:tr w14:paraId="0488D185">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EE9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24C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AA5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智能交互中心建设-平台统一认证-统一认证服务</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D94F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实现用户一次登录即可访问系统所有授权功能模块。</w:t>
            </w:r>
          </w:p>
        </w:tc>
      </w:tr>
      <w:tr w14:paraId="4F5DDD2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9DF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2B5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08B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智能交互中心建设-平台统一权限-权限管理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C227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精准控制用户与模块间的访问授权关系，动态管理权限分配与回收。</w:t>
            </w:r>
          </w:p>
        </w:tc>
      </w:tr>
      <w:tr w14:paraId="170C3D31">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590F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87DF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6E4F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智能交互中心建设-平台统一权限-分组创建与编辑</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3CD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支持用户自定义创建应用能力分组，并对分组名称、内容等进行灵活编辑。</w:t>
            </w:r>
          </w:p>
        </w:tc>
      </w:tr>
      <w:tr w14:paraId="7FD5CFF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2C8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B218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E3A7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智能交互中心建设-平台统一权限-应用分配与调整</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2318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将系统应用按需分配至不同分组，并支持动态调整，实现资源灵活管理。</w:t>
            </w:r>
          </w:p>
        </w:tc>
      </w:tr>
      <w:tr w14:paraId="0D1E672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7C6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73D1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B2C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智能交互中心建设-平台统一权限-分组共享与权限控制</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0B55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设置分组共享范围与用户权限，保障应用能力分组使用的安全性与可控性。</w:t>
            </w:r>
          </w:p>
        </w:tc>
      </w:tr>
      <w:tr w14:paraId="43D71817">
        <w:tblPrEx>
          <w:tblCellMar>
            <w:top w:w="0" w:type="dxa"/>
            <w:left w:w="108" w:type="dxa"/>
            <w:bottom w:w="0" w:type="dxa"/>
            <w:right w:w="108" w:type="dxa"/>
          </w:tblCellMar>
        </w:tblPrEx>
        <w:trPr>
          <w:trHeight w:val="157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DBE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DEB8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23F5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数据资源中心建设-数据资源态势-数据资产看板</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FB2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基础信息总览：动态展示数据资产总量、数据类型分布（结构化/非结构化/半结构化）、存储占用空间及存储成本占比。​</w:t>
            </w:r>
            <w:r>
              <w:rPr>
                <w:rFonts w:hint="eastAsia" w:cs="宋体"/>
                <w:color w:val="000000"/>
                <w:kern w:val="0"/>
                <w:sz w:val="21"/>
                <w:szCs w:val="21"/>
                <w:lang w:bidi="ar"/>
              </w:rPr>
              <w:br w:type="textWrapping"/>
            </w:r>
            <w:r>
              <w:rPr>
                <w:rFonts w:hint="eastAsia" w:cs="宋体"/>
                <w:color w:val="000000"/>
                <w:kern w:val="0"/>
                <w:sz w:val="21"/>
                <w:szCs w:val="21"/>
                <w:lang w:bidi="ar"/>
              </w:rPr>
              <w:t>资产健康度评估：通过数据更新频率、字段缺失率等指标，生成数据资产健康评分，并以仪表盘形式直观呈现。​</w:t>
            </w:r>
            <w:r>
              <w:rPr>
                <w:rFonts w:hint="eastAsia" w:cs="宋体"/>
                <w:color w:val="000000"/>
                <w:kern w:val="0"/>
                <w:sz w:val="21"/>
                <w:szCs w:val="21"/>
                <w:lang w:bidi="ar"/>
              </w:rPr>
              <w:br w:type="textWrapping"/>
            </w:r>
            <w:r>
              <w:rPr>
                <w:rFonts w:hint="eastAsia" w:cs="宋体"/>
                <w:color w:val="000000"/>
                <w:kern w:val="0"/>
                <w:sz w:val="21"/>
                <w:szCs w:val="21"/>
                <w:lang w:bidi="ar"/>
              </w:rPr>
              <w:t>资产安全态势：实时显示数据分级分类结果（公开/内部）、脱敏处理进度、安全访问次数与异常访问告警统计。</w:t>
            </w:r>
          </w:p>
        </w:tc>
      </w:tr>
      <w:tr w14:paraId="3F17AC0A">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4AD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E8D1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379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数据资源中心建设-数据资源态势-数据资源趋势看板</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C09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按日/周/月展示数据条目、存储新增量、减少量趋势曲线。</w:t>
            </w:r>
          </w:p>
        </w:tc>
      </w:tr>
      <w:tr w14:paraId="5F29BDE8">
        <w:tblPrEx>
          <w:tblCellMar>
            <w:top w:w="0" w:type="dxa"/>
            <w:left w:w="108" w:type="dxa"/>
            <w:bottom w:w="0" w:type="dxa"/>
            <w:right w:w="108" w:type="dxa"/>
          </w:tblCellMar>
        </w:tblPrEx>
        <w:trPr>
          <w:trHeight w:val="105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EDC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60A9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381E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数据资源中心建设-数据资源态势-接入资源概览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F2A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来源维度：统计各数据来源（委内单位、相关企业等）的数据接入占比及变化趋势。​</w:t>
            </w:r>
            <w:r>
              <w:rPr>
                <w:rFonts w:hint="eastAsia" w:cs="宋体"/>
                <w:color w:val="000000"/>
                <w:kern w:val="0"/>
                <w:sz w:val="21"/>
                <w:szCs w:val="21"/>
                <w:lang w:bidi="ar"/>
              </w:rPr>
              <w:br w:type="textWrapping"/>
            </w:r>
            <w:r>
              <w:rPr>
                <w:rFonts w:hint="eastAsia" w:cs="宋体"/>
                <w:color w:val="000000"/>
                <w:kern w:val="0"/>
                <w:sz w:val="21"/>
                <w:szCs w:val="21"/>
                <w:lang w:bidi="ar"/>
              </w:rPr>
              <w:t>业态维度：分析交通行业不同业态（轨道交通、公交、客运、货运、出租车等）的数据接入规模及增长速度。</w:t>
            </w:r>
          </w:p>
        </w:tc>
      </w:tr>
      <w:tr w14:paraId="396ABAC9">
        <w:tblPrEx>
          <w:tblCellMar>
            <w:top w:w="0" w:type="dxa"/>
            <w:left w:w="108" w:type="dxa"/>
            <w:bottom w:w="0" w:type="dxa"/>
            <w:right w:w="108" w:type="dxa"/>
          </w:tblCellMar>
        </w:tblPrEx>
        <w:trPr>
          <w:trHeight w:val="105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E75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6A1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BFE8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数据资源中心建设-数据资源态势-融合资源概览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74D7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融合效果评估：通过数据关联度、价值提升度等指标，量化展示数据融合成果及趋势。​</w:t>
            </w:r>
            <w:r>
              <w:rPr>
                <w:rFonts w:hint="eastAsia" w:cs="宋体"/>
                <w:color w:val="000000"/>
                <w:kern w:val="0"/>
                <w:sz w:val="21"/>
                <w:szCs w:val="21"/>
                <w:lang w:bidi="ar"/>
              </w:rPr>
              <w:br w:type="textWrapping"/>
            </w:r>
            <w:r>
              <w:rPr>
                <w:rFonts w:hint="eastAsia" w:cs="宋体"/>
                <w:color w:val="000000"/>
                <w:kern w:val="0"/>
                <w:sz w:val="21"/>
                <w:szCs w:val="21"/>
                <w:lang w:bidi="ar"/>
              </w:rPr>
              <w:t>应用场景覆盖：统计融合后数据支撑的业务场景数量及使用频次变化。</w:t>
            </w:r>
          </w:p>
        </w:tc>
      </w:tr>
      <w:tr w14:paraId="6D14EB29">
        <w:tblPrEx>
          <w:tblCellMar>
            <w:top w:w="0" w:type="dxa"/>
            <w:left w:w="108" w:type="dxa"/>
            <w:bottom w:w="0" w:type="dxa"/>
            <w:right w:w="108" w:type="dxa"/>
          </w:tblCellMar>
        </w:tblPrEx>
        <w:trPr>
          <w:trHeight w:val="5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8A7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D19D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521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数据资源中心建设-数据资源态势-热门数据排行</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270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综合数据访问次数、下载量、接口调用频次、收藏数量等指标。​按热度值高低生成热门数据排行榜，支持按日、周、月更新榜单。</w:t>
            </w:r>
          </w:p>
        </w:tc>
      </w:tr>
      <w:tr w14:paraId="79002B6E">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9E3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693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6F2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数据资源中心建设-资源检索与订阅-数据字典可视化查询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FE8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聚焦结构化数据的字段级标准化管理，提供字段定义、技术规范及关联关系的可视化查询。用户可通过搜索 “车辆 ID”“经度”“货运量” 等字段名称或业务术语，获取其详细信息。</w:t>
            </w:r>
          </w:p>
        </w:tc>
      </w:tr>
      <w:tr w14:paraId="078530C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33C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C8D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73C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数据资源中心建设-资源检索与订阅-图数据知识结构化查询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B30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提供知识图谱全息画像数据结构化展示、提供知识图谱一级关系查询展示。</w:t>
            </w:r>
          </w:p>
        </w:tc>
      </w:tr>
      <w:tr w14:paraId="518C6358">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80CE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2217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BD2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数据资源中心建设-资源检索与订阅-图层清单可视化查询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E95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提供图层结构化描述的可视化展示功能，支持通过地图组件动态展示图层空间覆盖范围。</w:t>
            </w:r>
          </w:p>
        </w:tc>
      </w:tr>
      <w:tr w14:paraId="778A950B">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D96D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5FC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6076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数据资源中心建设-资源检索与订阅-清单订阅与推送</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E97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对已编目的结构化数据清单进行订阅管理。用户可按业务场景或数据标签设置订阅规则，选择更新频率和通知方式。当数据更新时，系统自动推送更新日志，包含版本对比和其他说明。</w:t>
            </w:r>
          </w:p>
        </w:tc>
      </w:tr>
      <w:tr w14:paraId="2960FE19">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158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0A6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A8E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数据资源中心建设-资源检索与订阅-图层订阅与推送</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BC0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允许用户按业务场景、图层标签或更新频率订阅特定图层清单，设置通知方式（系统消息、API 回调）；当图层数据更新（如版本升级、敏感处理规则调整）时，自动推送更新日志（含版本对比、合规性说明），并支持订阅权限与图层清单的动态绑定及到期回收。</w:t>
            </w:r>
          </w:p>
        </w:tc>
      </w:tr>
      <w:tr w14:paraId="5125D937">
        <w:tblPrEx>
          <w:tblCellMar>
            <w:top w:w="0" w:type="dxa"/>
            <w:left w:w="108" w:type="dxa"/>
            <w:bottom w:w="0" w:type="dxa"/>
            <w:right w:w="108" w:type="dxa"/>
          </w:tblCellMar>
        </w:tblPrEx>
        <w:trPr>
          <w:trHeight w:val="183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BF84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7C4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DBD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数据资源中心建设-资源检索与订阅-高级检索功能</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7CB3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全文检索：对数据内容进行全文索引，支持在文档、日志等非结构化数据中检索关键词。​</w:t>
            </w:r>
            <w:r>
              <w:rPr>
                <w:rFonts w:hint="eastAsia" w:cs="宋体"/>
                <w:color w:val="000000"/>
                <w:kern w:val="0"/>
                <w:sz w:val="21"/>
                <w:szCs w:val="21"/>
                <w:lang w:bidi="ar"/>
              </w:rPr>
              <w:br w:type="textWrapping"/>
            </w:r>
            <w:r>
              <w:rPr>
                <w:rFonts w:hint="eastAsia" w:cs="宋体"/>
                <w:color w:val="000000"/>
                <w:kern w:val="0"/>
                <w:sz w:val="21"/>
                <w:szCs w:val="21"/>
                <w:lang w:bidi="ar"/>
              </w:rPr>
              <w:t>智能推荐检索：根据用户历史检索记录、数据使用偏好，智能推荐相关数据资源，并提供相似数据对比查看功能。​</w:t>
            </w:r>
            <w:r>
              <w:rPr>
                <w:rFonts w:hint="eastAsia" w:cs="宋体"/>
                <w:color w:val="000000"/>
                <w:kern w:val="0"/>
                <w:sz w:val="21"/>
                <w:szCs w:val="21"/>
                <w:lang w:bidi="ar"/>
              </w:rPr>
              <w:br w:type="textWrapping"/>
            </w:r>
            <w:r>
              <w:rPr>
                <w:rFonts w:hint="eastAsia" w:cs="宋体"/>
                <w:color w:val="000000"/>
                <w:kern w:val="0"/>
                <w:sz w:val="21"/>
                <w:szCs w:val="21"/>
                <w:lang w:bidi="ar"/>
              </w:rPr>
              <w:t>检索结果优化：支持对检索结果进行二次筛选、排序（按相关度、更新时间、数据量等）、导出（多种格式），方便用户进一步处理和分析。</w:t>
            </w:r>
          </w:p>
        </w:tc>
      </w:tr>
      <w:tr w14:paraId="3922FD82">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F2F3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91DF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456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数据资源中心建设-资源检索与订阅-资源收藏</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F0A4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兴趣数据、图层资源收藏，下次访问可以快速查看。</w:t>
            </w:r>
          </w:p>
        </w:tc>
      </w:tr>
      <w:tr w14:paraId="30BBE6CD">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867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480C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1BC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数据资源中心建设-审批权限管理-审批流程轻量化配置</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795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基于交通行业数据访问需求和共享需求、依据 “数据分级分类” 结果，针对交通行业数据安全等级（如公开、内部、敏感），差异化配置审批流程：公开级触发自动审批，内部级执行单级审批，敏感级启动多级审核；结合行业时效性需求（如应急指挥数据申请），设置审批超时提醒机制，保障数据共享效率。</w:t>
            </w:r>
          </w:p>
        </w:tc>
      </w:tr>
      <w:tr w14:paraId="075D8D8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DEF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9E5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7F4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数据资源中心建设-审批权限管理-权限与清单绑定</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257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审批通过后，系统按交通行业业务角色（如物流企业、交管部门）动态绑定权限，实现：资产可见性控制</w:t>
            </w:r>
          </w:p>
        </w:tc>
      </w:tr>
      <w:tr w14:paraId="60EF9E21">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252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5DD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AA43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数据资源中心建设-审批权限管理-权限到期自动回收</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5FB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交通行业数据使用的时效性特点，支持按审批结果设置权限有效期（如重大活动期间临时权限、季度性货运线路查询权限），到期后系统自动回收访问权限并注销相关token，用户需重新提交申请方可恢复访问，确保权限管理符合 “最小必要” 原则。</w:t>
            </w:r>
          </w:p>
        </w:tc>
      </w:tr>
      <w:tr w14:paraId="227352CA">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44A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A5C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FEE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数据资源中心建设-数据编目工具集-单表编目工具集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C221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为满足人工录入的单条特殊表单数据（如交通事故报告、设备巡检记录）精细化管理需求，开发单表单编目工具。该工具支持对单条表单进行字段级标签配置、元数据关联及数据验证，提供可视化编辑界面，允许用户按需标注业务属性（如事件类型、发生时间、责任主体），实现个性化数据的精准编目，确保特殊场景下的数据完整性与业务可读性，适用于需要逐笔校验的非标准化数据处理。</w:t>
            </w:r>
          </w:p>
        </w:tc>
      </w:tr>
      <w:tr w14:paraId="2FF1F065">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8BF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5B2E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9C76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数据资源中心建设-数据编目工具集-多表编目工具集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D45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历史日志、传感器集群数据等大规模表单数据集，开发多表单批量编目工具。工具提供批量导入、模板化标注、自动化审核及目录生成能力，内置元数据映射模板与标签匹配策略，支持通过配置文件或可视化界面定义批量处理流程，可自动识别同类数据集共性特征并执行 “一键编目”，实现海量表单数据的快速分类、标注与归档，显著降低人工干预成本，适用于周期性数据批量治理场景。</w:t>
            </w:r>
          </w:p>
        </w:tc>
      </w:tr>
      <w:tr w14:paraId="7846B274">
        <w:tblPrEx>
          <w:tblCellMar>
            <w:top w:w="0" w:type="dxa"/>
            <w:left w:w="108" w:type="dxa"/>
            <w:bottom w:w="0" w:type="dxa"/>
            <w:right w:w="108" w:type="dxa"/>
          </w:tblCellMar>
        </w:tblPrEx>
        <w:trPr>
          <w:trHeight w:val="205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1EB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5649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DD3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数据资源中心建设-数据编目工具集-智能编目工具集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9A5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为高效处理传感器流量数据、历史日志等大规模且规律性较强的交通数据，开发相似数据聚类编目工具。该工具可自动分析数据特征，基于数据波动趋势、时间周期特性等，将相似时间段、流量变化模式的数据聚为一类，支持批量打标与编目，无需人工逐一处理。例如在交通流量数据分析中，能快速识别早高峰、平峰期等同类数据集群并批量标注，既提升海量数据的编目效率，又便于从宏观视角把握数据分布规律，为后续流量预测、拥堵分析等大数据应用提供结构化数据支撑。</w:t>
            </w:r>
          </w:p>
        </w:tc>
      </w:tr>
      <w:tr w14:paraId="12A8F894">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571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FC1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313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数据资源中心建设-编目管理工具集-模板配置管理工具</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8B4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灵活的模板配置引擎，允许业务人员通过可视化界面或JSON/XML脚本自定义编目模板。模板可自由定义元数据字段（支持文本、枚举、时空坐标等类型）、分类规则（多级分类层级、条件匹配策略）及关联关系模型（实体间血缘关系、业务依赖规则）。</w:t>
            </w:r>
          </w:p>
        </w:tc>
      </w:tr>
      <w:tr w14:paraId="03CE5523">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3F13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635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41F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数据资源中心建设-编目管理工具集-历史标注智能检索与推荐工具</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3A2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可按时空、场景、规则等多维度检索历史标注记录，如匹配相似时空场景、设备类型标注方案及标注规则。</w:t>
            </w:r>
          </w:p>
        </w:tc>
      </w:tr>
      <w:tr w14:paraId="2630FC7D">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D65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726C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4A9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数据资源中心建设-编目管理工具集-多人协同编目工具</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C70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多用户在线协同编目，不同部门的业务人员和数据管理人员可以同时对数据进行编目操作。系统提供实时协作功能，如版本控制、冲突检测和解决机制。在版本控制方面，系统自动记录每次编目操作的版本信息，方便用户回溯和对比不同版本的数据编目内容。</w:t>
            </w:r>
          </w:p>
        </w:tc>
      </w:tr>
      <w:tr w14:paraId="47E8880C">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BC9F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B59A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752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数据资源中心建设-编目管理工具集-版本管理工具</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8E4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编目版本控制工具：支持编目数据的版本管理，记录每次编目变更的时间、操作人、变更内容，支持版本回滚。</w:t>
            </w:r>
          </w:p>
        </w:tc>
      </w:tr>
      <w:tr w14:paraId="3F3B9E0D">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855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75B6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6C4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数据建模中心建设-模型应用-节假日大客流特征模型应用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380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该模块面向节假日期间的大规模人流出行场景，基于历史客流数据、交通运行数据及节日活动信息构建特征模型，识别客流在时间、交通方式上的分布规律。</w:t>
            </w:r>
          </w:p>
        </w:tc>
      </w:tr>
      <w:tr w14:paraId="01E8129C">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0139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C4ED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C00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数据建模中心建设-模型应用-热线投诉高频企业模型应用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52B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该模块基于热线投诉数据，构建高频企业识别与分析模型，聚焦在一定周期内被投诉次数较多的运输企业或服务单位。</w:t>
            </w:r>
          </w:p>
        </w:tc>
      </w:tr>
      <w:tr w14:paraId="442AEF6C">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77BA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513A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EFA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数据建模中心建设-模型应用-热线投诉高频车辆模型应用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508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热线投诉数据，构建高频车辆识别与分析模型，聚焦在一定周期内涉及投诉次数较多的运输车辆。通过对投诉来源、类别、时间分布及关联驾驶员、所属企业等要素的综合分析，识别问题集中、风险突出的车辆对象。</w:t>
            </w:r>
          </w:p>
        </w:tc>
      </w:tr>
      <w:tr w14:paraId="3D67EDBC">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ACA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7D77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2A00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数据建模中心建设-模型应用-热线投诉高频人员模型应用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109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热线投诉数据，构建高频人员识别与分析模型，聚焦在一定周期内涉及投诉次数较多的从业人员。通过对投诉来源、类别、时间分布及关联车辆、所属企业等要素的综合分析，识别问题集中、风险突出的人员对象。</w:t>
            </w:r>
          </w:p>
        </w:tc>
      </w:tr>
      <w:tr w14:paraId="19578048">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9205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B26D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F54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数据建模中心建设-模型应用-道路病害分析模型应用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566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道路病害信息模型应用于分析道路病害在每个路段上的分布情况以及病害完成情况</w:t>
            </w:r>
          </w:p>
        </w:tc>
      </w:tr>
      <w:tr w14:paraId="5C8650DA">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F27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B3D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FD1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数据建模中心建设-模型应用-夜间应停运输服务车辆上高速模型应用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7BB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夜间应停运输服务车辆上高速模型通过采集GPS数据，ETC数据，卡口数据，收费站数据等计算夜间应停运输服务车辆上高速的车辆并产生预警</w:t>
            </w:r>
          </w:p>
        </w:tc>
      </w:tr>
      <w:tr w14:paraId="683612D6">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C0D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DA5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3C0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数据建模中心建设-模型应用-运输服务应停车上路预警模型应用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661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危运品应停车上路预警模型通过采集GPS数据，视频与危运品应停车库进行比对，对应停车上路车辆产生预警</w:t>
            </w:r>
          </w:p>
        </w:tc>
      </w:tr>
      <w:tr w14:paraId="096E0608">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C4F7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B47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C4F4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数据建模中心建设-模型应用-内河航道重点船只监控预警模型应用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913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内河航道重点船只监控预警模型通过实时监测、识别和评估航行环境中的潜在风险，提前发出预警信息，旨在提高船舶运营安全性，优化资源配置与应急响应效率</w:t>
            </w:r>
          </w:p>
        </w:tc>
      </w:tr>
      <w:tr w14:paraId="6995F421">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1045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998B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90A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数据建模中心建设-模型应用-沿海航道重点船只监控预警模型应用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6D4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沿海航道重点船只监控预警模型通过实时监测、识别和评估航行环境中的潜在风险，提前发出预警信息，旨在提高船舶运营安全性，优化资源配置与应急响应效率</w:t>
            </w:r>
          </w:p>
        </w:tc>
      </w:tr>
      <w:tr w14:paraId="74BFFC2E">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7AF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BC0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D9FC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数据建模中心建设-模型应用-内河航道污染物分析模型应用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2D3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该模块基于内河航道监测数据和船舶运行数据，构建污染物分析模型，聚焦航道水质及运输活动对环境的影响。通过对主要污染物（如油污、化学品残留、固废排放等）的分布来源路径进行建模分析。</w:t>
            </w:r>
          </w:p>
        </w:tc>
      </w:tr>
      <w:tr w14:paraId="737262E4">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0AD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9F88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48E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数据建模中心建设-模型应用-沿海航道污染物分析模型应用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043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该模块基于沿海航道水质监测数据和船舶航行信息，构建污染物分析模型，聚焦航道环境及运输活动对沿海生态的影响。</w:t>
            </w:r>
          </w:p>
        </w:tc>
      </w:tr>
      <w:tr w14:paraId="7098B62A">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EB24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14D1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69E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数据建模中心建设-模型应用-大治河船闸通行量分析模型应用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EFCE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该模块基于大治河船闸通行数据及船舶运行信息，构建船闸通行量分析模型，聚焦船舶通过船闸的数量、类型及时间分布规律。通过对通行量的统计分析能够识别高峰时段、关键通行船舶及潜在拥堵情况。</w:t>
            </w:r>
          </w:p>
        </w:tc>
      </w:tr>
      <w:tr w14:paraId="6C0B091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883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6D1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74A7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数据建模中心建设-模型应用-突发事件和自然灾害预警模型应用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258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突发事件和自然灾害预警模型通过接入气象、地震台网、水文监测等数据，构建"蓝-黄-红"分级预警体系，与路桥隧灾害进行比对分析。</w:t>
            </w:r>
          </w:p>
        </w:tc>
      </w:tr>
      <w:tr w14:paraId="5DF4088F">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195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8AA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857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数据建模中心建设-模型应用-集装箱景气指数模型应用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9298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该模块基于集装箱运输量、港口吞吐量、运价指数及相关市场数据，构建集装箱景气指数分析模型。通过对数据的分析，能够反映集装箱运输市场的活跃程度和景气变化规律。</w:t>
            </w:r>
          </w:p>
        </w:tc>
      </w:tr>
      <w:tr w14:paraId="6C7315E0">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9EE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60A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289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数据建模中心建设-模型应用-运输服务疲劳驾驶车辆模型应用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D297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该模型面向普运输车辆的疲劳驾驶识别与处置，基于车载定位/GPS轨迹等数据，连续计算车辆与驾驶员的行驶时长与有效休息时长；当检测到同一驾驶员/同一车辆连续行驶时间≥4小时时，判定为疲劳驾驶</w:t>
            </w:r>
          </w:p>
        </w:tc>
      </w:tr>
      <w:tr w14:paraId="12391D8A">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2A01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0DA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BAC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数据建模中心建设-模型应用-运输服务超速行驶车辆模型应用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1FC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该模型应用面向运输车辆超速行为的识别与预警管理，依托车辆GPS定位数据进行实时计算。系统根据车辆所处道路位置判定限速阈值：外环高速公路限速 80 km/h，外环以内城市道路限速 60 km/h。当车辆实际运行速度超过对应限速值，且连续超速时长 ≥ 2 分钟时，模型自动判定为超速违规行为并产生报警。</w:t>
            </w:r>
          </w:p>
        </w:tc>
      </w:tr>
      <w:tr w14:paraId="0BC2C170">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B3D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44E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8FE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数据建模中心建设-模型应用-水路运输安全运行模型应用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EB7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水路运输船舶运行数据、航道信息及历史安全事件数据，构建安全运行分析模型。通过对船舶通行、作业行为、环境条件及事故风险因素进行综合建模与分析，能够识别高风险船舶、航段及潜在安全隐患。</w:t>
            </w:r>
          </w:p>
        </w:tc>
      </w:tr>
      <w:tr w14:paraId="18C1A8AF">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9800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8E8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77B6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数据建模中心建设-模型应用-安全生产特征分析模型应用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6706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该模块基于企业生产数据、设备运行数据、从业人员信息及历史安全事件记录，构建安全生产特征分析模型。通过对生产行为、设备状态进行综合分析，能够识别潜在安全隐患、高风险作业环节及异常行为模式。</w:t>
            </w:r>
          </w:p>
        </w:tc>
      </w:tr>
      <w:tr w14:paraId="79A4C1A4">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25C8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7623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D6C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数据建模中心建设-模型应用-铁路运输安全运行模型应用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CB1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铁路运输企业的列车运行数据、线路信息、车辆状态及历史安全事件记录，构建安全运行分析模型。通过对列车运营行为、线路状况进行综合建模和分析，能够识别高风险列车、关键线路及潜在安全情况。</w:t>
            </w:r>
          </w:p>
        </w:tc>
      </w:tr>
      <w:tr w14:paraId="5DC8826D">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CBB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E521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CCB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数据建模中心建设-模型应用-易拥堵高速出入口分析模型应用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F5A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高速公路交通流量、车辆通行数据及历史拥堵事件，构建易拥堵出入口识别与分析模型。通过对出入口车流量、时段分布、车辆类型及交通事件进行综合分析，能够识别高风险拥堵节点和关键影响因素。</w:t>
            </w:r>
          </w:p>
        </w:tc>
      </w:tr>
      <w:tr w14:paraId="29D306BB">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712C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4556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A58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数据建模中心建设-模型应用-大型车辆常行路桥线路分析模型应用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DB4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该模块基于大型运输车辆的GPS轨迹、行驶记录及桥梁路段信息，构建常行路桥线路分析模型。通过对车辆通行频次、行驶时间关键桥梁使用情况进行综合分析，能够识别高频使用线路、潜在风险路段。</w:t>
            </w:r>
          </w:p>
        </w:tc>
      </w:tr>
      <w:tr w14:paraId="4EBB4610">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128D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B332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48D1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数据建模中心建设-模型数据管理功能-公共数据管理功能</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C0D5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包含公共数据检索和分析功能</w:t>
            </w:r>
          </w:p>
        </w:tc>
      </w:tr>
      <w:tr w14:paraId="4000950B">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8E9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42E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2F4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数据建模中心建设-模型数据管理功能-个人数据管理功能</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D0B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个人数据分类管理与操作：可创建个人数据存储文件夹并按目录名称关键字检索；支持通过数据表名称关键字检索个人数据资源（列表展示数据总量、更新时间等信息）；提供个人数据上传、嫁接、编辑、删除、追加、替换等操作功能；具备个人数据基础信息、关联概况、授权概况、字段设置等管理功能。</w:t>
            </w:r>
          </w:p>
        </w:tc>
      </w:tr>
      <w:tr w14:paraId="6ACC7EBC">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1C6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95C2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0F7F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数据建模中心建设-模型数据管理功能-模型结果管理功能</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7EA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系统提供模型结果检索功能，用户可通过模型关键字，快速检索符合条件的模型结果信息，并以列表形式展示。</w:t>
            </w:r>
          </w:p>
        </w:tc>
      </w:tr>
      <w:tr w14:paraId="1A6BCAAA">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56E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D16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9D9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数据建模中心建设-模型数据管理功能-模型资产管理功能</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DDF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包含模型资产的检索、预览、启更、停更、删除等功能。</w:t>
            </w:r>
          </w:p>
        </w:tc>
      </w:tr>
      <w:tr w14:paraId="7ACF3E6A">
        <w:tblPrEx>
          <w:tblCellMar>
            <w:top w:w="0" w:type="dxa"/>
            <w:left w:w="108" w:type="dxa"/>
            <w:bottom w:w="0" w:type="dxa"/>
            <w:right w:w="108" w:type="dxa"/>
          </w:tblCellMar>
        </w:tblPrEx>
        <w:trPr>
          <w:trHeight w:val="18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019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CC4D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538D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数据建模中心建设-模型资源管理-模型多维度统计分析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53B5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提供多维度统计分析功能：涵盖数据资源表、模型总量统计；展示数据导出任务状态及健康分布；按运行时段、频度（近一日/周/月）统计模型运行情况；以柱状图呈现算子使用热度、公共数据表使用热度、部门模型及算子贡献度排名；按运行时间降序展示模型运行状态，统计僵冷模型（按最后运行时间）和僵冷数据（按最后更新时间）；通过折线图对比分析新增模型、业务算子、模型结果表的数据增长趋势。</w:t>
            </w:r>
          </w:p>
        </w:tc>
      </w:tr>
      <w:tr w14:paraId="6CC54736">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CF6D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01F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E1F6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数据建模中心建设-模型资源管理-僵冷模型分析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7CF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根据系统中运行模型最近一次运行时间，统计展示长时间未正常更新使用的僵冷模型情况，并按上次运行时间进行降序统计展示。</w:t>
            </w:r>
          </w:p>
        </w:tc>
      </w:tr>
      <w:tr w14:paraId="0968DBF8">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347C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088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76B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数据建模中心建设-模型资源管理-僵冷数据分析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A4F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根据系统中已有数据资源的最近一次更新时间，统计展示长时间未正常更新的僵冷数据情况，并按最后更新时间进行降序统计展示。</w:t>
            </w:r>
          </w:p>
        </w:tc>
      </w:tr>
      <w:tr w14:paraId="5612D98A">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CFA8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B8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1711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数据建模中心建设-模型资源管理-模型结果导出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88B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导出任务全流程管理与灵活配置：可按任务名称、数据源、导出状态等参数检索查询；提供新建、编辑、暂停、删除等操作功能；支持配置导出策略（仅导出校验通过数据或停止导出），查看失败任务日志以定位问题；支持手动更新导出任务满足实时性需求；同时提供导出数据源的检索、新建及校验管理功能，实现数据导出的高效管控与场景适配。</w:t>
            </w:r>
          </w:p>
        </w:tc>
      </w:tr>
      <w:tr w14:paraId="06D454F5">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639B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647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91F1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数据建模中心建设-模型资源管理-模型分类目录管理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294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专题目录与数据的管理及检索：可通过创建文件夹对专题目录分类，支持关键字检索；能使用数据表名称关键字检索数据结果；提供数据新增、移动、移除等管理操作，以及专题目录置顶、重命名、删除等管理功能，实现高效的数据与目录管理。</w:t>
            </w:r>
          </w:p>
        </w:tc>
      </w:tr>
      <w:tr w14:paraId="5434EAA9">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2F68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72D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10A9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数据建模中心建设-模型超市概览-模型资源统计</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61A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主要包括数据资源统计、模型资源统计、数据增长统计、模型运行情况等。</w:t>
            </w:r>
          </w:p>
        </w:tc>
      </w:tr>
      <w:tr w14:paraId="56402337">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075D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7E1F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6233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数据建模中心建设-模型超市概览-建模流程</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389E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根据数据建模各环节需求，构建建模流程指引。从数据申请、算子展示、数据上传、模型创建、任务调度和模型应用等场景进行流程设置。</w:t>
            </w:r>
          </w:p>
        </w:tc>
      </w:tr>
      <w:tr w14:paraId="1FA2854B">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6CA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C04E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3062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数据建模中心建设-模型超市概览-模型应用展示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FFA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模型上架模型超市后，直观分析已加上架模型应用情况，包括已上线模型数量、今日新增模型数量、模型历史访问量、模型今日访问量等模型上线的关键指标。</w:t>
            </w:r>
          </w:p>
        </w:tc>
      </w:tr>
      <w:tr w14:paraId="7685C0C3">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A74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C3A9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C6D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数据建模中心建设-模型超市概览-模型搜索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A6C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主要包含模型的数量及应用概览、模型的分类管理、模型的检索服务。</w:t>
            </w:r>
          </w:p>
        </w:tc>
      </w:tr>
      <w:tr w14:paraId="252D3931">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9648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652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126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数据建模中心建设-模型超市概览-经典模型</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562C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主要包括经典模型、最新模型、最热模型</w:t>
            </w:r>
          </w:p>
        </w:tc>
      </w:tr>
      <w:tr w14:paraId="1ED68092">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5A8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596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11C0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数据建模中心建设-模型档案管理-模型介绍</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C32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模型介绍描述本模型的用途、使用范围等内容，同时支持通过截图和上传视频的方式将模型的处理逻辑、数据建模过程和主要分析内容进行展现</w:t>
            </w:r>
          </w:p>
        </w:tc>
      </w:tr>
      <w:tr w14:paraId="59461731">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000B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D90F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88A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数据建模中心建设-模型档案管理-模型关联表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2FF9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模型关联表显示与本模型相关的所有数据表信息</w:t>
            </w:r>
          </w:p>
        </w:tc>
      </w:tr>
      <w:tr w14:paraId="05645F16">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A4B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F0F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319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数据建模中心建设-模型档案管理-模型关注用户</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B25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用户查看模型详细信息时，通过手动关注的方式，关注跟自己业务相关的模型。</w:t>
            </w:r>
          </w:p>
        </w:tc>
      </w:tr>
      <w:tr w14:paraId="63DDA46C">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DCB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724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F46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数据建模中心建设-模型档案管理-模型复用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DAAE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针对复用审批通过的用户，可进行模型复用，将该模型的数据结构自动导入至复用申请者个人建模账号，即可创建该数据模型结构（数据结构的复用，数据不复用），并支持对数据模型结构名称的重命名。</w:t>
            </w:r>
          </w:p>
        </w:tc>
      </w:tr>
      <w:tr w14:paraId="62EE7DA7">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3D5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5C8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3FB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数据建模中心建设-模型超市需求管理-需求提交评估</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37C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如果现有模型无法满足需求，可由需求方提交模型需求申请。需求提交之后，会依据实现设置好的流转路径自动进入相应人员进行评估，查看所提交的需求，会根据模型的实用度、可行性、是否重复等维度来考虑模型是否需要制作，进行通过或者退回操作。</w:t>
            </w:r>
          </w:p>
        </w:tc>
      </w:tr>
      <w:tr w14:paraId="11137B95">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A6B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761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46EC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数据建模中心建设-模型超市需求管理-模型上线流程</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203F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包括模型生产、模型发布、上线测试、上线发布、在线运行、模型下架</w:t>
            </w:r>
          </w:p>
        </w:tc>
      </w:tr>
      <w:tr w14:paraId="64DD540A">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383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DB2F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4DE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数据建模中心建设-模型超市需求管理-个人空间</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841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支持个人发布模型、申请、关注、待办等管理功能。</w:t>
            </w:r>
          </w:p>
        </w:tc>
      </w:tr>
      <w:tr w14:paraId="4E53F9A7">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74F0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C1F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C49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数据建模中心建设-数据分析仪表盘-企业分布与经营范围分析仪表盘</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A89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仪表盘用于可视化展示交通运输企业在区域和行业内的分布情况及经营范围，帮助监管部门和企业管理者快速掌握企业布局与业务类型结构。通过地图、柱状图和饼图等多种可视化方式，展示企业的数量分布，同时分析企业从事的运输类型（如普通货运、危险品运输等）及主营业务规模。</w:t>
            </w:r>
          </w:p>
        </w:tc>
      </w:tr>
      <w:tr w14:paraId="1C9B27E0">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DB4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4D48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74D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数据建模中心建设-数据分析仪表盘-车辆运行监控仪表盘</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075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时展示车辆运行状态，包括在途车辆数量、停运车辆、维修车辆、车辆类型分布、车辆状态趋势等。可按企业、车型进行过滤，帮助企业和监管部门监控车辆运营效率和安全状况，及时发现异常车辆或高风险运行情况。</w:t>
            </w:r>
          </w:p>
        </w:tc>
      </w:tr>
      <w:tr w14:paraId="6529D00B">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B9D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7AD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B51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数据建模中心建设-数据分析仪表盘-从业人员管理与信用仪表盘</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732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可视化展示驾驶员及其他从业人员的分布、岗位类型、资质证书有效性和信用等级。通过分析人员分布和人员类型，帮助企业和监管部门进行合规检查及安全管理。</w:t>
            </w:r>
          </w:p>
        </w:tc>
      </w:tr>
      <w:tr w14:paraId="37EE8EE6">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340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1FC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1AA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数据建模中心建设-数据分析仪表盘-违规与风险预警仪表盘</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DD7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集中展示运输违规行为和潜在风险，包括超速、疲劳驾驶、事故记录等。支持按企业、车辆维度查看，结合历史趋势和预警规则，辅助监管部门或企业做出应对决策。</w:t>
            </w:r>
          </w:p>
        </w:tc>
      </w:tr>
      <w:tr w14:paraId="5B2584FE">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743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0BC5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B13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数据建模中心建设-数据分析仪表盘-突发事件仪表盘</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D76D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仪表盘用于可视化展示交通运输行业内各类突发事件，包括交通事故、危险品泄漏、车辆故障、线路中断等紧急情况。通过集中展示事件类型、发生地点、涉及企业及车辆、事件等级和处理状态，帮助监管部门和企业快速掌握事件动态</w:t>
            </w:r>
          </w:p>
        </w:tc>
      </w:tr>
      <w:tr w14:paraId="72CA8C72">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A51A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F1DE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BBB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数据建模中心建设-数据分析仪表盘-热线投诉分析仪表盘</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D97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该仪表盘用于可视化展示交通行业12345工单热线投诉情况分析，包括类别、事项、涉及单位等</w:t>
            </w:r>
          </w:p>
        </w:tc>
      </w:tr>
      <w:tr w14:paraId="4E48DE50">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05E1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D43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6BE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数据建模中心建设-数据分析仪表盘-道路设施仪表盘</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7D6F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该仪表盘用于可视化展示不同道路设施类型、数量分布、管理单位情况</w:t>
            </w:r>
          </w:p>
        </w:tc>
      </w:tr>
      <w:tr w14:paraId="0465A648">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80CE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59E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FC7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数据建模中心建设-仪表盘管理-仪表盘分类</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1D2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提供普通仪表盘和高级仪表盘功能。</w:t>
            </w:r>
          </w:p>
        </w:tc>
      </w:tr>
      <w:tr w14:paraId="27E299AE">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A4BF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0634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FB4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数据建模中心建设-仪表盘管理-仪表盘管理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A89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提供仪表盘的创建、编辑、删除等管理功能。</w:t>
            </w:r>
          </w:p>
        </w:tc>
      </w:tr>
      <w:tr w14:paraId="16DEC08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3B1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2485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A44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数据建模中心建设-仪表盘管理-分析图表导出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9D4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支持任意可视化分析图表导出Excel数据，最多导出10万条数据，保存至本地。</w:t>
            </w:r>
          </w:p>
        </w:tc>
      </w:tr>
      <w:tr w14:paraId="00C0E7AC">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47A1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FB2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632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数据建模中心建设-仪表盘管理-仪表盘导出管理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14A8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支持按照当前仪表盘各类图表元素、格式元素和背景元素的排版和当前仪表盘实时计算结果，进行快照获取，导出PNG图片。</w:t>
            </w:r>
          </w:p>
        </w:tc>
      </w:tr>
      <w:tr w14:paraId="69BFF1D7">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C142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6031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E9C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知识图谱中心建设-图谱统一搜索-全文检索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45B6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全文检索支持以单个或多个关键词方式对所有已授权数据资源进行搜索，支持全表、全字段搜索。全文检索以模糊检索、精确匹配、分词等多种方式对数据资源进行检索，实现对模糊线索信息的全局搜索。</w:t>
            </w:r>
          </w:p>
        </w:tc>
      </w:tr>
      <w:tr w14:paraId="115EA283">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16F7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D09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C83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知识图谱中心建设-图谱统一搜索-高级检索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15F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包含标签、精确、批量、同音等高级搜索功能</w:t>
            </w:r>
          </w:p>
        </w:tc>
      </w:tr>
      <w:tr w14:paraId="59F44EA7">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6185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D78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482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知识图谱中心建设-图谱统一搜索-专题搜索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84E6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支持基于图谱场景专题进行专题内的数据搜索</w:t>
            </w:r>
          </w:p>
        </w:tc>
      </w:tr>
      <w:tr w14:paraId="3ADC01DA">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842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52CC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8906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知识图谱中心建设-图谱统一搜索-搜索历史</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B2DA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支持根据之前的搜索历史进行推荐展示，最多展示搜索历史记录可配置，支持对搜索历史进行清除。基于搜索记录可进行快速搜素。</w:t>
            </w:r>
          </w:p>
        </w:tc>
      </w:tr>
      <w:tr w14:paraId="3541FCE1">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E1F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9D5A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166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知识图谱中心建设-全息档案-交通公路档案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5F18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提供包含道路编号、道路名称、起点桩号、止点桩号、道路等级等。</w:t>
            </w:r>
          </w:p>
        </w:tc>
      </w:tr>
      <w:tr w14:paraId="74FE9983">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B20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C871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ACC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知识图谱中心建设-全息档案-交通城市道路档案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B1AE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提供包含道路编号、道路名称、起点桩号、止点桩号、道路等级等。</w:t>
            </w:r>
          </w:p>
        </w:tc>
      </w:tr>
      <w:tr w14:paraId="11E59AC3">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338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57E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5F29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知识图谱中心建设-全息档案-交通城市桥梁档案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47F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提供包含桥梁编号、桥梁名称、桥梁类型、建造年月、全长、全宽、桥梁面积等</w:t>
            </w:r>
          </w:p>
        </w:tc>
      </w:tr>
      <w:tr w14:paraId="4D424B09">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67A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946D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D15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知识图谱中心建设-全息档案-交通公路桥梁档案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D6C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提供包含桥梁编号、桥梁名称、桥梁类型、建造年月、全长、全宽、桥梁面积等</w:t>
            </w:r>
          </w:p>
        </w:tc>
      </w:tr>
      <w:tr w14:paraId="5A0C6CC0">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BE1F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1B1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7EA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知识图谱中心建设-全息档案-交通城市隧道档案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662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提供包括隧道名称、管理单位、设计单位、养护单位、结构类型、道路等级等</w:t>
            </w:r>
          </w:p>
        </w:tc>
      </w:tr>
      <w:tr w14:paraId="61A7FE8C">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449D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08CD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F81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知识图谱中心建设-全息档案-交通公路隧道档案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452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提供包括隧道名称、管理单位、设计单位、养护单位、结构类型、道路等级等</w:t>
            </w:r>
          </w:p>
        </w:tc>
      </w:tr>
      <w:tr w14:paraId="3F47EFD2">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82F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A0B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1EB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知识图谱中心建设-全息档案-交通标志杆标志牌档案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843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提供包括支持类型、方位、杆件类型、设施名称、地址等</w:t>
            </w:r>
          </w:p>
        </w:tc>
      </w:tr>
      <w:tr w14:paraId="39B7735B">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542B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14E8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45D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知识图谱中心建设-全息档案-交通应急基地档案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3117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提供包括基地名称、行政区、基地地址、行业大类、行业小类、基地负责人、联系电话等</w:t>
            </w:r>
          </w:p>
        </w:tc>
      </w:tr>
      <w:tr w14:paraId="56CAA69C">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0B21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45F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D38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知识图谱中心建设-全息档案-交通下立交档案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F825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提供包下立交编号、下立交名称、所属行政区、地址、下立交形式、管理单位、养护单位等</w:t>
            </w:r>
          </w:p>
        </w:tc>
      </w:tr>
      <w:tr w14:paraId="43109CD0">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BE4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F683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279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知识图谱中心建设-全息档案-交通运输服务站档案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DE1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提供包括运输服务站名称、停车场面积、占地面积、停车泊位数等</w:t>
            </w:r>
          </w:p>
        </w:tc>
      </w:tr>
      <w:tr w14:paraId="68B12292">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498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6431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992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知识图谱中心建设-全息档案-运输服务企业档案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2C3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该模块用于建立和管理交通运输服务企业的全生命周期档案，涵盖企业基本信息、资质许可、信用等级、经营范围、从业人员、车辆及运输线路等核心数据。</w:t>
            </w:r>
          </w:p>
        </w:tc>
      </w:tr>
      <w:tr w14:paraId="49AE6BDB">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C4E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E78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740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知识图谱中心建设-全息档案-静态交通行业档案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7CDF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该模块用于建立和管理静态交通企业的全生命周期档案，覆盖停车厂信息、共享单车等核心数据。</w:t>
            </w:r>
          </w:p>
        </w:tc>
      </w:tr>
      <w:tr w14:paraId="16C32E91">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C6D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CD7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081D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知识图谱中心建设-全息档案-交通突发事件档案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FFED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该模块用于建立和管理交通相关的突发事件档案，覆盖析突发事件的发生、处置及影响情况等核心数据。</w:t>
            </w:r>
          </w:p>
        </w:tc>
      </w:tr>
      <w:tr w14:paraId="2BE52188">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18B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F37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7DE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知识图谱中心建设-全息档案-交通人员档案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0633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提供包含行业内涉及的人员人员的基础信息、关系信息、行为信息等。</w:t>
            </w:r>
          </w:p>
        </w:tc>
      </w:tr>
      <w:tr w14:paraId="21E0BBFF">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745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20EC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AE1C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知识图谱中心建设-全息档案-交通货运车辆档案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600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提供包含货运车辆基础信息、背景信息、轨迹信息、关系信息、关注度、档案修改记录等。</w:t>
            </w:r>
          </w:p>
        </w:tc>
      </w:tr>
      <w:tr w14:paraId="36975641">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352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980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9AC9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知识图谱中心建设-全息档案-交通运输服务车辆档案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4F6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提供包含运输服务车辆基础信息、背景信息、轨迹信息、关系信息、关注度、档案修改记录等。</w:t>
            </w:r>
          </w:p>
        </w:tc>
      </w:tr>
      <w:tr w14:paraId="104FB29E">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08FB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9C66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1CF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知识图谱中心建设-全息档案-交通出租车车辆档案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BCD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提供包含出租车车辆基础信息、背景信息、轨迹信息、关系信息、关注度、档案修改记录等。</w:t>
            </w:r>
          </w:p>
        </w:tc>
      </w:tr>
      <w:tr w14:paraId="39A899DA">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0DE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33F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0C5E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知识图谱中心建设-全息档案-交通设施档案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C37A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提供设施（场所、站点等设施类要素）的基本信息、背景信息、专题分析、关联分析等功能；提供并支持事件的标签展现。</w:t>
            </w:r>
          </w:p>
        </w:tc>
      </w:tr>
      <w:tr w14:paraId="0A22F0A1">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C09B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9D1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052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知识图谱中心建设-全息档案-交通综合管理档案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F68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提供管理部门的基本信息、所属从管理人员信息、组织信息等档案功能。</w:t>
            </w:r>
          </w:p>
        </w:tc>
      </w:tr>
      <w:tr w14:paraId="7ABCDCB7">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5490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F6C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5B20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知识图谱中心建设-图谱场景应用-国省干道-G15交通要素图谱应用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7FA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G15交通要素图谱融合了收费站，突发事件，服务区，桥梁，门架，省界道口、病害、热线等多类相关实体、关系数据的图谱融合。支撑道运中心、指挥中心、云路中心等单位使用。</w:t>
            </w:r>
          </w:p>
        </w:tc>
      </w:tr>
      <w:tr w14:paraId="48D4E0B8">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9A9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CB58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C17B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知识图谱中心建设-图谱场景应用-国省干道-G228交通要素图谱应用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FD6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G228交通要素图谱融合了突发事件、桥梁、附属设施、病害、检测数据、工单热线等多类相关实体、关系数据的图谱融合。支撑道运中心、指挥中心、云路中心等单位使用 。</w:t>
            </w:r>
          </w:p>
        </w:tc>
      </w:tr>
      <w:tr w14:paraId="21911F24">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A30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28D8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638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知识图谱中心建设-图谱场景应用-国省干道-S124交通要素图谱应用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B9D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S124交通要素图谱融合了突发事件、桥梁、附属设施、病害、检测数据、工单热线等多类相关实体、关系数据的图谱融合。支撑道运中心、指挥中心、云路中心等单位使用 。提供账号在平台上进行图谱分析检索，支持自定义构建业务图谱。</w:t>
            </w:r>
          </w:p>
        </w:tc>
      </w:tr>
      <w:tr w14:paraId="539F59FC">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C425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E94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D42B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知识图谱中心建设-图谱场景应用-国省干道-G318交通要素图谱应用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2DBE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G318交通要素图谱融合了突发事件、桥梁、附属设施、病害、检测数据、工单热线等多类相关实体、关系数据的图谱融合。支撑道运中心、指挥中心、云路中心等单位使用 。</w:t>
            </w:r>
          </w:p>
        </w:tc>
      </w:tr>
      <w:tr w14:paraId="4D315B19">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7CDD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43F0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7AD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知识图谱中心建设-图谱场景应用-国省干道-S20交通要素图谱应用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7DB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S20交通要素图谱融合了突发事件、桥梁、附属设施、病害、检测数据、工单热线等多类相关实体、关系数据的图谱融合。支撑道运中心、指挥中心、云路中心等单位使用 。</w:t>
            </w:r>
          </w:p>
        </w:tc>
      </w:tr>
      <w:tr w14:paraId="79EDA751">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F5C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B3C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23EA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知识图谱中心建设-图谱场景应用-国省干道-G50交通要素图谱应用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E11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G50交通要素图谱融合了线圈、收费站、突发事件、服务区、桥梁、门架、省界道口等多类相关实体、关系数据的图谱融合。支撑道运中心、指挥中心、云路中心等单位使用 。</w:t>
            </w:r>
          </w:p>
        </w:tc>
      </w:tr>
      <w:tr w14:paraId="69CEA34E">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19C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5F9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7337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知识图谱中心建设-图谱场景应用-国省干道-G60交通要素图谱应用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786D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G60交通要素图谱融合了线圈、收费站、突发事件、服务区、桥梁、门架、省界道口等多类相关实体、关系数据的图谱融合。支撑道运中心、指挥中心、云路中心等单位使用。</w:t>
            </w:r>
          </w:p>
        </w:tc>
      </w:tr>
      <w:tr w14:paraId="69EC7F13">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928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E4F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6DE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知识图谱中心建设-图谱场景应用-公水联动-邮轮港口交通要素图谱应用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92C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邮轮港口场景构建交通要素关系图谱，融合港口码头、出入口道路、停车场、接驳交通枢纽、运输车辆、从业人员及监管部门等多类关键节点和关系数据的图谱融合。支撑港航中心管理、指挥调度、道运中心等单位使用。</w:t>
            </w:r>
          </w:p>
        </w:tc>
      </w:tr>
      <w:tr w14:paraId="07C2B698">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5F0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EBE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6A8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知识图谱中心建设-图谱场景应用-公水联动-水运航道交通要素图谱应用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A86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水运航道场景构建交通要素关系图谱，融合航道航线、船舶通行、港口及码头、作业船舶、交通管理设施、从业人员及监管部门等多类关键节点和关系数据的图谱融合。支撑航道管理、指挥中心、监管执法等单位使用。</w:t>
            </w:r>
          </w:p>
        </w:tc>
      </w:tr>
      <w:tr w14:paraId="46C21872">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0AAC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CE4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1EC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知识图谱中心建设-图谱场景应用-公水联动-水运码头交通要素图谱应用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78E1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面向水运码头场景构建交通要素关系图谱，融合码头泊位、出入口道路、作业船舶、货运车辆、从业人员及监管部门等多类关键节点和关系数据的图谱融合。支撑码头运营管理、指挥调度、监管执法等单位使用。</w:t>
            </w:r>
          </w:p>
        </w:tc>
      </w:tr>
      <w:tr w14:paraId="1A4CBEA7">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C1B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7F7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5AD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知识图谱中心建设-图谱场景应用-市内路桥-内环高架交通要素图谱应用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952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内环高架道路场景构建交通要素关系图谱，融合高架出入口、主干道、交叉节点、车辆类型、公共交通枢纽、交通管理设施及监管部门等多类关键节点和关系数据的图谱融合。支撑道运中心、指挥中心、执法总队等单位使用。</w:t>
            </w:r>
          </w:p>
        </w:tc>
      </w:tr>
      <w:tr w14:paraId="2509D8F7">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339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421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9BCF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知识图谱中心建设-图谱场景应用-市内路桥-延安高架交通要素图谱应用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4E5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面向延安高架道路场景构建交通要素关系图谱，融合高架出入口、主干道、交叉节点、车辆类型、公共交通枢纽、交通管理设施及监管部门等多类关键节点和关系数据的图谱融合。支撑道路道运中心、指挥中心、执法总队等单位使用。</w:t>
            </w:r>
          </w:p>
        </w:tc>
      </w:tr>
      <w:tr w14:paraId="7C2F3FAC">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8D8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FC7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7E84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知识图谱中心建设-图谱场景应用-市内路桥-嘉闵高架交通要素图谱应用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C89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嘉闵高架道路场景构建交通要素关系图谱，融合高架出入口、主干道、交叉节点、车辆类型、公共交通枢纽、交通管理设施及监管部门等多类关键节点和关系数据的图谱融合。支撑道路运营管理、指挥调度、监管执法等单位使用。</w:t>
            </w:r>
          </w:p>
        </w:tc>
      </w:tr>
      <w:tr w14:paraId="37F195FE">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54E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D385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CA94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知识图谱中心建设-图谱场景应用-市内路桥-南北高架交通要素图谱应用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5DF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南北高架道路场景构建交通要素关系图谱，融合高架出入口、主干道、交叉节点、车辆类型、公共交通枢纽、交通管理设施及监管部门等多类关键节点和关系数据的图谱融合。支撑道路运营管理、指挥调度、监管执法等单位使用。</w:t>
            </w:r>
          </w:p>
        </w:tc>
      </w:tr>
      <w:tr w14:paraId="0F1BE478">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8ED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CAC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AA2A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知识图谱中心建设-图谱场景应用-市内路桥-徐浦大桥交通要素图谱应用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CBB5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徐浦大桥交通场景构建交通要素关系图谱，融合桥梁出入口、主干道接入点、车辆类型、公共交通枢纽、交通管理设施及监管部门等多类关键节点和关系数据的图谱融合。支撑桥梁及周边道路运营管理、指挥调度、监管执法等单位使用。</w:t>
            </w:r>
          </w:p>
        </w:tc>
      </w:tr>
      <w:tr w14:paraId="27E0B8E9">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FD9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F9E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870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知识图谱中心建设-图谱场景应用-铁路运输交通要素图谱应用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E5EF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面向铁路运输场景构建交通要素关系图谱，融合铁路线路、车站、列车、运输车辆、从业人员及监管部门等多类关键节点和关系数据的图谱融合。支撑铁路运营管理、指挥调度、监管执法等单位使用 。</w:t>
            </w:r>
          </w:p>
        </w:tc>
      </w:tr>
      <w:tr w14:paraId="391C0B37">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A390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06E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2E1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知识图谱中心建设-图谱场景应用-重要枢纽-浦东机场图谱应用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25D8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浦东机场交通要素图谱融合航班运行、旅客出入流量、及相关周边5公路范围内的出租车、机场巴士与轨交接驳、行李保障等多类数据，构建枢纽图谱。支撑机场运营管理、指挥中心、港航中心及监管部门使用 。</w:t>
            </w:r>
          </w:p>
        </w:tc>
      </w:tr>
      <w:tr w14:paraId="4C6A1571">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E64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136F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638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知识图谱中心建设-图谱场景应用-重要枢纽-虹桥枢纽图谱应用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B74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虹桥枢纽交通要素图谱融合附近5公里范围内的轨道交通、道路、网约车、停车站，以及上海国际机场、上海虹桥火车站、虹桥长途西站等多类数据，构建枢纽图谱。支撑枢纽运营管理、指挥调度、交通组织及监管部门使用 。</w:t>
            </w:r>
          </w:p>
        </w:tc>
      </w:tr>
      <w:tr w14:paraId="17D35D2F">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6D6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D4B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75EF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知识图谱中心建设-图谱场景应用-重要枢纽-上海火车站图谱应用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532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上海火车站交通要素图谱融合客流监测、列车运行、安检与出入口设施、周边公交地铁接驳等多类数据，形成全景图谱。支撑车站运营管理、指挥调度、交通组织及监管部门使用 。</w:t>
            </w:r>
          </w:p>
        </w:tc>
      </w:tr>
      <w:tr w14:paraId="4EB23577">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EA1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022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FF97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知识图谱中心建设-图谱场景应用-重要枢纽-上海南站图谱应用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32B4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上海南站交通要素图谱融合运输服务班次、旅客服务设施、公交与出租车接驳等多类数据，构建站点图谱。支撑车站运营管理、指挥调度、交通组织及监管部门使用 。</w:t>
            </w:r>
          </w:p>
        </w:tc>
      </w:tr>
      <w:tr w14:paraId="2D43FC2F">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C43D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9AD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66E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知识图谱中心建设-图谱场景应用-重要枢纽-上海西站图谱应用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1CA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上海西站交通要素图谱融合区域班列、货运集散、站区道路、停车场及旅客服务等多类数据，形成站点图谱。支撑车站运营管理、指挥调度、交通组织及监管部门使用 。</w:t>
            </w:r>
          </w:p>
        </w:tc>
      </w:tr>
      <w:tr w14:paraId="54BC5433">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D9D6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247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6F6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知识图谱中心建设-图谱场景应用-重要枢纽-松江站图谱应用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E86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上海松江站交通要素图谱融合火车班次、旅客出入流量、出租车、机场巴士与轨交接驳、行李保障等多类数据，构建枢纽图谱。支撑站点运营管理、指挥调度、交通组织及监管部门使用 。</w:t>
            </w:r>
          </w:p>
        </w:tc>
      </w:tr>
      <w:tr w14:paraId="5F4BB400">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4605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CD8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C988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知识图谱中心建设-图谱场景应用-重点区域-重点景点周边交通要素图谱应用（迪士尼）</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6F7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重点景点构建交通要素关系图谱，以迪士尼景区为示范场景，融合景区出入口、周边道路、公共交通站点、运输企业、营运车辆、从业人员及监管部门等多类关键节点和关系数据的图谱融合。通过多维度数据的融合与图谱化展示，支撑景区交通管理、指挥中心、道运中心及监管部门使用 。</w:t>
            </w:r>
          </w:p>
        </w:tc>
      </w:tr>
      <w:tr w14:paraId="42F8D43A">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7D1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597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45D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知识图谱中心建设-图谱场景应用-重点区域-上海赛车场周边交通要素图谱应用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41C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大型赛事场景构建交通要素关系图谱，以上海赛车场为核心5公里周边，融合场馆出入口、周边道路交通、停车场、公共交通枢纽、运输企业、营运车辆、从业人员及监管部门等多类关键节点和关系数据的图谱融合。支撑赛事交通管理、指挥中心调度、道运中心及监管部门使用 。</w:t>
            </w:r>
          </w:p>
        </w:tc>
      </w:tr>
      <w:tr w14:paraId="50CE45F2">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C57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4FC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CC0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知识图谱中心建设-图谱场景应用-重点区域-上海体育场周边交通要素图谱应用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876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面向大型场馆活动场景构建交通要素关系图谱，以上海体育馆为核心，融合场馆出入口、周边道路交通、停车场、地铁及公交枢纽、运输企业、营运车辆、从业人员及监管部门等多类关键节点和关系数据的图谱融合。支撑场馆交通管理、指挥中心调度、运营优化及行业监管部门使用 。</w:t>
            </w:r>
          </w:p>
        </w:tc>
      </w:tr>
      <w:tr w14:paraId="3A13D762">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5AD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186A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DB5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知识图谱中心建设-图谱场景应用-重点区域-国家会展中心周边交通图谱应用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460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面向大型会展场所构建交通要素关系图谱，以国家会展中心为核心，融合展馆出入口、周边道路交通、停车区域、地铁及公交枢纽、运输企业、营运车辆、从业人员及监管部门等多类关键节点和关系数据的图谱融合。支撑会展场周边的交通管理、指挥中心调度、运营优化及行业监管部门使用 。</w:t>
            </w:r>
          </w:p>
        </w:tc>
      </w:tr>
      <w:tr w14:paraId="60B78AE3">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AB24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0EE3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ADA7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知识图谱中心建设-图谱场景应用-行业管理-交通安全作业图谱应用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3EF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该模块面向交通安全作业场景构建作业与安全要素关系图谱，融合道路、高架、桥梁、港口及水运航道等关键作业场所，关联作业车辆、从业人员、作业任务及监管部门等多类节点和关系数据的图谱融合。支撑道运中心、指挥中心、港航中心等单位使用 。</w:t>
            </w:r>
          </w:p>
        </w:tc>
      </w:tr>
      <w:tr w14:paraId="5E1A11C8">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79A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9D6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8593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知识图谱中心建设-图谱场景应用-行业管理-运输服务行业关系图谱应用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342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构建运输服务行业交通要素关系图谱，融合运输服务企业、运输服务车辆、从业人员、类型及监管部门等多类关键节点和关系数据的图谱融合。支撑道运中心的运输服务管理、云路中心、行业监管等单位使用 。</w:t>
            </w:r>
          </w:p>
        </w:tc>
      </w:tr>
      <w:tr w14:paraId="785885B7">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CD2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558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E13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知识图谱中心建设-图谱场景应用-行业管理-企业画像图谱应用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F8C6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企业画像融合了上海交通行业企业基本信息、车辆信息、人员信息、执法信息、热线信息等多类数据的图谱融合。支撑道运中心企业管理、行政审批部门的行业监管、执法部门使用 。</w:t>
            </w:r>
          </w:p>
        </w:tc>
      </w:tr>
      <w:tr w14:paraId="457CAC5B">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2AD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430F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CCA7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知识图谱中心建设-图谱场景应用-行业管理-民生感知图谱应用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6A8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民生感知融合了各个业态民生热线及各类型（表扬、投诉、咨询等）热线工单数据等多类信息的图谱融合。支撑热线部门、道运中心业务单位、行业监管部门使用 。</w:t>
            </w:r>
          </w:p>
        </w:tc>
      </w:tr>
      <w:tr w14:paraId="19870AEE">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D5F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D0D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2B87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知识图谱中心建设-交通图谱推演分析功能-关系查询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8787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系统支持使用关系关键词进行关系查询，并通过关系族谱的方式进行结果展示。通过选择关系关联的实体，可进行进一步关系分析。</w:t>
            </w:r>
          </w:p>
        </w:tc>
      </w:tr>
      <w:tr w14:paraId="073B4B83">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85B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D8E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F1D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知识图谱中心建设-交通图谱推演分析功能-关系推演</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C32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关系推演基于六度空间理论，实现两个或多个目标之间的关系链路查找。关系推演最多推演六度，基于客观场景需要，可设置推演度数，防止造成中间节点（关联实体）数较多，对研判结果造成干扰。</w:t>
            </w:r>
          </w:p>
        </w:tc>
      </w:tr>
      <w:tr w14:paraId="3AECF031">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FCA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771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A41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知识图谱中心建设-交通图谱推演分析功能-关系扩展</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E9B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关系扩展以单个实体为起点，支持人到人、人到物、物到物和人到案等各种实体之间的关系发现，允许根据复杂过滤条件，围绕人、物等实体，不断发现与其相关的其他关系人、关系物以及其它关系实体。关系扩展基于图数据中已存在数据进行扩展。</w:t>
            </w:r>
          </w:p>
        </w:tc>
      </w:tr>
      <w:tr w14:paraId="4535418B">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7FA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B49A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0664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知识图谱中心建设-交通图谱推演分析功能-标签图析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4038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标签的目录树展示与检索：以目录树形式呈现标签信息，支持关键词检索；同时具备标签配置与展示功能，可将目录树标签拖拽至配置区进行与/或关系配置、分组管理等操作，展示实体标签信息（特殊标签实体以颜色标记），并支持切换至标签视图模式查看全量实体标签及关联关系。</w:t>
            </w:r>
          </w:p>
        </w:tc>
      </w:tr>
      <w:tr w14:paraId="462C3DDF">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2BAE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553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76A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知识图谱中心建设-交通图谱推演分析功能-关系布局</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278F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提供多种图谱布局方式及视觉中心功能：默认布局基于展示空间、实体数量等条件通过算法自动优化；网络布局以网状排列实体节点，适配分层网络结构；层次布局聚焦节点层级关系与环路检测；流向布局针对有向关系，展现层级传递及终点流向；环形布局按关联度数排序，直观呈现节点关系频度；视觉中心功能支持一键修正图谱位置，确保所有节点一屏展示且中心点居中。</w:t>
            </w:r>
          </w:p>
        </w:tc>
      </w:tr>
      <w:tr w14:paraId="18E7BD93">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AE1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CF5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C0EC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知识图谱中心建设-交通图谱推演分析功能-时空演变</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FE0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基于可视化图分析产生结果，支持将分析轨迹按照事件发生先后属性进行时空轨迹图上可视化展示。</w:t>
            </w:r>
          </w:p>
        </w:tc>
      </w:tr>
      <w:tr w14:paraId="3B603D8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7C2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7514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8CE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知识图谱中心建设-交通图谱推演分析功能-事件上图</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617D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在关系分析时，基于多个实体间的关系，可通过事件上图功能完成相关事件的上图分析展示。</w:t>
            </w:r>
          </w:p>
        </w:tc>
      </w:tr>
      <w:tr w14:paraId="29CBEAC1">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EB9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678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02A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知识图谱中心建设-交通图谱推演分析功能-事件还原</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2700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系统具备关系事件还原展示功能，在对关系进一步分析过程中，需要将关系还原至具体的行为事件，能够更加清晰的对关系线索进行多层分析，找出关系发生的具体时间和地点，挖掘出目标对象的行为轨迹。</w:t>
            </w:r>
          </w:p>
        </w:tc>
      </w:tr>
      <w:tr w14:paraId="59BFBC50">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1DCC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EE3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5F41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知识图谱中心建设-交通图谱推演分析功能-实体分析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D57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画布内实体多维度分析与管理：可按实体属性进行分类统计及排序，通过属性值聚合相同属性实体（支持按层级远近优先聚合），简化图谱结构；实体详情展示基础属性、标签、图像等信息，支持多选查看（默认显示最后选中项）；节点查找功能以单个实体为起点，按关联层级和实体类型检索相关节点，基于画布现有数据执行。</w:t>
            </w:r>
          </w:p>
        </w:tc>
      </w:tr>
      <w:tr w14:paraId="1EAC3BD4">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199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9B0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30A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知识图谱中心建设-交通图谱推演分析功能-碰撞分析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230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系统支持实体关系路径分析与推理：提供最短路径（展示两实体间最少关联节点的关系路径）和全路径（展示所有关联节点的关系路径）可视化功能；基于六度空间理论实现群体关系推理，默认支持最多 3 度关系推演（防止中间节点过多干扰研判），可查找两个或多个目标间的关系链路。</w:t>
            </w:r>
          </w:p>
        </w:tc>
      </w:tr>
      <w:tr w14:paraId="5E0A0B5A">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58EF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47F0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2186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知识图谱中心建设-交通图谱推演分析功能-关系分析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FB9A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系统支持关系统计与详情展示：可按类别统计关系次数并按从高到低排序，挖掘实体间关系规律；关系详情展示两实体间具体行为事件信息。</w:t>
            </w:r>
          </w:p>
        </w:tc>
      </w:tr>
      <w:tr w14:paraId="56ED4AFC">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97F0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106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BF46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知识图谱中心建设-交通图谱推演分析功能-辅助分析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1AFE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提供图谱分析与手动编辑功能：支持标记、固定、多选、框选等操作；可手动添加实体及关系，将外部采集对象和关系纳入研判场景；图析前可配置实体/关系过滤规则及关系聚合规则，使查询结果仅展示符合条件的实体、关系或聚合后的关系，提升研判灵活性与精准度。</w:t>
            </w:r>
          </w:p>
        </w:tc>
      </w:tr>
      <w:tr w14:paraId="126EC841">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4EE6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390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2AD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知识图谱中心建设-交通图谱推演分析功能-图谱快照</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75E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提供图谱的快照保存、分享、接收、删除等功能。</w:t>
            </w:r>
          </w:p>
        </w:tc>
      </w:tr>
      <w:tr w14:paraId="5D31D210">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947A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60F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7AC0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知识图谱中心建设-交通图谱推演分析功能-时序模式</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ED3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构建运输服务行业交通要素关系图谱，融合运输服务企业、运输服务车辆、从业人员、类型及监管部门等多类关键节点和关系数据的图谱融合。支撑运输服务管理、运营调度、行业监管及相关部门使用 。</w:t>
            </w:r>
          </w:p>
        </w:tc>
      </w:tr>
      <w:tr w14:paraId="0628CF70">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25F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E6C0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ECD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知识图谱中心建设-交通图谱推演分析功能-表格模式</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2FC7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将图析模型展示的实体、关系、事件以表格的方式进行展示，能够查看实体、关系、事件详情，并能够对表格信息进行导出。表格方便将可视化分析结果进行导出进行二次研判分析。</w:t>
            </w:r>
          </w:p>
        </w:tc>
      </w:tr>
      <w:tr w14:paraId="2F4FB53A">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DA0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2E7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CB35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交通时空一体化服务中心建设-时空数据搜索和可视化-时空图层资源搜索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63F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支持对所有图层进行检索，检索出符合搜索条件的图层记录。</w:t>
            </w:r>
          </w:p>
        </w:tc>
      </w:tr>
      <w:tr w14:paraId="55CB7FA0">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AFC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020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2D98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交通时空一体化服务中心建设-时空数据搜索和可视化-时空数据属性搜索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7B7F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支持对空间数据的属性进行检索，检索出符合特定属性条件的时空数据记录。</w:t>
            </w:r>
          </w:p>
        </w:tc>
      </w:tr>
      <w:tr w14:paraId="0F5B4E8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4B1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5931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61B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交通时空一体化服务中心建设-时空数据搜索和可视化-时空数据空间搜索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D4C5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基于地理位置的查询和分析功能，支持相交、包含、跨越等多种空间过滤方式进行时空数据检索。</w:t>
            </w:r>
          </w:p>
        </w:tc>
      </w:tr>
      <w:tr w14:paraId="1D28208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526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5BB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3D0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交通时空一体化服务中心建设-时空数据搜索和可视化-时空数据统计搜索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ABE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统计搜索服务支持用户根据属性和空间进行灵活查询，并将查询的结果，进行聚类统计。</w:t>
            </w:r>
          </w:p>
        </w:tc>
      </w:tr>
      <w:tr w14:paraId="077363A5">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99EA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B6C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2E19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交通时空一体化服务中心建设-时空数据搜索和可视化-时空数据综合搜索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DBF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综合搜索服务的是将交通领域的时空数据和业务数据进行深度融合，实现对交通流量、路况、车辆轨迹等信息的快速检索和动态统计。</w:t>
            </w:r>
          </w:p>
        </w:tc>
      </w:tr>
      <w:tr w14:paraId="6A2282E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382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2D4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5E59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交通时空一体化服务中心建设-时空数据搜索和可视化-搜索结果可视化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53D4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通过时空数据搜索得到时空数据详细信息，利用二维时空引擎通过图形化手段直观呈现出来。</w:t>
            </w:r>
          </w:p>
        </w:tc>
      </w:tr>
      <w:tr w14:paraId="610A77BF">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CDF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DE98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B70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交通时空一体化服务中心建设-时空服务可视化-基础底图服务可视化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3ADD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根据各场景需求配置不同渲染风格的底图，例如亮色系、暗色系、遥感配色底图。</w:t>
            </w:r>
          </w:p>
        </w:tc>
      </w:tr>
      <w:tr w14:paraId="70250718">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264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2DA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241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交通时空一体化服务中心建设-时空服务可视化-行业专题切片服务可视化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1D94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根据各场景需求配置相关的各类交通行业专题切片服务，包括交通发布段、交通设施设备、交通标志标线等切片服务，同时可以切片服务显示顺序。</w:t>
            </w:r>
          </w:p>
        </w:tc>
      </w:tr>
      <w:tr w14:paraId="472D3651">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FDF7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F0B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6DA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交通时空一体化服务中心建设-时空服务可视化-行业空间库查询服务可视化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93B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基于业务场景的需求，通过交通行业基础要素空间库和拓扑要素空间库查询服务获取相关要素对象，通过组合不同要素形成要素专题集并进行可视化。</w:t>
            </w:r>
          </w:p>
        </w:tc>
      </w:tr>
      <w:tr w14:paraId="57D72A13">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159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FF8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66D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交通时空一体化服务中心建设-时空服务可视化-交通动态轨迹服务可视化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10F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基于交通动态轨迹查询服务中GPS轨迹数据，显示交通要素的位置信息和轨迹信息。</w:t>
            </w:r>
          </w:p>
        </w:tc>
      </w:tr>
      <w:tr w14:paraId="69781DA2">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0E33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91A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8CA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交通时空一体化服务中心建设-时空服务可视化-行业三维服务可视化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B35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根据场景需求，配置两场四站或重点工程的三维服务显示。</w:t>
            </w:r>
          </w:p>
        </w:tc>
      </w:tr>
      <w:tr w14:paraId="4B1A8560">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EF3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D7A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6FE3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交通时空一体化服务中心建设-时空服务可视化-时空要素标注可视化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42CC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定义和管理地图上显示的各种标注（如道路名称、道口编号、拥堵提示等），以增强地图的可读性和信息量。</w:t>
            </w:r>
          </w:p>
        </w:tc>
      </w:tr>
      <w:tr w14:paraId="6F37A2F3">
        <w:tblPrEx>
          <w:tblCellMar>
            <w:top w:w="0" w:type="dxa"/>
            <w:left w:w="108" w:type="dxa"/>
            <w:bottom w:w="0" w:type="dxa"/>
            <w:right w:w="108" w:type="dxa"/>
          </w:tblCellMar>
        </w:tblPrEx>
        <w:trPr>
          <w:trHeight w:val="205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B547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7005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6599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交通时空一体化服务中心建设-交通时空一体化资源管理-时空数据资源管理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5D8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时空数据资源管理通过系统预置多套交通行业通用的时空数据信息资源模板，如道路交通、公共交通、静态交通、慢行交通、水路交通等，用户可直接选用或作为构建时空数据信息资源的基础。以能力资源目录的形式，综合显示平台所有的融合分析能力，包括时空分布分析能力、设施服务范围分析能力、道路网路径分析能力、公共交通路径分析能力。以服务资源目录的形式，综合显示平台所有的时空服务资源，包括交通行业专题切片服务、交通行业专题查询服务、时空要素融合动态服务、时空要素轨迹动态服务，以及第三方代理服务。</w:t>
            </w:r>
          </w:p>
        </w:tc>
      </w:tr>
      <w:tr w14:paraId="2F16A7B5">
        <w:tblPrEx>
          <w:tblCellMar>
            <w:top w:w="0" w:type="dxa"/>
            <w:left w:w="108" w:type="dxa"/>
            <w:bottom w:w="0" w:type="dxa"/>
            <w:right w:w="108" w:type="dxa"/>
          </w:tblCellMar>
        </w:tblPrEx>
        <w:trPr>
          <w:trHeight w:val="18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F1A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971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3203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交通时空一体化服务中心建设-交通时空一体化资源管理-时空数据资源全周期管理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6F20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时空数据资源中心的各类时空数据，进行时空数据上线操作，使用者可见，可以进行时空数据的申请。时空数据下线后，无法再被申请。基于能力资源中心发布的各类融合分析功能，进行功能上线操作，使用者可见，可以进行功能的使用申请。功能下线后，功能无法再被申请。基于能力中心发布的各类时空数据服务，进行服务上线操作，使用者可见，可以进行服务的申请。服务下线后，服务无法再被申请。</w:t>
            </w:r>
          </w:p>
        </w:tc>
      </w:tr>
      <w:tr w14:paraId="0B5709E8">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A07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D05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092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交通时空一体化服务中心建设-交通时空一体化资源管理-时空数据资源配置</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5ED0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手动对时空数据详情进行修改，如时空数据名称、目录、类别、坐标系等信息。管理融合分析能力信息，支持手动对融合分析能力详情进行修改，如功能名称、功能目录、功能类别、功能地址以及参数信息等信息。管理服务信息，支持手动对服务详情进行修改，如服务名称、服务目录、服务类别、封面图片，服务地址以及参数信息等信息。</w:t>
            </w:r>
          </w:p>
        </w:tc>
      </w:tr>
      <w:tr w14:paraId="16F41876">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52E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B1D0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ECB8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交通时空一体化服务中心建设-交通时空一体化资源管理-使用总体情况</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B59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统计服务使用情况等，如调用次数、响应时间、前10名的服务等信息。</w:t>
            </w:r>
          </w:p>
        </w:tc>
      </w:tr>
      <w:tr w14:paraId="569F2BF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427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ECE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0874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交通时空一体化服务中心建设-交通时空一体化资源管理-使用今日指标</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212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提供对服务的发布、使用、输出、上下线等各个指标进行全量统计功能。例如：今日调用总次数、服务调用排行等。</w:t>
            </w:r>
          </w:p>
        </w:tc>
      </w:tr>
      <w:tr w14:paraId="542C659B">
        <w:tblPrEx>
          <w:tblCellMar>
            <w:top w:w="0" w:type="dxa"/>
            <w:left w:w="108" w:type="dxa"/>
            <w:bottom w:w="0" w:type="dxa"/>
            <w:right w:w="108" w:type="dxa"/>
          </w:tblCellMar>
        </w:tblPrEx>
        <w:trPr>
          <w:trHeight w:val="18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BE8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EAF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052F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交通时空一体化服务中心建设-交通时空一体化资源申请-时空数据资源申请</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569D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时空数据资源申请是申请者对感兴趣的时空数据、分析能力以及服务提交申请的操作。时空数据申请者通过检索功能找到想要的数据，申请者查看数据详情后，可以提交时空数据申请操作。融合分析能力申请者通过融合分析能力目录找到想要的分析能力，查看融合分析能力详情后，可以提交申请操作。服务申请者可以在服务市场通过检索功能找到想要的服务，申请者查看服务详情后，可以提交服务申请操作。</w:t>
            </w:r>
          </w:p>
        </w:tc>
      </w:tr>
      <w:tr w14:paraId="13C3ED04">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FF8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5F68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1D5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交通时空一体化服务中心建设-交通时空一体化资源申请-交通时空一体化资源申请记录</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292B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交通时空一体化资源申请者可以在申请记录页面找到所有的资源申请信息。</w:t>
            </w:r>
          </w:p>
        </w:tc>
      </w:tr>
      <w:tr w14:paraId="5CFE4D95">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53C7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1B8C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0805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交通时空一体化服务中心建设-交通拓扑分析和时空分析能力应用-时空分布分析应用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110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根据业务需要在时空数据管理中挑选交通时空数据，通过调用时空分布分析能力，包括OD分析、要素聚合和时空热点，输出空间融合分析数据。</w:t>
            </w:r>
          </w:p>
        </w:tc>
      </w:tr>
      <w:tr w14:paraId="4D43138B">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D1E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AC5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142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交通时空一体化服务中心建设-交通拓扑分析和时空分析能力应用-设施服务范围分析应用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AD9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根据业务需要在时空数据管理中挑选设施数据，通过调用设施服务范围分析能力，包括等距服务分析、等时服务分析、分时服务对比，输出设施服务范围。</w:t>
            </w:r>
          </w:p>
        </w:tc>
      </w:tr>
      <w:tr w14:paraId="22816E7B">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22E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29C7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660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交通时空一体化服务中心建设-交通拓扑分析和时空分析能力应用-道路路径分析应用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A4C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业务需要在时空数据管理中挑选道路起终点数据，通过调用道路网路径分析能力，包括地面道路路网路径规划功能、快速道路路网路径规划功能、公路路网路径规划功能和多路网路径规划功能，输出两点之间的道路最短路径。</w:t>
            </w:r>
          </w:p>
        </w:tc>
      </w:tr>
      <w:tr w14:paraId="01AACB14">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790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9A7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F21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交通时空一体化服务中心建设-交通拓扑分析和时空分析能力应用-城市客运路径分析应用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9DBE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根据业务需要在时空数据管理中挑选公共交通起终点数据，通过调用公共交通路径分析能力，包括轨道网络拓扑路径规划功能、公交网络拓扑路径规划功能和多式路径规划功能，输出起终点之间的最短路径。</w:t>
            </w:r>
          </w:p>
        </w:tc>
      </w:tr>
      <w:tr w14:paraId="5B28F3ED">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F9A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0CD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CFFA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交通时空一体化服务中心建设-交通拓扑分析和时空分析能力应用-货运路径分析应用</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688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根据业务需要在时空数据管理中挑选货运起终点数据，通过调用货运路径分析能力，包括多式货运路径规划功能，输出起终点之间的最短路径。</w:t>
            </w:r>
          </w:p>
        </w:tc>
      </w:tr>
      <w:tr w14:paraId="5FD2C0E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61C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DFA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441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交通时空一体化服务中心建设-交通拓扑分析和时空分析能力应用-分析应用成果可视化</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4A19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通过融合分析能力得到时空数据详细信息，利用二维时空引擎通过图形化手段直观呈现出来。</w:t>
            </w:r>
          </w:p>
        </w:tc>
      </w:tr>
      <w:tr w14:paraId="1B8B4D43">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BE9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3C19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AAB5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交通时空一体化服务中心建设-时空数据输出-按属性标签输出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6B9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基于时空要素查询服务，通过属性标签进行图层要素的输出，输出文件格式包括CSV、GeoJSON</w:t>
            </w:r>
          </w:p>
        </w:tc>
      </w:tr>
      <w:tr w14:paraId="4175280F">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46F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BD7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315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交通时空一体化服务中心建设-时空数据输出-按空间范围输出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D17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基于要素查询服务，通过空间范围进行图层要素的输出，输出文件格式包括CSV、GeoJSON</w:t>
            </w:r>
          </w:p>
        </w:tc>
      </w:tr>
      <w:tr w14:paraId="0F7B5F15">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A2B2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2BD6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F87B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交通时空一体化服务中心建设-时空数据管控-图层访问控制</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8507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安全管理图层访问控制是指通过用户管理策略进行申请和审批。</w:t>
            </w:r>
          </w:p>
        </w:tc>
      </w:tr>
      <w:tr w14:paraId="212E332F">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632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439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199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交通时空一体化服务中心建设-时空数据管控-地图服务访问控制</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BFBD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地图服务访问控制是指用户通过合法的用户名和密码获取Token，然后携带Token 访问受保护的地图服务。</w:t>
            </w:r>
          </w:p>
        </w:tc>
      </w:tr>
      <w:tr w14:paraId="14205D5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6C0A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DAE4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94C1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交通时空一体化服务中心建设-时空数据管控-要素访问控制</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95B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安全管理要素访问控制是指通过管理策略进行申请和审批，对不同敏感等级的地理信息要素实施差异化的权限管理。</w:t>
            </w:r>
          </w:p>
        </w:tc>
      </w:tr>
      <w:tr w14:paraId="5FA45F98">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CBE2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C70B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75C1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交通时空一体化服务中心建设-时空数据管控-时空数据权限分配</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CC28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时空数据权限分配是指超级管理员对地图服务申请的审批权限进行设置，明确哪些用户或角色具有审批地图服务申请的权限。</w:t>
            </w:r>
          </w:p>
        </w:tc>
      </w:tr>
      <w:tr w14:paraId="60468A22">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4B9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193</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F20B9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B8342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共享中心建设-数据分级分类-分级分类任务管理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B23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整合任务创建、流程控制、结果处理与调级管理功能</w:t>
            </w:r>
            <w:r>
              <w:rPr>
                <w:rFonts w:hint="eastAsia" w:cs="宋体"/>
                <w:kern w:val="0"/>
                <w:sz w:val="21"/>
                <w:szCs w:val="21"/>
                <w:lang w:bidi="ar"/>
              </w:rPr>
              <w:t>。</w:t>
            </w:r>
            <w:r>
              <w:rPr>
                <w:rFonts w:hint="eastAsia" w:cs="宋体"/>
                <w:color w:val="000000"/>
                <w:kern w:val="0"/>
                <w:sz w:val="21"/>
                <w:szCs w:val="21"/>
                <w:lang w:bidi="ar"/>
              </w:rPr>
              <w:t>提供可视化任务创建向导、自定义任务信息、基于历史数据实现智能任务推荐、人工干预执行节点等能力。用户可灵活配置任务执行流程，实现自动化调度与实时监控。完成分级后，对任务执行情况进行总结。同时支持便捷的调级修订操作，并完整记录操作历史，保障任务全流程高效、规范运行。</w:t>
            </w:r>
          </w:p>
        </w:tc>
      </w:tr>
      <w:tr w14:paraId="6DE623DA">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8577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194</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0E153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AB3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共享中心建设-数据分级分类-分级分类规则管理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C8F5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专注于分级分类规则管理</w:t>
            </w:r>
            <w:r>
              <w:rPr>
                <w:rFonts w:hint="eastAsia" w:cs="宋体"/>
                <w:kern w:val="0"/>
                <w:sz w:val="21"/>
                <w:szCs w:val="21"/>
                <w:lang w:bidi="ar"/>
              </w:rPr>
              <w:t>。</w:t>
            </w:r>
            <w:r>
              <w:rPr>
                <w:rFonts w:hint="eastAsia" w:cs="宋体"/>
                <w:color w:val="000000"/>
                <w:kern w:val="0"/>
                <w:sz w:val="21"/>
                <w:szCs w:val="21"/>
                <w:lang w:bidi="ar"/>
              </w:rPr>
              <w:t>通过可视化规则配置界面，支持自定义数据分类维度、分级标准与关联条件，结合规则可视化建模与示例库，降低配置难度。自动解析数据特征匹配规则，具备冲突检测与智能修正功能，定期评估规则有效性并自动优化，完善的版本管理方便用户回溯与切换，为数据分级分类提供精准、动态的规则依据。</w:t>
            </w:r>
          </w:p>
        </w:tc>
      </w:tr>
      <w:tr w14:paraId="5B808DB2">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C3B8A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195</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161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702C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共享中心建设-数据分级分类-分级分类模板管理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5192E">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围绕模板管理整合相关功能。支持灵活创建、编辑模板，预设规则与配置，模板克隆与自定义参数功能满足个性化需求。全面的模板运维管理涵盖版本更新、共享与权限控制，自动记录版本变更历史，确保模板始终贴合业务变化，提升同类分级分类任务的创建效率与执行一致性。</w:t>
            </w:r>
          </w:p>
        </w:tc>
      </w:tr>
      <w:tr w14:paraId="4D4C7269">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FA0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196</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326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5557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共享中心建设-数据分级分类-分级分类分析展示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65FB5B">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整合数据看板、成果分析与报告生成功能。以可视化图表实时展示分级分类全貌、任务进度与结果分布。自动生成定制化报告，支持多格式导出，为数据治理策略优化提供直观、有力的数据支撑，辅助管理层科学决策。</w:t>
            </w:r>
          </w:p>
        </w:tc>
      </w:tr>
      <w:tr w14:paraId="425060F0">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997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A36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415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共享中心建设-资源注册管理工具-能力注册管理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5DD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提供外部API的上架管理流程，支持图表、分类、API测试、API详情编辑等功能。</w:t>
            </w:r>
          </w:p>
        </w:tc>
      </w:tr>
      <w:tr w14:paraId="0BED5FD6">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B1F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ACDE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B26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共享中心建设-资源注册管理工具-资源分类管理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8C3A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对API、数据资源、图层资源进行分类管理，方便用户查找和使用。分类功能将资源按照类型、用途、来源等维度进行分类，用户可以通过分类导航快速找到所需的资源。</w:t>
            </w:r>
          </w:p>
        </w:tc>
      </w:tr>
      <w:tr w14:paraId="4F84C3FE">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CED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D38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3B4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共享中心建设-资源注册管理工具-资源标签管理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BF1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为资源添加标签，便于用户通过标签快速定位资源。标签功能允许用户为资源添加多个标签，标签可以是关键词、用途、技术栈等，用户可以通过标签搜索快速找到符合条件的资源。</w:t>
            </w:r>
          </w:p>
        </w:tc>
      </w:tr>
      <w:tr w14:paraId="175DCEC7">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BD0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00F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479E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共享中心建设-资源注册管理工具-资源详情管理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86E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提供资源的详细信息，包括描述、使用指南、版本信息等。详情功能将展示资源的详细信息，帮助用户更好地了解资源的内容和使用方法。</w:t>
            </w:r>
          </w:p>
        </w:tc>
      </w:tr>
      <w:tr w14:paraId="03E1CC68">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F060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201</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97F7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781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共享中心建设-共享资源看板-热门能力展示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7C4E7">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展示当前热门的API、数据资源和图层资源。这些资源是根据用户的使用频率、访问量、评分等综合指标筛选出来的，能够反映当前最受欢迎和最常用的能力。热门能力展示区域将定期更新，确保用户能够及时了解最新的热门资源。</w:t>
            </w:r>
          </w:p>
        </w:tc>
      </w:tr>
      <w:tr w14:paraId="69FF8EA5">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7A28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202</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A32A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AE8DC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共享中心建设-共享资源看板-最新能力展示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37508">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展示最近发布的API、数据资源和图层资源。这些资源是共享中心最新引入的能力，可能包含最新的技术、数据或功能。最新能力展示区域将帮助用户及时了解共享中心的最新动态，确保用户能够第一时间获取最新的资源。</w:t>
            </w:r>
          </w:p>
        </w:tc>
      </w:tr>
      <w:tr w14:paraId="3F7139CD">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F30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203</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AD8C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8635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共享中心建设-共享资源看板-推荐能力展示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8310DB">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根据用户的行为和偏好，推荐相关的API、数据资源和图层资源。推荐系统将分析用户的搜索历史、使用记录、收藏夹等内容，为用户个性化推荐符合其需求的能力。推荐能力展示区域将帮助用户发现更多可能感兴趣的能力，提升用户体验。</w:t>
            </w:r>
          </w:p>
        </w:tc>
      </w:tr>
      <w:tr w14:paraId="510D1434">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662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A7E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87CD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共享中心建设-统一能力搜索-API搜索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EFE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提供强大的API搜索功能，支持用户通过模糊关键词快速查找所需的API接口。用户可以输入简单的关键词或描述性短语，系统将自动匹配相关的API，并以列表形式展示搜索结果，帮助用户快速定位目标API。</w:t>
            </w:r>
          </w:p>
        </w:tc>
      </w:tr>
      <w:tr w14:paraId="7E79F432">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1A6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82C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8A0D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共享中心建设-统一能力搜索-数据资源搜索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DB55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对数据资源的搜索，包括数据前置库、数据集等。用户可以通过关键词、数据类型、数据来源等多种条件进行筛选和搜索，快速找到所需的数据资源。搜索结果将展示数据资源的基本信息，如数据名称、数据描述、数据来源等，方便用户进一步了解和使用。</w:t>
            </w:r>
          </w:p>
        </w:tc>
      </w:tr>
      <w:tr w14:paraId="45915DB1">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472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68C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CF0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共享中心建设-统一能力搜索-图层资源搜索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C4A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对图层资源的搜索，帮助用户快速定位所需的图层。用户可以通过图层名称、图层类型、所属项目等条件进行搜索，系统将返回匹配的图层资源列表。每个图层资源的搜索结果将展示图层的基本信息，如图层名称、图层描述、图层所属项目等，方便用户快速了解和使用。</w:t>
            </w:r>
          </w:p>
        </w:tc>
      </w:tr>
      <w:tr w14:paraId="37AC6D7F">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5F9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207</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FF18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EBE6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共享中心建设-申请审批管理-资源申请审批管理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A4194D">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支持用户或系统发起资源使用的申请流程。用户可根据业务需求选择所需能力，填写相关申请信息并提交，系统对申请进行记录、跟踪与状态管理，确保能力申请过程可控、可追溯。</w:t>
            </w:r>
          </w:p>
        </w:tc>
      </w:tr>
      <w:tr w14:paraId="7BC4A1E8">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A46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208</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F8C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E809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共享中心建设-申请审批管理-能力申请审批管理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CD87F">
            <w:pPr>
              <w:widowControl/>
              <w:adjustRightInd w:val="0"/>
              <w:snapToGrid w:val="0"/>
              <w:spacing w:line="240" w:lineRule="auto"/>
              <w:ind w:firstLine="0" w:firstLineChars="0"/>
              <w:jc w:val="left"/>
              <w:textAlignment w:val="center"/>
              <w:rPr>
                <w:rFonts w:hint="eastAsia" w:cs="宋体"/>
                <w:color w:val="FF0000"/>
                <w:sz w:val="21"/>
                <w:szCs w:val="21"/>
              </w:rPr>
            </w:pPr>
            <w:r>
              <w:rPr>
                <w:rFonts w:hint="eastAsia" w:cs="宋体"/>
                <w:color w:val="000000"/>
                <w:kern w:val="0"/>
                <w:sz w:val="21"/>
                <w:szCs w:val="21"/>
                <w:lang w:bidi="ar"/>
              </w:rPr>
              <w:t>对提交的能力申请进行审批操作。审批人员可查看申请详情、审核申请内容，并根据实际情况进行同意或驳回等操作，确保能力使用的合规性与有效性，提升能力资源的管理效率。</w:t>
            </w:r>
          </w:p>
        </w:tc>
      </w:tr>
      <w:tr w14:paraId="070CA67C">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870A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06A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E980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共享中心建设-共享服务管理-服务接口管理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8A18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建立统一的服务接口管理平台，对数据服务接口进行全生命周期管理，包括接口定义、发布、版本控制及下线等操作，实现接口标准化与规范化管理。包括权限、调用次数等</w:t>
            </w:r>
          </w:p>
        </w:tc>
      </w:tr>
      <w:tr w14:paraId="3EC0EBB4">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340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274D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D6C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共享中心建设-共享服务管理-API调用次数监控展示</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526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API使用者关联与查看，API访问管理，申请信息、审批信息、修改记录等展示</w:t>
            </w:r>
          </w:p>
        </w:tc>
      </w:tr>
      <w:tr w14:paraId="7359557A">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84B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6662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1EE4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共享中心建设-共享服务管理-共享需求申请</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BCDB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提供用户对平台的需求上报管理功能，可以对平台提出自己业务需要的能力需求，管理端可以进行审核查看，对合理的需求进行通过后建设。</w:t>
            </w:r>
          </w:p>
        </w:tc>
      </w:tr>
      <w:tr w14:paraId="316FE799">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28C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97C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B373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共享中心建设-共享服务管理-我的共享管理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60E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我的能力管理提供我上架的能力及我申请的能力的内容，以卡片方式展示，可查看能力详情介绍</w:t>
            </w:r>
          </w:p>
        </w:tc>
      </w:tr>
      <w:tr w14:paraId="7B711CF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6B5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D1C2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E118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共享中心建设-共享服务管理-共享服务控制</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7F6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API使用者“启用/停用”控制，API使用者访问控制编辑（申请期限、访问IP控制、流量控制）</w:t>
            </w:r>
          </w:p>
        </w:tc>
      </w:tr>
      <w:tr w14:paraId="584E575D">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5CD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ABCA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CB8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共享中心建设-共享服务管理-共享服务注销</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C05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对已上架的能力进行下架注销，注销需要提供注销原因，注销可选择立即注销或定期注销。</w:t>
            </w:r>
          </w:p>
        </w:tc>
      </w:tr>
      <w:tr w14:paraId="1B6971F9">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0ACC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B2A4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1CFF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共享中心建设-共享服务管理-共享服务授权</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989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生效中状态下支持token查看与重置、评分、申请详情，已过期状态下支持重新申请API</w:t>
            </w:r>
          </w:p>
        </w:tc>
      </w:tr>
      <w:tr w14:paraId="6A9CAC1B">
        <w:tblPrEx>
          <w:tblCellMar>
            <w:top w:w="0" w:type="dxa"/>
            <w:left w:w="108" w:type="dxa"/>
            <w:bottom w:w="0" w:type="dxa"/>
            <w:right w:w="108" w:type="dxa"/>
          </w:tblCellMar>
        </w:tblPrEx>
        <w:trPr>
          <w:trHeight w:val="12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F469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9714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服务层(数据赋能中心建设)</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CDF9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共享中心建设-共享服务管理-API监控</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765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API调用趋势分布，API调用健康分布，用户活跃度，API调用活跃度，用户活跃量，API错误分布，API响应时间最慢（ms），API调用活跃度二级列表，API调用活跃度二级列表-API详情，用户活跃量二级列表，用户活跃量二级列表-用户调用API清单</w:t>
            </w:r>
            <w:r>
              <w:rPr>
                <w:rFonts w:hint="eastAsia" w:cs="宋体"/>
                <w:color w:val="000000"/>
                <w:kern w:val="0"/>
                <w:sz w:val="21"/>
                <w:szCs w:val="21"/>
                <w:lang w:bidi="ar"/>
              </w:rPr>
              <w:br w:type="textWrapping"/>
            </w:r>
            <w:r>
              <w:rPr>
                <w:rFonts w:hint="eastAsia" w:cs="宋体"/>
                <w:color w:val="000000"/>
                <w:kern w:val="0"/>
                <w:sz w:val="21"/>
                <w:szCs w:val="21"/>
                <w:lang w:bidi="ar"/>
              </w:rPr>
              <w:t>API错误分布二级列表，API响应时间最慢（ms）二级列表</w:t>
            </w:r>
          </w:p>
        </w:tc>
      </w:tr>
      <w:tr w14:paraId="6B2EA315">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2DF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DC6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585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拥堵信息查询智能体-拥堵情况数据检索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8D4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支持用户通过数据+标签的组合条件，查询实时与历史交通数据。系统自动关联数据采集设备的元数据，明确统计口径（15分钟平均/整点瞬时值）。</w:t>
            </w:r>
          </w:p>
        </w:tc>
      </w:tr>
      <w:tr w14:paraId="34888189">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BBF9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D488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071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拥堵成因洞察智能体-多源数据融合</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4A5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整合交通流、交通事故、气象预警、公共事件等数据，为拥堵成因的发现，建立时空对齐机制。</w:t>
            </w:r>
          </w:p>
        </w:tc>
      </w:tr>
      <w:tr w14:paraId="439CF517">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B4D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538D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716E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拥堵成因洞察智能体-成因诊断模型</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6DDD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常发性拥堵：通过历史数据挖掘识别周期性拥堵路段</w:t>
            </w:r>
            <w:r>
              <w:rPr>
                <w:rFonts w:hint="eastAsia" w:cs="宋体"/>
                <w:color w:val="000000"/>
                <w:kern w:val="0"/>
                <w:sz w:val="21"/>
                <w:szCs w:val="21"/>
                <w:lang w:bidi="ar"/>
              </w:rPr>
              <w:br w:type="textWrapping"/>
            </w:r>
            <w:r>
              <w:rPr>
                <w:rFonts w:hint="eastAsia" w:cs="宋体"/>
                <w:color w:val="000000"/>
                <w:kern w:val="0"/>
                <w:sz w:val="21"/>
                <w:szCs w:val="21"/>
                <w:lang w:bidi="ar"/>
              </w:rPr>
              <w:t>偶发性拥堵：基于拥堵监测数据，结合历史常发清单，判断偶发性拥堵现象，计算事件影响范围。</w:t>
            </w:r>
          </w:p>
        </w:tc>
      </w:tr>
      <w:tr w14:paraId="6F035DA0">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E96E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A41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31E1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治堵方案辅助智能体-方案框架自动生成</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F80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用户输入治理目标后，系统通过以下流程生成方案框架：调用政策知识图谱，自动提取相关法规条款生成包含背景分析、治理目标、具体措施、预期效果的结构化框架，支持用户自定义章节调整</w:t>
            </w:r>
          </w:p>
        </w:tc>
      </w:tr>
      <w:tr w14:paraId="1600EBCA">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714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EE3C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8B99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治堵方案辅助智能体-智能合规审查</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472A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基于交通行业规则引擎，对方案进行全方位审查</w:t>
            </w:r>
          </w:p>
        </w:tc>
      </w:tr>
      <w:tr w14:paraId="2FB602F9">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C1A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976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A1BD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大客流感知智能体-客流数据实时查询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5F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支持多维度客流数据检索：</w:t>
            </w:r>
            <w:r>
              <w:rPr>
                <w:rFonts w:hint="eastAsia" w:cs="宋体"/>
                <w:color w:val="000000"/>
                <w:kern w:val="0"/>
                <w:sz w:val="21"/>
                <w:szCs w:val="21"/>
                <w:lang w:bidi="ar"/>
              </w:rPr>
              <w:br w:type="textWrapping"/>
            </w:r>
            <w:r>
              <w:rPr>
                <w:rFonts w:hint="eastAsia" w:cs="宋体"/>
                <w:color w:val="000000"/>
                <w:kern w:val="0"/>
                <w:sz w:val="21"/>
                <w:szCs w:val="21"/>
                <w:lang w:bidi="ar"/>
              </w:rPr>
              <w:t>空间维度：按区域、设施查询实时客流</w:t>
            </w:r>
            <w:r>
              <w:rPr>
                <w:rFonts w:hint="eastAsia" w:cs="宋体"/>
                <w:color w:val="000000"/>
                <w:kern w:val="0"/>
                <w:sz w:val="21"/>
                <w:szCs w:val="21"/>
                <w:lang w:bidi="ar"/>
              </w:rPr>
              <w:br w:type="textWrapping"/>
            </w:r>
            <w:r>
              <w:rPr>
                <w:rFonts w:hint="eastAsia" w:cs="宋体"/>
                <w:color w:val="000000"/>
                <w:kern w:val="0"/>
                <w:sz w:val="21"/>
                <w:szCs w:val="21"/>
                <w:lang w:bidi="ar"/>
              </w:rPr>
              <w:t>时间维度：提供今日/昨日/历史同期客流对比，支持分钟级数据粒度</w:t>
            </w:r>
            <w:r>
              <w:rPr>
                <w:rFonts w:hint="eastAsia" w:cs="宋体"/>
                <w:color w:val="000000"/>
                <w:kern w:val="0"/>
                <w:sz w:val="21"/>
                <w:szCs w:val="21"/>
                <w:lang w:bidi="ar"/>
              </w:rPr>
              <w:br w:type="textWrapping"/>
            </w:r>
            <w:r>
              <w:rPr>
                <w:rFonts w:hint="eastAsia" w:cs="宋体"/>
                <w:color w:val="000000"/>
                <w:kern w:val="0"/>
                <w:sz w:val="21"/>
                <w:szCs w:val="21"/>
                <w:lang w:bidi="ar"/>
              </w:rPr>
              <w:t>指标类型：包括在站人数、进站量、出站量、换乘量等核心指标</w:t>
            </w:r>
          </w:p>
        </w:tc>
      </w:tr>
      <w:tr w14:paraId="62F1B90C">
        <w:tblPrEx>
          <w:tblCellMar>
            <w:top w:w="0" w:type="dxa"/>
            <w:left w:w="108" w:type="dxa"/>
            <w:bottom w:w="0" w:type="dxa"/>
            <w:right w:w="108" w:type="dxa"/>
          </w:tblCellMar>
        </w:tblPrEx>
        <w:trPr>
          <w:trHeight w:val="15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FAAB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4CFA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76E1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大客流预警智能体-动态预警阈值规则</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2EB0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提供动态预警界面：</w:t>
            </w:r>
            <w:r>
              <w:rPr>
                <w:rFonts w:hint="eastAsia" w:cs="宋体"/>
                <w:color w:val="000000"/>
                <w:kern w:val="0"/>
                <w:sz w:val="21"/>
                <w:szCs w:val="21"/>
                <w:lang w:bidi="ar"/>
              </w:rPr>
              <w:br w:type="textWrapping"/>
            </w:r>
            <w:r>
              <w:rPr>
                <w:rFonts w:hint="eastAsia" w:cs="宋体"/>
                <w:color w:val="000000"/>
                <w:kern w:val="0"/>
                <w:sz w:val="21"/>
                <w:szCs w:val="21"/>
                <w:lang w:bidi="ar"/>
              </w:rPr>
              <w:t>关联分析：展示不同业态间的客流转化关系（如地铁出站客流→公交换乘率）</w:t>
            </w:r>
            <w:r>
              <w:rPr>
                <w:rFonts w:hint="eastAsia" w:cs="宋体"/>
                <w:color w:val="000000"/>
                <w:kern w:val="0"/>
                <w:sz w:val="21"/>
                <w:szCs w:val="21"/>
                <w:lang w:bidi="ar"/>
              </w:rPr>
              <w:br w:type="textWrapping"/>
            </w:r>
            <w:r>
              <w:rPr>
                <w:rFonts w:hint="eastAsia" w:cs="宋体"/>
                <w:color w:val="000000"/>
                <w:kern w:val="0"/>
                <w:sz w:val="21"/>
                <w:szCs w:val="21"/>
                <w:lang w:bidi="ar"/>
              </w:rPr>
              <w:t>预测趋势：基于当前数据预测未来1小时各区域客流变化曲线</w:t>
            </w:r>
            <w:r>
              <w:rPr>
                <w:rFonts w:hint="eastAsia" w:cs="宋体"/>
                <w:color w:val="000000"/>
                <w:kern w:val="0"/>
                <w:sz w:val="21"/>
                <w:szCs w:val="21"/>
                <w:lang w:bidi="ar"/>
              </w:rPr>
              <w:br w:type="textWrapping"/>
            </w:r>
            <w:r>
              <w:rPr>
                <w:rFonts w:hint="eastAsia" w:cs="宋体"/>
                <w:color w:val="000000"/>
                <w:kern w:val="0"/>
                <w:sz w:val="21"/>
                <w:szCs w:val="21"/>
                <w:lang w:bidi="ar"/>
              </w:rPr>
              <w:t>实时预警：各业态关键指标仪表盘，根据阈值进行判断，对于异常指标进行预警提示</w:t>
            </w:r>
          </w:p>
        </w:tc>
      </w:tr>
      <w:tr w14:paraId="066245E5">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C425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D122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D0C7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大客流评估智能体-疏散能力评价</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5F2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基于设施参数与客流数据，评估疏散资源匹配度：通道容量：计算各疏散通道的理论通行能力与实际利用率设施负载：分析客流排队情况分析，例如：排队长度与等待时间的分析</w:t>
            </w:r>
          </w:p>
        </w:tc>
      </w:tr>
      <w:tr w14:paraId="680FC264">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526A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273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E80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监管对象风险识别智能体-风险信息接入</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C2E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支持多源风险数据接口集成：人员维度：交通行业内的违法记录信息，执法处罚信息等。车辆维度：车辆营运的资质，以及车辆违法记录等。企业维度：安全违规记录、投诉举报数据、信用等级评价</w:t>
            </w:r>
          </w:p>
        </w:tc>
      </w:tr>
      <w:tr w14:paraId="58DD8D48">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B63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2A0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C45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监管对象风险识别智能体-智能风险识别</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7BBE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规则引擎与机器学习模型识别风险：规则匹配：如"客运车辆连续3次违法"触发风险标签.行为异常：识别驾驶员连续疲劳驾驶、车辆夜间异常行驶等行为.关联分析：通过知识图谱发现"高危企业→违规车辆→重点人员"的风险传导链</w:t>
            </w:r>
          </w:p>
        </w:tc>
      </w:tr>
      <w:tr w14:paraId="34712FB9">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520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D0B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3646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监管对象风险预警智能体-风险等级评估</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25A3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建立风险量化评分模型,根据固有风险，动态合规，安全管理能力和信用和投诉等进行评估。将评估结果分为四级：重大风险（红）、较大风险（橙）、一般风险（黄）、较小风险（蓝）</w:t>
            </w:r>
          </w:p>
        </w:tc>
      </w:tr>
      <w:tr w14:paraId="1038B80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B99A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DDD0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610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监管对象风险分拣智能体-系统内信息分拣</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AE6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对于监管对象发现的风险内容，根据各部门的情况进行，智能的分拣和分部门的信息推送。</w:t>
            </w:r>
          </w:p>
        </w:tc>
      </w:tr>
      <w:tr w14:paraId="5CCE5F8D">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24B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B69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760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监管对象风险分拣智能体-处置跟踪管理</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1D39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建立风险处置闭环：任务派单：自动将风险处置任务分配给责任单位进度跟踪：实时更新处置状态（未处理/处理中/已完成）结果反馈：要求处置单位上传整改凭证，系统自动核验整改效果</w:t>
            </w:r>
          </w:p>
        </w:tc>
      </w:tr>
      <w:tr w14:paraId="56C91DF6">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A73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087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4F14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重大枢纽数据洞察智能体-枢纽运营监测</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8ED5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整合枢纽各类运营数据，交通接驳：高铁/航班到发信息、换乘公交实载率</w:t>
            </w:r>
            <w:r>
              <w:rPr>
                <w:rFonts w:hint="eastAsia" w:cs="宋体"/>
                <w:color w:val="000000"/>
                <w:kern w:val="0"/>
                <w:sz w:val="21"/>
                <w:szCs w:val="21"/>
                <w:lang w:bidi="ar"/>
              </w:rPr>
              <w:br w:type="textWrapping"/>
            </w:r>
            <w:r>
              <w:rPr>
                <w:rFonts w:hint="eastAsia" w:cs="宋体"/>
                <w:color w:val="000000"/>
                <w:kern w:val="0"/>
                <w:sz w:val="21"/>
                <w:szCs w:val="21"/>
                <w:lang w:bidi="ar"/>
              </w:rPr>
              <w:t>各业态数据：网约车、出租车和轨道交通的需求量和供给能力</w:t>
            </w:r>
          </w:p>
        </w:tc>
      </w:tr>
      <w:tr w14:paraId="480E6052">
        <w:tblPrEx>
          <w:tblCellMar>
            <w:top w:w="0" w:type="dxa"/>
            <w:left w:w="108" w:type="dxa"/>
            <w:bottom w:w="0" w:type="dxa"/>
            <w:right w:w="108" w:type="dxa"/>
          </w:tblCellMar>
        </w:tblPrEx>
        <w:trPr>
          <w:trHeight w:val="103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F051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7BB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54D4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重大枢纽数据洞察智能体-关联分析报告</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9980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自动生成多维度分析报告：客流特征：绘制"来源地-目的地"OD矩阵，识别主要客流走廊</w:t>
            </w:r>
            <w:r>
              <w:rPr>
                <w:rFonts w:hint="eastAsia" w:cs="宋体"/>
                <w:color w:val="000000"/>
                <w:kern w:val="0"/>
                <w:sz w:val="21"/>
                <w:szCs w:val="21"/>
                <w:lang w:bidi="ar"/>
              </w:rPr>
              <w:br w:type="textWrapping"/>
            </w:r>
            <w:r>
              <w:rPr>
                <w:rFonts w:hint="eastAsia" w:cs="宋体"/>
                <w:color w:val="000000"/>
                <w:kern w:val="0"/>
                <w:sz w:val="21"/>
                <w:szCs w:val="21"/>
                <w:lang w:bidi="ar"/>
              </w:rPr>
              <w:t>瓶颈分析：通过数据挖掘定位影响通行效率的关键节点</w:t>
            </w:r>
            <w:r>
              <w:rPr>
                <w:rFonts w:hint="eastAsia" w:cs="宋体"/>
                <w:color w:val="000000"/>
                <w:kern w:val="0"/>
                <w:sz w:val="21"/>
                <w:szCs w:val="21"/>
                <w:lang w:bidi="ar"/>
              </w:rPr>
              <w:br w:type="textWrapping"/>
            </w:r>
            <w:r>
              <w:rPr>
                <w:rFonts w:hint="eastAsia" w:cs="宋体"/>
                <w:color w:val="000000"/>
                <w:kern w:val="0"/>
                <w:sz w:val="21"/>
                <w:szCs w:val="21"/>
                <w:lang w:bidi="ar"/>
              </w:rPr>
              <w:t>预测模型：基于历史数据预测未来3天的客流高峰时段</w:t>
            </w:r>
          </w:p>
        </w:tc>
      </w:tr>
      <w:tr w14:paraId="447B4922">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044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E67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723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公水联合数据洞察智能体-航道与路网衔接查询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01D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多模式查询：支持查询航道等级、通航能力、港口吞吐量等水路数据，以及衔接公路的技术等级、通行能力</w:t>
            </w:r>
          </w:p>
        </w:tc>
      </w:tr>
      <w:tr w14:paraId="271D3CD2">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6AC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6EDE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208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两网融合数据洞察智能体-轨道交通和公共交通数据检索</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38A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通过对话式交互“查哪条线路/哪个站点/哪段时间”，系统自动接入并秒级返回轨道与公交的班次、客流、满载等数据，同步完成日、周、月分时统计及日均指标计算，一键导出带元数据的结果文件。</w:t>
            </w:r>
          </w:p>
        </w:tc>
      </w:tr>
      <w:tr w14:paraId="30065904">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4BD6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06EE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0D7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交互建模辅助智能体-数据建模智能推荐智能体</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C20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检索功能通过分析交互建模指令中的关键词，快速查找最相关的内容片段，并将其作为上下文提供给语言模型，从而生成更精准、基于实际场景的建模模板推荐。</w:t>
            </w:r>
          </w:p>
        </w:tc>
      </w:tr>
      <w:tr w14:paraId="23E216EF">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016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802F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300D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交互建模辅助智能体-智能生成模型逻辑智能体</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19B1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基于模板推荐方案，结合用户的关键指令，可一键生成模型草稿，提供更加可视化的构建方式。</w:t>
            </w:r>
          </w:p>
        </w:tc>
      </w:tr>
      <w:tr w14:paraId="4E8258B1">
        <w:tblPrEx>
          <w:tblCellMar>
            <w:top w:w="0" w:type="dxa"/>
            <w:left w:w="108" w:type="dxa"/>
            <w:bottom w:w="0" w:type="dxa"/>
            <w:right w:w="108" w:type="dxa"/>
          </w:tblCellMar>
        </w:tblPrEx>
        <w:trPr>
          <w:trHeight w:val="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E959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AD3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B3BA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交互建模辅助智能体-交互式建模规划智能体</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CB10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提供基于用户建模指令的对话交互式建模能力，通过智能对话引导用户逐步明确建模需求，结合用户的具体指令和目标，帮助用户实现准确的模型规划，大幅提升建模效率和质量。</w:t>
            </w:r>
          </w:p>
        </w:tc>
      </w:tr>
      <w:tr w14:paraId="6696D5A7">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07D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FC39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C5A2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交互建模辅助智能体-数据建模算子服务智能体</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C30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通过将大模型能力封装成算子服务，给建模过程支撑大模型的分析、提取、总结等多种能力支持。</w:t>
            </w:r>
          </w:p>
        </w:tc>
      </w:tr>
      <w:tr w14:paraId="20A9705A">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FB2F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92D3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DB49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交互图谱辅助智能体-文本生成图谱智能体</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2AD0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支持用户输入一段自然语言描述，系统基于当前项目的图本体，自动解析文本内容，提取文本中的实体和关系，进行上图展示</w:t>
            </w:r>
          </w:p>
        </w:tc>
      </w:tr>
      <w:tr w14:paraId="65C34915">
        <w:tblPrEx>
          <w:tblCellMar>
            <w:top w:w="0" w:type="dxa"/>
            <w:left w:w="108" w:type="dxa"/>
            <w:bottom w:w="0" w:type="dxa"/>
            <w:right w:w="108" w:type="dxa"/>
          </w:tblCellMar>
        </w:tblPrEx>
        <w:trPr>
          <w:trHeight w:val="3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EC3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3E0D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AD62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交互图谱辅助智能体-图上内容摘要智能体</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7C25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系统自动整合图上实体和关系的相关信息，帮用户生成摘要。</w:t>
            </w:r>
          </w:p>
        </w:tc>
      </w:tr>
      <w:tr w14:paraId="3DF1223A">
        <w:tblPrEx>
          <w:tblCellMar>
            <w:top w:w="0" w:type="dxa"/>
            <w:left w:w="108" w:type="dxa"/>
            <w:bottom w:w="0" w:type="dxa"/>
            <w:right w:w="108" w:type="dxa"/>
          </w:tblCellMar>
        </w:tblPrEx>
        <w:trPr>
          <w:trHeight w:val="52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A581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240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0DA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大模型智能体</w:t>
            </w:r>
          </w:p>
        </w:tc>
        <w:tc>
          <w:tcPr>
            <w:tcW w:w="10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23E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交互图谱辅助智能体-图数据问答智能体</w:t>
            </w:r>
          </w:p>
        </w:tc>
        <w:tc>
          <w:tcPr>
            <w:tcW w:w="28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C2A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支持用户输出自然语言来描述查询的内容及条件，系统将自然语言转化为查询条件后进行查询并上图</w:t>
            </w:r>
          </w:p>
        </w:tc>
      </w:tr>
    </w:tbl>
    <w:p w14:paraId="4A28356A">
      <w:pPr>
        <w:rPr>
          <w:rFonts w:hint="eastAsia"/>
        </w:rPr>
      </w:pPr>
      <w:r>
        <w:rPr>
          <w:rFonts w:hint="eastAsia"/>
        </w:rPr>
        <w:fldChar w:fldCharType="end"/>
      </w:r>
    </w:p>
    <w:p w14:paraId="1A2B2B6A">
      <w:pPr>
        <w:pStyle w:val="4"/>
        <w:numPr>
          <w:ilvl w:val="0"/>
          <w:numId w:val="6"/>
        </w:numPr>
        <w:ind w:firstLine="602"/>
        <w:rPr>
          <w:rFonts w:hint="eastAsia"/>
        </w:rPr>
      </w:pPr>
      <w:r>
        <w:rPr>
          <w:rFonts w:hint="eastAsia"/>
        </w:rPr>
        <w:t>配套能力建设</w:t>
      </w:r>
      <w:r>
        <w:rPr>
          <w:rFonts w:hint="eastAsia"/>
        </w:rPr>
        <w:fldChar w:fldCharType="begin"/>
      </w:r>
      <w:r>
        <w:instrText xml:space="preserve"> LINK Excel.Sheet.12 "H:\\2024\\交委数字化转型\\指挥中心底座及一张网项目\\融合平台二期\\【！！】20251126招标技术需求\\V6元数据管理20260113（修改+总体）.xlsx" "配套能力67!R1C1:R68C4" \h \a </w:instrText>
      </w:r>
      <w:r>
        <w:rPr>
          <w:rFonts w:hint="eastAsia"/>
        </w:rPr>
        <w:fldChar w:fldCharType="separate"/>
      </w:r>
    </w:p>
    <w:tbl>
      <w:tblPr>
        <w:tblStyle w:val="12"/>
        <w:tblW w:w="0" w:type="auto"/>
        <w:tblInd w:w="0" w:type="dxa"/>
        <w:tblLayout w:type="autofit"/>
        <w:tblCellMar>
          <w:top w:w="0" w:type="dxa"/>
          <w:left w:w="108" w:type="dxa"/>
          <w:bottom w:w="0" w:type="dxa"/>
          <w:right w:w="108" w:type="dxa"/>
        </w:tblCellMar>
      </w:tblPr>
      <w:tblGrid>
        <w:gridCol w:w="722"/>
        <w:gridCol w:w="1114"/>
        <w:gridCol w:w="1720"/>
        <w:gridCol w:w="4972"/>
      </w:tblGrid>
      <w:tr w14:paraId="74EDFB38">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57962">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序号</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6EF47">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模块</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369A7">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功能点</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9C434">
            <w:pPr>
              <w:widowControl/>
              <w:adjustRightInd w:val="0"/>
              <w:snapToGrid w:val="0"/>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功能描述</w:t>
            </w:r>
          </w:p>
        </w:tc>
      </w:tr>
      <w:tr w14:paraId="26B401FD">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1B34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0DBA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9D81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基础设施智能监控-主机与服务器监控</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68F8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系统应具备主机监控能力，包括物理机、虚拟机、容器等，采集主机基础信息，容器、进程运行各项指标，应支持采集进程指标，并支持对主机、进程存活情况进行监控。监控系统进程运行状态与健康度。</w:t>
            </w:r>
          </w:p>
        </w:tc>
      </w:tr>
      <w:tr w14:paraId="6297AD9D">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6B4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4E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C461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基础设施智能监控-网络与容器监控</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FDB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系统应支持采集主机网络信息，包括入口流量、出口流量、接收的数据包和发送的数据包等，并提供传输情况的分析看板</w:t>
            </w:r>
          </w:p>
        </w:tc>
      </w:tr>
      <w:tr w14:paraId="5436E89E">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8BF4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9BC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ED43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基础设施智能监控-存储与云服务监控</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5A9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监控存储设备容量、读写性能，跟踪云服务实例状态，保障数据存储安全与云服务稳定。</w:t>
            </w:r>
          </w:p>
        </w:tc>
      </w:tr>
      <w:tr w14:paraId="331FA46C">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B167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759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DFD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应用性能全链路观测-应用性能管理（APM）</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EED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深度追踪应用系统各组件间的调用链路，精准分析接口响应时间、系统吞吐量、资源消耗等性能指标，快速定位性能瓶颈与故障根源。</w:t>
            </w:r>
          </w:p>
        </w:tc>
      </w:tr>
      <w:tr w14:paraId="34FA79BC">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4F0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09F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7AA9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应用性能全链路观测-前端用户体验监控（RUM）</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47B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实时监测前端页面加载速度、资源请求成功率、脚本错误率等数据，收集用户点击、滑动等交互行为信息，为优化前端体验提供数据支撑。</w:t>
            </w:r>
          </w:p>
        </w:tc>
      </w:tr>
      <w:tr w14:paraId="052B94D5">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9C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E61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68CF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日志与监测管理-日志接入</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A2A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支持从服务器、应用程序、网络设备等多源接入日志数据，通过标准化接口实现日志信息的统一采集与传输，保障数据完整性。</w:t>
            </w:r>
          </w:p>
        </w:tc>
      </w:tr>
      <w:tr w14:paraId="0E6C3206">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A69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BBD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7A3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日志与监测管理-日志解析</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0BD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运用正则表达式、语义分析等技术对原始日志进行结构化处理，提取时间、来源、事件类型等关键信息，便于后续高效分析与查询。</w:t>
            </w:r>
          </w:p>
        </w:tc>
      </w:tr>
      <w:tr w14:paraId="16E1C698">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D981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D9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7553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日志与监测管理-日志分析</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984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通过关键词检索、统计聚合、关联分析等方式，挖掘日志中隐藏的系统问题、异常行为与运行趋势，为故障诊断和优化提供依据。</w:t>
            </w:r>
          </w:p>
        </w:tc>
      </w:tr>
      <w:tr w14:paraId="56842719">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EBC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9</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74D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828A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日志与监测管理-日志可视化</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01EA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将日志分析结果转化为图表、报表、热力图等直观形式，以大屏或界面展示系统运行状况，提升信息获取效率。</w:t>
            </w:r>
          </w:p>
        </w:tc>
      </w:tr>
      <w:tr w14:paraId="070724AB">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A01A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783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EB2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日志与监测管理-日志备份</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A6F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按照设定的周期和策略，对日志数据进行定期备份，并进行存储校验与版本管理，确保日志数据可长期保存与随时恢复。</w:t>
            </w:r>
          </w:p>
        </w:tc>
      </w:tr>
      <w:tr w14:paraId="2B0DB291">
        <w:tblPrEx>
          <w:tblCellMar>
            <w:top w:w="0" w:type="dxa"/>
            <w:left w:w="108" w:type="dxa"/>
            <w:bottom w:w="0" w:type="dxa"/>
            <w:right w:w="108" w:type="dxa"/>
          </w:tblCellMar>
        </w:tblPrEx>
        <w:trPr>
          <w:trHeight w:val="31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784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11</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3AA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22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智能告警与自动化响应-智能告警策略</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AE4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基于阈值判断、趋势预测、关联规则等多种方式制定告警触发策略，结合机器学习算法自动优化策略，实现精准异常识别。</w:t>
            </w:r>
          </w:p>
        </w:tc>
      </w:tr>
      <w:tr w14:paraId="4A82D7BB">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8C2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12</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5FEB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5B2E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智能告警与自动化响应-告警配置</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42F6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支持用户自定义告警条件、告警级别、触发频率等参数，可针对不同业务场景和资源类型灵活设置告警规则。</w:t>
            </w:r>
          </w:p>
        </w:tc>
      </w:tr>
      <w:tr w14:paraId="745BEF07">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AB6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13</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DC98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1B86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智能告警与自动化响应-告警模板</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EAC0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预设多种告警模板，涵盖不同告警级别、类型的信息格式与内容，方便快速生成规范告警信息。</w:t>
            </w:r>
          </w:p>
        </w:tc>
      </w:tr>
      <w:tr w14:paraId="4F7F23F5">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C37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3646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254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智能告警与自动化响应-告警通知</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C65D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提供邮件、短信等多渠道通知方式，可根据告警级别和接收人角色定向推送告警信息。</w:t>
            </w:r>
          </w:p>
        </w:tc>
      </w:tr>
      <w:tr w14:paraId="55E886C0">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157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4537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70C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智能告警与自动化响应-SLO</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D8F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设定服务等级目标，量化服务质量指标，实时监控目标达成情况，当出现偏差时自动触发告警并启动响应流程。</w:t>
            </w:r>
          </w:p>
        </w:tc>
      </w:tr>
      <w:tr w14:paraId="7D7358C0">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14C6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16</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4F1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BE04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智能告警与自动化响应-拨测能力</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5E7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主动发起模拟请求，对系统服务的可用性、响应时间、接口功能进行周期性探测，及时发现潜在服务故障。</w:t>
            </w:r>
          </w:p>
        </w:tc>
      </w:tr>
      <w:tr w14:paraId="65A314D8">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8FB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14A1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223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智能告警与自动化响应-异常事件</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9CE5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详细记录异常事件的发生时间、影响范围、关联告警等信息，支持与处理过程的关联追溯，形成完整事件处理链条。</w:t>
            </w:r>
          </w:p>
        </w:tc>
      </w:tr>
      <w:tr w14:paraId="785F7944">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83B6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5A3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D7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智能告警与自动化响应-异常事件频道管理</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9513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管理异常事件通知渠道，灵活控制信息发送范围与接收对象，确保关键信息精准触达相关人员。</w:t>
            </w:r>
          </w:p>
        </w:tc>
      </w:tr>
      <w:tr w14:paraId="4090C450">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F97E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19</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099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593F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智能告警与自动化响应-日程管理</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C757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规划系统巡检、维护、升级等日程安排，结合告警策略自动调整运行计划，减少维护对系统的影响。</w:t>
            </w:r>
          </w:p>
        </w:tc>
      </w:tr>
      <w:tr w14:paraId="5E9AAD8D">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E76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EDBC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D2F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智能告警与自动化响应-通知策略</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D907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制定不同场景下的通知规则，包括通知频率、通知内容精简程度等，避免告警信息过载，提升通知有效性。</w:t>
            </w:r>
          </w:p>
        </w:tc>
      </w:tr>
      <w:tr w14:paraId="3678A156">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62FC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21</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5CA8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2F64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任务调度-数据接入调度</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8F2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针对原始表，人工动态调整接入频率以适配业务时段需求、优先处理紧急接入任务、解决接入异常并触发断点续接，确保数据及时接入且资源不浪费。</w:t>
            </w:r>
          </w:p>
        </w:tc>
      </w:tr>
      <w:tr w14:paraId="7C4DF93E">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D01C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22</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1F3A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190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任务调度-数据加工调度</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2FE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人工梳理 “数据清洗 - 融合 - 标签生成” 的任务依赖关系，错峰调度高耗资源任务，优先执行紧急业务所需任务，避免任务断链与资源冲突。</w:t>
            </w:r>
          </w:p>
        </w:tc>
      </w:tr>
      <w:tr w14:paraId="2CCEA887">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3FD2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23</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7873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C3F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任务调度-数据安全调度</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2AD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监测到敏感数据风险时立即触发应急脱敏调度，按需开通并自动回收临时权限，按数据敏感等级调整调度环境，保障数据处理合规安全。</w:t>
            </w:r>
          </w:p>
        </w:tc>
      </w:tr>
      <w:tr w14:paraId="2F2C5505">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185E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66B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EA0F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任务调度-数据质量调度</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DE5D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数据质量告警时调度修复任务并暂停依赖任务防错误扩散，临时下调季节性波动数据的质量阈值，定期抽样核验数据质量，减少误告警与资源占用。</w:t>
            </w:r>
          </w:p>
        </w:tc>
      </w:tr>
      <w:tr w14:paraId="3F09C05B">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5438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25</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33C2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4CD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任务调度-数据备份与归档调度</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679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关键节点（系统升级、节假日）人工触发全量数据备份与完整性校验，按数据生命周期调整归档周期，主存储故障时调度异地备份恢复，保障数据可追溯与业务连续。</w:t>
            </w:r>
          </w:p>
        </w:tc>
      </w:tr>
      <w:tr w14:paraId="345AC2F7">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4515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26</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258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7C4F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标签管理-标签库规则管理</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B830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制定标签规则标准化编写规范，建立规则版本库（支持回溯与灰度发布）、冲突仲裁机制，搭建场景化规则模板库，实现规则全流程规范化管控。</w:t>
            </w:r>
          </w:p>
        </w:tc>
      </w:tr>
      <w:tr w14:paraId="09A2A326">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2C13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09BE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E1F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标签管理-标签体系配置</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69FD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 “人 / 车 / 企” 等核心实体划分标签大类并定义层级维度，设计标签规则并配置字段关联逻辑，适配各业务系统接口与字段映射，明确标签业务归属。</w:t>
            </w:r>
          </w:p>
        </w:tc>
      </w:tr>
      <w:tr w14:paraId="1E6711D2">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9D98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A59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620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标签管理-标签生成执行</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EF39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自动化按周期生成结构化数据标签，人工补标非结构化数据与特殊标签，搭建监控面板跟踪生成进度与资源占用，避免影响核心业务。</w:t>
            </w:r>
          </w:p>
        </w:tc>
      </w:tr>
      <w:tr w14:paraId="193DF5B9">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1ABF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29</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B4F2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31A8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标签管理-标签异常干预</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E119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修正规则错误导致的标签错标并触发全量重算，协调补充数据补打漏标标签，拆分任务优化性能，保障标签准确完整。</w:t>
            </w:r>
          </w:p>
        </w:tc>
      </w:tr>
      <w:tr w14:paraId="7822BA0D">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862E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576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AD70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标签管理-特殊场景标签管理</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17A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针对应急场景快速设计临时标签规则并紧急推送，专项检查时定制标签并归档规则，跨部门协同时联合设计规则并管控访问权限。</w:t>
            </w:r>
          </w:p>
        </w:tc>
      </w:tr>
      <w:tr w14:paraId="3B62831A">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524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31</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37A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配套能力建设</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5D7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标签管理-动态标签校核</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7389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定期抽样核验标签准确率与系统一致性，结合政策 / 系统变化迭代标签规则，清理冗余 / 停用标签，保障标签长期有效且不占用多余资源。</w:t>
            </w:r>
          </w:p>
        </w:tc>
      </w:tr>
      <w:tr w14:paraId="1010FF36">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647E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32</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496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0F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数据加工安全空间-工作台管理-统一视图管理</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9ECF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根据连接协议类型分别对已分配和已连接的数量进行统计展示</w:t>
            </w:r>
          </w:p>
        </w:tc>
      </w:tr>
      <w:tr w14:paraId="7E01E051">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6B4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33</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4248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DAD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数据加工安全空间-工作台管理-数据资源连接可视化</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7E5F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根据资产所属区域进行分开展示</w:t>
            </w:r>
          </w:p>
        </w:tc>
      </w:tr>
      <w:tr w14:paraId="71B0098D">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B59E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D7C4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8D8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数据加工安全空间-工作台管理-向导式连接配置</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F1D9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支持向导式连接配置，通过应用下载、创建用户、配置连接三步快速对连接进行配置</w:t>
            </w:r>
          </w:p>
        </w:tc>
      </w:tr>
      <w:tr w14:paraId="70175A77">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AF72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35</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79B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1C45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数据加工安全空间-工作台管理-基于浏览器远程管理</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06EB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支持基于浏览器实现远程桌面、远程浏览器、远程数据库、ssh、telnet远程管理</w:t>
            </w:r>
          </w:p>
        </w:tc>
      </w:tr>
      <w:tr w14:paraId="2E4AB7DB">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87D2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36</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D92F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51E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数据加工安全空间-资产管理-自定义资产</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35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可自定义添加管理资产，自定义参数包含远程主机、资产名称、级别、操作系统、所属区域等。</w:t>
            </w:r>
          </w:p>
        </w:tc>
      </w:tr>
      <w:tr w14:paraId="39FF3DDB">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76E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833B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EEA8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数据加工安全空间-资产管理-资产库管理</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FBA1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根据自定义添加资产形成资产库列表，包含资产名称、远程主机、级别、协议、端口、网关主机、网关端口、应用、应用路径、应用参数配置。</w:t>
            </w:r>
          </w:p>
        </w:tc>
      </w:tr>
      <w:tr w14:paraId="3164E5A5">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9254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D905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097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数据加工安全空间-资产管理-动态资源管理</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F6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自动清理失效、超时、不活动的连接，释放相应资源优化性能。支持沙箱应用环境自动重置，自动创建新运行环境。</w:t>
            </w:r>
          </w:p>
        </w:tc>
      </w:tr>
      <w:tr w14:paraId="3369AB76">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B08A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39</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CBB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4E24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数据加工安全空间-数据安全管控-文件下载审批</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6FA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所有应用的文件出安全域需进行审批，审批通过后才可下载，避免数据泄露。</w:t>
            </w:r>
          </w:p>
        </w:tc>
      </w:tr>
      <w:tr w14:paraId="499CC07C">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33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5E9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3C3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数据加工安全空间-数据安全管控-数据资源安全隔离</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6E41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可对运维开发人员数据下载、复制权限进行单向控制，未经授权不允许下载、复制等外发数据</w:t>
            </w:r>
          </w:p>
        </w:tc>
      </w:tr>
      <w:tr w14:paraId="4BD6ABE9">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41E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41</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0A12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5048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数据加工安全空间-数据安全管控-应用访问控制</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CB3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基于应用的访问权限控制，可限制用户使用应用的权限。</w:t>
            </w:r>
          </w:p>
        </w:tc>
      </w:tr>
      <w:tr w14:paraId="43E8E1EA">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486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42</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65D3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7098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数据加工安全空间-数据安全管控-在线数据开发运维</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1009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支持在线数据开发运维，包含但不限于Navicat、dbeaver、vscode、opdscmd、wps等开发工具支持，SSH、RDP、telnet等运维工具支持，数据无需下载至本地即可实现不落地开发运维</w:t>
            </w:r>
          </w:p>
        </w:tc>
      </w:tr>
      <w:tr w14:paraId="69C024F8">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4BA3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43</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6DA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032D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数据加工安全空间-数据安全管控-高危数据库操作管控</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985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支持重点表字段进行脱敏展示，支持单次、单日查询行数限制；</w:t>
            </w:r>
            <w:r>
              <w:rPr>
                <w:rFonts w:hint="eastAsia" w:cs="宋体"/>
                <w:color w:val="000000"/>
                <w:kern w:val="0"/>
                <w:sz w:val="21"/>
                <w:szCs w:val="21"/>
                <w:lang w:bidi="ar"/>
              </w:rPr>
              <w:br w:type="textWrapping"/>
            </w:r>
            <w:r>
              <w:rPr>
                <w:rFonts w:hint="eastAsia" w:cs="宋体"/>
                <w:color w:val="000000"/>
                <w:kern w:val="0"/>
                <w:sz w:val="21"/>
                <w:szCs w:val="21"/>
                <w:lang w:bidi="ar"/>
              </w:rPr>
              <w:t>支持敏感操作行为告警及限制，如创建、删除、查询等行为限制。</w:t>
            </w:r>
          </w:p>
        </w:tc>
      </w:tr>
      <w:tr w14:paraId="1FA779A4">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8054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0BF6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3A62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数据加工安全空间-数据安全管控-最小化用户权限</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532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实现数据所有权和使用权分离，运维开发人员仅可访问已分配权限的远程桌面、数据库等资源，给予最小化的用户权限。</w:t>
            </w:r>
          </w:p>
        </w:tc>
      </w:tr>
      <w:tr w14:paraId="4824F06C">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6D5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45</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FA9C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749C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数据加工安全空间-数据安全管控-安全数据盘</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49FF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数据资源发布在安全域中，安全域中的资源可自由使用统一安全数据盘。</w:t>
            </w:r>
            <w:r>
              <w:rPr>
                <w:rFonts w:hint="eastAsia" w:cs="宋体"/>
                <w:color w:val="000000"/>
                <w:kern w:val="0"/>
                <w:sz w:val="21"/>
                <w:szCs w:val="21"/>
                <w:lang w:bidi="ar"/>
              </w:rPr>
              <w:br w:type="textWrapping"/>
            </w:r>
            <w:r>
              <w:rPr>
                <w:rFonts w:hint="eastAsia" w:cs="宋体"/>
                <w:color w:val="000000"/>
                <w:kern w:val="0"/>
                <w:sz w:val="21"/>
                <w:szCs w:val="21"/>
                <w:lang w:bidi="ar"/>
              </w:rPr>
              <w:t>每个运维开发人员即时创建独立的安全数据盘，安全数据盘大小可配置，数据下载需审批。</w:t>
            </w:r>
          </w:p>
        </w:tc>
      </w:tr>
      <w:tr w14:paraId="6B4E3601">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7E50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46</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4B7F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E286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数据加工安全空间-安全审计-登录审计</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FD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审计字段用户名、登录地址、登录地点、浏览器、操作系统、状态、操作信息、操作日期</w:t>
            </w:r>
          </w:p>
        </w:tc>
      </w:tr>
      <w:tr w14:paraId="35257A45">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BCC0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03D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2439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数据加工安全空间-安全审计-系统审计</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3C01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对系统资源CPU、内存、重启、关机等异常行为进行审计</w:t>
            </w:r>
            <w:r>
              <w:rPr>
                <w:rFonts w:hint="eastAsia" w:cs="宋体"/>
                <w:color w:val="000000"/>
                <w:kern w:val="0"/>
                <w:sz w:val="21"/>
                <w:szCs w:val="21"/>
                <w:lang w:bidi="ar"/>
              </w:rPr>
              <w:br w:type="textWrapping"/>
            </w:r>
            <w:r>
              <w:rPr>
                <w:rFonts w:hint="eastAsia" w:cs="宋体"/>
                <w:color w:val="000000"/>
                <w:kern w:val="0"/>
                <w:sz w:val="21"/>
                <w:szCs w:val="21"/>
                <w:lang w:bidi="ar"/>
              </w:rPr>
              <w:t>审计字段主机、用户、类型、告警、操作日期</w:t>
            </w:r>
          </w:p>
        </w:tc>
      </w:tr>
      <w:tr w14:paraId="0EE886AA">
        <w:tblPrEx>
          <w:tblCellMar>
            <w:top w:w="0" w:type="dxa"/>
            <w:left w:w="108" w:type="dxa"/>
            <w:bottom w:w="0" w:type="dxa"/>
            <w:right w:w="108" w:type="dxa"/>
          </w:tblCellMar>
        </w:tblPrEx>
        <w:trPr>
          <w:trHeight w:val="78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07A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72D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311C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数据加工安全空间-安全审计-文件审计</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2840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支持对文件上传、下载、操作、审批等功能进行全审计。</w:t>
            </w:r>
            <w:r>
              <w:rPr>
                <w:rFonts w:hint="eastAsia" w:cs="宋体"/>
                <w:color w:val="000000"/>
                <w:kern w:val="0"/>
                <w:sz w:val="21"/>
                <w:szCs w:val="21"/>
                <w:lang w:bidi="ar"/>
              </w:rPr>
              <w:br w:type="textWrapping"/>
            </w:r>
            <w:r>
              <w:rPr>
                <w:rFonts w:hint="eastAsia" w:cs="宋体"/>
                <w:color w:val="000000"/>
                <w:kern w:val="0"/>
                <w:sz w:val="21"/>
                <w:szCs w:val="21"/>
                <w:lang w:bidi="ar"/>
              </w:rPr>
              <w:t>支持敏感词检测等能力，实时监测敏感信息使用情况。</w:t>
            </w:r>
            <w:r>
              <w:rPr>
                <w:rFonts w:hint="eastAsia" w:cs="宋体"/>
                <w:color w:val="000000"/>
                <w:kern w:val="0"/>
                <w:sz w:val="21"/>
                <w:szCs w:val="21"/>
                <w:lang w:bidi="ar"/>
              </w:rPr>
              <w:br w:type="textWrapping"/>
            </w:r>
            <w:r>
              <w:rPr>
                <w:rFonts w:hint="eastAsia" w:cs="宋体"/>
                <w:color w:val="000000"/>
                <w:kern w:val="0"/>
                <w:sz w:val="21"/>
                <w:szCs w:val="21"/>
                <w:lang w:bidi="ar"/>
              </w:rPr>
              <w:t>审计内容包含用户、行为、文件名、时间及敏感内容等，并可对实际审计文件进行下载。</w:t>
            </w:r>
          </w:p>
        </w:tc>
      </w:tr>
      <w:tr w14:paraId="4853C546">
        <w:tblPrEx>
          <w:tblCellMar>
            <w:top w:w="0" w:type="dxa"/>
            <w:left w:w="108" w:type="dxa"/>
            <w:bottom w:w="0" w:type="dxa"/>
            <w:right w:w="108" w:type="dxa"/>
          </w:tblCellMar>
        </w:tblPrEx>
        <w:trPr>
          <w:trHeight w:val="78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D78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49</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C6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91E1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数据加工安全空间-安全审计-行为轨迹</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9B46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支持按用户身份进行行为轨迹跟踪，自动形成用户行为轨迹图；</w:t>
            </w:r>
            <w:r>
              <w:rPr>
                <w:rFonts w:hint="eastAsia" w:cs="宋体"/>
                <w:color w:val="000000"/>
                <w:kern w:val="0"/>
                <w:sz w:val="21"/>
                <w:szCs w:val="21"/>
                <w:lang w:bidi="ar"/>
              </w:rPr>
              <w:br w:type="textWrapping"/>
            </w:r>
            <w:r>
              <w:rPr>
                <w:rFonts w:hint="eastAsia" w:cs="宋体"/>
                <w:color w:val="000000"/>
                <w:kern w:val="0"/>
                <w:sz w:val="21"/>
                <w:szCs w:val="21"/>
                <w:lang w:bidi="ar"/>
              </w:rPr>
              <w:t>行为轨迹包含用户昵称、部门、邮箱及角色信息；</w:t>
            </w:r>
            <w:r>
              <w:rPr>
                <w:rFonts w:hint="eastAsia" w:cs="宋体"/>
                <w:color w:val="000000"/>
                <w:kern w:val="0"/>
                <w:sz w:val="21"/>
                <w:szCs w:val="21"/>
                <w:lang w:bidi="ar"/>
              </w:rPr>
              <w:br w:type="textWrapping"/>
            </w:r>
            <w:r>
              <w:rPr>
                <w:rFonts w:hint="eastAsia" w:cs="宋体"/>
                <w:color w:val="000000"/>
                <w:kern w:val="0"/>
                <w:sz w:val="21"/>
                <w:szCs w:val="21"/>
                <w:lang w:bidi="ar"/>
              </w:rPr>
              <w:t>可记录所有用户操作相关的用户名、行为、客户端、地址、内容及操作时间等信息</w:t>
            </w:r>
          </w:p>
        </w:tc>
      </w:tr>
      <w:tr w14:paraId="33C0E66C">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036D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FC8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C169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数据加工安全空间-安全审计-操作审计</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C0A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支持对研发敏感数据资源如代码数据、数据库的访问、操作和下载进行审计；</w:t>
            </w:r>
          </w:p>
        </w:tc>
      </w:tr>
      <w:tr w14:paraId="6CB309FC">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838F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51</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E55F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50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数据安全管控平台-安全防护模块-安全攻击防护模块</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8131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支持安全攻击防护功能，包括Owasp TOP 10 的攻击防护，增强资产对传统攻击的防护能力</w:t>
            </w:r>
          </w:p>
        </w:tc>
      </w:tr>
      <w:tr w14:paraId="07BC1FEC">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F08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52</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969D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9D2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数据安全管控平台-安全防护模块-合规检测模块</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425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支持合规检查功能，包括参数学习，参数检查以及资产调用顺序检查</w:t>
            </w:r>
          </w:p>
        </w:tc>
      </w:tr>
      <w:tr w14:paraId="03C53CA7">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7F01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53</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83E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B2FA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数据安全管控平台-安全防护模块-通用攻击检测模块</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4A2C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支持通用攻击检测功能，包括14个常见攻击策略和自定义的检测策略</w:t>
            </w:r>
          </w:p>
        </w:tc>
      </w:tr>
      <w:tr w14:paraId="245C28E9">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2FB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0E74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BB67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数据安全管控平台-应用缺陷识别模块-访问权限类功能</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B98A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支持访问权限类缺陷检查功能，减少数据泄露风险</w:t>
            </w:r>
          </w:p>
        </w:tc>
      </w:tr>
      <w:tr w14:paraId="37255051">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5E32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55</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5EA8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662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数据安全管控平台-应用缺陷识别模块-口令认证类功能</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F333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支持口令认证类缺陷检查功能，减少数据泄露风险</w:t>
            </w:r>
          </w:p>
        </w:tc>
      </w:tr>
      <w:tr w14:paraId="33623E39">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D008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56</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3F50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8AB5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数据安全管控平台-应用缺陷识别模块-数据暴露类功能</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6AB0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支持数据暴露类缺陷检查功能，减少数据泄露风险</w:t>
            </w:r>
          </w:p>
        </w:tc>
      </w:tr>
      <w:tr w14:paraId="3218BAA4">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8E38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B380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CDA8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数据安全管控平台-敏感数据管控模块-敏感信息识别模块</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CDFF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支持敏感信息识别功能，敏感信息信息数量超过100+</w:t>
            </w:r>
          </w:p>
        </w:tc>
      </w:tr>
      <w:tr w14:paraId="168A122F">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7F4B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58</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C1F9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79573">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数据安全管控平台-敏感数据管控模块-敏感信息处置模块</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1224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支持对敏感数据的处置功能，包括敏感信息脱敏和敏感信息分级分类</w:t>
            </w:r>
          </w:p>
        </w:tc>
      </w:tr>
      <w:tr w14:paraId="567FA0C6">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4178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59</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685C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327A7">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数据安全管控平台-行为分析模块-访问监控模块</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57CB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支持用户访问监控，包括针对资产运行情况和状态监控</w:t>
            </w:r>
          </w:p>
        </w:tc>
      </w:tr>
      <w:tr w14:paraId="4B59F075">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3CC5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924B4">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64C1A">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数据安全管控平台-行为分析模块-数据采集模块</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22F12">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为关键业务指定需要采集的数据，如采集数据的路径、业务请求成功与否等数据，同时还能够采集自定义字段的数据</w:t>
            </w:r>
          </w:p>
        </w:tc>
      </w:tr>
      <w:tr w14:paraId="3F7362E4">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D9C1">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61</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FD415">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0766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数据安全管控平台-行为分析模块-威胁建模模块</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565A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支持威胁建模功能，威胁建模超过20+，采用先进的人工智能（AI）技术对网站的安全状态进行分析和评估</w:t>
            </w:r>
          </w:p>
        </w:tc>
      </w:tr>
      <w:tr w14:paraId="5E3B4102">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36A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62</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9A00F">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38DB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数据安全管控平台-报表展示模块-数据输出功能</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83300">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支持数据输出功能，包含格式化、日志字段过滤、日志类型过滤</w:t>
            </w:r>
          </w:p>
        </w:tc>
      </w:tr>
      <w:tr w14:paraId="42B7A865">
        <w:tblPrEx>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F642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63</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08CF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B071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数据安全管控平台-报表展示模块-周期报告功能</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2E5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支持周期报告功能，包含月报、周报</w:t>
            </w:r>
          </w:p>
        </w:tc>
      </w:tr>
      <w:tr w14:paraId="1B8339FB">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7205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64</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970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841B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数据安全管控平台-报表展示模块-网络威胁感知功能</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706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支持网络威胁感知功能，从不同维度展示各类风险</w:t>
            </w:r>
          </w:p>
        </w:tc>
      </w:tr>
      <w:tr w14:paraId="3513D3B8">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96C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65</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74C59">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4137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数据安全管控平台-报表展示模块-攻击防护展示报表</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76E9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支持攻击防护功能，实现攻击可视化</w:t>
            </w:r>
          </w:p>
        </w:tc>
      </w:tr>
      <w:tr w14:paraId="2EABC577">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5808B">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66</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561C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85B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数据安全管控平台-报表展示模块-敏感信息展示报表</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AD496">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支持敏感信息展示功能，实现敏感信息可视化</w:t>
            </w:r>
          </w:p>
        </w:tc>
      </w:tr>
      <w:tr w14:paraId="08E54FF6">
        <w:tblPrEx>
          <w:tblCellMar>
            <w:top w:w="0" w:type="dxa"/>
            <w:left w:w="108" w:type="dxa"/>
            <w:bottom w:w="0" w:type="dxa"/>
            <w:right w:w="108" w:type="dxa"/>
          </w:tblCellMar>
        </w:tblPrEx>
        <w:trPr>
          <w:trHeight w:val="5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35EED">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67</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E53DC">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网络和数据安全防护</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37D6E">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数据安全管控平台-报表展示模块-行为审计展示报表</w:t>
            </w:r>
          </w:p>
        </w:tc>
        <w:tc>
          <w:tcPr>
            <w:tcW w:w="4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83EB8">
            <w:pPr>
              <w:widowControl/>
              <w:adjustRightInd w:val="0"/>
              <w:snapToGrid w:val="0"/>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支持行为审计展示功能，实现行为审计可视化</w:t>
            </w:r>
          </w:p>
        </w:tc>
      </w:tr>
    </w:tbl>
    <w:p w14:paraId="5A5F2F01">
      <w:pPr>
        <w:rPr>
          <w:rFonts w:hint="eastAsia"/>
          <w:b/>
        </w:rPr>
      </w:pPr>
      <w:r>
        <w:rPr>
          <w:rFonts w:hint="eastAsia"/>
        </w:rPr>
        <w:fldChar w:fldCharType="end"/>
      </w:r>
    </w:p>
    <w:p w14:paraId="59DCD5CD">
      <w:pPr>
        <w:ind w:firstLine="482"/>
        <w:rPr>
          <w:rFonts w:hint="eastAsia"/>
          <w:b/>
        </w:rPr>
      </w:pPr>
      <w:r>
        <w:rPr>
          <w:rFonts w:hint="eastAsia"/>
          <w:b/>
        </w:rPr>
        <w:t>2、硬件购置清单：</w:t>
      </w:r>
      <w:r>
        <w:rPr>
          <w:rFonts w:hint="eastAsia"/>
          <w:bCs/>
        </w:rPr>
        <w:t>无</w:t>
      </w:r>
    </w:p>
    <w:p w14:paraId="18F526D8">
      <w:pPr>
        <w:ind w:firstLine="482"/>
        <w:rPr>
          <w:rFonts w:hint="eastAsia"/>
          <w:b/>
        </w:rPr>
      </w:pPr>
      <w:r>
        <w:rPr>
          <w:rFonts w:hint="eastAsia"/>
          <w:b/>
        </w:rPr>
        <w:t>3、产品软件购置清单：</w:t>
      </w:r>
      <w:r>
        <w:rPr>
          <w:rFonts w:hint="eastAsia"/>
          <w:bCs/>
        </w:rPr>
        <w:t>无</w:t>
      </w:r>
    </w:p>
    <w:p w14:paraId="23669055">
      <w:pPr>
        <w:ind w:firstLine="482"/>
        <w:rPr>
          <w:rFonts w:hint="eastAsia"/>
        </w:rPr>
      </w:pPr>
      <w:r>
        <w:rPr>
          <w:rFonts w:hint="eastAsia"/>
          <w:b/>
        </w:rPr>
        <w:t>4、安全产品购置清单：</w:t>
      </w:r>
      <w:r>
        <w:rPr>
          <w:rFonts w:hint="eastAsia"/>
        </w:rPr>
        <w:t>无</w:t>
      </w:r>
    </w:p>
    <w:p w14:paraId="0F23AFA3">
      <w:pPr>
        <w:pStyle w:val="3"/>
        <w:ind w:left="1138" w:hanging="1134" w:hangingChars="378"/>
        <w:rPr>
          <w:rFonts w:hint="eastAsia"/>
        </w:rPr>
      </w:pPr>
      <w:r>
        <w:rPr>
          <w:rFonts w:hint="eastAsia"/>
        </w:rPr>
        <w:t>数据治理服务清单</w:t>
      </w:r>
    </w:p>
    <w:p w14:paraId="3AF8D608">
      <w:pPr>
        <w:ind w:firstLine="482"/>
        <w:rPr>
          <w:rFonts w:hint="eastAsia"/>
          <w:b/>
        </w:rPr>
      </w:pPr>
      <w:r>
        <w:rPr>
          <w:rFonts w:hint="eastAsia"/>
          <w:b/>
        </w:rPr>
        <w:t>1、数据标签</w:t>
      </w:r>
    </w:p>
    <w:tbl>
      <w:tblPr>
        <w:tblStyle w:val="12"/>
        <w:tblW w:w="4997" w:type="pct"/>
        <w:tblInd w:w="0" w:type="dxa"/>
        <w:tblLayout w:type="autofit"/>
        <w:tblCellMar>
          <w:top w:w="0" w:type="dxa"/>
          <w:left w:w="108" w:type="dxa"/>
          <w:bottom w:w="0" w:type="dxa"/>
          <w:right w:w="108" w:type="dxa"/>
        </w:tblCellMar>
      </w:tblPr>
      <w:tblGrid>
        <w:gridCol w:w="756"/>
        <w:gridCol w:w="1329"/>
        <w:gridCol w:w="1631"/>
        <w:gridCol w:w="1631"/>
        <w:gridCol w:w="3176"/>
      </w:tblGrid>
      <w:tr w14:paraId="70D5B40C">
        <w:tblPrEx>
          <w:tblCellMar>
            <w:top w:w="0" w:type="dxa"/>
            <w:left w:w="108" w:type="dxa"/>
            <w:bottom w:w="0" w:type="dxa"/>
            <w:right w:w="108" w:type="dxa"/>
          </w:tblCellMar>
        </w:tblPrEx>
        <w:trPr>
          <w:trHeight w:val="570" w:hRule="atLeast"/>
          <w:tblHeader/>
        </w:trPr>
        <w:tc>
          <w:tcPr>
            <w:tcW w:w="444" w:type="pct"/>
            <w:tcBorders>
              <w:top w:val="single" w:color="000000" w:sz="4" w:space="0"/>
              <w:left w:val="single" w:color="000000" w:sz="4" w:space="0"/>
              <w:bottom w:val="single" w:color="000000" w:sz="4" w:space="0"/>
              <w:right w:val="single" w:color="000000" w:sz="4" w:space="0"/>
            </w:tcBorders>
            <w:vAlign w:val="center"/>
          </w:tcPr>
          <w:p w14:paraId="02F4AD28">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序号</w:t>
            </w:r>
          </w:p>
        </w:tc>
        <w:tc>
          <w:tcPr>
            <w:tcW w:w="779" w:type="pct"/>
            <w:tcBorders>
              <w:top w:val="single" w:color="000000" w:sz="4" w:space="0"/>
              <w:left w:val="single" w:color="000000" w:sz="4" w:space="0"/>
              <w:bottom w:val="single" w:color="000000" w:sz="4" w:space="0"/>
              <w:right w:val="single" w:color="000000" w:sz="4" w:space="0"/>
            </w:tcBorders>
            <w:vAlign w:val="center"/>
          </w:tcPr>
          <w:p w14:paraId="4C5E9BFA">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标签类别</w:t>
            </w:r>
          </w:p>
        </w:tc>
        <w:tc>
          <w:tcPr>
            <w:tcW w:w="956" w:type="pct"/>
            <w:tcBorders>
              <w:top w:val="single" w:color="000000" w:sz="4" w:space="0"/>
              <w:left w:val="single" w:color="000000" w:sz="4" w:space="0"/>
              <w:bottom w:val="single" w:color="000000" w:sz="4" w:space="0"/>
              <w:right w:val="single" w:color="000000" w:sz="4" w:space="0"/>
            </w:tcBorders>
            <w:vAlign w:val="center"/>
          </w:tcPr>
          <w:p w14:paraId="39357991">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标签一级类型</w:t>
            </w:r>
          </w:p>
        </w:tc>
        <w:tc>
          <w:tcPr>
            <w:tcW w:w="956" w:type="pct"/>
            <w:tcBorders>
              <w:top w:val="single" w:color="000000" w:sz="4" w:space="0"/>
              <w:left w:val="single" w:color="000000" w:sz="4" w:space="0"/>
              <w:bottom w:val="single" w:color="000000" w:sz="4" w:space="0"/>
              <w:right w:val="single" w:color="000000" w:sz="4" w:space="0"/>
            </w:tcBorders>
            <w:vAlign w:val="center"/>
          </w:tcPr>
          <w:p w14:paraId="2E64F033">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标签二级类型</w:t>
            </w:r>
          </w:p>
        </w:tc>
        <w:tc>
          <w:tcPr>
            <w:tcW w:w="1862" w:type="pct"/>
            <w:tcBorders>
              <w:top w:val="single" w:color="000000" w:sz="4" w:space="0"/>
              <w:left w:val="single" w:color="000000" w:sz="4" w:space="0"/>
              <w:bottom w:val="single" w:color="000000" w:sz="4" w:space="0"/>
              <w:right w:val="single" w:color="000000" w:sz="4" w:space="0"/>
            </w:tcBorders>
            <w:vAlign w:val="center"/>
          </w:tcPr>
          <w:p w14:paraId="013EE1A5">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标签名称</w:t>
            </w:r>
          </w:p>
        </w:tc>
      </w:tr>
      <w:tr w14:paraId="536C276D">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0B5BBA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14:paraId="093B0D3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交通人员标签库</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EA208A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人员基本属性标签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4EAE2C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人员基本属性标签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00F5A03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性别标签</w:t>
            </w:r>
          </w:p>
        </w:tc>
      </w:tr>
      <w:tr w14:paraId="7E4E9401">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D39F7B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BBA8CD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D51C55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FB2A29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DA1E42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年龄段标签</w:t>
            </w:r>
          </w:p>
        </w:tc>
      </w:tr>
      <w:tr w14:paraId="03D3D219">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6E063F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67AFD8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4C3C27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3B82B3B">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A66C42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民族标签</w:t>
            </w:r>
          </w:p>
        </w:tc>
      </w:tr>
      <w:tr w14:paraId="514B82E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E01924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550621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D27B54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D5059D2">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DF5651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户籍所在地标签</w:t>
            </w:r>
          </w:p>
        </w:tc>
      </w:tr>
      <w:tr w14:paraId="78503BA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2BE875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2AD604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3F30B0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1638E7E">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6D32EE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政治面貌标签</w:t>
            </w:r>
          </w:p>
        </w:tc>
      </w:tr>
      <w:tr w14:paraId="18ACBF7A">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3E48D8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92E5A9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417953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D49487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13392E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婚姻状况标签</w:t>
            </w:r>
          </w:p>
        </w:tc>
      </w:tr>
      <w:tr w14:paraId="60BDBCF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C0EDC8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3359F8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10E376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CD4322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542066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国籍标签</w:t>
            </w:r>
          </w:p>
        </w:tc>
      </w:tr>
      <w:tr w14:paraId="7BB9559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1B2F5D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C1DFAD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F92D1C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B18154B">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59D85D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身份证有效期标签</w:t>
            </w:r>
          </w:p>
        </w:tc>
      </w:tr>
      <w:tr w14:paraId="54B9B96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6C41DD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B524BC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857C08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A0816C2">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67BF41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现居住地标签</w:t>
            </w:r>
          </w:p>
        </w:tc>
      </w:tr>
      <w:tr w14:paraId="3C365E20">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5561CD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CD780EE">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659207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人员业务标签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ABDB94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人员业务培训标签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518216C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培训类型标签</w:t>
            </w:r>
          </w:p>
        </w:tc>
      </w:tr>
      <w:tr w14:paraId="3BF7440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B60100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849D4F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B5B62E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B87F23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4A58AD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培训时长标签</w:t>
            </w:r>
          </w:p>
        </w:tc>
      </w:tr>
      <w:tr w14:paraId="0A6F411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108C29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05C541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D7A2C7B">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52E652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业务资质信息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5EC46B7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证书名称标签</w:t>
            </w:r>
          </w:p>
        </w:tc>
      </w:tr>
      <w:tr w14:paraId="2CC36F3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32E73A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4B5ED0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68CC4F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26B6562">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498929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发证机构标签</w:t>
            </w:r>
          </w:p>
        </w:tc>
      </w:tr>
      <w:tr w14:paraId="3D312B5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709446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88E498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9374C5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1219622">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0750F4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认证等级标签</w:t>
            </w:r>
          </w:p>
        </w:tc>
      </w:tr>
      <w:tr w14:paraId="73BBCCB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54CD23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70A76E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1AAF62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9FABC7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6725BB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证书有效期标签</w:t>
            </w:r>
          </w:p>
        </w:tc>
      </w:tr>
      <w:tr w14:paraId="7F0DFE49">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212F87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182017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EF4271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4AB6609">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6CB947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认证考核日期标签</w:t>
            </w:r>
          </w:p>
        </w:tc>
      </w:tr>
      <w:tr w14:paraId="6E39F4A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5F2DDC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034BB9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B3EA8B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07F27E2">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05DD37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证件状态标签</w:t>
            </w:r>
          </w:p>
        </w:tc>
      </w:tr>
      <w:tr w14:paraId="385A46F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BAD9F3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D76ACA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4F4D44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3646E05">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93A9EC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复审记录标签</w:t>
            </w:r>
          </w:p>
        </w:tc>
      </w:tr>
      <w:tr w14:paraId="7B93F43D">
        <w:tblPrEx>
          <w:tblCellMar>
            <w:top w:w="0" w:type="dxa"/>
            <w:left w:w="108" w:type="dxa"/>
            <w:bottom w:w="0" w:type="dxa"/>
            <w:right w:w="108" w:type="dxa"/>
          </w:tblCellMar>
        </w:tblPrEx>
        <w:trPr>
          <w:trHeight w:val="5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977598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A15A49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E4EB520">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5EFB2C4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登记车辆标签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63C8627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关联登记车辆归属标签</w:t>
            </w:r>
          </w:p>
        </w:tc>
      </w:tr>
      <w:tr w14:paraId="33AF2A12">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84CC3F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19B3EE4">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80A480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人员从业特征标签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4AC846D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职业年限信息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2E87924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从业年限标签</w:t>
            </w:r>
          </w:p>
        </w:tc>
      </w:tr>
      <w:tr w14:paraId="7E3349C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43855F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D2C4AF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0C4DC0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BF463C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EF510D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驾驶年限标签</w:t>
            </w:r>
          </w:p>
        </w:tc>
      </w:tr>
      <w:tr w14:paraId="4F555689">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2475B2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741FF5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9F348C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429757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2CDA63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当前企业工作年限标签</w:t>
            </w:r>
          </w:p>
        </w:tc>
      </w:tr>
      <w:tr w14:paraId="4247EA35">
        <w:tblPrEx>
          <w:tblCellMar>
            <w:top w:w="0" w:type="dxa"/>
            <w:left w:w="108" w:type="dxa"/>
            <w:bottom w:w="0" w:type="dxa"/>
            <w:right w:w="108" w:type="dxa"/>
          </w:tblCellMar>
        </w:tblPrEx>
        <w:trPr>
          <w:trHeight w:val="5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4DED6E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E2970B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1AE4FD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5A62BA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8511D5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跨行业从业转换年限标签</w:t>
            </w:r>
          </w:p>
        </w:tc>
      </w:tr>
      <w:tr w14:paraId="278710D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38A507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CFEF22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03DBEC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5A6730E">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F7CA17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当前岗位从业年限标签</w:t>
            </w:r>
          </w:p>
        </w:tc>
      </w:tr>
      <w:tr w14:paraId="45615AE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AC1414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B84864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68EAC3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74B6129">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3E2C42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行业从业经历标签</w:t>
            </w:r>
          </w:p>
        </w:tc>
      </w:tr>
      <w:tr w14:paraId="5A97692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262D67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29C609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957FF52">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D620E3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专业证件信息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0AECAE0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有无其他专业证书</w:t>
            </w:r>
          </w:p>
        </w:tc>
      </w:tr>
      <w:tr w14:paraId="7DFCF14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60F212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FD6132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8F9B56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685BF7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FE8985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专业证件等级标签</w:t>
            </w:r>
          </w:p>
        </w:tc>
      </w:tr>
      <w:tr w14:paraId="4933C67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67961D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6B37A3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CAC4B0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BCC0F85">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A83733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获取时长</w:t>
            </w:r>
          </w:p>
        </w:tc>
      </w:tr>
      <w:tr w14:paraId="44C23DF9">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0C4837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46C833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A039D64">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2C5CA8F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奖惩标签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3B3697E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奖励情况统计</w:t>
            </w:r>
          </w:p>
        </w:tc>
      </w:tr>
      <w:tr w14:paraId="68EFDB6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BB291A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9FCEA1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C16B75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01FBDA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CC4549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惩罚情况统计</w:t>
            </w:r>
          </w:p>
        </w:tc>
      </w:tr>
      <w:tr w14:paraId="6D503A61">
        <w:tblPrEx>
          <w:tblCellMar>
            <w:top w:w="0" w:type="dxa"/>
            <w:left w:w="108" w:type="dxa"/>
            <w:bottom w:w="0" w:type="dxa"/>
            <w:right w:w="108" w:type="dxa"/>
          </w:tblCellMar>
        </w:tblPrEx>
        <w:trPr>
          <w:trHeight w:val="5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306E1F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580333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D087EF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C97E49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FD931B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单类重复处罚标签（3次及以上）</w:t>
            </w:r>
          </w:p>
        </w:tc>
      </w:tr>
      <w:tr w14:paraId="2F1FCAC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C26E5F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5CCC8F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1F50A1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4EF7E1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1982C9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投诉情况统计</w:t>
            </w:r>
          </w:p>
        </w:tc>
      </w:tr>
      <w:tr w14:paraId="69D4E7D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190A4C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CD73F1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368BB43">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2788231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运行特征标签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24B9A98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高频订单标签</w:t>
            </w:r>
          </w:p>
        </w:tc>
      </w:tr>
      <w:tr w14:paraId="12AADEB8">
        <w:tblPrEx>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9A4B71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B8B4E24">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D89875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8216A4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4C2D270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违法犯罪记录</w:t>
            </w:r>
          </w:p>
        </w:tc>
      </w:tr>
      <w:tr w14:paraId="7C82FF0F">
        <w:tblPrEx>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58BDCC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4D5BB1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6AD2B4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050A48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3F01C1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驾驶违章记录标签</w:t>
            </w:r>
          </w:p>
        </w:tc>
      </w:tr>
      <w:tr w14:paraId="7F8B758D">
        <w:tblPrEx>
          <w:tblCellMar>
            <w:top w:w="0" w:type="dxa"/>
            <w:left w:w="108" w:type="dxa"/>
            <w:bottom w:w="0" w:type="dxa"/>
            <w:right w:w="108" w:type="dxa"/>
          </w:tblCellMar>
        </w:tblPrEx>
        <w:trPr>
          <w:trHeight w:val="5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BD4291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2B85C8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11290A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24103A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6BEBB9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单类重复交通违法标签（3次及以上）</w:t>
            </w:r>
          </w:p>
        </w:tc>
      </w:tr>
      <w:tr w14:paraId="558B5D9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991636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F3E3A5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A5ADA7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4F2852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217C9B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有无亡人事故</w:t>
            </w:r>
          </w:p>
        </w:tc>
      </w:tr>
      <w:tr w14:paraId="4BC1BDC7">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D7E66A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F3F568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C27292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68043B5">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0AAADF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涉及交通事故记录标签</w:t>
            </w:r>
          </w:p>
        </w:tc>
      </w:tr>
      <w:tr w14:paraId="3CE0FF4E">
        <w:tblPrEx>
          <w:tblCellMar>
            <w:top w:w="0" w:type="dxa"/>
            <w:left w:w="108" w:type="dxa"/>
            <w:bottom w:w="0" w:type="dxa"/>
            <w:right w:w="108" w:type="dxa"/>
          </w:tblCellMar>
        </w:tblPrEx>
        <w:trPr>
          <w:trHeight w:val="5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CA0BC3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39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C4FA04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6D61BD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80A60F4">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B75ED6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交通事故处理结果标签</w:t>
            </w:r>
          </w:p>
        </w:tc>
      </w:tr>
      <w:tr w14:paraId="0B4C7436">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96E1FD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40</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14:paraId="1D6B063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交通车辆标签库</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4CF4F7B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车辆基本属性标签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4CB708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车辆基础标签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3A2D45C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车辆能源类型</w:t>
            </w:r>
          </w:p>
        </w:tc>
      </w:tr>
      <w:tr w14:paraId="4A294B8E">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4CB7B4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1DC3F5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D217C5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8D20C9D">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EF9582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车辆牌照属地</w:t>
            </w:r>
          </w:p>
        </w:tc>
      </w:tr>
      <w:tr w14:paraId="18536047">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DE12A6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E2D5FD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867F9E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556283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A8F47F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所有人标签</w:t>
            </w:r>
          </w:p>
        </w:tc>
      </w:tr>
      <w:tr w14:paraId="52E5E3EC">
        <w:tblPrEx>
          <w:tblCellMar>
            <w:top w:w="0" w:type="dxa"/>
            <w:left w:w="108" w:type="dxa"/>
            <w:bottom w:w="0" w:type="dxa"/>
            <w:right w:w="108" w:type="dxa"/>
          </w:tblCellMar>
        </w:tblPrEx>
        <w:trPr>
          <w:trHeight w:val="5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724C5B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9C494F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E3D4AE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97CD63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BFD394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车辆类型（载量）</w:t>
            </w:r>
          </w:p>
        </w:tc>
      </w:tr>
      <w:tr w14:paraId="286DD940">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DB77AB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0ED920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DA4441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A2B7B7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B271F8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车辆登记年限标签</w:t>
            </w:r>
          </w:p>
        </w:tc>
      </w:tr>
      <w:tr w14:paraId="1E31C938">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039366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F33DAD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FA2E63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4767CB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DD8B18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年检状态标签</w:t>
            </w:r>
          </w:p>
        </w:tc>
      </w:tr>
      <w:tr w14:paraId="00668C40">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0E5EF3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DC3FD9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4C1EB3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129695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FE61E5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车辆异常状态标签</w:t>
            </w:r>
          </w:p>
        </w:tc>
      </w:tr>
      <w:tr w14:paraId="2B199F68">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4BA48C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50DAF8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C2F743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CEB1E5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33F107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车辆环保等级</w:t>
            </w:r>
          </w:p>
        </w:tc>
      </w:tr>
      <w:tr w14:paraId="44BF8A94">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A60719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3B32A5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35994C7">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2DD96B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车辆附属设备标签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2E7AB17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车载视频监控</w:t>
            </w:r>
          </w:p>
        </w:tc>
      </w:tr>
      <w:tr w14:paraId="7BDA9112">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B1B489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49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7B9B92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8CADF8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68691B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E360F8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定位设备标签</w:t>
            </w:r>
          </w:p>
        </w:tc>
      </w:tr>
      <w:tr w14:paraId="6F1FC09B">
        <w:tblPrEx>
          <w:tblCellMar>
            <w:top w:w="0" w:type="dxa"/>
            <w:left w:w="108" w:type="dxa"/>
            <w:bottom w:w="0" w:type="dxa"/>
            <w:right w:w="108" w:type="dxa"/>
          </w:tblCellMar>
        </w:tblPrEx>
        <w:trPr>
          <w:trHeight w:val="56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E6F99D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ADA8654">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CC30E0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B4136B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业务登记标签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1DDC06F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车辆类型（用途）</w:t>
            </w:r>
          </w:p>
        </w:tc>
      </w:tr>
      <w:tr w14:paraId="570AFC1F">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21B010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7A1D09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08F83F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840930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6122C6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运输证有效标签</w:t>
            </w:r>
          </w:p>
        </w:tc>
      </w:tr>
      <w:tr w14:paraId="45ADF317">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08E841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F898F3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1B008E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8CDB36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F09001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后备车辆</w:t>
            </w:r>
          </w:p>
        </w:tc>
      </w:tr>
      <w:tr w14:paraId="3DAD2DD8">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9D0781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356D1C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08AFFE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5B2BBC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C45DE2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交强险有效标签</w:t>
            </w:r>
          </w:p>
        </w:tc>
      </w:tr>
      <w:tr w14:paraId="2A5AF440">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083208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A21B98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7157E54">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1196DD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关联企业标签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075B414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关联重点企业</w:t>
            </w:r>
          </w:p>
        </w:tc>
      </w:tr>
      <w:tr w14:paraId="257CFAAB">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25C70E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27F8AD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A34E43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8F32BF2">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5E0BAB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关联企业变更</w:t>
            </w:r>
          </w:p>
        </w:tc>
      </w:tr>
      <w:tr w14:paraId="413F4A09">
        <w:tblPrEx>
          <w:tblCellMar>
            <w:top w:w="0" w:type="dxa"/>
            <w:left w:w="108" w:type="dxa"/>
            <w:bottom w:w="0" w:type="dxa"/>
            <w:right w:w="108" w:type="dxa"/>
          </w:tblCellMar>
        </w:tblPrEx>
        <w:trPr>
          <w:trHeight w:val="56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2C91E1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75D0A2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332CA97">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3E4C81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行业奖惩标签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092CCF7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近期行业处罚标签</w:t>
            </w:r>
          </w:p>
        </w:tc>
      </w:tr>
      <w:tr w14:paraId="65CB119D">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EA9805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4C4A9A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B526F3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148DEA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414C8C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历史总处罚数量标签</w:t>
            </w:r>
          </w:p>
        </w:tc>
      </w:tr>
      <w:tr w14:paraId="0B716845">
        <w:tblPrEx>
          <w:tblCellMar>
            <w:top w:w="0" w:type="dxa"/>
            <w:left w:w="108" w:type="dxa"/>
            <w:bottom w:w="0" w:type="dxa"/>
            <w:right w:w="108" w:type="dxa"/>
          </w:tblCellMar>
        </w:tblPrEx>
        <w:trPr>
          <w:trHeight w:val="5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730419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65BBD9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459B5D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D1BDFF7">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2BA42D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单类重复处罚标签（3次及以上）</w:t>
            </w:r>
          </w:p>
        </w:tc>
      </w:tr>
      <w:tr w14:paraId="2A198380">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A928A4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4B254D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DA7442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FF7624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2E9B35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投诉情况统计</w:t>
            </w:r>
          </w:p>
        </w:tc>
      </w:tr>
      <w:tr w14:paraId="1C041844">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69A0FC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44BC43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8E873B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72620B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6897F4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交通违法累积标签</w:t>
            </w:r>
          </w:p>
        </w:tc>
      </w:tr>
      <w:tr w14:paraId="505FD80F">
        <w:tblPrEx>
          <w:tblCellMar>
            <w:top w:w="0" w:type="dxa"/>
            <w:left w:w="108" w:type="dxa"/>
            <w:bottom w:w="0" w:type="dxa"/>
            <w:right w:w="108" w:type="dxa"/>
          </w:tblCellMar>
        </w:tblPrEx>
        <w:trPr>
          <w:trHeight w:val="5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646646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B070E6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491B25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3A3DCE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B795A6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单类交通违法处罚标签（3次及以上）</w:t>
            </w:r>
          </w:p>
        </w:tc>
      </w:tr>
      <w:tr w14:paraId="18B639B3">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9CEABD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672F584">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81D811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车辆运行特征标签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463622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运输作业特征</w:t>
            </w:r>
          </w:p>
        </w:tc>
        <w:tc>
          <w:tcPr>
            <w:tcW w:w="1862" w:type="pct"/>
            <w:tcBorders>
              <w:top w:val="single" w:color="000000" w:sz="4" w:space="0"/>
              <w:left w:val="single" w:color="000000" w:sz="4" w:space="0"/>
              <w:bottom w:val="single" w:color="000000" w:sz="4" w:space="0"/>
              <w:right w:val="single" w:color="000000" w:sz="4" w:space="0"/>
            </w:tcBorders>
            <w:vAlign w:val="center"/>
          </w:tcPr>
          <w:p w14:paraId="71A7088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运输距离标签</w:t>
            </w:r>
          </w:p>
        </w:tc>
      </w:tr>
      <w:tr w14:paraId="78244198">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3B85C5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3016FB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78FF3E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7CCFA1E">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1D40D4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网约车/出租车高频标签</w:t>
            </w:r>
          </w:p>
        </w:tc>
      </w:tr>
      <w:tr w14:paraId="31C86CE7">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889952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90752B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0C953C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987195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A140B0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两客一危及货运高频标签</w:t>
            </w:r>
          </w:p>
        </w:tc>
      </w:tr>
      <w:tr w14:paraId="5B73B7EB">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09CA4E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B535D4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B179AB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D1603D4">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544947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轨迹异常频率标签</w:t>
            </w:r>
          </w:p>
        </w:tc>
      </w:tr>
      <w:tr w14:paraId="641315B9">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AC4C8A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55C6C2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AD2A44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A38014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E68596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进出沪特征标签</w:t>
            </w:r>
          </w:p>
        </w:tc>
      </w:tr>
      <w:tr w14:paraId="09258EFF">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4BBFC9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EDB7D3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A2F4B5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F7B745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22D7A4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运输时间分布标签</w:t>
            </w:r>
          </w:p>
        </w:tc>
      </w:tr>
      <w:tr w14:paraId="471B4388">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F23F5A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0DECC0E">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88F6CE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车辆出行偏好标签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1E57AF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行驶选择偏好</w:t>
            </w:r>
          </w:p>
        </w:tc>
        <w:tc>
          <w:tcPr>
            <w:tcW w:w="1862" w:type="pct"/>
            <w:tcBorders>
              <w:top w:val="single" w:color="000000" w:sz="4" w:space="0"/>
              <w:left w:val="single" w:color="000000" w:sz="4" w:space="0"/>
              <w:bottom w:val="single" w:color="000000" w:sz="4" w:space="0"/>
              <w:right w:val="single" w:color="000000" w:sz="4" w:space="0"/>
            </w:tcBorders>
            <w:vAlign w:val="center"/>
          </w:tcPr>
          <w:p w14:paraId="4DB35FC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常行驶路线标签</w:t>
            </w:r>
          </w:p>
        </w:tc>
      </w:tr>
      <w:tr w14:paraId="2E2E927D">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DE3C36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69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9E6BFA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9BD4F4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B16EB1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29B26F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高频跨江车辆</w:t>
            </w:r>
          </w:p>
        </w:tc>
      </w:tr>
      <w:tr w14:paraId="59B16235">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5F421F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5DFBC8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38E001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42B744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B72EBE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网约车/出租车活跃地区</w:t>
            </w:r>
          </w:p>
        </w:tc>
      </w:tr>
      <w:tr w14:paraId="2C753154">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DF2004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2DBAF0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862F38A">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8069BD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特殊运行偏好</w:t>
            </w:r>
          </w:p>
        </w:tc>
        <w:tc>
          <w:tcPr>
            <w:tcW w:w="1862" w:type="pct"/>
            <w:tcBorders>
              <w:top w:val="single" w:color="000000" w:sz="4" w:space="0"/>
              <w:left w:val="single" w:color="000000" w:sz="4" w:space="0"/>
              <w:bottom w:val="single" w:color="000000" w:sz="4" w:space="0"/>
              <w:right w:val="single" w:color="000000" w:sz="4" w:space="0"/>
            </w:tcBorders>
            <w:vAlign w:val="center"/>
          </w:tcPr>
          <w:p w14:paraId="4DADC1F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早晚高峰偏好</w:t>
            </w:r>
          </w:p>
        </w:tc>
      </w:tr>
      <w:tr w14:paraId="00D144E2">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1D7F20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9D0C54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445EA5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DD7A7A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8760BF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周末偏好</w:t>
            </w:r>
          </w:p>
        </w:tc>
      </w:tr>
      <w:tr w14:paraId="7087631F">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8CB5FF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FBCEDB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261308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156DF7D">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372B70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场站偏好</w:t>
            </w:r>
          </w:p>
        </w:tc>
      </w:tr>
      <w:tr w14:paraId="3AC63166">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5B36E7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30A832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537705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00FD45A">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113592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节假日出行频率标签</w:t>
            </w:r>
          </w:p>
        </w:tc>
      </w:tr>
      <w:tr w14:paraId="204E0E57">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A7F01B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EAF5EEE">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F828DF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7533C7A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事故记录</w:t>
            </w:r>
          </w:p>
        </w:tc>
        <w:tc>
          <w:tcPr>
            <w:tcW w:w="1862" w:type="pct"/>
            <w:tcBorders>
              <w:top w:val="single" w:color="000000" w:sz="4" w:space="0"/>
              <w:left w:val="single" w:color="000000" w:sz="4" w:space="0"/>
              <w:bottom w:val="single" w:color="000000" w:sz="4" w:space="0"/>
              <w:right w:val="single" w:color="000000" w:sz="4" w:space="0"/>
            </w:tcBorders>
            <w:vAlign w:val="center"/>
          </w:tcPr>
          <w:p w14:paraId="03BC3A3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事故记录</w:t>
            </w:r>
          </w:p>
        </w:tc>
      </w:tr>
      <w:tr w14:paraId="2776B0BA">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320AD0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246A08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F606376">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17DE4F9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大修记录</w:t>
            </w:r>
          </w:p>
        </w:tc>
        <w:tc>
          <w:tcPr>
            <w:tcW w:w="1862" w:type="pct"/>
            <w:tcBorders>
              <w:top w:val="single" w:color="000000" w:sz="4" w:space="0"/>
              <w:left w:val="single" w:color="000000" w:sz="4" w:space="0"/>
              <w:bottom w:val="single" w:color="000000" w:sz="4" w:space="0"/>
              <w:right w:val="single" w:color="000000" w:sz="4" w:space="0"/>
            </w:tcBorders>
            <w:vAlign w:val="center"/>
          </w:tcPr>
          <w:p w14:paraId="0B9F9F1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大修记录</w:t>
            </w:r>
          </w:p>
        </w:tc>
      </w:tr>
      <w:tr w14:paraId="63DFCAA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C85840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C8D3CEE">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FA6C7D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0FB225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故障记录</w:t>
            </w:r>
          </w:p>
        </w:tc>
        <w:tc>
          <w:tcPr>
            <w:tcW w:w="1862" w:type="pct"/>
            <w:tcBorders>
              <w:top w:val="single" w:color="000000" w:sz="4" w:space="0"/>
              <w:left w:val="single" w:color="000000" w:sz="4" w:space="0"/>
              <w:bottom w:val="single" w:color="000000" w:sz="4" w:space="0"/>
              <w:right w:val="single" w:color="000000" w:sz="4" w:space="0"/>
            </w:tcBorders>
            <w:vAlign w:val="center"/>
          </w:tcPr>
          <w:p w14:paraId="45AFF69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故障近期发生次数标签</w:t>
            </w:r>
          </w:p>
        </w:tc>
      </w:tr>
      <w:tr w14:paraId="6963D99B">
        <w:tblPrEx>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9A86AA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6E274A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5F38D4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8B208A9">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D5676C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故障历史发生次数标签</w:t>
            </w:r>
          </w:p>
        </w:tc>
      </w:tr>
      <w:tr w14:paraId="5712B2EA">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9C25B5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79</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14:paraId="0300072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交通企业标签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FCAE7B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企业基础属性标签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0264C5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基本信息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46C9633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企业性质标签</w:t>
            </w:r>
          </w:p>
        </w:tc>
      </w:tr>
      <w:tr w14:paraId="2990128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E41443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92F409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ADD908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CC291B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794714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注册资本标签</w:t>
            </w:r>
          </w:p>
        </w:tc>
      </w:tr>
      <w:tr w14:paraId="0C47F11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1F0D95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FD9540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AB91DB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51D12A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BAB527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成立年限标签</w:t>
            </w:r>
          </w:p>
        </w:tc>
      </w:tr>
      <w:tr w14:paraId="313D141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B9A966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074A24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FD14DA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F63CCC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28C518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所在地区标签</w:t>
            </w:r>
          </w:p>
        </w:tc>
      </w:tr>
      <w:tr w14:paraId="40DAF06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FE65A4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E72D9C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8C0FDC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10B3944">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535F90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行业类别标签</w:t>
            </w:r>
          </w:p>
        </w:tc>
      </w:tr>
      <w:tr w14:paraId="1008F533">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195724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FB67850">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3B9821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企业业务标签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E1A55E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业务许可信息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2D07AD2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许可资质标签</w:t>
            </w:r>
          </w:p>
        </w:tc>
      </w:tr>
      <w:tr w14:paraId="1704C493">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EBD821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136AEE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76FED2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AF47732">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73BEEB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许可有效期标签</w:t>
            </w:r>
          </w:p>
        </w:tc>
      </w:tr>
      <w:tr w14:paraId="5BB597C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AA2E83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97F49E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4840889">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2031EDE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业务规模</w:t>
            </w:r>
          </w:p>
        </w:tc>
        <w:tc>
          <w:tcPr>
            <w:tcW w:w="1862" w:type="pct"/>
            <w:tcBorders>
              <w:top w:val="single" w:color="000000" w:sz="4" w:space="0"/>
              <w:left w:val="single" w:color="000000" w:sz="4" w:space="0"/>
              <w:bottom w:val="single" w:color="000000" w:sz="4" w:space="0"/>
              <w:right w:val="single" w:color="000000" w:sz="4" w:space="0"/>
            </w:tcBorders>
            <w:vAlign w:val="center"/>
          </w:tcPr>
          <w:p w14:paraId="729CD74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车辆规模标签</w:t>
            </w:r>
          </w:p>
        </w:tc>
      </w:tr>
      <w:tr w14:paraId="5B02D06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DDC18C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E739EE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52CA66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47AD8B5">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6D8FDC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员工规模标签</w:t>
            </w:r>
          </w:p>
        </w:tc>
      </w:tr>
      <w:tr w14:paraId="321B707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1D7070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2BDCD55">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DDFBB6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企业业务标签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A38DE6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经营规模</w:t>
            </w:r>
          </w:p>
        </w:tc>
        <w:tc>
          <w:tcPr>
            <w:tcW w:w="1862" w:type="pct"/>
            <w:tcBorders>
              <w:top w:val="single" w:color="000000" w:sz="4" w:space="0"/>
              <w:left w:val="single" w:color="000000" w:sz="4" w:space="0"/>
              <w:bottom w:val="single" w:color="000000" w:sz="4" w:space="0"/>
              <w:right w:val="single" w:color="000000" w:sz="4" w:space="0"/>
            </w:tcBorders>
            <w:vAlign w:val="center"/>
          </w:tcPr>
          <w:p w14:paraId="7853935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营收规模标签</w:t>
            </w:r>
          </w:p>
        </w:tc>
      </w:tr>
      <w:tr w14:paraId="716A51F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E293E4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89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54674F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F67EE6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C6925FA">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453E3E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税收贡献标签</w:t>
            </w:r>
          </w:p>
        </w:tc>
      </w:tr>
      <w:tr w14:paraId="41DC05A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F0BBC2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2762C2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DBFD39E">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544EF3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经营效益</w:t>
            </w:r>
          </w:p>
        </w:tc>
        <w:tc>
          <w:tcPr>
            <w:tcW w:w="1862" w:type="pct"/>
            <w:tcBorders>
              <w:top w:val="single" w:color="000000" w:sz="4" w:space="0"/>
              <w:left w:val="single" w:color="000000" w:sz="4" w:space="0"/>
              <w:bottom w:val="single" w:color="000000" w:sz="4" w:space="0"/>
              <w:right w:val="single" w:color="000000" w:sz="4" w:space="0"/>
            </w:tcBorders>
            <w:vAlign w:val="center"/>
          </w:tcPr>
          <w:p w14:paraId="5CA41C1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利润水平标签</w:t>
            </w:r>
          </w:p>
        </w:tc>
      </w:tr>
      <w:tr w14:paraId="516483B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6AC798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8C4EFA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91668A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2D0E87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EF45E3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增长率标签</w:t>
            </w:r>
          </w:p>
        </w:tc>
      </w:tr>
      <w:tr w14:paraId="535CE76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13A04F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36137EB">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1414FC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企业运营标签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2C2DA1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运营特征</w:t>
            </w:r>
          </w:p>
        </w:tc>
        <w:tc>
          <w:tcPr>
            <w:tcW w:w="1862" w:type="pct"/>
            <w:tcBorders>
              <w:top w:val="single" w:color="000000" w:sz="4" w:space="0"/>
              <w:left w:val="single" w:color="000000" w:sz="4" w:space="0"/>
              <w:bottom w:val="single" w:color="000000" w:sz="4" w:space="0"/>
              <w:right w:val="single" w:color="000000" w:sz="4" w:space="0"/>
            </w:tcBorders>
            <w:vAlign w:val="center"/>
          </w:tcPr>
          <w:p w14:paraId="5BD3FF6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运营范围标签</w:t>
            </w:r>
          </w:p>
        </w:tc>
      </w:tr>
      <w:tr w14:paraId="7372039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BE2D0F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C192A6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B64EC1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385A25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88B97D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订单规模标签</w:t>
            </w:r>
          </w:p>
        </w:tc>
      </w:tr>
      <w:tr w14:paraId="798AED2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C40055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1A099C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56FD9A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2FA463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138BA6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运营时长标签</w:t>
            </w:r>
          </w:p>
        </w:tc>
      </w:tr>
      <w:tr w14:paraId="4812698A">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6C09FF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D66BAAF">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CF689B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企业关联标签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4B9340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关联人员信息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41CE410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驾驶员规模标签</w:t>
            </w:r>
          </w:p>
        </w:tc>
      </w:tr>
      <w:tr w14:paraId="5E89EF9A">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1EF440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2E3155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7D87C3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3FFBF64">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1E7A3A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人员稳定性标签</w:t>
            </w:r>
          </w:p>
        </w:tc>
      </w:tr>
      <w:tr w14:paraId="4D85B67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E83F60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3CD60D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3428BBD">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690179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关联车辆信息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584F0D2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车辆能源结构</w:t>
            </w:r>
          </w:p>
        </w:tc>
      </w:tr>
      <w:tr w14:paraId="65C9ACF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75FBEF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01E425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EFF893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2DCE89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6208CD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车辆环保等级</w:t>
            </w:r>
          </w:p>
        </w:tc>
      </w:tr>
      <w:tr w14:paraId="5360BFA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0702EF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99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B63CFA8">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4CD98A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企业安全标签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E00150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安全合规信息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4B724AE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行业处罚标签</w:t>
            </w:r>
          </w:p>
        </w:tc>
      </w:tr>
      <w:tr w14:paraId="7880CF9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80B06B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BF324C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9CC1F4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3EFC604">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20ACBB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投诉情况标签</w:t>
            </w:r>
          </w:p>
        </w:tc>
      </w:tr>
      <w:tr w14:paraId="75C2CDF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5117F7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F1337D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A07857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75E371E">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436C74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事故责任标签</w:t>
            </w:r>
          </w:p>
        </w:tc>
      </w:tr>
      <w:tr w14:paraId="027E137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8990E0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89D099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ABDE10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33FE174">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4B2310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信用评价标签</w:t>
            </w:r>
          </w:p>
        </w:tc>
      </w:tr>
      <w:tr w14:paraId="344A9779">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04E351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103</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14:paraId="6901F0F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交通场站标签库</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63682E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场站基础属性标签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20CC5D5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35FA59C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场站类型标签</w:t>
            </w:r>
          </w:p>
        </w:tc>
      </w:tr>
      <w:tr w14:paraId="0CFA711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E977A1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BA58B4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EE2D4A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19F43BA">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D42E73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所属区域标签</w:t>
            </w:r>
          </w:p>
        </w:tc>
      </w:tr>
      <w:tr w14:paraId="5668886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365CBB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8028CD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C38044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7E73D4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953744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场站规模标签</w:t>
            </w:r>
          </w:p>
        </w:tc>
      </w:tr>
      <w:tr w14:paraId="228A439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FCFDC2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493218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4239BA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97B8DE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FFBDA6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开放年限标签</w:t>
            </w:r>
          </w:p>
        </w:tc>
      </w:tr>
      <w:tr w14:paraId="1BDD69E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FCFBB8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82A483C">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6A78EF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场站业务标签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227A7E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业务功能</w:t>
            </w:r>
          </w:p>
        </w:tc>
        <w:tc>
          <w:tcPr>
            <w:tcW w:w="1862" w:type="pct"/>
            <w:tcBorders>
              <w:top w:val="single" w:color="000000" w:sz="4" w:space="0"/>
              <w:left w:val="single" w:color="000000" w:sz="4" w:space="0"/>
              <w:bottom w:val="single" w:color="000000" w:sz="4" w:space="0"/>
              <w:right w:val="single" w:color="000000" w:sz="4" w:space="0"/>
            </w:tcBorders>
            <w:vAlign w:val="center"/>
          </w:tcPr>
          <w:p w14:paraId="5025DC6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服务类型标签</w:t>
            </w:r>
          </w:p>
        </w:tc>
      </w:tr>
      <w:tr w14:paraId="57BF660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2912A1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A5A7FE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A32F76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D4F01A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0C4628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服务等级标签</w:t>
            </w:r>
          </w:p>
        </w:tc>
      </w:tr>
      <w:tr w14:paraId="653B89FA">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536F3E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109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10C1E4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D90C73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7F97C8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E749DE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运营线路类型标签</w:t>
            </w:r>
          </w:p>
        </w:tc>
      </w:tr>
      <w:tr w14:paraId="2FB97CC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56FEA4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D479F1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039726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EBA6E9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A11BED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商业配套标签</w:t>
            </w:r>
          </w:p>
        </w:tc>
      </w:tr>
      <w:tr w14:paraId="27EF910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B5B255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6783CDF">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AA9C58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场站运营标签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670958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运行特征</w:t>
            </w:r>
          </w:p>
        </w:tc>
        <w:tc>
          <w:tcPr>
            <w:tcW w:w="1862" w:type="pct"/>
            <w:tcBorders>
              <w:top w:val="single" w:color="000000" w:sz="4" w:space="0"/>
              <w:left w:val="single" w:color="000000" w:sz="4" w:space="0"/>
              <w:bottom w:val="single" w:color="000000" w:sz="4" w:space="0"/>
              <w:right w:val="single" w:color="000000" w:sz="4" w:space="0"/>
            </w:tcBorders>
            <w:vAlign w:val="center"/>
          </w:tcPr>
          <w:p w14:paraId="408F489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高峰客流标签</w:t>
            </w:r>
          </w:p>
        </w:tc>
      </w:tr>
      <w:tr w14:paraId="2AEE5C9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1C425E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BCA86E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353256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E3F953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992829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进出频率标签</w:t>
            </w:r>
          </w:p>
        </w:tc>
      </w:tr>
      <w:tr w14:paraId="761F567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9F3E3A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84B6FA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7DEBE6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3F5BD9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4344AE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客流量</w:t>
            </w:r>
          </w:p>
        </w:tc>
      </w:tr>
      <w:tr w14:paraId="19CC6C0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184861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5E837F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9C7789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B0EFEA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049B9F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换乘复杂度标签</w:t>
            </w:r>
          </w:p>
        </w:tc>
      </w:tr>
      <w:tr w14:paraId="2419289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43F46F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2F06EA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75A046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90584A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628A0C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运营时段标签</w:t>
            </w:r>
          </w:p>
        </w:tc>
      </w:tr>
      <w:tr w14:paraId="3CEBD96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B7B170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F659DA8">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7BEAEB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场站安全标签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40A6FFB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安全合规</w:t>
            </w:r>
          </w:p>
        </w:tc>
        <w:tc>
          <w:tcPr>
            <w:tcW w:w="1862" w:type="pct"/>
            <w:tcBorders>
              <w:top w:val="single" w:color="000000" w:sz="4" w:space="0"/>
              <w:left w:val="single" w:color="000000" w:sz="4" w:space="0"/>
              <w:bottom w:val="single" w:color="000000" w:sz="4" w:space="0"/>
              <w:right w:val="single" w:color="000000" w:sz="4" w:space="0"/>
            </w:tcBorders>
            <w:vAlign w:val="center"/>
          </w:tcPr>
          <w:p w14:paraId="6DFADA6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安检等级标签</w:t>
            </w:r>
          </w:p>
        </w:tc>
      </w:tr>
      <w:tr w14:paraId="7F486FA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5E605D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E5AB3A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599BDE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099B66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6D6FDC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安全事件记录标签</w:t>
            </w:r>
          </w:p>
        </w:tc>
      </w:tr>
      <w:tr w14:paraId="1DD1768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8FA31A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29B5C8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A96A7C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14044B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220699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应急演练记录标签</w:t>
            </w:r>
          </w:p>
        </w:tc>
      </w:tr>
      <w:tr w14:paraId="5026501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EAE03F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119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A90BB7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FE8E09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41F98D4">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6F11CA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消防设施完备度标签</w:t>
            </w:r>
          </w:p>
        </w:tc>
      </w:tr>
      <w:tr w14:paraId="3D3199D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84F9EC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2D1AADC">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2C9EF7B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场站关联标签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0D737BC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28B727C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关联交通方式标签</w:t>
            </w:r>
          </w:p>
        </w:tc>
      </w:tr>
      <w:tr w14:paraId="1990AAF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5F3623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2AE40E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EFE9E27">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2CF3DD9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5E34D4F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关联运营企业标签</w:t>
            </w:r>
          </w:p>
        </w:tc>
      </w:tr>
      <w:tr w14:paraId="3375977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7873FC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5D0B3A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55B247E">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70C029C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区域关联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109EA1A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周边功能区标签</w:t>
            </w:r>
          </w:p>
        </w:tc>
      </w:tr>
      <w:tr w14:paraId="69E925C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52FCCC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123</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14:paraId="0B636B9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道路设施标签库</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003C1D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基础属性标签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9AF0DA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设施等级</w:t>
            </w:r>
          </w:p>
        </w:tc>
        <w:tc>
          <w:tcPr>
            <w:tcW w:w="1862" w:type="pct"/>
            <w:tcBorders>
              <w:top w:val="single" w:color="000000" w:sz="4" w:space="0"/>
              <w:left w:val="single" w:color="000000" w:sz="4" w:space="0"/>
              <w:bottom w:val="single" w:color="000000" w:sz="4" w:space="0"/>
              <w:right w:val="single" w:color="000000" w:sz="4" w:space="0"/>
            </w:tcBorders>
            <w:vAlign w:val="center"/>
          </w:tcPr>
          <w:p w14:paraId="5A8C91D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道路等级标签</w:t>
            </w:r>
          </w:p>
        </w:tc>
      </w:tr>
      <w:tr w14:paraId="371C0C8A">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0365D5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1CC557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8DC448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C9A817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CE618A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城市道路等级标签</w:t>
            </w:r>
          </w:p>
        </w:tc>
      </w:tr>
      <w:tr w14:paraId="3333E9B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303E7E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6C8777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EA5728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4DA514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2ABBE7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乡村道路标签</w:t>
            </w:r>
          </w:p>
        </w:tc>
      </w:tr>
      <w:tr w14:paraId="1B6776E9">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25A84D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0D4FCF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909626D">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3F356E4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道路类型</w:t>
            </w:r>
          </w:p>
        </w:tc>
        <w:tc>
          <w:tcPr>
            <w:tcW w:w="1862" w:type="pct"/>
            <w:tcBorders>
              <w:top w:val="single" w:color="000000" w:sz="4" w:space="0"/>
              <w:left w:val="single" w:color="000000" w:sz="4" w:space="0"/>
              <w:bottom w:val="single" w:color="000000" w:sz="4" w:space="0"/>
              <w:right w:val="single" w:color="000000" w:sz="4" w:space="0"/>
            </w:tcBorders>
            <w:vAlign w:val="center"/>
          </w:tcPr>
          <w:p w14:paraId="2338A45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道路类型标签</w:t>
            </w:r>
          </w:p>
        </w:tc>
      </w:tr>
      <w:tr w14:paraId="3CD43E1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D363B6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74D41D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8152B70">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2F557E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设施规模</w:t>
            </w:r>
          </w:p>
        </w:tc>
        <w:tc>
          <w:tcPr>
            <w:tcW w:w="1862" w:type="pct"/>
            <w:tcBorders>
              <w:top w:val="single" w:color="000000" w:sz="4" w:space="0"/>
              <w:left w:val="single" w:color="000000" w:sz="4" w:space="0"/>
              <w:bottom w:val="single" w:color="000000" w:sz="4" w:space="0"/>
              <w:right w:val="single" w:color="000000" w:sz="4" w:space="0"/>
            </w:tcBorders>
            <w:vAlign w:val="center"/>
          </w:tcPr>
          <w:p w14:paraId="5F1007A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车道数标签</w:t>
            </w:r>
          </w:p>
        </w:tc>
      </w:tr>
      <w:tr w14:paraId="4D813B03">
        <w:tblPrEx>
          <w:tblCellMar>
            <w:top w:w="0" w:type="dxa"/>
            <w:left w:w="108" w:type="dxa"/>
            <w:bottom w:w="0" w:type="dxa"/>
            <w:right w:w="108" w:type="dxa"/>
          </w:tblCellMar>
        </w:tblPrEx>
        <w:trPr>
          <w:trHeight w:val="27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669D16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A71236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581614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7AB7C5D">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C20F0D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桥隧长度标签</w:t>
            </w:r>
          </w:p>
        </w:tc>
      </w:tr>
      <w:tr w14:paraId="6F198AD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3AEEF0D">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129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18C419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3E85D63">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29A2A68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地理位置</w:t>
            </w:r>
          </w:p>
        </w:tc>
        <w:tc>
          <w:tcPr>
            <w:tcW w:w="1862" w:type="pct"/>
            <w:tcBorders>
              <w:top w:val="single" w:color="000000" w:sz="4" w:space="0"/>
              <w:left w:val="single" w:color="000000" w:sz="4" w:space="0"/>
              <w:bottom w:val="single" w:color="000000" w:sz="4" w:space="0"/>
              <w:right w:val="single" w:color="000000" w:sz="4" w:space="0"/>
            </w:tcBorders>
            <w:vAlign w:val="center"/>
          </w:tcPr>
          <w:p w14:paraId="4070987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所属区划标签</w:t>
            </w:r>
          </w:p>
        </w:tc>
      </w:tr>
      <w:tr w14:paraId="0C7D281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1E70D7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5EA8743">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8E1E1F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67F828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建设业务</w:t>
            </w:r>
          </w:p>
        </w:tc>
        <w:tc>
          <w:tcPr>
            <w:tcW w:w="1862" w:type="pct"/>
            <w:tcBorders>
              <w:top w:val="single" w:color="000000" w:sz="4" w:space="0"/>
              <w:left w:val="single" w:color="000000" w:sz="4" w:space="0"/>
              <w:bottom w:val="single" w:color="000000" w:sz="4" w:space="0"/>
              <w:right w:val="single" w:color="000000" w:sz="4" w:space="0"/>
            </w:tcBorders>
            <w:vAlign w:val="center"/>
          </w:tcPr>
          <w:p w14:paraId="3A21C10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建设年份标签</w:t>
            </w:r>
          </w:p>
        </w:tc>
      </w:tr>
      <w:tr w14:paraId="4ABE91E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CAE27A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AC60E6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BA6B45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2F80435">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748BF1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建设单位标签</w:t>
            </w:r>
          </w:p>
        </w:tc>
      </w:tr>
      <w:tr w14:paraId="09CC856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1466D3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F921DC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EF38D9C">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41FA5D4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管理业务</w:t>
            </w:r>
          </w:p>
        </w:tc>
        <w:tc>
          <w:tcPr>
            <w:tcW w:w="1862" w:type="pct"/>
            <w:tcBorders>
              <w:top w:val="single" w:color="000000" w:sz="4" w:space="0"/>
              <w:left w:val="single" w:color="000000" w:sz="4" w:space="0"/>
              <w:bottom w:val="single" w:color="000000" w:sz="4" w:space="0"/>
              <w:right w:val="single" w:color="000000" w:sz="4" w:space="0"/>
            </w:tcBorders>
            <w:vAlign w:val="center"/>
          </w:tcPr>
          <w:p w14:paraId="0C9E550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管理区划标签</w:t>
            </w:r>
          </w:p>
        </w:tc>
      </w:tr>
      <w:tr w14:paraId="6D93297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F3073B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5FC64E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8D01BCB">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0F69BF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养护业务</w:t>
            </w:r>
          </w:p>
        </w:tc>
        <w:tc>
          <w:tcPr>
            <w:tcW w:w="1862" w:type="pct"/>
            <w:tcBorders>
              <w:top w:val="single" w:color="000000" w:sz="4" w:space="0"/>
              <w:left w:val="single" w:color="000000" w:sz="4" w:space="0"/>
              <w:bottom w:val="single" w:color="000000" w:sz="4" w:space="0"/>
              <w:right w:val="single" w:color="000000" w:sz="4" w:space="0"/>
            </w:tcBorders>
            <w:vAlign w:val="center"/>
          </w:tcPr>
          <w:p w14:paraId="662AFCD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养护状态标签</w:t>
            </w:r>
          </w:p>
        </w:tc>
      </w:tr>
      <w:tr w14:paraId="6D3C0F9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543F9C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0C127A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8205C0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9DAD279">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0C2316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养护计划标签</w:t>
            </w:r>
          </w:p>
        </w:tc>
      </w:tr>
      <w:tr w14:paraId="105A217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292648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61ED2D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E9CA68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98D9AAE">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E7DD4E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养护企业标签</w:t>
            </w:r>
          </w:p>
        </w:tc>
      </w:tr>
      <w:tr w14:paraId="5E27E47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9469F4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5249AD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2CBF78D">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8A0ECD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通行约束条件</w:t>
            </w:r>
          </w:p>
        </w:tc>
        <w:tc>
          <w:tcPr>
            <w:tcW w:w="1862" w:type="pct"/>
            <w:tcBorders>
              <w:top w:val="single" w:color="000000" w:sz="4" w:space="0"/>
              <w:left w:val="single" w:color="000000" w:sz="4" w:space="0"/>
              <w:bottom w:val="single" w:color="000000" w:sz="4" w:space="0"/>
              <w:right w:val="single" w:color="000000" w:sz="4" w:space="0"/>
            </w:tcBorders>
            <w:vAlign w:val="center"/>
          </w:tcPr>
          <w:p w14:paraId="55494E0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限速条件标签</w:t>
            </w:r>
          </w:p>
        </w:tc>
      </w:tr>
      <w:tr w14:paraId="186A672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F69943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4B324C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3FC5C9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E67605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C7C732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桥隧限行标签</w:t>
            </w:r>
          </w:p>
        </w:tc>
      </w:tr>
      <w:tr w14:paraId="3A018B47">
        <w:tblPrEx>
          <w:tblCellMar>
            <w:top w:w="0" w:type="dxa"/>
            <w:left w:w="108" w:type="dxa"/>
            <w:bottom w:w="0" w:type="dxa"/>
            <w:right w:w="108" w:type="dxa"/>
          </w:tblCellMar>
        </w:tblPrEx>
        <w:trPr>
          <w:trHeight w:val="32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2037AC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DE7CF4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340E00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806950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C985E1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限重条件标签</w:t>
            </w:r>
          </w:p>
        </w:tc>
      </w:tr>
      <w:tr w14:paraId="1BD77D6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B3A7E4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139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609994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BAF787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39B60D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5E8E88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限高条件标签</w:t>
            </w:r>
          </w:p>
        </w:tc>
      </w:tr>
      <w:tr w14:paraId="11B75C3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7ECCAD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575E1F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5AAD31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40D5B9A">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FFF643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外牌限行标签</w:t>
            </w:r>
          </w:p>
        </w:tc>
      </w:tr>
      <w:tr w14:paraId="0F5D2285">
        <w:tblPrEx>
          <w:tblCellMar>
            <w:top w:w="0" w:type="dxa"/>
            <w:left w:w="108" w:type="dxa"/>
            <w:bottom w:w="0" w:type="dxa"/>
            <w:right w:w="108" w:type="dxa"/>
          </w:tblCellMar>
        </w:tblPrEx>
        <w:trPr>
          <w:trHeight w:val="26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74414B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12AAA3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747F99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ADD6665">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D573A8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临时限行条件标签</w:t>
            </w:r>
          </w:p>
        </w:tc>
      </w:tr>
      <w:tr w14:paraId="5D519A7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B1077F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4DAF62C">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355A02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运行标签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6820B1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流量特征</w:t>
            </w:r>
          </w:p>
        </w:tc>
        <w:tc>
          <w:tcPr>
            <w:tcW w:w="1862" w:type="pct"/>
            <w:tcBorders>
              <w:top w:val="single" w:color="000000" w:sz="4" w:space="0"/>
              <w:left w:val="single" w:color="000000" w:sz="4" w:space="0"/>
              <w:bottom w:val="single" w:color="000000" w:sz="4" w:space="0"/>
              <w:right w:val="single" w:color="000000" w:sz="4" w:space="0"/>
            </w:tcBorders>
            <w:vAlign w:val="center"/>
          </w:tcPr>
          <w:p w14:paraId="4C5ED9D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流量评价标签</w:t>
            </w:r>
          </w:p>
        </w:tc>
      </w:tr>
      <w:tr w14:paraId="16D9556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4AD9F2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36BE7D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AED3A3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FB8B7B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31B375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繁忙时段标签</w:t>
            </w:r>
          </w:p>
        </w:tc>
      </w:tr>
      <w:tr w14:paraId="63B930E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32637C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FA7FB0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28CDE3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AFF885F">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C9A01B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桥隧流量标签</w:t>
            </w:r>
          </w:p>
        </w:tc>
      </w:tr>
      <w:tr w14:paraId="7950055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D6C0B6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317007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92CAC5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CC9F585">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6668B9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通行效率标签</w:t>
            </w:r>
          </w:p>
        </w:tc>
      </w:tr>
      <w:tr w14:paraId="1BE03046">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6C651F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F5CD21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EE08990">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64B9858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特征车辆</w:t>
            </w:r>
          </w:p>
        </w:tc>
        <w:tc>
          <w:tcPr>
            <w:tcW w:w="1862" w:type="pct"/>
            <w:tcBorders>
              <w:top w:val="single" w:color="000000" w:sz="4" w:space="0"/>
              <w:left w:val="single" w:color="000000" w:sz="4" w:space="0"/>
              <w:bottom w:val="single" w:color="000000" w:sz="4" w:space="0"/>
              <w:right w:val="single" w:color="000000" w:sz="4" w:space="0"/>
            </w:tcBorders>
            <w:vAlign w:val="center"/>
          </w:tcPr>
          <w:p w14:paraId="2D33C79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特征车辆高频通行标签</w:t>
            </w:r>
          </w:p>
        </w:tc>
      </w:tr>
      <w:tr w14:paraId="32937D5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87D368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9591916">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42EEAF32">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2EB75D7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交通事故风险</w:t>
            </w:r>
          </w:p>
        </w:tc>
        <w:tc>
          <w:tcPr>
            <w:tcW w:w="1862" w:type="pct"/>
            <w:tcBorders>
              <w:top w:val="single" w:color="000000" w:sz="4" w:space="0"/>
              <w:left w:val="single" w:color="000000" w:sz="4" w:space="0"/>
              <w:bottom w:val="single" w:color="000000" w:sz="4" w:space="0"/>
              <w:right w:val="single" w:color="000000" w:sz="4" w:space="0"/>
            </w:tcBorders>
            <w:vAlign w:val="center"/>
          </w:tcPr>
          <w:p w14:paraId="4D2CE98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事故数量标签</w:t>
            </w:r>
          </w:p>
        </w:tc>
      </w:tr>
      <w:tr w14:paraId="47A4F8B3">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8363C0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270B54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D7BFAF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34487F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553A6D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常发事故类型标签</w:t>
            </w:r>
          </w:p>
        </w:tc>
      </w:tr>
      <w:tr w14:paraId="4E479B3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3C0CB8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149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27289A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7B107B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3C45719">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CC8EFC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桥隧事故类型标签</w:t>
            </w:r>
          </w:p>
        </w:tc>
      </w:tr>
      <w:tr w14:paraId="06B7FAF3">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64C24A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A2FB37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C8A1E7B">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702C0F1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环境风险</w:t>
            </w:r>
          </w:p>
        </w:tc>
        <w:tc>
          <w:tcPr>
            <w:tcW w:w="1862" w:type="pct"/>
            <w:tcBorders>
              <w:top w:val="single" w:color="000000" w:sz="4" w:space="0"/>
              <w:left w:val="single" w:color="000000" w:sz="4" w:space="0"/>
              <w:bottom w:val="single" w:color="000000" w:sz="4" w:space="0"/>
              <w:right w:val="single" w:color="000000" w:sz="4" w:space="0"/>
            </w:tcBorders>
            <w:vAlign w:val="center"/>
          </w:tcPr>
          <w:p w14:paraId="2036D3B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天气风险标签</w:t>
            </w:r>
          </w:p>
        </w:tc>
      </w:tr>
      <w:tr w14:paraId="1BD2EE4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203C57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AC58C6D">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AF0F9E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其他关联标签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57711A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场所业态描述</w:t>
            </w:r>
          </w:p>
        </w:tc>
        <w:tc>
          <w:tcPr>
            <w:tcW w:w="1862" w:type="pct"/>
            <w:tcBorders>
              <w:top w:val="single" w:color="000000" w:sz="4" w:space="0"/>
              <w:left w:val="single" w:color="000000" w:sz="4" w:space="0"/>
              <w:bottom w:val="single" w:color="000000" w:sz="4" w:space="0"/>
              <w:right w:val="single" w:color="000000" w:sz="4" w:space="0"/>
            </w:tcBorders>
            <w:vAlign w:val="center"/>
          </w:tcPr>
          <w:p w14:paraId="0A25189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大型交通枢纽标签</w:t>
            </w:r>
          </w:p>
        </w:tc>
      </w:tr>
      <w:tr w14:paraId="727A500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F2FC16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FD9060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45B14E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A5250F1">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6ED479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体育场馆标签</w:t>
            </w:r>
          </w:p>
        </w:tc>
      </w:tr>
      <w:tr w14:paraId="59218AA7">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B7CBDC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0D1FDB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8F04B0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7F78929">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47E6B2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旅游景区标签</w:t>
            </w:r>
          </w:p>
        </w:tc>
      </w:tr>
      <w:tr w14:paraId="28A63A3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188D71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7B5B86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30DFEA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564FB6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11707B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教育机构周边标签</w:t>
            </w:r>
          </w:p>
        </w:tc>
      </w:tr>
      <w:tr w14:paraId="0684F19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555BA9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EAEF99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4FC983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F39B6A0">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0121F4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医疗机构周边标签</w:t>
            </w:r>
          </w:p>
        </w:tc>
      </w:tr>
      <w:tr w14:paraId="7993B31B">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3F8038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536C04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195994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1963B8B">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A2F4BC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商业设施周边标签</w:t>
            </w:r>
          </w:p>
        </w:tc>
      </w:tr>
      <w:tr w14:paraId="482E666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6FDA52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731E05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024BC63">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2501A9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路侧点位标签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0625BCF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路侧设施标签</w:t>
            </w:r>
          </w:p>
        </w:tc>
      </w:tr>
      <w:tr w14:paraId="29C4821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6ECDF0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5885C1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A1CB69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47B537D">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06D325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出行设施标签</w:t>
            </w:r>
          </w:p>
        </w:tc>
      </w:tr>
      <w:tr w14:paraId="1F503E2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32027B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159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6D79CE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B36840B">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F06AFF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附属设施标签</w:t>
            </w:r>
          </w:p>
        </w:tc>
        <w:tc>
          <w:tcPr>
            <w:tcW w:w="1862" w:type="pct"/>
            <w:tcBorders>
              <w:top w:val="single" w:color="000000" w:sz="4" w:space="0"/>
              <w:left w:val="single" w:color="000000" w:sz="4" w:space="0"/>
              <w:bottom w:val="single" w:color="000000" w:sz="4" w:space="0"/>
              <w:right w:val="single" w:color="000000" w:sz="4" w:space="0"/>
            </w:tcBorders>
            <w:vAlign w:val="center"/>
          </w:tcPr>
          <w:p w14:paraId="10EDF32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特殊车道标签</w:t>
            </w:r>
          </w:p>
        </w:tc>
      </w:tr>
      <w:tr w14:paraId="73C0449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B8649D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EF5462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9F488B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33DA75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FB781E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监控设施标签</w:t>
            </w:r>
          </w:p>
        </w:tc>
      </w:tr>
      <w:tr w14:paraId="1BA7F2C3">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1F38DD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55603C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EC4A52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4653CCD">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DE2A06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重点桥隧标签</w:t>
            </w:r>
          </w:p>
        </w:tc>
      </w:tr>
      <w:tr w14:paraId="493B83C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74F321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162</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14:paraId="3B8F16C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航运码头标签库</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0AC9BA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基础属性标签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284F224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469DD9C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码头类型标签</w:t>
            </w:r>
          </w:p>
        </w:tc>
      </w:tr>
      <w:tr w14:paraId="06BBA57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D7718E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8A8BD3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517690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9A8FBEB">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7BD61E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码头规模标签</w:t>
            </w:r>
          </w:p>
        </w:tc>
      </w:tr>
      <w:tr w14:paraId="7CC05D8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5193E6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02B461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C7C9AB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0D79157">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FDC82F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岸线长度标签</w:t>
            </w:r>
          </w:p>
        </w:tc>
      </w:tr>
      <w:tr w14:paraId="476A4FF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CA5D78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22401A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FFC74D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B8A5DB4">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739E99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泊位数量标签</w:t>
            </w:r>
          </w:p>
        </w:tc>
      </w:tr>
      <w:tr w14:paraId="2218C33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4A4350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4B0353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FD86567">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5B67CE0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地理位置</w:t>
            </w:r>
          </w:p>
        </w:tc>
        <w:tc>
          <w:tcPr>
            <w:tcW w:w="1862" w:type="pct"/>
            <w:tcBorders>
              <w:top w:val="single" w:color="000000" w:sz="4" w:space="0"/>
              <w:left w:val="single" w:color="000000" w:sz="4" w:space="0"/>
              <w:bottom w:val="single" w:color="000000" w:sz="4" w:space="0"/>
              <w:right w:val="single" w:color="000000" w:sz="4" w:space="0"/>
            </w:tcBorders>
            <w:vAlign w:val="center"/>
          </w:tcPr>
          <w:p w14:paraId="4D66259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所属区域标签</w:t>
            </w:r>
          </w:p>
        </w:tc>
      </w:tr>
      <w:tr w14:paraId="2E4B551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638F56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7EAEB9A">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48961F7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1E4795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业务功能</w:t>
            </w:r>
          </w:p>
        </w:tc>
        <w:tc>
          <w:tcPr>
            <w:tcW w:w="1862" w:type="pct"/>
            <w:tcBorders>
              <w:top w:val="single" w:color="000000" w:sz="4" w:space="0"/>
              <w:left w:val="single" w:color="000000" w:sz="4" w:space="0"/>
              <w:bottom w:val="single" w:color="000000" w:sz="4" w:space="0"/>
              <w:right w:val="single" w:color="000000" w:sz="4" w:space="0"/>
            </w:tcBorders>
            <w:vAlign w:val="center"/>
          </w:tcPr>
          <w:p w14:paraId="4A791FE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主要业务类型标签</w:t>
            </w:r>
          </w:p>
        </w:tc>
      </w:tr>
      <w:tr w14:paraId="65C6403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479479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FA5C4C6">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CD6175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268EB3A">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14BD92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经营性质标签</w:t>
            </w:r>
          </w:p>
        </w:tc>
      </w:tr>
      <w:tr w14:paraId="30B01D2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E250A1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169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032FF6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AB77BC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EF13EF9">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E6AB60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航线覆盖标签</w:t>
            </w:r>
          </w:p>
        </w:tc>
      </w:tr>
      <w:tr w14:paraId="4AA0674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2750BB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9832BA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EDFF08A">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1781A48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业务许可</w:t>
            </w:r>
          </w:p>
        </w:tc>
        <w:tc>
          <w:tcPr>
            <w:tcW w:w="1862" w:type="pct"/>
            <w:tcBorders>
              <w:top w:val="single" w:color="000000" w:sz="4" w:space="0"/>
              <w:left w:val="single" w:color="000000" w:sz="4" w:space="0"/>
              <w:bottom w:val="single" w:color="000000" w:sz="4" w:space="0"/>
              <w:right w:val="single" w:color="000000" w:sz="4" w:space="0"/>
            </w:tcBorders>
            <w:vAlign w:val="center"/>
          </w:tcPr>
          <w:p w14:paraId="30ADC45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码头经营许可状态标签</w:t>
            </w:r>
          </w:p>
        </w:tc>
      </w:tr>
      <w:tr w14:paraId="79BABB3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6FB90F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776670D">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2F25CA9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28FB5EB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运行特征</w:t>
            </w:r>
          </w:p>
        </w:tc>
        <w:tc>
          <w:tcPr>
            <w:tcW w:w="1862" w:type="pct"/>
            <w:tcBorders>
              <w:top w:val="single" w:color="000000" w:sz="4" w:space="0"/>
              <w:left w:val="single" w:color="000000" w:sz="4" w:space="0"/>
              <w:bottom w:val="single" w:color="000000" w:sz="4" w:space="0"/>
              <w:right w:val="single" w:color="000000" w:sz="4" w:space="0"/>
            </w:tcBorders>
            <w:vAlign w:val="center"/>
          </w:tcPr>
          <w:p w14:paraId="451F5FA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货运吞吐量标签</w:t>
            </w:r>
          </w:p>
        </w:tc>
      </w:tr>
      <w:tr w14:paraId="37138FA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EE0789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75313F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9BB01B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59145AA">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54FB5E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客运流量标签</w:t>
            </w:r>
          </w:p>
        </w:tc>
      </w:tr>
      <w:tr w14:paraId="21DCE2E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1337E0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F46C45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95FA37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2BBAF1A">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F9B40D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作业效率标签</w:t>
            </w:r>
          </w:p>
        </w:tc>
      </w:tr>
      <w:tr w14:paraId="003BD83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C181D2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916145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A57AF8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39FF4F7">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05A1D2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高峰作业时段标签</w:t>
            </w:r>
          </w:p>
        </w:tc>
      </w:tr>
      <w:tr w14:paraId="4D2ADA13">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2B9E17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6C2037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8FBDC0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1670E5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AA688A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多式联运标签</w:t>
            </w:r>
          </w:p>
        </w:tc>
      </w:tr>
      <w:tr w14:paraId="4EB0A25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95789B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76361C7">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6E52BD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BB52BD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安全合规</w:t>
            </w:r>
          </w:p>
        </w:tc>
        <w:tc>
          <w:tcPr>
            <w:tcW w:w="1862" w:type="pct"/>
            <w:tcBorders>
              <w:top w:val="single" w:color="000000" w:sz="4" w:space="0"/>
              <w:left w:val="single" w:color="000000" w:sz="4" w:space="0"/>
              <w:bottom w:val="single" w:color="000000" w:sz="4" w:space="0"/>
              <w:right w:val="single" w:color="000000" w:sz="4" w:space="0"/>
            </w:tcBorders>
            <w:vAlign w:val="center"/>
          </w:tcPr>
          <w:p w14:paraId="564CFB8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安全事故记录标签</w:t>
            </w:r>
          </w:p>
        </w:tc>
      </w:tr>
      <w:tr w14:paraId="2955930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0E651A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82D074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EB7AA52">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932052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2A4345D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危险品作业管理标签</w:t>
            </w:r>
          </w:p>
        </w:tc>
      </w:tr>
      <w:tr w14:paraId="54C2775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42AC44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99DA76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366B45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657FCD9">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7D4B62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防疫防控标签</w:t>
            </w:r>
          </w:p>
        </w:tc>
      </w:tr>
      <w:tr w14:paraId="063DB319">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935F63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179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7F36CF3">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FE0337B">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022A6C9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环境风险</w:t>
            </w:r>
          </w:p>
        </w:tc>
        <w:tc>
          <w:tcPr>
            <w:tcW w:w="1862" w:type="pct"/>
            <w:tcBorders>
              <w:top w:val="single" w:color="000000" w:sz="4" w:space="0"/>
              <w:left w:val="single" w:color="000000" w:sz="4" w:space="0"/>
              <w:bottom w:val="single" w:color="000000" w:sz="4" w:space="0"/>
              <w:right w:val="single" w:color="000000" w:sz="4" w:space="0"/>
            </w:tcBorders>
            <w:vAlign w:val="center"/>
          </w:tcPr>
          <w:p w14:paraId="6CD5D64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港口环境风险标签</w:t>
            </w:r>
          </w:p>
        </w:tc>
      </w:tr>
      <w:tr w14:paraId="225525D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3A7A87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CCBE16C">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6F4DB7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7189C96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0036DF8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关联航运企业标签</w:t>
            </w:r>
          </w:p>
        </w:tc>
      </w:tr>
      <w:tr w14:paraId="45F7DC6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4719D3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627C0B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40098D6">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5C34B9C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区域关联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4E2BCD4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关联产业区标签</w:t>
            </w:r>
          </w:p>
        </w:tc>
      </w:tr>
      <w:tr w14:paraId="33B8AF3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9FDA40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6B2CC9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509BBCE">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22AEDCA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3DA99DF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接驳交通方式标签</w:t>
            </w:r>
          </w:p>
        </w:tc>
      </w:tr>
      <w:tr w14:paraId="417B9F8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AA7EAF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183</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14:paraId="402149B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交通船舶标签库</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1E3710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基础属性标签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878DED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030A824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船舶类型标签</w:t>
            </w:r>
          </w:p>
        </w:tc>
      </w:tr>
      <w:tr w14:paraId="66958F8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C59EEA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C36125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724CC2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5B7124B">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0375C9D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船籍港标签</w:t>
            </w:r>
          </w:p>
        </w:tc>
      </w:tr>
      <w:tr w14:paraId="0528888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2ADFA9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B8AD46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3DF637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7726D9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362627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吨位等级标签</w:t>
            </w:r>
          </w:p>
        </w:tc>
      </w:tr>
      <w:tr w14:paraId="27359D46">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0224BF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2686A6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BE78A0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30940C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1C26133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建造年份标签</w:t>
            </w:r>
          </w:p>
        </w:tc>
      </w:tr>
      <w:tr w14:paraId="24BD8F1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67E05C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005B23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9700D7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B79CD17">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F78CBA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船舶所有权标签</w:t>
            </w:r>
          </w:p>
        </w:tc>
      </w:tr>
      <w:tr w14:paraId="11C099B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666EA6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C773F73">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D52CCC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43E67FC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证件许可</w:t>
            </w:r>
          </w:p>
        </w:tc>
        <w:tc>
          <w:tcPr>
            <w:tcW w:w="1862" w:type="pct"/>
            <w:tcBorders>
              <w:top w:val="single" w:color="000000" w:sz="4" w:space="0"/>
              <w:left w:val="single" w:color="000000" w:sz="4" w:space="0"/>
              <w:bottom w:val="single" w:color="000000" w:sz="4" w:space="0"/>
              <w:right w:val="single" w:color="000000" w:sz="4" w:space="0"/>
            </w:tcBorders>
            <w:vAlign w:val="center"/>
          </w:tcPr>
          <w:p w14:paraId="000EA80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船舶营运证状态标签</w:t>
            </w:r>
          </w:p>
        </w:tc>
      </w:tr>
      <w:tr w14:paraId="65E0BFD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FD0B5B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189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599D2D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19A47E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342B0EE">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791D24A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船级社检验证书标签</w:t>
            </w:r>
          </w:p>
        </w:tc>
      </w:tr>
      <w:tr w14:paraId="25EFD1D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80611D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026691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47C5CDD">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E75F1E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运营业务</w:t>
            </w:r>
          </w:p>
        </w:tc>
        <w:tc>
          <w:tcPr>
            <w:tcW w:w="1862" w:type="pct"/>
            <w:tcBorders>
              <w:top w:val="single" w:color="000000" w:sz="4" w:space="0"/>
              <w:left w:val="single" w:color="000000" w:sz="4" w:space="0"/>
              <w:bottom w:val="single" w:color="000000" w:sz="4" w:space="0"/>
              <w:right w:val="single" w:color="000000" w:sz="4" w:space="0"/>
            </w:tcBorders>
            <w:vAlign w:val="center"/>
          </w:tcPr>
          <w:p w14:paraId="5C95736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航线类型标签</w:t>
            </w:r>
          </w:p>
        </w:tc>
      </w:tr>
      <w:tr w14:paraId="767999E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C964C9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C53983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F07100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2E9D9A5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8986E9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营运性质标签</w:t>
            </w:r>
          </w:p>
        </w:tc>
      </w:tr>
      <w:tr w14:paraId="5035D49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554476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67F2DD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B5ABA0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4CED85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68A055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营运权属标签</w:t>
            </w:r>
          </w:p>
        </w:tc>
      </w:tr>
      <w:tr w14:paraId="3F31B4D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A5634F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5DDD6F7">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587DB3E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运营特征标签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DD8852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运输作业特征</w:t>
            </w:r>
          </w:p>
        </w:tc>
        <w:tc>
          <w:tcPr>
            <w:tcW w:w="1862" w:type="pct"/>
            <w:tcBorders>
              <w:top w:val="single" w:color="000000" w:sz="4" w:space="0"/>
              <w:left w:val="single" w:color="000000" w:sz="4" w:space="0"/>
              <w:bottom w:val="single" w:color="000000" w:sz="4" w:space="0"/>
              <w:right w:val="single" w:color="000000" w:sz="4" w:space="0"/>
            </w:tcBorders>
            <w:vAlign w:val="center"/>
          </w:tcPr>
          <w:p w14:paraId="6EE6DE2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航行里程标签</w:t>
            </w:r>
          </w:p>
        </w:tc>
      </w:tr>
      <w:tr w14:paraId="6DAB6C7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27C24A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F2EC47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491E45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AA82EB2">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411338A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航次频率标签</w:t>
            </w:r>
          </w:p>
        </w:tc>
      </w:tr>
      <w:tr w14:paraId="625AF99F">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F9DD1A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5E5CD1F">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552015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BE0401E">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5B047D8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靠泊频率标签</w:t>
            </w:r>
          </w:p>
        </w:tc>
      </w:tr>
      <w:tr w14:paraId="1438284A">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FE8E49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2A67CE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2CEEF4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C7120A6">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4D11F3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运输效率标签</w:t>
            </w:r>
          </w:p>
        </w:tc>
      </w:tr>
      <w:tr w14:paraId="19949BB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B658D1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2216831">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2D5BFC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安全标签</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0C52594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安全合规</w:t>
            </w:r>
          </w:p>
        </w:tc>
        <w:tc>
          <w:tcPr>
            <w:tcW w:w="1862" w:type="pct"/>
            <w:tcBorders>
              <w:top w:val="single" w:color="000000" w:sz="4" w:space="0"/>
              <w:left w:val="single" w:color="000000" w:sz="4" w:space="0"/>
              <w:bottom w:val="single" w:color="000000" w:sz="4" w:space="0"/>
              <w:right w:val="single" w:color="000000" w:sz="4" w:space="0"/>
            </w:tcBorders>
            <w:vAlign w:val="center"/>
          </w:tcPr>
          <w:p w14:paraId="69AFEB2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违章记录标签</w:t>
            </w:r>
          </w:p>
        </w:tc>
      </w:tr>
      <w:tr w14:paraId="7BF3ABFA">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B5B2D4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17D86D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4D4D77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2351458">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BD8739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事故记录标签</w:t>
            </w:r>
          </w:p>
        </w:tc>
      </w:tr>
      <w:tr w14:paraId="379AB363">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1C2FB3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199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AAEA60A">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648423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91A0893">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678F4FC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事故责任标签</w:t>
            </w:r>
          </w:p>
        </w:tc>
      </w:tr>
      <w:tr w14:paraId="4F280C4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669372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138C06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7B7FD1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DB2E82C">
            <w:pPr>
              <w:spacing w:before="60" w:after="60" w:line="240" w:lineRule="auto"/>
              <w:ind w:firstLine="0" w:firstLineChars="0"/>
              <w:jc w:val="left"/>
              <w:rPr>
                <w:rFonts w:hint="eastAsia"/>
                <w:color w:val="000000"/>
                <w:w w:val="90"/>
                <w:sz w:val="21"/>
                <w:szCs w:val="21"/>
              </w:rPr>
            </w:pPr>
          </w:p>
        </w:tc>
        <w:tc>
          <w:tcPr>
            <w:tcW w:w="1862" w:type="pct"/>
            <w:tcBorders>
              <w:top w:val="single" w:color="000000" w:sz="4" w:space="0"/>
              <w:left w:val="single" w:color="000000" w:sz="4" w:space="0"/>
              <w:bottom w:val="single" w:color="000000" w:sz="4" w:space="0"/>
              <w:right w:val="single" w:color="000000" w:sz="4" w:space="0"/>
            </w:tcBorders>
            <w:vAlign w:val="center"/>
          </w:tcPr>
          <w:p w14:paraId="3A8C7F6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适航性检验标签</w:t>
            </w:r>
          </w:p>
        </w:tc>
      </w:tr>
      <w:tr w14:paraId="69411324">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A120B5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1A27D40">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107AACF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6714414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企业关联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4AC3621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关联航运企业标签</w:t>
            </w:r>
          </w:p>
        </w:tc>
      </w:tr>
      <w:tr w14:paraId="59A8FEA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D7ADD4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A06A889">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B677063">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1B3F013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区域关联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7FAF659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主要港口停靠标签</w:t>
            </w:r>
          </w:p>
        </w:tc>
      </w:tr>
      <w:tr w14:paraId="0C1CA880">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41D093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203</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14:paraId="4AF8AB8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交通线路标签库</w:t>
            </w: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73D317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基础属性标签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143CC4F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2C0754A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线路类型标签</w:t>
            </w:r>
          </w:p>
        </w:tc>
      </w:tr>
      <w:tr w14:paraId="730C711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3FB09F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E657DB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5A0D593">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74ABEE2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基础信息</w:t>
            </w:r>
          </w:p>
        </w:tc>
        <w:tc>
          <w:tcPr>
            <w:tcW w:w="1862" w:type="pct"/>
            <w:tcBorders>
              <w:top w:val="single" w:color="000000" w:sz="4" w:space="0"/>
              <w:left w:val="single" w:color="000000" w:sz="4" w:space="0"/>
              <w:bottom w:val="single" w:color="000000" w:sz="4" w:space="0"/>
              <w:right w:val="single" w:color="000000" w:sz="4" w:space="0"/>
            </w:tcBorders>
            <w:vAlign w:val="center"/>
          </w:tcPr>
          <w:p w14:paraId="760BFDE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线路长度标签</w:t>
            </w:r>
          </w:p>
        </w:tc>
      </w:tr>
      <w:tr w14:paraId="7A37E99D">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79944B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33C0BD88">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E18FBDA">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247ED6F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地理范围</w:t>
            </w:r>
          </w:p>
        </w:tc>
        <w:tc>
          <w:tcPr>
            <w:tcW w:w="1862" w:type="pct"/>
            <w:tcBorders>
              <w:top w:val="single" w:color="000000" w:sz="4" w:space="0"/>
              <w:left w:val="single" w:color="000000" w:sz="4" w:space="0"/>
              <w:bottom w:val="single" w:color="000000" w:sz="4" w:space="0"/>
              <w:right w:val="single" w:color="000000" w:sz="4" w:space="0"/>
            </w:tcBorders>
            <w:vAlign w:val="center"/>
          </w:tcPr>
          <w:p w14:paraId="0E60900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线路服务区域标签</w:t>
            </w:r>
          </w:p>
        </w:tc>
      </w:tr>
      <w:tr w14:paraId="7EB03DDB">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94B65A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6A5A6C21">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420257F">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243B0BF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设施规模</w:t>
            </w:r>
          </w:p>
        </w:tc>
        <w:tc>
          <w:tcPr>
            <w:tcW w:w="1862" w:type="pct"/>
            <w:tcBorders>
              <w:top w:val="single" w:color="000000" w:sz="4" w:space="0"/>
              <w:left w:val="single" w:color="000000" w:sz="4" w:space="0"/>
              <w:bottom w:val="single" w:color="000000" w:sz="4" w:space="0"/>
              <w:right w:val="single" w:color="000000" w:sz="4" w:space="0"/>
            </w:tcBorders>
            <w:vAlign w:val="center"/>
          </w:tcPr>
          <w:p w14:paraId="1C7E5DB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站点数量标签</w:t>
            </w:r>
          </w:p>
        </w:tc>
      </w:tr>
      <w:tr w14:paraId="5D172CF1">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E8566E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E23DB9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74213E6">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725A1C0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设施规模</w:t>
            </w:r>
          </w:p>
        </w:tc>
        <w:tc>
          <w:tcPr>
            <w:tcW w:w="1862" w:type="pct"/>
            <w:tcBorders>
              <w:top w:val="single" w:color="000000" w:sz="4" w:space="0"/>
              <w:left w:val="single" w:color="000000" w:sz="4" w:space="0"/>
              <w:bottom w:val="single" w:color="000000" w:sz="4" w:space="0"/>
              <w:right w:val="single" w:color="000000" w:sz="4" w:space="0"/>
            </w:tcBorders>
            <w:vAlign w:val="center"/>
          </w:tcPr>
          <w:p w14:paraId="681EC6C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跨江线路标签</w:t>
            </w:r>
          </w:p>
        </w:tc>
      </w:tr>
      <w:tr w14:paraId="1DDB787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178DD8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0B3A941">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72B1E8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190796F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运营单位</w:t>
            </w:r>
          </w:p>
        </w:tc>
        <w:tc>
          <w:tcPr>
            <w:tcW w:w="1862" w:type="pct"/>
            <w:tcBorders>
              <w:top w:val="single" w:color="000000" w:sz="4" w:space="0"/>
              <w:left w:val="single" w:color="000000" w:sz="4" w:space="0"/>
              <w:bottom w:val="single" w:color="000000" w:sz="4" w:space="0"/>
              <w:right w:val="single" w:color="000000" w:sz="4" w:space="0"/>
            </w:tcBorders>
            <w:vAlign w:val="center"/>
          </w:tcPr>
          <w:p w14:paraId="177743F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运营企业标签</w:t>
            </w:r>
          </w:p>
        </w:tc>
      </w:tr>
      <w:tr w14:paraId="1821C5AC">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EE6CBC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209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D0881D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4A1D7784">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12989A3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业务许可</w:t>
            </w:r>
          </w:p>
        </w:tc>
        <w:tc>
          <w:tcPr>
            <w:tcW w:w="1862" w:type="pct"/>
            <w:tcBorders>
              <w:top w:val="single" w:color="000000" w:sz="4" w:space="0"/>
              <w:left w:val="single" w:color="000000" w:sz="4" w:space="0"/>
              <w:bottom w:val="single" w:color="000000" w:sz="4" w:space="0"/>
              <w:right w:val="single" w:color="000000" w:sz="4" w:space="0"/>
            </w:tcBorders>
            <w:vAlign w:val="center"/>
          </w:tcPr>
          <w:p w14:paraId="221B81B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线路许可状态标签</w:t>
            </w:r>
          </w:p>
        </w:tc>
      </w:tr>
      <w:tr w14:paraId="3D739E7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2FAE5F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3F3EAAB">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B3CCFAB">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5D89EB6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功能定位</w:t>
            </w:r>
          </w:p>
        </w:tc>
        <w:tc>
          <w:tcPr>
            <w:tcW w:w="1862" w:type="pct"/>
            <w:tcBorders>
              <w:top w:val="single" w:color="000000" w:sz="4" w:space="0"/>
              <w:left w:val="single" w:color="000000" w:sz="4" w:space="0"/>
              <w:bottom w:val="single" w:color="000000" w:sz="4" w:space="0"/>
              <w:right w:val="single" w:color="000000" w:sz="4" w:space="0"/>
            </w:tcBorders>
            <w:vAlign w:val="center"/>
          </w:tcPr>
          <w:p w14:paraId="53EC0DA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线路功能标签</w:t>
            </w:r>
          </w:p>
        </w:tc>
      </w:tr>
      <w:tr w14:paraId="6D39B7D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657B93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8E8F1C4">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5F98FF55">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56AEC7F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票价方式</w:t>
            </w:r>
          </w:p>
        </w:tc>
        <w:tc>
          <w:tcPr>
            <w:tcW w:w="1862" w:type="pct"/>
            <w:tcBorders>
              <w:top w:val="single" w:color="000000" w:sz="4" w:space="0"/>
              <w:left w:val="single" w:color="000000" w:sz="4" w:space="0"/>
              <w:bottom w:val="single" w:color="000000" w:sz="4" w:space="0"/>
              <w:right w:val="single" w:color="000000" w:sz="4" w:space="0"/>
            </w:tcBorders>
            <w:vAlign w:val="center"/>
          </w:tcPr>
          <w:p w14:paraId="3E37015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票价机制标签</w:t>
            </w:r>
          </w:p>
        </w:tc>
      </w:tr>
      <w:tr w14:paraId="59F743D5">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B3A34A8">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0F8B423">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7ADFB9E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运营特征标签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37BB7C4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运行频率</w:t>
            </w:r>
          </w:p>
        </w:tc>
        <w:tc>
          <w:tcPr>
            <w:tcW w:w="1862" w:type="pct"/>
            <w:tcBorders>
              <w:top w:val="single" w:color="000000" w:sz="4" w:space="0"/>
              <w:left w:val="single" w:color="000000" w:sz="4" w:space="0"/>
              <w:bottom w:val="single" w:color="000000" w:sz="4" w:space="0"/>
              <w:right w:val="single" w:color="000000" w:sz="4" w:space="0"/>
            </w:tcBorders>
            <w:vAlign w:val="center"/>
          </w:tcPr>
          <w:p w14:paraId="5361DCD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班次频率标签</w:t>
            </w:r>
          </w:p>
        </w:tc>
      </w:tr>
      <w:tr w14:paraId="1458FF55">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A9680B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213</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19666AC">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CB10B73">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1B26C1B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运行时段</w:t>
            </w:r>
          </w:p>
        </w:tc>
        <w:tc>
          <w:tcPr>
            <w:tcW w:w="1862" w:type="pct"/>
            <w:tcBorders>
              <w:top w:val="single" w:color="000000" w:sz="4" w:space="0"/>
              <w:left w:val="single" w:color="000000" w:sz="4" w:space="0"/>
              <w:bottom w:val="single" w:color="000000" w:sz="4" w:space="0"/>
              <w:right w:val="single" w:color="000000" w:sz="4" w:space="0"/>
            </w:tcBorders>
            <w:vAlign w:val="center"/>
          </w:tcPr>
          <w:p w14:paraId="2067DCC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运营时段标签</w:t>
            </w:r>
          </w:p>
        </w:tc>
      </w:tr>
      <w:tr w14:paraId="6774EF06">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C316EA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214</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4D1546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01C6701">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7197706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客流规模</w:t>
            </w:r>
          </w:p>
        </w:tc>
        <w:tc>
          <w:tcPr>
            <w:tcW w:w="1862" w:type="pct"/>
            <w:tcBorders>
              <w:top w:val="single" w:color="000000" w:sz="4" w:space="0"/>
              <w:left w:val="single" w:color="000000" w:sz="4" w:space="0"/>
              <w:bottom w:val="single" w:color="000000" w:sz="4" w:space="0"/>
              <w:right w:val="single" w:color="000000" w:sz="4" w:space="0"/>
            </w:tcBorders>
            <w:vAlign w:val="center"/>
          </w:tcPr>
          <w:p w14:paraId="59B7A464">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客流强度标签</w:t>
            </w:r>
          </w:p>
        </w:tc>
      </w:tr>
      <w:tr w14:paraId="5B2DC87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816FAB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215</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4EA63BC0">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1968561D">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4271753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客流规律</w:t>
            </w:r>
          </w:p>
        </w:tc>
        <w:tc>
          <w:tcPr>
            <w:tcW w:w="1862" w:type="pct"/>
            <w:tcBorders>
              <w:top w:val="single" w:color="000000" w:sz="4" w:space="0"/>
              <w:left w:val="single" w:color="000000" w:sz="4" w:space="0"/>
              <w:bottom w:val="single" w:color="000000" w:sz="4" w:space="0"/>
              <w:right w:val="single" w:color="000000" w:sz="4" w:space="0"/>
            </w:tcBorders>
            <w:vAlign w:val="center"/>
          </w:tcPr>
          <w:p w14:paraId="0E2E122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高峰客流标签</w:t>
            </w:r>
          </w:p>
        </w:tc>
      </w:tr>
      <w:tr w14:paraId="20792CE9">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3A6155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216</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515E2502">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6F1472A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1B46F38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安全合规</w:t>
            </w:r>
          </w:p>
        </w:tc>
        <w:tc>
          <w:tcPr>
            <w:tcW w:w="1862" w:type="pct"/>
            <w:tcBorders>
              <w:top w:val="single" w:color="000000" w:sz="4" w:space="0"/>
              <w:left w:val="single" w:color="000000" w:sz="4" w:space="0"/>
              <w:bottom w:val="single" w:color="000000" w:sz="4" w:space="0"/>
              <w:right w:val="single" w:color="000000" w:sz="4" w:space="0"/>
            </w:tcBorders>
            <w:vAlign w:val="center"/>
          </w:tcPr>
          <w:p w14:paraId="298C65B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安全事件记录标签</w:t>
            </w:r>
          </w:p>
        </w:tc>
      </w:tr>
      <w:tr w14:paraId="30EA5B82">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0CF609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217</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C54743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05ECF85A">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1BF90A8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安全合规</w:t>
            </w:r>
          </w:p>
        </w:tc>
        <w:tc>
          <w:tcPr>
            <w:tcW w:w="1862" w:type="pct"/>
            <w:tcBorders>
              <w:top w:val="single" w:color="000000" w:sz="4" w:space="0"/>
              <w:left w:val="single" w:color="000000" w:sz="4" w:space="0"/>
              <w:bottom w:val="single" w:color="000000" w:sz="4" w:space="0"/>
              <w:right w:val="single" w:color="000000" w:sz="4" w:space="0"/>
            </w:tcBorders>
            <w:vAlign w:val="center"/>
          </w:tcPr>
          <w:p w14:paraId="50EB58D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运营风险标签</w:t>
            </w:r>
          </w:p>
        </w:tc>
      </w:tr>
      <w:tr w14:paraId="0F8BD698">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093FE3B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218</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0A81E3E">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787B9CC9">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7741895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安全合规</w:t>
            </w:r>
          </w:p>
        </w:tc>
        <w:tc>
          <w:tcPr>
            <w:tcW w:w="1862" w:type="pct"/>
            <w:tcBorders>
              <w:top w:val="single" w:color="000000" w:sz="4" w:space="0"/>
              <w:left w:val="single" w:color="000000" w:sz="4" w:space="0"/>
              <w:bottom w:val="single" w:color="000000" w:sz="4" w:space="0"/>
              <w:right w:val="single" w:color="000000" w:sz="4" w:space="0"/>
            </w:tcBorders>
            <w:vAlign w:val="center"/>
          </w:tcPr>
          <w:p w14:paraId="2E6E1A8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事故易发区段标签</w:t>
            </w:r>
          </w:p>
        </w:tc>
      </w:tr>
      <w:tr w14:paraId="5F35160E">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BA69AC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219</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0A302106">
            <w:pPr>
              <w:spacing w:before="60" w:after="60" w:line="240" w:lineRule="auto"/>
              <w:ind w:firstLine="0" w:firstLineChars="0"/>
              <w:jc w:val="left"/>
              <w:rPr>
                <w:rFonts w:hint="eastAsia"/>
                <w:color w:val="000000"/>
                <w:w w:val="90"/>
                <w:sz w:val="21"/>
                <w:szCs w:val="21"/>
              </w:rPr>
            </w:pPr>
          </w:p>
        </w:tc>
        <w:tc>
          <w:tcPr>
            <w:tcW w:w="956" w:type="pct"/>
            <w:vMerge w:val="restart"/>
            <w:tcBorders>
              <w:top w:val="single" w:color="000000" w:sz="4" w:space="0"/>
              <w:left w:val="single" w:color="000000" w:sz="4" w:space="0"/>
              <w:bottom w:val="single" w:color="000000" w:sz="4" w:space="0"/>
              <w:right w:val="single" w:color="000000" w:sz="4" w:space="0"/>
            </w:tcBorders>
            <w:vAlign w:val="center"/>
          </w:tcPr>
          <w:p w14:paraId="32FD9FF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关联标签</w:t>
            </w:r>
          </w:p>
        </w:tc>
        <w:tc>
          <w:tcPr>
            <w:tcW w:w="956" w:type="pct"/>
            <w:tcBorders>
              <w:top w:val="single" w:color="000000" w:sz="4" w:space="0"/>
              <w:left w:val="single" w:color="000000" w:sz="4" w:space="0"/>
              <w:bottom w:val="single" w:color="000000" w:sz="4" w:space="0"/>
              <w:right w:val="single" w:color="000000" w:sz="4" w:space="0"/>
            </w:tcBorders>
            <w:vAlign w:val="center"/>
          </w:tcPr>
          <w:p w14:paraId="57A8245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站点关联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2A09342B">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重点枢纽接驳标签</w:t>
            </w:r>
          </w:p>
        </w:tc>
      </w:tr>
      <w:tr w14:paraId="5D1123AD">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491FBD1">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220</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7DB00495">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69BB8408">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4323A18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区域关联</w:t>
            </w:r>
          </w:p>
        </w:tc>
        <w:tc>
          <w:tcPr>
            <w:tcW w:w="1862" w:type="pct"/>
            <w:tcBorders>
              <w:top w:val="single" w:color="000000" w:sz="4" w:space="0"/>
              <w:left w:val="single" w:color="000000" w:sz="4" w:space="0"/>
              <w:bottom w:val="single" w:color="000000" w:sz="4" w:space="0"/>
              <w:right w:val="single" w:color="000000" w:sz="4" w:space="0"/>
            </w:tcBorders>
            <w:vAlign w:val="center"/>
          </w:tcPr>
          <w:p w14:paraId="7F10572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服务功能区标签</w:t>
            </w:r>
          </w:p>
        </w:tc>
      </w:tr>
      <w:tr w14:paraId="697DE133">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6C173E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221</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1C95DF57">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E71FD7F">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6335470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交通方式</w:t>
            </w:r>
          </w:p>
        </w:tc>
        <w:tc>
          <w:tcPr>
            <w:tcW w:w="1862" w:type="pct"/>
            <w:tcBorders>
              <w:top w:val="single" w:color="000000" w:sz="4" w:space="0"/>
              <w:left w:val="single" w:color="000000" w:sz="4" w:space="0"/>
              <w:bottom w:val="single" w:color="000000" w:sz="4" w:space="0"/>
              <w:right w:val="single" w:color="000000" w:sz="4" w:space="0"/>
            </w:tcBorders>
            <w:vAlign w:val="center"/>
          </w:tcPr>
          <w:p w14:paraId="3AEF678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交通方式关联标签</w:t>
            </w:r>
          </w:p>
        </w:tc>
      </w:tr>
      <w:tr w14:paraId="512E9047">
        <w:tblPrEx>
          <w:tblCellMar>
            <w:top w:w="0" w:type="dxa"/>
            <w:left w:w="108" w:type="dxa"/>
            <w:bottom w:w="0" w:type="dxa"/>
            <w:right w:w="108" w:type="dxa"/>
          </w:tblCellMar>
        </w:tblPrEx>
        <w:trPr>
          <w:trHeight w:val="285"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E54007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222</w:t>
            </w: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14:paraId="25F65DDD">
            <w:pPr>
              <w:spacing w:before="60" w:after="60" w:line="240" w:lineRule="auto"/>
              <w:ind w:firstLine="0" w:firstLineChars="0"/>
              <w:jc w:val="left"/>
              <w:rPr>
                <w:rFonts w:hint="eastAsia"/>
                <w:color w:val="000000"/>
                <w:w w:val="90"/>
                <w:sz w:val="21"/>
                <w:szCs w:val="21"/>
              </w:rPr>
            </w:pPr>
          </w:p>
        </w:tc>
        <w:tc>
          <w:tcPr>
            <w:tcW w:w="956" w:type="pct"/>
            <w:vMerge w:val="continue"/>
            <w:tcBorders>
              <w:top w:val="single" w:color="000000" w:sz="4" w:space="0"/>
              <w:left w:val="single" w:color="000000" w:sz="4" w:space="0"/>
              <w:bottom w:val="single" w:color="000000" w:sz="4" w:space="0"/>
              <w:right w:val="single" w:color="000000" w:sz="4" w:space="0"/>
            </w:tcBorders>
            <w:vAlign w:val="center"/>
          </w:tcPr>
          <w:p w14:paraId="3FB9587E">
            <w:pPr>
              <w:spacing w:before="60" w:after="60" w:line="240" w:lineRule="auto"/>
              <w:ind w:firstLine="0" w:firstLineChars="0"/>
              <w:jc w:val="left"/>
              <w:rPr>
                <w:rFonts w:hint="eastAsia"/>
                <w:color w:val="000000"/>
                <w:w w:val="90"/>
                <w:sz w:val="21"/>
                <w:szCs w:val="21"/>
              </w:rPr>
            </w:pPr>
          </w:p>
        </w:tc>
        <w:tc>
          <w:tcPr>
            <w:tcW w:w="956" w:type="pct"/>
            <w:tcBorders>
              <w:top w:val="single" w:color="000000" w:sz="4" w:space="0"/>
              <w:left w:val="single" w:color="000000" w:sz="4" w:space="0"/>
              <w:bottom w:val="single" w:color="000000" w:sz="4" w:space="0"/>
              <w:right w:val="single" w:color="000000" w:sz="4" w:space="0"/>
            </w:tcBorders>
            <w:vAlign w:val="center"/>
          </w:tcPr>
          <w:p w14:paraId="724C67D8">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线路覆盖</w:t>
            </w:r>
          </w:p>
        </w:tc>
        <w:tc>
          <w:tcPr>
            <w:tcW w:w="1862" w:type="pct"/>
            <w:tcBorders>
              <w:top w:val="single" w:color="000000" w:sz="4" w:space="0"/>
              <w:left w:val="single" w:color="000000" w:sz="4" w:space="0"/>
              <w:bottom w:val="single" w:color="000000" w:sz="4" w:space="0"/>
              <w:right w:val="single" w:color="000000" w:sz="4" w:space="0"/>
            </w:tcBorders>
            <w:vAlign w:val="center"/>
          </w:tcPr>
          <w:p w14:paraId="5402CC1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线路覆盖关联标签</w:t>
            </w:r>
          </w:p>
        </w:tc>
      </w:tr>
    </w:tbl>
    <w:p w14:paraId="0CCD8C49">
      <w:pPr>
        <w:ind w:firstLine="482"/>
        <w:rPr>
          <w:rFonts w:hint="eastAsia"/>
          <w:b/>
        </w:rPr>
      </w:pPr>
      <w:r>
        <w:rPr>
          <w:rFonts w:hint="eastAsia"/>
          <w:b/>
        </w:rPr>
        <w:t>2、数据融合</w:t>
      </w:r>
    </w:p>
    <w:p w14:paraId="52245C52">
      <w:pPr>
        <w:rPr>
          <w:rFonts w:ascii="Times New Roman" w:hAnsi="Times New Roman"/>
          <w:szCs w:val="22"/>
          <w:shd w:val="clear" w:color="auto" w:fill="FFFFFF"/>
        </w:rPr>
      </w:pPr>
      <w:r>
        <w:rPr>
          <w:rFonts w:hint="eastAsia" w:ascii="Times New Roman" w:hAnsi="Times New Roman"/>
          <w:szCs w:val="22"/>
          <w:shd w:val="clear" w:color="auto" w:fill="FFFFFF"/>
        </w:rPr>
        <w:t>人员及企业数据融合</w:t>
      </w:r>
    </w:p>
    <w:p w14:paraId="4BCA1267">
      <w:pPr>
        <w:rPr>
          <w:rFonts w:ascii="Times New Roman" w:hAnsi="Times New Roman"/>
          <w:szCs w:val="22"/>
          <w:shd w:val="clear" w:color="auto" w:fill="FFFFFF"/>
        </w:rPr>
      </w:pPr>
      <w:r>
        <w:rPr>
          <w:rFonts w:hint="eastAsia" w:ascii="Times New Roman" w:hAnsi="Times New Roman"/>
          <w:szCs w:val="22"/>
          <w:shd w:val="clear" w:color="auto" w:fill="FFFFFF"/>
        </w:rPr>
        <w:t>人员及证照数据融合</w:t>
      </w:r>
    </w:p>
    <w:p w14:paraId="794DAA69">
      <w:pPr>
        <w:rPr>
          <w:rFonts w:ascii="Times New Roman" w:hAnsi="Times New Roman"/>
          <w:szCs w:val="22"/>
          <w:shd w:val="clear" w:color="auto" w:fill="FFFFFF"/>
        </w:rPr>
      </w:pPr>
      <w:r>
        <w:rPr>
          <w:rFonts w:hint="eastAsia" w:ascii="Times New Roman" w:hAnsi="Times New Roman"/>
          <w:szCs w:val="22"/>
          <w:shd w:val="clear" w:color="auto" w:fill="FFFFFF"/>
        </w:rPr>
        <w:t>人员及执法数据融合</w:t>
      </w:r>
    </w:p>
    <w:p w14:paraId="40292D99">
      <w:pPr>
        <w:rPr>
          <w:rFonts w:ascii="Times New Roman" w:hAnsi="Times New Roman"/>
          <w:szCs w:val="22"/>
          <w:shd w:val="clear" w:color="auto" w:fill="FFFFFF"/>
        </w:rPr>
      </w:pPr>
      <w:r>
        <w:rPr>
          <w:rFonts w:hint="eastAsia" w:ascii="Times New Roman" w:hAnsi="Times New Roman"/>
          <w:szCs w:val="22"/>
          <w:shd w:val="clear" w:color="auto" w:fill="FFFFFF"/>
        </w:rPr>
        <w:t>人员及场所数据融合</w:t>
      </w:r>
    </w:p>
    <w:p w14:paraId="3AF136FE">
      <w:pPr>
        <w:rPr>
          <w:rFonts w:ascii="Times New Roman" w:hAnsi="Times New Roman"/>
          <w:szCs w:val="22"/>
          <w:shd w:val="clear" w:color="auto" w:fill="FFFFFF"/>
        </w:rPr>
      </w:pPr>
      <w:r>
        <w:rPr>
          <w:rFonts w:hint="eastAsia" w:ascii="Times New Roman" w:hAnsi="Times New Roman"/>
          <w:szCs w:val="22"/>
          <w:shd w:val="clear" w:color="auto" w:fill="FFFFFF"/>
        </w:rPr>
        <w:t>人员及培训数据融合</w:t>
      </w:r>
    </w:p>
    <w:p w14:paraId="5E9E8625">
      <w:pPr>
        <w:rPr>
          <w:rFonts w:ascii="Times New Roman" w:hAnsi="Times New Roman"/>
          <w:szCs w:val="22"/>
          <w:shd w:val="clear" w:color="auto" w:fill="FFFFFF"/>
        </w:rPr>
      </w:pPr>
      <w:r>
        <w:rPr>
          <w:rFonts w:hint="eastAsia" w:ascii="Times New Roman" w:hAnsi="Times New Roman"/>
          <w:szCs w:val="22"/>
          <w:shd w:val="clear" w:color="auto" w:fill="FFFFFF"/>
        </w:rPr>
        <w:t>车辆及企业数据融合</w:t>
      </w:r>
    </w:p>
    <w:p w14:paraId="59FDE0A0">
      <w:pPr>
        <w:rPr>
          <w:rFonts w:ascii="Times New Roman" w:hAnsi="Times New Roman"/>
          <w:szCs w:val="22"/>
          <w:shd w:val="clear" w:color="auto" w:fill="FFFFFF"/>
        </w:rPr>
      </w:pPr>
      <w:r>
        <w:rPr>
          <w:rFonts w:hint="eastAsia" w:ascii="Times New Roman" w:hAnsi="Times New Roman"/>
          <w:szCs w:val="22"/>
          <w:shd w:val="clear" w:color="auto" w:fill="FFFFFF"/>
        </w:rPr>
        <w:t>车辆及执法数据融合</w:t>
      </w:r>
    </w:p>
    <w:p w14:paraId="2E88724C">
      <w:pPr>
        <w:rPr>
          <w:rFonts w:ascii="Times New Roman" w:hAnsi="Times New Roman"/>
          <w:szCs w:val="22"/>
          <w:shd w:val="clear" w:color="auto" w:fill="FFFFFF"/>
        </w:rPr>
      </w:pPr>
      <w:r>
        <w:rPr>
          <w:rFonts w:hint="eastAsia" w:ascii="Times New Roman" w:hAnsi="Times New Roman"/>
          <w:szCs w:val="22"/>
          <w:shd w:val="clear" w:color="auto" w:fill="FFFFFF"/>
        </w:rPr>
        <w:t>车辆及事件数据融合</w:t>
      </w:r>
    </w:p>
    <w:p w14:paraId="570E0973">
      <w:pPr>
        <w:rPr>
          <w:rFonts w:ascii="Times New Roman" w:hAnsi="Times New Roman"/>
          <w:szCs w:val="22"/>
          <w:shd w:val="clear" w:color="auto" w:fill="FFFFFF"/>
        </w:rPr>
      </w:pPr>
      <w:r>
        <w:rPr>
          <w:rFonts w:hint="eastAsia" w:ascii="Times New Roman" w:hAnsi="Times New Roman"/>
          <w:szCs w:val="22"/>
          <w:shd w:val="clear" w:color="auto" w:fill="FFFFFF"/>
        </w:rPr>
        <w:t>车辆及证照数据融合</w:t>
      </w:r>
    </w:p>
    <w:p w14:paraId="56BA97B9">
      <w:pPr>
        <w:rPr>
          <w:rFonts w:ascii="Times New Roman" w:hAnsi="Times New Roman"/>
          <w:szCs w:val="22"/>
          <w:shd w:val="clear" w:color="auto" w:fill="FFFFFF"/>
        </w:rPr>
      </w:pPr>
      <w:r>
        <w:rPr>
          <w:rFonts w:hint="eastAsia" w:ascii="Times New Roman" w:hAnsi="Times New Roman"/>
          <w:szCs w:val="22"/>
          <w:shd w:val="clear" w:color="auto" w:fill="FFFFFF"/>
        </w:rPr>
        <w:t>车辆及场站数据融合</w:t>
      </w:r>
    </w:p>
    <w:p w14:paraId="1CA83D5A">
      <w:pPr>
        <w:rPr>
          <w:rFonts w:ascii="Times New Roman" w:hAnsi="Times New Roman"/>
          <w:szCs w:val="22"/>
          <w:shd w:val="clear" w:color="auto" w:fill="FFFFFF"/>
        </w:rPr>
      </w:pPr>
      <w:r>
        <w:rPr>
          <w:rFonts w:hint="eastAsia" w:ascii="Times New Roman" w:hAnsi="Times New Roman"/>
          <w:szCs w:val="22"/>
          <w:shd w:val="clear" w:color="auto" w:fill="FFFFFF"/>
        </w:rPr>
        <w:t>车辆及规则数据融合</w:t>
      </w:r>
    </w:p>
    <w:p w14:paraId="5E613916">
      <w:pPr>
        <w:rPr>
          <w:rFonts w:ascii="Times New Roman" w:hAnsi="Times New Roman"/>
          <w:szCs w:val="22"/>
          <w:shd w:val="clear" w:color="auto" w:fill="FFFFFF"/>
        </w:rPr>
      </w:pPr>
      <w:r>
        <w:rPr>
          <w:rFonts w:hint="eastAsia" w:ascii="Times New Roman" w:hAnsi="Times New Roman"/>
          <w:szCs w:val="22"/>
          <w:shd w:val="clear" w:color="auto" w:fill="FFFFFF"/>
        </w:rPr>
        <w:t>企业及执法数据融合</w:t>
      </w:r>
    </w:p>
    <w:p w14:paraId="752A2076">
      <w:pPr>
        <w:rPr>
          <w:rFonts w:ascii="Times New Roman" w:hAnsi="Times New Roman"/>
          <w:szCs w:val="22"/>
          <w:shd w:val="clear" w:color="auto" w:fill="FFFFFF"/>
        </w:rPr>
      </w:pPr>
      <w:r>
        <w:rPr>
          <w:rFonts w:hint="eastAsia" w:ascii="Times New Roman" w:hAnsi="Times New Roman"/>
          <w:szCs w:val="22"/>
          <w:shd w:val="clear" w:color="auto" w:fill="FFFFFF"/>
        </w:rPr>
        <w:t>企业及线路数据融合</w:t>
      </w:r>
    </w:p>
    <w:p w14:paraId="08EA0F98">
      <w:pPr>
        <w:rPr>
          <w:rFonts w:ascii="Times New Roman" w:hAnsi="Times New Roman"/>
          <w:szCs w:val="22"/>
          <w:shd w:val="clear" w:color="auto" w:fill="FFFFFF"/>
        </w:rPr>
      </w:pPr>
      <w:r>
        <w:rPr>
          <w:rFonts w:hint="eastAsia" w:ascii="Times New Roman" w:hAnsi="Times New Roman"/>
          <w:szCs w:val="22"/>
          <w:shd w:val="clear" w:color="auto" w:fill="FFFFFF"/>
        </w:rPr>
        <w:t>企业及事件数据融合</w:t>
      </w:r>
    </w:p>
    <w:p w14:paraId="620B19CF">
      <w:pPr>
        <w:rPr>
          <w:rFonts w:ascii="Times New Roman" w:hAnsi="Times New Roman"/>
          <w:szCs w:val="22"/>
          <w:shd w:val="clear" w:color="auto" w:fill="FFFFFF"/>
        </w:rPr>
      </w:pPr>
      <w:r>
        <w:rPr>
          <w:rFonts w:hint="eastAsia" w:ascii="Times New Roman" w:hAnsi="Times New Roman"/>
          <w:szCs w:val="22"/>
          <w:shd w:val="clear" w:color="auto" w:fill="FFFFFF"/>
        </w:rPr>
        <w:t>企业及船舶数据融合</w:t>
      </w:r>
    </w:p>
    <w:p w14:paraId="6A52DADA">
      <w:pPr>
        <w:rPr>
          <w:rFonts w:ascii="Times New Roman" w:hAnsi="Times New Roman"/>
          <w:szCs w:val="22"/>
          <w:shd w:val="clear" w:color="auto" w:fill="FFFFFF"/>
        </w:rPr>
      </w:pPr>
      <w:r>
        <w:rPr>
          <w:rFonts w:hint="eastAsia" w:ascii="Times New Roman" w:hAnsi="Times New Roman"/>
          <w:szCs w:val="22"/>
          <w:shd w:val="clear" w:color="auto" w:fill="FFFFFF"/>
        </w:rPr>
        <w:t>客运站及地铁线路数据融合</w:t>
      </w:r>
    </w:p>
    <w:p w14:paraId="448FFF88">
      <w:pPr>
        <w:rPr>
          <w:rFonts w:ascii="Times New Roman" w:hAnsi="Times New Roman"/>
          <w:szCs w:val="22"/>
          <w:shd w:val="clear" w:color="auto" w:fill="FFFFFF"/>
        </w:rPr>
      </w:pPr>
      <w:r>
        <w:rPr>
          <w:rFonts w:hint="eastAsia" w:ascii="Times New Roman" w:hAnsi="Times New Roman"/>
          <w:szCs w:val="22"/>
          <w:shd w:val="clear" w:color="auto" w:fill="FFFFFF"/>
        </w:rPr>
        <w:t>客运站及停车场数据融合</w:t>
      </w:r>
    </w:p>
    <w:p w14:paraId="43864571">
      <w:pPr>
        <w:rPr>
          <w:rFonts w:ascii="Times New Roman" w:hAnsi="Times New Roman"/>
          <w:szCs w:val="22"/>
          <w:shd w:val="clear" w:color="auto" w:fill="FFFFFF"/>
        </w:rPr>
      </w:pPr>
      <w:r>
        <w:rPr>
          <w:rFonts w:hint="eastAsia" w:ascii="Times New Roman" w:hAnsi="Times New Roman"/>
          <w:szCs w:val="22"/>
          <w:shd w:val="clear" w:color="auto" w:fill="FFFFFF"/>
        </w:rPr>
        <w:t>火车站及公交线路数据融合</w:t>
      </w:r>
    </w:p>
    <w:p w14:paraId="052E21EA">
      <w:pPr>
        <w:rPr>
          <w:rFonts w:ascii="Times New Roman" w:hAnsi="Times New Roman"/>
          <w:szCs w:val="22"/>
          <w:shd w:val="clear" w:color="auto" w:fill="FFFFFF"/>
        </w:rPr>
      </w:pPr>
      <w:r>
        <w:rPr>
          <w:rFonts w:hint="eastAsia" w:ascii="Times New Roman" w:hAnsi="Times New Roman"/>
          <w:szCs w:val="22"/>
          <w:shd w:val="clear" w:color="auto" w:fill="FFFFFF"/>
        </w:rPr>
        <w:t>火车站及地铁线路数据融合</w:t>
      </w:r>
    </w:p>
    <w:p w14:paraId="14CBAC24">
      <w:pPr>
        <w:rPr>
          <w:rFonts w:ascii="Times New Roman" w:hAnsi="Times New Roman"/>
          <w:szCs w:val="22"/>
          <w:shd w:val="clear" w:color="auto" w:fill="FFFFFF"/>
        </w:rPr>
      </w:pPr>
      <w:r>
        <w:rPr>
          <w:rFonts w:hint="eastAsia" w:ascii="Times New Roman" w:hAnsi="Times New Roman"/>
          <w:szCs w:val="22"/>
          <w:shd w:val="clear" w:color="auto" w:fill="FFFFFF"/>
        </w:rPr>
        <w:t>地铁站及公交线路数据融合</w:t>
      </w:r>
    </w:p>
    <w:p w14:paraId="3815B611">
      <w:pPr>
        <w:rPr>
          <w:rFonts w:ascii="Times New Roman" w:hAnsi="Times New Roman"/>
          <w:szCs w:val="22"/>
          <w:shd w:val="clear" w:color="auto" w:fill="FFFFFF"/>
        </w:rPr>
      </w:pPr>
      <w:r>
        <w:rPr>
          <w:rFonts w:hint="eastAsia" w:ascii="Times New Roman" w:hAnsi="Times New Roman"/>
          <w:szCs w:val="22"/>
          <w:shd w:val="clear" w:color="auto" w:fill="FFFFFF"/>
        </w:rPr>
        <w:t>客运站及公交线路数据融合</w:t>
      </w:r>
    </w:p>
    <w:p w14:paraId="124D76FF">
      <w:pPr>
        <w:rPr>
          <w:rFonts w:ascii="Times New Roman" w:hAnsi="Times New Roman"/>
          <w:szCs w:val="22"/>
          <w:shd w:val="clear" w:color="auto" w:fill="FFFFFF"/>
        </w:rPr>
      </w:pPr>
      <w:r>
        <w:rPr>
          <w:rFonts w:hint="eastAsia" w:ascii="Times New Roman" w:hAnsi="Times New Roman"/>
          <w:szCs w:val="22"/>
          <w:shd w:val="clear" w:color="auto" w:fill="FFFFFF"/>
        </w:rPr>
        <w:t>热线及车辆数据融合</w:t>
      </w:r>
    </w:p>
    <w:p w14:paraId="52A6E946">
      <w:pPr>
        <w:rPr>
          <w:rFonts w:ascii="Times New Roman" w:hAnsi="Times New Roman"/>
          <w:szCs w:val="22"/>
          <w:shd w:val="clear" w:color="auto" w:fill="FFFFFF"/>
        </w:rPr>
      </w:pPr>
      <w:r>
        <w:rPr>
          <w:rFonts w:hint="eastAsia" w:ascii="Times New Roman" w:hAnsi="Times New Roman"/>
          <w:szCs w:val="22"/>
          <w:shd w:val="clear" w:color="auto" w:fill="FFFFFF"/>
        </w:rPr>
        <w:t>热线及企业数据融合</w:t>
      </w:r>
    </w:p>
    <w:p w14:paraId="24E35902">
      <w:pPr>
        <w:rPr>
          <w:rFonts w:ascii="Times New Roman" w:hAnsi="Times New Roman"/>
          <w:szCs w:val="22"/>
          <w:shd w:val="clear" w:color="auto" w:fill="FFFFFF"/>
        </w:rPr>
      </w:pPr>
      <w:r>
        <w:rPr>
          <w:rFonts w:hint="eastAsia" w:ascii="Times New Roman" w:hAnsi="Times New Roman"/>
          <w:szCs w:val="22"/>
          <w:shd w:val="clear" w:color="auto" w:fill="FFFFFF"/>
        </w:rPr>
        <w:t>热线及人员数据融合</w:t>
      </w:r>
    </w:p>
    <w:p w14:paraId="52193D65">
      <w:pPr>
        <w:rPr>
          <w:rFonts w:ascii="Times New Roman" w:hAnsi="Times New Roman"/>
          <w:szCs w:val="22"/>
          <w:shd w:val="clear" w:color="auto" w:fill="FFFFFF"/>
        </w:rPr>
      </w:pPr>
      <w:r>
        <w:rPr>
          <w:rFonts w:hint="eastAsia" w:ascii="Times New Roman" w:hAnsi="Times New Roman"/>
          <w:szCs w:val="22"/>
          <w:shd w:val="clear" w:color="auto" w:fill="FFFFFF"/>
        </w:rPr>
        <w:t>热线及公交线路数据融合</w:t>
      </w:r>
    </w:p>
    <w:p w14:paraId="74D97FF4">
      <w:pPr>
        <w:rPr>
          <w:rFonts w:ascii="Times New Roman" w:hAnsi="Times New Roman"/>
          <w:szCs w:val="22"/>
          <w:shd w:val="clear" w:color="auto" w:fill="FFFFFF"/>
        </w:rPr>
      </w:pPr>
      <w:r>
        <w:rPr>
          <w:rFonts w:hint="eastAsia" w:ascii="Times New Roman" w:hAnsi="Times New Roman"/>
          <w:szCs w:val="22"/>
          <w:shd w:val="clear" w:color="auto" w:fill="FFFFFF"/>
        </w:rPr>
        <w:t>船舶及码头数据融合</w:t>
      </w:r>
    </w:p>
    <w:p w14:paraId="0982FBD5">
      <w:pPr>
        <w:rPr>
          <w:rFonts w:ascii="Times New Roman" w:hAnsi="Times New Roman"/>
          <w:szCs w:val="22"/>
          <w:shd w:val="clear" w:color="auto" w:fill="FFFFFF"/>
        </w:rPr>
      </w:pPr>
      <w:r>
        <w:rPr>
          <w:rFonts w:hint="eastAsia" w:ascii="Times New Roman" w:hAnsi="Times New Roman"/>
          <w:szCs w:val="22"/>
          <w:shd w:val="clear" w:color="auto" w:fill="FFFFFF"/>
        </w:rPr>
        <w:t>船舶及航线数据融合</w:t>
      </w:r>
    </w:p>
    <w:p w14:paraId="032E6AA2">
      <w:pPr>
        <w:rPr>
          <w:rFonts w:ascii="Times New Roman" w:hAnsi="Times New Roman"/>
          <w:szCs w:val="22"/>
          <w:shd w:val="clear" w:color="auto" w:fill="FFFFFF"/>
        </w:rPr>
      </w:pPr>
      <w:r>
        <w:rPr>
          <w:rFonts w:hint="eastAsia" w:ascii="Times New Roman" w:hAnsi="Times New Roman"/>
          <w:szCs w:val="22"/>
          <w:shd w:val="clear" w:color="auto" w:fill="FFFFFF"/>
        </w:rPr>
        <w:t>船舶及业务数据融合</w:t>
      </w:r>
    </w:p>
    <w:p w14:paraId="421D6768">
      <w:pPr>
        <w:rPr>
          <w:rFonts w:ascii="Times New Roman" w:hAnsi="Times New Roman"/>
          <w:szCs w:val="22"/>
          <w:shd w:val="clear" w:color="auto" w:fill="FFFFFF"/>
        </w:rPr>
      </w:pPr>
      <w:r>
        <w:rPr>
          <w:rFonts w:hint="eastAsia" w:ascii="Times New Roman" w:hAnsi="Times New Roman"/>
          <w:szCs w:val="22"/>
          <w:shd w:val="clear" w:color="auto" w:fill="FFFFFF"/>
        </w:rPr>
        <w:t>船舶及人员数据融合</w:t>
      </w:r>
    </w:p>
    <w:p w14:paraId="58FD718D">
      <w:pPr>
        <w:rPr>
          <w:rFonts w:ascii="Times New Roman" w:hAnsi="Times New Roman"/>
          <w:szCs w:val="22"/>
          <w:shd w:val="clear" w:color="auto" w:fill="FFFFFF"/>
        </w:rPr>
      </w:pPr>
      <w:r>
        <w:rPr>
          <w:rFonts w:hint="eastAsia" w:ascii="Times New Roman" w:hAnsi="Times New Roman"/>
          <w:szCs w:val="22"/>
          <w:shd w:val="clear" w:color="auto" w:fill="FFFFFF"/>
        </w:rPr>
        <w:t>码头及业务数据融合</w:t>
      </w:r>
    </w:p>
    <w:p w14:paraId="45BF3834">
      <w:pPr>
        <w:rPr>
          <w:rFonts w:ascii="Times New Roman" w:hAnsi="Times New Roman"/>
          <w:szCs w:val="22"/>
          <w:shd w:val="clear" w:color="auto" w:fill="FFFFFF"/>
        </w:rPr>
      </w:pPr>
      <w:r>
        <w:rPr>
          <w:rFonts w:hint="eastAsia" w:ascii="Times New Roman" w:hAnsi="Times New Roman"/>
          <w:szCs w:val="22"/>
          <w:shd w:val="clear" w:color="auto" w:fill="FFFFFF"/>
        </w:rPr>
        <w:t>桥梁及河道数据融合</w:t>
      </w:r>
    </w:p>
    <w:p w14:paraId="7DEC09F7">
      <w:pPr>
        <w:ind w:firstLine="482"/>
        <w:rPr>
          <w:rFonts w:hint="eastAsia"/>
          <w:b/>
        </w:rPr>
      </w:pPr>
      <w:r>
        <w:rPr>
          <w:rFonts w:hint="eastAsia"/>
          <w:b/>
        </w:rPr>
        <w:t>3、安全服务</w:t>
      </w:r>
    </w:p>
    <w:tbl>
      <w:tblPr>
        <w:tblStyle w:val="12"/>
        <w:tblW w:w="8765" w:type="dxa"/>
        <w:tblInd w:w="93" w:type="dxa"/>
        <w:tblLayout w:type="autofit"/>
        <w:tblCellMar>
          <w:top w:w="0" w:type="dxa"/>
          <w:left w:w="108" w:type="dxa"/>
          <w:bottom w:w="0" w:type="dxa"/>
          <w:right w:w="108" w:type="dxa"/>
        </w:tblCellMar>
      </w:tblPr>
      <w:tblGrid>
        <w:gridCol w:w="2352"/>
        <w:gridCol w:w="5025"/>
        <w:gridCol w:w="713"/>
        <w:gridCol w:w="675"/>
      </w:tblGrid>
      <w:tr w14:paraId="6E919D95">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381A5ADC">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类别</w:t>
            </w:r>
          </w:p>
        </w:tc>
        <w:tc>
          <w:tcPr>
            <w:tcW w:w="5025" w:type="dxa"/>
            <w:tcBorders>
              <w:top w:val="single" w:color="000000" w:sz="4" w:space="0"/>
              <w:left w:val="single" w:color="000000" w:sz="4" w:space="0"/>
              <w:bottom w:val="single" w:color="000000" w:sz="4" w:space="0"/>
              <w:right w:val="single" w:color="000000" w:sz="4" w:space="0"/>
            </w:tcBorders>
            <w:vAlign w:val="center"/>
          </w:tcPr>
          <w:p w14:paraId="4CF533CE">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密码功能</w:t>
            </w:r>
          </w:p>
        </w:tc>
        <w:tc>
          <w:tcPr>
            <w:tcW w:w="713" w:type="dxa"/>
            <w:tcBorders>
              <w:top w:val="single" w:color="000000" w:sz="4" w:space="0"/>
              <w:left w:val="single" w:color="000000" w:sz="4" w:space="0"/>
              <w:bottom w:val="single" w:color="000000" w:sz="4" w:space="0"/>
              <w:right w:val="single" w:color="000000" w:sz="4" w:space="0"/>
            </w:tcBorders>
            <w:vAlign w:val="center"/>
          </w:tcPr>
          <w:p w14:paraId="2A6C2146">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数量</w:t>
            </w:r>
          </w:p>
        </w:tc>
        <w:tc>
          <w:tcPr>
            <w:tcW w:w="675" w:type="dxa"/>
            <w:tcBorders>
              <w:top w:val="single" w:color="000000" w:sz="4" w:space="0"/>
              <w:left w:val="single" w:color="000000" w:sz="4" w:space="0"/>
              <w:bottom w:val="single" w:color="000000" w:sz="4" w:space="0"/>
              <w:right w:val="single" w:color="000000" w:sz="4" w:space="0"/>
            </w:tcBorders>
            <w:vAlign w:val="center"/>
          </w:tcPr>
          <w:p w14:paraId="7EB542D5">
            <w:pPr>
              <w:spacing w:before="60" w:after="60" w:line="240" w:lineRule="auto"/>
              <w:ind w:firstLine="0" w:firstLineChars="0"/>
              <w:jc w:val="center"/>
              <w:rPr>
                <w:rFonts w:hint="eastAsia"/>
                <w:b/>
                <w:bCs/>
                <w:color w:val="000000"/>
                <w:sz w:val="21"/>
                <w:szCs w:val="21"/>
              </w:rPr>
            </w:pPr>
            <w:r>
              <w:rPr>
                <w:rFonts w:hint="eastAsia"/>
                <w:b/>
                <w:bCs/>
                <w:color w:val="000000"/>
                <w:sz w:val="21"/>
                <w:szCs w:val="21"/>
              </w:rPr>
              <w:t>单位</w:t>
            </w:r>
          </w:p>
        </w:tc>
      </w:tr>
      <w:tr w14:paraId="37C67F86">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2EDB1AAE">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证书认证服务(站点证书)</w:t>
            </w:r>
          </w:p>
        </w:tc>
        <w:tc>
          <w:tcPr>
            <w:tcW w:w="5025" w:type="dxa"/>
            <w:tcBorders>
              <w:top w:val="single" w:color="000000" w:sz="4" w:space="0"/>
              <w:left w:val="single" w:color="000000" w:sz="4" w:space="0"/>
              <w:bottom w:val="single" w:color="000000" w:sz="4" w:space="0"/>
              <w:right w:val="single" w:color="000000" w:sz="4" w:space="0"/>
            </w:tcBorders>
            <w:vAlign w:val="center"/>
          </w:tcPr>
          <w:p w14:paraId="263450D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配套安全认证网关服务使用。</w:t>
            </w:r>
          </w:p>
        </w:tc>
        <w:tc>
          <w:tcPr>
            <w:tcW w:w="713" w:type="dxa"/>
            <w:tcBorders>
              <w:top w:val="single" w:color="000000" w:sz="4" w:space="0"/>
              <w:left w:val="single" w:color="000000" w:sz="4" w:space="0"/>
              <w:bottom w:val="single" w:color="000000" w:sz="4" w:space="0"/>
              <w:right w:val="single" w:color="000000" w:sz="4" w:space="0"/>
            </w:tcBorders>
            <w:vAlign w:val="center"/>
          </w:tcPr>
          <w:p w14:paraId="47376F9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2CB19D1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张</w:t>
            </w:r>
          </w:p>
        </w:tc>
      </w:tr>
      <w:tr w14:paraId="7A62AB4F">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17F6FB8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证书认证服务(设备证书)</w:t>
            </w:r>
          </w:p>
        </w:tc>
        <w:tc>
          <w:tcPr>
            <w:tcW w:w="5025" w:type="dxa"/>
            <w:tcBorders>
              <w:top w:val="single" w:color="000000" w:sz="4" w:space="0"/>
              <w:left w:val="single" w:color="000000" w:sz="4" w:space="0"/>
              <w:bottom w:val="single" w:color="000000" w:sz="4" w:space="0"/>
              <w:right w:val="single" w:color="000000" w:sz="4" w:space="0"/>
            </w:tcBorders>
            <w:vAlign w:val="center"/>
          </w:tcPr>
          <w:p w14:paraId="608AA55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配套签名验签服务使用。</w:t>
            </w:r>
          </w:p>
        </w:tc>
        <w:tc>
          <w:tcPr>
            <w:tcW w:w="713" w:type="dxa"/>
            <w:tcBorders>
              <w:top w:val="single" w:color="000000" w:sz="4" w:space="0"/>
              <w:left w:val="single" w:color="000000" w:sz="4" w:space="0"/>
              <w:bottom w:val="single" w:color="000000" w:sz="4" w:space="0"/>
              <w:right w:val="single" w:color="000000" w:sz="4" w:space="0"/>
            </w:tcBorders>
            <w:vAlign w:val="center"/>
          </w:tcPr>
          <w:p w14:paraId="6D6876C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2</w:t>
            </w:r>
          </w:p>
        </w:tc>
        <w:tc>
          <w:tcPr>
            <w:tcW w:w="675" w:type="dxa"/>
            <w:tcBorders>
              <w:top w:val="single" w:color="000000" w:sz="4" w:space="0"/>
              <w:left w:val="single" w:color="000000" w:sz="4" w:space="0"/>
              <w:bottom w:val="single" w:color="000000" w:sz="4" w:space="0"/>
              <w:right w:val="single" w:color="000000" w:sz="4" w:space="0"/>
            </w:tcBorders>
            <w:vAlign w:val="center"/>
          </w:tcPr>
          <w:p w14:paraId="6EBB5813">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张</w:t>
            </w:r>
          </w:p>
        </w:tc>
      </w:tr>
      <w:tr w14:paraId="68AE98A8">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542FF17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证书认证服务(个人证书)</w:t>
            </w:r>
          </w:p>
        </w:tc>
        <w:tc>
          <w:tcPr>
            <w:tcW w:w="5025" w:type="dxa"/>
            <w:tcBorders>
              <w:top w:val="single" w:color="000000" w:sz="4" w:space="0"/>
              <w:left w:val="single" w:color="000000" w:sz="4" w:space="0"/>
              <w:bottom w:val="single" w:color="000000" w:sz="4" w:space="0"/>
              <w:right w:val="single" w:color="000000" w:sz="4" w:space="0"/>
            </w:tcBorders>
            <w:vAlign w:val="center"/>
          </w:tcPr>
          <w:p w14:paraId="6B0C0C0A">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个人证书服务，存储于USBKey。</w:t>
            </w:r>
          </w:p>
        </w:tc>
        <w:tc>
          <w:tcPr>
            <w:tcW w:w="713" w:type="dxa"/>
            <w:tcBorders>
              <w:top w:val="single" w:color="000000" w:sz="4" w:space="0"/>
              <w:left w:val="single" w:color="000000" w:sz="4" w:space="0"/>
              <w:bottom w:val="single" w:color="000000" w:sz="4" w:space="0"/>
              <w:right w:val="single" w:color="000000" w:sz="4" w:space="0"/>
            </w:tcBorders>
            <w:vAlign w:val="center"/>
          </w:tcPr>
          <w:p w14:paraId="7564508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3EF367A5">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张</w:t>
            </w:r>
          </w:p>
        </w:tc>
      </w:tr>
      <w:tr w14:paraId="18832D76">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32B3260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USBKey</w:t>
            </w:r>
          </w:p>
        </w:tc>
        <w:tc>
          <w:tcPr>
            <w:tcW w:w="5025" w:type="dxa"/>
            <w:tcBorders>
              <w:top w:val="single" w:color="000000" w:sz="4" w:space="0"/>
              <w:left w:val="single" w:color="000000" w:sz="4" w:space="0"/>
              <w:bottom w:val="single" w:color="000000" w:sz="4" w:space="0"/>
              <w:right w:val="single" w:color="000000" w:sz="4" w:space="0"/>
            </w:tcBorders>
            <w:vAlign w:val="center"/>
          </w:tcPr>
          <w:p w14:paraId="3EC0E6C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设备管理员登录堡垒机、系统用户登录系统进行身份鉴别。</w:t>
            </w:r>
          </w:p>
        </w:tc>
        <w:tc>
          <w:tcPr>
            <w:tcW w:w="713" w:type="dxa"/>
            <w:tcBorders>
              <w:top w:val="single" w:color="000000" w:sz="4" w:space="0"/>
              <w:left w:val="single" w:color="000000" w:sz="4" w:space="0"/>
              <w:bottom w:val="single" w:color="000000" w:sz="4" w:space="0"/>
              <w:right w:val="single" w:color="000000" w:sz="4" w:space="0"/>
            </w:tcBorders>
            <w:vAlign w:val="center"/>
          </w:tcPr>
          <w:p w14:paraId="351F42A6">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7E0D277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个</w:t>
            </w:r>
          </w:p>
        </w:tc>
      </w:tr>
      <w:tr w14:paraId="1DEC10D3">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5BD0342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浏览器密码模块(二级)</w:t>
            </w:r>
          </w:p>
        </w:tc>
        <w:tc>
          <w:tcPr>
            <w:tcW w:w="5025" w:type="dxa"/>
            <w:tcBorders>
              <w:top w:val="single" w:color="000000" w:sz="4" w:space="0"/>
              <w:left w:val="single" w:color="000000" w:sz="4" w:space="0"/>
              <w:bottom w:val="single" w:color="000000" w:sz="4" w:space="0"/>
              <w:right w:val="single" w:color="000000" w:sz="4" w:space="0"/>
            </w:tcBorders>
            <w:vAlign w:val="center"/>
          </w:tcPr>
          <w:p w14:paraId="283D3405">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设备管理员安全登录堡垒机；系统用户安全访问系统。</w:t>
            </w:r>
          </w:p>
        </w:tc>
        <w:tc>
          <w:tcPr>
            <w:tcW w:w="713" w:type="dxa"/>
            <w:tcBorders>
              <w:top w:val="single" w:color="000000" w:sz="4" w:space="0"/>
              <w:left w:val="single" w:color="000000" w:sz="4" w:space="0"/>
              <w:bottom w:val="single" w:color="000000" w:sz="4" w:space="0"/>
              <w:right w:val="single" w:color="000000" w:sz="4" w:space="0"/>
            </w:tcBorders>
            <w:vAlign w:val="center"/>
          </w:tcPr>
          <w:p w14:paraId="119AEA1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089567C4">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套</w:t>
            </w:r>
          </w:p>
        </w:tc>
      </w:tr>
      <w:tr w14:paraId="6299192D">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7AD26C2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模块开发</w:t>
            </w:r>
          </w:p>
        </w:tc>
        <w:tc>
          <w:tcPr>
            <w:tcW w:w="5025" w:type="dxa"/>
            <w:tcBorders>
              <w:top w:val="single" w:color="000000" w:sz="4" w:space="0"/>
              <w:left w:val="single" w:color="000000" w:sz="4" w:space="0"/>
              <w:bottom w:val="single" w:color="000000" w:sz="4" w:space="0"/>
              <w:right w:val="single" w:color="000000" w:sz="4" w:space="0"/>
            </w:tcBorders>
            <w:vAlign w:val="center"/>
          </w:tcPr>
          <w:p w14:paraId="5665C4B0">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用户身份认证机制模块</w:t>
            </w:r>
          </w:p>
        </w:tc>
        <w:tc>
          <w:tcPr>
            <w:tcW w:w="713" w:type="dxa"/>
            <w:tcBorders>
              <w:top w:val="single" w:color="000000" w:sz="4" w:space="0"/>
              <w:left w:val="single" w:color="000000" w:sz="4" w:space="0"/>
              <w:bottom w:val="single" w:color="000000" w:sz="4" w:space="0"/>
              <w:right w:val="single" w:color="000000" w:sz="4" w:space="0"/>
            </w:tcBorders>
            <w:vAlign w:val="center"/>
          </w:tcPr>
          <w:p w14:paraId="5C46B1B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53BE09C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套</w:t>
            </w:r>
          </w:p>
        </w:tc>
      </w:tr>
      <w:tr w14:paraId="114AA8A9">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471430B6">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模块开发</w:t>
            </w:r>
          </w:p>
        </w:tc>
        <w:tc>
          <w:tcPr>
            <w:tcW w:w="5025" w:type="dxa"/>
            <w:tcBorders>
              <w:top w:val="single" w:color="000000" w:sz="4" w:space="0"/>
              <w:left w:val="single" w:color="000000" w:sz="4" w:space="0"/>
              <w:bottom w:val="single" w:color="000000" w:sz="4" w:space="0"/>
              <w:right w:val="single" w:color="000000" w:sz="4" w:space="0"/>
            </w:tcBorders>
            <w:vAlign w:val="center"/>
          </w:tcPr>
          <w:p w14:paraId="3E667A3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业务重要数据安全传输模块</w:t>
            </w:r>
          </w:p>
        </w:tc>
        <w:tc>
          <w:tcPr>
            <w:tcW w:w="713" w:type="dxa"/>
            <w:tcBorders>
              <w:top w:val="single" w:color="000000" w:sz="4" w:space="0"/>
              <w:left w:val="single" w:color="000000" w:sz="4" w:space="0"/>
              <w:bottom w:val="single" w:color="000000" w:sz="4" w:space="0"/>
              <w:right w:val="single" w:color="000000" w:sz="4" w:space="0"/>
            </w:tcBorders>
            <w:vAlign w:val="center"/>
          </w:tcPr>
          <w:p w14:paraId="4FF6EC3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3E98AD5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套</w:t>
            </w:r>
          </w:p>
        </w:tc>
      </w:tr>
      <w:tr w14:paraId="72129938">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2D96E5A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模块开发</w:t>
            </w:r>
          </w:p>
        </w:tc>
        <w:tc>
          <w:tcPr>
            <w:tcW w:w="5025" w:type="dxa"/>
            <w:tcBorders>
              <w:top w:val="single" w:color="000000" w:sz="4" w:space="0"/>
              <w:left w:val="single" w:color="000000" w:sz="4" w:space="0"/>
              <w:bottom w:val="single" w:color="000000" w:sz="4" w:space="0"/>
              <w:right w:val="single" w:color="000000" w:sz="4" w:space="0"/>
            </w:tcBorders>
          </w:tcPr>
          <w:p w14:paraId="6288460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服务器虚拟机设备日志/访问控制信息完整性模块</w:t>
            </w:r>
          </w:p>
        </w:tc>
        <w:tc>
          <w:tcPr>
            <w:tcW w:w="713" w:type="dxa"/>
            <w:tcBorders>
              <w:top w:val="single" w:color="000000" w:sz="4" w:space="0"/>
              <w:left w:val="single" w:color="000000" w:sz="4" w:space="0"/>
              <w:bottom w:val="single" w:color="000000" w:sz="4" w:space="0"/>
              <w:right w:val="single" w:color="000000" w:sz="4" w:space="0"/>
            </w:tcBorders>
            <w:vAlign w:val="center"/>
          </w:tcPr>
          <w:p w14:paraId="79E10ABE">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1D3F6A60">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套</w:t>
            </w:r>
          </w:p>
        </w:tc>
      </w:tr>
      <w:tr w14:paraId="78A9C23B">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3CC2733D">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模块开发</w:t>
            </w:r>
          </w:p>
        </w:tc>
        <w:tc>
          <w:tcPr>
            <w:tcW w:w="5025" w:type="dxa"/>
            <w:tcBorders>
              <w:top w:val="single" w:color="000000" w:sz="4" w:space="0"/>
              <w:left w:val="single" w:color="000000" w:sz="4" w:space="0"/>
              <w:bottom w:val="single" w:color="000000" w:sz="4" w:space="0"/>
              <w:right w:val="single" w:color="000000" w:sz="4" w:space="0"/>
            </w:tcBorders>
            <w:vAlign w:val="center"/>
          </w:tcPr>
          <w:p w14:paraId="62AE2527">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重要可执行程序签名验签模块</w:t>
            </w:r>
          </w:p>
        </w:tc>
        <w:tc>
          <w:tcPr>
            <w:tcW w:w="713" w:type="dxa"/>
            <w:tcBorders>
              <w:top w:val="single" w:color="000000" w:sz="4" w:space="0"/>
              <w:left w:val="single" w:color="000000" w:sz="4" w:space="0"/>
              <w:bottom w:val="single" w:color="000000" w:sz="4" w:space="0"/>
              <w:right w:val="single" w:color="000000" w:sz="4" w:space="0"/>
            </w:tcBorders>
            <w:vAlign w:val="center"/>
          </w:tcPr>
          <w:p w14:paraId="2CAF64BA">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62E5A302">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套</w:t>
            </w:r>
          </w:p>
        </w:tc>
      </w:tr>
      <w:tr w14:paraId="63CB5015">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53761493">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模块开发</w:t>
            </w:r>
          </w:p>
        </w:tc>
        <w:tc>
          <w:tcPr>
            <w:tcW w:w="5025" w:type="dxa"/>
            <w:tcBorders>
              <w:top w:val="single" w:color="000000" w:sz="4" w:space="0"/>
              <w:left w:val="single" w:color="000000" w:sz="4" w:space="0"/>
              <w:bottom w:val="single" w:color="000000" w:sz="4" w:space="0"/>
              <w:right w:val="single" w:color="000000" w:sz="4" w:space="0"/>
            </w:tcBorders>
            <w:vAlign w:val="center"/>
          </w:tcPr>
          <w:p w14:paraId="155795A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用户访问控制信息签名验签模块</w:t>
            </w:r>
          </w:p>
        </w:tc>
        <w:tc>
          <w:tcPr>
            <w:tcW w:w="713" w:type="dxa"/>
            <w:tcBorders>
              <w:top w:val="single" w:color="000000" w:sz="4" w:space="0"/>
              <w:left w:val="single" w:color="000000" w:sz="4" w:space="0"/>
              <w:bottom w:val="single" w:color="000000" w:sz="4" w:space="0"/>
              <w:right w:val="single" w:color="000000" w:sz="4" w:space="0"/>
            </w:tcBorders>
            <w:vAlign w:val="center"/>
          </w:tcPr>
          <w:p w14:paraId="7D2F5D9B">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2E84C6D9">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套</w:t>
            </w:r>
          </w:p>
        </w:tc>
      </w:tr>
      <w:tr w14:paraId="0F95435F">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7D6D060F">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模块开发</w:t>
            </w:r>
          </w:p>
        </w:tc>
        <w:tc>
          <w:tcPr>
            <w:tcW w:w="5025" w:type="dxa"/>
            <w:tcBorders>
              <w:top w:val="single" w:color="000000" w:sz="4" w:space="0"/>
              <w:left w:val="single" w:color="000000" w:sz="4" w:space="0"/>
              <w:bottom w:val="single" w:color="000000" w:sz="4" w:space="0"/>
              <w:right w:val="single" w:color="000000" w:sz="4" w:space="0"/>
            </w:tcBorders>
            <w:vAlign w:val="center"/>
          </w:tcPr>
          <w:p w14:paraId="7A30702C">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应用系统重要数据加解密模块</w:t>
            </w:r>
          </w:p>
        </w:tc>
        <w:tc>
          <w:tcPr>
            <w:tcW w:w="713" w:type="dxa"/>
            <w:tcBorders>
              <w:top w:val="single" w:color="000000" w:sz="4" w:space="0"/>
              <w:left w:val="single" w:color="000000" w:sz="4" w:space="0"/>
              <w:bottom w:val="single" w:color="000000" w:sz="4" w:space="0"/>
              <w:right w:val="single" w:color="000000" w:sz="4" w:space="0"/>
            </w:tcBorders>
            <w:vAlign w:val="center"/>
          </w:tcPr>
          <w:p w14:paraId="4E86868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21981217">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套</w:t>
            </w:r>
          </w:p>
        </w:tc>
      </w:tr>
      <w:tr w14:paraId="67D595B6">
        <w:tblPrEx>
          <w:tblCellMar>
            <w:top w:w="0" w:type="dxa"/>
            <w:left w:w="108" w:type="dxa"/>
            <w:bottom w:w="0" w:type="dxa"/>
            <w:right w:w="108" w:type="dxa"/>
          </w:tblCellMar>
        </w:tblPrEx>
        <w:trPr>
          <w:trHeight w:val="90" w:hRule="atLeast"/>
        </w:trPr>
        <w:tc>
          <w:tcPr>
            <w:tcW w:w="2352" w:type="dxa"/>
            <w:tcBorders>
              <w:top w:val="single" w:color="000000" w:sz="4" w:space="0"/>
              <w:left w:val="single" w:color="000000" w:sz="4" w:space="0"/>
              <w:bottom w:val="single" w:color="000000" w:sz="4" w:space="0"/>
              <w:right w:val="single" w:color="000000" w:sz="4" w:space="0"/>
            </w:tcBorders>
            <w:vAlign w:val="center"/>
          </w:tcPr>
          <w:p w14:paraId="5A586811">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模块开发</w:t>
            </w:r>
          </w:p>
        </w:tc>
        <w:tc>
          <w:tcPr>
            <w:tcW w:w="5025" w:type="dxa"/>
            <w:tcBorders>
              <w:top w:val="single" w:color="000000" w:sz="4" w:space="0"/>
              <w:left w:val="single" w:color="000000" w:sz="4" w:space="0"/>
              <w:bottom w:val="single" w:color="000000" w:sz="4" w:space="0"/>
              <w:right w:val="single" w:color="000000" w:sz="4" w:space="0"/>
            </w:tcBorders>
            <w:vAlign w:val="center"/>
          </w:tcPr>
          <w:p w14:paraId="23D7CC79">
            <w:pPr>
              <w:spacing w:before="60" w:after="60" w:line="240" w:lineRule="auto"/>
              <w:ind w:firstLine="0" w:firstLineChars="0"/>
              <w:jc w:val="left"/>
              <w:rPr>
                <w:rFonts w:hint="eastAsia"/>
                <w:color w:val="000000"/>
                <w:w w:val="90"/>
                <w:sz w:val="21"/>
                <w:szCs w:val="21"/>
              </w:rPr>
            </w:pPr>
            <w:r>
              <w:rPr>
                <w:rFonts w:hint="eastAsia"/>
                <w:color w:val="000000"/>
                <w:w w:val="90"/>
                <w:sz w:val="21"/>
                <w:szCs w:val="21"/>
              </w:rPr>
              <w:t>应用系统重要数据签名验签模块</w:t>
            </w:r>
          </w:p>
        </w:tc>
        <w:tc>
          <w:tcPr>
            <w:tcW w:w="713" w:type="dxa"/>
            <w:tcBorders>
              <w:top w:val="single" w:color="000000" w:sz="4" w:space="0"/>
              <w:left w:val="single" w:color="000000" w:sz="4" w:space="0"/>
              <w:bottom w:val="single" w:color="000000" w:sz="4" w:space="0"/>
              <w:right w:val="single" w:color="000000" w:sz="4" w:space="0"/>
            </w:tcBorders>
            <w:vAlign w:val="center"/>
          </w:tcPr>
          <w:p w14:paraId="11FC327C">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6310004F">
            <w:pPr>
              <w:spacing w:before="60" w:after="60" w:line="240" w:lineRule="auto"/>
              <w:ind w:firstLine="0" w:firstLineChars="0"/>
              <w:jc w:val="center"/>
              <w:rPr>
                <w:rFonts w:hint="eastAsia"/>
                <w:color w:val="000000"/>
                <w:w w:val="90"/>
                <w:sz w:val="21"/>
                <w:szCs w:val="21"/>
              </w:rPr>
            </w:pPr>
            <w:r>
              <w:rPr>
                <w:rFonts w:hint="eastAsia"/>
                <w:color w:val="000000"/>
                <w:w w:val="90"/>
                <w:sz w:val="21"/>
                <w:szCs w:val="21"/>
              </w:rPr>
              <w:t>套</w:t>
            </w:r>
          </w:p>
        </w:tc>
      </w:tr>
    </w:tbl>
    <w:p w14:paraId="72584419">
      <w:pPr>
        <w:pStyle w:val="2"/>
        <w:rPr>
          <w:rFonts w:hint="eastAsia"/>
        </w:rPr>
      </w:pPr>
      <w:bookmarkStart w:id="18" w:name="_Toc63785503"/>
      <w:r>
        <w:rPr>
          <w:rFonts w:hint="eastAsia"/>
        </w:rPr>
        <w:t>招标工作要求</w:t>
      </w:r>
      <w:bookmarkEnd w:id="18"/>
    </w:p>
    <w:p w14:paraId="2DB01A68">
      <w:pPr>
        <w:pStyle w:val="3"/>
        <w:ind w:left="1138" w:hanging="1134" w:hangingChars="378"/>
        <w:rPr>
          <w:rFonts w:hint="eastAsia"/>
        </w:rPr>
      </w:pPr>
      <w:bookmarkStart w:id="19" w:name="_Toc63785439"/>
      <w:bookmarkEnd w:id="19"/>
      <w:bookmarkStart w:id="20" w:name="_Toc62209488"/>
      <w:bookmarkEnd w:id="20"/>
      <w:bookmarkStart w:id="21" w:name="_Toc63151871"/>
      <w:bookmarkEnd w:id="21"/>
      <w:bookmarkStart w:id="22" w:name="_Toc63585480"/>
      <w:bookmarkEnd w:id="22"/>
      <w:bookmarkStart w:id="23" w:name="_Toc63762370"/>
      <w:bookmarkEnd w:id="23"/>
      <w:bookmarkStart w:id="24" w:name="_Toc62219358"/>
      <w:bookmarkEnd w:id="24"/>
      <w:bookmarkStart w:id="25" w:name="_Toc61968111"/>
      <w:bookmarkEnd w:id="25"/>
      <w:bookmarkStart w:id="26" w:name="_Toc63785504"/>
      <w:bookmarkEnd w:id="26"/>
      <w:bookmarkStart w:id="27" w:name="_Toc63785505"/>
      <w:r>
        <w:rPr>
          <w:rFonts w:hint="eastAsia"/>
        </w:rPr>
        <w:t>工作范围与要求</w:t>
      </w:r>
    </w:p>
    <w:p w14:paraId="061FE37C">
      <w:pPr>
        <w:rPr>
          <w:rFonts w:hint="eastAsia"/>
        </w:rPr>
      </w:pPr>
      <w:r>
        <w:rPr>
          <w:rFonts w:hint="eastAsia"/>
        </w:rPr>
        <w:t>中标人应按照本项目现场实际条件、招标需求及最终项目目标提供深化设计、配套研究、软件开发以及集成，系统测试、调校、试运行（系统、单机）、采购人相关人员的培训及通过有关部门的验收期间提供必要的技术/研究支持和配合、质量保证期内免费保养维修等全部工作。</w:t>
      </w:r>
    </w:p>
    <w:p w14:paraId="56902B3F">
      <w:pPr>
        <w:rPr>
          <w:rFonts w:hint="eastAsia"/>
        </w:rPr>
      </w:pPr>
      <w:r>
        <w:rPr>
          <w:rFonts w:hint="eastAsia"/>
        </w:rPr>
        <w:t>依据本项目的工作内容与范围：中标人应包深化设计、包系统集成实施、包人工、包质量、包安全的方式实施本系统集成项目总承包并确保本项目最终验收顺利通过，同时在验收前通过两次专家评审以及软测、密测、等保测评。</w:t>
      </w:r>
    </w:p>
    <w:p w14:paraId="48FB5B57">
      <w:pPr>
        <w:rPr>
          <w:rFonts w:hint="eastAsia"/>
        </w:rPr>
      </w:pPr>
      <w:r>
        <w:rPr>
          <w:rFonts w:hint="eastAsia"/>
        </w:rPr>
        <w:t>深化设计主要内容包括但不限于：1）人、车、企、设施、项目五大类全要素关联研究；2）高质量数据集能力研究，包括但不限于通识数据集、行业通识数据集、行业专识数据集的构建路径；行业通识数据集的分类；行业通识数据集的构建方法；形成交通行业高质量数据集建设技术路径；3）元数据治理、数据分级分类、数据共享范围研究；4）六大中心的架构设计、功能设计、交互设计；5）公水联动、企业安全监管等专项场景功能设计及技术路径等内容；6）配合编制交通运输行业数据管理要求，推动数据资源标准化、规范化建设，制修订行业数据治理、数据基础设施、高质量数据集等标准规范；7）制定公共数据资源开发利用成效评估评价体系，发挥数据资产价值作用，加强数据资产管理。</w:t>
      </w:r>
    </w:p>
    <w:p w14:paraId="2F022C95">
      <w:pPr>
        <w:rPr>
          <w:rFonts w:hint="eastAsia"/>
        </w:rPr>
      </w:pPr>
      <w:r>
        <w:rPr>
          <w:rFonts w:hint="eastAsia"/>
        </w:rPr>
        <w:t>中标人应具备上海市或有关行业管理部门规定的在上海市场实施本项目所需的资质（包括国家和本市各类专业工种持证上岗要求）、资格和一切手续（如有的话），由此引起的所有有关事宜及费用由中标人自行负责。</w:t>
      </w:r>
    </w:p>
    <w:p w14:paraId="12067F74">
      <w:pPr>
        <w:rPr>
          <w:rFonts w:hint="eastAsia"/>
        </w:rPr>
      </w:pPr>
      <w:r>
        <w:rPr>
          <w:rFonts w:hint="eastAsia" w:eastAsiaTheme="minorEastAsia"/>
          <w:szCs w:val="22"/>
        </w:rPr>
        <w:t>中标人应</w:t>
      </w:r>
      <w:r>
        <w:rPr>
          <w:rFonts w:eastAsiaTheme="minorEastAsia"/>
          <w:szCs w:val="22"/>
        </w:rPr>
        <w:t>根据采购人的变更要求及实施现场的实际情况，负责完成系统方案变更设计，并经采购人及其委托监理单位（如有）审核后实施。</w:t>
      </w:r>
    </w:p>
    <w:p w14:paraId="2C1225AF">
      <w:pPr>
        <w:pStyle w:val="3"/>
        <w:ind w:left="1138" w:hanging="1134" w:hangingChars="378"/>
        <w:rPr>
          <w:rFonts w:hint="eastAsia"/>
        </w:rPr>
      </w:pPr>
      <w:r>
        <w:rPr>
          <w:rFonts w:hint="eastAsia"/>
        </w:rPr>
        <w:t>项目管理要求</w:t>
      </w:r>
    </w:p>
    <w:p w14:paraId="57392AD6">
      <w:pPr>
        <w:numPr>
          <w:ilvl w:val="0"/>
          <w:numId w:val="7"/>
        </w:numPr>
        <w:ind w:left="0" w:firstLine="480"/>
        <w:rPr>
          <w:rFonts w:hint="eastAsia"/>
        </w:rPr>
      </w:pPr>
      <w:r>
        <w:rPr>
          <w:rFonts w:hint="eastAsia"/>
        </w:rPr>
        <w:t>在项目实施期间，中标人应严格执行国家、地方、行业有关本项目业务管理和安全作业的法律、法规和制度并按规定承担相应的费用。中标人因违反规定等原因造成的一切损失和责任由中标人自行承担。</w:t>
      </w:r>
    </w:p>
    <w:p w14:paraId="45EEC4D5">
      <w:pPr>
        <w:numPr>
          <w:ilvl w:val="0"/>
          <w:numId w:val="7"/>
        </w:numPr>
        <w:ind w:left="0" w:firstLine="480"/>
        <w:rPr>
          <w:rFonts w:hint="eastAsia"/>
        </w:rPr>
      </w:pPr>
      <w:r>
        <w:rPr>
          <w:rFonts w:hint="eastAsia"/>
        </w:rPr>
        <w:t>中标人在投标书中承诺并经招标人认定的项目负责人及专业技术人员必须是本单位职工（在本单位缴纳社会保障金）和该项目实施现场的实际操作者，应具有类似本项目的实施经验，并应常驻项目现场。未经采购人同意，中标人不得调换或撤离上述人员。如采购人认为有必要，可要求中标人对上述人员中的部分人员作出更好的调整。</w:t>
      </w:r>
    </w:p>
    <w:p w14:paraId="7BDDEE0B">
      <w:pPr>
        <w:numPr>
          <w:ilvl w:val="0"/>
          <w:numId w:val="7"/>
        </w:numPr>
        <w:ind w:left="0" w:firstLine="480"/>
        <w:rPr>
          <w:rFonts w:hint="eastAsia"/>
        </w:rPr>
      </w:pPr>
      <w:r>
        <w:rPr>
          <w:rFonts w:hint="eastAsia"/>
        </w:rPr>
        <w:t>中标人在项目实施期间，应按项目实际进度与环节落实所对应项目整体及各环节管理工作，按照规范做好项目实施期间相关管理与实施记录，并按照项目进度，</w:t>
      </w:r>
      <w:r>
        <w:rPr>
          <w:rFonts w:hint="eastAsia"/>
          <w:b/>
          <w:bCs/>
        </w:rPr>
        <w:t>组织召开专家审查及专家评审工作不少于2次</w:t>
      </w:r>
      <w:r>
        <w:rPr>
          <w:rFonts w:hint="eastAsia"/>
        </w:rPr>
        <w:t>。</w:t>
      </w:r>
    </w:p>
    <w:p w14:paraId="5BE8F47E">
      <w:pPr>
        <w:numPr>
          <w:ilvl w:val="0"/>
          <w:numId w:val="7"/>
        </w:numPr>
        <w:ind w:left="0" w:firstLine="480"/>
        <w:rPr>
          <w:rFonts w:hint="eastAsia"/>
        </w:rPr>
      </w:pPr>
      <w:r>
        <w:rPr>
          <w:rFonts w:hint="eastAsia"/>
        </w:rPr>
        <w:t>中标人应严格参照执行国家与上海市有关建设工程安全文明施工管理的法律、法规和政策，积极主动落实安全文明及环境保护施工的管理和考核等有关工作，指派专人负责施工现场的安全，建立安全用电、动用明火申请批准等制度，防止隐患和落实好作业区域内的环境和原有装饰保护要求，确保作业区域周围环境的整洁和不影响正常办公区域正常工作，安全、文明实施本项目系统集成工作。</w:t>
      </w:r>
    </w:p>
    <w:p w14:paraId="145A36D0">
      <w:pPr>
        <w:numPr>
          <w:ilvl w:val="0"/>
          <w:numId w:val="7"/>
        </w:numPr>
        <w:ind w:left="0" w:firstLine="480"/>
        <w:rPr>
          <w:rFonts w:hint="eastAsia"/>
        </w:rPr>
      </w:pPr>
      <w:r>
        <w:rPr>
          <w:rFonts w:hint="eastAsia"/>
        </w:rPr>
        <w:t>中标人在与采购人签订项目合同的同时要签订安全生产责任协议书、治安防火责任协议书、项目文明实施协议书和廉政责任书（如采购人有此项要求），中标人若违反规定违章作业等，采购人有权责令停工整改，一切损失由中标人自行承担。</w:t>
      </w:r>
    </w:p>
    <w:p w14:paraId="5ABDC549">
      <w:pPr>
        <w:numPr>
          <w:ilvl w:val="0"/>
          <w:numId w:val="7"/>
        </w:numPr>
        <w:ind w:left="0" w:firstLine="480"/>
        <w:rPr>
          <w:rFonts w:hint="eastAsia"/>
        </w:rPr>
      </w:pPr>
      <w:r>
        <w:rPr>
          <w:rFonts w:hint="eastAsia"/>
        </w:rPr>
        <w:t>中标人在项目实施期间必须遵守采购人的规章制度并提供实施人员名单。</w:t>
      </w:r>
    </w:p>
    <w:p w14:paraId="5DE46285">
      <w:pPr>
        <w:numPr>
          <w:ilvl w:val="0"/>
          <w:numId w:val="7"/>
        </w:numPr>
        <w:ind w:left="0" w:firstLine="480"/>
        <w:rPr>
          <w:rFonts w:hint="eastAsia"/>
        </w:rPr>
      </w:pPr>
      <w:r>
        <w:rPr>
          <w:rFonts w:hint="eastAsia"/>
        </w:rPr>
        <w:t>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75B7D373">
      <w:pPr>
        <w:numPr>
          <w:ilvl w:val="0"/>
          <w:numId w:val="7"/>
        </w:numPr>
        <w:ind w:left="0" w:firstLine="480"/>
        <w:rPr>
          <w:rFonts w:hint="eastAsia"/>
        </w:rPr>
      </w:pPr>
      <w:r>
        <w:rPr>
          <w:rFonts w:hint="eastAsia"/>
        </w:rPr>
        <w:t>本项目不得转让，项目主体部分（项目管理、质量控制、应用软件开发等)不可以分包。其他部分如有分包，必须在投标文件中明确。投标文件中未说明的，中标后一律不得对外分包。</w:t>
      </w:r>
    </w:p>
    <w:p w14:paraId="59E31778">
      <w:pPr>
        <w:numPr>
          <w:ilvl w:val="0"/>
          <w:numId w:val="7"/>
        </w:numPr>
        <w:ind w:left="0" w:firstLine="480"/>
        <w:rPr>
          <w:rFonts w:hint="eastAsia"/>
        </w:rPr>
      </w:pPr>
      <w:r>
        <w:rPr>
          <w:rFonts w:hint="eastAsia"/>
        </w:rPr>
        <w:t>本项目软件开发及集成将纳入监理单位、采购人的管理范围，中标人在此过程中须服从上述单位的管理协调。</w:t>
      </w:r>
    </w:p>
    <w:p w14:paraId="5892D191">
      <w:pPr>
        <w:pStyle w:val="3"/>
        <w:ind w:left="1138" w:hanging="1134" w:hangingChars="378"/>
        <w:rPr>
          <w:rFonts w:hint="eastAsia"/>
        </w:rPr>
      </w:pPr>
      <w:r>
        <w:rPr>
          <w:rFonts w:hint="eastAsia"/>
        </w:rPr>
        <w:t>售后服务要求</w:t>
      </w:r>
      <w:bookmarkEnd w:id="27"/>
    </w:p>
    <w:p w14:paraId="14152634">
      <w:pPr>
        <w:pStyle w:val="18"/>
        <w:snapToGrid w:val="0"/>
        <w:spacing w:line="360" w:lineRule="auto"/>
        <w:ind w:firstLine="480"/>
        <w:rPr>
          <w:rFonts w:hint="eastAsia" w:ascii="宋体" w:hAnsi="宋体"/>
          <w:sz w:val="24"/>
          <w:szCs w:val="24"/>
        </w:rPr>
      </w:pPr>
      <w:r>
        <w:rPr>
          <w:rFonts w:hint="eastAsia" w:ascii="宋体" w:hAnsi="宋体"/>
          <w:sz w:val="24"/>
          <w:szCs w:val="24"/>
        </w:rPr>
        <w:t>本项目自项目验收通过之日起，中标人应对本项目整体系统提供一年免费运维服务，</w:t>
      </w:r>
      <w:bookmarkStart w:id="36" w:name="_GoBack"/>
      <w:bookmarkEnd w:id="36"/>
      <w:r>
        <w:rPr>
          <w:rFonts w:hint="eastAsia" w:ascii="宋体" w:hAnsi="宋体"/>
          <w:sz w:val="24"/>
          <w:szCs w:val="24"/>
        </w:rPr>
        <w:t>以上服务需包含在投标总价中。</w:t>
      </w:r>
    </w:p>
    <w:p w14:paraId="7FD2037C">
      <w:pPr>
        <w:pStyle w:val="18"/>
        <w:snapToGrid w:val="0"/>
        <w:spacing w:line="360" w:lineRule="auto"/>
        <w:ind w:firstLine="480"/>
        <w:rPr>
          <w:rFonts w:hint="eastAsia" w:ascii="宋体" w:hAnsi="宋体"/>
          <w:sz w:val="24"/>
          <w:szCs w:val="24"/>
        </w:rPr>
      </w:pPr>
      <w:r>
        <w:rPr>
          <w:rFonts w:hint="eastAsia" w:ascii="宋体" w:hAnsi="宋体"/>
          <w:sz w:val="24"/>
          <w:szCs w:val="24"/>
        </w:rPr>
        <w:t>在质量保证期内应免费实行“三包”服务，如果设备发生故障，投标人要调查故障原因并免费修复直至满足产品性能的要求，或者免费更换整机或部分有缺陷的组件和材料。</w:t>
      </w:r>
    </w:p>
    <w:p w14:paraId="577E4C00">
      <w:pPr>
        <w:pStyle w:val="18"/>
        <w:snapToGrid w:val="0"/>
        <w:spacing w:line="360" w:lineRule="auto"/>
        <w:ind w:firstLine="480"/>
        <w:rPr>
          <w:rFonts w:hint="eastAsia" w:ascii="宋体" w:hAnsi="宋体"/>
          <w:sz w:val="24"/>
          <w:szCs w:val="24"/>
        </w:rPr>
      </w:pPr>
      <w:r>
        <w:rPr>
          <w:rFonts w:hint="eastAsia" w:ascii="宋体" w:hAnsi="宋体"/>
          <w:sz w:val="24"/>
          <w:szCs w:val="24"/>
        </w:rPr>
        <w:t>质量保证期期满后，须由投标人工程师和用户代表进行一次全面检查，任何缺陷必须由投标人负责修理，在修理之后，投标人应将缺陷原因、修理内容、完成修理及恢复正常的时间和日期等报告给用户。</w:t>
      </w:r>
    </w:p>
    <w:p w14:paraId="52291E52">
      <w:pPr>
        <w:pStyle w:val="3"/>
        <w:ind w:left="1138" w:hanging="1134" w:hangingChars="378"/>
        <w:rPr>
          <w:rFonts w:hint="eastAsia"/>
        </w:rPr>
      </w:pPr>
      <w:bookmarkStart w:id="28" w:name="_Toc63785506"/>
      <w:r>
        <w:rPr>
          <w:rFonts w:hint="eastAsia"/>
        </w:rPr>
        <w:t>应急响应要求</w:t>
      </w:r>
      <w:bookmarkEnd w:id="28"/>
    </w:p>
    <w:p w14:paraId="63CEBBAC">
      <w:pPr>
        <w:pStyle w:val="18"/>
        <w:snapToGrid w:val="0"/>
        <w:spacing w:line="360" w:lineRule="auto"/>
        <w:ind w:firstLine="480"/>
        <w:rPr>
          <w:rFonts w:hint="eastAsia" w:ascii="宋体" w:hAnsi="宋体"/>
          <w:sz w:val="24"/>
          <w:szCs w:val="24"/>
        </w:rPr>
      </w:pPr>
      <w:r>
        <w:rPr>
          <w:rFonts w:hint="eastAsia" w:ascii="宋体" w:hAnsi="宋体"/>
          <w:sz w:val="24"/>
          <w:szCs w:val="24"/>
        </w:rPr>
        <w:t>投标人坚持主动预防、迅速高效的原则，紧密结合实际情况，精心编制并持续完善应急预案，同时每年至少组织实施一次应急演练。</w:t>
      </w:r>
    </w:p>
    <w:p w14:paraId="0BD0615B">
      <w:pPr>
        <w:pStyle w:val="18"/>
        <w:snapToGrid w:val="0"/>
        <w:spacing w:line="360" w:lineRule="auto"/>
        <w:ind w:firstLine="480"/>
        <w:rPr>
          <w:rFonts w:hint="eastAsia" w:ascii="宋体" w:hAnsi="宋体"/>
          <w:sz w:val="24"/>
          <w:szCs w:val="24"/>
        </w:rPr>
      </w:pPr>
      <w:r>
        <w:rPr>
          <w:rFonts w:hint="eastAsia" w:ascii="宋体" w:hAnsi="宋体"/>
          <w:sz w:val="24"/>
          <w:szCs w:val="24"/>
        </w:rPr>
        <w:t>投标人必须提供7*24小时全天候应急响应服务。</w:t>
      </w:r>
    </w:p>
    <w:p w14:paraId="6F75E6C1">
      <w:pPr>
        <w:pStyle w:val="18"/>
        <w:snapToGrid w:val="0"/>
        <w:spacing w:line="360" w:lineRule="auto"/>
        <w:ind w:firstLine="480"/>
        <w:rPr>
          <w:rFonts w:hint="eastAsia" w:ascii="宋体" w:hAnsi="宋体"/>
          <w:sz w:val="24"/>
          <w:szCs w:val="24"/>
        </w:rPr>
      </w:pPr>
      <w:r>
        <w:rPr>
          <w:rFonts w:hint="eastAsia" w:ascii="宋体" w:hAnsi="宋体"/>
          <w:sz w:val="24"/>
          <w:szCs w:val="24"/>
        </w:rPr>
        <w:t>依据故障时间及故障范围划分故障级别，故障级别分为四级，依次为Ⅰ级（紧急）、Ⅱ级（严重）、Ⅲ级（较大）和Ⅳ级（一般），分别定义如下：</w:t>
      </w:r>
    </w:p>
    <w:p w14:paraId="625FE483">
      <w:pPr>
        <w:pStyle w:val="18"/>
        <w:snapToGrid w:val="0"/>
        <w:spacing w:line="360" w:lineRule="auto"/>
        <w:ind w:firstLine="480"/>
        <w:rPr>
          <w:rFonts w:hint="eastAsia" w:ascii="宋体" w:hAnsi="宋体"/>
          <w:sz w:val="24"/>
          <w:szCs w:val="24"/>
        </w:rPr>
      </w:pPr>
      <w:r>
        <w:rPr>
          <w:rFonts w:hint="eastAsia" w:ascii="宋体" w:hAnsi="宋体"/>
          <w:sz w:val="24"/>
          <w:szCs w:val="24"/>
        </w:rPr>
        <w:t>Ⅰ级（紧急）故障为工作时间段（8：30——17：30）内大范围故障；</w:t>
      </w:r>
    </w:p>
    <w:p w14:paraId="760BA812">
      <w:pPr>
        <w:pStyle w:val="18"/>
        <w:snapToGrid w:val="0"/>
        <w:spacing w:line="360" w:lineRule="auto"/>
        <w:ind w:firstLine="480"/>
        <w:rPr>
          <w:rFonts w:hint="eastAsia" w:ascii="宋体" w:hAnsi="宋体"/>
          <w:sz w:val="24"/>
          <w:szCs w:val="24"/>
        </w:rPr>
      </w:pPr>
      <w:r>
        <w:rPr>
          <w:rFonts w:hint="eastAsia" w:ascii="宋体" w:hAnsi="宋体"/>
          <w:sz w:val="24"/>
          <w:szCs w:val="24"/>
        </w:rPr>
        <w:t>Ⅱ级（严重）故障为非工作时间段（17：30——次日8：30）内大范围故障；</w:t>
      </w:r>
    </w:p>
    <w:p w14:paraId="5B671745">
      <w:pPr>
        <w:pStyle w:val="18"/>
        <w:snapToGrid w:val="0"/>
        <w:spacing w:line="360" w:lineRule="auto"/>
        <w:ind w:firstLine="480"/>
        <w:rPr>
          <w:rFonts w:hint="eastAsia" w:ascii="宋体" w:hAnsi="宋体"/>
          <w:sz w:val="24"/>
          <w:szCs w:val="24"/>
        </w:rPr>
      </w:pPr>
      <w:r>
        <w:rPr>
          <w:rFonts w:hint="eastAsia" w:ascii="宋体" w:hAnsi="宋体"/>
          <w:sz w:val="24"/>
          <w:szCs w:val="24"/>
        </w:rPr>
        <w:t>Ⅲ级（较大）故障为工作时间段（8：30——17：30）内小范围故障；</w:t>
      </w:r>
    </w:p>
    <w:p w14:paraId="4F53A12E">
      <w:pPr>
        <w:pStyle w:val="18"/>
        <w:snapToGrid w:val="0"/>
        <w:spacing w:line="360" w:lineRule="auto"/>
        <w:ind w:firstLine="480"/>
        <w:rPr>
          <w:rFonts w:hint="eastAsia" w:ascii="宋体" w:hAnsi="宋体"/>
          <w:sz w:val="24"/>
          <w:szCs w:val="24"/>
        </w:rPr>
      </w:pPr>
      <w:r>
        <w:rPr>
          <w:rFonts w:hint="eastAsia" w:ascii="宋体" w:hAnsi="宋体"/>
          <w:sz w:val="24"/>
          <w:szCs w:val="24"/>
        </w:rPr>
        <w:t>Ⅳ级（一般）故障为非工作时间段（17：30——次日8：30）内小范围故障；</w:t>
      </w:r>
    </w:p>
    <w:p w14:paraId="530EC45D">
      <w:pPr>
        <w:pStyle w:val="18"/>
        <w:snapToGrid w:val="0"/>
        <w:spacing w:line="360" w:lineRule="auto"/>
        <w:ind w:firstLine="480"/>
        <w:rPr>
          <w:rFonts w:hint="eastAsia" w:ascii="宋体" w:hAnsi="宋体"/>
          <w:sz w:val="24"/>
          <w:szCs w:val="24"/>
        </w:rPr>
      </w:pPr>
      <w:r>
        <w:rPr>
          <w:rFonts w:hint="eastAsia" w:ascii="宋体" w:hAnsi="宋体"/>
          <w:sz w:val="24"/>
          <w:szCs w:val="24"/>
        </w:rPr>
        <w:t>当：</w:t>
      </w:r>
    </w:p>
    <w:p w14:paraId="3A9B4A0C">
      <w:pPr>
        <w:pStyle w:val="18"/>
        <w:snapToGrid w:val="0"/>
        <w:spacing w:line="360" w:lineRule="auto"/>
        <w:ind w:firstLine="480"/>
        <w:rPr>
          <w:rFonts w:hint="eastAsia" w:ascii="宋体" w:hAnsi="宋体"/>
          <w:sz w:val="24"/>
          <w:szCs w:val="24"/>
        </w:rPr>
      </w:pPr>
      <w:r>
        <w:rPr>
          <w:rFonts w:hint="eastAsia" w:ascii="宋体" w:hAnsi="宋体"/>
          <w:sz w:val="24"/>
          <w:szCs w:val="24"/>
        </w:rPr>
        <w:t>a、发生Ⅰ级（紧急）故障后0.5小时内无法通过电话或远程支持服务排除故障，如采购方要求提供现场支持，投标人应2小时内到达用户现场；</w:t>
      </w:r>
    </w:p>
    <w:p w14:paraId="1A076D86">
      <w:pPr>
        <w:pStyle w:val="18"/>
        <w:snapToGrid w:val="0"/>
        <w:spacing w:line="360" w:lineRule="auto"/>
        <w:ind w:firstLine="480"/>
        <w:rPr>
          <w:rFonts w:hint="eastAsia" w:ascii="宋体" w:hAnsi="宋体"/>
          <w:sz w:val="24"/>
          <w:szCs w:val="24"/>
        </w:rPr>
      </w:pPr>
      <w:r>
        <w:rPr>
          <w:rFonts w:hint="eastAsia" w:ascii="宋体" w:hAnsi="宋体"/>
          <w:sz w:val="24"/>
          <w:szCs w:val="24"/>
        </w:rPr>
        <w:t>b、发生Ⅱ级（严重）故障后0.5小时内无法通过电话或远程支持服务排除故障，如采购方要求提供现场支持，投标人应2小时内到达用户现场；</w:t>
      </w:r>
    </w:p>
    <w:p w14:paraId="6FDC3D44">
      <w:pPr>
        <w:pStyle w:val="18"/>
        <w:snapToGrid w:val="0"/>
        <w:spacing w:line="360" w:lineRule="auto"/>
        <w:ind w:firstLine="480"/>
        <w:rPr>
          <w:rFonts w:hint="eastAsia" w:ascii="宋体" w:hAnsi="宋体"/>
          <w:sz w:val="24"/>
          <w:szCs w:val="24"/>
        </w:rPr>
      </w:pPr>
      <w:r>
        <w:rPr>
          <w:rFonts w:hint="eastAsia" w:ascii="宋体" w:hAnsi="宋体"/>
          <w:sz w:val="24"/>
          <w:szCs w:val="24"/>
        </w:rPr>
        <w:t>c、发生Ⅲ级（较大）故障后1小时内无法通过电话或远程支持服务排除故障，如采购方要求提供现场支持，投标人应3小时内到达用户现场；</w:t>
      </w:r>
    </w:p>
    <w:p w14:paraId="4860A4BB">
      <w:pPr>
        <w:pStyle w:val="18"/>
        <w:snapToGrid w:val="0"/>
        <w:spacing w:line="360" w:lineRule="auto"/>
        <w:ind w:firstLine="480"/>
        <w:rPr>
          <w:rFonts w:hint="eastAsia" w:ascii="宋体" w:hAnsi="宋体"/>
          <w:sz w:val="24"/>
          <w:szCs w:val="24"/>
        </w:rPr>
      </w:pPr>
      <w:r>
        <w:rPr>
          <w:rFonts w:hint="eastAsia" w:ascii="宋体" w:hAnsi="宋体"/>
          <w:sz w:val="24"/>
          <w:szCs w:val="24"/>
        </w:rPr>
        <w:t>d、发生Ⅳ级（一般）故障后1小时内无法通过电话或远程支持服务排除故障，如采购方要求提供现场支持，投标人应4小时内到达用户现场。</w:t>
      </w:r>
    </w:p>
    <w:p w14:paraId="32606DB7">
      <w:pPr>
        <w:pStyle w:val="18"/>
        <w:snapToGrid w:val="0"/>
        <w:spacing w:line="360" w:lineRule="auto"/>
        <w:ind w:firstLine="480"/>
        <w:rPr>
          <w:rFonts w:hint="eastAsia" w:ascii="宋体" w:hAnsi="宋体"/>
          <w:sz w:val="24"/>
          <w:szCs w:val="24"/>
        </w:rPr>
      </w:pPr>
      <w:r>
        <w:rPr>
          <w:rFonts w:hint="eastAsia" w:ascii="宋体" w:hAnsi="宋体"/>
          <w:sz w:val="24"/>
          <w:szCs w:val="24"/>
        </w:rPr>
        <w:t>如发生故障，投标人应严格按照制定的应急预案中故障处理流程实施故障排除操作。</w:t>
      </w:r>
    </w:p>
    <w:p w14:paraId="35354917">
      <w:pPr>
        <w:pStyle w:val="18"/>
        <w:snapToGrid w:val="0"/>
        <w:spacing w:line="360" w:lineRule="auto"/>
        <w:ind w:firstLine="480"/>
        <w:rPr>
          <w:rFonts w:hint="eastAsia" w:ascii="宋体" w:hAnsi="宋体"/>
          <w:sz w:val="24"/>
          <w:szCs w:val="24"/>
        </w:rPr>
      </w:pPr>
      <w:r>
        <w:rPr>
          <w:rFonts w:hint="eastAsia" w:ascii="宋体" w:hAnsi="宋体"/>
          <w:sz w:val="24"/>
          <w:szCs w:val="24"/>
        </w:rPr>
        <w:t>当故障排除操作全部完成后，投标人应向采购单位提交运维故障报告，经采购单位验证通过后签字确认并归档保存，同时组织更新相关文档。</w:t>
      </w:r>
    </w:p>
    <w:p w14:paraId="6D1F60D3">
      <w:pPr>
        <w:pStyle w:val="18"/>
        <w:snapToGrid w:val="0"/>
        <w:spacing w:line="360" w:lineRule="auto"/>
        <w:ind w:firstLine="480"/>
        <w:rPr>
          <w:rFonts w:hint="eastAsia" w:ascii="宋体" w:hAnsi="宋体"/>
          <w:sz w:val="24"/>
          <w:szCs w:val="24"/>
        </w:rPr>
      </w:pPr>
      <w:r>
        <w:rPr>
          <w:rFonts w:hint="eastAsia" w:ascii="宋体" w:hAnsi="宋体"/>
          <w:sz w:val="24"/>
          <w:szCs w:val="24"/>
        </w:rPr>
        <w:t>如遇有重大事件（包括汛期、节假日、政治军事活动等），投标人应科学编制安全保障方案，并根据采购单位需要提供现场保障服务。</w:t>
      </w:r>
    </w:p>
    <w:p w14:paraId="4A815E0F">
      <w:pPr>
        <w:pStyle w:val="3"/>
        <w:ind w:left="1138" w:hanging="1134" w:hangingChars="378"/>
        <w:rPr>
          <w:rFonts w:hint="eastAsia"/>
        </w:rPr>
      </w:pPr>
      <w:bookmarkStart w:id="29" w:name="_Toc63785507"/>
      <w:r>
        <w:rPr>
          <w:rFonts w:hint="eastAsia"/>
        </w:rPr>
        <w:t>培训要求</w:t>
      </w:r>
      <w:bookmarkEnd w:id="29"/>
    </w:p>
    <w:p w14:paraId="023BB3DF">
      <w:pPr>
        <w:rPr>
          <w:rFonts w:hint="eastAsia"/>
        </w:rPr>
      </w:pPr>
      <w:r>
        <w:rPr>
          <w:rFonts w:hint="eastAsia"/>
        </w:rPr>
        <w:t>对系统使用单位提供业务操作培训，应提供详细培训方案。</w:t>
      </w:r>
    </w:p>
    <w:p w14:paraId="46EE1F6E">
      <w:pPr>
        <w:rPr>
          <w:rFonts w:hint="eastAsia"/>
        </w:rPr>
      </w:pPr>
      <w:r>
        <w:rPr>
          <w:rFonts w:hint="eastAsia"/>
        </w:rPr>
        <w:t>(1)在12个月的质量保证期内，提供2次与项目相关的必要培训。</w:t>
      </w:r>
    </w:p>
    <w:p w14:paraId="4D36A30A">
      <w:pPr>
        <w:rPr>
          <w:rFonts w:hint="eastAsia"/>
        </w:rPr>
      </w:pPr>
      <w:r>
        <w:rPr>
          <w:rFonts w:hint="eastAsia"/>
        </w:rPr>
        <w:t>(2)</w:t>
      </w:r>
      <w:r>
        <w:rPr>
          <w:rFonts w:hint="eastAsia"/>
          <w:lang w:eastAsia="zh-CN"/>
        </w:rPr>
        <w:t>投标人</w:t>
      </w:r>
      <w:r>
        <w:rPr>
          <w:rFonts w:hint="eastAsia"/>
        </w:rPr>
        <w:t>需要开展分层次的人员培训工作，每次培训后应对参加培训人员进行测试，评估培训成果。培训应具有培训教材、培训环境和高水平的培训讲师。</w:t>
      </w:r>
    </w:p>
    <w:p w14:paraId="1EB34589">
      <w:pPr>
        <w:rPr>
          <w:rFonts w:hint="eastAsia"/>
          <w:strike/>
          <w:szCs w:val="21"/>
        </w:rPr>
      </w:pPr>
      <w:r>
        <w:rPr>
          <w:rFonts w:hint="eastAsia"/>
        </w:rPr>
        <w:t>(3)</w:t>
      </w:r>
      <w:r>
        <w:rPr>
          <w:rFonts w:hint="eastAsia"/>
          <w:lang w:eastAsia="zh-CN"/>
        </w:rPr>
        <w:t>投标人</w:t>
      </w:r>
      <w:r>
        <w:rPr>
          <w:rFonts w:hint="eastAsia"/>
        </w:rPr>
        <w:t>应提供一般用户的基础操作培训和部门信息管理员的日常应用维护的培训，确保用户对象能够掌握对应的操作技能。</w:t>
      </w:r>
    </w:p>
    <w:p w14:paraId="482CA501">
      <w:pPr>
        <w:pStyle w:val="3"/>
        <w:ind w:left="1138" w:hanging="1134" w:hangingChars="378"/>
        <w:rPr>
          <w:rFonts w:hint="eastAsia"/>
        </w:rPr>
      </w:pPr>
      <w:bookmarkStart w:id="30" w:name="_Toc63785509"/>
      <w:r>
        <w:rPr>
          <w:rFonts w:hint="eastAsia"/>
        </w:rPr>
        <w:t>验收要求</w:t>
      </w:r>
    </w:p>
    <w:p w14:paraId="177DD4F9">
      <w:pPr>
        <w:rPr>
          <w:rFonts w:hint="eastAsia"/>
          <w:szCs w:val="21"/>
        </w:rPr>
      </w:pPr>
      <w:r>
        <w:rPr>
          <w:rFonts w:hint="eastAsia"/>
          <w:szCs w:val="21"/>
        </w:rPr>
        <w:t>本项目按下述方式开展验收。</w:t>
      </w:r>
    </w:p>
    <w:p w14:paraId="51600190">
      <w:pPr>
        <w:rPr>
          <w:rFonts w:hint="eastAsia"/>
          <w:szCs w:val="21"/>
        </w:rPr>
      </w:pPr>
      <w:r>
        <w:rPr>
          <w:rFonts w:hint="eastAsia"/>
          <w:szCs w:val="21"/>
        </w:rPr>
        <w:t>（</w:t>
      </w:r>
      <w:r>
        <w:rPr>
          <w:szCs w:val="21"/>
        </w:rPr>
        <w:t>1）验收分初验和终验。</w:t>
      </w:r>
    </w:p>
    <w:p w14:paraId="6B28D87D">
      <w:pPr>
        <w:rPr>
          <w:rFonts w:hint="eastAsia"/>
          <w:szCs w:val="21"/>
        </w:rPr>
      </w:pPr>
      <w:r>
        <w:rPr>
          <w:rFonts w:hint="eastAsia"/>
          <w:szCs w:val="21"/>
        </w:rPr>
        <w:t>（</w:t>
      </w:r>
      <w:r>
        <w:rPr>
          <w:szCs w:val="21"/>
        </w:rPr>
        <w:t>2）初验前，</w:t>
      </w:r>
      <w:r>
        <w:rPr>
          <w:rFonts w:hint="eastAsia"/>
          <w:szCs w:val="21"/>
          <w:lang w:eastAsia="zh-CN"/>
        </w:rPr>
        <w:t>投标人</w:t>
      </w:r>
      <w:r>
        <w:rPr>
          <w:szCs w:val="21"/>
        </w:rPr>
        <w:t>须完成软件开发、软硬件安装和信息系统的调试等，并对本项目进行功能和运行检测，确保所有信息系统功能模块能够正常运行且已达到本项目约定的各类标准要求。</w:t>
      </w:r>
      <w:r>
        <w:rPr>
          <w:rFonts w:hint="eastAsia"/>
          <w:szCs w:val="21"/>
          <w:lang w:eastAsia="zh-CN"/>
        </w:rPr>
        <w:t>投标人</w:t>
      </w:r>
      <w:r>
        <w:rPr>
          <w:szCs w:val="21"/>
        </w:rPr>
        <w:t>应以书面形式向招标方递交初验通知书。招标方应当在接到通知后的5个工作日内确定初验的具体日期，由双方按照本项目的约定完成本项目的初验。招标方有权委托第三方检测机构进行验收，对此</w:t>
      </w:r>
      <w:r>
        <w:rPr>
          <w:rFonts w:hint="eastAsia"/>
          <w:szCs w:val="21"/>
          <w:lang w:eastAsia="zh-CN"/>
        </w:rPr>
        <w:t>投标人</w:t>
      </w:r>
      <w:r>
        <w:rPr>
          <w:szCs w:val="21"/>
        </w:rPr>
        <w:t>应当配合。</w:t>
      </w:r>
    </w:p>
    <w:p w14:paraId="190611D3">
      <w:pPr>
        <w:rPr>
          <w:rFonts w:hint="eastAsia"/>
          <w:szCs w:val="21"/>
        </w:rPr>
      </w:pPr>
      <w:r>
        <w:rPr>
          <w:rFonts w:hint="eastAsia"/>
          <w:szCs w:val="21"/>
        </w:rPr>
        <w:t>（</w:t>
      </w:r>
      <w:r>
        <w:rPr>
          <w:szCs w:val="21"/>
        </w:rPr>
        <w:t>3）初验时，</w:t>
      </w:r>
      <w:r>
        <w:rPr>
          <w:rFonts w:hint="eastAsia"/>
          <w:szCs w:val="21"/>
          <w:lang w:eastAsia="zh-CN"/>
        </w:rPr>
        <w:t>投标人</w:t>
      </w:r>
      <w:r>
        <w:rPr>
          <w:szCs w:val="21"/>
        </w:rPr>
        <w:t>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w:t>
      </w:r>
      <w:r>
        <w:rPr>
          <w:rFonts w:hint="eastAsia"/>
          <w:szCs w:val="21"/>
          <w:lang w:eastAsia="zh-CN"/>
        </w:rPr>
        <w:t>投标人</w:t>
      </w:r>
      <w:r>
        <w:rPr>
          <w:szCs w:val="21"/>
        </w:rPr>
        <w:t>出具书面报告，陈述需要改进的缺陷。</w:t>
      </w:r>
      <w:r>
        <w:rPr>
          <w:rFonts w:hint="eastAsia"/>
          <w:szCs w:val="21"/>
          <w:lang w:eastAsia="zh-CN"/>
        </w:rPr>
        <w:t>投标人</w:t>
      </w:r>
      <w:r>
        <w:rPr>
          <w:szCs w:val="21"/>
        </w:rPr>
        <w:t>应立即严格依照招标方的书面报告中的要求改进缺陷，并再次进行初验。</w:t>
      </w:r>
    </w:p>
    <w:p w14:paraId="18E67A09">
      <w:pPr>
        <w:rPr>
          <w:rFonts w:hint="eastAsia"/>
          <w:szCs w:val="21"/>
        </w:rPr>
      </w:pPr>
      <w:r>
        <w:rPr>
          <w:rFonts w:hint="eastAsia"/>
          <w:szCs w:val="21"/>
        </w:rPr>
        <w:t>（</w:t>
      </w:r>
      <w:r>
        <w:rPr>
          <w:szCs w:val="21"/>
        </w:rPr>
        <w:t>4）自初验通过之日起，招标方享有</w:t>
      </w:r>
      <w:r>
        <w:rPr>
          <w:rFonts w:hint="eastAsia"/>
          <w:szCs w:val="21"/>
          <w:lang w:eastAsia="zh-CN"/>
        </w:rPr>
        <w:t>投标人</w:t>
      </w:r>
      <w:r>
        <w:rPr>
          <w:szCs w:val="21"/>
        </w:rPr>
        <w:t>免费提供的</w:t>
      </w:r>
      <w:r>
        <w:rPr>
          <w:rFonts w:hint="eastAsia"/>
          <w:szCs w:val="21"/>
        </w:rPr>
        <w:t>30</w:t>
      </w:r>
      <w:r>
        <w:rPr>
          <w:szCs w:val="21"/>
        </w:rPr>
        <w:t>天的信息系统试运行现场驻场服务期。该期间内，</w:t>
      </w:r>
      <w:r>
        <w:rPr>
          <w:rFonts w:hint="eastAsia"/>
          <w:szCs w:val="21"/>
          <w:lang w:eastAsia="zh-CN"/>
        </w:rPr>
        <w:t>投标人</w:t>
      </w:r>
      <w:r>
        <w:rPr>
          <w:szCs w:val="21"/>
        </w:rPr>
        <w:t>应当按照招标方的要求提供现场技术支持服务，解决信息系统试运行期间可能出现的各类问题，或进一步提高与完善信息系统运行水平。</w:t>
      </w:r>
    </w:p>
    <w:p w14:paraId="5CE46F74">
      <w:pPr>
        <w:rPr>
          <w:rFonts w:hint="eastAsia"/>
          <w:szCs w:val="21"/>
        </w:rPr>
      </w:pPr>
      <w:r>
        <w:rPr>
          <w:rFonts w:hint="eastAsia"/>
          <w:szCs w:val="21"/>
        </w:rPr>
        <w:t>（</w:t>
      </w:r>
      <w:r>
        <w:rPr>
          <w:szCs w:val="21"/>
        </w:rPr>
        <w:t>5）初验通过且信息系统试运行期已经达到本项目约定的时间，经</w:t>
      </w:r>
      <w:r>
        <w:rPr>
          <w:rFonts w:hint="eastAsia"/>
          <w:szCs w:val="21"/>
          <w:lang w:eastAsia="zh-CN"/>
        </w:rPr>
        <w:t>投标人</w:t>
      </w:r>
      <w:r>
        <w:rPr>
          <w:szCs w:val="21"/>
        </w:rPr>
        <w:t>确认信息系统具备正常运行条件，且信息系统通过运行测试，</w:t>
      </w:r>
      <w:r>
        <w:rPr>
          <w:rFonts w:hint="eastAsia"/>
          <w:szCs w:val="21"/>
          <w:lang w:eastAsia="zh-CN"/>
        </w:rPr>
        <w:t>投标人</w:t>
      </w:r>
      <w:r>
        <w:rPr>
          <w:szCs w:val="21"/>
        </w:rPr>
        <w:t>应以书面形式通知招标方信息系统已准备就绪等待终验。招标方在收到终验通知后的</w:t>
      </w:r>
      <w:r>
        <w:rPr>
          <w:rFonts w:hint="eastAsia"/>
          <w:szCs w:val="21"/>
        </w:rPr>
        <w:t>10</w:t>
      </w:r>
      <w:r>
        <w:rPr>
          <w:szCs w:val="21"/>
        </w:rPr>
        <w:t>个工作日内发起组织专家验收会。</w:t>
      </w:r>
    </w:p>
    <w:p w14:paraId="42949A38">
      <w:pPr>
        <w:rPr>
          <w:rFonts w:hint="eastAsia"/>
          <w:szCs w:val="21"/>
        </w:rPr>
      </w:pPr>
      <w:r>
        <w:rPr>
          <w:rFonts w:hint="eastAsia"/>
          <w:szCs w:val="21"/>
        </w:rPr>
        <w:t>（6</w:t>
      </w:r>
      <w:r>
        <w:rPr>
          <w:szCs w:val="21"/>
        </w:rPr>
        <w:t>）如果属于</w:t>
      </w:r>
      <w:r>
        <w:rPr>
          <w:rFonts w:hint="eastAsia"/>
          <w:szCs w:val="21"/>
          <w:lang w:eastAsia="zh-CN"/>
        </w:rPr>
        <w:t>投标人</w:t>
      </w:r>
      <w:r>
        <w:rPr>
          <w:szCs w:val="21"/>
        </w:rPr>
        <w:t>原因致使本项目未能通过终验，</w:t>
      </w:r>
      <w:r>
        <w:rPr>
          <w:rFonts w:hint="eastAsia"/>
          <w:szCs w:val="21"/>
          <w:lang w:eastAsia="zh-CN"/>
        </w:rPr>
        <w:t>投标人</w:t>
      </w:r>
      <w:r>
        <w:rPr>
          <w:szCs w:val="21"/>
        </w:rPr>
        <w:t>应当排除缺陷，直至本项目完全符合验收标准，由上述情形而产生的相关费用应由</w:t>
      </w:r>
      <w:r>
        <w:rPr>
          <w:rFonts w:hint="eastAsia"/>
          <w:szCs w:val="21"/>
          <w:lang w:eastAsia="zh-CN"/>
        </w:rPr>
        <w:t>投标人</w:t>
      </w:r>
      <w:r>
        <w:rPr>
          <w:szCs w:val="21"/>
        </w:rPr>
        <w:t>自行承担。</w:t>
      </w:r>
    </w:p>
    <w:p w14:paraId="59ED3175">
      <w:pPr>
        <w:rPr>
          <w:rFonts w:hint="eastAsia"/>
          <w:szCs w:val="21"/>
        </w:rPr>
      </w:pPr>
      <w:r>
        <w:rPr>
          <w:rFonts w:hint="eastAsia"/>
          <w:szCs w:val="21"/>
        </w:rPr>
        <w:t>（7</w:t>
      </w:r>
      <w:r>
        <w:rPr>
          <w:szCs w:val="21"/>
        </w:rPr>
        <w:t>）如果由于招标方原因导致本项目在终验通过前出现故障或问题，</w:t>
      </w:r>
      <w:r>
        <w:rPr>
          <w:rFonts w:hint="eastAsia"/>
          <w:szCs w:val="21"/>
          <w:lang w:eastAsia="zh-CN"/>
        </w:rPr>
        <w:t>投标人</w:t>
      </w:r>
      <w:r>
        <w:rPr>
          <w:szCs w:val="21"/>
        </w:rPr>
        <w:t>应及时配合排除该方面的故障或问题。</w:t>
      </w:r>
    </w:p>
    <w:p w14:paraId="4FD2E71F">
      <w:pPr>
        <w:rPr>
          <w:rFonts w:hint="eastAsia"/>
        </w:rPr>
      </w:pPr>
      <w:r>
        <w:rPr>
          <w:rFonts w:hint="eastAsia"/>
          <w:szCs w:val="21"/>
        </w:rPr>
        <w:t>（8</w:t>
      </w:r>
      <w:r>
        <w:rPr>
          <w:szCs w:val="21"/>
        </w:rPr>
        <w:t>）如本项目连续3次验收未通过（含初验未通过或终验未通过），招标方有权解除项目，并有权依照本项目约定的违约条款追究</w:t>
      </w:r>
      <w:r>
        <w:rPr>
          <w:rFonts w:hint="eastAsia"/>
          <w:szCs w:val="21"/>
          <w:lang w:eastAsia="zh-CN"/>
        </w:rPr>
        <w:t>投标人</w:t>
      </w:r>
      <w:r>
        <w:rPr>
          <w:szCs w:val="21"/>
        </w:rPr>
        <w:t>的违约责任。</w:t>
      </w:r>
    </w:p>
    <w:p w14:paraId="1190B057">
      <w:pPr>
        <w:pStyle w:val="3"/>
        <w:ind w:left="1138" w:hanging="1134" w:hangingChars="378"/>
        <w:rPr>
          <w:rFonts w:hint="eastAsia"/>
        </w:rPr>
      </w:pPr>
      <w:r>
        <w:rPr>
          <w:rFonts w:hint="eastAsia"/>
        </w:rPr>
        <w:t>进度要求</w:t>
      </w:r>
      <w:bookmarkEnd w:id="30"/>
    </w:p>
    <w:p w14:paraId="33FAEDE3">
      <w:pPr>
        <w:rPr>
          <w:rFonts w:hint="eastAsia"/>
        </w:rPr>
      </w:pPr>
      <w:r>
        <w:rPr>
          <w:rFonts w:hint="eastAsia"/>
        </w:rPr>
        <w:t>项目应于开工后7个月内前完成建设，2027年6月底前完成验收。项目验收前，应完成全部软件开发及测试，并满足试运行达1个月以上。</w:t>
      </w:r>
    </w:p>
    <w:p w14:paraId="4680221C">
      <w:pPr>
        <w:pStyle w:val="3"/>
        <w:ind w:left="1138" w:hanging="1134" w:hangingChars="378"/>
        <w:rPr>
          <w:rFonts w:hint="eastAsia"/>
        </w:rPr>
      </w:pPr>
      <w:bookmarkStart w:id="31" w:name="_Toc63785510"/>
      <w:r>
        <w:rPr>
          <w:rFonts w:hint="eastAsia"/>
        </w:rPr>
        <w:t>项目团队及驻场人员要求</w:t>
      </w:r>
      <w:bookmarkEnd w:id="31"/>
    </w:p>
    <w:p w14:paraId="5ACF86E8">
      <w:pPr>
        <w:numPr>
          <w:ilvl w:val="0"/>
          <w:numId w:val="8"/>
        </w:numPr>
        <w:rPr>
          <w:rFonts w:hint="eastAsia"/>
        </w:rPr>
      </w:pPr>
      <w:r>
        <w:t>投标人须具有稳定的在职技术保障力量，能够提供及时的技术支援或服务，应针对本项目</w:t>
      </w:r>
      <w:r>
        <w:rPr>
          <w:rFonts w:hint="eastAsia"/>
        </w:rPr>
        <w:t>选派在项目服务方面富有经验的团队人员负责项目的运行维护，项目团队应配置对应的人员，团队应至少配备44人，驻场至少15人，投标人应为项目团队在本市就近提供具备安全可靠的网络、算力等基础条件的集中办公地点，重大活动和突发事件时按应急管理要求增配相关技术人员并到达指定现场，投标单位的相关服务人员需具备相应的服务能力，需提供相</w:t>
      </w:r>
      <w:r>
        <w:t>关证明。</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798"/>
        <w:gridCol w:w="807"/>
        <w:gridCol w:w="4069"/>
        <w:gridCol w:w="1112"/>
      </w:tblGrid>
      <w:tr w14:paraId="3C64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blHeader/>
        </w:trPr>
        <w:tc>
          <w:tcPr>
            <w:tcW w:w="435" w:type="pct"/>
            <w:vAlign w:val="center"/>
          </w:tcPr>
          <w:p w14:paraId="62C881CF">
            <w:pPr>
              <w:spacing w:after="120" w:line="400" w:lineRule="exact"/>
              <w:ind w:firstLine="0" w:firstLineChars="0"/>
              <w:jc w:val="center"/>
              <w:rPr>
                <w:rFonts w:hint="eastAsia" w:hAnsi="黑体"/>
                <w:b/>
                <w:bCs/>
                <w:kern w:val="0"/>
                <w:szCs w:val="21"/>
              </w:rPr>
            </w:pPr>
            <w:r>
              <w:rPr>
                <w:rFonts w:hint="eastAsia" w:hAnsi="黑体"/>
                <w:b/>
                <w:bCs/>
                <w:kern w:val="0"/>
                <w:szCs w:val="21"/>
              </w:rPr>
              <w:t>角色</w:t>
            </w:r>
          </w:p>
        </w:tc>
        <w:tc>
          <w:tcPr>
            <w:tcW w:w="1054" w:type="pct"/>
            <w:vAlign w:val="center"/>
          </w:tcPr>
          <w:p w14:paraId="4128D643">
            <w:pPr>
              <w:spacing w:after="120" w:line="400" w:lineRule="exact"/>
              <w:ind w:firstLine="0" w:firstLineChars="0"/>
              <w:jc w:val="center"/>
              <w:rPr>
                <w:rFonts w:hint="eastAsia" w:hAnsi="黑体"/>
                <w:b/>
                <w:bCs/>
                <w:kern w:val="0"/>
                <w:szCs w:val="21"/>
              </w:rPr>
            </w:pPr>
            <w:r>
              <w:rPr>
                <w:rFonts w:hint="eastAsia" w:hAnsi="黑体"/>
                <w:b/>
                <w:bCs/>
                <w:kern w:val="0"/>
                <w:szCs w:val="21"/>
              </w:rPr>
              <w:t>主要职责</w:t>
            </w:r>
          </w:p>
        </w:tc>
        <w:tc>
          <w:tcPr>
            <w:tcW w:w="473" w:type="pct"/>
            <w:vAlign w:val="center"/>
          </w:tcPr>
          <w:p w14:paraId="56B0B00A">
            <w:pPr>
              <w:spacing w:after="120" w:line="400" w:lineRule="exact"/>
              <w:ind w:firstLine="0" w:firstLineChars="0"/>
              <w:jc w:val="center"/>
              <w:rPr>
                <w:rFonts w:hint="eastAsia" w:hAnsi="黑体"/>
                <w:b/>
                <w:bCs/>
                <w:kern w:val="0"/>
                <w:szCs w:val="21"/>
              </w:rPr>
            </w:pPr>
            <w:r>
              <w:rPr>
                <w:rFonts w:hint="eastAsia" w:hAnsi="黑体"/>
                <w:b/>
                <w:bCs/>
                <w:kern w:val="0"/>
                <w:szCs w:val="21"/>
              </w:rPr>
              <w:t>人数</w:t>
            </w:r>
          </w:p>
        </w:tc>
        <w:tc>
          <w:tcPr>
            <w:tcW w:w="2385" w:type="pct"/>
            <w:vAlign w:val="center"/>
          </w:tcPr>
          <w:p w14:paraId="535E5875">
            <w:pPr>
              <w:spacing w:after="120" w:line="400" w:lineRule="exact"/>
              <w:ind w:firstLine="0" w:firstLineChars="0"/>
              <w:jc w:val="center"/>
              <w:rPr>
                <w:rFonts w:hint="eastAsia" w:hAnsi="黑体"/>
                <w:b/>
                <w:bCs/>
                <w:kern w:val="0"/>
                <w:szCs w:val="21"/>
              </w:rPr>
            </w:pPr>
            <w:r>
              <w:rPr>
                <w:rFonts w:hint="eastAsia" w:hAnsi="黑体"/>
                <w:b/>
                <w:bCs/>
                <w:kern w:val="0"/>
                <w:szCs w:val="21"/>
              </w:rPr>
              <w:t>人员要求</w:t>
            </w:r>
          </w:p>
        </w:tc>
        <w:tc>
          <w:tcPr>
            <w:tcW w:w="651" w:type="pct"/>
            <w:vAlign w:val="center"/>
          </w:tcPr>
          <w:p w14:paraId="65745EC3">
            <w:pPr>
              <w:spacing w:after="120" w:line="400" w:lineRule="exact"/>
              <w:ind w:firstLine="0" w:firstLineChars="0"/>
              <w:jc w:val="center"/>
              <w:rPr>
                <w:rFonts w:hint="eastAsia" w:hAnsi="黑体"/>
                <w:b/>
                <w:bCs/>
                <w:kern w:val="0"/>
                <w:szCs w:val="21"/>
              </w:rPr>
            </w:pPr>
            <w:r>
              <w:rPr>
                <w:rFonts w:hint="eastAsia" w:hAnsi="黑体"/>
                <w:b/>
                <w:bCs/>
                <w:kern w:val="0"/>
                <w:szCs w:val="21"/>
              </w:rPr>
              <w:t>驻场要求</w:t>
            </w:r>
          </w:p>
        </w:tc>
      </w:tr>
      <w:tr w14:paraId="2846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trPr>
        <w:tc>
          <w:tcPr>
            <w:tcW w:w="435" w:type="pct"/>
            <w:vAlign w:val="center"/>
          </w:tcPr>
          <w:p w14:paraId="6EC4DB84">
            <w:pPr>
              <w:ind w:firstLine="0" w:firstLineChars="0"/>
              <w:jc w:val="center"/>
              <w:rPr>
                <w:rFonts w:hint="eastAsia" w:hAnsi="黑体"/>
                <w:kern w:val="0"/>
                <w:szCs w:val="40"/>
              </w:rPr>
            </w:pPr>
            <w:r>
              <w:rPr>
                <w:rFonts w:hint="eastAsia" w:hAnsi="黑体"/>
                <w:kern w:val="0"/>
                <w:szCs w:val="40"/>
              </w:rPr>
              <w:t>项目经理</w:t>
            </w:r>
          </w:p>
        </w:tc>
        <w:tc>
          <w:tcPr>
            <w:tcW w:w="1054" w:type="pct"/>
            <w:vAlign w:val="center"/>
          </w:tcPr>
          <w:p w14:paraId="11263B49">
            <w:pPr>
              <w:ind w:firstLine="0" w:firstLineChars="0"/>
              <w:jc w:val="center"/>
              <w:rPr>
                <w:rFonts w:hint="eastAsia" w:hAnsi="黑体"/>
                <w:kern w:val="0"/>
                <w:szCs w:val="40"/>
              </w:rPr>
            </w:pPr>
            <w:r>
              <w:rPr>
                <w:rFonts w:hint="eastAsia" w:hAnsi="黑体"/>
                <w:kern w:val="0"/>
                <w:szCs w:val="40"/>
              </w:rPr>
              <w:t>负责项目质量和进度控制</w:t>
            </w:r>
          </w:p>
        </w:tc>
        <w:tc>
          <w:tcPr>
            <w:tcW w:w="473" w:type="pct"/>
            <w:vAlign w:val="center"/>
          </w:tcPr>
          <w:p w14:paraId="02BD1B64">
            <w:pPr>
              <w:ind w:firstLine="0" w:firstLineChars="0"/>
              <w:jc w:val="center"/>
              <w:rPr>
                <w:rFonts w:hint="eastAsia" w:hAnsi="黑体"/>
                <w:kern w:val="0"/>
                <w:szCs w:val="40"/>
              </w:rPr>
            </w:pPr>
            <w:r>
              <w:rPr>
                <w:rFonts w:hint="eastAsia" w:hAnsi="黑体"/>
                <w:kern w:val="0"/>
                <w:szCs w:val="40"/>
              </w:rPr>
              <w:t>1人</w:t>
            </w:r>
          </w:p>
        </w:tc>
        <w:tc>
          <w:tcPr>
            <w:tcW w:w="2385" w:type="pct"/>
            <w:vAlign w:val="center"/>
          </w:tcPr>
          <w:p w14:paraId="2BD083D3">
            <w:pPr>
              <w:ind w:firstLine="0" w:firstLineChars="0"/>
              <w:jc w:val="center"/>
              <w:rPr>
                <w:rFonts w:hint="eastAsia" w:hAnsi="黑体"/>
                <w:kern w:val="0"/>
                <w:szCs w:val="40"/>
              </w:rPr>
            </w:pPr>
            <w:r>
              <w:rPr>
                <w:rFonts w:hint="eastAsia" w:hAnsi="黑体"/>
                <w:kern w:val="0"/>
                <w:szCs w:val="40"/>
                <w:lang w:val="en-US" w:eastAsia="zh-CN"/>
              </w:rPr>
              <w:t>本科</w:t>
            </w:r>
            <w:r>
              <w:rPr>
                <w:rFonts w:hint="eastAsia" w:hAnsi="黑体"/>
                <w:kern w:val="0"/>
                <w:szCs w:val="40"/>
              </w:rPr>
              <w:t>或以上</w:t>
            </w:r>
            <w:r>
              <w:rPr>
                <w:rFonts w:hint="eastAsia"/>
                <w:sz w:val="22"/>
                <w:szCs w:val="22"/>
              </w:rPr>
              <w:t>学历</w:t>
            </w:r>
            <w:r>
              <w:rPr>
                <w:rFonts w:hint="eastAsia" w:hAnsi="黑体"/>
                <w:kern w:val="0"/>
                <w:szCs w:val="40"/>
              </w:rPr>
              <w:t>，</w:t>
            </w:r>
            <w:r>
              <w:rPr>
                <w:rFonts w:hint="eastAsia"/>
                <w:color w:val="FF0000"/>
                <w:vertAlign w:val="baseline"/>
                <w:lang w:val="en-US" w:eastAsia="zh-CN"/>
              </w:rPr>
              <w:t>具备高级工程师，</w:t>
            </w:r>
            <w:r>
              <w:rPr>
                <w:rFonts w:hint="eastAsia"/>
                <w:color w:val="FF0000"/>
                <w:vertAlign w:val="baseline"/>
                <w:lang w:eastAsia="zh-CN"/>
              </w:rPr>
              <w:t>具备信息系统项目管理师证书、</w:t>
            </w:r>
            <w:r>
              <w:rPr>
                <w:rFonts w:hint="eastAsia"/>
                <w:color w:val="FF0000"/>
                <w:vertAlign w:val="baseline"/>
                <w:lang w:val="en-US" w:eastAsia="zh-CN"/>
              </w:rPr>
              <w:t>具备</w:t>
            </w:r>
            <w:r>
              <w:rPr>
                <w:rFonts w:hint="eastAsia"/>
                <w:color w:val="FF0000"/>
                <w:vertAlign w:val="baseline"/>
                <w:lang w:eastAsia="zh-CN"/>
              </w:rPr>
              <w:t>系统架构设计师</w:t>
            </w:r>
            <w:r>
              <w:rPr>
                <w:rFonts w:hint="eastAsia"/>
                <w:color w:val="FF0000"/>
                <w:vertAlign w:val="baseline"/>
                <w:lang w:val="en-US" w:eastAsia="zh-CN"/>
              </w:rPr>
              <w:t>证书</w:t>
            </w:r>
            <w:r>
              <w:rPr>
                <w:rFonts w:hint="eastAsia"/>
                <w:color w:val="FF0000"/>
                <w:vertAlign w:val="baseline"/>
                <w:lang w:eastAsia="zh-CN"/>
              </w:rPr>
              <w:t>、具有5年以上软件开发项目经验</w:t>
            </w:r>
            <w:r>
              <w:rPr>
                <w:rFonts w:hint="eastAsia" w:hAnsi="黑体"/>
                <w:kern w:val="0"/>
                <w:szCs w:val="40"/>
              </w:rPr>
              <w:t>。</w:t>
            </w:r>
          </w:p>
        </w:tc>
        <w:tc>
          <w:tcPr>
            <w:tcW w:w="651" w:type="pct"/>
            <w:vAlign w:val="center"/>
          </w:tcPr>
          <w:p w14:paraId="795E0DD8">
            <w:pPr>
              <w:ind w:firstLine="0" w:firstLineChars="0"/>
              <w:jc w:val="center"/>
              <w:rPr>
                <w:rFonts w:hint="eastAsia" w:hAnsi="黑体"/>
                <w:kern w:val="0"/>
                <w:szCs w:val="40"/>
              </w:rPr>
            </w:pPr>
            <w:r>
              <w:rPr>
                <w:rFonts w:hint="eastAsia" w:hAnsi="黑体"/>
                <w:kern w:val="0"/>
                <w:szCs w:val="40"/>
              </w:rPr>
              <w:t>驻场</w:t>
            </w:r>
          </w:p>
        </w:tc>
      </w:tr>
      <w:tr w14:paraId="315F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trPr>
        <w:tc>
          <w:tcPr>
            <w:tcW w:w="435" w:type="pct"/>
            <w:vAlign w:val="center"/>
          </w:tcPr>
          <w:p w14:paraId="20861B95">
            <w:pPr>
              <w:ind w:firstLine="0" w:firstLineChars="0"/>
              <w:jc w:val="center"/>
              <w:rPr>
                <w:rFonts w:hint="eastAsia" w:hAnsi="黑体"/>
                <w:kern w:val="0"/>
                <w:szCs w:val="40"/>
              </w:rPr>
            </w:pPr>
            <w:r>
              <w:rPr>
                <w:rFonts w:hint="eastAsia" w:hAnsi="黑体"/>
                <w:kern w:val="0"/>
                <w:szCs w:val="40"/>
              </w:rPr>
              <w:t>技术负责人</w:t>
            </w:r>
          </w:p>
        </w:tc>
        <w:tc>
          <w:tcPr>
            <w:tcW w:w="1054" w:type="pct"/>
            <w:vAlign w:val="center"/>
          </w:tcPr>
          <w:p w14:paraId="53DCF0E7">
            <w:pPr>
              <w:ind w:firstLine="0" w:firstLineChars="0"/>
              <w:jc w:val="center"/>
              <w:rPr>
                <w:rFonts w:hint="eastAsia" w:hAnsi="黑体"/>
                <w:kern w:val="0"/>
                <w:szCs w:val="40"/>
              </w:rPr>
            </w:pPr>
            <w:r>
              <w:rPr>
                <w:rFonts w:hint="eastAsia" w:hAnsi="黑体"/>
                <w:kern w:val="0"/>
                <w:szCs w:val="40"/>
              </w:rPr>
              <w:t>总体软件架构把控，制定开发标准，确定开发技术路线</w:t>
            </w:r>
          </w:p>
        </w:tc>
        <w:tc>
          <w:tcPr>
            <w:tcW w:w="473" w:type="pct"/>
            <w:vAlign w:val="center"/>
          </w:tcPr>
          <w:p w14:paraId="5E12BC96">
            <w:pPr>
              <w:ind w:firstLine="0" w:firstLineChars="0"/>
              <w:jc w:val="center"/>
              <w:rPr>
                <w:rFonts w:hint="eastAsia" w:hAnsi="黑体"/>
                <w:kern w:val="0"/>
                <w:szCs w:val="40"/>
              </w:rPr>
            </w:pPr>
            <w:r>
              <w:rPr>
                <w:rFonts w:hint="eastAsia" w:hAnsi="黑体"/>
                <w:kern w:val="0"/>
                <w:szCs w:val="40"/>
              </w:rPr>
              <w:t>1人</w:t>
            </w:r>
          </w:p>
        </w:tc>
        <w:tc>
          <w:tcPr>
            <w:tcW w:w="2385" w:type="pct"/>
            <w:vAlign w:val="center"/>
          </w:tcPr>
          <w:p w14:paraId="0FD9AB33">
            <w:pPr>
              <w:ind w:firstLine="0" w:firstLineChars="0"/>
              <w:jc w:val="center"/>
              <w:rPr>
                <w:rFonts w:hint="eastAsia" w:hAnsi="黑体"/>
                <w:kern w:val="0"/>
                <w:szCs w:val="40"/>
              </w:rPr>
            </w:pPr>
            <w:r>
              <w:rPr>
                <w:rFonts w:hint="eastAsia" w:asciiTheme="minorEastAsia" w:hAnsiTheme="minorEastAsia" w:cstheme="minorEastAsia"/>
                <w:color w:val="000000"/>
                <w:kern w:val="0"/>
                <w:szCs w:val="21"/>
                <w:lang w:val="en-US" w:eastAsia="zh-CN" w:bidi="hi-IN"/>
              </w:rPr>
              <w:t>硕士</w:t>
            </w:r>
            <w:r>
              <w:rPr>
                <w:rFonts w:asciiTheme="minorEastAsia" w:hAnsiTheme="minorEastAsia" w:cstheme="minorEastAsia"/>
                <w:color w:val="000000"/>
                <w:kern w:val="0"/>
                <w:szCs w:val="21"/>
                <w:lang w:bidi="hi-IN"/>
              </w:rPr>
              <w:t>及以上学历</w:t>
            </w:r>
            <w:r>
              <w:rPr>
                <w:rFonts w:hint="eastAsia" w:asciiTheme="minorEastAsia" w:hAnsiTheme="minorEastAsia" w:cstheme="minorEastAsia"/>
                <w:color w:val="000000"/>
                <w:kern w:val="0"/>
                <w:szCs w:val="21"/>
                <w:lang w:bidi="hi-IN"/>
              </w:rPr>
              <w:t>，</w:t>
            </w:r>
            <w:r>
              <w:rPr>
                <w:rFonts w:hint="eastAsia" w:hAnsi="黑体"/>
                <w:kern w:val="0"/>
                <w:szCs w:val="40"/>
              </w:rPr>
              <w:t>高级工程师，具有5年及以上</w:t>
            </w:r>
            <w:r>
              <w:rPr>
                <w:rFonts w:hint="eastAsia" w:hAnsi="黑体"/>
                <w:kern w:val="0"/>
                <w:szCs w:val="40"/>
                <w:lang w:eastAsia="zh-CN"/>
              </w:rPr>
              <w:t>软件开发</w:t>
            </w:r>
            <w:r>
              <w:rPr>
                <w:rFonts w:hint="eastAsia" w:hAnsi="黑体"/>
                <w:kern w:val="0"/>
                <w:szCs w:val="40"/>
              </w:rPr>
              <w:t>项目技术管理经验。</w:t>
            </w:r>
          </w:p>
        </w:tc>
        <w:tc>
          <w:tcPr>
            <w:tcW w:w="651" w:type="pct"/>
            <w:vAlign w:val="center"/>
          </w:tcPr>
          <w:p w14:paraId="2C897BCD">
            <w:pPr>
              <w:ind w:firstLine="0" w:firstLineChars="0"/>
              <w:jc w:val="center"/>
              <w:rPr>
                <w:rFonts w:hint="eastAsia" w:hAnsi="黑体"/>
                <w:kern w:val="0"/>
                <w:szCs w:val="40"/>
              </w:rPr>
            </w:pPr>
            <w:r>
              <w:rPr>
                <w:rFonts w:hint="eastAsia" w:hAnsi="黑体"/>
                <w:kern w:val="0"/>
                <w:szCs w:val="40"/>
              </w:rPr>
              <w:t>驻场</w:t>
            </w:r>
          </w:p>
        </w:tc>
      </w:tr>
      <w:tr w14:paraId="5A61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trPr>
        <w:tc>
          <w:tcPr>
            <w:tcW w:w="435" w:type="pct"/>
            <w:vAlign w:val="center"/>
          </w:tcPr>
          <w:p w14:paraId="2AF832AA">
            <w:pPr>
              <w:ind w:firstLine="0" w:firstLineChars="0"/>
              <w:jc w:val="center"/>
              <w:rPr>
                <w:rFonts w:hint="eastAsia" w:hAnsi="黑体"/>
                <w:kern w:val="0"/>
                <w:szCs w:val="40"/>
              </w:rPr>
            </w:pPr>
            <w:r>
              <w:rPr>
                <w:rFonts w:hint="eastAsia" w:hAnsi="黑体"/>
                <w:kern w:val="0"/>
                <w:szCs w:val="40"/>
              </w:rPr>
              <w:t>产品经理</w:t>
            </w:r>
          </w:p>
        </w:tc>
        <w:tc>
          <w:tcPr>
            <w:tcW w:w="1054" w:type="pct"/>
            <w:vAlign w:val="center"/>
          </w:tcPr>
          <w:p w14:paraId="0EBC639A">
            <w:pPr>
              <w:ind w:firstLine="0" w:firstLineChars="0"/>
              <w:jc w:val="center"/>
              <w:rPr>
                <w:rFonts w:hint="eastAsia" w:hAnsi="黑体"/>
                <w:kern w:val="0"/>
                <w:szCs w:val="40"/>
              </w:rPr>
            </w:pPr>
            <w:r>
              <w:rPr>
                <w:rFonts w:hint="eastAsia" w:hAnsi="黑体"/>
                <w:kern w:val="0"/>
                <w:szCs w:val="40"/>
              </w:rPr>
              <w:t>负责用户需求调研，项目需求评估与产品设计，协同详细设计工程师共同开展专题研究及专项设计</w:t>
            </w:r>
          </w:p>
        </w:tc>
        <w:tc>
          <w:tcPr>
            <w:tcW w:w="473" w:type="pct"/>
            <w:vAlign w:val="center"/>
          </w:tcPr>
          <w:p w14:paraId="6C45B521">
            <w:pPr>
              <w:ind w:firstLine="0" w:firstLineChars="0"/>
              <w:jc w:val="center"/>
              <w:rPr>
                <w:rFonts w:hint="eastAsia" w:hAnsi="黑体"/>
                <w:kern w:val="0"/>
                <w:szCs w:val="40"/>
              </w:rPr>
            </w:pPr>
            <w:r>
              <w:rPr>
                <w:rFonts w:hint="eastAsia" w:hAnsi="黑体"/>
                <w:kern w:val="0"/>
                <w:szCs w:val="40"/>
              </w:rPr>
              <w:t>3人</w:t>
            </w:r>
          </w:p>
        </w:tc>
        <w:tc>
          <w:tcPr>
            <w:tcW w:w="2385" w:type="pct"/>
            <w:vAlign w:val="center"/>
          </w:tcPr>
          <w:p w14:paraId="494296F1">
            <w:pPr>
              <w:ind w:firstLine="0" w:firstLineChars="0"/>
              <w:jc w:val="center"/>
              <w:rPr>
                <w:rFonts w:hint="eastAsia" w:hAnsi="黑体"/>
                <w:kern w:val="0"/>
                <w:szCs w:val="40"/>
              </w:rPr>
            </w:pPr>
            <w:r>
              <w:rPr>
                <w:rFonts w:hint="eastAsia" w:hAnsi="黑体"/>
                <w:kern w:val="0"/>
                <w:szCs w:val="40"/>
              </w:rPr>
              <w:t>具有3年以上项目实施经验，具有信息系统管理相关证书，熟悉交通行业业务。</w:t>
            </w:r>
          </w:p>
        </w:tc>
        <w:tc>
          <w:tcPr>
            <w:tcW w:w="651" w:type="pct"/>
            <w:vAlign w:val="center"/>
          </w:tcPr>
          <w:p w14:paraId="1AA58162">
            <w:pPr>
              <w:ind w:firstLine="0" w:firstLineChars="0"/>
              <w:jc w:val="center"/>
              <w:rPr>
                <w:rFonts w:hint="eastAsia" w:hAnsi="黑体"/>
                <w:kern w:val="0"/>
                <w:szCs w:val="40"/>
              </w:rPr>
            </w:pPr>
            <w:r>
              <w:rPr>
                <w:rFonts w:hint="eastAsia" w:hAnsi="黑体"/>
                <w:kern w:val="0"/>
                <w:szCs w:val="40"/>
              </w:rPr>
              <w:t>不驻场</w:t>
            </w:r>
          </w:p>
        </w:tc>
      </w:tr>
      <w:tr w14:paraId="3888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trPr>
        <w:tc>
          <w:tcPr>
            <w:tcW w:w="435" w:type="pct"/>
            <w:vAlign w:val="center"/>
          </w:tcPr>
          <w:p w14:paraId="5F06BAE5">
            <w:pPr>
              <w:ind w:firstLine="0" w:firstLineChars="0"/>
              <w:jc w:val="center"/>
              <w:rPr>
                <w:rFonts w:hint="eastAsia" w:hAnsi="黑体"/>
                <w:kern w:val="0"/>
                <w:szCs w:val="40"/>
              </w:rPr>
            </w:pPr>
            <w:r>
              <w:rPr>
                <w:rFonts w:hint="eastAsia" w:hAnsi="黑体"/>
                <w:kern w:val="0"/>
                <w:szCs w:val="40"/>
              </w:rPr>
              <w:t>信息安全负责人</w:t>
            </w:r>
          </w:p>
        </w:tc>
        <w:tc>
          <w:tcPr>
            <w:tcW w:w="1054" w:type="pct"/>
            <w:vAlign w:val="center"/>
          </w:tcPr>
          <w:p w14:paraId="203CC700">
            <w:pPr>
              <w:ind w:firstLine="0" w:firstLineChars="0"/>
              <w:jc w:val="center"/>
              <w:rPr>
                <w:rFonts w:hint="eastAsia" w:hAnsi="黑体"/>
                <w:kern w:val="0"/>
                <w:szCs w:val="40"/>
              </w:rPr>
            </w:pPr>
            <w:r>
              <w:rPr>
                <w:rFonts w:hint="eastAsia" w:hAnsi="黑体"/>
                <w:kern w:val="0"/>
                <w:szCs w:val="40"/>
              </w:rPr>
              <w:t>负责安全策略和标准设计</w:t>
            </w:r>
          </w:p>
        </w:tc>
        <w:tc>
          <w:tcPr>
            <w:tcW w:w="473" w:type="pct"/>
            <w:vAlign w:val="center"/>
          </w:tcPr>
          <w:p w14:paraId="56AAFC60">
            <w:pPr>
              <w:ind w:firstLine="0" w:firstLineChars="0"/>
              <w:jc w:val="center"/>
              <w:rPr>
                <w:rFonts w:hint="eastAsia" w:hAnsi="黑体"/>
                <w:kern w:val="0"/>
                <w:szCs w:val="40"/>
              </w:rPr>
            </w:pPr>
            <w:r>
              <w:rPr>
                <w:rFonts w:hint="eastAsia" w:hAnsi="黑体"/>
                <w:kern w:val="0"/>
                <w:szCs w:val="40"/>
              </w:rPr>
              <w:t>1人</w:t>
            </w:r>
          </w:p>
        </w:tc>
        <w:tc>
          <w:tcPr>
            <w:tcW w:w="2385" w:type="pct"/>
            <w:vAlign w:val="center"/>
          </w:tcPr>
          <w:p w14:paraId="78A0E39C">
            <w:pPr>
              <w:ind w:firstLine="0" w:firstLineChars="0"/>
              <w:jc w:val="center"/>
              <w:rPr>
                <w:rFonts w:hint="eastAsia" w:hAnsi="黑体"/>
                <w:kern w:val="0"/>
                <w:szCs w:val="40"/>
              </w:rPr>
            </w:pPr>
            <w:r>
              <w:rPr>
                <w:rFonts w:hint="eastAsia" w:hAnsi="黑体"/>
                <w:kern w:val="0"/>
                <w:szCs w:val="40"/>
              </w:rPr>
              <w:t>本科或以上</w:t>
            </w:r>
            <w:r>
              <w:rPr>
                <w:rFonts w:hint="eastAsia"/>
                <w:sz w:val="22"/>
                <w:szCs w:val="22"/>
              </w:rPr>
              <w:t>学历</w:t>
            </w:r>
            <w:r>
              <w:rPr>
                <w:rFonts w:hint="eastAsia" w:hAnsi="黑体"/>
                <w:kern w:val="0"/>
                <w:szCs w:val="40"/>
              </w:rPr>
              <w:t>，具有</w:t>
            </w:r>
            <w:r>
              <w:rPr>
                <w:rFonts w:hint="eastAsia"/>
                <w:lang w:val="en-US" w:eastAsia="zh-CN"/>
              </w:rPr>
              <w:t>信息安全保障人员认证证书（CISAW)</w:t>
            </w:r>
            <w:r>
              <w:rPr>
                <w:rFonts w:hint="eastAsia" w:hAnsi="黑体"/>
                <w:kern w:val="0"/>
                <w:szCs w:val="40"/>
              </w:rPr>
              <w:t>。</w:t>
            </w:r>
          </w:p>
        </w:tc>
        <w:tc>
          <w:tcPr>
            <w:tcW w:w="651" w:type="pct"/>
            <w:vAlign w:val="center"/>
          </w:tcPr>
          <w:p w14:paraId="4F48D7B9">
            <w:pPr>
              <w:ind w:firstLine="0" w:firstLineChars="0"/>
              <w:jc w:val="center"/>
              <w:rPr>
                <w:rFonts w:hint="eastAsia" w:hAnsi="黑体"/>
                <w:kern w:val="0"/>
                <w:szCs w:val="40"/>
              </w:rPr>
            </w:pPr>
            <w:r>
              <w:rPr>
                <w:rFonts w:hint="eastAsia" w:hAnsi="黑体"/>
                <w:kern w:val="0"/>
                <w:szCs w:val="40"/>
              </w:rPr>
              <w:t>不驻场</w:t>
            </w:r>
          </w:p>
        </w:tc>
      </w:tr>
      <w:tr w14:paraId="0DC9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trPr>
        <w:tc>
          <w:tcPr>
            <w:tcW w:w="435" w:type="pct"/>
            <w:vAlign w:val="center"/>
          </w:tcPr>
          <w:p w14:paraId="70FC77D6">
            <w:pPr>
              <w:ind w:firstLine="0" w:firstLineChars="0"/>
              <w:jc w:val="center"/>
              <w:rPr>
                <w:rFonts w:hint="eastAsia" w:hAnsi="黑体"/>
                <w:kern w:val="0"/>
                <w:szCs w:val="40"/>
              </w:rPr>
            </w:pPr>
            <w:r>
              <w:rPr>
                <w:rFonts w:hint="eastAsia" w:hAnsi="黑体"/>
                <w:kern w:val="0"/>
                <w:szCs w:val="40"/>
              </w:rPr>
              <w:t>软件工程师</w:t>
            </w:r>
          </w:p>
        </w:tc>
        <w:tc>
          <w:tcPr>
            <w:tcW w:w="1054" w:type="pct"/>
            <w:vAlign w:val="center"/>
          </w:tcPr>
          <w:p w14:paraId="208E3C76">
            <w:pPr>
              <w:ind w:firstLine="0" w:firstLineChars="0"/>
              <w:jc w:val="center"/>
              <w:rPr>
                <w:rFonts w:hint="eastAsia" w:hAnsi="黑体"/>
                <w:kern w:val="0"/>
                <w:szCs w:val="40"/>
              </w:rPr>
            </w:pPr>
            <w:r>
              <w:rPr>
                <w:rFonts w:hint="eastAsia" w:hAnsi="黑体"/>
                <w:kern w:val="0"/>
                <w:szCs w:val="40"/>
              </w:rPr>
              <w:t>负责项目具体设计和开发</w:t>
            </w:r>
          </w:p>
        </w:tc>
        <w:tc>
          <w:tcPr>
            <w:tcW w:w="473" w:type="pct"/>
            <w:vAlign w:val="center"/>
          </w:tcPr>
          <w:p w14:paraId="0BB24E1E">
            <w:pPr>
              <w:ind w:firstLine="0" w:firstLineChars="0"/>
              <w:jc w:val="center"/>
              <w:rPr>
                <w:rFonts w:hint="eastAsia" w:hAnsi="黑体"/>
                <w:kern w:val="0"/>
                <w:szCs w:val="40"/>
              </w:rPr>
            </w:pPr>
            <w:r>
              <w:rPr>
                <w:rFonts w:hint="eastAsia" w:hAnsi="黑体"/>
                <w:kern w:val="0"/>
                <w:szCs w:val="40"/>
              </w:rPr>
              <w:t>18人</w:t>
            </w:r>
          </w:p>
        </w:tc>
        <w:tc>
          <w:tcPr>
            <w:tcW w:w="2385" w:type="pct"/>
            <w:vAlign w:val="center"/>
          </w:tcPr>
          <w:p w14:paraId="526B80CE">
            <w:pPr>
              <w:ind w:firstLine="0" w:firstLineChars="0"/>
              <w:jc w:val="center"/>
              <w:rPr>
                <w:rFonts w:hint="eastAsia" w:hAnsi="黑体"/>
                <w:kern w:val="0"/>
                <w:szCs w:val="40"/>
              </w:rPr>
            </w:pPr>
            <w:r>
              <w:rPr>
                <w:rFonts w:hint="eastAsia" w:hAnsi="黑体"/>
                <w:kern w:val="0"/>
                <w:szCs w:val="40"/>
              </w:rPr>
              <w:t>本科或以上</w:t>
            </w:r>
            <w:r>
              <w:rPr>
                <w:rFonts w:hint="eastAsia"/>
                <w:sz w:val="22"/>
                <w:szCs w:val="22"/>
              </w:rPr>
              <w:t>学历</w:t>
            </w:r>
            <w:r>
              <w:rPr>
                <w:rFonts w:hint="eastAsia" w:hAnsi="黑体"/>
                <w:kern w:val="0"/>
                <w:szCs w:val="40"/>
              </w:rPr>
              <w:t>，具有3年以上项目实施经验。</w:t>
            </w:r>
          </w:p>
        </w:tc>
        <w:tc>
          <w:tcPr>
            <w:tcW w:w="651" w:type="pct"/>
            <w:vAlign w:val="center"/>
          </w:tcPr>
          <w:p w14:paraId="0139499D">
            <w:pPr>
              <w:ind w:firstLine="0" w:firstLineChars="0"/>
              <w:jc w:val="center"/>
              <w:rPr>
                <w:rFonts w:hint="eastAsia" w:hAnsi="黑体"/>
                <w:kern w:val="0"/>
                <w:szCs w:val="40"/>
              </w:rPr>
            </w:pPr>
            <w:r>
              <w:rPr>
                <w:rFonts w:hint="eastAsia" w:hAnsi="黑体"/>
                <w:kern w:val="0"/>
                <w:szCs w:val="40"/>
              </w:rPr>
              <w:t>至少6人驻场</w:t>
            </w:r>
          </w:p>
        </w:tc>
      </w:tr>
      <w:tr w14:paraId="1C0A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trPr>
        <w:tc>
          <w:tcPr>
            <w:tcW w:w="435" w:type="pct"/>
            <w:vAlign w:val="center"/>
          </w:tcPr>
          <w:p w14:paraId="0ED64100">
            <w:pPr>
              <w:ind w:firstLine="0" w:firstLineChars="0"/>
              <w:jc w:val="center"/>
              <w:rPr>
                <w:rFonts w:hint="eastAsia" w:hAnsi="黑体"/>
                <w:kern w:val="0"/>
                <w:szCs w:val="40"/>
              </w:rPr>
            </w:pPr>
            <w:r>
              <w:rPr>
                <w:rFonts w:hint="eastAsia" w:hAnsi="黑体"/>
                <w:kern w:val="0"/>
                <w:szCs w:val="40"/>
              </w:rPr>
              <w:t>大模型工程师</w:t>
            </w:r>
          </w:p>
        </w:tc>
        <w:tc>
          <w:tcPr>
            <w:tcW w:w="1054" w:type="pct"/>
            <w:vAlign w:val="center"/>
          </w:tcPr>
          <w:p w14:paraId="4C88584E">
            <w:pPr>
              <w:ind w:firstLine="0" w:firstLineChars="0"/>
              <w:jc w:val="center"/>
              <w:rPr>
                <w:rFonts w:hint="eastAsia" w:hAnsi="黑体"/>
                <w:kern w:val="0"/>
                <w:szCs w:val="40"/>
              </w:rPr>
            </w:pPr>
            <w:r>
              <w:rPr>
                <w:rFonts w:hint="eastAsia" w:hAnsi="黑体"/>
                <w:kern w:val="0"/>
                <w:szCs w:val="40"/>
              </w:rPr>
              <w:t>负责大模型、高质量数据集、知识库、智能体等具体开发</w:t>
            </w:r>
          </w:p>
        </w:tc>
        <w:tc>
          <w:tcPr>
            <w:tcW w:w="473" w:type="pct"/>
            <w:vAlign w:val="center"/>
          </w:tcPr>
          <w:p w14:paraId="25B08C7B">
            <w:pPr>
              <w:ind w:firstLine="0" w:firstLineChars="0"/>
              <w:jc w:val="center"/>
              <w:rPr>
                <w:rFonts w:hint="eastAsia" w:hAnsi="黑体"/>
                <w:kern w:val="0"/>
                <w:szCs w:val="40"/>
              </w:rPr>
            </w:pPr>
            <w:r>
              <w:rPr>
                <w:rFonts w:hint="eastAsia" w:hAnsi="黑体"/>
                <w:kern w:val="0"/>
                <w:szCs w:val="40"/>
              </w:rPr>
              <w:t>5人</w:t>
            </w:r>
          </w:p>
        </w:tc>
        <w:tc>
          <w:tcPr>
            <w:tcW w:w="2385" w:type="pct"/>
            <w:vAlign w:val="center"/>
          </w:tcPr>
          <w:p w14:paraId="010A0847">
            <w:pPr>
              <w:ind w:firstLine="0" w:firstLineChars="0"/>
              <w:jc w:val="center"/>
              <w:rPr>
                <w:rFonts w:hint="eastAsia" w:hAnsi="黑体"/>
                <w:kern w:val="0"/>
                <w:szCs w:val="40"/>
              </w:rPr>
            </w:pPr>
            <w:r>
              <w:rPr>
                <w:rFonts w:hint="eastAsia" w:hAnsi="黑体"/>
                <w:kern w:val="0"/>
                <w:szCs w:val="40"/>
              </w:rPr>
              <w:t>本科或以上</w:t>
            </w:r>
            <w:r>
              <w:rPr>
                <w:rFonts w:hint="eastAsia"/>
                <w:sz w:val="22"/>
                <w:szCs w:val="22"/>
              </w:rPr>
              <w:t>学历</w:t>
            </w:r>
            <w:r>
              <w:rPr>
                <w:rFonts w:hint="eastAsia" w:hAnsi="黑体"/>
                <w:kern w:val="0"/>
                <w:szCs w:val="40"/>
              </w:rPr>
              <w:t>，具有3年以上项目实施经验。</w:t>
            </w:r>
          </w:p>
        </w:tc>
        <w:tc>
          <w:tcPr>
            <w:tcW w:w="651" w:type="pct"/>
            <w:vAlign w:val="center"/>
          </w:tcPr>
          <w:p w14:paraId="78EC4B1B">
            <w:pPr>
              <w:ind w:firstLine="0" w:firstLineChars="0"/>
              <w:jc w:val="center"/>
              <w:rPr>
                <w:rFonts w:hint="eastAsia" w:hAnsi="黑体"/>
                <w:kern w:val="0"/>
                <w:szCs w:val="40"/>
              </w:rPr>
            </w:pPr>
            <w:r>
              <w:rPr>
                <w:rFonts w:hint="eastAsia" w:hAnsi="黑体"/>
                <w:kern w:val="0"/>
                <w:szCs w:val="40"/>
              </w:rPr>
              <w:t>至少2人驻场</w:t>
            </w:r>
          </w:p>
        </w:tc>
      </w:tr>
      <w:tr w14:paraId="3D88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trPr>
        <w:tc>
          <w:tcPr>
            <w:tcW w:w="435" w:type="pct"/>
            <w:vAlign w:val="center"/>
          </w:tcPr>
          <w:p w14:paraId="4EF89150">
            <w:pPr>
              <w:ind w:firstLine="0" w:firstLineChars="0"/>
              <w:jc w:val="center"/>
              <w:rPr>
                <w:rFonts w:hint="eastAsia" w:hAnsi="黑体"/>
                <w:kern w:val="0"/>
                <w:szCs w:val="40"/>
              </w:rPr>
            </w:pPr>
            <w:r>
              <w:rPr>
                <w:rFonts w:hint="eastAsia" w:hAnsi="黑体"/>
                <w:kern w:val="0"/>
                <w:szCs w:val="40"/>
              </w:rPr>
              <w:t>数据工程师</w:t>
            </w:r>
          </w:p>
        </w:tc>
        <w:tc>
          <w:tcPr>
            <w:tcW w:w="1054" w:type="pct"/>
            <w:vAlign w:val="center"/>
          </w:tcPr>
          <w:p w14:paraId="30EB8C12">
            <w:pPr>
              <w:ind w:firstLine="0" w:firstLineChars="0"/>
              <w:jc w:val="center"/>
              <w:rPr>
                <w:rFonts w:hint="eastAsia" w:hAnsi="黑体"/>
                <w:kern w:val="0"/>
                <w:szCs w:val="40"/>
              </w:rPr>
            </w:pPr>
            <w:r>
              <w:rPr>
                <w:rFonts w:hint="eastAsia" w:hAnsi="黑体"/>
                <w:kern w:val="0"/>
                <w:szCs w:val="40"/>
              </w:rPr>
              <w:t>负责数据相关设计、治理、建模和运行调优</w:t>
            </w:r>
          </w:p>
        </w:tc>
        <w:tc>
          <w:tcPr>
            <w:tcW w:w="473" w:type="pct"/>
            <w:vAlign w:val="center"/>
          </w:tcPr>
          <w:p w14:paraId="5769587E">
            <w:pPr>
              <w:ind w:firstLine="0" w:firstLineChars="0"/>
              <w:jc w:val="center"/>
              <w:rPr>
                <w:rFonts w:hint="eastAsia" w:hAnsi="黑体"/>
                <w:kern w:val="0"/>
                <w:szCs w:val="40"/>
              </w:rPr>
            </w:pPr>
            <w:r>
              <w:rPr>
                <w:rFonts w:hint="eastAsia" w:hAnsi="黑体"/>
                <w:kern w:val="0"/>
                <w:szCs w:val="40"/>
              </w:rPr>
              <w:t>11人</w:t>
            </w:r>
          </w:p>
        </w:tc>
        <w:tc>
          <w:tcPr>
            <w:tcW w:w="2385" w:type="pct"/>
            <w:vAlign w:val="center"/>
          </w:tcPr>
          <w:p w14:paraId="7F74BE53">
            <w:pPr>
              <w:ind w:firstLine="0" w:firstLineChars="0"/>
              <w:jc w:val="center"/>
              <w:rPr>
                <w:rFonts w:hint="eastAsia" w:hAnsi="黑体"/>
                <w:kern w:val="0"/>
                <w:szCs w:val="40"/>
              </w:rPr>
            </w:pPr>
            <w:r>
              <w:rPr>
                <w:rFonts w:hint="eastAsia" w:hAnsi="黑体"/>
                <w:kern w:val="0"/>
                <w:szCs w:val="40"/>
              </w:rPr>
              <w:t>本科或以上</w:t>
            </w:r>
            <w:r>
              <w:rPr>
                <w:rFonts w:hint="eastAsia"/>
                <w:sz w:val="22"/>
                <w:szCs w:val="22"/>
              </w:rPr>
              <w:t>学历</w:t>
            </w:r>
            <w:r>
              <w:rPr>
                <w:rFonts w:hint="eastAsia" w:hAnsi="黑体"/>
                <w:kern w:val="0"/>
                <w:szCs w:val="40"/>
              </w:rPr>
              <w:t>。</w:t>
            </w:r>
          </w:p>
        </w:tc>
        <w:tc>
          <w:tcPr>
            <w:tcW w:w="651" w:type="pct"/>
            <w:vAlign w:val="center"/>
          </w:tcPr>
          <w:p w14:paraId="3CB66D37">
            <w:pPr>
              <w:ind w:firstLine="0" w:firstLineChars="0"/>
              <w:jc w:val="center"/>
              <w:rPr>
                <w:rFonts w:hint="eastAsia" w:hAnsi="黑体"/>
                <w:kern w:val="0"/>
                <w:szCs w:val="40"/>
              </w:rPr>
            </w:pPr>
            <w:r>
              <w:rPr>
                <w:rFonts w:hint="eastAsia" w:hAnsi="黑体"/>
                <w:kern w:val="0"/>
                <w:szCs w:val="40"/>
              </w:rPr>
              <w:t>至少3人驻场</w:t>
            </w:r>
          </w:p>
        </w:tc>
      </w:tr>
      <w:tr w14:paraId="198D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trPr>
        <w:tc>
          <w:tcPr>
            <w:tcW w:w="435" w:type="pct"/>
            <w:vAlign w:val="center"/>
          </w:tcPr>
          <w:p w14:paraId="3DD21289">
            <w:pPr>
              <w:ind w:firstLine="0" w:firstLineChars="0"/>
              <w:jc w:val="center"/>
              <w:rPr>
                <w:rFonts w:hint="eastAsia" w:hAnsi="黑体"/>
                <w:kern w:val="0"/>
                <w:szCs w:val="40"/>
              </w:rPr>
            </w:pPr>
            <w:r>
              <w:rPr>
                <w:rFonts w:hint="eastAsia" w:hAnsi="黑体"/>
                <w:kern w:val="0"/>
                <w:szCs w:val="40"/>
              </w:rPr>
              <w:t>信息安全工程师</w:t>
            </w:r>
          </w:p>
        </w:tc>
        <w:tc>
          <w:tcPr>
            <w:tcW w:w="1054" w:type="pct"/>
            <w:vAlign w:val="center"/>
          </w:tcPr>
          <w:p w14:paraId="3F1DD488">
            <w:pPr>
              <w:ind w:firstLine="0" w:firstLineChars="0"/>
              <w:jc w:val="center"/>
              <w:rPr>
                <w:rFonts w:hint="eastAsia" w:hAnsi="黑体"/>
                <w:kern w:val="0"/>
                <w:szCs w:val="40"/>
              </w:rPr>
            </w:pPr>
            <w:r>
              <w:rPr>
                <w:rFonts w:hint="eastAsia" w:hAnsi="黑体"/>
                <w:kern w:val="0"/>
                <w:szCs w:val="40"/>
              </w:rPr>
              <w:t>安全策略具体实施</w:t>
            </w:r>
          </w:p>
        </w:tc>
        <w:tc>
          <w:tcPr>
            <w:tcW w:w="473" w:type="pct"/>
            <w:vAlign w:val="center"/>
          </w:tcPr>
          <w:p w14:paraId="766F392C">
            <w:pPr>
              <w:ind w:firstLine="0" w:firstLineChars="0"/>
              <w:jc w:val="center"/>
              <w:rPr>
                <w:rFonts w:hint="eastAsia" w:hAnsi="黑体"/>
                <w:kern w:val="0"/>
                <w:szCs w:val="40"/>
              </w:rPr>
            </w:pPr>
            <w:r>
              <w:rPr>
                <w:rFonts w:hint="eastAsia" w:hAnsi="黑体"/>
                <w:kern w:val="0"/>
                <w:szCs w:val="40"/>
              </w:rPr>
              <w:t>2人</w:t>
            </w:r>
          </w:p>
        </w:tc>
        <w:tc>
          <w:tcPr>
            <w:tcW w:w="2385" w:type="pct"/>
            <w:vAlign w:val="center"/>
          </w:tcPr>
          <w:p w14:paraId="23F15009">
            <w:pPr>
              <w:ind w:firstLine="0" w:firstLineChars="0"/>
              <w:jc w:val="center"/>
              <w:rPr>
                <w:rFonts w:hint="eastAsia" w:hAnsi="黑体"/>
                <w:kern w:val="0"/>
                <w:szCs w:val="40"/>
              </w:rPr>
            </w:pPr>
            <w:r>
              <w:rPr>
                <w:rFonts w:hint="eastAsia" w:hAnsi="黑体"/>
                <w:kern w:val="0"/>
                <w:szCs w:val="40"/>
              </w:rPr>
              <w:t>本科或以上</w:t>
            </w:r>
            <w:r>
              <w:rPr>
                <w:rFonts w:hint="eastAsia"/>
                <w:sz w:val="22"/>
                <w:szCs w:val="22"/>
              </w:rPr>
              <w:t>学历</w:t>
            </w:r>
            <w:r>
              <w:rPr>
                <w:rFonts w:hint="eastAsia" w:hAnsi="黑体"/>
                <w:kern w:val="0"/>
                <w:szCs w:val="40"/>
              </w:rPr>
              <w:t>，5年以上信息安全服务经验。</w:t>
            </w:r>
          </w:p>
        </w:tc>
        <w:tc>
          <w:tcPr>
            <w:tcW w:w="651" w:type="pct"/>
            <w:vAlign w:val="center"/>
          </w:tcPr>
          <w:p w14:paraId="7B983744">
            <w:pPr>
              <w:ind w:firstLine="0" w:firstLineChars="0"/>
              <w:jc w:val="center"/>
              <w:rPr>
                <w:rFonts w:hint="eastAsia" w:hAnsi="黑体"/>
                <w:kern w:val="0"/>
                <w:szCs w:val="40"/>
              </w:rPr>
            </w:pPr>
            <w:r>
              <w:rPr>
                <w:rFonts w:hint="eastAsia" w:hAnsi="黑体"/>
                <w:kern w:val="0"/>
                <w:szCs w:val="40"/>
              </w:rPr>
              <w:t>2人驻场</w:t>
            </w:r>
          </w:p>
        </w:tc>
      </w:tr>
      <w:tr w14:paraId="3076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trPr>
        <w:tc>
          <w:tcPr>
            <w:tcW w:w="435" w:type="pct"/>
            <w:vAlign w:val="center"/>
          </w:tcPr>
          <w:p w14:paraId="585B8F22">
            <w:pPr>
              <w:ind w:firstLine="0" w:firstLineChars="0"/>
              <w:jc w:val="center"/>
              <w:rPr>
                <w:rFonts w:hint="eastAsia" w:hAnsi="黑体"/>
                <w:kern w:val="0"/>
                <w:szCs w:val="40"/>
              </w:rPr>
            </w:pPr>
            <w:r>
              <w:rPr>
                <w:rFonts w:hint="eastAsia" w:hAnsi="黑体"/>
                <w:kern w:val="0"/>
                <w:szCs w:val="40"/>
              </w:rPr>
              <w:t>网络工程师</w:t>
            </w:r>
          </w:p>
        </w:tc>
        <w:tc>
          <w:tcPr>
            <w:tcW w:w="1054" w:type="pct"/>
            <w:vAlign w:val="center"/>
          </w:tcPr>
          <w:p w14:paraId="4B8EEB1C">
            <w:pPr>
              <w:ind w:firstLine="0" w:firstLineChars="0"/>
              <w:jc w:val="center"/>
              <w:rPr>
                <w:rFonts w:hint="eastAsia" w:hAnsi="黑体"/>
                <w:kern w:val="0"/>
                <w:szCs w:val="40"/>
              </w:rPr>
            </w:pPr>
            <w:r>
              <w:rPr>
                <w:rFonts w:hint="eastAsia" w:hAnsi="黑体"/>
                <w:kern w:val="0"/>
                <w:szCs w:val="40"/>
              </w:rPr>
              <w:t>负责网络架构设计及安全</w:t>
            </w:r>
          </w:p>
        </w:tc>
        <w:tc>
          <w:tcPr>
            <w:tcW w:w="473" w:type="pct"/>
            <w:vAlign w:val="center"/>
          </w:tcPr>
          <w:p w14:paraId="44DE7042">
            <w:pPr>
              <w:ind w:firstLine="0" w:firstLineChars="0"/>
              <w:jc w:val="center"/>
              <w:rPr>
                <w:rFonts w:hint="eastAsia" w:hAnsi="黑体"/>
                <w:kern w:val="0"/>
                <w:szCs w:val="40"/>
              </w:rPr>
            </w:pPr>
            <w:r>
              <w:rPr>
                <w:rFonts w:hint="eastAsia" w:hAnsi="黑体"/>
                <w:kern w:val="0"/>
                <w:szCs w:val="40"/>
              </w:rPr>
              <w:t>2人</w:t>
            </w:r>
          </w:p>
        </w:tc>
        <w:tc>
          <w:tcPr>
            <w:tcW w:w="2385" w:type="pct"/>
            <w:vAlign w:val="center"/>
          </w:tcPr>
          <w:p w14:paraId="24855AB6">
            <w:pPr>
              <w:ind w:firstLine="0" w:firstLineChars="0"/>
              <w:jc w:val="center"/>
              <w:rPr>
                <w:rFonts w:hint="eastAsia" w:hAnsi="黑体"/>
                <w:kern w:val="0"/>
                <w:szCs w:val="40"/>
              </w:rPr>
            </w:pPr>
            <w:r>
              <w:rPr>
                <w:rFonts w:hint="eastAsia" w:hAnsi="黑体"/>
                <w:kern w:val="0"/>
                <w:szCs w:val="40"/>
              </w:rPr>
              <w:t>本科或以上</w:t>
            </w:r>
            <w:r>
              <w:rPr>
                <w:rFonts w:hint="eastAsia"/>
                <w:sz w:val="22"/>
                <w:szCs w:val="22"/>
              </w:rPr>
              <w:t>学历</w:t>
            </w:r>
            <w:r>
              <w:rPr>
                <w:rFonts w:hint="eastAsia" w:hAnsi="黑体"/>
                <w:kern w:val="0"/>
                <w:szCs w:val="40"/>
              </w:rPr>
              <w:t>。</w:t>
            </w:r>
          </w:p>
        </w:tc>
        <w:tc>
          <w:tcPr>
            <w:tcW w:w="651" w:type="pct"/>
            <w:vAlign w:val="center"/>
          </w:tcPr>
          <w:p w14:paraId="2AF5BD94">
            <w:pPr>
              <w:ind w:firstLine="0" w:firstLineChars="0"/>
              <w:jc w:val="center"/>
              <w:rPr>
                <w:rFonts w:hint="eastAsia" w:hAnsi="黑体"/>
                <w:kern w:val="0"/>
                <w:szCs w:val="40"/>
              </w:rPr>
            </w:pPr>
            <w:r>
              <w:rPr>
                <w:rFonts w:hint="eastAsia" w:hAnsi="黑体"/>
                <w:kern w:val="0"/>
                <w:szCs w:val="40"/>
              </w:rPr>
              <w:t>不驻场</w:t>
            </w:r>
          </w:p>
        </w:tc>
      </w:tr>
    </w:tbl>
    <w:p w14:paraId="0020B9F4">
      <w:pPr>
        <w:ind w:firstLine="0" w:firstLineChars="0"/>
        <w:rPr>
          <w:rFonts w:hint="eastAsia"/>
        </w:rPr>
      </w:pPr>
    </w:p>
    <w:p w14:paraId="5A2EDB15">
      <w:pPr>
        <w:numPr>
          <w:ilvl w:val="0"/>
          <w:numId w:val="8"/>
        </w:numPr>
        <w:rPr>
          <w:rFonts w:hint="eastAsia"/>
        </w:rPr>
      </w:pPr>
      <w:r>
        <w:t>投标人应针对本项目提供不少于</w:t>
      </w:r>
      <w:r>
        <w:rPr>
          <w:rFonts w:hint="eastAsia"/>
        </w:rPr>
        <w:t>15</w:t>
      </w:r>
      <w:r>
        <w:t>人的质保期间支撑团队</w:t>
      </w:r>
      <w:r>
        <w:rPr>
          <w:rFonts w:hint="eastAsia"/>
        </w:rPr>
        <w:t>（其中技术经理1人，技术负责人1人，信息安全工程师1人，技术工程师不少于12人）</w:t>
      </w:r>
      <w:r>
        <w:t>；投标人的相关服务人员需具备相应的服务能力，需提供相关证明（最近一个季度依法缴纳社保费的证明）。</w:t>
      </w:r>
    </w:p>
    <w:tbl>
      <w:tblPr>
        <w:tblStyle w:val="1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493"/>
        <w:gridCol w:w="890"/>
        <w:gridCol w:w="3897"/>
        <w:gridCol w:w="1117"/>
      </w:tblGrid>
      <w:tr w14:paraId="2A22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23" w:type="dxa"/>
            <w:noWrap/>
            <w:vAlign w:val="center"/>
          </w:tcPr>
          <w:p w14:paraId="643DDBC5">
            <w:pPr>
              <w:ind w:firstLine="0" w:firstLineChars="0"/>
              <w:jc w:val="center"/>
              <w:rPr>
                <w:rFonts w:hint="eastAsia"/>
                <w:b/>
                <w:bCs/>
                <w:szCs w:val="21"/>
              </w:rPr>
            </w:pPr>
            <w:r>
              <w:rPr>
                <w:rFonts w:hint="eastAsia"/>
                <w:b/>
                <w:bCs/>
                <w:szCs w:val="21"/>
              </w:rPr>
              <w:t>角色</w:t>
            </w:r>
          </w:p>
        </w:tc>
        <w:tc>
          <w:tcPr>
            <w:tcW w:w="1493" w:type="dxa"/>
            <w:noWrap/>
            <w:vAlign w:val="center"/>
          </w:tcPr>
          <w:p w14:paraId="3424F0E1">
            <w:pPr>
              <w:ind w:firstLine="0" w:firstLineChars="0"/>
              <w:jc w:val="center"/>
              <w:rPr>
                <w:rFonts w:hint="eastAsia"/>
                <w:b/>
                <w:bCs/>
                <w:szCs w:val="21"/>
              </w:rPr>
            </w:pPr>
            <w:r>
              <w:rPr>
                <w:rFonts w:hint="eastAsia"/>
                <w:b/>
                <w:bCs/>
                <w:szCs w:val="21"/>
              </w:rPr>
              <w:t>主要职责</w:t>
            </w:r>
          </w:p>
        </w:tc>
        <w:tc>
          <w:tcPr>
            <w:tcW w:w="890" w:type="dxa"/>
            <w:noWrap/>
            <w:vAlign w:val="center"/>
          </w:tcPr>
          <w:p w14:paraId="0839B930">
            <w:pPr>
              <w:ind w:firstLine="0" w:firstLineChars="0"/>
              <w:jc w:val="center"/>
              <w:rPr>
                <w:rFonts w:hint="eastAsia"/>
                <w:b/>
                <w:bCs/>
                <w:szCs w:val="21"/>
              </w:rPr>
            </w:pPr>
            <w:r>
              <w:rPr>
                <w:rFonts w:hint="eastAsia"/>
                <w:b/>
                <w:bCs/>
                <w:szCs w:val="21"/>
              </w:rPr>
              <w:t>人数</w:t>
            </w:r>
          </w:p>
        </w:tc>
        <w:tc>
          <w:tcPr>
            <w:tcW w:w="3897" w:type="dxa"/>
            <w:vAlign w:val="center"/>
          </w:tcPr>
          <w:p w14:paraId="29822AEC">
            <w:pPr>
              <w:ind w:firstLine="0" w:firstLineChars="0"/>
              <w:jc w:val="center"/>
              <w:rPr>
                <w:rFonts w:hint="eastAsia"/>
                <w:b/>
                <w:bCs/>
                <w:szCs w:val="21"/>
              </w:rPr>
            </w:pPr>
            <w:r>
              <w:rPr>
                <w:rFonts w:hint="eastAsia"/>
                <w:b/>
                <w:bCs/>
                <w:szCs w:val="21"/>
              </w:rPr>
              <w:t>人员要求</w:t>
            </w:r>
          </w:p>
        </w:tc>
        <w:tc>
          <w:tcPr>
            <w:tcW w:w="1117" w:type="dxa"/>
            <w:vAlign w:val="center"/>
          </w:tcPr>
          <w:p w14:paraId="01B57A54">
            <w:pPr>
              <w:ind w:firstLine="0" w:firstLineChars="0"/>
              <w:jc w:val="center"/>
              <w:rPr>
                <w:rFonts w:hint="eastAsia"/>
                <w:b/>
                <w:bCs/>
                <w:szCs w:val="21"/>
              </w:rPr>
            </w:pPr>
            <w:r>
              <w:rPr>
                <w:rFonts w:hint="eastAsia"/>
                <w:b/>
                <w:bCs/>
                <w:szCs w:val="21"/>
              </w:rPr>
              <w:t>驻场要求</w:t>
            </w:r>
          </w:p>
        </w:tc>
      </w:tr>
      <w:tr w14:paraId="3456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ign w:val="center"/>
          </w:tcPr>
          <w:p w14:paraId="0A7FAB34">
            <w:pPr>
              <w:ind w:firstLine="0" w:firstLineChars="0"/>
              <w:jc w:val="center"/>
              <w:rPr>
                <w:rFonts w:hint="eastAsia" w:hAnsi="黑体"/>
                <w:kern w:val="0"/>
                <w:szCs w:val="40"/>
              </w:rPr>
            </w:pPr>
            <w:r>
              <w:rPr>
                <w:rFonts w:hint="eastAsia" w:hAnsi="黑体"/>
                <w:kern w:val="0"/>
                <w:szCs w:val="40"/>
              </w:rPr>
              <w:t>技术经理</w:t>
            </w:r>
          </w:p>
        </w:tc>
        <w:tc>
          <w:tcPr>
            <w:tcW w:w="1493" w:type="dxa"/>
            <w:vAlign w:val="center"/>
          </w:tcPr>
          <w:p w14:paraId="5ED7AC80">
            <w:pPr>
              <w:ind w:firstLine="0" w:firstLineChars="0"/>
              <w:jc w:val="center"/>
              <w:rPr>
                <w:rFonts w:hint="eastAsia" w:hAnsi="黑体"/>
                <w:kern w:val="0"/>
                <w:szCs w:val="40"/>
              </w:rPr>
            </w:pPr>
            <w:r>
              <w:rPr>
                <w:rFonts w:hint="eastAsia" w:hAnsi="黑体"/>
                <w:kern w:val="0"/>
                <w:szCs w:val="40"/>
              </w:rPr>
              <w:t>负责项目质量和运维计划的落实</w:t>
            </w:r>
          </w:p>
        </w:tc>
        <w:tc>
          <w:tcPr>
            <w:tcW w:w="890" w:type="dxa"/>
            <w:noWrap/>
            <w:vAlign w:val="center"/>
          </w:tcPr>
          <w:p w14:paraId="130196B3">
            <w:pPr>
              <w:ind w:firstLine="0" w:firstLineChars="0"/>
              <w:jc w:val="center"/>
              <w:rPr>
                <w:rFonts w:hint="eastAsia" w:hAnsi="黑体"/>
                <w:kern w:val="0"/>
                <w:szCs w:val="40"/>
              </w:rPr>
            </w:pPr>
            <w:r>
              <w:rPr>
                <w:rFonts w:hint="eastAsia" w:hAnsi="黑体"/>
                <w:kern w:val="0"/>
                <w:szCs w:val="40"/>
              </w:rPr>
              <w:t>1人</w:t>
            </w:r>
          </w:p>
        </w:tc>
        <w:tc>
          <w:tcPr>
            <w:tcW w:w="3897" w:type="dxa"/>
            <w:vAlign w:val="center"/>
          </w:tcPr>
          <w:p w14:paraId="3EFF0F98">
            <w:pPr>
              <w:ind w:firstLine="0" w:firstLineChars="0"/>
              <w:jc w:val="center"/>
              <w:rPr>
                <w:rFonts w:hint="eastAsia" w:hAnsi="黑体"/>
                <w:kern w:val="0"/>
                <w:szCs w:val="40"/>
              </w:rPr>
            </w:pPr>
            <w:r>
              <w:rPr>
                <w:rFonts w:hint="eastAsia"/>
                <w:sz w:val="22"/>
                <w:szCs w:val="22"/>
              </w:rPr>
              <w:t>本科及以上学历，</w:t>
            </w:r>
            <w:r>
              <w:rPr>
                <w:rFonts w:hint="eastAsia" w:hAnsi="黑体"/>
                <w:kern w:val="0"/>
                <w:szCs w:val="40"/>
              </w:rPr>
              <w:t>具有5年及以上软件开发/实施/服务经验。</w:t>
            </w:r>
          </w:p>
        </w:tc>
        <w:tc>
          <w:tcPr>
            <w:tcW w:w="1117" w:type="dxa"/>
            <w:vAlign w:val="center"/>
          </w:tcPr>
          <w:p w14:paraId="5A060765">
            <w:pPr>
              <w:ind w:firstLine="0" w:firstLineChars="0"/>
              <w:jc w:val="center"/>
              <w:rPr>
                <w:rFonts w:hint="eastAsia" w:hAnsi="黑体"/>
                <w:kern w:val="0"/>
                <w:szCs w:val="40"/>
              </w:rPr>
            </w:pPr>
            <w:r>
              <w:rPr>
                <w:rFonts w:hint="eastAsia" w:hAnsi="黑体"/>
                <w:kern w:val="0"/>
                <w:szCs w:val="40"/>
              </w:rPr>
              <w:t>驻场</w:t>
            </w:r>
          </w:p>
        </w:tc>
      </w:tr>
      <w:tr w14:paraId="0113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ign w:val="center"/>
          </w:tcPr>
          <w:p w14:paraId="771E7820">
            <w:pPr>
              <w:ind w:firstLine="0" w:firstLineChars="0"/>
              <w:jc w:val="center"/>
              <w:rPr>
                <w:rFonts w:hint="eastAsia" w:hAnsi="黑体"/>
                <w:kern w:val="0"/>
                <w:szCs w:val="40"/>
              </w:rPr>
            </w:pPr>
            <w:r>
              <w:rPr>
                <w:rFonts w:hint="eastAsia" w:hAnsi="黑体"/>
                <w:kern w:val="0"/>
                <w:szCs w:val="40"/>
              </w:rPr>
              <w:t>技术负责人</w:t>
            </w:r>
          </w:p>
        </w:tc>
        <w:tc>
          <w:tcPr>
            <w:tcW w:w="1493" w:type="dxa"/>
            <w:vAlign w:val="center"/>
          </w:tcPr>
          <w:p w14:paraId="66F365A0">
            <w:pPr>
              <w:ind w:firstLine="0" w:firstLineChars="0"/>
              <w:jc w:val="center"/>
              <w:rPr>
                <w:rFonts w:hint="eastAsia" w:hAnsi="黑体"/>
                <w:kern w:val="0"/>
                <w:szCs w:val="40"/>
              </w:rPr>
            </w:pPr>
            <w:r>
              <w:rPr>
                <w:rFonts w:hint="eastAsia" w:hAnsi="黑体"/>
                <w:kern w:val="0"/>
                <w:szCs w:val="40"/>
              </w:rPr>
              <w:t>负责制定项目技术标准和技术规范</w:t>
            </w:r>
          </w:p>
        </w:tc>
        <w:tc>
          <w:tcPr>
            <w:tcW w:w="890" w:type="dxa"/>
            <w:noWrap/>
            <w:vAlign w:val="center"/>
          </w:tcPr>
          <w:p w14:paraId="228E8AA9">
            <w:pPr>
              <w:ind w:firstLine="0" w:firstLineChars="0"/>
              <w:jc w:val="center"/>
              <w:rPr>
                <w:rFonts w:hint="eastAsia" w:hAnsi="黑体"/>
                <w:kern w:val="0"/>
                <w:szCs w:val="40"/>
              </w:rPr>
            </w:pPr>
            <w:r>
              <w:rPr>
                <w:rFonts w:hint="eastAsia" w:hAnsi="黑体"/>
                <w:kern w:val="0"/>
                <w:szCs w:val="40"/>
              </w:rPr>
              <w:t>1人</w:t>
            </w:r>
          </w:p>
        </w:tc>
        <w:tc>
          <w:tcPr>
            <w:tcW w:w="3897" w:type="dxa"/>
            <w:vAlign w:val="center"/>
          </w:tcPr>
          <w:p w14:paraId="516A3F93">
            <w:pPr>
              <w:ind w:firstLine="0" w:firstLineChars="0"/>
              <w:jc w:val="center"/>
              <w:rPr>
                <w:rFonts w:hint="eastAsia" w:hAnsi="黑体"/>
                <w:kern w:val="0"/>
                <w:szCs w:val="40"/>
              </w:rPr>
            </w:pPr>
            <w:r>
              <w:rPr>
                <w:rFonts w:hint="eastAsia" w:hAnsi="黑体"/>
                <w:kern w:val="0"/>
                <w:szCs w:val="40"/>
              </w:rPr>
              <w:t>本科及以上学历，具有5年以上软件开发/实施/服务经验，熟悉交通行业业务。</w:t>
            </w:r>
          </w:p>
        </w:tc>
        <w:tc>
          <w:tcPr>
            <w:tcW w:w="1117" w:type="dxa"/>
            <w:vAlign w:val="center"/>
          </w:tcPr>
          <w:p w14:paraId="7415BD7F">
            <w:pPr>
              <w:ind w:firstLine="0" w:firstLineChars="0"/>
              <w:jc w:val="center"/>
              <w:rPr>
                <w:rFonts w:hint="eastAsia" w:hAnsi="黑体"/>
                <w:kern w:val="0"/>
                <w:szCs w:val="40"/>
              </w:rPr>
            </w:pPr>
            <w:r>
              <w:rPr>
                <w:rFonts w:hint="eastAsia" w:hAnsi="黑体"/>
                <w:kern w:val="0"/>
                <w:szCs w:val="40"/>
              </w:rPr>
              <w:t>不驻场</w:t>
            </w:r>
          </w:p>
        </w:tc>
      </w:tr>
      <w:tr w14:paraId="3961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ign w:val="center"/>
          </w:tcPr>
          <w:p w14:paraId="684E2D64">
            <w:pPr>
              <w:ind w:firstLine="0" w:firstLineChars="0"/>
              <w:jc w:val="center"/>
              <w:rPr>
                <w:rFonts w:hint="eastAsia" w:hAnsi="黑体"/>
                <w:kern w:val="0"/>
                <w:szCs w:val="40"/>
              </w:rPr>
            </w:pPr>
            <w:r>
              <w:rPr>
                <w:rFonts w:hint="eastAsia" w:hAnsi="黑体"/>
                <w:kern w:val="0"/>
                <w:szCs w:val="40"/>
              </w:rPr>
              <w:t>信息安全工程师</w:t>
            </w:r>
          </w:p>
        </w:tc>
        <w:tc>
          <w:tcPr>
            <w:tcW w:w="1493" w:type="dxa"/>
            <w:vAlign w:val="center"/>
          </w:tcPr>
          <w:p w14:paraId="1A304E91">
            <w:pPr>
              <w:ind w:firstLine="0" w:firstLineChars="0"/>
              <w:jc w:val="center"/>
              <w:rPr>
                <w:rFonts w:hint="eastAsia" w:hAnsi="黑体"/>
                <w:kern w:val="0"/>
                <w:szCs w:val="40"/>
              </w:rPr>
            </w:pPr>
            <w:r>
              <w:rPr>
                <w:rFonts w:hint="eastAsia" w:hAnsi="黑体"/>
                <w:kern w:val="0"/>
                <w:szCs w:val="40"/>
              </w:rPr>
              <w:t>实施安全策略和标准</w:t>
            </w:r>
          </w:p>
        </w:tc>
        <w:tc>
          <w:tcPr>
            <w:tcW w:w="890" w:type="dxa"/>
            <w:noWrap/>
            <w:vAlign w:val="center"/>
          </w:tcPr>
          <w:p w14:paraId="4A42CB92">
            <w:pPr>
              <w:ind w:firstLine="0" w:firstLineChars="0"/>
              <w:jc w:val="center"/>
              <w:rPr>
                <w:rFonts w:hint="eastAsia" w:hAnsi="黑体"/>
                <w:kern w:val="0"/>
                <w:szCs w:val="40"/>
              </w:rPr>
            </w:pPr>
            <w:r>
              <w:rPr>
                <w:rFonts w:hint="eastAsia" w:hAnsi="黑体"/>
                <w:kern w:val="0"/>
                <w:szCs w:val="40"/>
              </w:rPr>
              <w:t>1人</w:t>
            </w:r>
          </w:p>
        </w:tc>
        <w:tc>
          <w:tcPr>
            <w:tcW w:w="3897" w:type="dxa"/>
            <w:vAlign w:val="center"/>
          </w:tcPr>
          <w:p w14:paraId="7F887108">
            <w:pPr>
              <w:ind w:firstLine="0" w:firstLineChars="0"/>
              <w:jc w:val="center"/>
              <w:rPr>
                <w:rFonts w:hint="eastAsia" w:hAnsi="黑体"/>
                <w:kern w:val="0"/>
                <w:szCs w:val="40"/>
              </w:rPr>
            </w:pPr>
            <w:r>
              <w:rPr>
                <w:rFonts w:hint="eastAsia" w:hAnsi="黑体"/>
                <w:kern w:val="0"/>
                <w:szCs w:val="40"/>
              </w:rPr>
              <w:t>本科或以上</w:t>
            </w:r>
            <w:r>
              <w:rPr>
                <w:rFonts w:hint="eastAsia"/>
                <w:sz w:val="22"/>
                <w:szCs w:val="22"/>
              </w:rPr>
              <w:t>学历</w:t>
            </w:r>
            <w:r>
              <w:rPr>
                <w:rFonts w:hint="eastAsia" w:hAnsi="黑体"/>
                <w:kern w:val="0"/>
                <w:szCs w:val="40"/>
              </w:rPr>
              <w:t>，具有</w:t>
            </w:r>
            <w:r>
              <w:rPr>
                <w:rFonts w:hint="eastAsia"/>
                <w:lang w:val="en-US" w:eastAsia="zh-CN"/>
              </w:rPr>
              <w:t>信息安全保障人员认证证书（CISAW)</w:t>
            </w:r>
            <w:r>
              <w:rPr>
                <w:rFonts w:hint="eastAsia" w:hAnsi="黑体"/>
                <w:kern w:val="0"/>
                <w:szCs w:val="40"/>
              </w:rPr>
              <w:t>。</w:t>
            </w:r>
          </w:p>
        </w:tc>
        <w:tc>
          <w:tcPr>
            <w:tcW w:w="1117" w:type="dxa"/>
            <w:vAlign w:val="center"/>
          </w:tcPr>
          <w:p w14:paraId="30654DAC">
            <w:pPr>
              <w:ind w:firstLine="0" w:firstLineChars="0"/>
              <w:jc w:val="center"/>
              <w:rPr>
                <w:rFonts w:hint="eastAsia" w:hAnsi="黑体"/>
                <w:kern w:val="0"/>
                <w:szCs w:val="40"/>
              </w:rPr>
            </w:pPr>
            <w:r>
              <w:rPr>
                <w:rFonts w:hint="eastAsia" w:hAnsi="黑体"/>
                <w:kern w:val="0"/>
                <w:szCs w:val="40"/>
              </w:rPr>
              <w:t>不驻场</w:t>
            </w:r>
          </w:p>
        </w:tc>
      </w:tr>
      <w:tr w14:paraId="3068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noWrap/>
            <w:vAlign w:val="center"/>
          </w:tcPr>
          <w:p w14:paraId="6E556D11">
            <w:pPr>
              <w:ind w:firstLine="0" w:firstLineChars="0"/>
              <w:jc w:val="center"/>
              <w:rPr>
                <w:rFonts w:hint="eastAsia" w:hAnsi="黑体"/>
                <w:kern w:val="0"/>
                <w:szCs w:val="40"/>
              </w:rPr>
            </w:pPr>
            <w:r>
              <w:rPr>
                <w:rFonts w:hint="eastAsia" w:hAnsi="黑体"/>
                <w:kern w:val="0"/>
                <w:szCs w:val="40"/>
              </w:rPr>
              <w:t>技术工程师</w:t>
            </w:r>
          </w:p>
        </w:tc>
        <w:tc>
          <w:tcPr>
            <w:tcW w:w="1493" w:type="dxa"/>
            <w:noWrap/>
            <w:vAlign w:val="center"/>
          </w:tcPr>
          <w:p w14:paraId="5E4610D9">
            <w:pPr>
              <w:ind w:firstLine="0" w:firstLineChars="0"/>
              <w:jc w:val="center"/>
              <w:rPr>
                <w:rFonts w:hint="eastAsia" w:hAnsi="黑体"/>
                <w:kern w:val="0"/>
                <w:szCs w:val="40"/>
              </w:rPr>
            </w:pPr>
            <w:r>
              <w:rPr>
                <w:rFonts w:hint="eastAsia" w:hAnsi="黑体"/>
                <w:kern w:val="0"/>
                <w:szCs w:val="40"/>
              </w:rPr>
              <w:t>负责项目软硬件集成运维、运行维护</w:t>
            </w:r>
          </w:p>
        </w:tc>
        <w:tc>
          <w:tcPr>
            <w:tcW w:w="890" w:type="dxa"/>
            <w:noWrap/>
            <w:vAlign w:val="center"/>
          </w:tcPr>
          <w:p w14:paraId="41012F6C">
            <w:pPr>
              <w:ind w:firstLine="0" w:firstLineChars="0"/>
              <w:jc w:val="center"/>
              <w:rPr>
                <w:rFonts w:hint="eastAsia" w:hAnsi="黑体"/>
                <w:kern w:val="0"/>
                <w:szCs w:val="40"/>
              </w:rPr>
            </w:pPr>
            <w:r>
              <w:rPr>
                <w:rFonts w:hint="eastAsia" w:hAnsi="黑体"/>
                <w:kern w:val="0"/>
                <w:szCs w:val="40"/>
              </w:rPr>
              <w:t>12人</w:t>
            </w:r>
          </w:p>
        </w:tc>
        <w:tc>
          <w:tcPr>
            <w:tcW w:w="3897" w:type="dxa"/>
            <w:vAlign w:val="center"/>
          </w:tcPr>
          <w:p w14:paraId="65850CDC">
            <w:pPr>
              <w:ind w:firstLine="0" w:firstLineChars="0"/>
              <w:jc w:val="center"/>
              <w:rPr>
                <w:rFonts w:hint="eastAsia" w:hAnsi="黑体"/>
                <w:kern w:val="0"/>
                <w:szCs w:val="40"/>
              </w:rPr>
            </w:pPr>
            <w:r>
              <w:rPr>
                <w:rFonts w:hint="eastAsia" w:hAnsi="黑体"/>
                <w:kern w:val="0"/>
                <w:szCs w:val="40"/>
              </w:rPr>
              <w:t>本科或以上</w:t>
            </w:r>
            <w:r>
              <w:rPr>
                <w:rFonts w:hint="eastAsia"/>
                <w:sz w:val="22"/>
                <w:szCs w:val="22"/>
              </w:rPr>
              <w:t>学历</w:t>
            </w:r>
            <w:r>
              <w:rPr>
                <w:rFonts w:hint="eastAsia" w:hAnsi="黑体"/>
                <w:kern w:val="0"/>
                <w:szCs w:val="40"/>
              </w:rPr>
              <w:t>。</w:t>
            </w:r>
          </w:p>
        </w:tc>
        <w:tc>
          <w:tcPr>
            <w:tcW w:w="1117" w:type="dxa"/>
            <w:vAlign w:val="center"/>
          </w:tcPr>
          <w:p w14:paraId="3C4B50D4">
            <w:pPr>
              <w:ind w:firstLine="0" w:firstLineChars="0"/>
              <w:jc w:val="center"/>
              <w:rPr>
                <w:rFonts w:hint="eastAsia" w:hAnsi="黑体"/>
                <w:kern w:val="0"/>
                <w:szCs w:val="40"/>
              </w:rPr>
            </w:pPr>
            <w:r>
              <w:rPr>
                <w:rFonts w:hint="eastAsia" w:hAnsi="黑体"/>
                <w:kern w:val="0"/>
                <w:szCs w:val="40"/>
              </w:rPr>
              <w:t>至少2人驻场</w:t>
            </w:r>
          </w:p>
        </w:tc>
      </w:tr>
    </w:tbl>
    <w:p w14:paraId="503DA0E6">
      <w:pPr>
        <w:ind w:firstLine="0" w:firstLineChars="0"/>
        <w:rPr>
          <w:rFonts w:hint="eastAsia"/>
        </w:rPr>
      </w:pPr>
    </w:p>
    <w:p w14:paraId="6F7D02FB">
      <w:pPr>
        <w:pStyle w:val="3"/>
        <w:ind w:left="1138" w:hanging="1134" w:hangingChars="378"/>
        <w:rPr>
          <w:rFonts w:hint="eastAsia"/>
        </w:rPr>
      </w:pPr>
      <w:bookmarkStart w:id="32" w:name="_Toc63785511"/>
      <w:r>
        <w:t>等级保护要求</w:t>
      </w:r>
      <w:bookmarkEnd w:id="32"/>
    </w:p>
    <w:p w14:paraId="6E199370">
      <w:pPr>
        <w:rPr>
          <w:rFonts w:hint="eastAsia"/>
        </w:rPr>
      </w:pPr>
      <w:r>
        <w:t>本项目</w:t>
      </w:r>
      <w:r>
        <w:rPr>
          <w:rFonts w:hint="eastAsia"/>
        </w:rPr>
        <w:t>应满足三级</w:t>
      </w:r>
      <w:r>
        <w:t>等级保护要求</w:t>
      </w:r>
      <w:r>
        <w:rPr>
          <w:rFonts w:hint="eastAsia"/>
        </w:rPr>
        <w:t>。</w:t>
      </w:r>
    </w:p>
    <w:p w14:paraId="4E991C45">
      <w:pPr>
        <w:pStyle w:val="3"/>
        <w:ind w:left="1138" w:hanging="1134" w:hangingChars="378"/>
        <w:rPr>
          <w:rFonts w:hint="eastAsia"/>
        </w:rPr>
      </w:pPr>
      <w:r>
        <w:rPr>
          <w:rFonts w:hint="eastAsia"/>
        </w:rPr>
        <w:t>商业密码应用需求</w:t>
      </w:r>
    </w:p>
    <w:p w14:paraId="0B4AA742">
      <w:pPr>
        <w:rPr>
          <w:rFonts w:hint="eastAsia"/>
        </w:rPr>
      </w:pPr>
      <w:r>
        <w:rPr>
          <w:rFonts w:hint="eastAsia"/>
        </w:rPr>
        <w:t>本项目的</w:t>
      </w:r>
      <w:r>
        <w:t>商用密码应用</w:t>
      </w:r>
      <w:r>
        <w:rPr>
          <w:rFonts w:hint="eastAsia"/>
        </w:rPr>
        <w:t>满足《密码应用基本要求》中二级指标要求。</w:t>
      </w:r>
    </w:p>
    <w:p w14:paraId="21C58A5A">
      <w:pPr>
        <w:pStyle w:val="3"/>
        <w:ind w:left="1138" w:hanging="1134" w:hangingChars="378"/>
        <w:rPr>
          <w:rFonts w:hint="eastAsia"/>
        </w:rPr>
      </w:pPr>
      <w:bookmarkStart w:id="33" w:name="_Toc63785512"/>
      <w:r>
        <w:rPr>
          <w:rFonts w:hint="eastAsia"/>
        </w:rPr>
        <w:t>技术文件要求</w:t>
      </w:r>
    </w:p>
    <w:p w14:paraId="4F8C78AD">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3052DAB6">
      <w:pPr>
        <w:rPr>
          <w:rFonts w:hint="eastAsia"/>
        </w:rPr>
      </w:pPr>
      <w:r>
        <w:rPr>
          <w:rFonts w:hint="eastAsia"/>
        </w:rPr>
        <w:t>－</w:t>
      </w:r>
      <w:r>
        <w:t xml:space="preserve"> 系统说明文件； </w:t>
      </w:r>
    </w:p>
    <w:p w14:paraId="53DBBCC3">
      <w:pPr>
        <w:rPr>
          <w:rFonts w:hint="eastAsia"/>
        </w:rPr>
      </w:pPr>
      <w:r>
        <w:rPr>
          <w:rFonts w:hint="eastAsia"/>
        </w:rPr>
        <w:t xml:space="preserve">－ 技术手册(安装、测试、操作、维护、故障排除等)； </w:t>
      </w:r>
    </w:p>
    <w:p w14:paraId="3229BEA7">
      <w:pPr>
        <w:rPr>
          <w:rFonts w:hint="eastAsia"/>
        </w:rPr>
      </w:pPr>
      <w:r>
        <w:rPr>
          <w:rFonts w:hint="eastAsia"/>
        </w:rPr>
        <w:t>－ 项目文档，应该包括：</w:t>
      </w:r>
    </w:p>
    <w:p w14:paraId="6645EA6C">
      <w:pPr>
        <w:rPr>
          <w:rFonts w:hint="eastAsia"/>
        </w:rPr>
      </w:pPr>
      <w:r>
        <w:rPr>
          <w:rFonts w:hint="eastAsia"/>
        </w:rPr>
        <w:t>(1)软件需求说明书</w:t>
      </w:r>
    </w:p>
    <w:p w14:paraId="0A745ECC">
      <w:pPr>
        <w:rPr>
          <w:rFonts w:hint="eastAsia"/>
        </w:rPr>
      </w:pPr>
      <w:r>
        <w:rPr>
          <w:rFonts w:hint="eastAsia"/>
        </w:rPr>
        <w:t>(2)系统总体设计说明书</w:t>
      </w:r>
    </w:p>
    <w:p w14:paraId="0705695A">
      <w:pPr>
        <w:rPr>
          <w:rFonts w:hint="eastAsia"/>
        </w:rPr>
      </w:pPr>
      <w:r>
        <w:rPr>
          <w:rFonts w:hint="eastAsia"/>
        </w:rPr>
        <w:t>(3)应用软件功能清单</w:t>
      </w:r>
    </w:p>
    <w:p w14:paraId="31CBEC5C">
      <w:pPr>
        <w:rPr>
          <w:rFonts w:hint="eastAsia"/>
        </w:rPr>
      </w:pPr>
      <w:r>
        <w:rPr>
          <w:rFonts w:hint="eastAsia"/>
        </w:rPr>
        <w:t>提供全套技术文件纸介质3套以及电子文件1套。</w:t>
      </w:r>
      <w:bookmarkEnd w:id="33"/>
    </w:p>
    <w:p w14:paraId="0641B61D">
      <w:pPr>
        <w:pStyle w:val="3"/>
        <w:ind w:left="1138" w:hanging="1134" w:hangingChars="378"/>
        <w:rPr>
          <w:rFonts w:hint="eastAsia"/>
        </w:rPr>
      </w:pPr>
      <w:r>
        <w:rPr>
          <w:rFonts w:hint="eastAsia"/>
          <w:lang w:eastAsia="zh-CN"/>
        </w:rPr>
        <w:t>投标人</w:t>
      </w:r>
      <w:r>
        <w:rPr>
          <w:rFonts w:hint="eastAsia"/>
        </w:rPr>
        <w:t>能力要求</w:t>
      </w:r>
    </w:p>
    <w:p w14:paraId="10645DA9">
      <w:pPr>
        <w:pStyle w:val="19"/>
        <w:ind w:firstLine="480"/>
        <w:rPr>
          <w:rFonts w:hint="eastAsia"/>
          <w:sz w:val="24"/>
          <w:szCs w:val="24"/>
        </w:rPr>
      </w:pPr>
      <w:r>
        <w:rPr>
          <w:rFonts w:hint="eastAsia"/>
          <w:sz w:val="24"/>
          <w:szCs w:val="24"/>
          <w:lang w:eastAsia="zh-CN"/>
        </w:rPr>
        <w:t>投标人</w:t>
      </w:r>
      <w:r>
        <w:rPr>
          <w:sz w:val="24"/>
          <w:szCs w:val="24"/>
        </w:rPr>
        <w:t>具备</w:t>
      </w:r>
      <w:r>
        <w:rPr>
          <w:rFonts w:hint="eastAsia"/>
          <w:sz w:val="24"/>
          <w:szCs w:val="24"/>
        </w:rPr>
        <w:t>CCRC信息安全服务资质</w:t>
      </w:r>
      <w:r>
        <w:rPr>
          <w:rFonts w:hint="eastAsia"/>
          <w:sz w:val="24"/>
          <w:szCs w:val="24"/>
          <w:lang w:eastAsia="zh-CN"/>
        </w:rPr>
        <w:t>（</w:t>
      </w:r>
      <w:r>
        <w:rPr>
          <w:rFonts w:hint="eastAsia"/>
          <w:sz w:val="24"/>
          <w:szCs w:val="24"/>
          <w:lang w:val="en-US" w:eastAsia="zh-CN"/>
        </w:rPr>
        <w:t>包括</w:t>
      </w:r>
      <w:r>
        <w:rPr>
          <w:rFonts w:hint="eastAsia"/>
          <w:sz w:val="24"/>
          <w:szCs w:val="24"/>
        </w:rPr>
        <w:t>信息系统</w:t>
      </w:r>
      <w:r>
        <w:rPr>
          <w:rFonts w:hint="eastAsia"/>
          <w:sz w:val="24"/>
          <w:szCs w:val="24"/>
          <w:lang w:val="en-US" w:eastAsia="zh-CN"/>
        </w:rPr>
        <w:t>安全</w:t>
      </w:r>
      <w:r>
        <w:rPr>
          <w:rFonts w:hint="eastAsia"/>
          <w:sz w:val="24"/>
          <w:szCs w:val="24"/>
        </w:rPr>
        <w:t>集成、软件开发、安全运维</w:t>
      </w:r>
      <w:r>
        <w:rPr>
          <w:rFonts w:hint="eastAsia"/>
          <w:sz w:val="24"/>
          <w:szCs w:val="24"/>
          <w:lang w:eastAsia="zh-CN"/>
        </w:rPr>
        <w:t>）</w:t>
      </w:r>
      <w:r>
        <w:rPr>
          <w:rFonts w:hint="eastAsia"/>
          <w:sz w:val="24"/>
          <w:szCs w:val="24"/>
        </w:rPr>
        <w:t>三级及以上证书的优先考虑。</w:t>
      </w:r>
    </w:p>
    <w:p w14:paraId="44541514">
      <w:pPr>
        <w:pStyle w:val="2"/>
        <w:rPr>
          <w:rFonts w:hint="eastAsia"/>
        </w:rPr>
      </w:pPr>
      <w:r>
        <w:rPr>
          <w:rFonts w:hint="eastAsia"/>
          <w:lang w:eastAsia="zh-CN"/>
        </w:rPr>
        <w:t>投标人</w:t>
      </w:r>
      <w:r>
        <w:rPr>
          <w:rFonts w:hint="eastAsia"/>
        </w:rPr>
        <w:t>管理要求</w:t>
      </w:r>
    </w:p>
    <w:p w14:paraId="6CD7D421">
      <w:pPr>
        <w:rPr>
          <w:rFonts w:hint="eastAsia"/>
        </w:rPr>
      </w:pPr>
      <w:r>
        <w:rPr>
          <w:rFonts w:hint="eastAsia"/>
        </w:rPr>
        <w:t>1、在项目实施期间，中标人应严格执行国家、地方、行业有关本项目业务管理和安全作业的法律、法规和制度并按规定承担相应的费用。中标人因违反规定等原因造成的一切损失和责任由中标人自行承担。</w:t>
      </w:r>
    </w:p>
    <w:p w14:paraId="2EF1D67F">
      <w:pPr>
        <w:rPr>
          <w:rFonts w:hint="eastAsia"/>
        </w:rPr>
      </w:pPr>
      <w:r>
        <w:rPr>
          <w:rFonts w:hint="eastAsia"/>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0EBE9E2E">
      <w:pPr>
        <w:rPr>
          <w:rFonts w:hint="eastAsia"/>
        </w:rPr>
      </w:pPr>
      <w:r>
        <w:rPr>
          <w:rFonts w:hint="eastAsia"/>
        </w:rPr>
        <w:t>3、中标人在项目实施期间，应按项目实际进度与环节落实所对应项目整体及各环节管理工作，按照规范做好项目实施期间相关管理与实施记录。</w:t>
      </w:r>
    </w:p>
    <w:p w14:paraId="41C70E99">
      <w:pPr>
        <w:rPr>
          <w:rFonts w:hint="eastAsia"/>
        </w:rPr>
      </w:pPr>
      <w:r>
        <w:rPr>
          <w:rFonts w:hint="eastAsia"/>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0C87CCCA">
      <w:pPr>
        <w:rPr>
          <w:rFonts w:hint="eastAsia"/>
        </w:rPr>
      </w:pPr>
      <w:r>
        <w:rPr>
          <w:rFonts w:hint="eastAsia"/>
        </w:rPr>
        <w:t>5、中标人在项目实施期间必须遵守采购人的规章制度并提供实施人员名单。</w:t>
      </w:r>
    </w:p>
    <w:p w14:paraId="50C8269E">
      <w:pPr>
        <w:rPr>
          <w:rFonts w:hint="eastAsia"/>
        </w:rPr>
      </w:pPr>
      <w:r>
        <w:rPr>
          <w:rFonts w:hint="eastAsia"/>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297E4EF2">
      <w:pPr>
        <w:rPr>
          <w:rFonts w:hint="eastAsia"/>
          <w:sz w:val="21"/>
          <w:szCs w:val="21"/>
        </w:rPr>
      </w:pPr>
      <w:r>
        <w:rPr>
          <w:rFonts w:hint="eastAsia"/>
        </w:rPr>
        <w:t>7、本项目软件开发及调试将纳入采购人的管理范围，中标人在此过程中须服从上述单位的管理协调。</w:t>
      </w:r>
    </w:p>
    <w:p w14:paraId="6DA761B1">
      <w:pPr>
        <w:ind w:firstLine="420"/>
        <w:rPr>
          <w:rFonts w:hint="eastAsia"/>
          <w:sz w:val="21"/>
          <w:szCs w:val="21"/>
        </w:rPr>
      </w:pPr>
    </w:p>
    <w:p w14:paraId="63992E6E">
      <w:pPr>
        <w:rPr>
          <w:rFonts w:hint="eastAsia"/>
        </w:rPr>
      </w:pPr>
      <w:bookmarkStart w:id="34" w:name="_Toc63785513"/>
    </w:p>
    <w:bookmarkEnd w:id="34"/>
    <w:p w14:paraId="544FD210">
      <w:pPr>
        <w:ind w:firstLine="0" w:firstLineChars="0"/>
        <w:rPr>
          <w:rFonts w:hint="eastAsia"/>
          <w:b/>
        </w:rPr>
      </w:pPr>
    </w:p>
    <w:p w14:paraId="35803576">
      <w:pPr>
        <w:ind w:firstLine="0" w:firstLineChars="0"/>
        <w:rPr>
          <w:rFonts w:hint="eastAsia"/>
          <w:b/>
        </w:rPr>
      </w:pPr>
    </w:p>
    <w:p w14:paraId="5BBBC09E">
      <w:pPr>
        <w:pStyle w:val="2"/>
        <w:rPr>
          <w:rFonts w:hint="eastAsia"/>
        </w:rPr>
      </w:pPr>
      <w:bookmarkStart w:id="35" w:name="_Toc68798863"/>
      <w:r>
        <w:rPr>
          <w:rFonts w:hint="eastAsia"/>
        </w:rPr>
        <w:t>附录</w:t>
      </w:r>
      <w:bookmarkEnd w:id="35"/>
    </w:p>
    <w:p w14:paraId="58449734">
      <w:pPr>
        <w:pStyle w:val="3"/>
        <w:rPr>
          <w:rFonts w:hint="eastAsia"/>
        </w:rPr>
      </w:pPr>
      <w:r>
        <w:rPr>
          <w:rFonts w:hint="eastAsia"/>
        </w:rPr>
        <w:t>国家政策规划</w:t>
      </w:r>
    </w:p>
    <w:p w14:paraId="3469AE40">
      <w:pPr>
        <w:pStyle w:val="19"/>
        <w:ind w:firstLine="480"/>
        <w:rPr>
          <w:rFonts w:hint="eastAsia"/>
          <w:sz w:val="24"/>
          <w:szCs w:val="24"/>
        </w:rPr>
      </w:pPr>
      <w:r>
        <w:rPr>
          <w:rFonts w:hint="eastAsia"/>
          <w:sz w:val="24"/>
          <w:szCs w:val="24"/>
        </w:rPr>
        <w:t>1）《交通强国建设纲要》（中共中央、国务院，2019年9月）</w:t>
      </w:r>
    </w:p>
    <w:p w14:paraId="34824521">
      <w:pPr>
        <w:pStyle w:val="19"/>
        <w:ind w:firstLine="480"/>
        <w:rPr>
          <w:rFonts w:hint="eastAsia"/>
          <w:sz w:val="24"/>
          <w:szCs w:val="24"/>
        </w:rPr>
      </w:pPr>
      <w:r>
        <w:rPr>
          <w:rFonts w:hint="eastAsia"/>
          <w:sz w:val="24"/>
          <w:szCs w:val="24"/>
        </w:rPr>
        <w:t>推动大数据、互联网、人工智能、区块链、超级计算等新技术与交通行业深度融合，构建泛在先进的交通信息基础设施。</w:t>
      </w:r>
    </w:p>
    <w:p w14:paraId="0E6DB5A1">
      <w:pPr>
        <w:pStyle w:val="19"/>
        <w:ind w:firstLine="480"/>
        <w:rPr>
          <w:rFonts w:hint="eastAsia"/>
          <w:sz w:val="24"/>
          <w:szCs w:val="24"/>
        </w:rPr>
      </w:pPr>
      <w:r>
        <w:rPr>
          <w:rFonts w:hint="eastAsia"/>
          <w:sz w:val="24"/>
          <w:szCs w:val="24"/>
        </w:rPr>
        <w:t>构建综合交通大数据中心体系，深化交通公共服务和电子政务发展。</w:t>
      </w:r>
    </w:p>
    <w:p w14:paraId="5FC8453A">
      <w:pPr>
        <w:pStyle w:val="19"/>
        <w:ind w:firstLine="480"/>
        <w:rPr>
          <w:rFonts w:hint="eastAsia"/>
          <w:sz w:val="24"/>
          <w:szCs w:val="24"/>
        </w:rPr>
      </w:pPr>
      <w:r>
        <w:rPr>
          <w:rFonts w:hint="eastAsia"/>
          <w:sz w:val="24"/>
          <w:szCs w:val="24"/>
        </w:rPr>
        <w:t>2）《国家综合立体交通网规划纲要》（中共中央、国务院，2021年2月）</w:t>
      </w:r>
    </w:p>
    <w:p w14:paraId="1A405E8D">
      <w:pPr>
        <w:pStyle w:val="19"/>
        <w:ind w:firstLine="480"/>
        <w:rPr>
          <w:rFonts w:hint="eastAsia"/>
          <w:sz w:val="24"/>
          <w:szCs w:val="24"/>
        </w:rPr>
      </w:pPr>
      <w:r>
        <w:rPr>
          <w:rFonts w:hint="eastAsia"/>
          <w:sz w:val="24"/>
          <w:szCs w:val="24"/>
        </w:rPr>
        <w:t>提升智慧发展水平。构建综合交通大数据中心体系，完善综合交通运输信息平台。完善科技资源开放共享机制，建设一批具有国际影响力的创新平台。</w:t>
      </w:r>
    </w:p>
    <w:p w14:paraId="7665B83B">
      <w:pPr>
        <w:pStyle w:val="19"/>
        <w:ind w:firstLine="480"/>
        <w:rPr>
          <w:rFonts w:hint="eastAsia"/>
          <w:sz w:val="24"/>
          <w:szCs w:val="24"/>
        </w:rPr>
      </w:pPr>
      <w:r>
        <w:rPr>
          <w:rFonts w:hint="eastAsia"/>
          <w:sz w:val="24"/>
          <w:szCs w:val="24"/>
        </w:rPr>
        <w:t>3）《“十四五”现代综合交通运输体系发展规划》（国发〔2021〕27号）</w:t>
      </w:r>
    </w:p>
    <w:p w14:paraId="7CD5F3F4">
      <w:pPr>
        <w:pStyle w:val="19"/>
        <w:ind w:firstLine="480"/>
        <w:rPr>
          <w:rFonts w:hint="eastAsia"/>
          <w:sz w:val="24"/>
          <w:szCs w:val="24"/>
        </w:rPr>
      </w:pPr>
      <w:r>
        <w:rPr>
          <w:rFonts w:hint="eastAsia"/>
          <w:sz w:val="24"/>
          <w:szCs w:val="24"/>
        </w:rPr>
        <w:t>坚持创新驱动发展，推动互联网、大数据、人工智能、区块链等新技术与交通行业深度融合，推进先进技术装备应用，构建泛在互联、柔性协同、具有全球竞争力的智能交通系统，加强科技自立自强，夯实创新发展基础，增强综合交通运输发展新动能。</w:t>
      </w:r>
    </w:p>
    <w:p w14:paraId="5A19C56F">
      <w:pPr>
        <w:pStyle w:val="19"/>
        <w:ind w:firstLine="480"/>
        <w:rPr>
          <w:rFonts w:hint="eastAsia"/>
          <w:sz w:val="24"/>
          <w:szCs w:val="24"/>
        </w:rPr>
      </w:pPr>
      <w:r>
        <w:rPr>
          <w:rFonts w:hint="eastAsia"/>
          <w:sz w:val="24"/>
          <w:szCs w:val="24"/>
        </w:rPr>
        <w:t>整合优化综合交通运输信息平台。完善综合交通运输信息平台监管服务功能。有序建设城市交通智慧管理平台，加强城市交通精细化管理。</w:t>
      </w:r>
    </w:p>
    <w:p w14:paraId="6E1B23DF">
      <w:pPr>
        <w:pStyle w:val="19"/>
        <w:ind w:firstLine="480"/>
        <w:rPr>
          <w:rFonts w:hint="eastAsia"/>
          <w:sz w:val="24"/>
          <w:szCs w:val="24"/>
        </w:rPr>
      </w:pPr>
      <w:r>
        <w:rPr>
          <w:rFonts w:hint="eastAsia"/>
          <w:sz w:val="24"/>
          <w:szCs w:val="24"/>
        </w:rPr>
        <w:t>强化数据开放共享。加强交通运输数据分级分类管理。进一步完善交通运输数据资源开放共享机制和交换渠道，制定数据资源开放制度规范，推动条件成熟的数据资源合规开放和共享利用。加强交通运输数据安全管控，完善数据分级分类安全保护制度，制定智能交通数据应用安全标准，规范数据源采集和处理使用等活动，加强重要数据和个人信息保护。</w:t>
      </w:r>
    </w:p>
    <w:p w14:paraId="1A68B7A1">
      <w:pPr>
        <w:pStyle w:val="19"/>
        <w:ind w:firstLine="480"/>
        <w:rPr>
          <w:rFonts w:hint="eastAsia"/>
          <w:sz w:val="24"/>
          <w:szCs w:val="24"/>
        </w:rPr>
      </w:pPr>
      <w:r>
        <w:rPr>
          <w:rFonts w:hint="eastAsia"/>
          <w:sz w:val="24"/>
          <w:szCs w:val="24"/>
        </w:rPr>
        <w:t>强化数字化能力建设，促进信息系统网络互联互通、数据按需共享、业务高效协同。</w:t>
      </w:r>
    </w:p>
    <w:p w14:paraId="7850AF12">
      <w:pPr>
        <w:pStyle w:val="19"/>
        <w:ind w:firstLine="480"/>
        <w:rPr>
          <w:rFonts w:hint="eastAsia"/>
          <w:sz w:val="24"/>
          <w:szCs w:val="24"/>
        </w:rPr>
      </w:pPr>
      <w:r>
        <w:rPr>
          <w:rFonts w:hint="eastAsia"/>
          <w:sz w:val="24"/>
          <w:szCs w:val="24"/>
        </w:rPr>
        <w:t>4）《“十四五”数字经济发展规划》（国发〔2021〕29号）</w:t>
      </w:r>
    </w:p>
    <w:p w14:paraId="6944FD1B">
      <w:pPr>
        <w:pStyle w:val="19"/>
        <w:ind w:firstLine="480"/>
        <w:rPr>
          <w:rFonts w:hint="eastAsia"/>
          <w:sz w:val="24"/>
          <w:szCs w:val="24"/>
        </w:rPr>
      </w:pPr>
      <w:r>
        <w:rPr>
          <w:rFonts w:hint="eastAsia"/>
          <w:sz w:val="24"/>
          <w:szCs w:val="24"/>
        </w:rPr>
        <w:t>强化高质量数据要素供给。推动数据资源标准体系建设，提升数据管理水平和数据质量，探索面向业务应用的共享、交换、协作和开放。深化政务数据跨层级、跨地域、跨部门有序共享。</w:t>
      </w:r>
    </w:p>
    <w:p w14:paraId="5A48DD57">
      <w:pPr>
        <w:pStyle w:val="19"/>
        <w:ind w:firstLine="480"/>
        <w:rPr>
          <w:rFonts w:hint="eastAsia"/>
          <w:sz w:val="24"/>
          <w:szCs w:val="24"/>
        </w:rPr>
      </w:pPr>
      <w:r>
        <w:rPr>
          <w:rFonts w:hint="eastAsia"/>
          <w:sz w:val="24"/>
          <w:szCs w:val="24"/>
        </w:rPr>
        <w:t>增强政府数字化治理能力。加大政务信息化建设统筹力度，强化政府数字化治理和服务能力建设，有效发挥对规范市场、鼓励创新、保护消费者权益的支撑作用。建立完善基于大数据、人工智能、区块链等新技术的统计监测和决策分析体系，提升数字经济治理的精准性、协调性和有效性。推进完善风险应急响应处置流程和机制，强化重大问题研判和风险预警，提升系统性风险防范水平。探索建立适应平台经济特点的监管机制，推动线上线下监管有效衔接，强化对平台经营者及其行为的监管。</w:t>
      </w:r>
    </w:p>
    <w:p w14:paraId="2741B7E7">
      <w:pPr>
        <w:pStyle w:val="19"/>
        <w:ind w:firstLine="480"/>
        <w:rPr>
          <w:rFonts w:hint="eastAsia"/>
          <w:sz w:val="24"/>
          <w:szCs w:val="24"/>
        </w:rPr>
      </w:pPr>
      <w:r>
        <w:rPr>
          <w:rFonts w:hint="eastAsia"/>
          <w:sz w:val="24"/>
          <w:szCs w:val="24"/>
        </w:rPr>
        <w:t>创新数据要素开发利用机制。适应不同类型数据特点，以实际应用需求为导向，探索建立多样化的数据开发利用机制。鼓励重点行业创新数据开发利用模式，在确保数据安全、保障用户隐私的前提下，调动行业协会、科研院所、企业等多方参与数据价值开发。对具有经济和社会价值、允许加工利用的政务数据和公共数据，通过数据开放、特许开发、授权应用等方式，鼓励更多社会力量进行增值开发利用。结合新型智慧城市建设，加快城市数据融合及产业生态培育，提升城市数据运营和开发利用水平。</w:t>
      </w:r>
    </w:p>
    <w:p w14:paraId="50585E99">
      <w:pPr>
        <w:pStyle w:val="19"/>
        <w:ind w:firstLine="480"/>
        <w:rPr>
          <w:rFonts w:hint="eastAsia"/>
          <w:sz w:val="24"/>
          <w:szCs w:val="24"/>
        </w:rPr>
      </w:pPr>
      <w:r>
        <w:rPr>
          <w:rFonts w:hint="eastAsia"/>
          <w:sz w:val="24"/>
          <w:szCs w:val="24"/>
        </w:rPr>
        <w:t>5）《推进综合交通运输大数据发展行动纲要（2020-2025年）》（交科技发〔2019〕161号）</w:t>
      </w:r>
    </w:p>
    <w:p w14:paraId="0AB0FEE6">
      <w:pPr>
        <w:pStyle w:val="19"/>
        <w:ind w:firstLine="480"/>
        <w:rPr>
          <w:rFonts w:hint="eastAsia"/>
          <w:sz w:val="24"/>
          <w:szCs w:val="24"/>
        </w:rPr>
      </w:pPr>
      <w:r>
        <w:rPr>
          <w:rFonts w:hint="eastAsia"/>
          <w:sz w:val="24"/>
          <w:szCs w:val="24"/>
        </w:rPr>
        <w:t>完善信息资源目录体系。完善政务信息资源目录，建立覆盖多种运输方式、多级行业管理的综合交通运输信息资源目录体系，完善信息资源目录采集、更新和发布机制。开展信息资源目录合规性检测，形成完整规范的综合交通运输行业信息资源“总账本”。</w:t>
      </w:r>
    </w:p>
    <w:p w14:paraId="17A610EA">
      <w:pPr>
        <w:pStyle w:val="19"/>
        <w:ind w:firstLine="480"/>
        <w:rPr>
          <w:rFonts w:hint="eastAsia"/>
          <w:sz w:val="24"/>
          <w:szCs w:val="24"/>
        </w:rPr>
      </w:pPr>
      <w:r>
        <w:rPr>
          <w:rFonts w:hint="eastAsia"/>
          <w:sz w:val="24"/>
          <w:szCs w:val="24"/>
        </w:rPr>
        <w:t>全面构建政务大数据。深入推进国家综合交通运输信息平台建设。升级完善交通运输信息资源共享平台，建立综合交通运输政务信息资源共享交换机制，研究开展政务信息资源质量评估，汇聚形成全覆盖、高质量的综合交通运输政务大数据。建立完善与公安、自然资源、生态环境、水利、文化和旅游、卫生健康、应急、海关、市场监管、气象等部门的政务信息资源共享交换机制，有效支撑综合交通运输政务大数据跨部门应用。</w:t>
      </w:r>
    </w:p>
    <w:p w14:paraId="4FE710A4">
      <w:pPr>
        <w:pStyle w:val="19"/>
        <w:ind w:firstLine="480"/>
        <w:rPr>
          <w:rFonts w:hint="eastAsia"/>
          <w:sz w:val="24"/>
          <w:szCs w:val="24"/>
        </w:rPr>
      </w:pPr>
      <w:r>
        <w:rPr>
          <w:rFonts w:hint="eastAsia"/>
          <w:sz w:val="24"/>
          <w:szCs w:val="24"/>
        </w:rPr>
        <w:t>稳步开放公共信息资源。研究完善交通运输相关领域公共信息资源开放机制，建立公共信息资源开放清单及更新制度，建立统一的综合交通运输公共信息资源开放平台，优先开放与民生紧密相关、社会需求迫切、有利于激活市场活力的公共信息资源，推动公共信息资源有序开放。</w:t>
      </w:r>
    </w:p>
    <w:p w14:paraId="4AC4D2CA">
      <w:pPr>
        <w:pStyle w:val="19"/>
        <w:ind w:firstLine="480"/>
        <w:rPr>
          <w:rFonts w:hint="eastAsia"/>
          <w:sz w:val="24"/>
          <w:szCs w:val="24"/>
        </w:rPr>
      </w:pPr>
      <w:r>
        <w:rPr>
          <w:rFonts w:hint="eastAsia"/>
          <w:sz w:val="24"/>
          <w:szCs w:val="24"/>
        </w:rPr>
        <w:t>推动行业数字化转型。以试点示范方式推动建立行业大数据平台。促进行业企业应用大数据、云计算等技术提高企业建设能力、运输效率和经营水平，鼓励各行业企业依法积极利用大数据开展融合应用，不断丰富行业大数据内容，推动行业企业数字化转型。</w:t>
      </w:r>
    </w:p>
    <w:p w14:paraId="446271AC">
      <w:pPr>
        <w:pStyle w:val="19"/>
        <w:ind w:firstLine="480"/>
        <w:rPr>
          <w:rFonts w:hint="eastAsia"/>
          <w:sz w:val="24"/>
          <w:szCs w:val="24"/>
        </w:rPr>
      </w:pPr>
      <w:r>
        <w:rPr>
          <w:rFonts w:hint="eastAsia"/>
          <w:sz w:val="24"/>
          <w:szCs w:val="24"/>
        </w:rPr>
        <w:t>完善数据安全保障措施。推进交通运输领域数据分类分级管理，加强重要数据和个人信息安全保护，制定数据分级安全管理、数据脱敏等制度规范。推进重要信息系统密码技术应用和重要软硬件设备自主可控。</w:t>
      </w:r>
    </w:p>
    <w:p w14:paraId="3A83926F">
      <w:pPr>
        <w:pStyle w:val="19"/>
        <w:ind w:firstLine="480"/>
        <w:rPr>
          <w:rFonts w:hint="eastAsia"/>
          <w:sz w:val="24"/>
          <w:szCs w:val="24"/>
        </w:rPr>
      </w:pPr>
      <w:r>
        <w:rPr>
          <w:rFonts w:hint="eastAsia"/>
          <w:sz w:val="24"/>
          <w:szCs w:val="24"/>
        </w:rPr>
        <w:t>6）《数字交通发展规划纲要》（交规划发〔2019〕89号）</w:t>
      </w:r>
    </w:p>
    <w:p w14:paraId="3BC1D9DC">
      <w:pPr>
        <w:pStyle w:val="19"/>
        <w:ind w:firstLine="480"/>
        <w:rPr>
          <w:rFonts w:hint="eastAsia"/>
          <w:sz w:val="24"/>
          <w:szCs w:val="24"/>
        </w:rPr>
      </w:pPr>
      <w:r>
        <w:rPr>
          <w:rFonts w:hint="eastAsia"/>
          <w:sz w:val="24"/>
          <w:szCs w:val="24"/>
        </w:rPr>
        <w:t>打造数字化出行助手。促进交通、旅游等各类信息充分开放共享，融合发展。鼓励平台型企业深化多源数据融合，整合线上和线下资源，鼓励各类交通运输客票系统充分开放接入，打造数字化出行助手，为旅客提供“门到门”的全程出行定制服务。倡导“出行即服务（MaaS）”理念，以数据衔接出行需求与服务资源，使出行成为一种按需获取的即时服务，让出行更简单。</w:t>
      </w:r>
    </w:p>
    <w:p w14:paraId="4750316F">
      <w:pPr>
        <w:pStyle w:val="19"/>
        <w:ind w:firstLine="480"/>
        <w:rPr>
          <w:rFonts w:hint="eastAsia"/>
          <w:sz w:val="24"/>
          <w:szCs w:val="24"/>
        </w:rPr>
      </w:pPr>
      <w:r>
        <w:rPr>
          <w:rFonts w:hint="eastAsia"/>
          <w:sz w:val="24"/>
          <w:szCs w:val="24"/>
        </w:rPr>
        <w:t>推动行业治理现代化。完善资源目录与信息资源管理体系，实现行业信息资源的汇聚融合，提升信息资源共享交换和开放服务能力。建立大数据支撑的决策与规划体系，推动部门间、政企间多源数据融合，提升交通运输决策分析水平。采用数据化、全景式展现方式，提升综合交通运输运行监测预警、安全风险分析研判、调度指挥、节能环保在线监测等支撑能力。进一步推进交通运输领域“互联网+政务服务”，实现政务服务同一事项、同一标准、同一编码。延长网上办事链条，推动政务服务向“两微一端”等延伸拓展。加快完善运政、路政、海事等政务信息系统，推进交通运输综合执法、治超联网等系统建设，提高执法装备智能化水平，推进在线识别和非现场执法。</w:t>
      </w:r>
    </w:p>
    <w:p w14:paraId="146793F6">
      <w:pPr>
        <w:pStyle w:val="19"/>
        <w:ind w:firstLine="480"/>
        <w:rPr>
          <w:rFonts w:hint="eastAsia"/>
          <w:sz w:val="24"/>
          <w:szCs w:val="24"/>
        </w:rPr>
      </w:pPr>
      <w:r>
        <w:rPr>
          <w:rFonts w:hint="eastAsia"/>
          <w:sz w:val="24"/>
          <w:szCs w:val="24"/>
        </w:rPr>
        <w:t>7）《关于推动交通运输领域新型基础设施建设的指导意见》（交规划发〔2020〕75号）</w:t>
      </w:r>
    </w:p>
    <w:p w14:paraId="15DDF3F7">
      <w:pPr>
        <w:pStyle w:val="19"/>
        <w:ind w:firstLine="480"/>
        <w:rPr>
          <w:rFonts w:hint="eastAsia"/>
          <w:sz w:val="24"/>
          <w:szCs w:val="24"/>
        </w:rPr>
      </w:pPr>
      <w:r>
        <w:rPr>
          <w:rFonts w:hint="eastAsia"/>
          <w:sz w:val="24"/>
          <w:szCs w:val="24"/>
        </w:rPr>
        <w:t>完善综合交通运输数据中心，注重分类分层布局，推动跨部门、跨层级综合运输数据资源充分汇聚、有效共享，形成成规模、成体系的行业大数据集。推动综合交通运输公共信息资源开放，综合运用政府、科研机构、企业等数据资源，深化行业大数据创新应用，以数据资源赋能交通运输发展。</w:t>
      </w:r>
    </w:p>
    <w:p w14:paraId="45D027CE">
      <w:pPr>
        <w:pStyle w:val="19"/>
        <w:ind w:firstLine="480"/>
        <w:rPr>
          <w:rFonts w:hint="eastAsia"/>
          <w:sz w:val="24"/>
          <w:szCs w:val="24"/>
        </w:rPr>
      </w:pPr>
      <w:r>
        <w:rPr>
          <w:rFonts w:hint="eastAsia"/>
          <w:sz w:val="24"/>
          <w:szCs w:val="24"/>
        </w:rPr>
        <w:t>8）《交通运输部关于上海市开展推进长三角交通一体化等交通强国建设试点工作的意见》（交规划函〔2020〕693号）</w:t>
      </w:r>
    </w:p>
    <w:p w14:paraId="3A6B80E4">
      <w:pPr>
        <w:pStyle w:val="19"/>
        <w:ind w:firstLine="480"/>
        <w:rPr>
          <w:rFonts w:hint="eastAsia"/>
          <w:sz w:val="24"/>
          <w:szCs w:val="24"/>
        </w:rPr>
      </w:pPr>
      <w:r>
        <w:rPr>
          <w:rFonts w:hint="eastAsia"/>
          <w:sz w:val="24"/>
          <w:szCs w:val="24"/>
        </w:rPr>
        <w:t>促进行业高效协同管理。构建协同规划机制，探索建立统一编制、联合报批、共同实施的规划管理体制。加强信息互通共享，提升交通基础设施、运输服务、行业管理信息共享能力。构建交通运输行业公共信用管理体系，推行跨区域信用联合奖惩制度。加强交通联勤联动执法，完善一体化执法工作机制。</w:t>
      </w:r>
    </w:p>
    <w:p w14:paraId="283C6ED8">
      <w:pPr>
        <w:pStyle w:val="19"/>
        <w:ind w:firstLine="480"/>
        <w:rPr>
          <w:rFonts w:hint="eastAsia"/>
          <w:sz w:val="24"/>
          <w:szCs w:val="24"/>
        </w:rPr>
      </w:pPr>
      <w:r>
        <w:rPr>
          <w:rFonts w:hint="eastAsia"/>
          <w:sz w:val="24"/>
          <w:szCs w:val="24"/>
        </w:rPr>
        <w:t>9）《数字交通“十四五”发展规划》（交通运输部，2021年12月）</w:t>
      </w:r>
    </w:p>
    <w:p w14:paraId="1FE5C15C">
      <w:pPr>
        <w:pStyle w:val="19"/>
        <w:ind w:firstLine="480"/>
        <w:rPr>
          <w:rFonts w:hint="eastAsia"/>
          <w:sz w:val="24"/>
          <w:szCs w:val="24"/>
        </w:rPr>
      </w:pPr>
      <w:r>
        <w:rPr>
          <w:rFonts w:hint="eastAsia"/>
          <w:sz w:val="24"/>
          <w:szCs w:val="24"/>
        </w:rPr>
        <w:t>完善部、省两级综合交通运输信息平台架构，推进综合交通大数据中心体系建设，加强数据资源的整合共享、综合开发和智能应用，打造综合交通运输“数据大脑”。</w:t>
      </w:r>
    </w:p>
    <w:p w14:paraId="454E33E2">
      <w:pPr>
        <w:pStyle w:val="19"/>
        <w:ind w:firstLine="480"/>
        <w:rPr>
          <w:rFonts w:hint="eastAsia"/>
          <w:sz w:val="24"/>
          <w:szCs w:val="24"/>
        </w:rPr>
      </w:pPr>
      <w:r>
        <w:rPr>
          <w:rFonts w:hint="eastAsia"/>
          <w:sz w:val="24"/>
          <w:szCs w:val="24"/>
        </w:rPr>
        <w:t>建强综合交通运输信息平台。鼓励和支持各地交通运输主管部门统筹开展综合交通运输信息平台建设，并与国家综合交通运输信息平台实现互联互通，构建全国一体化协同综合交通运输信息平台。</w:t>
      </w:r>
    </w:p>
    <w:p w14:paraId="0ED5553A">
      <w:pPr>
        <w:pStyle w:val="19"/>
        <w:ind w:firstLine="480"/>
        <w:rPr>
          <w:rFonts w:hint="eastAsia"/>
          <w:sz w:val="24"/>
          <w:szCs w:val="24"/>
        </w:rPr>
      </w:pPr>
      <w:r>
        <w:rPr>
          <w:rFonts w:hint="eastAsia"/>
          <w:sz w:val="24"/>
          <w:szCs w:val="24"/>
        </w:rPr>
        <w:t>构建综合交通大数据中心体系，有效支撑综合交通运输信息平台功能实现。推动交通运输数据资源在部、省两级有效汇聚整合，推动形成质量高、覆盖广、体系全的交通运输核心数据库。构建以国家综合交通大数据中心为枢纽，覆盖和连接各省级综合交通大数据中心的架构体系。加强交通运输大数据治理，实现全生命周期的数据质量管控。进一步完善交通运输信息资源共享机制和交换渠道，实现相关数据资源共享共用。研究制定交通运输公共数据开放和有效流动的制度规范，推动条件成熟的公共数据资源依法依规开放和政企共同开发利用。</w:t>
      </w:r>
    </w:p>
    <w:p w14:paraId="0AA06FA1">
      <w:pPr>
        <w:pStyle w:val="19"/>
        <w:ind w:firstLine="480"/>
        <w:rPr>
          <w:rFonts w:hint="eastAsia"/>
          <w:sz w:val="24"/>
          <w:szCs w:val="24"/>
        </w:rPr>
      </w:pPr>
      <w:r>
        <w:rPr>
          <w:rFonts w:hint="eastAsia"/>
          <w:sz w:val="24"/>
          <w:szCs w:val="24"/>
        </w:rPr>
        <w:t>10）《交通运输领域新型基础设施建设行动方案（2021-2025年）》（交规划发〔2021〕82号）</w:t>
      </w:r>
    </w:p>
    <w:p w14:paraId="5B968713">
      <w:pPr>
        <w:pStyle w:val="19"/>
        <w:ind w:firstLine="480"/>
        <w:rPr>
          <w:rFonts w:hint="eastAsia"/>
          <w:sz w:val="24"/>
          <w:szCs w:val="24"/>
        </w:rPr>
      </w:pPr>
      <w:r>
        <w:rPr>
          <w:rFonts w:hint="eastAsia"/>
          <w:sz w:val="24"/>
          <w:szCs w:val="24"/>
        </w:rPr>
        <w:t>鼓励支持省级综合交通运输信息平台和综合交通大数据中心一体化建设，先行先试。建立健全交通运输数据资源共享机制和交换渠道，推动部省综合交通运输信息平台和综合交通大数据中心互联互通，推进交通运输数据资源的汇聚共享与智能应用，以数据赋能交通运输行业，提升管理服务能力。</w:t>
      </w:r>
    </w:p>
    <w:p w14:paraId="5FD4B797">
      <w:pPr>
        <w:pStyle w:val="19"/>
        <w:ind w:firstLine="480"/>
        <w:rPr>
          <w:rFonts w:hint="eastAsia"/>
          <w:sz w:val="24"/>
          <w:szCs w:val="24"/>
        </w:rPr>
      </w:pPr>
      <w:r>
        <w:rPr>
          <w:rFonts w:hint="eastAsia"/>
          <w:sz w:val="24"/>
          <w:szCs w:val="24"/>
        </w:rPr>
        <w:t>11）《综合运输服务“十四五”发展规划》（交运发〔2021〕111号）</w:t>
      </w:r>
    </w:p>
    <w:p w14:paraId="153176E6">
      <w:pPr>
        <w:pStyle w:val="19"/>
        <w:ind w:firstLine="480"/>
        <w:rPr>
          <w:rFonts w:hint="eastAsia"/>
          <w:sz w:val="24"/>
          <w:szCs w:val="24"/>
        </w:rPr>
      </w:pPr>
      <w:r>
        <w:rPr>
          <w:rFonts w:hint="eastAsia"/>
          <w:sz w:val="24"/>
          <w:szCs w:val="24"/>
        </w:rPr>
        <w:t>构建协同融合的综合运输一体化服务系统。围绕实现客运“零距离换乘”、货运“无缝化衔接”目标，建设多层级一体化综合交通枢纽，推广“出行即服务”理念，加快旅客联程运输发展，创新“一站式”出行服务，加快城市群都市圈运输一体化发展，推动各种运输方式功能融合、标准协同、运营规范、服务高效，不断提升综合运输服务一体化发展水平。</w:t>
      </w:r>
    </w:p>
    <w:p w14:paraId="5B7D7BC7">
      <w:pPr>
        <w:pStyle w:val="19"/>
        <w:ind w:firstLine="480"/>
        <w:rPr>
          <w:rFonts w:hint="eastAsia"/>
          <w:sz w:val="24"/>
          <w:szCs w:val="24"/>
        </w:rPr>
      </w:pPr>
      <w:r>
        <w:rPr>
          <w:rFonts w:hint="eastAsia"/>
          <w:sz w:val="24"/>
          <w:szCs w:val="24"/>
        </w:rPr>
        <w:t>加强新一代信息技术在运输服务领域的应用，推进数据资源赋能运输服务发展。</w:t>
      </w:r>
    </w:p>
    <w:p w14:paraId="705A1BD0">
      <w:pPr>
        <w:pStyle w:val="19"/>
        <w:ind w:firstLine="480"/>
        <w:rPr>
          <w:rFonts w:hint="eastAsia"/>
          <w:sz w:val="24"/>
          <w:szCs w:val="24"/>
        </w:rPr>
      </w:pPr>
      <w:r>
        <w:rPr>
          <w:rFonts w:hint="eastAsia"/>
          <w:sz w:val="24"/>
          <w:szCs w:val="24"/>
        </w:rPr>
        <w:t>12）《交通领域科技创新中长期发展规划纲要（2021—2035年）》（交科技发〔2022〕11号）</w:t>
      </w:r>
    </w:p>
    <w:p w14:paraId="59BE5A0C">
      <w:pPr>
        <w:pStyle w:val="19"/>
        <w:ind w:firstLine="480"/>
        <w:rPr>
          <w:rFonts w:hint="eastAsia"/>
          <w:sz w:val="24"/>
          <w:szCs w:val="24"/>
        </w:rPr>
      </w:pPr>
      <w:r>
        <w:rPr>
          <w:rFonts w:hint="eastAsia"/>
          <w:sz w:val="24"/>
          <w:szCs w:val="24"/>
        </w:rPr>
        <w:t>围绕全面提升智慧交通发展水平，集中攻克交通运输专业软件和专用系统，加快移动互联网、人工智能、区块链、云计算、大数据等新一代信息技术及空天信息技术与交通运输融合创新应用，推动交通运输领域商用密码创新应用，加快发展交通运输新型基础设施。</w:t>
      </w:r>
    </w:p>
    <w:p w14:paraId="4F239216">
      <w:pPr>
        <w:pStyle w:val="19"/>
        <w:ind w:firstLine="480"/>
        <w:rPr>
          <w:rFonts w:hint="eastAsia"/>
          <w:sz w:val="24"/>
          <w:szCs w:val="24"/>
        </w:rPr>
      </w:pPr>
      <w:r>
        <w:rPr>
          <w:rFonts w:hint="eastAsia"/>
          <w:sz w:val="24"/>
          <w:szCs w:val="24"/>
        </w:rPr>
        <w:t>加速新一代信息技术与交通运输融合。加快新一代信息技术在交通运输公共服务、交通运输监测预警、综合应急指挥和监管、驾驶培训等领域应用。</w:t>
      </w:r>
    </w:p>
    <w:p w14:paraId="46624DE4">
      <w:pPr>
        <w:pStyle w:val="19"/>
        <w:ind w:firstLine="480"/>
        <w:rPr>
          <w:rFonts w:hint="eastAsia"/>
          <w:sz w:val="24"/>
          <w:szCs w:val="24"/>
        </w:rPr>
      </w:pPr>
      <w:r>
        <w:rPr>
          <w:rFonts w:hint="eastAsia"/>
          <w:sz w:val="24"/>
          <w:szCs w:val="24"/>
        </w:rPr>
        <w:t>13）《“十四五”交通领域科技创新规划》（交通运输部、科学技术部，2022年4月）</w:t>
      </w:r>
    </w:p>
    <w:p w14:paraId="0B63EDB4">
      <w:pPr>
        <w:pStyle w:val="19"/>
        <w:ind w:firstLine="480"/>
        <w:rPr>
          <w:rFonts w:hint="eastAsia"/>
          <w:sz w:val="24"/>
          <w:szCs w:val="24"/>
        </w:rPr>
      </w:pPr>
      <w:r>
        <w:rPr>
          <w:rFonts w:hint="eastAsia"/>
          <w:sz w:val="24"/>
          <w:szCs w:val="24"/>
        </w:rPr>
        <w:t>推动云计算、大数据、物联网、移动互联网、区块链、人工智能等新一代信息技术与交通运输融合。</w:t>
      </w:r>
    </w:p>
    <w:p w14:paraId="747DAADB">
      <w:pPr>
        <w:pStyle w:val="19"/>
        <w:ind w:firstLine="480"/>
        <w:rPr>
          <w:rFonts w:hint="eastAsia"/>
          <w:sz w:val="24"/>
          <w:szCs w:val="24"/>
        </w:rPr>
      </w:pPr>
      <w:r>
        <w:rPr>
          <w:rFonts w:hint="eastAsia"/>
          <w:sz w:val="24"/>
          <w:szCs w:val="24"/>
        </w:rPr>
        <w:t>14）《数字中国建设整体布局规划》（国务院，2023年2月）</w:t>
      </w:r>
    </w:p>
    <w:p w14:paraId="227A8EDB">
      <w:pPr>
        <w:pStyle w:val="19"/>
        <w:ind w:firstLine="480"/>
        <w:rPr>
          <w:rFonts w:hint="eastAsia"/>
          <w:sz w:val="24"/>
          <w:szCs w:val="24"/>
        </w:rPr>
      </w:pPr>
      <w:r>
        <w:rPr>
          <w:rFonts w:hint="eastAsia"/>
          <w:sz w:val="24"/>
          <w:szCs w:val="24"/>
        </w:rPr>
        <w:t>推动数字技术和实体经济深度融合，在农业、工业、金融、教育、医疗、交通、能源等重点领域，加快数字技术创新应用。</w:t>
      </w:r>
    </w:p>
    <w:p w14:paraId="31743099">
      <w:pPr>
        <w:pStyle w:val="19"/>
        <w:ind w:firstLine="480"/>
        <w:rPr>
          <w:rFonts w:hint="eastAsia"/>
          <w:sz w:val="24"/>
          <w:szCs w:val="24"/>
        </w:rPr>
      </w:pPr>
      <w:r>
        <w:rPr>
          <w:rFonts w:hint="eastAsia"/>
          <w:sz w:val="24"/>
          <w:szCs w:val="24"/>
        </w:rPr>
        <w:t>15）《交通运输部关于推进公路数字化转型加快智慧公路建设发展的意见》（交公路发〔2023〕131号）</w:t>
      </w:r>
    </w:p>
    <w:p w14:paraId="61BA4173">
      <w:pPr>
        <w:pStyle w:val="19"/>
        <w:ind w:firstLine="480"/>
        <w:rPr>
          <w:rFonts w:hint="eastAsia"/>
          <w:sz w:val="24"/>
          <w:szCs w:val="24"/>
        </w:rPr>
      </w:pPr>
      <w:r>
        <w:rPr>
          <w:rFonts w:hint="eastAsia"/>
          <w:sz w:val="24"/>
          <w:szCs w:val="24"/>
        </w:rPr>
        <w:t>构建部省两级农村公路数字化综合监管体系，实现农村公路“一张图”管理。</w:t>
      </w:r>
    </w:p>
    <w:p w14:paraId="16F8B237">
      <w:pPr>
        <w:pStyle w:val="19"/>
        <w:ind w:firstLine="480"/>
        <w:rPr>
          <w:rFonts w:hint="eastAsia"/>
          <w:sz w:val="24"/>
          <w:szCs w:val="24"/>
        </w:rPr>
      </w:pPr>
      <w:r>
        <w:rPr>
          <w:rFonts w:hint="eastAsia"/>
          <w:sz w:val="24"/>
          <w:szCs w:val="24"/>
        </w:rPr>
        <w:t>推动应急管理多元数据汇聚融合，构建“公路综合风险一张图”。</w:t>
      </w:r>
    </w:p>
    <w:p w14:paraId="4DA5AA24">
      <w:pPr>
        <w:pStyle w:val="19"/>
        <w:ind w:firstLine="480"/>
        <w:rPr>
          <w:rFonts w:hint="eastAsia"/>
          <w:sz w:val="24"/>
          <w:szCs w:val="24"/>
        </w:rPr>
      </w:pPr>
      <w:r>
        <w:rPr>
          <w:rFonts w:hint="eastAsia"/>
          <w:sz w:val="24"/>
          <w:szCs w:val="24"/>
        </w:rPr>
        <w:t>支撑公路全生命期“一摸到底”和数字公路“一张图”建设。</w:t>
      </w:r>
    </w:p>
    <w:p w14:paraId="0EAD00FD">
      <w:pPr>
        <w:pStyle w:val="19"/>
        <w:ind w:firstLine="480"/>
        <w:rPr>
          <w:rFonts w:hint="eastAsia"/>
          <w:sz w:val="24"/>
          <w:szCs w:val="24"/>
        </w:rPr>
      </w:pPr>
      <w:r>
        <w:rPr>
          <w:rFonts w:hint="eastAsia"/>
          <w:sz w:val="24"/>
          <w:szCs w:val="24"/>
        </w:rPr>
        <w:t>16）《关于印发公路水路交通基础设施数字化转型升级工作实施细则的通知》（财建〔2024〕28号）</w:t>
      </w:r>
    </w:p>
    <w:p w14:paraId="7E7F5202">
      <w:pPr>
        <w:pStyle w:val="19"/>
        <w:ind w:firstLine="480"/>
        <w:rPr>
          <w:rFonts w:hint="eastAsia"/>
          <w:sz w:val="24"/>
          <w:szCs w:val="24"/>
        </w:rPr>
      </w:pPr>
      <w:r>
        <w:rPr>
          <w:rFonts w:hint="eastAsia"/>
          <w:sz w:val="24"/>
          <w:szCs w:val="24"/>
        </w:rPr>
        <w:t>建立协同联动管理和服务机制。健全跨部门、跨地区、跨层级业务协同机制，推动交通公安、气象、应急、数据、自然资源等部门协调联动。完善相关法规，推动业务流程再造、管理制度重构，健全公路水路基础设施各业主协同合作的一体化运营管理体制机制完善相关项目建设管理机制，推动系统建设、运行、维护统筹管理。</w:t>
      </w:r>
    </w:p>
    <w:p w14:paraId="02A4A093">
      <w:pPr>
        <w:pStyle w:val="19"/>
        <w:ind w:firstLine="480"/>
        <w:rPr>
          <w:rFonts w:hint="eastAsia"/>
          <w:sz w:val="24"/>
          <w:szCs w:val="24"/>
        </w:rPr>
      </w:pPr>
      <w:r>
        <w:rPr>
          <w:rFonts w:hint="eastAsia"/>
          <w:sz w:val="24"/>
          <w:szCs w:val="24"/>
        </w:rPr>
        <w:t>探索建立数据运营机制。鼓励构建行业大数据平台，强化数据要素价值的深度挖掘，为行业管理、公共服务、科学研究、重大应急保障等提供支撑。推进数据分类分级确权授权使用和市场化流通交易机制，吸引社会资本积极参与投资建设和运营服务，积极培育智慧交通运营商，打造若干全国知名的交通信息服务品牌，构建协同创新产业生态，推动数据产业发展。</w:t>
      </w:r>
    </w:p>
    <w:p w14:paraId="01D09B9B">
      <w:pPr>
        <w:pStyle w:val="19"/>
        <w:ind w:firstLine="480"/>
        <w:rPr>
          <w:rFonts w:hint="eastAsia"/>
          <w:sz w:val="24"/>
          <w:szCs w:val="24"/>
        </w:rPr>
      </w:pPr>
      <w:r>
        <w:rPr>
          <w:rFonts w:hint="eastAsia"/>
          <w:sz w:val="24"/>
          <w:szCs w:val="24"/>
        </w:rPr>
        <w:t>构筑共建共享数字底座。构筑标准统一、分层解耦、融合集成的数字底座，推动基础数据在不同业务环节有效传递共享，统筹应用场景融合创新与集约运行。健全综合交通大数据中心体系，加强交通数据资源的集成整合，推动数据资源在部、省两级有效汇聚健全数字化安全防护体系，完善网络、数据安全管理制度加强安全可信服务和产品应用。</w:t>
      </w:r>
    </w:p>
    <w:p w14:paraId="3BAD1D10">
      <w:pPr>
        <w:pStyle w:val="19"/>
        <w:ind w:firstLine="480"/>
        <w:rPr>
          <w:rFonts w:hint="eastAsia"/>
          <w:sz w:val="24"/>
          <w:szCs w:val="24"/>
        </w:rPr>
      </w:pPr>
      <w:r>
        <w:rPr>
          <w:rFonts w:hint="eastAsia"/>
          <w:sz w:val="24"/>
          <w:szCs w:val="24"/>
        </w:rPr>
        <w:t>17）《2025年国务院政府工作报告》（国务院，2025年）</w:t>
      </w:r>
    </w:p>
    <w:p w14:paraId="7FA994D3">
      <w:pPr>
        <w:pStyle w:val="19"/>
        <w:ind w:firstLine="480"/>
        <w:rPr>
          <w:rFonts w:hint="eastAsia"/>
          <w:sz w:val="24"/>
          <w:szCs w:val="24"/>
        </w:rPr>
      </w:pPr>
      <w:r>
        <w:rPr>
          <w:rFonts w:hint="eastAsia"/>
          <w:sz w:val="24"/>
          <w:szCs w:val="24"/>
        </w:rPr>
        <w:t>激发数字经济创新活力。持续推进“人工智能+”行动，将数字技术与制造优势、市场优势更好结合起来，支持大模型广泛应用，大力发展智能网联新能源汽车、人工智能手机和电脑、智能机器人等新一代智能终端以及智能制造装备。扩大5G规模化应用，加快工业互联网创新发展，优化全国算力资源布局，打造具有国际竞争力的数字产业集群。加快完善数据基础制度，深化数据资源开发利用，促进和规范数据跨境流动。促进平台经济规范健康发展，更好发挥其在促创新、扩消费、稳就业等方面的积极作用。</w:t>
      </w:r>
    </w:p>
    <w:p w14:paraId="4FB326BD">
      <w:pPr>
        <w:pStyle w:val="19"/>
        <w:ind w:firstLine="480"/>
        <w:rPr>
          <w:rFonts w:hint="eastAsia"/>
          <w:sz w:val="24"/>
          <w:szCs w:val="24"/>
        </w:rPr>
      </w:pPr>
      <w:r>
        <w:rPr>
          <w:rFonts w:hint="eastAsia"/>
          <w:sz w:val="24"/>
          <w:szCs w:val="24"/>
        </w:rPr>
        <w:t>18）《可信数据空间发展行动计划（2024—2028年）》（国数资源〔2024〕119号）</w:t>
      </w:r>
    </w:p>
    <w:p w14:paraId="43AB0CC9">
      <w:pPr>
        <w:pStyle w:val="19"/>
        <w:ind w:firstLine="480"/>
        <w:rPr>
          <w:rFonts w:hint="eastAsia"/>
          <w:sz w:val="24"/>
          <w:szCs w:val="24"/>
        </w:rPr>
      </w:pPr>
      <w:r>
        <w:rPr>
          <w:rFonts w:hint="eastAsia"/>
          <w:sz w:val="24"/>
          <w:szCs w:val="24"/>
        </w:rPr>
        <w:t>鼓励创建城市可信数据空间。支持有条件的地区开展城市可信数据空间建设，围绕城市规划建设、交通出行规划、医疗健康管理、重点人群服务保障、生态保护修护等典型场景，发挥公共数据资源的引领作用，推动公共数据、企业数据、个人数据融合应用，构建城市数据资源体系，支撑城市建设、运营、治理体制改革。鼓励因地制宜建设产业数据专区，探索建立分建统管、跨域协同的数据空间运营模式，打造城市级可信数据流通服务生态链，加快城市全域数字化转型。鼓励城市群加强协作，推动各类可信数据空间的数据资源高效流通共享、数据产品和服务协同复用、数据产业生态互促共进，支撑城市群数字一体化发展。</w:t>
      </w:r>
    </w:p>
    <w:p w14:paraId="2EC3B6A9">
      <w:pPr>
        <w:pStyle w:val="19"/>
        <w:ind w:firstLine="480"/>
        <w:rPr>
          <w:rFonts w:hint="eastAsia"/>
          <w:sz w:val="24"/>
          <w:szCs w:val="24"/>
        </w:rPr>
      </w:pPr>
      <w:r>
        <w:rPr>
          <w:rFonts w:hint="eastAsia"/>
          <w:sz w:val="24"/>
          <w:szCs w:val="24"/>
        </w:rPr>
        <w:t>19）《综合交通运输主数据建设方案（征求意见稿）》</w:t>
      </w:r>
    </w:p>
    <w:p w14:paraId="69BFCC63">
      <w:pPr>
        <w:pStyle w:val="19"/>
        <w:ind w:firstLine="480"/>
        <w:rPr>
          <w:rFonts w:hint="eastAsia"/>
          <w:sz w:val="24"/>
          <w:szCs w:val="24"/>
        </w:rPr>
      </w:pPr>
      <w:r>
        <w:rPr>
          <w:rFonts w:hint="eastAsia"/>
          <w:sz w:val="24"/>
          <w:szCs w:val="24"/>
        </w:rPr>
        <w:t>构建综合交通运输主数据，实现对基础设施、运载工具、经营业户、从业人员等交通运输关键要素的全面汇聚、集中存储、协同治理和一体服务，形成交通运输主数据横向联通、纵向贯通格局，着力提高交通运输数据质量，着力夯实交通运输数字基础，为构建部级综合交通大数据中心，促进交通运输行业数字化转型，赋能交通运输高质量发展提供有力支撑。</w:t>
      </w:r>
    </w:p>
    <w:p w14:paraId="7568311A">
      <w:pPr>
        <w:pStyle w:val="19"/>
        <w:ind w:firstLine="480"/>
        <w:rPr>
          <w:rFonts w:hint="eastAsia"/>
          <w:sz w:val="24"/>
          <w:szCs w:val="24"/>
        </w:rPr>
      </w:pPr>
      <w:r>
        <w:rPr>
          <w:rFonts w:hint="eastAsia"/>
          <w:sz w:val="24"/>
          <w:szCs w:val="24"/>
        </w:rPr>
        <w:t>20)《交通运输数据安全分级和保护要求》</w:t>
      </w:r>
    </w:p>
    <w:p w14:paraId="1BDA2785">
      <w:pPr>
        <w:pStyle w:val="19"/>
        <w:ind w:firstLine="480"/>
        <w:rPr>
          <w:rFonts w:hint="eastAsia"/>
          <w:sz w:val="24"/>
          <w:szCs w:val="24"/>
        </w:rPr>
      </w:pPr>
      <w:r>
        <w:rPr>
          <w:rFonts w:hint="eastAsia"/>
          <w:sz w:val="24"/>
          <w:szCs w:val="24"/>
        </w:rPr>
        <w:t>研究制定综合交通运输数据分类分级标准规范是《推进综合交通运输大数据发展行动纲要（2020-2025年》提出的一项重要任务。开展数据安全管理不能对所有数据都采用“一刀切”式的允许或者禁止使用，而是要对数据进行区分管理，划清不同敏感级别数据的界限，针对性地提出相应级别的安全保护要求。因此，为贯彻落实国家和部数据安全要求，提升行业数据安全管理水平，交通运输部组织相关单位开展了行业标准《交通运输数据安全分级和保护要求》的制定工作。标准规定了公路水路交通运输数据安全分级和数据保护的要求，适用于公路水路交通运输数据处理者开展非涉密数据的安全分级和保护。</w:t>
      </w:r>
    </w:p>
    <w:p w14:paraId="7A3D595F">
      <w:pPr>
        <w:pStyle w:val="3"/>
        <w:rPr>
          <w:rFonts w:hint="eastAsia"/>
        </w:rPr>
      </w:pPr>
      <w:r>
        <w:rPr>
          <w:rFonts w:hint="eastAsia"/>
        </w:rPr>
        <w:t>上海市政策规划</w:t>
      </w:r>
    </w:p>
    <w:p w14:paraId="2C41870D">
      <w:pPr>
        <w:pStyle w:val="19"/>
        <w:ind w:firstLine="480"/>
        <w:rPr>
          <w:rFonts w:hint="eastAsia"/>
          <w:sz w:val="24"/>
          <w:szCs w:val="24"/>
        </w:rPr>
      </w:pPr>
      <w:r>
        <w:rPr>
          <w:rFonts w:hint="eastAsia"/>
          <w:sz w:val="24"/>
          <w:szCs w:val="24"/>
        </w:rPr>
        <w:t>1）《上海市国民经济和社会发展第十四个五年规划和二〇三五年远景目标纲要》（上海市第十五届人民代表大会第五次会议批准，2021年1月）</w:t>
      </w:r>
    </w:p>
    <w:p w14:paraId="103E62C0">
      <w:pPr>
        <w:pStyle w:val="19"/>
        <w:ind w:firstLine="480"/>
        <w:rPr>
          <w:rFonts w:hint="eastAsia"/>
          <w:sz w:val="24"/>
          <w:szCs w:val="24"/>
        </w:rPr>
      </w:pPr>
      <w:r>
        <w:rPr>
          <w:rFonts w:hint="eastAsia"/>
          <w:sz w:val="24"/>
          <w:szCs w:val="24"/>
        </w:rPr>
        <w:t>深化多源数据汇聚共享。加大公共数据统一管理和应用力度，推动构建主体多元、权责清晰、标准完善的公共数据治理体系。制定完善重点领域公共数据专项标准，健全公共数据分层采集体系，依托大数据资源平台实现公共数据的实时归集和同步更新。</w:t>
      </w:r>
    </w:p>
    <w:p w14:paraId="274F0DE2">
      <w:pPr>
        <w:pStyle w:val="19"/>
        <w:ind w:firstLine="480"/>
        <w:rPr>
          <w:rFonts w:hint="eastAsia"/>
          <w:sz w:val="24"/>
          <w:szCs w:val="24"/>
        </w:rPr>
      </w:pPr>
      <w:r>
        <w:rPr>
          <w:rFonts w:hint="eastAsia"/>
          <w:sz w:val="24"/>
          <w:szCs w:val="24"/>
        </w:rPr>
        <w:t>深化智慧交通发展，构建交通智能感知信息网络，推进智能航运、智慧道路等新型交通设施升级建设。</w:t>
      </w:r>
    </w:p>
    <w:p w14:paraId="21071DF9">
      <w:pPr>
        <w:pStyle w:val="19"/>
        <w:ind w:firstLine="480"/>
        <w:rPr>
          <w:rFonts w:hint="eastAsia"/>
          <w:sz w:val="24"/>
          <w:szCs w:val="24"/>
        </w:rPr>
      </w:pPr>
      <w:r>
        <w:rPr>
          <w:rFonts w:hint="eastAsia"/>
          <w:sz w:val="24"/>
          <w:szCs w:val="24"/>
        </w:rPr>
        <w:t>2）《关于全面推进上海城市数字化转型的意见》（上海市委、市政府，2020年）</w:t>
      </w:r>
    </w:p>
    <w:p w14:paraId="2D67C797">
      <w:pPr>
        <w:pStyle w:val="19"/>
        <w:ind w:firstLine="480"/>
        <w:rPr>
          <w:rFonts w:hint="eastAsia"/>
          <w:sz w:val="24"/>
          <w:szCs w:val="24"/>
        </w:rPr>
      </w:pPr>
      <w:r>
        <w:rPr>
          <w:rFonts w:hint="eastAsia"/>
          <w:sz w:val="24"/>
          <w:szCs w:val="24"/>
        </w:rPr>
        <w:t>聚焦数据开放应用和市场化需求，研制实施数据收集存储、数据加工使用、数据流通交易等全流程相关标准，以及数据标准化、数据质量、数据治理等全要素相关标准，构建全面适用于数字政府治理、智能城市运行、数字经济发展和智慧生活服务的数据基座。</w:t>
      </w:r>
    </w:p>
    <w:p w14:paraId="6341D3F3">
      <w:pPr>
        <w:pStyle w:val="19"/>
        <w:ind w:firstLine="480"/>
        <w:rPr>
          <w:rFonts w:hint="eastAsia"/>
          <w:sz w:val="24"/>
          <w:szCs w:val="24"/>
        </w:rPr>
      </w:pPr>
      <w:r>
        <w:rPr>
          <w:rFonts w:hint="eastAsia"/>
          <w:sz w:val="24"/>
          <w:szCs w:val="24"/>
        </w:rPr>
        <w:t>聚焦一体化交通服务和一站式出行服务需求，研制实施智能交通基础设施、自动驾驶、车路协同、先进交通管控及便捷停车、便捷充电等标准，实现全流程覆盖的智能化出行环境。</w:t>
      </w:r>
    </w:p>
    <w:p w14:paraId="3B2DF8DD">
      <w:pPr>
        <w:pStyle w:val="19"/>
        <w:ind w:firstLine="480"/>
        <w:rPr>
          <w:rFonts w:hint="eastAsia"/>
          <w:sz w:val="24"/>
          <w:szCs w:val="24"/>
        </w:rPr>
      </w:pPr>
      <w:r>
        <w:rPr>
          <w:rFonts w:hint="eastAsia"/>
          <w:sz w:val="24"/>
          <w:szCs w:val="24"/>
        </w:rPr>
        <w:t>3）《上海市全面推进城市数字化转型“十四五”规划》（沪府办发〔2021〕29号）</w:t>
      </w:r>
    </w:p>
    <w:p w14:paraId="02F39561">
      <w:pPr>
        <w:pStyle w:val="19"/>
        <w:ind w:firstLine="480"/>
        <w:rPr>
          <w:rFonts w:hint="eastAsia"/>
          <w:sz w:val="24"/>
          <w:szCs w:val="24"/>
        </w:rPr>
      </w:pPr>
      <w:r>
        <w:rPr>
          <w:rFonts w:hint="eastAsia"/>
          <w:sz w:val="24"/>
          <w:szCs w:val="24"/>
        </w:rPr>
        <w:t>支持建设行业数据综合运营中心。围绕行业数据汇聚整合，推动建设行业数据综合运营中心，制定行业数据标准，规范行业数据治理，强化对行业数字化转型的数据赋能，鼓励医疗、教育、交通、金融等数据密集型行业和领域先行先试。支持建设行业数据开放利用平台，集成数据汇聚、数据处理、数据交换等多种工具，统一数据接口和调用规则，依托隐私计算、区块链等技术构建可信数据开发利用环境，鼓励探索应用云原生等多种技术架构。</w:t>
      </w:r>
    </w:p>
    <w:p w14:paraId="41BFFE71">
      <w:pPr>
        <w:pStyle w:val="19"/>
        <w:ind w:firstLine="480"/>
        <w:rPr>
          <w:rFonts w:hint="eastAsia"/>
          <w:sz w:val="24"/>
          <w:szCs w:val="24"/>
        </w:rPr>
      </w:pPr>
      <w:r>
        <w:rPr>
          <w:rFonts w:hint="eastAsia"/>
          <w:sz w:val="24"/>
          <w:szCs w:val="24"/>
        </w:rPr>
        <w:t>完善公共数据开发利用平台。深化建设“1+16”市、区统筹的大数据资源平台体系，实现数据横向协同、纵向赋能。构建数据服务工具箱，实现公共数据及时、完整归集共享。建设长三角地区政务数据共享平台，支撑长三角跨省通办业务办理。探索实施公共数据授权运营、收益共享，以数据“可用不可见”为前提，建立第三方多元主体对公共数据开发利用机制。建立“技术+制度”运营合规保障。</w:t>
      </w:r>
    </w:p>
    <w:p w14:paraId="355CB374">
      <w:pPr>
        <w:pStyle w:val="19"/>
        <w:ind w:firstLine="480"/>
        <w:rPr>
          <w:rFonts w:hint="eastAsia"/>
          <w:sz w:val="24"/>
          <w:szCs w:val="24"/>
        </w:rPr>
      </w:pPr>
      <w:r>
        <w:rPr>
          <w:rFonts w:hint="eastAsia"/>
          <w:sz w:val="24"/>
          <w:szCs w:val="24"/>
        </w:rPr>
        <w:t>4）《上海市数字经济发展“十四五”规划》（沪府办发〔2022〕11号）</w:t>
      </w:r>
    </w:p>
    <w:p w14:paraId="04A24B56">
      <w:pPr>
        <w:pStyle w:val="19"/>
        <w:ind w:firstLine="480"/>
        <w:rPr>
          <w:rFonts w:hint="eastAsia"/>
          <w:sz w:val="24"/>
          <w:szCs w:val="24"/>
        </w:rPr>
      </w:pPr>
      <w:r>
        <w:rPr>
          <w:rFonts w:hint="eastAsia"/>
          <w:sz w:val="24"/>
          <w:szCs w:val="24"/>
        </w:rPr>
        <w:t>培育数据新要素。释放城市海量数据价值，统筹推进数据产业各环节布局，激发数据要素乘数效应，健全数据要素产业生态。培育数据处理与服务产业，面向细分行业精准应用，突破一批大规模多源异构数据管理、分析关键技术，支持一批从事数据采集、清洗、标注、交付、咨询的服务机构，加快大数据产业向专业化、工程化、平台化发展。</w:t>
      </w:r>
    </w:p>
    <w:p w14:paraId="0991BFF2">
      <w:pPr>
        <w:pStyle w:val="19"/>
        <w:ind w:firstLine="480"/>
        <w:rPr>
          <w:rFonts w:hint="eastAsia"/>
          <w:sz w:val="24"/>
          <w:szCs w:val="24"/>
        </w:rPr>
      </w:pPr>
      <w:r>
        <w:rPr>
          <w:rFonts w:hint="eastAsia"/>
          <w:sz w:val="24"/>
          <w:szCs w:val="24"/>
        </w:rPr>
        <w:t>5）《关于进一步促进和保障城市运行“一网统管”建设的决定》（上海市第十五届人民代表大会常务委员会第四十次会议，2022年5月）</w:t>
      </w:r>
    </w:p>
    <w:p w14:paraId="4649A03A">
      <w:pPr>
        <w:pStyle w:val="19"/>
        <w:ind w:firstLine="480"/>
        <w:rPr>
          <w:rFonts w:hint="eastAsia"/>
          <w:sz w:val="24"/>
          <w:szCs w:val="24"/>
        </w:rPr>
      </w:pPr>
      <w:r>
        <w:rPr>
          <w:rFonts w:hint="eastAsia"/>
          <w:sz w:val="24"/>
          <w:szCs w:val="24"/>
        </w:rPr>
        <w:t>有关部门和单位应当按照“一网统管”建设要求和相关技术标准，依托大数据资源平台，加强公共数据的归集和共享，及时动态更新，保证数据准确性，提高数据质量。</w:t>
      </w:r>
    </w:p>
    <w:p w14:paraId="2FF7C8D5">
      <w:pPr>
        <w:pStyle w:val="19"/>
        <w:ind w:firstLine="480"/>
        <w:rPr>
          <w:rFonts w:hint="eastAsia"/>
          <w:sz w:val="24"/>
          <w:szCs w:val="24"/>
        </w:rPr>
      </w:pPr>
      <w:r>
        <w:rPr>
          <w:rFonts w:hint="eastAsia"/>
          <w:sz w:val="24"/>
          <w:szCs w:val="24"/>
        </w:rPr>
        <w:t>6）《上海市进一步推进新型基础设施建设行动方案（2023-2026年）》（沪府〔2023〕51号）</w:t>
      </w:r>
    </w:p>
    <w:p w14:paraId="7C594E00">
      <w:pPr>
        <w:pStyle w:val="19"/>
        <w:ind w:firstLine="480"/>
        <w:rPr>
          <w:rFonts w:hint="eastAsia"/>
          <w:sz w:val="24"/>
          <w:szCs w:val="24"/>
        </w:rPr>
      </w:pPr>
      <w:r>
        <w:rPr>
          <w:rFonts w:hint="eastAsia"/>
          <w:sz w:val="24"/>
          <w:szCs w:val="24"/>
        </w:rPr>
        <w:t>构建多语种语料库和高质量行业数据集。推动有关创新平台牵头组建大模型语料数据联盟，归集海量互联网数据、基于文献的知识库和科学数据库，建设科技创新资源数据功能型平台，联合多元主体打造多领域、多模态、安全合规的高质量多语种超大规模语料数据库。</w:t>
      </w:r>
    </w:p>
    <w:p w14:paraId="4A9421AB">
      <w:pPr>
        <w:pStyle w:val="19"/>
        <w:ind w:firstLine="480"/>
        <w:rPr>
          <w:rFonts w:hint="eastAsia"/>
          <w:sz w:val="24"/>
          <w:szCs w:val="24"/>
        </w:rPr>
      </w:pPr>
      <w:r>
        <w:rPr>
          <w:rFonts w:hint="eastAsia"/>
          <w:sz w:val="24"/>
          <w:szCs w:val="24"/>
        </w:rPr>
        <w:t>打造公共数据资源库和授权运营平台。深化拓展“数源工程”，累计新增50个数源目录。持续推进“聚数工程”，新增归集交通出行、医疗健康、学生综评、缴税纳税、职业资格等相关领域重点数据。推动公共数据高效便捷共享和跨区域流通，深化随申码、电子证照等基础数字化应用。建设城市级公共数据授权运营平台，探索政府监管、企业运营的创新模式，形成一体化城市级安全可信的智能化数据开发与运营平台。</w:t>
      </w:r>
    </w:p>
    <w:p w14:paraId="70158467">
      <w:pPr>
        <w:pStyle w:val="19"/>
        <w:ind w:firstLine="480"/>
        <w:rPr>
          <w:rFonts w:hint="eastAsia"/>
          <w:sz w:val="24"/>
          <w:szCs w:val="24"/>
        </w:rPr>
      </w:pPr>
      <w:r>
        <w:rPr>
          <w:rFonts w:hint="eastAsia"/>
          <w:sz w:val="24"/>
          <w:szCs w:val="24"/>
        </w:rPr>
        <w:t>7）《上海市人民政府办公厅关于印发&lt;2019年上海市推进“一网通办”工作要点&gt;的通知》（沪府办发〔2019〕8号）</w:t>
      </w:r>
    </w:p>
    <w:p w14:paraId="78337E35">
      <w:pPr>
        <w:pStyle w:val="19"/>
        <w:ind w:firstLine="480"/>
        <w:rPr>
          <w:rFonts w:hint="eastAsia"/>
          <w:sz w:val="24"/>
          <w:szCs w:val="24"/>
        </w:rPr>
      </w:pPr>
      <w:r>
        <w:rPr>
          <w:rFonts w:hint="eastAsia"/>
          <w:sz w:val="24"/>
          <w:szCs w:val="24"/>
        </w:rPr>
        <w:t>实现公共数据完整归集。加快推进全市公共数据集中统一管理，使分散、孤立的数据成为汇聚综合的数据，实现公共数据完整归集、按需共享，财政资金保障的信息系统在符合国家相关部门规定的前提下，100%迁移上云。</w:t>
      </w:r>
    </w:p>
    <w:p w14:paraId="448C5F47">
      <w:pPr>
        <w:pStyle w:val="19"/>
        <w:ind w:firstLine="480"/>
        <w:rPr>
          <w:rFonts w:hint="eastAsia"/>
          <w:sz w:val="24"/>
          <w:szCs w:val="24"/>
        </w:rPr>
      </w:pPr>
      <w:r>
        <w:rPr>
          <w:rFonts w:hint="eastAsia"/>
          <w:sz w:val="24"/>
          <w:szCs w:val="24"/>
        </w:rPr>
        <w:t>实现公共数据按需共享。完善数据共享交换平台功能，打通国家、市、区三级共享通道，建立完善数据共享交换机制，开展应用场景授权，优化共享审核流程，实现数据按需共享。</w:t>
      </w:r>
    </w:p>
    <w:p w14:paraId="3B7DD606">
      <w:pPr>
        <w:pStyle w:val="19"/>
        <w:ind w:firstLine="480"/>
        <w:rPr>
          <w:rFonts w:hint="eastAsia"/>
          <w:sz w:val="24"/>
          <w:szCs w:val="24"/>
        </w:rPr>
      </w:pPr>
      <w:r>
        <w:rPr>
          <w:rFonts w:hint="eastAsia"/>
          <w:sz w:val="24"/>
          <w:szCs w:val="24"/>
        </w:rPr>
        <w:t>加快推进政务信息系统整合。制定政务信息系统整合方案，加强信息化项目资金引导，推进一批跨层级“大系统”和跨部门“大平台”建设。开展信息化项目清理，全面整合规范历史遗留项目，加快整合市区统筹的跨层级业务信息系统，将分散、独立、交叉的部门信息系统整合为互联互通、信息共享、业务协同的大系统。推进业务专网逐步向政务外网、内网分类迁移，为充分实现条块业务系统互联互通提供支撑。</w:t>
      </w:r>
    </w:p>
    <w:p w14:paraId="181DD118">
      <w:pPr>
        <w:pStyle w:val="19"/>
        <w:ind w:firstLine="480"/>
        <w:rPr>
          <w:rFonts w:hint="eastAsia"/>
          <w:sz w:val="24"/>
          <w:szCs w:val="24"/>
        </w:rPr>
      </w:pPr>
      <w:r>
        <w:rPr>
          <w:rFonts w:hint="eastAsia"/>
          <w:sz w:val="24"/>
          <w:szCs w:val="24"/>
        </w:rPr>
        <w:t xml:space="preserve">8）《上海市综合交通发展“十四五”规划》（沪府发〔2021〕8号） </w:t>
      </w:r>
    </w:p>
    <w:p w14:paraId="181B27B7">
      <w:pPr>
        <w:pStyle w:val="19"/>
        <w:ind w:firstLine="480"/>
        <w:rPr>
          <w:rFonts w:hint="eastAsia"/>
          <w:sz w:val="24"/>
          <w:szCs w:val="24"/>
        </w:rPr>
      </w:pPr>
      <w:r>
        <w:rPr>
          <w:rFonts w:hint="eastAsia"/>
          <w:sz w:val="24"/>
          <w:szCs w:val="24"/>
        </w:rPr>
        <w:t>推动行业管理流程重塑。以服务需求为导向，优化全过程、全方位、全覆盖的行业管理流程，促进跨部门、跨层级业务协同。构建以信用为核心的新型监管模式，对行业信用主体实现动态监测和分类分级管理。加强数据治理能力建设，完善数据分级分类管理，夯实交通数据全生命周期管控，促进综合交通大数据跨部门融合应用，打造交通数据共享互通云生态。</w:t>
      </w:r>
    </w:p>
    <w:p w14:paraId="75069EEC">
      <w:pPr>
        <w:pStyle w:val="19"/>
        <w:ind w:firstLine="480"/>
        <w:rPr>
          <w:rFonts w:hint="eastAsia"/>
          <w:sz w:val="24"/>
          <w:szCs w:val="24"/>
        </w:rPr>
      </w:pPr>
      <w:r>
        <w:rPr>
          <w:rFonts w:hint="eastAsia"/>
          <w:sz w:val="24"/>
          <w:szCs w:val="24"/>
        </w:rPr>
        <w:t>推进交通管理数字赋能建设。推进交通综合业务平台建设，形成“交通综合业务平台+行业大数据中心”格局。深化政务服务“一网通办”，实现交通行业政务服务从“能用”向“好用”转变。推进交通工程建设数字化监控，对建设项目工地实施远程监管，实现安全事故主动防控。构建危化品数字监管体系，实现危险品运输企业许可、批后监管、行政执法、信用管理、企业退出的闭环管理。推动道路设施数字化管养，促进道路管养提效能、扩功能、增动能。</w:t>
      </w:r>
    </w:p>
    <w:p w14:paraId="559FDDDD">
      <w:pPr>
        <w:pStyle w:val="19"/>
        <w:ind w:firstLine="480"/>
        <w:rPr>
          <w:rFonts w:hint="eastAsia"/>
          <w:sz w:val="24"/>
          <w:szCs w:val="24"/>
        </w:rPr>
      </w:pPr>
      <w:r>
        <w:rPr>
          <w:rFonts w:hint="eastAsia"/>
          <w:sz w:val="24"/>
          <w:szCs w:val="24"/>
        </w:rPr>
        <w:t>9）《上海市车路协同创新应用工作实施方案（2023-2025年）》（沪交科〔2022〕758 号）</w:t>
      </w:r>
    </w:p>
    <w:p w14:paraId="26765750">
      <w:pPr>
        <w:pStyle w:val="19"/>
        <w:ind w:firstLine="480"/>
        <w:rPr>
          <w:rFonts w:hint="eastAsia"/>
          <w:sz w:val="24"/>
          <w:szCs w:val="24"/>
        </w:rPr>
      </w:pPr>
      <w:r>
        <w:rPr>
          <w:rFonts w:hint="eastAsia"/>
          <w:sz w:val="24"/>
          <w:szCs w:val="24"/>
        </w:rPr>
        <w:t>固化交通管理范式。依托各级交通管理平台，推动车路协同技术与智能交通系统、数字城市底座、出行服务平台治超检测管理平台的深入融合，联通交通诱导系统、车辆管理系统和道路感知信控系统，打造交通拥堵治理、超限治理非现场执法、人机共驾混合交通流管理等交通管理新范式。</w:t>
      </w:r>
    </w:p>
    <w:p w14:paraId="729E47F5">
      <w:pPr>
        <w:pStyle w:val="19"/>
        <w:ind w:firstLine="480"/>
        <w:rPr>
          <w:rFonts w:hint="eastAsia"/>
          <w:sz w:val="24"/>
          <w:szCs w:val="24"/>
        </w:rPr>
      </w:pPr>
      <w:r>
        <w:rPr>
          <w:rFonts w:hint="eastAsia"/>
          <w:sz w:val="24"/>
          <w:szCs w:val="24"/>
        </w:rPr>
        <w:t>注重数据共享。打造车路协同监管平台，实现城市级道路数据全息感知以及车辆交互，破除影响车路协同发展的数据采集、融合及共享问题。积极推动路侧的信号、通信、感知、供电等公共基础设施的数据共享，降低车路协同系统的总体建设成本。合规开放相关公共数据，赋能智能网联汽车和智慧交通应用。</w:t>
      </w:r>
    </w:p>
    <w:p w14:paraId="1FAF1606">
      <w:pPr>
        <w:pStyle w:val="19"/>
        <w:ind w:firstLine="480"/>
        <w:rPr>
          <w:rFonts w:hint="eastAsia"/>
          <w:sz w:val="24"/>
          <w:szCs w:val="24"/>
        </w:rPr>
      </w:pPr>
      <w:r>
        <w:rPr>
          <w:rFonts w:hint="eastAsia"/>
          <w:sz w:val="24"/>
          <w:szCs w:val="24"/>
        </w:rPr>
        <w:t>10）《长三角生态绿色一体化发展示范区综合交通专项规划（2021-2035年）》（沪交规〔2023〕502 号）</w:t>
      </w:r>
    </w:p>
    <w:p w14:paraId="73C57B7B">
      <w:pPr>
        <w:pStyle w:val="19"/>
        <w:ind w:firstLine="480"/>
        <w:rPr>
          <w:rFonts w:hint="eastAsia"/>
          <w:sz w:val="24"/>
          <w:szCs w:val="24"/>
        </w:rPr>
      </w:pPr>
      <w:r>
        <w:rPr>
          <w:rFonts w:hint="eastAsia"/>
          <w:sz w:val="24"/>
          <w:szCs w:val="24"/>
        </w:rPr>
        <w:t>智慧赋能提升交通运行和管理水平。鼓励互联网、5G、区块链、物联网等智慧交通新技术在示范区应用推广，提高交通运行、管理效益，提升智慧出行服务 便捷性、体验度。一是构建交通基础设施数字底座，加快智慧交通基础设施建设。二是共建示范区智慧交通监测和管理系统，并加强与周边区域的信息交互共享，增强城市交通拥堵预测、交通资源调度能力，建立大数据支撑的决策与规划体系。三是推进示范区智慧出行服务系统建设，支持MaaS等智慧出行服务系统和示范区综合交通APP应用等系统建设，持续完善示范区交通运输政务服务“一网通办”，提升政务服务能力水平。</w:t>
      </w:r>
    </w:p>
    <w:p w14:paraId="3278B2AE">
      <w:pPr>
        <w:pStyle w:val="19"/>
        <w:ind w:firstLine="480"/>
        <w:rPr>
          <w:rFonts w:hint="eastAsia"/>
          <w:sz w:val="24"/>
          <w:szCs w:val="24"/>
        </w:rPr>
      </w:pPr>
      <w:r>
        <w:rPr>
          <w:rFonts w:hint="eastAsia"/>
          <w:sz w:val="24"/>
          <w:szCs w:val="24"/>
        </w:rPr>
        <w:t>创新交通协同治理新模式。积极探索在规划建设、运维养护、监管执法等方面的跨区域协同治理机制创新。一是按照“规划同图、质量同规、建管同推、进度同步”的原则，落实交通规划建设全过程管理，加强规划衔接，协同建设标准，完善项目实施沟通协调机制，保障方案落地实施。二是推动建立示范区交通基础设施检测、评价、养护的高质量一体化标准体系，统筹考虑设计、施工、运营等各环节，打通数据、技术、管理链路，实现基础设施全生命周期综合效益最优。三是加快构建以信用为基础的新型监管机制，积极推进交通监管、执法信息数据共享和标准互认，深入推进“互联网+监管”，完善执法联动协调机制，在客货运输重点领域加强常态化联合执法。</w:t>
      </w:r>
    </w:p>
    <w:p w14:paraId="7E9D6379">
      <w:pPr>
        <w:pStyle w:val="19"/>
        <w:ind w:firstLine="480"/>
        <w:rPr>
          <w:rFonts w:hint="eastAsia"/>
          <w:sz w:val="24"/>
          <w:szCs w:val="24"/>
        </w:rPr>
      </w:pPr>
      <w:r>
        <w:rPr>
          <w:rFonts w:hint="eastAsia"/>
          <w:sz w:val="24"/>
          <w:szCs w:val="24"/>
        </w:rPr>
        <w:t>11）《上海交通数字化转型实施意见（2024-2026）》（沪交科〔2024〕206号）</w:t>
      </w:r>
    </w:p>
    <w:p w14:paraId="31CDD9D4">
      <w:pPr>
        <w:pStyle w:val="19"/>
        <w:ind w:firstLine="480"/>
        <w:rPr>
          <w:rFonts w:hint="eastAsia"/>
          <w:sz w:val="24"/>
          <w:szCs w:val="24"/>
        </w:rPr>
      </w:pPr>
      <w:r>
        <w:rPr>
          <w:rFonts w:hint="eastAsia"/>
          <w:sz w:val="24"/>
          <w:szCs w:val="24"/>
        </w:rPr>
        <w:t>构建交通行业数据资源知识体系。开展交通行业数据规划设计，以业务为导向，形成统一架构、统一标准的交通行业数据资源情报化技术、数据资源融合技术、数据质量评估指标、数据公共服务产品模型等，建立交通行业数据资源知识体系。</w:t>
      </w:r>
    </w:p>
    <w:p w14:paraId="5B61D81C">
      <w:pPr>
        <w:pStyle w:val="19"/>
        <w:ind w:firstLine="480"/>
        <w:rPr>
          <w:rFonts w:hint="eastAsia"/>
          <w:sz w:val="24"/>
          <w:szCs w:val="24"/>
        </w:rPr>
      </w:pPr>
      <w:r>
        <w:rPr>
          <w:rFonts w:hint="eastAsia"/>
          <w:sz w:val="24"/>
          <w:szCs w:val="24"/>
        </w:rPr>
        <w:t>深化交通行业数据融合组织治理。基于交通行业业务要素对象，开展数据融合组织治理。通过梳理数据之间的业务关联，从逻辑上打通“数据孤岛”，形成跨系统、跨业务、跨部门的立体数据知识图谱。梳理数据血缘，以业务视角实现数据质量监测溯源，提高数据可用性。</w:t>
      </w:r>
    </w:p>
    <w:p w14:paraId="01EE6B72">
      <w:pPr>
        <w:pStyle w:val="19"/>
        <w:ind w:firstLine="480"/>
        <w:rPr>
          <w:rFonts w:hint="eastAsia"/>
          <w:sz w:val="24"/>
          <w:szCs w:val="24"/>
        </w:rPr>
      </w:pPr>
      <w:r>
        <w:rPr>
          <w:rFonts w:hint="eastAsia"/>
          <w:sz w:val="24"/>
          <w:szCs w:val="24"/>
        </w:rPr>
        <w:t>强化交通行业数据融合计算能力。基于交通数据融合治理，面向交通行业业务要素对象，建立通用档案体系、态势指标体系以及分析预警体系；充分运用大数据、区块链等新技术，深度关联融合多源异构数据资源，实现多分析引擎的全耦合协同计算，提供数据建模、知识图谱、指标可视化等通用能力，为交通精细化管理、智敏化服务提供强大数据驱动能力。</w:t>
      </w:r>
    </w:p>
    <w:p w14:paraId="3DC8B5FC">
      <w:pPr>
        <w:pStyle w:val="19"/>
        <w:ind w:firstLine="480"/>
        <w:rPr>
          <w:rFonts w:hint="eastAsia"/>
          <w:sz w:val="24"/>
          <w:szCs w:val="24"/>
        </w:rPr>
      </w:pPr>
      <w:r>
        <w:rPr>
          <w:rFonts w:hint="eastAsia"/>
          <w:sz w:val="24"/>
          <w:szCs w:val="24"/>
        </w:rPr>
        <w:t>建立交通行业数据融合服务体系。结合交通实战应用，打造业务化、资产化、服务化的交通数据融合体系，提供查询类、分析类、比对订阅类等融合数据服务产品，实现通用数据服务能力封装，大幅提升数据应用及场景创新的效率；以数据融合服务支撑业务融会贯通，支撑跨系统、跨业态、跨部门的智慧交通综合应用场景孵化。</w:t>
      </w:r>
    </w:p>
    <w:p w14:paraId="05308BEA">
      <w:pPr>
        <w:pStyle w:val="19"/>
        <w:ind w:firstLine="480"/>
        <w:rPr>
          <w:rFonts w:hint="eastAsia"/>
          <w:sz w:val="24"/>
          <w:szCs w:val="24"/>
        </w:rPr>
      </w:pPr>
      <w:r>
        <w:rPr>
          <w:rFonts w:hint="eastAsia"/>
          <w:sz w:val="24"/>
          <w:szCs w:val="24"/>
        </w:rPr>
        <w:t>深化数字基建建设。搭建部件级高精度地图，并与全市“一张图”相互赋能。</w:t>
      </w:r>
    </w:p>
    <w:p w14:paraId="059660B0">
      <w:pPr>
        <w:pStyle w:val="19"/>
        <w:ind w:firstLine="480"/>
        <w:rPr>
          <w:rFonts w:hint="eastAsia"/>
          <w:sz w:val="24"/>
          <w:szCs w:val="24"/>
        </w:rPr>
      </w:pPr>
      <w:r>
        <w:rPr>
          <w:rFonts w:hint="eastAsia"/>
          <w:sz w:val="24"/>
          <w:szCs w:val="24"/>
        </w:rPr>
        <w:t>12）《上海市促进城市数字化转型的若干政策措施》（沪发改规范〔2021〕8号）</w:t>
      </w:r>
    </w:p>
    <w:p w14:paraId="072E178F">
      <w:pPr>
        <w:pStyle w:val="19"/>
        <w:ind w:firstLine="480"/>
        <w:rPr>
          <w:rFonts w:hint="eastAsia"/>
          <w:sz w:val="24"/>
          <w:szCs w:val="24"/>
        </w:rPr>
      </w:pPr>
      <w:r>
        <w:rPr>
          <w:rFonts w:hint="eastAsia"/>
          <w:sz w:val="24"/>
          <w:szCs w:val="24"/>
        </w:rPr>
        <w:t>推进交通出行数字化升级。探索政企联合机制，推进上海出行即服务(Maas)系统建设，完善数据归集共享和推进统一支付模式。探索建立全市停车位分时共享在线签约机制，结合智慧物业建设将具备条件的住宅小区停车泊位动态信息接入市级公共停车信息平台，允许业主、物业公司、停车平台三方通过书面约定方式对外共享泊位，推动社区内停车设施错峰共享开放。在重点区域继续开放一批自动驾驶开放测试道路。</w:t>
      </w:r>
    </w:p>
    <w:p w14:paraId="20A4E3D6">
      <w:pPr>
        <w:pStyle w:val="19"/>
        <w:ind w:firstLine="480"/>
        <w:rPr>
          <w:rFonts w:hint="eastAsia"/>
          <w:sz w:val="24"/>
          <w:szCs w:val="24"/>
        </w:rPr>
      </w:pPr>
      <w:r>
        <w:rPr>
          <w:rFonts w:hint="eastAsia"/>
          <w:sz w:val="24"/>
          <w:szCs w:val="24"/>
        </w:rPr>
        <w:t>13）《上海市交通领域科技创新发展行动计划》（沪交科〔2024〕41 号）</w:t>
      </w:r>
    </w:p>
    <w:p w14:paraId="516E01CE">
      <w:pPr>
        <w:pStyle w:val="19"/>
        <w:ind w:firstLine="480"/>
        <w:rPr>
          <w:rFonts w:hint="eastAsia"/>
          <w:sz w:val="24"/>
          <w:szCs w:val="24"/>
        </w:rPr>
      </w:pPr>
      <w:r>
        <w:rPr>
          <w:rFonts w:hint="eastAsia"/>
          <w:sz w:val="24"/>
          <w:szCs w:val="24"/>
        </w:rPr>
        <w:t>以数字化、网络化、智能化为主攻方向，大力发展智慧交通。坚持数据资源赋能交通发展，构建综合交通大数据体系。推动大数据、人工智能、数字孪生、云计算、物联网、区块链等新一代信息技术与交通运输行业深度融合。</w:t>
      </w:r>
    </w:p>
    <w:p w14:paraId="0C8F31AF">
      <w:pPr>
        <w:pStyle w:val="19"/>
        <w:ind w:firstLine="480"/>
        <w:rPr>
          <w:rFonts w:hint="eastAsia"/>
          <w:sz w:val="24"/>
          <w:szCs w:val="24"/>
        </w:rPr>
      </w:pPr>
      <w:r>
        <w:rPr>
          <w:rFonts w:hint="eastAsia"/>
          <w:sz w:val="24"/>
          <w:szCs w:val="24"/>
        </w:rPr>
        <w:t>14）《长三角地区公路水路交通基础设施数字化转型升级示范通道建设合作协议》（上海市交通委员会、江苏省交通运输厅、浙江省交通运输厅、安徽省交通运输厅，2024年6月）</w:t>
      </w:r>
    </w:p>
    <w:p w14:paraId="751F7619">
      <w:pPr>
        <w:pStyle w:val="19"/>
        <w:ind w:firstLine="480"/>
        <w:rPr>
          <w:rFonts w:hint="eastAsia"/>
          <w:sz w:val="24"/>
          <w:szCs w:val="24"/>
        </w:rPr>
      </w:pPr>
      <w:r>
        <w:rPr>
          <w:rFonts w:hint="eastAsia"/>
          <w:sz w:val="24"/>
          <w:szCs w:val="24"/>
        </w:rPr>
        <w:t>建立健全跨区域数据共享应用机制，协同推进示范通道及网络间的数据汇聚共享和开发开放，统一示范通道之间技术与服务标准，统筹授权使用和管理</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56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1"/>
        <w:szCs w:val="21"/>
      </w:rPr>
    </w:sdtEndPr>
    <w:sdtContent>
      <w:p w14:paraId="39A233A2">
        <w:pPr>
          <w:pStyle w:val="9"/>
          <w:ind w:firstLine="360"/>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249B31F">
    <w:pPr>
      <w:pStyle w:val="9"/>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65D1">
    <w:pPr>
      <w:pStyle w:val="9"/>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6393">
    <w:pPr>
      <w:ind w:firstLine="0" w:firstLineChars="0"/>
      <w:jc w:val="center"/>
      <w:rPr>
        <w:rFonts w:hint="eastAsia"/>
        <w:sz w:val="21"/>
        <w:szCs w:val="21"/>
      </w:rPr>
    </w:pPr>
    <w:r>
      <w:rPr>
        <w:sz w:val="21"/>
        <w:szCs w:val="21"/>
        <w:lang w:val="zh-CN"/>
      </w:rPr>
      <w:fldChar w:fldCharType="begin"/>
    </w:r>
    <w:r>
      <w:rPr>
        <w:sz w:val="21"/>
        <w:szCs w:val="21"/>
        <w:lang w:val="zh-CN"/>
      </w:rPr>
      <w:instrText xml:space="preserve">PAGE   \* MERGEFORMAT</w:instrText>
    </w:r>
    <w:r>
      <w:rPr>
        <w:sz w:val="21"/>
        <w:szCs w:val="21"/>
        <w:lang w:val="zh-CN"/>
      </w:rPr>
      <w:fldChar w:fldCharType="separate"/>
    </w:r>
    <w:r>
      <w:rPr>
        <w:sz w:val="21"/>
        <w:szCs w:val="21"/>
        <w:lang w:val="zh-CN"/>
      </w:rPr>
      <w:t>1</w:t>
    </w:r>
    <w:r>
      <w:rPr>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1C398">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FEA6">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C88D">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3B40"/>
    <w:multiLevelType w:val="singleLevel"/>
    <w:tmpl w:val="83E93B40"/>
    <w:lvl w:ilvl="0" w:tentative="0">
      <w:start w:val="1"/>
      <w:numFmt w:val="decimal"/>
      <w:lvlText w:val="%1)"/>
      <w:lvlJc w:val="left"/>
      <w:pPr>
        <w:ind w:left="425" w:hanging="425"/>
      </w:pPr>
      <w:rPr>
        <w:rFonts w:hint="default"/>
      </w:rPr>
    </w:lvl>
  </w:abstractNum>
  <w:abstractNum w:abstractNumId="1">
    <w:nsid w:val="A63C4C05"/>
    <w:multiLevelType w:val="singleLevel"/>
    <w:tmpl w:val="A63C4C05"/>
    <w:lvl w:ilvl="0" w:tentative="0">
      <w:start w:val="1"/>
      <w:numFmt w:val="decimal"/>
      <w:lvlText w:val="%1)"/>
      <w:lvlJc w:val="left"/>
      <w:pPr>
        <w:ind w:left="425" w:hanging="425"/>
      </w:pPr>
      <w:rPr>
        <w:rFonts w:hint="default"/>
      </w:rPr>
    </w:lvl>
  </w:abstractNum>
  <w:abstractNum w:abstractNumId="2">
    <w:nsid w:val="A8DD15B3"/>
    <w:multiLevelType w:val="singleLevel"/>
    <w:tmpl w:val="A8DD15B3"/>
    <w:lvl w:ilvl="0" w:tentative="0">
      <w:start w:val="1"/>
      <w:numFmt w:val="decimal"/>
      <w:lvlText w:val="%1)"/>
      <w:lvlJc w:val="left"/>
      <w:pPr>
        <w:ind w:left="425" w:hanging="425"/>
      </w:pPr>
      <w:rPr>
        <w:rFonts w:hint="default"/>
      </w:rPr>
    </w:lvl>
  </w:abstractNum>
  <w:abstractNum w:abstractNumId="3">
    <w:nsid w:val="AFE38A1E"/>
    <w:multiLevelType w:val="singleLevel"/>
    <w:tmpl w:val="AFE38A1E"/>
    <w:lvl w:ilvl="0" w:tentative="0">
      <w:start w:val="1"/>
      <w:numFmt w:val="decimal"/>
      <w:suff w:val="nothing"/>
      <w:lvlText w:val="%1）"/>
      <w:lvlJc w:val="left"/>
    </w:lvl>
  </w:abstractNum>
  <w:abstractNum w:abstractNumId="4">
    <w:nsid w:val="4623D617"/>
    <w:multiLevelType w:val="singleLevel"/>
    <w:tmpl w:val="4623D617"/>
    <w:lvl w:ilvl="0" w:tentative="0">
      <w:start w:val="1"/>
      <w:numFmt w:val="decimal"/>
      <w:lvlText w:val="%1)"/>
      <w:lvlJc w:val="left"/>
      <w:pPr>
        <w:ind w:left="425" w:hanging="425"/>
      </w:pPr>
      <w:rPr>
        <w:rFonts w:hint="default"/>
      </w:rPr>
    </w:lvl>
  </w:abstractNum>
  <w:abstractNum w:abstractNumId="5">
    <w:nsid w:val="4A3B9DE4"/>
    <w:multiLevelType w:val="singleLevel"/>
    <w:tmpl w:val="4A3B9DE4"/>
    <w:lvl w:ilvl="0" w:tentative="0">
      <w:start w:val="1"/>
      <w:numFmt w:val="decimal"/>
      <w:lvlText w:val="(%1)"/>
      <w:lvlJc w:val="left"/>
      <w:pPr>
        <w:ind w:left="1277" w:hanging="425"/>
      </w:pPr>
      <w:rPr>
        <w:rFonts w:hint="default"/>
      </w:rPr>
    </w:lvl>
  </w:abstractNum>
  <w:abstractNum w:abstractNumId="6">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7">
    <w:nsid w:val="76D5FEC9"/>
    <w:multiLevelType w:val="singleLevel"/>
    <w:tmpl w:val="76D5FEC9"/>
    <w:lvl w:ilvl="0" w:tentative="0">
      <w:start w:val="1"/>
      <w:numFmt w:val="decimal"/>
      <w:lvlText w:val="(%1)"/>
      <w:lvlJc w:val="left"/>
      <w:pPr>
        <w:ind w:left="425" w:hanging="425"/>
      </w:pPr>
      <w:rPr>
        <w:rFonts w:hint="default"/>
      </w:rPr>
    </w:lvl>
  </w:abstractNum>
  <w:num w:numId="1">
    <w:abstractNumId w:val="6"/>
  </w:num>
  <w:num w:numId="2">
    <w:abstractNumId w:val="2"/>
  </w:num>
  <w:num w:numId="3">
    <w:abstractNumId w:val="4"/>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YmIxNzI4ZGQ3ZWQ1ZDA0YzA0YjM3YjI4NzdkMWUifQ=="/>
  </w:docVars>
  <w:rsids>
    <w:rsidRoot w:val="00172A27"/>
    <w:rsid w:val="000255B9"/>
    <w:rsid w:val="00043405"/>
    <w:rsid w:val="000541E3"/>
    <w:rsid w:val="00061152"/>
    <w:rsid w:val="0007192A"/>
    <w:rsid w:val="00071E5D"/>
    <w:rsid w:val="000927BF"/>
    <w:rsid w:val="000C4F71"/>
    <w:rsid w:val="000D13D0"/>
    <w:rsid w:val="000F02EE"/>
    <w:rsid w:val="0011448C"/>
    <w:rsid w:val="001369E3"/>
    <w:rsid w:val="00152496"/>
    <w:rsid w:val="00166F75"/>
    <w:rsid w:val="001705C2"/>
    <w:rsid w:val="00172A27"/>
    <w:rsid w:val="00173D07"/>
    <w:rsid w:val="0017727F"/>
    <w:rsid w:val="00193CD5"/>
    <w:rsid w:val="001A678A"/>
    <w:rsid w:val="001B1A57"/>
    <w:rsid w:val="001B7A2F"/>
    <w:rsid w:val="001C7FFB"/>
    <w:rsid w:val="001D3FA7"/>
    <w:rsid w:val="001E4300"/>
    <w:rsid w:val="001E6EEA"/>
    <w:rsid w:val="00207790"/>
    <w:rsid w:val="002200BA"/>
    <w:rsid w:val="00246026"/>
    <w:rsid w:val="002523C7"/>
    <w:rsid w:val="002817B0"/>
    <w:rsid w:val="00284904"/>
    <w:rsid w:val="002973D5"/>
    <w:rsid w:val="002A5094"/>
    <w:rsid w:val="002A6BAB"/>
    <w:rsid w:val="002C0D80"/>
    <w:rsid w:val="002D1E27"/>
    <w:rsid w:val="003010D6"/>
    <w:rsid w:val="0030393E"/>
    <w:rsid w:val="00304D41"/>
    <w:rsid w:val="0030651A"/>
    <w:rsid w:val="00310EAE"/>
    <w:rsid w:val="003172E0"/>
    <w:rsid w:val="00322B82"/>
    <w:rsid w:val="003256D5"/>
    <w:rsid w:val="00334040"/>
    <w:rsid w:val="00340728"/>
    <w:rsid w:val="00354DBC"/>
    <w:rsid w:val="00360090"/>
    <w:rsid w:val="00365B1A"/>
    <w:rsid w:val="00375197"/>
    <w:rsid w:val="00383A4E"/>
    <w:rsid w:val="0039282B"/>
    <w:rsid w:val="003934BC"/>
    <w:rsid w:val="003C3A3C"/>
    <w:rsid w:val="003C59F7"/>
    <w:rsid w:val="003C6079"/>
    <w:rsid w:val="003D2A62"/>
    <w:rsid w:val="003F1377"/>
    <w:rsid w:val="003F600C"/>
    <w:rsid w:val="003F61EC"/>
    <w:rsid w:val="00406279"/>
    <w:rsid w:val="00413FF2"/>
    <w:rsid w:val="0045030B"/>
    <w:rsid w:val="00464FCA"/>
    <w:rsid w:val="004A3949"/>
    <w:rsid w:val="004A64A9"/>
    <w:rsid w:val="004B00B8"/>
    <w:rsid w:val="004D485C"/>
    <w:rsid w:val="004E31D3"/>
    <w:rsid w:val="004E684E"/>
    <w:rsid w:val="004E7413"/>
    <w:rsid w:val="004F13E5"/>
    <w:rsid w:val="004F50EB"/>
    <w:rsid w:val="004F6A10"/>
    <w:rsid w:val="00500453"/>
    <w:rsid w:val="0050281D"/>
    <w:rsid w:val="005047FA"/>
    <w:rsid w:val="00512CA6"/>
    <w:rsid w:val="005152FE"/>
    <w:rsid w:val="005568FA"/>
    <w:rsid w:val="00580F31"/>
    <w:rsid w:val="0058695F"/>
    <w:rsid w:val="00591DE0"/>
    <w:rsid w:val="005B0310"/>
    <w:rsid w:val="005C3E8A"/>
    <w:rsid w:val="005C76BC"/>
    <w:rsid w:val="005D11FA"/>
    <w:rsid w:val="005D7072"/>
    <w:rsid w:val="005E0620"/>
    <w:rsid w:val="005E4B3A"/>
    <w:rsid w:val="005E5889"/>
    <w:rsid w:val="005E79AF"/>
    <w:rsid w:val="006066C2"/>
    <w:rsid w:val="0061111E"/>
    <w:rsid w:val="00614045"/>
    <w:rsid w:val="00630652"/>
    <w:rsid w:val="00635219"/>
    <w:rsid w:val="0063535D"/>
    <w:rsid w:val="0064450C"/>
    <w:rsid w:val="006464E3"/>
    <w:rsid w:val="006709EB"/>
    <w:rsid w:val="006A2C00"/>
    <w:rsid w:val="006C3F0D"/>
    <w:rsid w:val="006D776A"/>
    <w:rsid w:val="006F1B85"/>
    <w:rsid w:val="007004C4"/>
    <w:rsid w:val="00716F37"/>
    <w:rsid w:val="00723721"/>
    <w:rsid w:val="00734BB9"/>
    <w:rsid w:val="00740C2B"/>
    <w:rsid w:val="00767A80"/>
    <w:rsid w:val="00771180"/>
    <w:rsid w:val="007814F0"/>
    <w:rsid w:val="007864B7"/>
    <w:rsid w:val="0079217E"/>
    <w:rsid w:val="007B688F"/>
    <w:rsid w:val="007C1F21"/>
    <w:rsid w:val="007D3160"/>
    <w:rsid w:val="007D666E"/>
    <w:rsid w:val="007F6CB1"/>
    <w:rsid w:val="00861BFE"/>
    <w:rsid w:val="00870F78"/>
    <w:rsid w:val="008710BA"/>
    <w:rsid w:val="00880EDF"/>
    <w:rsid w:val="008A0CBE"/>
    <w:rsid w:val="008A5EF0"/>
    <w:rsid w:val="008B0774"/>
    <w:rsid w:val="008B4A13"/>
    <w:rsid w:val="008D05AF"/>
    <w:rsid w:val="008D7B73"/>
    <w:rsid w:val="008E1CD0"/>
    <w:rsid w:val="00906174"/>
    <w:rsid w:val="00910B00"/>
    <w:rsid w:val="009128CB"/>
    <w:rsid w:val="0091521A"/>
    <w:rsid w:val="00916F47"/>
    <w:rsid w:val="00923143"/>
    <w:rsid w:val="00926ECF"/>
    <w:rsid w:val="009522D5"/>
    <w:rsid w:val="009664F9"/>
    <w:rsid w:val="009C664C"/>
    <w:rsid w:val="009D608F"/>
    <w:rsid w:val="009E1FA6"/>
    <w:rsid w:val="00A13537"/>
    <w:rsid w:val="00A30D1F"/>
    <w:rsid w:val="00A32DF3"/>
    <w:rsid w:val="00A427AA"/>
    <w:rsid w:val="00A470E7"/>
    <w:rsid w:val="00A50F1B"/>
    <w:rsid w:val="00A704CA"/>
    <w:rsid w:val="00A75285"/>
    <w:rsid w:val="00A82B6D"/>
    <w:rsid w:val="00A8746C"/>
    <w:rsid w:val="00A95A97"/>
    <w:rsid w:val="00AA3C13"/>
    <w:rsid w:val="00AC390A"/>
    <w:rsid w:val="00AD4329"/>
    <w:rsid w:val="00AE3340"/>
    <w:rsid w:val="00AE5B41"/>
    <w:rsid w:val="00AF0175"/>
    <w:rsid w:val="00AF37F1"/>
    <w:rsid w:val="00B050BC"/>
    <w:rsid w:val="00B11677"/>
    <w:rsid w:val="00B252F9"/>
    <w:rsid w:val="00B42EB4"/>
    <w:rsid w:val="00B452E6"/>
    <w:rsid w:val="00B52BB7"/>
    <w:rsid w:val="00B7252E"/>
    <w:rsid w:val="00B93A30"/>
    <w:rsid w:val="00B95186"/>
    <w:rsid w:val="00BA4275"/>
    <w:rsid w:val="00BC34B8"/>
    <w:rsid w:val="00BD622A"/>
    <w:rsid w:val="00C027AC"/>
    <w:rsid w:val="00C23DC5"/>
    <w:rsid w:val="00C30A0E"/>
    <w:rsid w:val="00C44A21"/>
    <w:rsid w:val="00C55BA6"/>
    <w:rsid w:val="00C822EE"/>
    <w:rsid w:val="00C8347C"/>
    <w:rsid w:val="00CB125B"/>
    <w:rsid w:val="00CB562E"/>
    <w:rsid w:val="00CC7C7A"/>
    <w:rsid w:val="00CE3816"/>
    <w:rsid w:val="00D15C72"/>
    <w:rsid w:val="00D23559"/>
    <w:rsid w:val="00D27F52"/>
    <w:rsid w:val="00D44D3B"/>
    <w:rsid w:val="00D44ED1"/>
    <w:rsid w:val="00D46915"/>
    <w:rsid w:val="00D469B0"/>
    <w:rsid w:val="00D50C7A"/>
    <w:rsid w:val="00D55F96"/>
    <w:rsid w:val="00D62D52"/>
    <w:rsid w:val="00D644BD"/>
    <w:rsid w:val="00D64995"/>
    <w:rsid w:val="00D652A9"/>
    <w:rsid w:val="00D715E2"/>
    <w:rsid w:val="00DA5409"/>
    <w:rsid w:val="00DA58A8"/>
    <w:rsid w:val="00DA6181"/>
    <w:rsid w:val="00DB0650"/>
    <w:rsid w:val="00DB492C"/>
    <w:rsid w:val="00DB6B7E"/>
    <w:rsid w:val="00DD4DAD"/>
    <w:rsid w:val="00DD5D7A"/>
    <w:rsid w:val="00DE42CF"/>
    <w:rsid w:val="00DF5CB1"/>
    <w:rsid w:val="00E01082"/>
    <w:rsid w:val="00E6115F"/>
    <w:rsid w:val="00EA4B42"/>
    <w:rsid w:val="00EB0130"/>
    <w:rsid w:val="00EC3A7C"/>
    <w:rsid w:val="00EE0D1F"/>
    <w:rsid w:val="00EE1A27"/>
    <w:rsid w:val="00F00E45"/>
    <w:rsid w:val="00F05D03"/>
    <w:rsid w:val="00F609D3"/>
    <w:rsid w:val="00F612ED"/>
    <w:rsid w:val="00F759AD"/>
    <w:rsid w:val="00F97761"/>
    <w:rsid w:val="00FC6FB1"/>
    <w:rsid w:val="00FC783E"/>
    <w:rsid w:val="00FD7F4E"/>
    <w:rsid w:val="00FE0B02"/>
    <w:rsid w:val="00FE22D7"/>
    <w:rsid w:val="00FE4169"/>
    <w:rsid w:val="00FF1EA2"/>
    <w:rsid w:val="01822573"/>
    <w:rsid w:val="01951417"/>
    <w:rsid w:val="02D92666"/>
    <w:rsid w:val="03526B1C"/>
    <w:rsid w:val="035E700F"/>
    <w:rsid w:val="04AE1D1F"/>
    <w:rsid w:val="04FE1B17"/>
    <w:rsid w:val="055A6779"/>
    <w:rsid w:val="055C757F"/>
    <w:rsid w:val="05DB4947"/>
    <w:rsid w:val="05DC70CF"/>
    <w:rsid w:val="06175254"/>
    <w:rsid w:val="06314567"/>
    <w:rsid w:val="069845E6"/>
    <w:rsid w:val="06F751F2"/>
    <w:rsid w:val="07AF7E3A"/>
    <w:rsid w:val="0828199A"/>
    <w:rsid w:val="085B58CB"/>
    <w:rsid w:val="09633791"/>
    <w:rsid w:val="09B434E5"/>
    <w:rsid w:val="0A0D4DE4"/>
    <w:rsid w:val="0B3760FD"/>
    <w:rsid w:val="0B64718D"/>
    <w:rsid w:val="0B73117E"/>
    <w:rsid w:val="0BA53A7B"/>
    <w:rsid w:val="0BD47045"/>
    <w:rsid w:val="0BF02AE0"/>
    <w:rsid w:val="0CEF2A86"/>
    <w:rsid w:val="0DBD1298"/>
    <w:rsid w:val="0E0439E0"/>
    <w:rsid w:val="0EE41B4B"/>
    <w:rsid w:val="0FED0B54"/>
    <w:rsid w:val="109641B0"/>
    <w:rsid w:val="10AD6EE0"/>
    <w:rsid w:val="11903E8B"/>
    <w:rsid w:val="11DA3D05"/>
    <w:rsid w:val="11F12DFD"/>
    <w:rsid w:val="11F46F07"/>
    <w:rsid w:val="122B630F"/>
    <w:rsid w:val="12AB744F"/>
    <w:rsid w:val="12C50511"/>
    <w:rsid w:val="12DE15D3"/>
    <w:rsid w:val="13182813"/>
    <w:rsid w:val="13CE5AEB"/>
    <w:rsid w:val="13E36F2F"/>
    <w:rsid w:val="14A439B7"/>
    <w:rsid w:val="1542409B"/>
    <w:rsid w:val="157E0E4B"/>
    <w:rsid w:val="16104199"/>
    <w:rsid w:val="169564AB"/>
    <w:rsid w:val="16E55626"/>
    <w:rsid w:val="17345C65"/>
    <w:rsid w:val="1752433D"/>
    <w:rsid w:val="1824217E"/>
    <w:rsid w:val="189C2352"/>
    <w:rsid w:val="18A24E51"/>
    <w:rsid w:val="18D42859"/>
    <w:rsid w:val="18DD2DCE"/>
    <w:rsid w:val="18FF4D4D"/>
    <w:rsid w:val="194D74B2"/>
    <w:rsid w:val="194F6D87"/>
    <w:rsid w:val="19B337B9"/>
    <w:rsid w:val="19BB4AC7"/>
    <w:rsid w:val="1A4C32C6"/>
    <w:rsid w:val="1AC75042"/>
    <w:rsid w:val="1B014DDE"/>
    <w:rsid w:val="1B544B28"/>
    <w:rsid w:val="1B662AAD"/>
    <w:rsid w:val="1CA7512B"/>
    <w:rsid w:val="1D230C56"/>
    <w:rsid w:val="1D57445C"/>
    <w:rsid w:val="1DB64010"/>
    <w:rsid w:val="1DC33948"/>
    <w:rsid w:val="1E4048B0"/>
    <w:rsid w:val="1EA935DA"/>
    <w:rsid w:val="1EB90B3B"/>
    <w:rsid w:val="1EC91389"/>
    <w:rsid w:val="1ED41ADC"/>
    <w:rsid w:val="1EFF3D83"/>
    <w:rsid w:val="1FF97D48"/>
    <w:rsid w:val="208C2D42"/>
    <w:rsid w:val="20E424AA"/>
    <w:rsid w:val="20EF6517"/>
    <w:rsid w:val="211D68E2"/>
    <w:rsid w:val="21355AE9"/>
    <w:rsid w:val="21817CF9"/>
    <w:rsid w:val="21AA59CA"/>
    <w:rsid w:val="21EF7359"/>
    <w:rsid w:val="21F20BF7"/>
    <w:rsid w:val="21FC7CDC"/>
    <w:rsid w:val="21FE57EE"/>
    <w:rsid w:val="2237485C"/>
    <w:rsid w:val="22A81B63"/>
    <w:rsid w:val="22DC0E41"/>
    <w:rsid w:val="230D296B"/>
    <w:rsid w:val="23290648"/>
    <w:rsid w:val="23841D23"/>
    <w:rsid w:val="23F70746"/>
    <w:rsid w:val="245B6F27"/>
    <w:rsid w:val="246833F2"/>
    <w:rsid w:val="24DE5462"/>
    <w:rsid w:val="24E72569"/>
    <w:rsid w:val="25554CBD"/>
    <w:rsid w:val="25B01F9A"/>
    <w:rsid w:val="25DC7BF4"/>
    <w:rsid w:val="26435EC5"/>
    <w:rsid w:val="27673E35"/>
    <w:rsid w:val="277420AE"/>
    <w:rsid w:val="27C50CF8"/>
    <w:rsid w:val="27FA4721"/>
    <w:rsid w:val="28060F58"/>
    <w:rsid w:val="283D11EB"/>
    <w:rsid w:val="2879797C"/>
    <w:rsid w:val="288843CB"/>
    <w:rsid w:val="29D30704"/>
    <w:rsid w:val="29DA269C"/>
    <w:rsid w:val="29F94A91"/>
    <w:rsid w:val="2A043BBD"/>
    <w:rsid w:val="2A8C30D1"/>
    <w:rsid w:val="2AEA7A1E"/>
    <w:rsid w:val="2B773623"/>
    <w:rsid w:val="2BF832AE"/>
    <w:rsid w:val="2C1F18FB"/>
    <w:rsid w:val="2CA156F3"/>
    <w:rsid w:val="2CA23219"/>
    <w:rsid w:val="2CA64AB8"/>
    <w:rsid w:val="2CCD4121"/>
    <w:rsid w:val="2D261C60"/>
    <w:rsid w:val="2DFA19C5"/>
    <w:rsid w:val="2E0A2E2E"/>
    <w:rsid w:val="2E3C1B78"/>
    <w:rsid w:val="2F735CB0"/>
    <w:rsid w:val="2FE45DAC"/>
    <w:rsid w:val="2FF124EE"/>
    <w:rsid w:val="303B24C1"/>
    <w:rsid w:val="304A60B1"/>
    <w:rsid w:val="30A13F14"/>
    <w:rsid w:val="30BC4F6F"/>
    <w:rsid w:val="30DE08DF"/>
    <w:rsid w:val="310B7270"/>
    <w:rsid w:val="3127060C"/>
    <w:rsid w:val="315C2F87"/>
    <w:rsid w:val="31AF440F"/>
    <w:rsid w:val="31D976DD"/>
    <w:rsid w:val="31E3230A"/>
    <w:rsid w:val="31E57E30"/>
    <w:rsid w:val="31EC5F04"/>
    <w:rsid w:val="32021DF4"/>
    <w:rsid w:val="323352EB"/>
    <w:rsid w:val="323F1C36"/>
    <w:rsid w:val="3271353A"/>
    <w:rsid w:val="32735A2B"/>
    <w:rsid w:val="329F581D"/>
    <w:rsid w:val="32AC6BA0"/>
    <w:rsid w:val="32F64DF6"/>
    <w:rsid w:val="33090705"/>
    <w:rsid w:val="332F6F63"/>
    <w:rsid w:val="33C148CD"/>
    <w:rsid w:val="35067B90"/>
    <w:rsid w:val="35216856"/>
    <w:rsid w:val="359D0A43"/>
    <w:rsid w:val="35FB5206"/>
    <w:rsid w:val="361956CA"/>
    <w:rsid w:val="363D6E7C"/>
    <w:rsid w:val="366FBCFE"/>
    <w:rsid w:val="36B67FED"/>
    <w:rsid w:val="37092813"/>
    <w:rsid w:val="371B0654"/>
    <w:rsid w:val="38565474"/>
    <w:rsid w:val="388B4628"/>
    <w:rsid w:val="38C84008"/>
    <w:rsid w:val="38FB3881"/>
    <w:rsid w:val="3A0D57FE"/>
    <w:rsid w:val="3ABE77D1"/>
    <w:rsid w:val="3B1D688D"/>
    <w:rsid w:val="3BB865B6"/>
    <w:rsid w:val="3C1C1FF6"/>
    <w:rsid w:val="3C1F35BD"/>
    <w:rsid w:val="3CA4693B"/>
    <w:rsid w:val="3CAC0CAD"/>
    <w:rsid w:val="3CB11983"/>
    <w:rsid w:val="3CBFE8B9"/>
    <w:rsid w:val="3D510A70"/>
    <w:rsid w:val="3D5E4F3B"/>
    <w:rsid w:val="3D7F0D82"/>
    <w:rsid w:val="3DF81E9B"/>
    <w:rsid w:val="3E1A5306"/>
    <w:rsid w:val="3E5D44B7"/>
    <w:rsid w:val="3E7E023F"/>
    <w:rsid w:val="3ECF4342"/>
    <w:rsid w:val="3EF75DF8"/>
    <w:rsid w:val="3F450CE4"/>
    <w:rsid w:val="3F4D34B9"/>
    <w:rsid w:val="3FC03C8B"/>
    <w:rsid w:val="3FD112A5"/>
    <w:rsid w:val="401F6C03"/>
    <w:rsid w:val="403B0335"/>
    <w:rsid w:val="405F34A4"/>
    <w:rsid w:val="40916FFB"/>
    <w:rsid w:val="4109577D"/>
    <w:rsid w:val="41184C11"/>
    <w:rsid w:val="41511BF9"/>
    <w:rsid w:val="418A2779"/>
    <w:rsid w:val="41C970DA"/>
    <w:rsid w:val="421F738E"/>
    <w:rsid w:val="42250F90"/>
    <w:rsid w:val="425019B9"/>
    <w:rsid w:val="42997141"/>
    <w:rsid w:val="42AC6666"/>
    <w:rsid w:val="42E671F0"/>
    <w:rsid w:val="439B7793"/>
    <w:rsid w:val="43F839F3"/>
    <w:rsid w:val="44366C11"/>
    <w:rsid w:val="444446A9"/>
    <w:rsid w:val="44A43B7B"/>
    <w:rsid w:val="44C9538F"/>
    <w:rsid w:val="44F71EFD"/>
    <w:rsid w:val="4505447F"/>
    <w:rsid w:val="45437838"/>
    <w:rsid w:val="454910CB"/>
    <w:rsid w:val="465657A1"/>
    <w:rsid w:val="465E7D59"/>
    <w:rsid w:val="46DA7431"/>
    <w:rsid w:val="46F62F14"/>
    <w:rsid w:val="474B6530"/>
    <w:rsid w:val="474D22A8"/>
    <w:rsid w:val="479562A5"/>
    <w:rsid w:val="48583935"/>
    <w:rsid w:val="4860600B"/>
    <w:rsid w:val="486A19AF"/>
    <w:rsid w:val="48F02237"/>
    <w:rsid w:val="48FB7E69"/>
    <w:rsid w:val="49000B79"/>
    <w:rsid w:val="49321B27"/>
    <w:rsid w:val="49AC73ED"/>
    <w:rsid w:val="4AB077B7"/>
    <w:rsid w:val="4B0729A6"/>
    <w:rsid w:val="4BD034A7"/>
    <w:rsid w:val="4BD50ABE"/>
    <w:rsid w:val="4BE01E4D"/>
    <w:rsid w:val="4C1930A0"/>
    <w:rsid w:val="4C83676C"/>
    <w:rsid w:val="4CBB7CB4"/>
    <w:rsid w:val="4CFB09F8"/>
    <w:rsid w:val="4D04259F"/>
    <w:rsid w:val="4D0C2386"/>
    <w:rsid w:val="4D155616"/>
    <w:rsid w:val="4E262CDC"/>
    <w:rsid w:val="4E3F78BF"/>
    <w:rsid w:val="4E77341A"/>
    <w:rsid w:val="4F764366"/>
    <w:rsid w:val="4FBC6550"/>
    <w:rsid w:val="4FE17A31"/>
    <w:rsid w:val="50BD3178"/>
    <w:rsid w:val="50E377D9"/>
    <w:rsid w:val="510A2FB8"/>
    <w:rsid w:val="511E7C4B"/>
    <w:rsid w:val="51644DBE"/>
    <w:rsid w:val="520420FD"/>
    <w:rsid w:val="52116FAB"/>
    <w:rsid w:val="52505342"/>
    <w:rsid w:val="525B461A"/>
    <w:rsid w:val="527C6CFC"/>
    <w:rsid w:val="529A4B46"/>
    <w:rsid w:val="5325232B"/>
    <w:rsid w:val="534B730A"/>
    <w:rsid w:val="53690469"/>
    <w:rsid w:val="5401574F"/>
    <w:rsid w:val="54565BC5"/>
    <w:rsid w:val="545C6276"/>
    <w:rsid w:val="5494305C"/>
    <w:rsid w:val="54972DB4"/>
    <w:rsid w:val="54AD082A"/>
    <w:rsid w:val="54B43966"/>
    <w:rsid w:val="550D3076"/>
    <w:rsid w:val="55482300"/>
    <w:rsid w:val="55B30584"/>
    <w:rsid w:val="55DD40A2"/>
    <w:rsid w:val="561346BC"/>
    <w:rsid w:val="565F0D59"/>
    <w:rsid w:val="56710565"/>
    <w:rsid w:val="5697709C"/>
    <w:rsid w:val="57163389"/>
    <w:rsid w:val="571701DC"/>
    <w:rsid w:val="58A261CC"/>
    <w:rsid w:val="58B03C1E"/>
    <w:rsid w:val="592D1F39"/>
    <w:rsid w:val="595E6596"/>
    <w:rsid w:val="59DB4A60"/>
    <w:rsid w:val="5A9D0881"/>
    <w:rsid w:val="5BC62F1F"/>
    <w:rsid w:val="5BD7618C"/>
    <w:rsid w:val="5C7C60BE"/>
    <w:rsid w:val="5C8136A8"/>
    <w:rsid w:val="5D97319B"/>
    <w:rsid w:val="5E850121"/>
    <w:rsid w:val="5F105C3D"/>
    <w:rsid w:val="5F3A715E"/>
    <w:rsid w:val="5F61293D"/>
    <w:rsid w:val="60437B90"/>
    <w:rsid w:val="6154366A"/>
    <w:rsid w:val="61771E55"/>
    <w:rsid w:val="61FC694D"/>
    <w:rsid w:val="620B6B90"/>
    <w:rsid w:val="62467BC8"/>
    <w:rsid w:val="631D3C14"/>
    <w:rsid w:val="632C5010"/>
    <w:rsid w:val="6360570C"/>
    <w:rsid w:val="63636DBE"/>
    <w:rsid w:val="637F5A87"/>
    <w:rsid w:val="63EC757A"/>
    <w:rsid w:val="641F4B74"/>
    <w:rsid w:val="645D785C"/>
    <w:rsid w:val="64607667"/>
    <w:rsid w:val="64896CC1"/>
    <w:rsid w:val="6558033E"/>
    <w:rsid w:val="65D327C2"/>
    <w:rsid w:val="65DC4ACB"/>
    <w:rsid w:val="664C5761"/>
    <w:rsid w:val="66994FCA"/>
    <w:rsid w:val="66F45E44"/>
    <w:rsid w:val="676C1E7F"/>
    <w:rsid w:val="67825B46"/>
    <w:rsid w:val="67CB129B"/>
    <w:rsid w:val="68353951"/>
    <w:rsid w:val="688812DE"/>
    <w:rsid w:val="688B4AEC"/>
    <w:rsid w:val="68CE02CC"/>
    <w:rsid w:val="690F0E48"/>
    <w:rsid w:val="69C95A2B"/>
    <w:rsid w:val="6A3325D6"/>
    <w:rsid w:val="6A9E67F3"/>
    <w:rsid w:val="6B03434F"/>
    <w:rsid w:val="6B3E1D84"/>
    <w:rsid w:val="6B410F2A"/>
    <w:rsid w:val="6B686E01"/>
    <w:rsid w:val="6B730FCE"/>
    <w:rsid w:val="6BC95AF1"/>
    <w:rsid w:val="6C20025C"/>
    <w:rsid w:val="6C450B69"/>
    <w:rsid w:val="6CD01102"/>
    <w:rsid w:val="6CD742C5"/>
    <w:rsid w:val="6D6F4477"/>
    <w:rsid w:val="6D901BA0"/>
    <w:rsid w:val="6DAD71D2"/>
    <w:rsid w:val="6DDD69F5"/>
    <w:rsid w:val="6E380D0C"/>
    <w:rsid w:val="6E884566"/>
    <w:rsid w:val="6E9D4EEF"/>
    <w:rsid w:val="6EED7D49"/>
    <w:rsid w:val="6EFA5D3A"/>
    <w:rsid w:val="6F15104E"/>
    <w:rsid w:val="6F2511F6"/>
    <w:rsid w:val="6FBB6026"/>
    <w:rsid w:val="6FC211D5"/>
    <w:rsid w:val="709A41CE"/>
    <w:rsid w:val="70F52EE5"/>
    <w:rsid w:val="71267542"/>
    <w:rsid w:val="718451D9"/>
    <w:rsid w:val="71D147B7"/>
    <w:rsid w:val="7284400C"/>
    <w:rsid w:val="728A4531"/>
    <w:rsid w:val="72A645F5"/>
    <w:rsid w:val="72D8486C"/>
    <w:rsid w:val="72F01BB6"/>
    <w:rsid w:val="741144D9"/>
    <w:rsid w:val="747F7695"/>
    <w:rsid w:val="74FF27AA"/>
    <w:rsid w:val="751145F2"/>
    <w:rsid w:val="75343637"/>
    <w:rsid w:val="75750A98"/>
    <w:rsid w:val="757E559B"/>
    <w:rsid w:val="75866801"/>
    <w:rsid w:val="75DC0B17"/>
    <w:rsid w:val="75F0011F"/>
    <w:rsid w:val="75F7FAF9"/>
    <w:rsid w:val="763C06A2"/>
    <w:rsid w:val="766A7ED1"/>
    <w:rsid w:val="76B64EC4"/>
    <w:rsid w:val="76BB24DB"/>
    <w:rsid w:val="76DA5057"/>
    <w:rsid w:val="771BE506"/>
    <w:rsid w:val="772462D2"/>
    <w:rsid w:val="772A7F25"/>
    <w:rsid w:val="77346AF9"/>
    <w:rsid w:val="77444BC6"/>
    <w:rsid w:val="7784110D"/>
    <w:rsid w:val="77D221D2"/>
    <w:rsid w:val="784F737E"/>
    <w:rsid w:val="78847AC6"/>
    <w:rsid w:val="797D616D"/>
    <w:rsid w:val="79BC1EC7"/>
    <w:rsid w:val="79CE33EF"/>
    <w:rsid w:val="79D641DC"/>
    <w:rsid w:val="79DD20B7"/>
    <w:rsid w:val="7A1545F8"/>
    <w:rsid w:val="7A392094"/>
    <w:rsid w:val="7A3A629B"/>
    <w:rsid w:val="7A7B490C"/>
    <w:rsid w:val="7B407452"/>
    <w:rsid w:val="7B801512"/>
    <w:rsid w:val="7B8A691F"/>
    <w:rsid w:val="7B98103C"/>
    <w:rsid w:val="7BBD0AA3"/>
    <w:rsid w:val="7C30396B"/>
    <w:rsid w:val="7CB84A1D"/>
    <w:rsid w:val="7CC7607D"/>
    <w:rsid w:val="7DED1B13"/>
    <w:rsid w:val="7E447259"/>
    <w:rsid w:val="7E637DC9"/>
    <w:rsid w:val="7EB85D4B"/>
    <w:rsid w:val="7EF90044"/>
    <w:rsid w:val="853D2B6E"/>
    <w:rsid w:val="D17968DA"/>
    <w:rsid w:val="EED58C73"/>
    <w:rsid w:val="EF9B2F2C"/>
    <w:rsid w:val="F3BD4D43"/>
    <w:rsid w:val="FF2F43E6"/>
    <w:rsid w:val="FFEFF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unhideWhenUsed/>
    <w:qFormat/>
    <w:uiPriority w:val="0"/>
    <w:pPr>
      <w:keepNext/>
      <w:keepLines/>
      <w:spacing w:before="260" w:after="260" w:line="413" w:lineRule="auto"/>
      <w:outlineLvl w:val="2"/>
    </w:pPr>
    <w:rPr>
      <w:b/>
      <w:sz w:val="30"/>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4"/>
    <w:qFormat/>
    <w:uiPriority w:val="0"/>
    <w:pPr>
      <w:jc w:val="left"/>
    </w:pPr>
  </w:style>
  <w:style w:type="paragraph" w:styleId="8">
    <w:name w:val="Body Text"/>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9">
    <w:name w:val="footer"/>
    <w:basedOn w:val="1"/>
    <w:link w:val="48"/>
    <w:qFormat/>
    <w:uiPriority w:val="99"/>
    <w:pPr>
      <w:tabs>
        <w:tab w:val="center" w:pos="4153"/>
        <w:tab w:val="right" w:pos="8306"/>
      </w:tabs>
      <w:snapToGrid w:val="0"/>
      <w:spacing w:line="240" w:lineRule="auto"/>
      <w:jc w:val="left"/>
    </w:pPr>
    <w:rPr>
      <w:sz w:val="18"/>
      <w:szCs w:val="18"/>
    </w:rPr>
  </w:style>
  <w:style w:type="paragraph" w:styleId="10">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11">
    <w:name w:val="annotation subject"/>
    <w:basedOn w:val="7"/>
    <w:next w:val="7"/>
    <w:link w:val="25"/>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unhideWhenUsed/>
    <w:qFormat/>
    <w:uiPriority w:val="99"/>
    <w:rPr>
      <w:color w:val="954F72"/>
      <w:u w:val="single"/>
    </w:rPr>
  </w:style>
  <w:style w:type="character" w:styleId="16">
    <w:name w:val="Hyperlink"/>
    <w:basedOn w:val="14"/>
    <w:unhideWhenUsed/>
    <w:qFormat/>
    <w:uiPriority w:val="99"/>
    <w:rPr>
      <w:color w:val="0563C1"/>
      <w:u w:val="single"/>
    </w:rPr>
  </w:style>
  <w:style w:type="character" w:styleId="17">
    <w:name w:val="annotation reference"/>
    <w:basedOn w:val="14"/>
    <w:qFormat/>
    <w:uiPriority w:val="0"/>
    <w:rPr>
      <w:sz w:val="21"/>
      <w:szCs w:val="21"/>
    </w:rPr>
  </w:style>
  <w:style w:type="paragraph" w:customStyle="1" w:styleId="18">
    <w:name w:val="正文缩进1"/>
    <w:basedOn w:val="1"/>
    <w:qFormat/>
    <w:uiPriority w:val="0"/>
    <w:pPr>
      <w:spacing w:line="240" w:lineRule="auto"/>
      <w:ind w:firstLine="420"/>
    </w:pPr>
    <w:rPr>
      <w:rFonts w:ascii="Times New Roman" w:hAnsi="Times New Roman"/>
      <w:sz w:val="21"/>
      <w:szCs w:val="20"/>
    </w:rPr>
  </w:style>
  <w:style w:type="paragraph" w:customStyle="1" w:styleId="19">
    <w:name w:val="正文正文2"/>
    <w:basedOn w:val="1"/>
    <w:qFormat/>
    <w:uiPriority w:val="0"/>
    <w:pPr>
      <w:ind w:firstLine="460"/>
    </w:pPr>
    <w:rPr>
      <w:sz w:val="21"/>
      <w:szCs w:val="21"/>
    </w:rPr>
  </w:style>
  <w:style w:type="paragraph" w:customStyle="1" w:styleId="20">
    <w:name w:val="正文123"/>
    <w:basedOn w:val="21"/>
    <w:qFormat/>
    <w:uiPriority w:val="0"/>
    <w:pPr>
      <w:adjustRightInd w:val="0"/>
      <w:snapToGrid w:val="0"/>
    </w:pPr>
    <w:rPr>
      <w:rFonts w:ascii="仿宋" w:hAnsi="仿宋" w:eastAsia="仿宋" w:cs="仿宋_GB2312"/>
      <w:szCs w:val="28"/>
    </w:rPr>
  </w:style>
  <w:style w:type="paragraph" w:customStyle="1" w:styleId="21">
    <w:name w:val="方案正文"/>
    <w:basedOn w:val="1"/>
    <w:qFormat/>
    <w:uiPriority w:val="0"/>
    <w:rPr>
      <w:rFonts w:ascii="Times New Roman" w:hAnsi="Times New Roman" w:eastAsia="仿宋_GB2312"/>
      <w:szCs w:val="21"/>
    </w:rPr>
  </w:style>
  <w:style w:type="character" w:customStyle="1" w:styleId="22">
    <w:name w:val="font41"/>
    <w:basedOn w:val="14"/>
    <w:qFormat/>
    <w:uiPriority w:val="0"/>
    <w:rPr>
      <w:rFonts w:hint="default" w:ascii="仿宋_GB2312" w:eastAsia="仿宋_GB2312" w:cs="仿宋_GB2312"/>
      <w:color w:val="000000"/>
      <w:sz w:val="24"/>
      <w:szCs w:val="24"/>
      <w:u w:val="none"/>
    </w:rPr>
  </w:style>
  <w:style w:type="character" w:customStyle="1" w:styleId="23">
    <w:name w:val="font61"/>
    <w:basedOn w:val="14"/>
    <w:qFormat/>
    <w:uiPriority w:val="0"/>
    <w:rPr>
      <w:rFonts w:hint="default" w:ascii="仿宋_GB2312" w:eastAsia="仿宋_GB2312" w:cs="仿宋_GB2312"/>
      <w:color w:val="FF0000"/>
      <w:sz w:val="24"/>
      <w:szCs w:val="24"/>
      <w:u w:val="none"/>
    </w:rPr>
  </w:style>
  <w:style w:type="character" w:customStyle="1" w:styleId="24">
    <w:name w:val="批注文字 字符"/>
    <w:basedOn w:val="14"/>
    <w:link w:val="7"/>
    <w:qFormat/>
    <w:uiPriority w:val="0"/>
    <w:rPr>
      <w:rFonts w:ascii="宋体" w:hAnsi="宋体"/>
      <w:kern w:val="2"/>
      <w:sz w:val="24"/>
      <w:szCs w:val="24"/>
    </w:rPr>
  </w:style>
  <w:style w:type="character" w:customStyle="1" w:styleId="25">
    <w:name w:val="批注主题 字符"/>
    <w:basedOn w:val="24"/>
    <w:link w:val="11"/>
    <w:qFormat/>
    <w:uiPriority w:val="0"/>
    <w:rPr>
      <w:rFonts w:ascii="宋体" w:hAnsi="宋体"/>
      <w:b/>
      <w:bCs/>
      <w:kern w:val="2"/>
      <w:sz w:val="24"/>
      <w:szCs w:val="24"/>
    </w:rPr>
  </w:style>
  <w:style w:type="paragraph" w:styleId="26">
    <w:name w:val="List Paragraph"/>
    <w:basedOn w:val="1"/>
    <w:unhideWhenUsed/>
    <w:qFormat/>
    <w:uiPriority w:val="99"/>
    <w:pPr>
      <w:ind w:firstLine="420"/>
    </w:pPr>
  </w:style>
  <w:style w:type="paragraph" w:customStyle="1" w:styleId="27">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28">
    <w:name w:val="font5"/>
    <w:basedOn w:val="1"/>
    <w:qFormat/>
    <w:uiPriority w:val="0"/>
    <w:pPr>
      <w:widowControl/>
      <w:spacing w:before="100" w:beforeAutospacing="1" w:after="100" w:afterAutospacing="1" w:line="240" w:lineRule="auto"/>
      <w:ind w:firstLine="0" w:firstLineChars="0"/>
      <w:jc w:val="left"/>
    </w:pPr>
    <w:rPr>
      <w:rFonts w:cs="宋体"/>
      <w:kern w:val="0"/>
      <w:sz w:val="18"/>
      <w:szCs w:val="18"/>
    </w:rPr>
  </w:style>
  <w:style w:type="paragraph" w:customStyle="1" w:styleId="29">
    <w:name w:val="font6"/>
    <w:basedOn w:val="1"/>
    <w:qFormat/>
    <w:uiPriority w:val="0"/>
    <w:pPr>
      <w:widowControl/>
      <w:spacing w:before="100" w:beforeAutospacing="1" w:after="100" w:afterAutospacing="1" w:line="240" w:lineRule="auto"/>
      <w:ind w:firstLine="0" w:firstLineChars="0"/>
      <w:jc w:val="left"/>
    </w:pPr>
    <w:rPr>
      <w:rFonts w:cs="宋体"/>
      <w:color w:val="000000"/>
      <w:kern w:val="0"/>
      <w:sz w:val="22"/>
      <w:szCs w:val="22"/>
    </w:rPr>
  </w:style>
  <w:style w:type="paragraph" w:customStyle="1" w:styleId="30">
    <w:name w:val="font7"/>
    <w:basedOn w:val="1"/>
    <w:qFormat/>
    <w:uiPriority w:val="0"/>
    <w:pPr>
      <w:widowControl/>
      <w:spacing w:before="100" w:beforeAutospacing="1" w:after="100" w:afterAutospacing="1" w:line="240" w:lineRule="auto"/>
      <w:ind w:firstLine="0" w:firstLineChars="0"/>
      <w:jc w:val="left"/>
    </w:pPr>
    <w:rPr>
      <w:rFonts w:ascii="Tahoma" w:hAnsi="Tahoma" w:cs="Tahoma"/>
      <w:color w:val="000000"/>
      <w:kern w:val="0"/>
      <w:sz w:val="22"/>
      <w:szCs w:val="22"/>
    </w:rPr>
  </w:style>
  <w:style w:type="paragraph" w:customStyle="1" w:styleId="31">
    <w:name w:val="font8"/>
    <w:basedOn w:val="1"/>
    <w:qFormat/>
    <w:uiPriority w:val="0"/>
    <w:pPr>
      <w:widowControl/>
      <w:spacing w:before="100" w:beforeAutospacing="1" w:after="100" w:afterAutospacing="1" w:line="240" w:lineRule="auto"/>
      <w:ind w:firstLine="0" w:firstLineChars="0"/>
      <w:jc w:val="left"/>
    </w:pPr>
    <w:rPr>
      <w:rFonts w:cs="宋体"/>
      <w:color w:val="000000"/>
      <w:kern w:val="0"/>
      <w:sz w:val="22"/>
      <w:szCs w:val="22"/>
    </w:rPr>
  </w:style>
  <w:style w:type="paragraph" w:customStyle="1" w:styleId="32">
    <w:name w:val="xl63"/>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33">
    <w:name w:val="xl64"/>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3F8FC"/>
      <w:spacing w:before="100" w:beforeAutospacing="1" w:after="100" w:afterAutospacing="1" w:line="240" w:lineRule="auto"/>
      <w:ind w:firstLine="0" w:firstLineChars="0"/>
      <w:jc w:val="center"/>
    </w:pPr>
    <w:rPr>
      <w:rFonts w:cs="宋体"/>
      <w:b/>
      <w:bCs/>
      <w:color w:val="000000"/>
      <w:kern w:val="0"/>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3F8FC"/>
      <w:spacing w:before="100" w:beforeAutospacing="1" w:after="100" w:afterAutospacing="1" w:line="240" w:lineRule="auto"/>
      <w:ind w:firstLine="0" w:firstLineChars="0"/>
      <w:jc w:val="left"/>
    </w:pPr>
    <w:rPr>
      <w:rFonts w:cs="宋体"/>
      <w:b/>
      <w:bCs/>
      <w:color w:val="000000"/>
      <w:kern w:val="0"/>
    </w:rPr>
  </w:style>
  <w:style w:type="paragraph" w:customStyle="1" w:styleId="36">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3F8FC"/>
      <w:spacing w:before="100" w:beforeAutospacing="1" w:after="100" w:afterAutospacing="1" w:line="240" w:lineRule="auto"/>
      <w:ind w:firstLine="0" w:firstLineChars="0"/>
      <w:jc w:val="center"/>
    </w:pPr>
    <w:rPr>
      <w:rFonts w:cs="宋体"/>
      <w:b/>
      <w:bCs/>
      <w:color w:val="000000"/>
      <w:kern w:val="0"/>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Tahoma" w:hAnsi="Tahoma" w:cs="Tahoma"/>
      <w:color w:val="000000"/>
      <w:kern w:val="0"/>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color w:val="000000"/>
      <w:kern w:val="0"/>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cs="宋体"/>
      <w:color w:val="000000"/>
      <w:kern w:val="0"/>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Tahoma" w:hAnsi="Tahoma" w:cs="Tahoma"/>
      <w:color w:val="000000"/>
      <w:kern w:val="0"/>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Tahoma" w:hAnsi="Tahoma" w:cs="Tahoma"/>
      <w:color w:val="000000"/>
      <w:kern w:val="0"/>
    </w:rPr>
  </w:style>
  <w:style w:type="character" w:customStyle="1" w:styleId="45">
    <w:name w:val="font21"/>
    <w:basedOn w:val="14"/>
    <w:qFormat/>
    <w:uiPriority w:val="0"/>
    <w:rPr>
      <w:rFonts w:ascii="宋体" w:hAnsi="宋体" w:eastAsia="宋体" w:cs="宋体"/>
      <w:color w:val="000000"/>
      <w:sz w:val="24"/>
      <w:szCs w:val="24"/>
      <w:u w:val="none"/>
    </w:rPr>
  </w:style>
  <w:style w:type="paragraph" w:customStyle="1" w:styleId="46">
    <w:name w:val="*正文"/>
    <w:basedOn w:val="1"/>
    <w:qFormat/>
    <w:uiPriority w:val="0"/>
    <w:pPr>
      <w:widowControl/>
      <w:ind w:firstLine="200"/>
      <w:contextualSpacing/>
    </w:pPr>
    <w:rPr>
      <w:rFonts w:ascii="time" w:hAnsi="time"/>
      <w:kern w:val="0"/>
      <w:lang w:bidi="en-US"/>
    </w:rPr>
  </w:style>
  <w:style w:type="character" w:customStyle="1" w:styleId="47">
    <w:name w:val="font31"/>
    <w:basedOn w:val="14"/>
    <w:qFormat/>
    <w:uiPriority w:val="0"/>
    <w:rPr>
      <w:rFonts w:hint="eastAsia" w:ascii="宋体" w:hAnsi="宋体" w:eastAsia="宋体" w:cs="宋体"/>
      <w:color w:val="000000"/>
      <w:sz w:val="21"/>
      <w:szCs w:val="21"/>
      <w:u w:val="none"/>
    </w:rPr>
  </w:style>
  <w:style w:type="character" w:customStyle="1" w:styleId="48">
    <w:name w:val="页脚 字符"/>
    <w:basedOn w:val="14"/>
    <w:link w:val="9"/>
    <w:qFormat/>
    <w:uiPriority w:val="99"/>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95</Pages>
  <Words>997</Words>
  <Characters>1025</Characters>
  <Lines>734</Lines>
  <Paragraphs>206</Paragraphs>
  <TotalTime>170</TotalTime>
  <ScaleCrop>false</ScaleCrop>
  <LinksUpToDate>false</LinksUpToDate>
  <CharactersWithSpaces>1025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2024-05-15T23:04:00Z</dcterms:created>
  <dc:creator>user</dc:creator>
  <cp:lastModifiedBy>李修辞</cp:lastModifiedBy>
  <dcterms:modified xsi:type="dcterms:W3CDTF">2026-05-29T14:44:47Z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365CD98A7EE94AF69E831D25982CF870_13</vt:lpwstr>
  </property>
  <property fmtid="{D5CDD505-2E9C-101B-9397-08002B2CF9AE}" pid="4" name="KSOTemplateDocerSaveRecord">
    <vt:lpwstr>eyJoZGlkIjoiOGE0ZmI5M2U3MWJlMzY2ZjgzYzRlNTBlZWYzMjc5NTkiLCJ1c2VySWQiOiI0MzIwNzIyNDcifQ==</vt:lpwstr>
  </property>
</Properties>
</file>