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313" w:line="360" w:lineRule="auto"/>
        <w:ind w:left="40" w:firstLine="851" w:firstLineChars="200"/>
        <w:jc w:val="center"/>
        <w:rPr>
          <w:b/>
          <w:bCs/>
          <w:color w:val="auto"/>
          <w:spacing w:val="12"/>
          <w:sz w:val="40"/>
          <w:szCs w:val="40"/>
        </w:rPr>
      </w:pPr>
      <w:r>
        <w:rPr>
          <w:rFonts w:hint="eastAsia"/>
          <w:b/>
          <w:bCs/>
          <w:color w:val="auto"/>
          <w:spacing w:val="12"/>
          <w:sz w:val="40"/>
          <w:szCs w:val="40"/>
        </w:rPr>
        <w:t>上海海事大学学生宿舍家具采购需求</w:t>
      </w:r>
    </w:p>
    <w:p>
      <w:pPr>
        <w:jc w:val="center"/>
        <w:rPr>
          <w:rFonts w:ascii="宋体" w:hAnsi="宋体" w:cs="宋体"/>
          <w:b/>
          <w:bCs/>
          <w:color w:val="auto"/>
          <w:kern w:val="2"/>
          <w:sz w:val="28"/>
          <w:szCs w:val="28"/>
        </w:rPr>
      </w:pPr>
    </w:p>
    <w:p>
      <w:pPr>
        <w:pStyle w:val="10"/>
        <w:spacing w:line="360" w:lineRule="auto"/>
        <w:rPr>
          <w:rFonts w:ascii="宋体" w:hAnsi="宋体"/>
          <w:b/>
          <w:bCs/>
          <w:color w:val="auto"/>
          <w:sz w:val="24"/>
          <w:szCs w:val="24"/>
        </w:rPr>
      </w:pPr>
      <w:r>
        <w:rPr>
          <w:rFonts w:hint="eastAsia" w:ascii="宋体" w:hAnsi="宋体"/>
          <w:b/>
          <w:bCs/>
          <w:color w:val="auto"/>
          <w:sz w:val="24"/>
          <w:szCs w:val="24"/>
        </w:rPr>
        <w:t>一、项目背景</w:t>
      </w:r>
    </w:p>
    <w:p>
      <w:pPr>
        <w:pStyle w:val="10"/>
        <w:spacing w:line="360" w:lineRule="auto"/>
        <w:ind w:firstLine="420" w:firstLineChars="200"/>
        <w:rPr>
          <w:rFonts w:ascii="宋体" w:hAnsi="宋体"/>
          <w:b/>
          <w:bCs/>
          <w:color w:val="auto"/>
          <w:sz w:val="24"/>
          <w:szCs w:val="24"/>
        </w:rPr>
      </w:pPr>
      <w:r>
        <w:rPr>
          <w:rFonts w:hint="eastAsia"/>
          <w:color w:val="auto"/>
        </w:rPr>
        <w:t>上海海事大学学生公寓44-45号楼旧宿舍家具更新。</w:t>
      </w:r>
    </w:p>
    <w:p>
      <w:pPr>
        <w:pStyle w:val="3"/>
        <w:spacing w:before="44" w:line="360" w:lineRule="auto"/>
        <w:ind w:left="50"/>
        <w:jc w:val="both"/>
        <w:rPr>
          <w:b/>
          <w:bCs/>
          <w:color w:val="auto"/>
          <w:sz w:val="21"/>
          <w:szCs w:val="21"/>
        </w:rPr>
      </w:pPr>
      <w:r>
        <w:rPr>
          <w:rFonts w:hint="eastAsia"/>
          <w:b/>
          <w:bCs/>
          <w:color w:val="auto"/>
          <w:sz w:val="21"/>
          <w:szCs w:val="21"/>
        </w:rPr>
        <w:t>二、需执行的国家相关标准、行业标准或其他标准、规范</w:t>
      </w:r>
    </w:p>
    <w:p>
      <w:pPr>
        <w:pStyle w:val="4"/>
        <w:ind w:firstLine="0" w:firstLineChars="0"/>
        <w:rPr>
          <w:color w:val="auto"/>
        </w:rPr>
      </w:pPr>
    </w:p>
    <w:p>
      <w:pPr>
        <w:pStyle w:val="6"/>
        <w:ind w:left="0" w:leftChars="0"/>
        <w:rPr>
          <w:rFonts w:ascii="宋体" w:hAnsi="宋体" w:cs="宋体"/>
          <w:b/>
          <w:bCs/>
          <w:color w:val="auto"/>
          <w:sz w:val="21"/>
          <w:szCs w:val="21"/>
        </w:rPr>
      </w:pPr>
      <w:bookmarkStart w:id="0" w:name="_Toc25898_WPSOffice_Level2"/>
      <w:bookmarkStart w:id="1" w:name="_Toc8379"/>
      <w:r>
        <w:rPr>
          <w:rFonts w:hint="eastAsia" w:ascii="宋体" w:hAnsi="宋体" w:cs="宋体"/>
          <w:b/>
          <w:bCs/>
          <w:color w:val="auto"/>
          <w:sz w:val="21"/>
          <w:szCs w:val="21"/>
        </w:rPr>
        <w:t>（一）强制性标准</w:t>
      </w:r>
      <w:r>
        <w:rPr>
          <w:rFonts w:hint="eastAsia" w:ascii="Times New Roman" w:hAnsi="Times New Roman" w:cs="Times New Roman"/>
          <w:color w:val="auto"/>
          <w:sz w:val="21"/>
          <w:szCs w:val="21"/>
        </w:rPr>
        <w:t>（若以下标准非最新标准，以公开的最新标准为准）</w:t>
      </w:r>
    </w:p>
    <w:p>
      <w:pPr>
        <w:pStyle w:val="6"/>
        <w:kinsoku/>
        <w:autoSpaceDE/>
        <w:autoSpaceDN/>
        <w:adjustRightInd/>
        <w:snapToGrid/>
        <w:ind w:left="0" w:leftChars="0" w:firstLine="420" w:firstLineChars="200"/>
        <w:textAlignment w:val="auto"/>
        <w:rPr>
          <w:rFonts w:ascii="宋体" w:hAnsi="宋体" w:cs="宋体"/>
          <w:snapToGrid/>
          <w:color w:val="auto"/>
          <w:sz w:val="21"/>
          <w:szCs w:val="21"/>
        </w:rPr>
      </w:pPr>
      <w:r>
        <w:rPr>
          <w:rFonts w:hint="eastAsia" w:ascii="宋体" w:hAnsi="宋体" w:cs="宋体"/>
          <w:snapToGrid/>
          <w:color w:val="auto"/>
          <w:sz w:val="21"/>
          <w:szCs w:val="21"/>
        </w:rPr>
        <w:t>GB 18584-2024《家具中有害物质限量》（强制标准，2025年7月1日实施）</w:t>
      </w:r>
    </w:p>
    <w:p>
      <w:pPr>
        <w:pStyle w:val="6"/>
        <w:kinsoku/>
        <w:autoSpaceDE/>
        <w:autoSpaceDN/>
        <w:adjustRightInd/>
        <w:snapToGrid/>
        <w:ind w:left="0" w:leftChars="0" w:firstLine="420" w:firstLineChars="200"/>
        <w:textAlignment w:val="auto"/>
        <w:rPr>
          <w:rFonts w:ascii="宋体" w:hAnsi="宋体" w:cs="宋体"/>
          <w:snapToGrid/>
          <w:color w:val="auto"/>
          <w:sz w:val="21"/>
          <w:szCs w:val="21"/>
        </w:rPr>
      </w:pPr>
      <w:r>
        <w:rPr>
          <w:rFonts w:hint="eastAsia" w:ascii="宋体" w:hAnsi="宋体" w:cs="宋体"/>
          <w:snapToGrid/>
          <w:color w:val="auto"/>
          <w:sz w:val="21"/>
          <w:szCs w:val="21"/>
        </w:rPr>
        <w:t>GB 28008-2024《家具结构安全技术规范》（强制标准，2025年7月1日实施）</w:t>
      </w:r>
    </w:p>
    <w:p>
      <w:pPr>
        <w:pStyle w:val="6"/>
        <w:kinsoku/>
        <w:autoSpaceDE/>
        <w:autoSpaceDN/>
        <w:adjustRightInd/>
        <w:snapToGrid/>
        <w:ind w:left="0" w:leftChars="0" w:firstLine="420" w:firstLineChars="200"/>
        <w:textAlignment w:val="auto"/>
        <w:rPr>
          <w:rFonts w:ascii="宋体" w:hAnsi="宋体" w:cs="宋体"/>
          <w:snapToGrid/>
          <w:color w:val="auto"/>
          <w:sz w:val="21"/>
          <w:szCs w:val="21"/>
        </w:rPr>
      </w:pPr>
      <w:r>
        <w:rPr>
          <w:rFonts w:hint="eastAsia" w:ascii="宋体" w:hAnsi="宋体" w:cs="宋体"/>
          <w:snapToGrid/>
          <w:color w:val="auto"/>
          <w:sz w:val="21"/>
          <w:szCs w:val="21"/>
        </w:rPr>
        <w:t>GB17927-2024《家具阻燃性能安全技术规范》（强制标准，2025年9月1日实施）</w:t>
      </w:r>
    </w:p>
    <w:p>
      <w:pPr>
        <w:pStyle w:val="6"/>
        <w:kinsoku/>
        <w:autoSpaceDE/>
        <w:autoSpaceDN/>
        <w:adjustRightInd/>
        <w:snapToGrid/>
        <w:ind w:left="0" w:leftChars="0" w:firstLine="420" w:firstLineChars="200"/>
        <w:textAlignment w:val="auto"/>
        <w:rPr>
          <w:rFonts w:ascii="宋体" w:hAnsi="宋体" w:cs="宋体"/>
          <w:snapToGrid/>
          <w:color w:val="auto"/>
          <w:sz w:val="21"/>
          <w:szCs w:val="21"/>
        </w:rPr>
      </w:pPr>
      <w:r>
        <w:rPr>
          <w:rFonts w:hint="eastAsia" w:ascii="宋体" w:hAnsi="宋体" w:cs="宋体"/>
          <w:snapToGrid/>
          <w:color w:val="auto"/>
          <w:sz w:val="21"/>
          <w:szCs w:val="21"/>
        </w:rPr>
        <w:t>GB 18583-2008 《室内装饰装修材料 胶粘剂中有害物质限量》；</w:t>
      </w:r>
    </w:p>
    <w:p>
      <w:pPr>
        <w:pStyle w:val="6"/>
        <w:kinsoku/>
        <w:autoSpaceDE/>
        <w:autoSpaceDN/>
        <w:adjustRightInd/>
        <w:snapToGrid/>
        <w:ind w:left="0" w:leftChars="0" w:firstLine="420" w:firstLineChars="200"/>
        <w:textAlignment w:val="auto"/>
        <w:rPr>
          <w:rFonts w:ascii="宋体" w:hAnsi="宋体" w:cs="宋体"/>
          <w:snapToGrid/>
          <w:color w:val="auto"/>
          <w:sz w:val="21"/>
          <w:szCs w:val="21"/>
        </w:rPr>
      </w:pPr>
      <w:r>
        <w:rPr>
          <w:rFonts w:hint="eastAsia" w:ascii="宋体" w:hAnsi="宋体" w:cs="宋体"/>
          <w:snapToGrid/>
          <w:color w:val="auto"/>
          <w:sz w:val="21"/>
          <w:szCs w:val="21"/>
        </w:rPr>
        <w:t>GB 6566-2010 《建筑材料放射性核素限量》；</w:t>
      </w:r>
    </w:p>
    <w:p>
      <w:pPr>
        <w:pStyle w:val="6"/>
        <w:kinsoku/>
        <w:autoSpaceDE/>
        <w:autoSpaceDN/>
        <w:adjustRightInd/>
        <w:snapToGrid/>
        <w:ind w:left="0" w:leftChars="0" w:firstLine="420" w:firstLineChars="200"/>
        <w:textAlignment w:val="auto"/>
        <w:rPr>
          <w:rFonts w:ascii="宋体" w:hAnsi="宋体" w:cs="宋体"/>
          <w:snapToGrid/>
          <w:color w:val="auto"/>
          <w:sz w:val="21"/>
          <w:szCs w:val="21"/>
        </w:rPr>
      </w:pPr>
      <w:r>
        <w:rPr>
          <w:rFonts w:hint="eastAsia" w:ascii="宋体" w:hAnsi="宋体" w:cs="宋体"/>
          <w:snapToGrid/>
          <w:color w:val="auto"/>
          <w:sz w:val="21"/>
          <w:szCs w:val="21"/>
        </w:rPr>
        <w:t>GB 18580-2025 《室内装饰装修材料人造板及其制品中甲醛释放限量》；</w:t>
      </w:r>
    </w:p>
    <w:p>
      <w:pPr>
        <w:pStyle w:val="6"/>
        <w:kinsoku/>
        <w:autoSpaceDE/>
        <w:autoSpaceDN/>
        <w:adjustRightInd/>
        <w:snapToGrid/>
        <w:ind w:left="0" w:leftChars="0" w:firstLine="420" w:firstLineChars="200"/>
        <w:textAlignment w:val="auto"/>
        <w:rPr>
          <w:rFonts w:ascii="宋体" w:hAnsi="宋体" w:cs="宋体"/>
          <w:color w:val="auto"/>
          <w:sz w:val="21"/>
          <w:szCs w:val="21"/>
        </w:rPr>
      </w:pPr>
      <w:r>
        <w:rPr>
          <w:rFonts w:hint="eastAsia" w:ascii="宋体" w:hAnsi="宋体" w:cs="宋体"/>
          <w:snapToGrid/>
          <w:color w:val="auto"/>
          <w:sz w:val="21"/>
          <w:szCs w:val="21"/>
        </w:rPr>
        <w:t>GB 18401-2010《国家纺织产品基本</w:t>
      </w:r>
      <w:r>
        <w:rPr>
          <w:rFonts w:hint="eastAsia" w:ascii="宋体" w:hAnsi="宋体" w:cs="宋体"/>
          <w:color w:val="auto"/>
          <w:sz w:val="21"/>
          <w:szCs w:val="21"/>
        </w:rPr>
        <w:t>安全技术规范》；</w:t>
      </w:r>
    </w:p>
    <w:p>
      <w:pPr>
        <w:pStyle w:val="6"/>
        <w:kinsoku/>
        <w:autoSpaceDE/>
        <w:autoSpaceDN/>
        <w:adjustRightInd/>
        <w:snapToGrid/>
        <w:ind w:left="0" w:leftChars="0" w:firstLine="420" w:firstLineChars="200"/>
        <w:textAlignment w:val="auto"/>
        <w:rPr>
          <w:rFonts w:ascii="宋体" w:hAnsi="宋体" w:cs="宋体"/>
          <w:snapToGrid/>
          <w:color w:val="auto"/>
          <w:sz w:val="21"/>
          <w:szCs w:val="21"/>
        </w:rPr>
      </w:pPr>
      <w:r>
        <w:rPr>
          <w:rFonts w:hint="eastAsia" w:ascii="宋体" w:hAnsi="宋体" w:cs="宋体"/>
          <w:snapToGrid/>
          <w:color w:val="auto"/>
          <w:sz w:val="21"/>
          <w:szCs w:val="21"/>
        </w:rPr>
        <w:t>GB 16799-2018《家具用皮革》；</w:t>
      </w:r>
    </w:p>
    <w:p>
      <w:pPr>
        <w:pStyle w:val="6"/>
        <w:kinsoku/>
        <w:autoSpaceDE/>
        <w:autoSpaceDN/>
        <w:adjustRightInd/>
        <w:snapToGrid/>
        <w:ind w:left="0" w:leftChars="0"/>
        <w:textAlignment w:val="auto"/>
        <w:rPr>
          <w:rFonts w:ascii="宋体" w:hAnsi="宋体" w:cs="宋体"/>
          <w:b/>
          <w:bCs/>
          <w:snapToGrid/>
          <w:color w:val="auto"/>
          <w:sz w:val="21"/>
          <w:szCs w:val="21"/>
        </w:rPr>
      </w:pPr>
      <w:r>
        <w:rPr>
          <w:rFonts w:hint="eastAsia" w:ascii="宋体" w:hAnsi="宋体" w:cs="宋体"/>
          <w:b/>
          <w:bCs/>
          <w:snapToGrid/>
          <w:color w:val="auto"/>
          <w:sz w:val="21"/>
          <w:szCs w:val="21"/>
        </w:rPr>
        <w:t>（二）质量及技术标准（若以下标准非最新标准，以公开的最新标准为准）</w:t>
      </w:r>
    </w:p>
    <w:p>
      <w:pPr>
        <w:pStyle w:val="6"/>
        <w:kinsoku/>
        <w:autoSpaceDE/>
        <w:autoSpaceDN/>
        <w:adjustRightInd/>
        <w:snapToGrid/>
        <w:ind w:left="0" w:leftChars="0" w:firstLine="420" w:firstLineChars="200"/>
        <w:textAlignment w:val="auto"/>
        <w:rPr>
          <w:rFonts w:ascii="宋体" w:hAnsi="宋体" w:cs="宋体"/>
          <w:snapToGrid/>
          <w:color w:val="auto"/>
          <w:sz w:val="21"/>
          <w:szCs w:val="21"/>
        </w:rPr>
      </w:pPr>
      <w:r>
        <w:rPr>
          <w:rFonts w:hint="eastAsia" w:ascii="宋体" w:hAnsi="宋体" w:cs="宋体"/>
          <w:snapToGrid/>
          <w:color w:val="auto"/>
          <w:sz w:val="21"/>
          <w:szCs w:val="21"/>
        </w:rPr>
        <w:t>重要标准：</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GB/T 35607-2024《绿色产品评价家具》；</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GB/T 3325-2024《金属家具通用技术条件》；</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GB/T 3324-2024《木家具通用技术条件》；</w:t>
      </w:r>
    </w:p>
    <w:p>
      <w:pPr>
        <w:pStyle w:val="6"/>
        <w:ind w:left="0" w:leftChars="0" w:firstLine="420" w:firstLineChars="200"/>
        <w:rPr>
          <w:color w:val="auto"/>
        </w:rPr>
      </w:pPr>
      <w:r>
        <w:rPr>
          <w:rFonts w:hint="eastAsia" w:ascii="Times New Roman" w:hAnsi="Times New Roman" w:cs="Times New Roman"/>
          <w:color w:val="auto"/>
          <w:sz w:val="21"/>
          <w:szCs w:val="21"/>
        </w:rPr>
        <w:t>其他标准：</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GB/T 15102-2017《浸渍胶膜纸饰面纤维板和刨花板》；</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GB/T 35601-2024《绿色产品评价人造板和木质地板》；</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GB/T 29525-2013《座椅升降气弹簧 技术条件》；</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GB/T 10802-2023《通用软质聚醚型聚氨酯泡沫塑料》；</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GB/T 35601-2024《绿色产品评价人造板和木质地板》；</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QB/T 2189-2013《家具五金 杯状暗铰链》；</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GB/T 11718-2021《中密度纤维板》；</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QB/T 1621-2015《家具锁》；</w:t>
      </w:r>
    </w:p>
    <w:p>
      <w:pPr>
        <w:pStyle w:val="6"/>
        <w:ind w:left="0" w:leftChars="0" w:firstLine="420" w:firstLineChars="200"/>
        <w:rPr>
          <w:rFonts w:ascii="宋体" w:hAnsi="宋体" w:cs="宋体"/>
          <w:b/>
          <w:bCs/>
          <w:color w:val="auto"/>
          <w:sz w:val="21"/>
          <w:szCs w:val="21"/>
        </w:rPr>
      </w:pPr>
      <w:r>
        <w:rPr>
          <w:rFonts w:hint="eastAsia" w:ascii="宋体" w:hAnsi="宋体" w:cs="宋体"/>
          <w:color w:val="auto"/>
          <w:sz w:val="21"/>
          <w:szCs w:val="21"/>
        </w:rPr>
        <w:t>QB/T 2454-2013 《家具五金抽屉导轨》；</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QB/T 4765-2014 《家具用脚轮》；</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QB/T 2280-2016《办公家具办公椅》；</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GB/T 39600-2021《人造板及其制品甲醛释放量分级》；</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GB T 34722-2025《浸渍胶膜纸饰面胶合板和细木工板》；</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GB/T 39600-2021《人造板及其制品甲醛释放量分级》；</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GB/T 39223.3-2020《健康家居的人类工效学要求第3部分:办公桌椅》；</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QB-T 4463-2025《家具用封边条技术要求》；</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QB/T2741-2013《学生公寓多功能家具》；</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GB 20286《公共场所阻燃制品及组件燃烧性能要求和标识》</w:t>
      </w:r>
    </w:p>
    <w:p>
      <w:pPr>
        <w:ind w:firstLine="422" w:firstLineChars="200"/>
        <w:rPr>
          <w:b/>
          <w:bCs/>
          <w:color w:val="auto"/>
        </w:rPr>
      </w:pPr>
      <w:r>
        <w:rPr>
          <w:rFonts w:hint="eastAsia"/>
          <w:b/>
          <w:bCs/>
          <w:color w:val="auto"/>
        </w:rPr>
        <w:t>及其他与本次采购的家具相关的现行最新标准；采购需求内所涉及到的标准若与现行标准冲突，均以现行的最新版本为准。</w:t>
      </w:r>
    </w:p>
    <w:p>
      <w:pPr>
        <w:pStyle w:val="6"/>
        <w:ind w:left="0" w:leftChars="0" w:firstLine="422" w:firstLineChars="200"/>
        <w:rPr>
          <w:rFonts w:ascii="宋体" w:hAnsi="宋体" w:cs="宋体"/>
          <w:b/>
          <w:bCs/>
          <w:color w:val="auto"/>
          <w:sz w:val="21"/>
          <w:szCs w:val="21"/>
        </w:rPr>
      </w:pPr>
    </w:p>
    <w:p>
      <w:pPr>
        <w:pStyle w:val="6"/>
        <w:ind w:left="0" w:leftChars="0" w:firstLine="422" w:firstLineChars="200"/>
        <w:rPr>
          <w:rFonts w:ascii="宋体" w:hAnsi="宋体" w:cs="宋体"/>
          <w:b/>
          <w:bCs/>
          <w:color w:val="auto"/>
          <w:sz w:val="21"/>
          <w:szCs w:val="21"/>
        </w:rPr>
      </w:pPr>
    </w:p>
    <w:bookmarkEnd w:id="0"/>
    <w:bookmarkEnd w:id="1"/>
    <w:p>
      <w:pPr>
        <w:pStyle w:val="6"/>
        <w:ind w:left="0" w:leftChars="0" w:firstLine="420" w:firstLineChars="200"/>
        <w:rPr>
          <w:rFonts w:ascii="宋体" w:hAnsi="宋体" w:cs="宋体"/>
          <w:color w:val="auto"/>
          <w:sz w:val="21"/>
          <w:szCs w:val="21"/>
        </w:rPr>
      </w:pPr>
    </w:p>
    <w:p>
      <w:pPr>
        <w:spacing w:before="120" w:line="360" w:lineRule="auto"/>
        <w:ind w:left="160"/>
        <w:outlineLvl w:val="6"/>
        <w:rPr>
          <w:rFonts w:ascii="宋体" w:hAnsi="宋体" w:cs="宋体"/>
          <w:color w:val="auto"/>
        </w:rPr>
      </w:pPr>
      <w:r>
        <w:rPr>
          <w:rFonts w:hint="eastAsia" w:ascii="宋体" w:hAnsi="宋体" w:cs="宋体"/>
          <w:color w:val="auto"/>
        </w:rPr>
        <w:t>三、</w:t>
      </w:r>
      <w:r>
        <w:rPr>
          <w:rFonts w:hint="eastAsia" w:ascii="宋体" w:hAnsi="宋体" w:cs="宋体"/>
          <w:b/>
          <w:bCs/>
          <w:color w:val="auto"/>
          <w:spacing w:val="-2"/>
        </w:rPr>
        <w:t>采购品目分类、参考样式、规格、基本组成、技术参数等要求</w:t>
      </w:r>
    </w:p>
    <w:tbl>
      <w:tblPr>
        <w:tblStyle w:val="11"/>
        <w:tblW w:w="4999" w:type="pct"/>
        <w:tblInd w:w="0" w:type="dxa"/>
        <w:tblLayout w:type="fixed"/>
        <w:tblCellMar>
          <w:top w:w="0" w:type="dxa"/>
          <w:left w:w="108" w:type="dxa"/>
          <w:bottom w:w="0" w:type="dxa"/>
          <w:right w:w="108" w:type="dxa"/>
        </w:tblCellMar>
      </w:tblPr>
      <w:tblGrid>
        <w:gridCol w:w="789"/>
        <w:gridCol w:w="1480"/>
        <w:gridCol w:w="2693"/>
        <w:gridCol w:w="2917"/>
        <w:gridCol w:w="870"/>
        <w:gridCol w:w="1160"/>
        <w:gridCol w:w="10514"/>
      </w:tblGrid>
      <w:tr>
        <w:tblPrEx>
          <w:tblCellMar>
            <w:top w:w="0" w:type="dxa"/>
            <w:left w:w="108" w:type="dxa"/>
            <w:bottom w:w="0" w:type="dxa"/>
            <w:right w:w="108" w:type="dxa"/>
          </w:tblCellMar>
        </w:tblPrEx>
        <w:trPr>
          <w:trHeight w:val="540" w:hRule="atLeast"/>
        </w:trPr>
        <w:tc>
          <w:tcPr>
            <w:tcW w:w="193" w:type="pct"/>
            <w:tcBorders>
              <w:top w:val="single" w:color="000000" w:sz="4" w:space="0"/>
              <w:left w:val="single" w:color="000000" w:sz="4" w:space="0"/>
              <w:bottom w:val="nil"/>
              <w:right w:val="single" w:color="000000" w:sz="4" w:space="0"/>
            </w:tcBorders>
            <w:shd w:val="clear" w:color="auto" w:fill="A6A6A6"/>
            <w:noWrap/>
            <w:vAlign w:val="center"/>
          </w:tcPr>
          <w:p>
            <w:pPr>
              <w:jc w:val="center"/>
              <w:textAlignment w:val="center"/>
              <w:rPr>
                <w:rFonts w:ascii="新宋体" w:hAnsi="新宋体" w:eastAsia="新宋体" w:cs="新宋体"/>
                <w:b/>
                <w:bCs/>
                <w:color w:val="auto"/>
                <w:sz w:val="28"/>
                <w:szCs w:val="28"/>
              </w:rPr>
            </w:pPr>
            <w:r>
              <w:rPr>
                <w:rFonts w:hint="eastAsia" w:ascii="新宋体" w:hAnsi="新宋体" w:eastAsia="新宋体" w:cs="新宋体"/>
                <w:b/>
                <w:bCs/>
                <w:color w:val="auto"/>
                <w:sz w:val="28"/>
                <w:szCs w:val="28"/>
              </w:rPr>
              <w:t>序号</w:t>
            </w:r>
          </w:p>
        </w:tc>
        <w:tc>
          <w:tcPr>
            <w:tcW w:w="362" w:type="pct"/>
            <w:tcBorders>
              <w:top w:val="single" w:color="000000" w:sz="4" w:space="0"/>
              <w:left w:val="single" w:color="000000" w:sz="4" w:space="0"/>
              <w:bottom w:val="nil"/>
              <w:right w:val="single" w:color="000000" w:sz="4" w:space="0"/>
            </w:tcBorders>
            <w:shd w:val="clear" w:color="auto" w:fill="A6A6A6"/>
            <w:noWrap/>
            <w:vAlign w:val="center"/>
          </w:tcPr>
          <w:p>
            <w:pPr>
              <w:jc w:val="center"/>
              <w:textAlignment w:val="center"/>
              <w:rPr>
                <w:rFonts w:ascii="新宋体" w:hAnsi="新宋体" w:eastAsia="新宋体" w:cs="新宋体"/>
                <w:b/>
                <w:bCs/>
                <w:color w:val="auto"/>
                <w:sz w:val="28"/>
                <w:szCs w:val="28"/>
              </w:rPr>
            </w:pPr>
            <w:r>
              <w:rPr>
                <w:rFonts w:hint="eastAsia" w:ascii="新宋体" w:hAnsi="新宋体" w:eastAsia="新宋体" w:cs="新宋体"/>
                <w:b/>
                <w:bCs/>
                <w:color w:val="auto"/>
                <w:sz w:val="28"/>
                <w:szCs w:val="28"/>
              </w:rPr>
              <w:t>品名</w:t>
            </w:r>
          </w:p>
        </w:tc>
        <w:tc>
          <w:tcPr>
            <w:tcW w:w="659" w:type="pct"/>
            <w:tcBorders>
              <w:top w:val="single" w:color="000000" w:sz="4" w:space="0"/>
              <w:left w:val="single" w:color="000000" w:sz="4" w:space="0"/>
              <w:bottom w:val="nil"/>
              <w:right w:val="single" w:color="000000" w:sz="4" w:space="0"/>
            </w:tcBorders>
            <w:shd w:val="clear" w:color="auto" w:fill="A6A6A6"/>
            <w:noWrap/>
            <w:vAlign w:val="center"/>
          </w:tcPr>
          <w:p>
            <w:pPr>
              <w:jc w:val="center"/>
              <w:textAlignment w:val="center"/>
              <w:rPr>
                <w:rFonts w:ascii="新宋体" w:hAnsi="新宋体" w:eastAsia="新宋体" w:cs="新宋体"/>
                <w:b/>
                <w:bCs/>
                <w:color w:val="auto"/>
                <w:sz w:val="28"/>
                <w:szCs w:val="28"/>
              </w:rPr>
            </w:pPr>
            <w:r>
              <w:rPr>
                <w:rStyle w:val="14"/>
                <w:rFonts w:hint="default"/>
                <w:color w:val="auto"/>
              </w:rPr>
              <w:t>规格</w:t>
            </w:r>
            <w:r>
              <w:rPr>
                <w:rStyle w:val="15"/>
                <w:rFonts w:hint="default"/>
                <w:color w:val="auto"/>
              </w:rPr>
              <w:t>（W*D*H)（</w:t>
            </w:r>
            <w:r>
              <w:rPr>
                <w:rStyle w:val="15"/>
                <w:color w:val="auto"/>
              </w:rPr>
              <w:t>mm)</w:t>
            </w:r>
          </w:p>
        </w:tc>
        <w:tc>
          <w:tcPr>
            <w:tcW w:w="714" w:type="pct"/>
            <w:tcBorders>
              <w:top w:val="single" w:color="000000" w:sz="4" w:space="0"/>
              <w:left w:val="single" w:color="000000" w:sz="4" w:space="0"/>
              <w:bottom w:val="nil"/>
              <w:right w:val="single" w:color="000000" w:sz="4" w:space="0"/>
            </w:tcBorders>
            <w:shd w:val="clear" w:color="auto" w:fill="A6A6A6"/>
            <w:noWrap/>
            <w:vAlign w:val="center"/>
          </w:tcPr>
          <w:p>
            <w:pPr>
              <w:jc w:val="center"/>
              <w:textAlignment w:val="center"/>
              <w:rPr>
                <w:rFonts w:ascii="新宋体" w:hAnsi="新宋体" w:eastAsia="新宋体" w:cs="新宋体"/>
                <w:b/>
                <w:bCs/>
                <w:color w:val="auto"/>
                <w:sz w:val="28"/>
                <w:szCs w:val="28"/>
              </w:rPr>
            </w:pPr>
            <w:r>
              <w:rPr>
                <w:rFonts w:hint="eastAsia" w:ascii="新宋体" w:hAnsi="新宋体" w:eastAsia="新宋体" w:cs="新宋体"/>
                <w:b/>
                <w:bCs/>
                <w:color w:val="auto"/>
                <w:sz w:val="28"/>
                <w:szCs w:val="28"/>
              </w:rPr>
              <w:t>参考样式</w:t>
            </w:r>
          </w:p>
        </w:tc>
        <w:tc>
          <w:tcPr>
            <w:tcW w:w="213" w:type="pct"/>
            <w:tcBorders>
              <w:top w:val="single" w:color="000000" w:sz="4" w:space="0"/>
              <w:left w:val="single" w:color="000000" w:sz="4" w:space="0"/>
              <w:bottom w:val="nil"/>
              <w:right w:val="single" w:color="000000" w:sz="4" w:space="0"/>
            </w:tcBorders>
            <w:shd w:val="clear" w:color="auto" w:fill="A6A6A6"/>
            <w:noWrap/>
            <w:vAlign w:val="center"/>
          </w:tcPr>
          <w:p>
            <w:pPr>
              <w:jc w:val="center"/>
              <w:textAlignment w:val="center"/>
              <w:rPr>
                <w:rFonts w:ascii="新宋体" w:hAnsi="新宋体" w:eastAsia="新宋体" w:cs="新宋体"/>
                <w:b/>
                <w:bCs/>
                <w:color w:val="auto"/>
                <w:sz w:val="28"/>
                <w:szCs w:val="28"/>
              </w:rPr>
            </w:pPr>
            <w:r>
              <w:rPr>
                <w:rFonts w:hint="eastAsia" w:ascii="新宋体" w:hAnsi="新宋体" w:eastAsia="新宋体" w:cs="新宋体"/>
                <w:b/>
                <w:bCs/>
                <w:color w:val="auto"/>
                <w:sz w:val="28"/>
                <w:szCs w:val="28"/>
              </w:rPr>
              <w:t>数量</w:t>
            </w:r>
          </w:p>
        </w:tc>
        <w:tc>
          <w:tcPr>
            <w:tcW w:w="284" w:type="pct"/>
            <w:tcBorders>
              <w:top w:val="single" w:color="000000" w:sz="4" w:space="0"/>
              <w:left w:val="single" w:color="000000" w:sz="4" w:space="0"/>
              <w:bottom w:val="nil"/>
              <w:right w:val="single" w:color="000000" w:sz="4" w:space="0"/>
            </w:tcBorders>
            <w:shd w:val="clear" w:color="auto" w:fill="A6A6A6"/>
            <w:noWrap/>
            <w:vAlign w:val="center"/>
          </w:tcPr>
          <w:p>
            <w:pPr>
              <w:jc w:val="center"/>
              <w:textAlignment w:val="center"/>
              <w:rPr>
                <w:rFonts w:ascii="新宋体" w:hAnsi="新宋体" w:eastAsia="新宋体" w:cs="新宋体"/>
                <w:b/>
                <w:bCs/>
                <w:color w:val="auto"/>
                <w:sz w:val="28"/>
                <w:szCs w:val="28"/>
              </w:rPr>
            </w:pPr>
            <w:r>
              <w:rPr>
                <w:rFonts w:hint="eastAsia" w:ascii="新宋体" w:hAnsi="新宋体" w:eastAsia="新宋体" w:cs="新宋体"/>
                <w:b/>
                <w:bCs/>
                <w:color w:val="auto"/>
                <w:sz w:val="28"/>
                <w:szCs w:val="28"/>
              </w:rPr>
              <w:t>基本 组成</w:t>
            </w:r>
          </w:p>
        </w:tc>
        <w:tc>
          <w:tcPr>
            <w:tcW w:w="2572" w:type="pct"/>
            <w:tcBorders>
              <w:top w:val="single" w:color="000000" w:sz="4" w:space="0"/>
              <w:left w:val="single" w:color="000000" w:sz="4" w:space="0"/>
              <w:bottom w:val="nil"/>
              <w:right w:val="single" w:color="000000" w:sz="4" w:space="0"/>
            </w:tcBorders>
            <w:shd w:val="clear" w:color="auto" w:fill="A6A6A6"/>
            <w:noWrap/>
            <w:vAlign w:val="center"/>
          </w:tcPr>
          <w:p>
            <w:pPr>
              <w:textAlignment w:val="center"/>
              <w:rPr>
                <w:rFonts w:ascii="新宋体" w:hAnsi="新宋体" w:eastAsia="新宋体" w:cs="新宋体"/>
                <w:b/>
                <w:bCs/>
                <w:color w:val="auto"/>
                <w:sz w:val="28"/>
                <w:szCs w:val="28"/>
              </w:rPr>
            </w:pPr>
            <w:r>
              <w:rPr>
                <w:rFonts w:hint="eastAsia" w:ascii="新宋体" w:hAnsi="新宋体" w:eastAsia="新宋体" w:cs="新宋体"/>
                <w:b/>
                <w:bCs/>
                <w:color w:val="auto"/>
                <w:sz w:val="28"/>
                <w:szCs w:val="28"/>
              </w:rPr>
              <w:t>技术参数</w:t>
            </w:r>
          </w:p>
        </w:tc>
      </w:tr>
      <w:tr>
        <w:tblPrEx>
          <w:tblCellMar>
            <w:top w:w="0" w:type="dxa"/>
            <w:left w:w="108" w:type="dxa"/>
            <w:bottom w:w="0" w:type="dxa"/>
            <w:right w:w="108" w:type="dxa"/>
          </w:tblCellMar>
        </w:tblPrEx>
        <w:trPr>
          <w:trHeight w:val="3340" w:hRule="atLeast"/>
        </w:trPr>
        <w:tc>
          <w:tcPr>
            <w:tcW w:w="193"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ascii="新宋体" w:hAnsi="新宋体" w:eastAsia="新宋体" w:cs="新宋体"/>
                <w:color w:val="auto"/>
              </w:rPr>
            </w:pPr>
            <w:r>
              <w:rPr>
                <w:rFonts w:hint="eastAsia" w:ascii="新宋体" w:hAnsi="新宋体" w:eastAsia="新宋体" w:cs="新宋体"/>
                <w:color w:val="auto"/>
              </w:rPr>
              <w:t>1</w:t>
            </w:r>
          </w:p>
        </w:tc>
        <w:tc>
          <w:tcPr>
            <w:tcW w:w="362"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ascii="宋体" w:hAnsi="宋体" w:cs="宋体"/>
                <w:color w:val="auto"/>
              </w:rPr>
            </w:pPr>
            <w:r>
              <w:rPr>
                <w:rFonts w:hint="eastAsia" w:ascii="宋体" w:hAnsi="宋体" w:cs="宋体"/>
                <w:color w:val="auto"/>
                <w:sz w:val="20"/>
                <w:szCs w:val="20"/>
              </w:rPr>
              <w:t>学生公寓组合床+柜(核心产品)</w:t>
            </w:r>
          </w:p>
        </w:tc>
        <w:tc>
          <w:tcPr>
            <w:tcW w:w="659"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ascii="宋体" w:hAnsi="宋体" w:cs="宋体"/>
                <w:color w:val="auto"/>
              </w:rPr>
            </w:pPr>
            <w:r>
              <w:rPr>
                <w:rFonts w:hint="eastAsia" w:ascii="宋体" w:hAnsi="宋体" w:cs="宋体"/>
                <w:color w:val="auto"/>
              </w:rPr>
              <w:t>4000*970*2080</w:t>
            </w:r>
          </w:p>
        </w:tc>
        <w:tc>
          <w:tcPr>
            <w:tcW w:w="714" w:type="pct"/>
            <w:tcBorders>
              <w:top w:val="single" w:color="000000" w:sz="4" w:space="0"/>
              <w:left w:val="single" w:color="000000" w:sz="4" w:space="0"/>
              <w:bottom w:val="single" w:color="000000" w:sz="4" w:space="0"/>
              <w:right w:val="single" w:color="000000" w:sz="4" w:space="0"/>
            </w:tcBorders>
            <w:noWrap/>
            <w:vAlign w:val="center"/>
          </w:tcPr>
          <w:p>
            <w:pPr>
              <w:textAlignment w:val="center"/>
              <w:rPr>
                <w:color w:val="auto"/>
              </w:rPr>
            </w:pPr>
            <w:r>
              <w:rPr>
                <w:color w:val="auto"/>
              </w:rPr>
              <w:drawing>
                <wp:inline distT="0" distB="0" distL="114300" distR="114300">
                  <wp:extent cx="1678305" cy="1087120"/>
                  <wp:effectExtent l="0" t="0" r="17145"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678305" cy="1087120"/>
                          </a:xfrm>
                          <a:prstGeom prst="rect">
                            <a:avLst/>
                          </a:prstGeom>
                          <a:noFill/>
                          <a:ln>
                            <a:noFill/>
                          </a:ln>
                        </pic:spPr>
                      </pic:pic>
                    </a:graphicData>
                  </a:graphic>
                </wp:inline>
              </w:drawing>
            </w:r>
          </w:p>
          <w:p>
            <w:pPr>
              <w:textAlignment w:val="center"/>
              <w:rPr>
                <w:color w:val="auto"/>
              </w:rPr>
            </w:pPr>
          </w:p>
          <w:p>
            <w:pPr>
              <w:textAlignment w:val="center"/>
              <w:rPr>
                <w:rFonts w:ascii="新宋体" w:hAnsi="新宋体" w:eastAsia="新宋体" w:cs="新宋体"/>
                <w:color w:val="auto"/>
              </w:rPr>
            </w:pPr>
          </w:p>
        </w:tc>
        <w:tc>
          <w:tcPr>
            <w:tcW w:w="213" w:type="pct"/>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ascii="宋体" w:hAnsi="宋体" w:cs="宋体"/>
                <w:color w:val="auto"/>
              </w:rPr>
            </w:pPr>
            <w:r>
              <w:rPr>
                <w:rFonts w:hint="eastAsia" w:ascii="宋体" w:hAnsi="宋体" w:cs="宋体"/>
                <w:color w:val="auto"/>
              </w:rPr>
              <w:t>394套</w:t>
            </w:r>
          </w:p>
        </w:tc>
        <w:tc>
          <w:tcPr>
            <w:tcW w:w="284" w:type="pct"/>
            <w:tcBorders>
              <w:top w:val="single" w:color="000000" w:sz="4" w:space="0"/>
              <w:left w:val="single" w:color="000000" w:sz="4" w:space="0"/>
              <w:bottom w:val="single" w:color="000000" w:sz="4" w:space="0"/>
              <w:right w:val="single" w:color="000000" w:sz="4" w:space="0"/>
            </w:tcBorders>
            <w:noWrap/>
            <w:vAlign w:val="center"/>
          </w:tcPr>
          <w:p>
            <w:pPr>
              <w:textAlignment w:val="center"/>
              <w:rPr>
                <w:rFonts w:ascii="宋体" w:hAnsi="宋体" w:cs="宋体"/>
                <w:color w:val="auto"/>
              </w:rPr>
            </w:pPr>
            <w:r>
              <w:rPr>
                <w:rFonts w:hint="eastAsia" w:ascii="方正楷体_GB2312" w:hAnsi="方正楷体_GB2312" w:eastAsia="方正楷体_GB2312" w:cs="方正楷体_GB2312"/>
                <w:color w:val="auto"/>
              </w:rPr>
              <w:t>床、衣柜、书桌、爬梯、抽屉柜</w:t>
            </w:r>
          </w:p>
        </w:tc>
        <w:tc>
          <w:tcPr>
            <w:tcW w:w="2572" w:type="pct"/>
            <w:tcBorders>
              <w:top w:val="single" w:color="000000" w:sz="4" w:space="0"/>
              <w:left w:val="single" w:color="000000" w:sz="4" w:space="0"/>
              <w:bottom w:val="single" w:color="000000" w:sz="4" w:space="0"/>
              <w:right w:val="single" w:color="000000" w:sz="4" w:space="0"/>
            </w:tcBorders>
            <w:noWrap/>
            <w:vAlign w:val="center"/>
          </w:tcPr>
          <w:p>
            <w:pPr>
              <w:autoSpaceDE/>
              <w:autoSpaceDN/>
              <w:adjustRightInd/>
              <w:textAlignment w:val="center"/>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整体尺寸：4000*970*2080mm</w:t>
            </w:r>
            <w:r>
              <w:rPr>
                <w:rStyle w:val="16"/>
                <w:color w:val="auto"/>
              </w:rPr>
              <w:t>床内径尺寸≥1950*900</w:t>
            </w:r>
            <w:r>
              <w:rPr>
                <w:rFonts w:hint="eastAsia" w:ascii="方正楷体_GB2312" w:hAnsi="方正楷体_GB2312" w:eastAsia="方正楷体_GB2312" w:cs="方正楷体_GB2312"/>
                <w:color w:val="auto"/>
              </w:rPr>
              <w:t>*mm，床</w:t>
            </w:r>
            <w:r>
              <w:rPr>
                <w:rFonts w:hint="eastAsia" w:ascii="宋体" w:hAnsi="宋体" w:cs="宋体"/>
                <w:color w:val="auto"/>
              </w:rPr>
              <w:t>挺</w:t>
            </w:r>
            <w:r>
              <w:rPr>
                <w:rFonts w:hint="eastAsia" w:ascii="方正楷体_GB2312" w:hAnsi="方正楷体_GB2312" w:eastAsia="方正楷体_GB2312" w:cs="方正楷体_GB2312"/>
                <w:color w:val="auto"/>
              </w:rPr>
              <w:t>下口距离地面高度为1800mm，床体尺寸需要投标人按照房间尺寸自行合理调整。</w:t>
            </w:r>
          </w:p>
          <w:p>
            <w:pPr>
              <w:autoSpaceDE/>
              <w:autoSpaceDN/>
              <w:adjustRightInd/>
              <w:textAlignment w:val="center"/>
              <w:rPr>
                <w:rFonts w:ascii="宋体" w:hAnsi="宋体" w:cs="宋体"/>
                <w:color w:val="auto"/>
              </w:rPr>
            </w:pPr>
            <w:r>
              <w:rPr>
                <w:rFonts w:hint="eastAsia" w:ascii="宋体" w:hAnsi="宋体" w:cs="宋体"/>
                <w:color w:val="auto"/>
              </w:rPr>
              <w:t>1、边立柱: 采用≥70mm*70mm，</w:t>
            </w:r>
            <w:r>
              <w:rPr>
                <w:rFonts w:hint="eastAsia" w:ascii="方正楷体_GB2312" w:hAnsi="方正楷体_GB2312" w:eastAsia="方正楷体_GB2312" w:cs="方正楷体_GB2312"/>
                <w:color w:val="auto"/>
              </w:rPr>
              <w:t>裸管壁厚</w:t>
            </w:r>
            <w:r>
              <w:rPr>
                <w:rFonts w:hint="eastAsia" w:ascii="宋体" w:hAnsi="宋体" w:cs="宋体"/>
                <w:color w:val="auto"/>
                <w:sz w:val="20"/>
                <w:szCs w:val="20"/>
              </w:rPr>
              <w:t>不小于1.2mm，</w:t>
            </w:r>
            <w:r>
              <w:rPr>
                <w:rFonts w:hint="eastAsia" w:ascii="宋体" w:hAnsi="宋体" w:cs="宋体"/>
                <w:color w:val="auto"/>
              </w:rPr>
              <w:t>周长不低于280mm，圆弧安全圆角钢管，采用成熟通用冷轧成型，焊接成闭口型材管，边立柱上下封口采用优质PP塑料（或ABS塑料）的静音内外塞。</w:t>
            </w:r>
          </w:p>
          <w:p>
            <w:pPr>
              <w:autoSpaceDE/>
              <w:autoSpaceDN/>
              <w:adjustRightInd/>
              <w:textAlignment w:val="center"/>
              <w:rPr>
                <w:rFonts w:ascii="宋体" w:hAnsi="宋体" w:cs="宋体"/>
                <w:color w:val="auto"/>
              </w:rPr>
            </w:pPr>
            <w:r>
              <w:rPr>
                <w:rFonts w:hint="eastAsia" w:ascii="宋体" w:hAnsi="宋体" w:cs="宋体"/>
                <w:color w:val="auto"/>
              </w:rPr>
              <w:t>2、中立柱：采用≥70mm*40mm，</w:t>
            </w:r>
            <w:r>
              <w:rPr>
                <w:rFonts w:hint="eastAsia" w:ascii="方正楷体_GB2312" w:hAnsi="方正楷体_GB2312" w:eastAsia="方正楷体_GB2312" w:cs="方正楷体_GB2312"/>
                <w:color w:val="auto"/>
              </w:rPr>
              <w:t>裸管壁厚</w:t>
            </w:r>
            <w:r>
              <w:rPr>
                <w:rFonts w:hint="eastAsia" w:ascii="宋体" w:hAnsi="宋体" w:cs="宋体"/>
                <w:color w:val="auto"/>
                <w:sz w:val="20"/>
                <w:szCs w:val="20"/>
              </w:rPr>
              <w:t>不小于1.2mm，</w:t>
            </w:r>
            <w:r>
              <w:rPr>
                <w:rFonts w:hint="eastAsia" w:ascii="宋体" w:hAnsi="宋体" w:cs="宋体"/>
                <w:color w:val="auto"/>
              </w:rPr>
              <w:t>立柱两端安装优质工程ABS塑料封盖，采用成熟通用冷轧成型，焊接成闭口型材管。中立柱上下封口采用优质PP塑料（或ABS塑料）的静音内外塞。</w:t>
            </w:r>
          </w:p>
          <w:p>
            <w:pPr>
              <w:autoSpaceDE/>
              <w:autoSpaceDN/>
              <w:adjustRightInd/>
              <w:textAlignment w:val="center"/>
              <w:rPr>
                <w:rFonts w:ascii="宋体" w:hAnsi="宋体" w:cs="宋体"/>
                <w:color w:val="auto"/>
              </w:rPr>
            </w:pPr>
            <w:r>
              <w:rPr>
                <w:rFonts w:hint="eastAsia" w:ascii="宋体" w:hAnsi="宋体" w:cs="宋体"/>
                <w:color w:val="auto"/>
              </w:rPr>
              <w:t>3、前后床挺、左右床挺：采用≥70mm*40mm*1.2mm安全圆角钢管，床帮下部需做倒圆处理。</w:t>
            </w:r>
          </w:p>
          <w:p>
            <w:pPr>
              <w:autoSpaceDE/>
              <w:autoSpaceDN/>
              <w:adjustRightInd/>
              <w:textAlignment w:val="center"/>
              <w:rPr>
                <w:rFonts w:ascii="宋体" w:hAnsi="宋体" w:cs="宋体"/>
                <w:color w:val="auto"/>
              </w:rPr>
            </w:pPr>
            <w:r>
              <w:rPr>
                <w:rFonts w:hint="eastAsia" w:ascii="宋体" w:hAnsi="宋体" w:cs="宋体"/>
                <w:color w:val="auto"/>
              </w:rPr>
              <w:t>4、前后床挺与立柱采用卡扣连接件，久用不松动，无异响，卡扣连接件采用≥2.0mm厚优质钢板经冲压成型，成型后长度≥200mm，挂齿数量≥3个，挂齿由导向段和锁紧段组成，保证结构牢固。</w:t>
            </w:r>
          </w:p>
          <w:p>
            <w:pPr>
              <w:autoSpaceDE/>
              <w:autoSpaceDN/>
              <w:adjustRightInd/>
              <w:textAlignment w:val="center"/>
              <w:rPr>
                <w:rFonts w:ascii="宋体" w:hAnsi="宋体" w:cs="宋体"/>
                <w:color w:val="auto"/>
              </w:rPr>
            </w:pPr>
            <w:r>
              <w:rPr>
                <w:rFonts w:hint="eastAsia" w:ascii="宋体" w:hAnsi="宋体" w:cs="宋体"/>
                <w:color w:val="auto"/>
              </w:rPr>
              <w:t>5、护栏：</w:t>
            </w:r>
            <w:r>
              <w:rPr>
                <w:rFonts w:hint="eastAsia" w:ascii="方正楷体_GB2312" w:hAnsi="方正楷体_GB2312" w:eastAsia="方正楷体_GB2312" w:cs="方正楷体_GB2312"/>
                <w:color w:val="auto"/>
              </w:rPr>
              <w:t>护栏高度≥300mm，</w:t>
            </w:r>
            <w:r>
              <w:rPr>
                <w:rFonts w:hint="eastAsia" w:ascii="宋体" w:hAnsi="宋体" w:cs="宋体"/>
                <w:color w:val="auto"/>
              </w:rPr>
              <w:t>采用25mm*25mm*1.2mm方管围边，内为E0级18mm厚优质环保暖白色双饰多层板，三聚氰胺浸渍纸覆贴，</w:t>
            </w:r>
            <w:r>
              <w:rPr>
                <w:rFonts w:hint="eastAsia" w:ascii="宋体" w:hAnsi="宋体" w:cs="宋体"/>
                <w:color w:val="auto"/>
                <w:sz w:val="20"/>
                <w:szCs w:val="20"/>
              </w:rPr>
              <w:t>护栏板内部增加永久性“床褥最大厚度安全警示线”</w:t>
            </w:r>
            <w:r>
              <w:rPr>
                <w:rFonts w:hint="eastAsia" w:ascii="宋体" w:hAnsi="宋体" w:cs="宋体"/>
                <w:color w:val="auto"/>
              </w:rPr>
              <w:t>。进出缺口宽度300-400mm,后护栏高度≥150mm，防止物品掉落。</w:t>
            </w:r>
          </w:p>
          <w:p>
            <w:pPr>
              <w:autoSpaceDE/>
              <w:autoSpaceDN/>
              <w:adjustRightInd/>
              <w:textAlignment w:val="center"/>
              <w:rPr>
                <w:rFonts w:ascii="宋体" w:hAnsi="宋体" w:cs="宋体"/>
                <w:color w:val="auto"/>
              </w:rPr>
            </w:pPr>
            <w:r>
              <w:rPr>
                <w:rFonts w:hint="eastAsia" w:ascii="宋体" w:hAnsi="宋体" w:cs="宋体"/>
                <w:color w:val="auto"/>
              </w:rPr>
              <w:t>6、爬梯：床梯支架采用≥20*40*1.5mm椭圆钢管制作，</w:t>
            </w:r>
            <w:r>
              <w:rPr>
                <w:rFonts w:hint="eastAsia" w:ascii="方正楷体_GB2312" w:hAnsi="方正楷体_GB2312" w:eastAsia="方正楷体_GB2312" w:cs="方正楷体_GB2312"/>
                <w:color w:val="auto"/>
              </w:rPr>
              <w:t>爬梯踏板</w:t>
            </w:r>
            <w:r>
              <w:rPr>
                <w:rFonts w:hint="eastAsia" w:ascii="宋体" w:hAnsi="宋体" w:cs="宋体"/>
                <w:color w:val="auto"/>
              </w:rPr>
              <w:t>尺寸</w:t>
            </w:r>
            <w:r>
              <w:rPr>
                <w:rFonts w:hint="eastAsia" w:ascii="方正楷体_GB2312" w:hAnsi="方正楷体_GB2312" w:eastAsia="方正楷体_GB2312" w:cs="方正楷体_GB2312"/>
                <w:color w:val="auto"/>
              </w:rPr>
              <w:t>≥380*120*30mm，爬梯踏板采用PP塑料制作，踏步带有凸起的防滑条，</w:t>
            </w:r>
            <w:r>
              <w:rPr>
                <w:rFonts w:hint="eastAsia" w:ascii="宋体" w:hAnsi="宋体" w:cs="宋体"/>
                <w:color w:val="auto"/>
              </w:rPr>
              <w:t>设计不少于3个荧光点，</w:t>
            </w:r>
            <w:r>
              <w:rPr>
                <w:rFonts w:hint="eastAsia" w:ascii="宋体" w:hAnsi="宋体" w:cs="宋体"/>
                <w:color w:val="auto"/>
                <w:sz w:val="20"/>
                <w:szCs w:val="20"/>
              </w:rPr>
              <w:t>有效提高学生上下床的安全性。</w:t>
            </w:r>
          </w:p>
          <w:p>
            <w:pPr>
              <w:autoSpaceDE/>
              <w:autoSpaceDN/>
              <w:adjustRightInd/>
              <w:textAlignment w:val="center"/>
              <w:rPr>
                <w:rFonts w:ascii="宋体" w:hAnsi="宋体" w:cs="宋体"/>
                <w:color w:val="auto"/>
              </w:rPr>
            </w:pPr>
            <w:r>
              <w:rPr>
                <w:rFonts w:hint="eastAsia" w:ascii="宋体" w:hAnsi="宋体" w:cs="宋体"/>
                <w:color w:val="auto"/>
              </w:rPr>
              <w:t>7、床板：采用≥15mm厚优质杉木，铺板条数量≤8条，每条宽度≥9cm，铺板间隙≤10mm，床板底部配置木档，木档规格不小于40*30mm，木档数量不少于4根，铺板四面抛光，无毛刺，经干燥、防腐、防蛀处理，含水率8%-12%。钉眼应冲低，钉头不得高于铺板平面。</w:t>
            </w:r>
          </w:p>
          <w:p>
            <w:pPr>
              <w:autoSpaceDE/>
              <w:autoSpaceDN/>
              <w:adjustRightInd/>
              <w:textAlignment w:val="center"/>
              <w:rPr>
                <w:rFonts w:ascii="宋体" w:hAnsi="宋体" w:cs="宋体"/>
                <w:color w:val="auto"/>
              </w:rPr>
            </w:pPr>
            <w:r>
              <w:rPr>
                <w:rFonts w:hint="eastAsia" w:ascii="宋体" w:hAnsi="宋体" w:cs="宋体"/>
                <w:color w:val="auto"/>
              </w:rPr>
              <w:t>8、书桌：1310mm×910mm×1690mm，L型桌面采用25mmE0级环保木纹双饰多层板，其余木制构件采用E0级18mm厚环保木纹双饰多层板、暖白色双饰多层板，板面采用三聚氰胺浸渍纸覆贴，实测甲醛释放量≤0.05mg/m，所有木质板材均做防虫、防腐工艺处理,全部板材封边采用2.0mm厚PVC封边条、PUR热熔胶同色封边。书桌上方柜体下面配置钢制洞洞板，高度165mm，便于学生收纳。</w:t>
            </w:r>
            <w:r>
              <w:rPr>
                <w:rFonts w:hint="eastAsia" w:ascii="方正楷体_GB2312" w:hAnsi="方正楷体_GB2312" w:eastAsia="方正楷体_GB2312" w:cs="方正楷体_GB2312"/>
                <w:color w:val="auto"/>
              </w:rPr>
              <w:t>书桌上方配置木挡板，下方配置木挡板,书桌下方配置一门柜，</w:t>
            </w:r>
            <w:r>
              <w:rPr>
                <w:rFonts w:hint="eastAsia" w:ascii="宋体" w:hAnsi="宋体" w:cs="宋体"/>
                <w:color w:val="auto"/>
                <w:sz w:val="20"/>
                <w:szCs w:val="20"/>
              </w:rPr>
              <w:t>配备铝合金暗扣拉手，门板上配有内嵌式铝合金锁盒，挂锁不外露，挂锁可单独配置，确保使用安全性</w:t>
            </w:r>
            <w:r>
              <w:rPr>
                <w:rFonts w:hint="eastAsia" w:ascii="方正楷体_GB2312" w:hAnsi="方正楷体_GB2312" w:eastAsia="方正楷体_GB2312" w:cs="方正楷体_GB2312"/>
                <w:color w:val="auto"/>
              </w:rPr>
              <w:t>,柜体五金</w:t>
            </w:r>
            <w:r>
              <w:rPr>
                <w:rFonts w:hint="eastAsia" w:ascii="宋体" w:hAnsi="宋体" w:cs="宋体"/>
                <w:color w:val="auto"/>
                <w:sz w:val="20"/>
                <w:szCs w:val="20"/>
              </w:rPr>
              <w:t>采用阻尼静音导轨、阻尼铰链，三合一连接件。</w:t>
            </w:r>
            <w:r>
              <w:rPr>
                <w:rFonts w:hint="eastAsia" w:ascii="方正楷体_GB2312" w:hAnsi="方正楷体_GB2312" w:eastAsia="方正楷体_GB2312" w:cs="方正楷体_GB2312"/>
                <w:color w:val="auto"/>
              </w:rPr>
              <w:t>柜体底部安装钢制防潮管,防潮管采用25mm*50mm*1.2mm方管。</w:t>
            </w:r>
          </w:p>
          <w:p>
            <w:pPr>
              <w:autoSpaceDE/>
              <w:autoSpaceDN/>
              <w:adjustRightInd/>
              <w:textAlignment w:val="center"/>
              <w:rPr>
                <w:rFonts w:ascii="宋体" w:hAnsi="宋体" w:cs="宋体"/>
                <w:color w:val="auto"/>
              </w:rPr>
            </w:pPr>
            <w:r>
              <w:rPr>
                <w:rFonts w:hint="eastAsia" w:ascii="宋体" w:hAnsi="宋体" w:cs="宋体"/>
                <w:color w:val="auto"/>
              </w:rPr>
              <w:t>9、衣柜：860mm×580mm×1690mm，柜体板材采用E0级18mm环保木纹双饰多层板、暖白色双饰多层板，表面采用三聚氰胺浸渍纸覆贴，板材经防虫、防腐工艺处理, 板材四周采用2.0mm厚PVC封边条，PUR热熔胶工艺同色封边，实测甲醛释放量≤0.05mg/m³。衣柜门采用平开式结构，衣柜内配置一根可承受重量的铝合金或不锈钢挂衣杆和一块层板，柜门上</w:t>
            </w:r>
            <w:r>
              <w:rPr>
                <w:rFonts w:hint="eastAsia" w:ascii="宋体" w:hAnsi="宋体" w:cs="宋体"/>
                <w:color w:val="auto"/>
                <w:sz w:val="20"/>
                <w:szCs w:val="20"/>
              </w:rPr>
              <w:t>配备铝合金暗扣拉手，内嵌式铝合金锁盒，挂锁不外露，挂锁可单独配置，确保使用安全性。柜体五金采用阻尼铰链、阻尼静音导轨，三合一连接件，</w:t>
            </w:r>
            <w:r>
              <w:rPr>
                <w:rFonts w:hint="eastAsia" w:ascii="宋体" w:hAnsi="宋体" w:cs="宋体"/>
                <w:color w:val="auto"/>
              </w:rPr>
              <w:t>保证学生使用安全、静音，</w:t>
            </w:r>
            <w:r>
              <w:rPr>
                <w:rFonts w:hint="eastAsia" w:ascii="方正楷体_GB2312" w:hAnsi="方正楷体_GB2312" w:eastAsia="方正楷体_GB2312" w:cs="方正楷体_GB2312"/>
                <w:color w:val="auto"/>
              </w:rPr>
              <w:t>柜体底部安装钢制防潮管,防潮管采用25mm*50mm*1.2mm方管。</w:t>
            </w:r>
            <w:r>
              <w:rPr>
                <w:rFonts w:hint="eastAsia" w:ascii="宋体" w:hAnsi="宋体" w:cs="宋体"/>
                <w:color w:val="auto"/>
              </w:rPr>
              <w:t>10、护栏外侧有学校徽标、可插式亚克力铭牌盒，内侧配有收纳盒，方便收纳手机、眼镜、书本资料等物品。</w:t>
            </w:r>
          </w:p>
          <w:p>
            <w:pPr>
              <w:autoSpaceDE/>
              <w:autoSpaceDN/>
              <w:adjustRightInd/>
              <w:textAlignment w:val="center"/>
              <w:rPr>
                <w:rFonts w:ascii="宋体" w:hAnsi="宋体" w:cs="宋体"/>
                <w:color w:val="auto"/>
              </w:rPr>
            </w:pPr>
            <w:r>
              <w:rPr>
                <w:rFonts w:hint="eastAsia" w:ascii="宋体" w:hAnsi="宋体" w:cs="宋体"/>
                <w:color w:val="auto"/>
              </w:rPr>
              <w:t>11、工艺说明：1）</w:t>
            </w:r>
            <w:r>
              <w:rPr>
                <w:rFonts w:hint="eastAsia" w:ascii="方正楷体_GB2312" w:hAnsi="方正楷体_GB2312" w:eastAsia="方正楷体_GB2312" w:cs="方正楷体_GB2312"/>
                <w:color w:val="auto"/>
              </w:rPr>
              <w:t>所有钢制管材构件均采用</w:t>
            </w:r>
            <w:r>
              <w:rPr>
                <w:rFonts w:hint="eastAsia" w:ascii="宋体" w:hAnsi="宋体" w:cs="宋体"/>
                <w:color w:val="auto"/>
              </w:rPr>
              <w:t>高频焊接工艺，所有焊缝要求满焊，连续焊，不得间断点焊、虚焊。焊接成型后焊缝波纹均匀、平整顺滑，焊接处无夹渣、气孔、焊瘤、焊丝咬边和飞溅，无脱焊、虚焊、焊穿等现象，所有贴角焊缝有效厚度＞3mm，焊缝饱满牢固，整体结构无变形、无松动，保障床体承重及结构稳定性。</w:t>
            </w:r>
          </w:p>
          <w:p>
            <w:pPr>
              <w:autoSpaceDE/>
              <w:autoSpaceDN/>
              <w:adjustRightInd/>
              <w:textAlignment w:val="center"/>
              <w:rPr>
                <w:rFonts w:ascii="宋体" w:hAnsi="宋体" w:cs="宋体"/>
                <w:color w:val="auto"/>
              </w:rPr>
            </w:pPr>
            <w:r>
              <w:rPr>
                <w:rFonts w:hint="eastAsia" w:ascii="宋体" w:hAnsi="宋体" w:cs="宋体"/>
                <w:color w:val="auto"/>
              </w:rPr>
              <w:t>上述所有钢质构件出厂前必须经机械除油、彻底除锈、酸洗、磷化全套标准化前处理工艺，前处理完成后，采用专业静电喷涂设备进行热固性环氧树脂粉末静电喷塑，成品颜色为白色哑光，整体色泽均匀、无色差、无流挂、无颗粒瑕疵。，喷塑漆膜厚度≥20丝，喷塑漆膜硬度＞0.4，耐冲击强度＞4N·m，漆膜附着力、硬度、耐冲击力等均符合现行国家标准：GB/T 1720-2020《漆膜划圈试验》、GB/T 1730-2007《色漆和清漆摆杆阻尼试验》、GB/T 1732-2020《漆膜耐冲击测定法》</w:t>
            </w:r>
          </w:p>
          <w:p>
            <w:pPr>
              <w:autoSpaceDE/>
              <w:autoSpaceDN/>
              <w:adjustRightInd/>
              <w:textAlignment w:val="center"/>
              <w:rPr>
                <w:rFonts w:ascii="宋体" w:hAnsi="宋体" w:cs="宋体"/>
                <w:color w:val="auto"/>
              </w:rPr>
            </w:pPr>
            <w:r>
              <w:rPr>
                <w:rFonts w:hint="eastAsia" w:ascii="宋体" w:hAnsi="宋体" w:cs="宋体"/>
                <w:color w:val="auto"/>
              </w:rPr>
              <w:t>2）学生宿舍组合双人床（含床柜一体结构）安装时，杜绝床体晃动、偏移、前倾，满足宿舍家具安全稳固、防倾倒、防摇晃的使用，如床体靠墙立柱与墙体靠紧固连接，采用膨胀螺栓固定，安全规范</w:t>
            </w:r>
          </w:p>
          <w:p>
            <w:pPr>
              <w:autoSpaceDE/>
              <w:autoSpaceDN/>
              <w:adjustRightInd/>
              <w:textAlignment w:val="center"/>
              <w:rPr>
                <w:rFonts w:ascii="宋体" w:hAnsi="宋体" w:cs="宋体"/>
                <w:color w:val="auto"/>
              </w:rPr>
            </w:pPr>
          </w:p>
          <w:p>
            <w:pPr>
              <w:autoSpaceDE/>
              <w:autoSpaceDN/>
              <w:adjustRightInd/>
              <w:textAlignment w:val="center"/>
              <w:rPr>
                <w:rFonts w:ascii="宋体" w:hAnsi="宋体" w:cs="宋体"/>
                <w:color w:val="auto"/>
              </w:rPr>
            </w:pPr>
            <w:r>
              <w:rPr>
                <w:rFonts w:hint="eastAsia" w:ascii="宋体" w:hAnsi="宋体" w:cs="宋体"/>
                <w:b/>
                <w:bCs/>
                <w:color w:val="auto"/>
                <w:sz w:val="20"/>
                <w:szCs w:val="20"/>
              </w:rPr>
              <w:br w:type="textWrapping"/>
            </w:r>
          </w:p>
        </w:tc>
      </w:tr>
    </w:tbl>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471"/>
        <w:gridCol w:w="2699"/>
        <w:gridCol w:w="2918"/>
        <w:gridCol w:w="872"/>
        <w:gridCol w:w="1159"/>
        <w:gridCol w:w="10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ign w:val="center"/>
          </w:tcPr>
          <w:p>
            <w:pPr>
              <w:widowControl w:val="0"/>
              <w:jc w:val="center"/>
              <w:rPr>
                <w:color w:val="auto"/>
              </w:rPr>
            </w:pPr>
            <w:r>
              <w:rPr>
                <w:rFonts w:hint="eastAsia"/>
                <w:color w:val="auto"/>
              </w:rPr>
              <w:t>2</w:t>
            </w:r>
          </w:p>
        </w:tc>
        <w:tc>
          <w:tcPr>
            <w:tcW w:w="1472" w:type="dxa"/>
            <w:noWrap/>
            <w:vAlign w:val="center"/>
          </w:tcPr>
          <w:p>
            <w:pPr>
              <w:widowControl w:val="0"/>
              <w:jc w:val="center"/>
              <w:rPr>
                <w:color w:val="auto"/>
              </w:rPr>
            </w:pPr>
            <w:r>
              <w:rPr>
                <w:rFonts w:hint="eastAsia"/>
                <w:color w:val="auto"/>
              </w:rPr>
              <w:t>行李柜</w:t>
            </w:r>
          </w:p>
        </w:tc>
        <w:tc>
          <w:tcPr>
            <w:tcW w:w="2700" w:type="dxa"/>
            <w:noWrap/>
            <w:vAlign w:val="center"/>
          </w:tcPr>
          <w:p>
            <w:pPr>
              <w:widowControl w:val="0"/>
              <w:jc w:val="center"/>
              <w:rPr>
                <w:color w:val="auto"/>
              </w:rPr>
            </w:pPr>
            <w:r>
              <w:rPr>
                <w:rFonts w:hint="eastAsia"/>
                <w:color w:val="auto"/>
              </w:rPr>
              <w:t>800*500*2080</w:t>
            </w:r>
          </w:p>
        </w:tc>
        <w:tc>
          <w:tcPr>
            <w:tcW w:w="2919" w:type="dxa"/>
            <w:noWrap/>
            <w:vAlign w:val="center"/>
          </w:tcPr>
          <w:p>
            <w:pPr>
              <w:widowControl w:val="0"/>
              <w:jc w:val="center"/>
              <w:rPr>
                <w:color w:val="auto"/>
              </w:rPr>
            </w:pPr>
            <w:r>
              <w:rPr>
                <w:color w:val="auto"/>
              </w:rPr>
              <w:drawing>
                <wp:inline distT="0" distB="0" distL="114300" distR="114300">
                  <wp:extent cx="1084580" cy="1518285"/>
                  <wp:effectExtent l="0" t="0" r="1270" b="571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1084580" cy="1518285"/>
                          </a:xfrm>
                          <a:prstGeom prst="rect">
                            <a:avLst/>
                          </a:prstGeom>
                          <a:noFill/>
                          <a:ln>
                            <a:noFill/>
                          </a:ln>
                        </pic:spPr>
                      </pic:pic>
                    </a:graphicData>
                  </a:graphic>
                </wp:inline>
              </w:drawing>
            </w:r>
          </w:p>
        </w:tc>
        <w:tc>
          <w:tcPr>
            <w:tcW w:w="872" w:type="dxa"/>
            <w:noWrap/>
            <w:vAlign w:val="center"/>
          </w:tcPr>
          <w:p>
            <w:pPr>
              <w:widowControl w:val="0"/>
              <w:jc w:val="center"/>
              <w:rPr>
                <w:color w:val="auto"/>
              </w:rPr>
            </w:pPr>
            <w:r>
              <w:rPr>
                <w:rFonts w:hint="eastAsia"/>
                <w:color w:val="auto"/>
              </w:rPr>
              <w:t>394个</w:t>
            </w:r>
          </w:p>
        </w:tc>
        <w:tc>
          <w:tcPr>
            <w:tcW w:w="1159" w:type="dxa"/>
            <w:noWrap/>
            <w:vAlign w:val="center"/>
          </w:tcPr>
          <w:p>
            <w:pPr>
              <w:widowControl w:val="0"/>
              <w:jc w:val="center"/>
              <w:rPr>
                <w:color w:val="auto"/>
              </w:rPr>
            </w:pPr>
            <w:r>
              <w:rPr>
                <w:rFonts w:hint="eastAsia" w:ascii="方正楷体_GB2312" w:hAnsi="方正楷体_GB2312" w:eastAsia="方正楷体_GB2312" w:cs="方正楷体_GB2312"/>
                <w:color w:val="auto"/>
              </w:rPr>
              <w:t>木板、钢架</w:t>
            </w:r>
          </w:p>
        </w:tc>
        <w:tc>
          <w:tcPr>
            <w:tcW w:w="10521" w:type="dxa"/>
            <w:noWrap/>
          </w:tcPr>
          <w:p>
            <w:pPr>
              <w:widowControl w:val="0"/>
              <w:jc w:val="both"/>
              <w:rPr>
                <w:color w:val="auto"/>
              </w:rPr>
            </w:pPr>
            <w:r>
              <w:rPr>
                <w:rFonts w:hint="eastAsia"/>
                <w:color w:val="auto"/>
              </w:rPr>
              <w:t>材质说明:</w:t>
            </w:r>
          </w:p>
          <w:p>
            <w:pPr>
              <w:widowControl w:val="0"/>
              <w:jc w:val="both"/>
              <w:rPr>
                <w:color w:val="auto"/>
              </w:rPr>
            </w:pPr>
            <w:r>
              <w:rPr>
                <w:rFonts w:hint="eastAsia"/>
                <w:color w:val="auto"/>
              </w:rPr>
              <w:t>1) 木件为E0级18mm厚环保木纹双饰多层板、暖白色双饰多层板，</w:t>
            </w:r>
            <w:r>
              <w:rPr>
                <w:rFonts w:hint="eastAsia" w:ascii="宋体" w:hAnsi="宋体" w:cs="宋体"/>
                <w:color w:val="auto"/>
              </w:rPr>
              <w:t>表面采用三聚氰胺浸渍纸覆贴，板材经防虫、防腐工艺处理, 板材四周采用2.0mm厚PVC封边条，PUR热熔胶工艺同色封边，</w:t>
            </w:r>
            <w:r>
              <w:rPr>
                <w:rFonts w:hint="eastAsia"/>
                <w:color w:val="auto"/>
              </w:rPr>
              <w:t xml:space="preserve">实测甲醛释放量≤0.05mg/m³。 </w:t>
            </w:r>
          </w:p>
          <w:p>
            <w:pPr>
              <w:widowControl w:val="0"/>
              <w:jc w:val="both"/>
              <w:rPr>
                <w:color w:val="auto"/>
              </w:rPr>
            </w:pPr>
            <w:r>
              <w:rPr>
                <w:rFonts w:hint="eastAsia"/>
                <w:color w:val="auto"/>
              </w:rPr>
              <w:t xml:space="preserve">2)拉手:采用ABS材质, </w:t>
            </w:r>
            <w:r>
              <w:rPr>
                <w:rFonts w:hint="eastAsia" w:ascii="宋体" w:hAnsi="宋体" w:cs="宋体"/>
                <w:color w:val="auto"/>
                <w:sz w:val="20"/>
                <w:szCs w:val="20"/>
              </w:rPr>
              <w:t>拉手与柜门表面平齐无凸出，挂锁不外露，挂锁可单独配置，确保使用时的安全性。</w:t>
            </w:r>
          </w:p>
          <w:p>
            <w:pPr>
              <w:widowControl w:val="0"/>
              <w:jc w:val="both"/>
              <w:rPr>
                <w:color w:val="auto"/>
              </w:rPr>
            </w:pPr>
            <w:r>
              <w:rPr>
                <w:rFonts w:hint="eastAsia" w:ascii="宋体" w:hAnsi="宋体" w:cs="宋体"/>
                <w:color w:val="auto"/>
              </w:rPr>
              <w:t>3)五金:</w:t>
            </w:r>
            <w:r>
              <w:rPr>
                <w:rFonts w:hint="eastAsia" w:ascii="宋体" w:hAnsi="宋体" w:cs="宋体"/>
                <w:color w:val="auto"/>
                <w:sz w:val="20"/>
                <w:szCs w:val="20"/>
              </w:rPr>
              <w:t>优质金属阻尼铰链、三合一连接件。</w:t>
            </w:r>
          </w:p>
          <w:p>
            <w:pPr>
              <w:widowControl w:val="0"/>
              <w:jc w:val="both"/>
              <w:rPr>
                <w:color w:val="auto"/>
              </w:rPr>
            </w:pPr>
            <w:r>
              <w:rPr>
                <w:rFonts w:hint="eastAsia"/>
                <w:color w:val="auto"/>
              </w:rPr>
              <w:t>4)下段钢架,立柱采用40mm*40mm*1.2mm方管。中间隔层外部采用25mm*25mm*1.2mm方管,内部采用直径φ19圆管。上段对开门,可分为两人使用,中间竖板,两侧横板,下侧可放置行李箱,上侧可放置被子。</w:t>
            </w:r>
          </w:p>
          <w:p>
            <w:pPr>
              <w:widowControl w:val="0"/>
              <w:jc w:val="both"/>
              <w:rPr>
                <w:color w:val="auto"/>
              </w:rPr>
            </w:pPr>
            <w:r>
              <w:rPr>
                <w:rFonts w:hint="eastAsia"/>
                <w:color w:val="auto"/>
              </w:rPr>
              <w:t>5）柜底设计4层钢架，分成4格，采用25*25*1.2方管，∅19mm*1.0mm圆管制作；上面两层放置脸盆，下面两层放鞋；</w:t>
            </w:r>
          </w:p>
          <w:p>
            <w:pPr>
              <w:widowControl w:val="0"/>
              <w:jc w:val="both"/>
              <w:rPr>
                <w:color w:val="auto"/>
              </w:rPr>
            </w:pPr>
          </w:p>
          <w:p>
            <w:pPr>
              <w:widowControl w:val="0"/>
              <w:jc w:val="both"/>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ign w:val="center"/>
          </w:tcPr>
          <w:p>
            <w:pPr>
              <w:widowControl w:val="0"/>
              <w:jc w:val="center"/>
              <w:rPr>
                <w:color w:val="auto"/>
              </w:rPr>
            </w:pPr>
            <w:r>
              <w:rPr>
                <w:rFonts w:hint="eastAsia"/>
                <w:color w:val="auto"/>
              </w:rPr>
              <w:t>3</w:t>
            </w:r>
          </w:p>
        </w:tc>
        <w:tc>
          <w:tcPr>
            <w:tcW w:w="1472" w:type="dxa"/>
            <w:noWrap/>
            <w:vAlign w:val="center"/>
          </w:tcPr>
          <w:p>
            <w:pPr>
              <w:widowControl w:val="0"/>
              <w:jc w:val="center"/>
              <w:rPr>
                <w:color w:val="auto"/>
              </w:rPr>
            </w:pPr>
            <w:r>
              <w:rPr>
                <w:rFonts w:hint="eastAsia"/>
                <w:color w:val="auto"/>
              </w:rPr>
              <w:t>学生座椅</w:t>
            </w:r>
          </w:p>
        </w:tc>
        <w:tc>
          <w:tcPr>
            <w:tcW w:w="2700" w:type="dxa"/>
            <w:noWrap/>
            <w:vAlign w:val="center"/>
          </w:tcPr>
          <w:p>
            <w:pPr>
              <w:widowControl w:val="0"/>
              <w:jc w:val="center"/>
              <w:rPr>
                <w:color w:val="auto"/>
              </w:rPr>
            </w:pPr>
            <w:r>
              <w:rPr>
                <w:rFonts w:hint="eastAsia"/>
                <w:color w:val="auto"/>
              </w:rPr>
              <w:t>520*540*825</w:t>
            </w:r>
          </w:p>
        </w:tc>
        <w:tc>
          <w:tcPr>
            <w:tcW w:w="2919" w:type="dxa"/>
            <w:noWrap/>
            <w:vAlign w:val="center"/>
          </w:tcPr>
          <w:p>
            <w:pPr>
              <w:widowControl w:val="0"/>
              <w:jc w:val="center"/>
              <w:rPr>
                <w:color w:val="auto"/>
              </w:rPr>
            </w:pPr>
            <w:r>
              <w:rPr>
                <w:color w:val="auto"/>
              </w:rPr>
              <w:drawing>
                <wp:inline distT="0" distB="0" distL="114300" distR="114300">
                  <wp:extent cx="1545590" cy="1302385"/>
                  <wp:effectExtent l="0" t="0" r="16510" b="12065"/>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6"/>
                          <a:stretch>
                            <a:fillRect/>
                          </a:stretch>
                        </pic:blipFill>
                        <pic:spPr>
                          <a:xfrm>
                            <a:off x="0" y="0"/>
                            <a:ext cx="1545590" cy="1302385"/>
                          </a:xfrm>
                          <a:prstGeom prst="rect">
                            <a:avLst/>
                          </a:prstGeom>
                          <a:noFill/>
                          <a:ln>
                            <a:noFill/>
                          </a:ln>
                        </pic:spPr>
                      </pic:pic>
                    </a:graphicData>
                  </a:graphic>
                </wp:inline>
              </w:drawing>
            </w:r>
          </w:p>
        </w:tc>
        <w:tc>
          <w:tcPr>
            <w:tcW w:w="872" w:type="dxa"/>
            <w:noWrap/>
            <w:vAlign w:val="center"/>
          </w:tcPr>
          <w:p>
            <w:pPr>
              <w:widowControl w:val="0"/>
              <w:jc w:val="center"/>
              <w:rPr>
                <w:color w:val="auto"/>
              </w:rPr>
            </w:pPr>
            <w:r>
              <w:rPr>
                <w:rFonts w:hint="eastAsia"/>
                <w:color w:val="auto"/>
              </w:rPr>
              <w:t>788把</w:t>
            </w:r>
          </w:p>
        </w:tc>
        <w:tc>
          <w:tcPr>
            <w:tcW w:w="1159" w:type="dxa"/>
            <w:noWrap/>
            <w:vAlign w:val="center"/>
          </w:tcPr>
          <w:p>
            <w:pPr>
              <w:widowControl w:val="0"/>
              <w:jc w:val="center"/>
              <w:rPr>
                <w:color w:val="auto"/>
              </w:rPr>
            </w:pPr>
            <w:r>
              <w:rPr>
                <w:rFonts w:hint="eastAsia" w:ascii="方正楷体_GB2312" w:hAnsi="方正楷体_GB2312" w:eastAsia="方正楷体_GB2312" w:cs="方正楷体_GB2312"/>
                <w:color w:val="auto"/>
              </w:rPr>
              <w:t>椅座、椅架</w:t>
            </w:r>
          </w:p>
        </w:tc>
        <w:tc>
          <w:tcPr>
            <w:tcW w:w="10521" w:type="dxa"/>
            <w:noWrap/>
          </w:tcPr>
          <w:p>
            <w:pPr>
              <w:widowControl w:val="0"/>
              <w:jc w:val="both"/>
              <w:rPr>
                <w:color w:val="auto"/>
              </w:rPr>
            </w:pPr>
            <w:r>
              <w:rPr>
                <w:rFonts w:hint="eastAsia"/>
                <w:color w:val="auto"/>
              </w:rPr>
              <w:t>材质说明:</w:t>
            </w:r>
          </w:p>
          <w:p>
            <w:pPr>
              <w:widowControl w:val="0"/>
              <w:jc w:val="both"/>
              <w:rPr>
                <w:color w:val="auto"/>
              </w:rPr>
            </w:pPr>
            <w:r>
              <w:rPr>
                <w:rFonts w:hint="eastAsia"/>
                <w:color w:val="auto"/>
              </w:rPr>
              <w:t>整体材质：椅身采用全新PP+玻纤增强复合材质一体注塑成型（玻纤含量30%左右），椅架采用优质钢材质，额定承重不低于150kg。</w:t>
            </w:r>
          </w:p>
          <w:p>
            <w:pPr>
              <w:widowControl w:val="0"/>
              <w:jc w:val="both"/>
              <w:rPr>
                <w:color w:val="auto"/>
              </w:rPr>
            </w:pPr>
            <w:r>
              <w:rPr>
                <w:rFonts w:hint="eastAsia"/>
                <w:color w:val="auto"/>
              </w:rPr>
              <w:t>1.椅背：采用人体工学脊柱仿生曲线设计，腰部做对角式加厚加强结构，提升支撑强度；椅背上方设置镂空提拉孔，便于挪动、堆叠、悬挂；整体边角圆弧过渡，无尖锐棱角，安全防磕碰。</w:t>
            </w:r>
          </w:p>
          <w:p>
            <w:pPr>
              <w:widowControl w:val="0"/>
              <w:jc w:val="both"/>
              <w:rPr>
                <w:color w:val="auto"/>
              </w:rPr>
            </w:pPr>
            <w:r>
              <w:rPr>
                <w:rFonts w:hint="eastAsia"/>
                <w:color w:val="auto"/>
              </w:rPr>
              <w:t>2.椅座：椅背、椅座为一体化整体注塑成型，结构整体性强、不易断裂；构件衔接处全部圆弧钝化处理，杜绝安全隐患。椅座与钢椅架采用「卡槽卡接+螺丝紧固」双重固定结构，椅座底部预留不少于6个螺丝安装孔位，连接稳固、不易松动、杜绝异响晃动。</w:t>
            </w:r>
          </w:p>
          <w:p>
            <w:pPr>
              <w:widowControl w:val="0"/>
              <w:jc w:val="both"/>
              <w:rPr>
                <w:color w:val="auto"/>
              </w:rPr>
            </w:pPr>
            <w:r>
              <w:rPr>
                <w:rFonts w:hint="eastAsia"/>
                <w:color w:val="auto"/>
              </w:rPr>
              <w:t>3.椅架：采用优质钢管制作，管材规格不低于19mm、壁厚不低于1.5mm；底部加固连接板尺寸不小于310mm×50mm、板厚不低于2.0mm。钢架表面采用高品质静电粉末喷涂工艺，涂层均匀、附着力强、耐刮耐磨、防锈防腐，底座配置防滑静音塑料脚垫，单椅配置2处防滑底座，可有效防滑、防刮地面、防拖动异响；椅子整体支持桌面悬挂收纳，不变形、不松脱。</w:t>
            </w:r>
          </w:p>
          <w:p>
            <w:pPr>
              <w:widowControl w:val="0"/>
              <w:jc w:val="both"/>
              <w:rPr>
                <w:color w:val="auto"/>
              </w:rPr>
            </w:pPr>
            <w:r>
              <w:rPr>
                <w:rFonts w:hint="eastAsia"/>
                <w:color w:val="auto"/>
              </w:rPr>
              <w:t>4.脚垫：全新PP材质固定脚垫，耐磨防滑。</w:t>
            </w:r>
          </w:p>
          <w:p>
            <w:pPr>
              <w:widowControl w:val="0"/>
              <w:jc w:val="both"/>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ign w:val="center"/>
          </w:tcPr>
          <w:p>
            <w:pPr>
              <w:widowControl w:val="0"/>
              <w:jc w:val="center"/>
              <w:rPr>
                <w:color w:val="auto"/>
              </w:rPr>
            </w:pPr>
            <w:r>
              <w:rPr>
                <w:rFonts w:hint="eastAsia"/>
                <w:color w:val="auto"/>
              </w:rPr>
              <w:t>4</w:t>
            </w:r>
          </w:p>
        </w:tc>
        <w:tc>
          <w:tcPr>
            <w:tcW w:w="1472" w:type="dxa"/>
            <w:noWrap/>
            <w:vAlign w:val="center"/>
          </w:tcPr>
          <w:p>
            <w:pPr>
              <w:widowControl w:val="0"/>
              <w:jc w:val="center"/>
              <w:rPr>
                <w:color w:val="auto"/>
              </w:rPr>
            </w:pPr>
            <w:r>
              <w:rPr>
                <w:rFonts w:hint="eastAsia"/>
                <w:color w:val="auto"/>
              </w:rPr>
              <w:t>辅导员单人床</w:t>
            </w:r>
          </w:p>
        </w:tc>
        <w:tc>
          <w:tcPr>
            <w:tcW w:w="2700" w:type="dxa"/>
            <w:noWrap/>
            <w:vAlign w:val="center"/>
          </w:tcPr>
          <w:p>
            <w:pPr>
              <w:widowControl w:val="0"/>
              <w:jc w:val="center"/>
              <w:rPr>
                <w:color w:val="auto"/>
              </w:rPr>
            </w:pPr>
            <w:r>
              <w:rPr>
                <w:rFonts w:hint="eastAsia"/>
                <w:color w:val="auto"/>
              </w:rPr>
              <w:t>2025*1000*1200</w:t>
            </w:r>
          </w:p>
        </w:tc>
        <w:tc>
          <w:tcPr>
            <w:tcW w:w="2919" w:type="dxa"/>
            <w:noWrap/>
            <w:vAlign w:val="center"/>
          </w:tcPr>
          <w:p>
            <w:pPr>
              <w:widowControl w:val="0"/>
              <w:jc w:val="center"/>
              <w:rPr>
                <w:color w:val="auto"/>
              </w:rPr>
            </w:pPr>
            <w:r>
              <w:rPr>
                <w:color w:val="auto"/>
              </w:rPr>
              <w:drawing>
                <wp:inline distT="0" distB="0" distL="114300" distR="114300">
                  <wp:extent cx="1191895" cy="1077595"/>
                  <wp:effectExtent l="0" t="0" r="8255" b="825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7"/>
                          <a:stretch>
                            <a:fillRect/>
                          </a:stretch>
                        </pic:blipFill>
                        <pic:spPr>
                          <a:xfrm>
                            <a:off x="0" y="0"/>
                            <a:ext cx="1191895" cy="1077595"/>
                          </a:xfrm>
                          <a:prstGeom prst="rect">
                            <a:avLst/>
                          </a:prstGeom>
                          <a:noFill/>
                          <a:ln>
                            <a:noFill/>
                          </a:ln>
                        </pic:spPr>
                      </pic:pic>
                    </a:graphicData>
                  </a:graphic>
                </wp:inline>
              </w:drawing>
            </w:r>
          </w:p>
        </w:tc>
        <w:tc>
          <w:tcPr>
            <w:tcW w:w="872" w:type="dxa"/>
            <w:noWrap/>
            <w:vAlign w:val="center"/>
          </w:tcPr>
          <w:p>
            <w:pPr>
              <w:widowControl w:val="0"/>
              <w:jc w:val="center"/>
              <w:rPr>
                <w:color w:val="auto"/>
              </w:rPr>
            </w:pPr>
            <w:r>
              <w:rPr>
                <w:rFonts w:hint="eastAsia"/>
                <w:color w:val="auto"/>
              </w:rPr>
              <w:t>4张</w:t>
            </w:r>
          </w:p>
        </w:tc>
        <w:tc>
          <w:tcPr>
            <w:tcW w:w="1159" w:type="dxa"/>
            <w:noWrap/>
            <w:vAlign w:val="center"/>
          </w:tcPr>
          <w:p>
            <w:pPr>
              <w:widowControl w:val="0"/>
              <w:jc w:val="center"/>
              <w:rPr>
                <w:color w:val="auto"/>
              </w:rPr>
            </w:pPr>
            <w:r>
              <w:rPr>
                <w:rFonts w:hint="eastAsia" w:ascii="方正楷体_GB2312" w:hAnsi="方正楷体_GB2312" w:eastAsia="方正楷体_GB2312" w:cs="方正楷体_GB2312"/>
                <w:color w:val="auto"/>
              </w:rPr>
              <w:t>床头、床板、床下抽屉柜、床上挂衣板</w:t>
            </w:r>
          </w:p>
        </w:tc>
        <w:tc>
          <w:tcPr>
            <w:tcW w:w="10521" w:type="dxa"/>
            <w:noWrap/>
          </w:tcPr>
          <w:p>
            <w:pPr>
              <w:widowControl w:val="0"/>
              <w:jc w:val="left"/>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材质说明：</w:t>
            </w:r>
          </w:p>
          <w:p>
            <w:pPr>
              <w:widowControl w:val="0"/>
              <w:jc w:val="left"/>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1、床头、床尾采用E0级25mm厚三聚氰胺饰面实木多层板制作，板材四面使用同色PVC热熔封边，甲醛释放量≤0.05mg/m³。</w:t>
            </w:r>
          </w:p>
          <w:p>
            <w:pPr>
              <w:widowControl w:val="0"/>
              <w:jc w:val="left"/>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2、其余柜体、隔板、抽屉围板等板材：采用E0级18mm三聚氰胺饰面实木多层板，板材四面同色PVC热熔封边。</w:t>
            </w:r>
          </w:p>
          <w:p>
            <w:pPr>
              <w:widowControl w:val="0"/>
              <w:jc w:val="left"/>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3、床下中央配置1组抽屉：抽屉面板、围板厚度18mm，抽屉底板9mm，底板四周封边防潮；配备静音三节缓冲导轨，单组抽屉承重≥30kg；统一配套内嵌式铝合金分体环形拉手，拉手整体外形尺寸≥120mm×45mm，分体上下盖组合结构，表面哑光氧化处理，无毛刺划伤。</w:t>
            </w:r>
          </w:p>
          <w:p>
            <w:pPr>
              <w:widowControl w:val="0"/>
              <w:jc w:val="left"/>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4、床下双侧行李推拉钢架：钢架深度统一850mm，主架采用Φ16×1.2mm圆管、20×20×1.2mm方管单层结构，单侧推拉盒尾部设置一体成型挡料板；限位框架采用15×30×1.2mm矩形管、20×20×1.2mm方管；所有钢制构件经除油、除锈、酸洗磷化前处理，表面静电热固粉末喷塑；推拉盒底部装配承重静音定向滚轮，带防脱限位卡扣；配套内嵌式铝合金分体拉手，规格、工艺同本文件第3条统一标准。</w:t>
            </w:r>
          </w:p>
          <w:p>
            <w:pPr>
              <w:widowControl w:val="0"/>
              <w:jc w:val="left"/>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5、床挺主材采用≥20×30×1.2mm方管、≥25×50×1.2mm矩形闭口钢管；所有焊缝满焊连续，焊缝平整无气孔、夹渣、焊穿；钢制构件统一酸洗磷化+静电粉末喷塑，防腐标准同第4条钢架要求，整体床架均布承重≥500kg。</w:t>
            </w:r>
          </w:p>
          <w:p>
            <w:pPr>
              <w:widowControl w:val="0"/>
              <w:jc w:val="left"/>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6、床板采用15mm厚优质杉木板，四面精细刨光，板材边角倒圆角处理，板面无虫蛀、死节、开裂；板条铺设间隙≤10mm；床板底部配套4根40mm×50mm实木承重横档，横档做防腐浸泡处理；木材含水率控制在8%-12%，握钉力、实木材质性能符合国家家具通用标准，板材透气不闷潮。</w:t>
            </w:r>
          </w:p>
          <w:p>
            <w:pPr>
              <w:widowControl w:val="0"/>
              <w:jc w:val="both"/>
              <w:rPr>
                <w:rFonts w:hint="eastAsia" w:ascii="方正楷体_GB2312" w:hAnsi="方正楷体_GB2312" w:eastAsia="方正楷体_GB2312" w:cs="方正楷体_GB2312"/>
                <w:color w:val="auto"/>
                <w:lang w:eastAsia="zh-CN"/>
              </w:rPr>
            </w:pPr>
            <w:r>
              <w:rPr>
                <w:rFonts w:hint="eastAsia" w:ascii="方正楷体_GB2312" w:hAnsi="方正楷体_GB2312" w:eastAsia="方正楷体_GB2312" w:cs="方正楷体_GB2312"/>
                <w:color w:val="auto"/>
              </w:rPr>
              <w:t>7、床上挂衣板基材同柜体18mmE0级多层板，板材四边采用≥1.5mm同色PVC热熔封边，隐蔽切面全封闭；板面均匀安装3组金属挂钩，每组3个，挂钩采用不锈钢材质，单钩静态承重≥15kg，表面防锈钝化处理</w:t>
            </w:r>
            <w:r>
              <w:rPr>
                <w:rFonts w:hint="eastAsia" w:ascii="方正楷体_GB2312" w:hAnsi="方正楷体_GB2312" w:eastAsia="方正楷体_GB2312" w:cs="方正楷体_GB2312"/>
                <w:color w:val="auto"/>
                <w:lang w:eastAsia="zh-CN"/>
              </w:rPr>
              <w:t>。</w:t>
            </w:r>
          </w:p>
          <w:p>
            <w:pPr>
              <w:widowControl w:val="0"/>
              <w:jc w:val="both"/>
              <w:rPr>
                <w:rFonts w:hint="eastAsia"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lang w:val="en-US" w:eastAsia="zh-CN"/>
              </w:rPr>
              <w:t>提供完整的CAD设计图及效果图纸（实物图若有可提供)，体现设计方案，充分满足宿舍高频使用环境，体现产品设计的科学性和合理性。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ign w:val="center"/>
          </w:tcPr>
          <w:p>
            <w:pPr>
              <w:widowControl w:val="0"/>
              <w:jc w:val="center"/>
              <w:rPr>
                <w:color w:val="auto"/>
              </w:rPr>
            </w:pPr>
            <w:r>
              <w:rPr>
                <w:rFonts w:hint="eastAsia"/>
                <w:color w:val="auto"/>
              </w:rPr>
              <w:t>5</w:t>
            </w:r>
          </w:p>
        </w:tc>
        <w:tc>
          <w:tcPr>
            <w:tcW w:w="1472" w:type="dxa"/>
            <w:noWrap/>
            <w:vAlign w:val="center"/>
          </w:tcPr>
          <w:p>
            <w:pPr>
              <w:widowControl w:val="0"/>
              <w:jc w:val="center"/>
              <w:rPr>
                <w:color w:val="auto"/>
              </w:rPr>
            </w:pPr>
            <w:r>
              <w:rPr>
                <w:rFonts w:hint="eastAsia"/>
                <w:color w:val="auto"/>
              </w:rPr>
              <w:t>辅导员衣柜</w:t>
            </w:r>
          </w:p>
        </w:tc>
        <w:tc>
          <w:tcPr>
            <w:tcW w:w="2700" w:type="dxa"/>
            <w:noWrap/>
            <w:vAlign w:val="center"/>
          </w:tcPr>
          <w:p>
            <w:pPr>
              <w:widowControl w:val="0"/>
              <w:jc w:val="center"/>
              <w:rPr>
                <w:color w:val="auto"/>
              </w:rPr>
            </w:pPr>
            <w:r>
              <w:rPr>
                <w:rFonts w:hint="eastAsia" w:ascii="方正楷体_GB2312" w:hAnsi="方正楷体_GB2312" w:eastAsia="方正楷体_GB2312" w:cs="方正楷体_GB2312"/>
                <w:color w:val="auto"/>
              </w:rPr>
              <w:t>900*600*2000</w:t>
            </w:r>
          </w:p>
        </w:tc>
        <w:tc>
          <w:tcPr>
            <w:tcW w:w="2919" w:type="dxa"/>
            <w:noWrap/>
            <w:vAlign w:val="center"/>
          </w:tcPr>
          <w:p>
            <w:pPr>
              <w:widowControl w:val="0"/>
              <w:jc w:val="center"/>
              <w:rPr>
                <w:color w:val="auto"/>
              </w:rPr>
            </w:pPr>
            <w:r>
              <w:rPr>
                <w:color w:val="auto"/>
              </w:rPr>
              <w:drawing>
                <wp:inline distT="0" distB="0" distL="114300" distR="114300">
                  <wp:extent cx="914400" cy="1956435"/>
                  <wp:effectExtent l="0" t="0" r="0" b="5715"/>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8"/>
                          <a:stretch>
                            <a:fillRect/>
                          </a:stretch>
                        </pic:blipFill>
                        <pic:spPr>
                          <a:xfrm>
                            <a:off x="0" y="0"/>
                            <a:ext cx="914400" cy="1956435"/>
                          </a:xfrm>
                          <a:prstGeom prst="rect">
                            <a:avLst/>
                          </a:prstGeom>
                          <a:noFill/>
                          <a:ln>
                            <a:noFill/>
                          </a:ln>
                        </pic:spPr>
                      </pic:pic>
                    </a:graphicData>
                  </a:graphic>
                </wp:inline>
              </w:drawing>
            </w:r>
          </w:p>
        </w:tc>
        <w:tc>
          <w:tcPr>
            <w:tcW w:w="872" w:type="dxa"/>
            <w:noWrap/>
            <w:vAlign w:val="center"/>
          </w:tcPr>
          <w:p>
            <w:pPr>
              <w:widowControl w:val="0"/>
              <w:jc w:val="center"/>
              <w:rPr>
                <w:color w:val="auto"/>
              </w:rPr>
            </w:pPr>
            <w:r>
              <w:rPr>
                <w:rFonts w:hint="eastAsia"/>
                <w:color w:val="auto"/>
              </w:rPr>
              <w:t>4个</w:t>
            </w:r>
          </w:p>
        </w:tc>
        <w:tc>
          <w:tcPr>
            <w:tcW w:w="1159" w:type="dxa"/>
            <w:noWrap/>
            <w:vAlign w:val="center"/>
          </w:tcPr>
          <w:p>
            <w:pPr>
              <w:widowControl w:val="0"/>
              <w:jc w:val="center"/>
              <w:rPr>
                <w:color w:val="auto"/>
              </w:rPr>
            </w:pPr>
            <w:r>
              <w:rPr>
                <w:rFonts w:hint="eastAsia" w:ascii="方正楷体_GB2312" w:hAnsi="方正楷体_GB2312" w:eastAsia="方正楷体_GB2312" w:cs="方正楷体_GB2312"/>
                <w:color w:val="auto"/>
              </w:rPr>
              <w:t>木板、钢架</w:t>
            </w:r>
          </w:p>
        </w:tc>
        <w:tc>
          <w:tcPr>
            <w:tcW w:w="10521" w:type="dxa"/>
            <w:noWrap/>
          </w:tcPr>
          <w:p>
            <w:pPr>
              <w:widowControl w:val="0"/>
              <w:jc w:val="left"/>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材质说明：</w:t>
            </w:r>
          </w:p>
          <w:p>
            <w:pPr>
              <w:widowControl w:val="0"/>
              <w:jc w:val="left"/>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1、衣柜采用不锈钢挂衣杆+层板设计，实现短长衣组合。</w:t>
            </w:r>
          </w:p>
          <w:p>
            <w:pPr>
              <w:widowControl w:val="0"/>
              <w:jc w:val="left"/>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2、板材：采用18mm厚三聚氰胺饰面实木多层板，环保要求达到E0级，甲醛释放量≤0.05mg/m³。</w:t>
            </w:r>
          </w:p>
          <w:p>
            <w:pPr>
              <w:widowControl w:val="0"/>
              <w:jc w:val="left"/>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3、封边：板材全部采用同色PVC热熔封边条PUR工艺封边，柜体背板、板材裁切隐蔽切面全部封闭处理，颜色要求与板材一致；</w:t>
            </w:r>
          </w:p>
          <w:p>
            <w:pPr>
              <w:widowControl w:val="0"/>
              <w:jc w:val="left"/>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4、柜门拉手采用内嵌式分体铝合金环形拉手，整体外形尺寸≥120mm×45mm，由上下盖两段组合成型，铝合金表面哑光氧化处理，无毛刺、尖锐棱角；门铰链采用静音阻尼液压铰链，开合自带缓冲自动闭合，无撞击噪音，单扇门铰链承重≥25kg，整体防锈耐腐蚀；衣柜配套不锈钢实心挂衣杆，壁厚≥1.0mm，单根挂杆静态承重≥40kg，表面抛光防锈；柜门配置配套金属门锁，带配套锁舌。</w:t>
            </w:r>
          </w:p>
          <w:p>
            <w:pPr>
              <w:widowControl w:val="0"/>
              <w:jc w:val="left"/>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5、衣柜下方隔层置物架采用Φ16*1.2 mm圆管、20*2mm加厚扁铁焊接成型，焊缝满焊平整无毛刺；所有钢构件经除油、除锈、酸洗磷化全套前处理后，表面静电喷塑处理。</w:t>
            </w:r>
          </w:p>
          <w:p>
            <w:pPr>
              <w:widowControl w:val="0"/>
              <w:jc w:val="both"/>
              <w:rPr>
                <w:rFonts w:hint="eastAsia"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6、衣柜下设置防潮架采用20*40*1.2mm方管制作，表面经酸洗磷化处理后，静电喷塑处理。</w:t>
            </w:r>
          </w:p>
          <w:p>
            <w:pPr>
              <w:widowControl w:val="0"/>
              <w:jc w:val="both"/>
              <w:rPr>
                <w:rFonts w:hint="eastAsia"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lang w:val="en-US" w:eastAsia="zh-CN"/>
              </w:rPr>
              <w:t>提供完整的CAD设计图及效果图纸（实物图若有可提供)，体现设计方案，充分满足宿舍高频使用环境，体现产品设计的科学性和合理性。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ign w:val="center"/>
          </w:tcPr>
          <w:p>
            <w:pPr>
              <w:widowControl w:val="0"/>
              <w:jc w:val="center"/>
              <w:rPr>
                <w:color w:val="auto"/>
              </w:rPr>
            </w:pPr>
            <w:r>
              <w:rPr>
                <w:rFonts w:hint="eastAsia"/>
                <w:color w:val="auto"/>
              </w:rPr>
              <w:t>6</w:t>
            </w:r>
          </w:p>
        </w:tc>
        <w:tc>
          <w:tcPr>
            <w:tcW w:w="1472" w:type="dxa"/>
            <w:noWrap/>
            <w:vAlign w:val="center"/>
          </w:tcPr>
          <w:p>
            <w:pPr>
              <w:widowControl w:val="0"/>
              <w:jc w:val="center"/>
              <w:rPr>
                <w:color w:val="auto"/>
              </w:rPr>
            </w:pPr>
            <w:r>
              <w:rPr>
                <w:rFonts w:hint="eastAsia"/>
                <w:color w:val="auto"/>
              </w:rPr>
              <w:t>辅导员书桌</w:t>
            </w:r>
          </w:p>
        </w:tc>
        <w:tc>
          <w:tcPr>
            <w:tcW w:w="2700" w:type="dxa"/>
            <w:noWrap/>
            <w:vAlign w:val="center"/>
          </w:tcPr>
          <w:p>
            <w:pPr>
              <w:widowControl w:val="0"/>
              <w:jc w:val="center"/>
              <w:rPr>
                <w:color w:val="auto"/>
              </w:rPr>
            </w:pPr>
            <w:r>
              <w:rPr>
                <w:rFonts w:hint="eastAsia" w:ascii="方正楷体_GB2312" w:hAnsi="方正楷体_GB2312" w:eastAsia="方正楷体_GB2312" w:cs="方正楷体_GB2312"/>
                <w:color w:val="auto"/>
              </w:rPr>
              <w:t>1200*600*2000</w:t>
            </w:r>
          </w:p>
        </w:tc>
        <w:tc>
          <w:tcPr>
            <w:tcW w:w="2919" w:type="dxa"/>
            <w:noWrap/>
            <w:vAlign w:val="center"/>
          </w:tcPr>
          <w:p>
            <w:pPr>
              <w:widowControl w:val="0"/>
              <w:jc w:val="center"/>
              <w:rPr>
                <w:color w:val="auto"/>
              </w:rPr>
            </w:pPr>
            <w:r>
              <w:rPr>
                <w:color w:val="auto"/>
              </w:rPr>
              <w:drawing>
                <wp:inline distT="0" distB="0" distL="114300" distR="114300">
                  <wp:extent cx="782320" cy="1374140"/>
                  <wp:effectExtent l="0" t="0" r="17780" b="1651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9"/>
                          <a:stretch>
                            <a:fillRect/>
                          </a:stretch>
                        </pic:blipFill>
                        <pic:spPr>
                          <a:xfrm>
                            <a:off x="0" y="0"/>
                            <a:ext cx="782320" cy="1374140"/>
                          </a:xfrm>
                          <a:prstGeom prst="rect">
                            <a:avLst/>
                          </a:prstGeom>
                          <a:noFill/>
                          <a:ln>
                            <a:noFill/>
                          </a:ln>
                        </pic:spPr>
                      </pic:pic>
                    </a:graphicData>
                  </a:graphic>
                </wp:inline>
              </w:drawing>
            </w:r>
          </w:p>
        </w:tc>
        <w:tc>
          <w:tcPr>
            <w:tcW w:w="872" w:type="dxa"/>
            <w:noWrap/>
            <w:vAlign w:val="center"/>
          </w:tcPr>
          <w:p>
            <w:pPr>
              <w:widowControl w:val="0"/>
              <w:jc w:val="center"/>
              <w:rPr>
                <w:color w:val="auto"/>
              </w:rPr>
            </w:pPr>
            <w:r>
              <w:rPr>
                <w:rFonts w:hint="eastAsia"/>
                <w:color w:val="auto"/>
              </w:rPr>
              <w:t>4张</w:t>
            </w:r>
          </w:p>
        </w:tc>
        <w:tc>
          <w:tcPr>
            <w:tcW w:w="1159" w:type="dxa"/>
            <w:noWrap/>
            <w:vAlign w:val="center"/>
          </w:tcPr>
          <w:p>
            <w:pPr>
              <w:widowControl w:val="0"/>
              <w:jc w:val="center"/>
              <w:rPr>
                <w:color w:val="auto"/>
              </w:rPr>
            </w:pPr>
            <w:r>
              <w:rPr>
                <w:rFonts w:hint="eastAsia" w:ascii="方正楷体_GB2312" w:hAnsi="方正楷体_GB2312" w:eastAsia="方正楷体_GB2312" w:cs="方正楷体_GB2312"/>
                <w:color w:val="auto"/>
              </w:rPr>
              <w:t>木板、桌面、抽屉</w:t>
            </w:r>
          </w:p>
        </w:tc>
        <w:tc>
          <w:tcPr>
            <w:tcW w:w="10521" w:type="dxa"/>
            <w:noWrap/>
          </w:tcPr>
          <w:p>
            <w:pPr>
              <w:widowControl w:val="0"/>
              <w:jc w:val="left"/>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材质说明：</w:t>
            </w:r>
          </w:p>
          <w:p>
            <w:pPr>
              <w:widowControl w:val="0"/>
              <w:jc w:val="both"/>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1）所有柜体、书架、桌面采用采用25mm、18mmE0级实木多层双饰面板，木纹色、暖白色双面三聚氰胺浸渍纸压贴；板材甲醛释放量≤0.05mg/m³。所有板材四周采用2.0mm厚优质同色PVC封边，采用PUR热熔无缝封边工艺。</w:t>
            </w:r>
          </w:p>
          <w:p>
            <w:pPr>
              <w:widowControl w:val="0"/>
              <w:jc w:val="both"/>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2）拉手：采用ABS环保材质，拉手为内嵌式结构，表面哑光耐刮、无尖锐棱角、耐老化、不易断裂变形。</w:t>
            </w:r>
          </w:p>
          <w:p>
            <w:pPr>
              <w:widowControl w:val="0"/>
              <w:jc w:val="both"/>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3）五金：所有铰链、导轨、锁具均采用国标优质家具五金件；铰链带液压阻尼缓冲、静音自闭、无撞击异响，开合耐久、防锈防腐；抽屉导轨为静音三节导轨，推拉顺滑无卡。</w:t>
            </w:r>
          </w:p>
          <w:p>
            <w:pPr>
              <w:widowControl w:val="0"/>
              <w:jc w:val="both"/>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功能说明：</w:t>
            </w:r>
          </w:p>
          <w:p>
            <w:pPr>
              <w:widowControl w:val="0"/>
              <w:jc w:val="both"/>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1）书架：书架分成2层，上层设四门；门板均采用倒斜边拉手设计。</w:t>
            </w:r>
          </w:p>
          <w:p>
            <w:pPr>
              <w:widowControl w:val="0"/>
              <w:jc w:val="both"/>
              <w:rPr>
                <w:rFonts w:hint="eastAsia"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2）书桌：桌面配置过线盖，桌下配置双抽屉，带锁舌，桌上配置挡板，高度100mm。书桌内设2个抽屉，抽屉面板及抽屉围板16mm厚，抽屉底板9mm厚，其余18mm厚，抽屉采用抽面下挂无拉手结构；侧桌内侧可收纳行李箱，外侧设2层隔板；书桌下设置防潮架采用20*40*1.2mm方管制作。</w:t>
            </w:r>
          </w:p>
          <w:p>
            <w:pPr>
              <w:widowControl w:val="0"/>
              <w:jc w:val="both"/>
              <w:rPr>
                <w:rFonts w:hint="eastAsia"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lang w:val="en-US" w:eastAsia="zh-CN"/>
              </w:rPr>
              <w:t>提供完整的CAD设计图及效果图纸（实物图若有可提供)，体现设计方案，充分满足宿舍高频使用环境，体现产品设计的科学性和合理性。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ign w:val="center"/>
          </w:tcPr>
          <w:p>
            <w:pPr>
              <w:widowControl w:val="0"/>
              <w:jc w:val="center"/>
              <w:rPr>
                <w:color w:val="auto"/>
              </w:rPr>
            </w:pPr>
            <w:r>
              <w:rPr>
                <w:rFonts w:hint="eastAsia"/>
                <w:color w:val="auto"/>
              </w:rPr>
              <w:t>7</w:t>
            </w:r>
          </w:p>
        </w:tc>
        <w:tc>
          <w:tcPr>
            <w:tcW w:w="1472" w:type="dxa"/>
            <w:noWrap/>
            <w:vAlign w:val="center"/>
          </w:tcPr>
          <w:p>
            <w:pPr>
              <w:widowControl w:val="0"/>
              <w:jc w:val="center"/>
              <w:rPr>
                <w:color w:val="auto"/>
              </w:rPr>
            </w:pPr>
            <w:r>
              <w:rPr>
                <w:rFonts w:hint="eastAsia" w:ascii="方正楷体_GB2312" w:hAnsi="方正楷体_GB2312" w:eastAsia="方正楷体_GB2312" w:cs="方正楷体_GB2312"/>
                <w:color w:val="auto"/>
              </w:rPr>
              <w:t>辅导员椅子</w:t>
            </w:r>
          </w:p>
        </w:tc>
        <w:tc>
          <w:tcPr>
            <w:tcW w:w="2700" w:type="dxa"/>
            <w:noWrap/>
            <w:vAlign w:val="center"/>
          </w:tcPr>
          <w:p>
            <w:pPr>
              <w:widowControl w:val="0"/>
              <w:jc w:val="center"/>
              <w:rPr>
                <w:color w:val="auto"/>
              </w:rPr>
            </w:pPr>
            <w:r>
              <w:rPr>
                <w:rFonts w:hint="eastAsia" w:ascii="方正楷体_GB2312" w:hAnsi="方正楷体_GB2312" w:eastAsia="方正楷体_GB2312" w:cs="方正楷体_GB2312"/>
                <w:color w:val="auto"/>
              </w:rPr>
              <w:t>455*505*850mm</w:t>
            </w:r>
          </w:p>
        </w:tc>
        <w:tc>
          <w:tcPr>
            <w:tcW w:w="2919" w:type="dxa"/>
            <w:noWrap/>
            <w:vAlign w:val="center"/>
          </w:tcPr>
          <w:p>
            <w:pPr>
              <w:widowControl w:val="0"/>
              <w:jc w:val="center"/>
              <w:rPr>
                <w:color w:val="auto"/>
              </w:rPr>
            </w:pPr>
            <w:r>
              <w:rPr>
                <w:rFonts w:hint="eastAsia" w:ascii="方正楷体_GB2312" w:hAnsi="方正楷体_GB2312" w:eastAsia="方正楷体_GB2312" w:cs="方正楷体_GB2312"/>
                <w:color w:val="auto"/>
              </w:rPr>
              <w:drawing>
                <wp:inline distT="0" distB="0" distL="114300" distR="114300">
                  <wp:extent cx="801370" cy="1127125"/>
                  <wp:effectExtent l="0" t="0" r="17780" b="15875"/>
                  <wp:docPr id="6" name="图片 7" descr="5af80c3290952a34ef13ec277f11e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descr="5af80c3290952a34ef13ec277f11e51"/>
                          <pic:cNvPicPr>
                            <a:picLocks noChangeAspect="1"/>
                          </pic:cNvPicPr>
                        </pic:nvPicPr>
                        <pic:blipFill>
                          <a:blip r:embed="rId10"/>
                          <a:stretch>
                            <a:fillRect/>
                          </a:stretch>
                        </pic:blipFill>
                        <pic:spPr>
                          <a:xfrm>
                            <a:off x="0" y="0"/>
                            <a:ext cx="801370" cy="1127125"/>
                          </a:xfrm>
                          <a:prstGeom prst="rect">
                            <a:avLst/>
                          </a:prstGeom>
                          <a:noFill/>
                          <a:ln>
                            <a:noFill/>
                          </a:ln>
                        </pic:spPr>
                      </pic:pic>
                    </a:graphicData>
                  </a:graphic>
                </wp:inline>
              </w:drawing>
            </w:r>
          </w:p>
        </w:tc>
        <w:tc>
          <w:tcPr>
            <w:tcW w:w="872" w:type="dxa"/>
            <w:noWrap/>
            <w:vAlign w:val="center"/>
          </w:tcPr>
          <w:p>
            <w:pPr>
              <w:widowControl w:val="0"/>
              <w:jc w:val="center"/>
              <w:rPr>
                <w:color w:val="auto"/>
              </w:rPr>
            </w:pPr>
            <w:r>
              <w:rPr>
                <w:rFonts w:hint="eastAsia"/>
                <w:color w:val="auto"/>
              </w:rPr>
              <w:t>4把</w:t>
            </w:r>
          </w:p>
        </w:tc>
        <w:tc>
          <w:tcPr>
            <w:tcW w:w="1159" w:type="dxa"/>
            <w:noWrap/>
            <w:vAlign w:val="center"/>
          </w:tcPr>
          <w:p>
            <w:pPr>
              <w:widowControl w:val="0"/>
              <w:jc w:val="center"/>
              <w:rPr>
                <w:color w:val="auto"/>
              </w:rPr>
            </w:pPr>
            <w:r>
              <w:rPr>
                <w:rFonts w:hint="eastAsia" w:ascii="方正楷体_GB2312" w:hAnsi="方正楷体_GB2312" w:eastAsia="方正楷体_GB2312" w:cs="方正楷体_GB2312"/>
                <w:color w:val="auto"/>
              </w:rPr>
              <w:t>椅背、椅架、扶手、气杆、底盘</w:t>
            </w:r>
          </w:p>
        </w:tc>
        <w:tc>
          <w:tcPr>
            <w:tcW w:w="10521" w:type="dxa"/>
            <w:noWrap/>
          </w:tcPr>
          <w:p>
            <w:pPr>
              <w:widowControl w:val="0"/>
              <w:jc w:val="both"/>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材质说明：</w:t>
            </w:r>
          </w:p>
          <w:p>
            <w:pPr>
              <w:widowControl w:val="0"/>
              <w:jc w:val="both"/>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1.椅背：采用全新玻纤增强尼龙一体背框，蓝、灰、绿、粉四种配色可选。椅背具备倾仰调节功能，倾扬角度不低于13度。椅背宽度≥450mm，椅背高度≥410mm，均匀分布透气散热孔。</w:t>
            </w:r>
          </w:p>
          <w:p>
            <w:pPr>
              <w:widowControl w:val="0"/>
              <w:jc w:val="both"/>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2.椅座：全新玻纤增强尼龙一体注塑成型，椅座宽度≥430mm，座深度≥480mm，椅座与扶手一次注塑成型，含扶手宽度≥660mm，座面内置高密度定型海绵，海绵密度≥45kg/m³，采用环保水性胶贴合，无刺激性异味，海绵回弹、压缩永久变形符合家具国标。</w:t>
            </w:r>
          </w:p>
          <w:p>
            <w:pPr>
              <w:widowControl w:val="0"/>
              <w:jc w:val="both"/>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3.扶手：配套软质PU发泡扶手面，尺寸为：≥60*220mm，采用环保水性胶粘接牢固；扶手整体向下倾斜，与水平线夹角21°（±3°），PU表层耐刮、耐老化、无有害物质析出。</w:t>
            </w:r>
          </w:p>
          <w:p>
            <w:pPr>
              <w:widowControl w:val="0"/>
              <w:jc w:val="both"/>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4.机构：全玻纤增强尼龙一体成型升降底盘，结构稳固，升降调节顺滑无卡顿，配套阻尼缓冲结构。</w:t>
            </w:r>
          </w:p>
          <w:p>
            <w:pPr>
              <w:widowControl w:val="0"/>
              <w:jc w:val="both"/>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5.气杆：采用氮化处理加厚钢芯气压棒，氮气纯度≥99.5%，最大升降行程100mm；经10万次升降循环测试无漏气、损坏，额定静态承重≥155kg</w:t>
            </w:r>
          </w:p>
          <w:p>
            <w:pPr>
              <w:widowControl w:val="0"/>
              <w:jc w:val="both"/>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6.椅脚：340#尼龙脚，内部加强筋处理质量更稳定。</w:t>
            </w:r>
          </w:p>
          <w:p>
            <w:pPr>
              <w:widowControl w:val="0"/>
              <w:jc w:val="both"/>
              <w:rPr>
                <w:rFonts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7.脚轮：直径60mm，静音包胶材质；在≥100kg负重条件下，往复转动10万次无开裂、脱落，滚动顺滑，硬质地面无划痕。</w:t>
            </w:r>
          </w:p>
          <w:p>
            <w:pPr>
              <w:widowControl w:val="0"/>
              <w:jc w:val="both"/>
              <w:rPr>
                <w:rFonts w:hint="eastAsia"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rPr>
              <w:t>8.面料：采用三防面料4级防水、6级抗油，干湿耐摩擦色牢度4级可达10万次耐磨测试。</w:t>
            </w:r>
          </w:p>
          <w:p>
            <w:pPr>
              <w:widowControl w:val="0"/>
              <w:jc w:val="both"/>
              <w:rPr>
                <w:rFonts w:hint="eastAsia" w:ascii="方正楷体_GB2312" w:hAnsi="方正楷体_GB2312" w:eastAsia="方正楷体_GB2312" w:cs="方正楷体_GB2312"/>
                <w:color w:val="auto"/>
              </w:rPr>
            </w:pPr>
            <w:r>
              <w:rPr>
                <w:rFonts w:hint="eastAsia" w:ascii="方正楷体_GB2312" w:hAnsi="方正楷体_GB2312" w:eastAsia="方正楷体_GB2312" w:cs="方正楷体_GB2312"/>
                <w:color w:val="auto"/>
                <w:lang w:val="en-US" w:eastAsia="zh-CN"/>
              </w:rPr>
              <w:t>提供完整的CAD设计图及效果图纸（实物图若有可提供)，体现设计方案，充分满足宿舍高频使用环境，体现产品设计的科学性和合理性。</w:t>
            </w:r>
          </w:p>
        </w:tc>
      </w:tr>
    </w:tbl>
    <w:p>
      <w:pPr>
        <w:rPr>
          <w:color w:val="auto"/>
        </w:rPr>
      </w:pPr>
    </w:p>
    <w:p>
      <w:pPr>
        <w:rPr>
          <w:color w:val="auto"/>
        </w:rPr>
      </w:pPr>
    </w:p>
    <w:p>
      <w:pPr>
        <w:rPr>
          <w:color w:val="auto"/>
        </w:rPr>
      </w:pP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注：</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1）投标方应对投标货物品牌、尺寸规格、颜色、材料、质量、性能等作出说明，提供所投产品的技术参数偏离表，按实际情况注明以上清单产品各项技术参数偏离情况（正偏离/满足/负偏离），技术要求偏离表不能违背真实的参数和指标。</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2）项目需求中指出的工艺、材料和货物的标准以及参照的技术参数、图片或型号仅起说明作用，并没有任何限制性和排他性，响应方在投标中可以选用其他替代标准、技术参数或型号，但这些替代应以不影响产品质量或功能实现为前提。</w:t>
      </w:r>
    </w:p>
    <w:p>
      <w:pPr>
        <w:pStyle w:val="6"/>
        <w:ind w:left="0" w:leftChars="0" w:firstLine="420" w:firstLineChars="200"/>
        <w:rPr>
          <w:rFonts w:ascii="宋体" w:hAnsi="宋体" w:cs="宋体"/>
          <w:color w:val="auto"/>
          <w:sz w:val="21"/>
          <w:szCs w:val="21"/>
        </w:rPr>
      </w:pPr>
      <w:r>
        <w:rPr>
          <w:rFonts w:hint="eastAsia" w:ascii="宋体" w:hAnsi="宋体" w:cs="宋体"/>
          <w:color w:val="auto"/>
          <w:sz w:val="21"/>
          <w:szCs w:val="21"/>
        </w:rPr>
        <w:t>（3）项目需求中指出的技术标准与规范如有更新，应以最新的标准规范实施。</w:t>
      </w:r>
    </w:p>
    <w:p>
      <w:pPr>
        <w:pStyle w:val="17"/>
        <w:widowControl/>
        <w:numPr>
          <w:ilvl w:val="0"/>
          <w:numId w:val="0"/>
        </w:numPr>
        <w:ind w:firstLine="420" w:firstLineChars="200"/>
        <w:jc w:val="left"/>
        <w:rPr>
          <w:rFonts w:cs="宋体"/>
          <w:b/>
          <w:bCs/>
          <w:color w:val="auto"/>
          <w:sz w:val="28"/>
          <w:szCs w:val="28"/>
        </w:rPr>
      </w:pPr>
      <w:r>
        <w:rPr>
          <w:rFonts w:hint="eastAsia" w:cs="宋体"/>
          <w:color w:val="auto"/>
          <w:sz w:val="21"/>
          <w:szCs w:val="21"/>
        </w:rPr>
        <w:t>（4）所有采购家具产品，均需经使用方确认最终的色样方可采购或制作。</w:t>
      </w:r>
    </w:p>
    <w:p>
      <w:pPr>
        <w:pStyle w:val="17"/>
        <w:widowControl/>
        <w:numPr>
          <w:ilvl w:val="0"/>
          <w:numId w:val="0"/>
        </w:numPr>
        <w:jc w:val="left"/>
        <w:rPr>
          <w:rFonts w:cs="宋体"/>
          <w:b/>
          <w:bCs/>
          <w:color w:val="auto"/>
          <w:sz w:val="28"/>
          <w:szCs w:val="28"/>
        </w:rPr>
      </w:pPr>
    </w:p>
    <w:p>
      <w:pPr>
        <w:rPr>
          <w:color w:val="auto"/>
        </w:rPr>
        <w:sectPr>
          <w:pgSz w:w="23811" w:h="16840" w:orient="landscape"/>
          <w:pgMar w:top="1440" w:right="1800" w:bottom="1440" w:left="1800" w:header="0" w:footer="0" w:gutter="0"/>
          <w:cols w:space="720" w:num="1"/>
          <w:docGrid w:linePitch="312" w:charSpace="0"/>
        </w:sectPr>
      </w:pPr>
    </w:p>
    <w:p>
      <w:pPr>
        <w:spacing w:before="123" w:line="360" w:lineRule="auto"/>
        <w:outlineLvl w:val="6"/>
        <w:rPr>
          <w:rFonts w:ascii="宋体" w:hAnsi="宋体" w:cs="宋体"/>
          <w:color w:val="auto"/>
          <w:sz w:val="24"/>
          <w:szCs w:val="24"/>
        </w:rPr>
      </w:pPr>
      <w:r>
        <w:rPr>
          <w:rFonts w:hint="eastAsia" w:ascii="宋体" w:hAnsi="宋体" w:cs="宋体"/>
          <w:b/>
          <w:bCs/>
          <w:color w:val="auto"/>
          <w:sz w:val="24"/>
          <w:szCs w:val="24"/>
        </w:rPr>
        <w:t>四、材料要求</w:t>
      </w:r>
    </w:p>
    <w:p>
      <w:pPr>
        <w:pStyle w:val="3"/>
        <w:spacing w:line="360" w:lineRule="auto"/>
        <w:rPr>
          <w:color w:val="auto"/>
          <w:sz w:val="21"/>
          <w:szCs w:val="21"/>
        </w:rPr>
      </w:pPr>
      <w:r>
        <w:rPr>
          <w:rFonts w:hint="eastAsia"/>
          <w:color w:val="auto"/>
          <w:sz w:val="21"/>
          <w:szCs w:val="21"/>
        </w:rPr>
        <w:t>本项目采用的材料需符合以下要求：</w:t>
      </w:r>
    </w:p>
    <w:p>
      <w:pPr>
        <w:kinsoku/>
        <w:autoSpaceDE/>
        <w:autoSpaceDN/>
        <w:adjustRightInd/>
        <w:snapToGrid/>
        <w:spacing w:line="360" w:lineRule="auto"/>
        <w:textAlignment w:val="auto"/>
        <w:rPr>
          <w:rFonts w:ascii="宋体" w:hAnsi="宋体" w:cs="宋体"/>
          <w:snapToGrid/>
          <w:color w:val="auto"/>
        </w:rPr>
      </w:pPr>
      <w:r>
        <w:rPr>
          <w:rFonts w:hint="eastAsia" w:ascii="宋体" w:hAnsi="宋体" w:cs="宋体"/>
          <w:b/>
          <w:bCs/>
          <w:snapToGrid/>
          <w:color w:val="auto"/>
        </w:rPr>
        <w:t>(1)多层实木板</w:t>
      </w:r>
      <w:r>
        <w:rPr>
          <w:rFonts w:hint="eastAsia" w:ascii="宋体" w:hAnsi="宋体" w:cs="宋体"/>
          <w:snapToGrid/>
          <w:color w:val="auto"/>
        </w:rPr>
        <w:t>:符合GB/T 34722-2025理化性能-胶合强度胶合板基材≥0.70，表面胶合强度（MPa）≥0.60MPa，耐龟裂达到 5级；GB 8624-2012燃烧性能等级B1级；JC/T 2039-2010 防霉等级达到1级或更优级别。</w:t>
      </w:r>
    </w:p>
    <w:p>
      <w:pPr>
        <w:kinsoku/>
        <w:autoSpaceDE/>
        <w:autoSpaceDN/>
        <w:adjustRightInd/>
        <w:snapToGrid/>
        <w:spacing w:line="360" w:lineRule="auto"/>
        <w:textAlignment w:val="auto"/>
        <w:rPr>
          <w:rFonts w:ascii="宋体" w:hAnsi="宋体" w:cs="宋体"/>
          <w:snapToGrid/>
          <w:color w:val="auto"/>
        </w:rPr>
      </w:pPr>
      <w:r>
        <w:rPr>
          <w:rFonts w:hint="eastAsia" w:ascii="宋体" w:hAnsi="宋体" w:cs="宋体"/>
          <w:b/>
          <w:bCs/>
          <w:snapToGrid/>
          <w:color w:val="auto"/>
        </w:rPr>
        <w:t>(2)五金配件</w:t>
      </w:r>
      <w:r>
        <w:rPr>
          <w:rFonts w:hint="eastAsia" w:ascii="宋体" w:hAnsi="宋体" w:cs="宋体"/>
          <w:snapToGrid/>
          <w:color w:val="auto"/>
        </w:rPr>
        <w:t>：阻尼导轨：符合QB/T 2454-2013、QB/T 3832-1999、QB/T3826-1999、QB/T3827-1999标准，其中垂直向下静载荷、水平静载荷均合格，金属表面耐腐蚀-中性盐雾试验连续喷雾300h，乙酸盐雾试验连续喷雾100h，镀层保护等级、外观等级均达到10级。</w:t>
      </w:r>
    </w:p>
    <w:p>
      <w:pPr>
        <w:kinsoku/>
        <w:autoSpaceDE/>
        <w:autoSpaceDN/>
        <w:adjustRightInd/>
        <w:snapToGrid/>
        <w:spacing w:line="360" w:lineRule="auto"/>
        <w:textAlignment w:val="auto"/>
        <w:rPr>
          <w:rFonts w:ascii="宋体" w:hAnsi="宋体" w:cs="宋体"/>
          <w:snapToGrid/>
          <w:color w:val="auto"/>
        </w:rPr>
      </w:pPr>
      <w:r>
        <w:rPr>
          <w:rFonts w:hint="eastAsia" w:ascii="宋体" w:hAnsi="宋体" w:cs="宋体"/>
          <w:b/>
          <w:bCs/>
          <w:snapToGrid/>
          <w:color w:val="auto"/>
        </w:rPr>
        <w:t>(3)五金配件</w:t>
      </w:r>
      <w:r>
        <w:rPr>
          <w:rFonts w:hint="eastAsia" w:ascii="宋体" w:hAnsi="宋体" w:cs="宋体"/>
          <w:snapToGrid/>
          <w:color w:val="auto"/>
        </w:rPr>
        <w:t>：阻尼铰链：符合QB/T 3832-1999、QB/T3827-1999、QB/T 2189-2013标准，其中垂直向下静载荷、水平静载荷均合格，金属表面耐腐蚀-中性盐雾试验连续喷雾300h，乙酸盐雾试验连续喷雾100h，镀层保护等级、外观等级均达到10级。</w:t>
      </w:r>
    </w:p>
    <w:p>
      <w:pPr>
        <w:kinsoku/>
        <w:autoSpaceDE/>
        <w:autoSpaceDN/>
        <w:adjustRightInd/>
        <w:snapToGrid/>
        <w:spacing w:line="360" w:lineRule="auto"/>
        <w:textAlignment w:val="auto"/>
        <w:rPr>
          <w:rFonts w:ascii="宋体" w:hAnsi="宋体" w:cs="宋体"/>
          <w:snapToGrid/>
          <w:color w:val="auto"/>
        </w:rPr>
      </w:pPr>
      <w:r>
        <w:rPr>
          <w:rFonts w:hint="eastAsia" w:ascii="宋体" w:hAnsi="宋体" w:cs="宋体"/>
          <w:b/>
          <w:bCs/>
          <w:snapToGrid/>
          <w:color w:val="auto"/>
        </w:rPr>
        <w:t>(4)封边条</w:t>
      </w:r>
      <w:r>
        <w:rPr>
          <w:rFonts w:hint="eastAsia" w:ascii="宋体" w:hAnsi="宋体" w:cs="宋体"/>
          <w:snapToGrid/>
          <w:color w:val="auto"/>
        </w:rPr>
        <w:t>：符合QB/T 4463-2025（①耐干热性≥4级；②耐磨性：磨40r 后应无露底现象；③耐龟裂性≥4级；④耐冷热循环性应无裂纹、无鼓泡；⑤耐光色牢度≥4 级；甲醛释放量：≤0.5 mg/L；氯乙烯单体：未检出；可溶性重金属（铅、镉、铬、汞、砷、钡、锑、硒）：未检出；多溴联苯：未检出；邻苯二甲酸酯（DBP、BBP、DEHP、DNOP、DINP、DIDP）：未检出），塑料件耐老化不小于300h；GB/T24128-2018防霉等级达到1级或更优级别。</w:t>
      </w:r>
    </w:p>
    <w:p>
      <w:pPr>
        <w:kinsoku/>
        <w:autoSpaceDE/>
        <w:autoSpaceDN/>
        <w:adjustRightInd/>
        <w:snapToGrid/>
        <w:spacing w:line="360" w:lineRule="auto"/>
        <w:textAlignment w:val="auto"/>
        <w:rPr>
          <w:rFonts w:ascii="宋体" w:hAnsi="宋体" w:cs="宋体"/>
          <w:snapToGrid/>
          <w:color w:val="auto"/>
        </w:rPr>
      </w:pPr>
      <w:r>
        <w:rPr>
          <w:rFonts w:hint="eastAsia" w:ascii="宋体" w:hAnsi="宋体" w:cs="宋体"/>
          <w:b/>
          <w:bCs/>
          <w:snapToGrid/>
          <w:color w:val="auto"/>
        </w:rPr>
        <w:t>(5)喷粉</w:t>
      </w:r>
      <w:r>
        <w:rPr>
          <w:rFonts w:hint="eastAsia" w:ascii="宋体" w:hAnsi="宋体" w:cs="宋体"/>
          <w:snapToGrid/>
          <w:color w:val="auto"/>
        </w:rPr>
        <w:t>：符合HG/T 2006-2022，外观色泽均匀，无结块，无异物，呈松散干燥粉末状；干附着力≤1级，中性盐雾试验（300h）无异常现象，耐冷夜性、耐污染性无异常；GB/T 40906-2021：邻苯二甲酸（DBP、BBP、DEHP、DNOP、DINP、DIDP）未检出；GB/T 23991-2009：可溶性元素含量（锑、砷、钡、镉、铬、铅、汞、硒）未检出</w:t>
      </w:r>
    </w:p>
    <w:p>
      <w:pPr>
        <w:kinsoku/>
        <w:autoSpaceDE/>
        <w:autoSpaceDN/>
        <w:adjustRightInd/>
        <w:snapToGrid/>
        <w:spacing w:line="360" w:lineRule="auto"/>
        <w:textAlignment w:val="auto"/>
        <w:rPr>
          <w:rFonts w:ascii="宋体" w:hAnsi="宋体" w:cs="宋体"/>
          <w:snapToGrid/>
          <w:color w:val="auto"/>
        </w:rPr>
      </w:pPr>
      <w:r>
        <w:rPr>
          <w:rFonts w:hint="eastAsia" w:ascii="宋体" w:hAnsi="宋体" w:cs="宋体"/>
          <w:b/>
          <w:bCs/>
          <w:snapToGrid/>
          <w:color w:val="auto"/>
        </w:rPr>
        <w:t>(6)环保封边胶</w:t>
      </w:r>
      <w:r>
        <w:rPr>
          <w:rFonts w:hint="eastAsia" w:ascii="宋体" w:hAnsi="宋体" w:cs="宋体"/>
          <w:snapToGrid/>
          <w:color w:val="auto"/>
        </w:rPr>
        <w:t>：符合GB 18583-2008标准，其中游离甲醛未检出，苯、甲苯+二甲苯未检出，总挥发性有机物≤10g/kg。</w:t>
      </w:r>
    </w:p>
    <w:p>
      <w:pPr>
        <w:kinsoku/>
        <w:autoSpaceDE/>
        <w:autoSpaceDN/>
        <w:adjustRightInd/>
        <w:snapToGrid/>
        <w:spacing w:line="360" w:lineRule="auto"/>
        <w:textAlignment w:val="auto"/>
        <w:rPr>
          <w:rFonts w:ascii="宋体" w:hAnsi="宋体" w:cs="宋体"/>
          <w:snapToGrid/>
          <w:color w:val="auto"/>
        </w:rPr>
      </w:pPr>
      <w:r>
        <w:rPr>
          <w:rFonts w:hint="eastAsia" w:ascii="宋体" w:hAnsi="宋体" w:cs="宋体"/>
          <w:b/>
          <w:bCs/>
          <w:snapToGrid/>
          <w:color w:val="auto"/>
        </w:rPr>
        <w:t>(7)顶盖</w:t>
      </w:r>
      <w:r>
        <w:rPr>
          <w:rFonts w:hint="eastAsia" w:ascii="宋体" w:hAnsi="宋体" w:cs="宋体"/>
          <w:snapToGrid/>
          <w:color w:val="auto"/>
        </w:rPr>
        <w:t>（床立柱上下盖）：符合GB18584-2024《家具中有害物质限量》可迁移有害元素铅≤90mg/kg，镉≤75mg/kg，铬≤60mg/kg，汞≤60mg/kg，锑≤60mg/kg，砷≤25mg/kg，钡≤1000mg/kg，硒≤500mg/kg；；多溴联苯≤10mg/kg，多溴二苯醚≤30mg/kg；多环芳烃（苯并【α】 芘≤1.0mg/kg，18种多环芳烃（PAH）总量≤10mg/kg）；邻苯二甲酸酯（DBP、BBP、DEHP、DNOP、DINP、DIDP）未检出。</w:t>
      </w:r>
    </w:p>
    <w:p>
      <w:pPr>
        <w:kinsoku/>
        <w:autoSpaceDE/>
        <w:autoSpaceDN/>
        <w:adjustRightInd/>
        <w:snapToGrid/>
        <w:spacing w:line="360" w:lineRule="auto"/>
        <w:textAlignment w:val="auto"/>
        <w:rPr>
          <w:rFonts w:ascii="宋体" w:hAnsi="宋体" w:cs="宋体"/>
          <w:snapToGrid/>
          <w:color w:val="auto"/>
        </w:rPr>
      </w:pPr>
      <w:r>
        <w:rPr>
          <w:rFonts w:hint="eastAsia" w:ascii="宋体" w:hAnsi="宋体" w:cs="宋体"/>
          <w:b/>
          <w:bCs/>
          <w:snapToGrid/>
          <w:color w:val="auto"/>
        </w:rPr>
        <w:t>（8）钢管</w:t>
      </w:r>
      <w:r>
        <w:rPr>
          <w:rFonts w:hint="eastAsia" w:ascii="宋体" w:hAnsi="宋体" w:cs="宋体"/>
          <w:snapToGrid/>
          <w:color w:val="auto"/>
        </w:rPr>
        <w:t>：符合GB/T3325-2024金属件（钢管管材、喷漆涂层、喷塑涂层）外观检测合格，QB/T 3826-1999、QB/T 3832-1999中性盐雾试验连续喷雾≥120h，GB/T1741-2020防霉等级达到1级或更优级别。</w:t>
      </w:r>
    </w:p>
    <w:p>
      <w:pPr>
        <w:spacing w:before="120" w:line="360" w:lineRule="auto"/>
        <w:ind w:left="160"/>
        <w:outlineLvl w:val="6"/>
        <w:rPr>
          <w:rFonts w:ascii="宋体" w:hAnsi="宋体" w:cs="宋体"/>
          <w:color w:val="auto"/>
        </w:rPr>
      </w:pPr>
    </w:p>
    <w:p>
      <w:pPr>
        <w:pStyle w:val="17"/>
        <w:numPr>
          <w:ilvl w:val="0"/>
          <w:numId w:val="0"/>
        </w:numPr>
        <w:rPr>
          <w:rFonts w:cs="宋体"/>
          <w:color w:val="auto"/>
          <w:sz w:val="21"/>
          <w:szCs w:val="21"/>
        </w:rPr>
      </w:pPr>
    </w:p>
    <w:p>
      <w:pPr>
        <w:rPr>
          <w:rFonts w:ascii="宋体" w:hAnsi="宋体" w:cs="宋体"/>
          <w:color w:val="auto"/>
        </w:rPr>
      </w:pPr>
      <w:r>
        <w:rPr>
          <w:rFonts w:hint="eastAsia" w:ascii="宋体" w:hAnsi="宋体" w:cs="宋体"/>
          <w:color w:val="auto"/>
        </w:rPr>
        <w:t>说明：</w:t>
      </w:r>
    </w:p>
    <w:p>
      <w:pPr>
        <w:rPr>
          <w:rFonts w:ascii="宋体" w:hAnsi="宋体" w:cs="宋体"/>
          <w:color w:val="auto"/>
        </w:rPr>
      </w:pPr>
      <w:r>
        <w:rPr>
          <w:rFonts w:hint="eastAsia" w:ascii="宋体" w:hAnsi="宋体" w:cs="宋体"/>
          <w:color w:val="auto"/>
        </w:rPr>
        <w:t>（1）上述原材料要求如与“三、采购品目、参考样式、规格、基本组成、技术参数”不一致，以上述要求为准，检测报告原件备查；</w:t>
      </w:r>
    </w:p>
    <w:p>
      <w:pPr>
        <w:rPr>
          <w:rFonts w:ascii="宋体" w:hAnsi="宋体" w:cs="宋体"/>
          <w:color w:val="auto"/>
        </w:rPr>
      </w:pPr>
      <w:r>
        <w:rPr>
          <w:rFonts w:hint="eastAsia" w:ascii="宋体" w:hAnsi="宋体" w:cs="宋体"/>
          <w:color w:val="auto"/>
        </w:rPr>
        <w:t>（2）针对不同叫法的同一原材料，其检测报告均予认可（如名称不一致，需注明需求中对应的原材料名称）。</w:t>
      </w:r>
    </w:p>
    <w:p>
      <w:pPr>
        <w:rPr>
          <w:rFonts w:ascii="宋体" w:hAnsi="宋体" w:cs="宋体"/>
          <w:color w:val="auto"/>
        </w:rPr>
      </w:pPr>
      <w:r>
        <w:rPr>
          <w:rFonts w:hint="eastAsia" w:ascii="宋体" w:hAnsi="宋体" w:cs="宋体"/>
          <w:color w:val="auto"/>
        </w:rPr>
        <w:t>（3）检测报告上的委托单位(受检单位)名称必须与投标人或投标产品的生产厂家或原材料生产厂家一致。每份检测报告均需带有CMA</w:t>
      </w:r>
      <w:r>
        <w:rPr>
          <w:rFonts w:hint="eastAsia" w:ascii="宋体" w:hAnsi="宋体" w:cs="宋体"/>
          <w:color w:val="auto"/>
          <w:lang w:eastAsia="zh-CN"/>
        </w:rPr>
        <w:t>或</w:t>
      </w:r>
      <w:r>
        <w:rPr>
          <w:rFonts w:hint="eastAsia" w:ascii="宋体" w:hAnsi="宋体" w:cs="宋体"/>
          <w:color w:val="auto"/>
          <w:lang w:val="en-US" w:eastAsia="zh-CN"/>
        </w:rPr>
        <w:t>CNAS</w:t>
      </w:r>
      <w:bookmarkStart w:id="2" w:name="_GoBack"/>
      <w:bookmarkEnd w:id="2"/>
      <w:r>
        <w:rPr>
          <w:rFonts w:hint="eastAsia" w:ascii="宋体" w:hAnsi="宋体" w:cs="宋体"/>
          <w:color w:val="auto"/>
        </w:rPr>
        <w:t>标识。报告签发时间不早于2024年1月1日。</w:t>
      </w:r>
    </w:p>
    <w:p>
      <w:pPr>
        <w:rPr>
          <w:rFonts w:ascii="宋体" w:hAnsi="宋体" w:cs="宋体"/>
          <w:color w:val="auto"/>
        </w:rPr>
      </w:pPr>
      <w:r>
        <w:rPr>
          <w:rFonts w:hint="eastAsia" w:ascii="宋体" w:hAnsi="宋体" w:cs="宋体"/>
          <w:color w:val="auto"/>
        </w:rPr>
        <w:t>（4）投标人需提供承诺函，承诺货物生产过程中，拟投入的原材料不低于上述检测报告结果，未提供承诺函及相应检测报告者不得分。</w:t>
      </w:r>
    </w:p>
    <w:p>
      <w:pPr>
        <w:rPr>
          <w:rFonts w:ascii="宋体" w:hAnsi="宋体" w:cs="宋体"/>
          <w:color w:val="auto"/>
        </w:rPr>
      </w:pPr>
    </w:p>
    <w:p>
      <w:pPr>
        <w:rPr>
          <w:rFonts w:ascii="宋体" w:hAnsi="宋体" w:cs="宋体"/>
          <w:color w:val="auto"/>
        </w:rPr>
      </w:pPr>
    </w:p>
    <w:p>
      <w:pPr>
        <w:pStyle w:val="17"/>
        <w:numPr>
          <w:ilvl w:val="0"/>
          <w:numId w:val="0"/>
        </w:numPr>
        <w:rPr>
          <w:rFonts w:cs="宋体"/>
          <w:color w:val="auto"/>
          <w:sz w:val="21"/>
          <w:szCs w:val="21"/>
        </w:rPr>
      </w:pPr>
    </w:p>
    <w:p>
      <w:pPr>
        <w:pStyle w:val="17"/>
        <w:numPr>
          <w:ilvl w:val="0"/>
          <w:numId w:val="0"/>
        </w:numPr>
        <w:rPr>
          <w:rFonts w:cs="宋体"/>
          <w:color w:val="auto"/>
          <w:sz w:val="21"/>
          <w:szCs w:val="21"/>
        </w:rPr>
      </w:pPr>
    </w:p>
    <w:p>
      <w:pPr>
        <w:spacing w:before="123" w:line="360" w:lineRule="auto"/>
        <w:outlineLvl w:val="6"/>
        <w:rPr>
          <w:rFonts w:ascii="宋体" w:hAnsi="宋体" w:cs="宋体"/>
          <w:b/>
          <w:bCs/>
          <w:color w:val="auto"/>
          <w:sz w:val="24"/>
          <w:szCs w:val="24"/>
        </w:rPr>
      </w:pPr>
    </w:p>
    <w:p>
      <w:pPr>
        <w:spacing w:before="123" w:line="360" w:lineRule="auto"/>
        <w:outlineLvl w:val="6"/>
        <w:rPr>
          <w:rFonts w:ascii="宋体" w:hAnsi="宋体" w:cs="宋体"/>
          <w:b/>
          <w:bCs/>
          <w:color w:val="auto"/>
          <w:sz w:val="24"/>
          <w:szCs w:val="24"/>
        </w:rPr>
      </w:pPr>
    </w:p>
    <w:p>
      <w:pPr>
        <w:spacing w:before="123" w:line="360" w:lineRule="auto"/>
        <w:outlineLvl w:val="6"/>
        <w:rPr>
          <w:rFonts w:ascii="宋体" w:hAnsi="宋体" w:cs="宋体"/>
          <w:b/>
          <w:bCs/>
          <w:color w:val="auto"/>
          <w:sz w:val="24"/>
          <w:szCs w:val="24"/>
        </w:rPr>
      </w:pPr>
    </w:p>
    <w:p>
      <w:pPr>
        <w:spacing w:before="123" w:line="360" w:lineRule="auto"/>
        <w:outlineLvl w:val="6"/>
        <w:rPr>
          <w:rFonts w:ascii="宋体" w:hAnsi="宋体" w:cs="宋体"/>
          <w:b/>
          <w:bCs/>
          <w:color w:val="auto"/>
          <w:sz w:val="24"/>
          <w:szCs w:val="24"/>
        </w:rPr>
      </w:pPr>
    </w:p>
    <w:p>
      <w:pPr>
        <w:spacing w:before="123" w:line="360" w:lineRule="auto"/>
        <w:outlineLvl w:val="6"/>
        <w:rPr>
          <w:rFonts w:ascii="宋体" w:hAnsi="宋体" w:cs="宋体"/>
          <w:b/>
          <w:bCs/>
          <w:color w:val="auto"/>
          <w:sz w:val="24"/>
          <w:szCs w:val="24"/>
        </w:rPr>
      </w:pPr>
      <w:r>
        <w:rPr>
          <w:rFonts w:hint="eastAsia" w:ascii="宋体" w:hAnsi="宋体" w:cs="宋体"/>
          <w:b/>
          <w:bCs/>
          <w:color w:val="auto"/>
          <w:sz w:val="24"/>
          <w:szCs w:val="24"/>
        </w:rPr>
        <w:t>五、颜色要求</w:t>
      </w:r>
    </w:p>
    <w:p>
      <w:pPr>
        <w:spacing w:before="121" w:line="360" w:lineRule="auto"/>
        <w:ind w:firstLine="420" w:firstLineChars="200"/>
        <w:rPr>
          <w:rFonts w:ascii="宋体" w:hAnsi="宋体" w:cs="宋体"/>
          <w:color w:val="auto"/>
        </w:rPr>
      </w:pPr>
      <w:r>
        <w:rPr>
          <w:rFonts w:hint="eastAsia" w:ascii="宋体" w:hAnsi="宋体" w:cs="宋体"/>
          <w:color w:val="auto"/>
        </w:rPr>
        <w:t>学生公寓家具颜色应与建筑内装饰风格相适应，以木纹色和暖白色为主，主体颜色投标时暂按以下要求考虑，中标后具体颜色须待采购人明确后方可下单制作。（请投标人注意，中标后价格不因具体颜色的调整而改变，报价时应综合考虑该因素）</w:t>
      </w:r>
    </w:p>
    <w:tbl>
      <w:tblPr>
        <w:tblStyle w:val="18"/>
        <w:tblpPr w:leftFromText="180" w:rightFromText="180" w:vertAnchor="text" w:horzAnchor="page" w:tblpX="3240" w:tblpY="413"/>
        <w:tblOverlap w:val="never"/>
        <w:tblW w:w="82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85"/>
        <w:gridCol w:w="66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685" w:type="dxa"/>
            <w:noWrap/>
          </w:tcPr>
          <w:p>
            <w:pPr>
              <w:spacing w:before="311" w:line="360" w:lineRule="auto"/>
              <w:ind w:firstLine="420" w:firstLineChars="200"/>
              <w:rPr>
                <w:rFonts w:ascii="宋体" w:hAnsi="宋体" w:cs="宋体"/>
                <w:color w:val="auto"/>
              </w:rPr>
            </w:pPr>
            <w:r>
              <w:rPr>
                <w:rFonts w:hint="eastAsia" w:ascii="宋体" w:hAnsi="宋体" w:cs="宋体"/>
                <w:color w:val="auto"/>
              </w:rPr>
              <w:t>分类</w:t>
            </w:r>
          </w:p>
        </w:tc>
        <w:tc>
          <w:tcPr>
            <w:tcW w:w="6614" w:type="dxa"/>
            <w:noWrap/>
          </w:tcPr>
          <w:p>
            <w:pPr>
              <w:spacing w:before="311" w:line="360" w:lineRule="auto"/>
              <w:ind w:firstLine="420" w:firstLineChars="200"/>
              <w:rPr>
                <w:rFonts w:ascii="宋体" w:hAnsi="宋体" w:cs="宋体"/>
                <w:color w:val="auto"/>
              </w:rPr>
            </w:pPr>
            <w:r>
              <w:rPr>
                <w:rFonts w:hint="eastAsia" w:ascii="宋体" w:hAnsi="宋体" w:cs="宋体"/>
                <w:color w:val="auto"/>
              </w:rPr>
              <w:t>主体颜色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 w:hRule="atLeast"/>
        </w:trPr>
        <w:tc>
          <w:tcPr>
            <w:tcW w:w="1685" w:type="dxa"/>
            <w:noWrap/>
            <w:vAlign w:val="center"/>
          </w:tcPr>
          <w:p>
            <w:pPr>
              <w:spacing w:before="311" w:line="360" w:lineRule="auto"/>
              <w:ind w:firstLine="420" w:firstLineChars="200"/>
              <w:rPr>
                <w:rFonts w:ascii="宋体" w:hAnsi="宋体" w:cs="宋体"/>
                <w:color w:val="auto"/>
              </w:rPr>
            </w:pPr>
            <w:r>
              <w:rPr>
                <w:rFonts w:hint="eastAsia" w:ascii="宋体" w:hAnsi="宋体" w:cs="宋体"/>
                <w:color w:val="auto"/>
              </w:rPr>
              <w:t>木制</w:t>
            </w:r>
          </w:p>
        </w:tc>
        <w:tc>
          <w:tcPr>
            <w:tcW w:w="6614" w:type="dxa"/>
            <w:noWrap/>
            <w:vAlign w:val="center"/>
          </w:tcPr>
          <w:p>
            <w:pPr>
              <w:spacing w:before="311" w:line="360" w:lineRule="auto"/>
              <w:ind w:firstLine="420" w:firstLineChars="200"/>
              <w:rPr>
                <w:rFonts w:ascii="宋体" w:hAnsi="宋体" w:cs="宋体"/>
                <w:color w:val="auto"/>
              </w:rPr>
            </w:pPr>
            <w:r>
              <w:rPr>
                <w:rFonts w:hint="eastAsia" w:ascii="宋体" w:hAnsi="宋体" w:cs="宋体"/>
                <w:color w:val="auto"/>
              </w:rPr>
              <w:t>纹路：木皮保留天然纹路感。</w:t>
            </w:r>
          </w:p>
          <w:p>
            <w:pPr>
              <w:spacing w:before="311" w:line="360" w:lineRule="auto"/>
              <w:ind w:firstLine="420" w:firstLineChars="200"/>
              <w:rPr>
                <w:rFonts w:ascii="宋体" w:hAnsi="宋体" w:cs="宋体"/>
                <w:color w:val="auto"/>
              </w:rPr>
            </w:pPr>
            <w:r>
              <w:rPr>
                <w:rFonts w:hint="eastAsia" w:ascii="宋体" w:hAnsi="宋体" w:cs="宋体"/>
                <w:color w:val="auto"/>
              </w:rPr>
              <w:t>颜色：暖白色、木纹色，实际按需求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685" w:type="dxa"/>
            <w:noWrap/>
            <w:vAlign w:val="center"/>
          </w:tcPr>
          <w:p>
            <w:pPr>
              <w:spacing w:before="311" w:line="360" w:lineRule="auto"/>
              <w:ind w:firstLine="420" w:firstLineChars="200"/>
              <w:rPr>
                <w:rFonts w:ascii="宋体" w:hAnsi="宋体" w:cs="宋体"/>
                <w:color w:val="auto"/>
              </w:rPr>
            </w:pPr>
            <w:r>
              <w:rPr>
                <w:rFonts w:hint="eastAsia" w:ascii="宋体" w:hAnsi="宋体" w:cs="宋体"/>
                <w:color w:val="auto"/>
              </w:rPr>
              <w:t>钢制</w:t>
            </w:r>
          </w:p>
        </w:tc>
        <w:tc>
          <w:tcPr>
            <w:tcW w:w="6614" w:type="dxa"/>
            <w:noWrap/>
            <w:vAlign w:val="center"/>
          </w:tcPr>
          <w:p>
            <w:pPr>
              <w:spacing w:before="311" w:line="360" w:lineRule="auto"/>
              <w:ind w:firstLine="420" w:firstLineChars="200"/>
              <w:rPr>
                <w:rFonts w:ascii="宋体" w:hAnsi="宋体" w:cs="宋体"/>
                <w:color w:val="auto"/>
              </w:rPr>
            </w:pPr>
            <w:r>
              <w:rPr>
                <w:rFonts w:hint="eastAsia" w:ascii="宋体" w:hAnsi="宋体" w:cs="宋体"/>
                <w:color w:val="auto"/>
              </w:rPr>
              <w:t>颜色：砂纹白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685" w:type="dxa"/>
            <w:noWrap/>
            <w:vAlign w:val="center"/>
          </w:tcPr>
          <w:p>
            <w:pPr>
              <w:spacing w:before="311" w:line="360" w:lineRule="auto"/>
              <w:ind w:firstLine="420" w:firstLineChars="200"/>
              <w:rPr>
                <w:rFonts w:ascii="宋体" w:hAnsi="宋体" w:cs="宋体"/>
                <w:color w:val="auto"/>
              </w:rPr>
            </w:pPr>
            <w:r>
              <w:rPr>
                <w:rFonts w:hint="eastAsia" w:ascii="宋体" w:hAnsi="宋体" w:cs="宋体"/>
                <w:color w:val="auto"/>
              </w:rPr>
              <w:t>椅子</w:t>
            </w:r>
          </w:p>
        </w:tc>
        <w:tc>
          <w:tcPr>
            <w:tcW w:w="6614" w:type="dxa"/>
            <w:noWrap/>
            <w:vAlign w:val="center"/>
          </w:tcPr>
          <w:p>
            <w:pPr>
              <w:spacing w:before="311" w:line="360" w:lineRule="auto"/>
              <w:ind w:firstLine="420" w:firstLineChars="200"/>
              <w:rPr>
                <w:rFonts w:ascii="宋体" w:hAnsi="宋体" w:cs="宋体"/>
                <w:color w:val="auto"/>
              </w:rPr>
            </w:pPr>
            <w:r>
              <w:rPr>
                <w:rFonts w:hint="eastAsia" w:ascii="宋体" w:hAnsi="宋体" w:cs="宋体"/>
                <w:color w:val="auto"/>
              </w:rPr>
              <w:t>颜色：灰色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685" w:type="dxa"/>
            <w:noWrap/>
            <w:vAlign w:val="center"/>
          </w:tcPr>
          <w:p>
            <w:pPr>
              <w:spacing w:before="311" w:line="360" w:lineRule="auto"/>
              <w:ind w:firstLine="420" w:firstLineChars="200"/>
              <w:rPr>
                <w:rFonts w:ascii="宋体" w:hAnsi="宋体" w:cs="宋体"/>
                <w:color w:val="auto"/>
              </w:rPr>
            </w:pPr>
            <w:r>
              <w:rPr>
                <w:rFonts w:hint="eastAsia" w:ascii="宋体" w:hAnsi="宋体" w:cs="宋体"/>
                <w:color w:val="auto"/>
              </w:rPr>
              <w:t>爬梯</w:t>
            </w:r>
          </w:p>
        </w:tc>
        <w:tc>
          <w:tcPr>
            <w:tcW w:w="6614" w:type="dxa"/>
            <w:noWrap/>
            <w:vAlign w:val="center"/>
          </w:tcPr>
          <w:p>
            <w:pPr>
              <w:spacing w:before="311" w:line="360" w:lineRule="auto"/>
              <w:ind w:firstLine="420" w:firstLineChars="200"/>
              <w:rPr>
                <w:rFonts w:ascii="宋体" w:hAnsi="宋体" w:cs="宋体"/>
                <w:color w:val="auto"/>
              </w:rPr>
            </w:pPr>
            <w:r>
              <w:rPr>
                <w:rFonts w:hint="eastAsia" w:ascii="宋体" w:hAnsi="宋体" w:cs="宋体"/>
                <w:color w:val="auto"/>
              </w:rPr>
              <w:t>踏板灰色系</w:t>
            </w:r>
          </w:p>
        </w:tc>
      </w:tr>
    </w:tbl>
    <w:p>
      <w:pPr>
        <w:spacing w:before="311" w:line="360" w:lineRule="auto"/>
        <w:ind w:firstLine="420" w:firstLineChars="200"/>
        <w:rPr>
          <w:rFonts w:ascii="宋体" w:hAnsi="宋体" w:cs="宋体"/>
          <w:color w:val="auto"/>
        </w:rPr>
      </w:pPr>
    </w:p>
    <w:p>
      <w:pPr>
        <w:spacing w:line="360" w:lineRule="auto"/>
        <w:rPr>
          <w:rFonts w:ascii="宋体" w:hAnsi="宋体" w:cs="宋体"/>
          <w:color w:val="auto"/>
          <w:highlight w:val="red"/>
        </w:rPr>
      </w:pPr>
    </w:p>
    <w:p>
      <w:pPr>
        <w:spacing w:line="360" w:lineRule="auto"/>
        <w:rPr>
          <w:rFonts w:ascii="宋体" w:hAnsi="宋体" w:cs="宋体"/>
          <w:color w:val="auto"/>
          <w:highlight w:val="red"/>
        </w:rPr>
      </w:pPr>
    </w:p>
    <w:p>
      <w:pPr>
        <w:spacing w:line="360" w:lineRule="auto"/>
        <w:rPr>
          <w:rFonts w:ascii="宋体" w:hAnsi="宋体" w:cs="宋体"/>
          <w:color w:val="auto"/>
          <w:highlight w:val="red"/>
        </w:rPr>
      </w:pPr>
    </w:p>
    <w:p>
      <w:pPr>
        <w:spacing w:line="360" w:lineRule="auto"/>
        <w:rPr>
          <w:rFonts w:ascii="宋体" w:hAnsi="宋体" w:cs="宋体"/>
          <w:color w:val="auto"/>
          <w:highlight w:val="red"/>
        </w:rPr>
      </w:pPr>
    </w:p>
    <w:p>
      <w:pPr>
        <w:spacing w:line="360" w:lineRule="auto"/>
        <w:rPr>
          <w:rFonts w:ascii="宋体" w:hAnsi="宋体" w:cs="宋体"/>
          <w:color w:val="auto"/>
          <w:highlight w:val="red"/>
        </w:rPr>
      </w:pPr>
    </w:p>
    <w:p>
      <w:pPr>
        <w:spacing w:line="360" w:lineRule="auto"/>
        <w:rPr>
          <w:rFonts w:ascii="宋体" w:hAnsi="宋体" w:cs="宋体"/>
          <w:color w:val="auto"/>
          <w:highlight w:val="red"/>
        </w:rPr>
      </w:pPr>
    </w:p>
    <w:p>
      <w:pPr>
        <w:spacing w:line="360" w:lineRule="auto"/>
        <w:rPr>
          <w:rFonts w:ascii="宋体" w:hAnsi="宋体" w:cs="宋体"/>
          <w:color w:val="auto"/>
          <w:highlight w:val="red"/>
        </w:rPr>
      </w:pPr>
    </w:p>
    <w:p>
      <w:pPr>
        <w:spacing w:line="360" w:lineRule="auto"/>
        <w:rPr>
          <w:rFonts w:ascii="宋体" w:hAnsi="宋体" w:cs="宋体"/>
          <w:color w:val="auto"/>
          <w:highlight w:val="red"/>
        </w:rPr>
      </w:pPr>
    </w:p>
    <w:p>
      <w:pPr>
        <w:spacing w:line="360" w:lineRule="auto"/>
        <w:rPr>
          <w:rFonts w:ascii="宋体" w:hAnsi="宋体" w:cs="宋体"/>
          <w:color w:val="auto"/>
          <w:highlight w:val="red"/>
        </w:rPr>
      </w:pPr>
    </w:p>
    <w:p>
      <w:pPr>
        <w:spacing w:line="360" w:lineRule="auto"/>
        <w:rPr>
          <w:rFonts w:ascii="宋体" w:hAnsi="宋体" w:cs="宋体"/>
          <w:color w:val="auto"/>
          <w:highlight w:val="red"/>
        </w:rPr>
      </w:pPr>
    </w:p>
    <w:p>
      <w:pPr>
        <w:spacing w:before="123" w:line="360" w:lineRule="auto"/>
        <w:outlineLvl w:val="6"/>
        <w:rPr>
          <w:rFonts w:ascii="宋体" w:hAnsi="宋体" w:cs="宋体"/>
          <w:b/>
          <w:bCs/>
          <w:color w:val="auto"/>
          <w:sz w:val="24"/>
          <w:szCs w:val="24"/>
        </w:rPr>
      </w:pPr>
    </w:p>
    <w:p>
      <w:pPr>
        <w:spacing w:before="123" w:line="360" w:lineRule="auto"/>
        <w:outlineLvl w:val="6"/>
        <w:rPr>
          <w:rFonts w:ascii="宋体" w:hAnsi="宋体" w:cs="宋体"/>
          <w:b/>
          <w:bCs/>
          <w:color w:val="auto"/>
          <w:sz w:val="24"/>
          <w:szCs w:val="24"/>
        </w:rPr>
      </w:pPr>
      <w:r>
        <w:rPr>
          <w:rFonts w:hint="eastAsia" w:ascii="宋体" w:hAnsi="宋体" w:cs="宋体"/>
          <w:b/>
          <w:bCs/>
          <w:color w:val="auto"/>
          <w:sz w:val="24"/>
          <w:szCs w:val="24"/>
        </w:rPr>
        <w:t>六、送样要求</w:t>
      </w:r>
    </w:p>
    <w:p>
      <w:pPr>
        <w:spacing w:line="360" w:lineRule="auto"/>
        <w:ind w:firstLine="420" w:firstLineChars="200"/>
        <w:rPr>
          <w:rFonts w:ascii="宋体" w:hAnsi="宋体" w:cs="宋体"/>
          <w:color w:val="auto"/>
        </w:rPr>
      </w:pPr>
      <w:r>
        <w:rPr>
          <w:rFonts w:hint="eastAsia" w:ascii="宋体" w:hAnsi="宋体" w:cs="宋体"/>
          <w:color w:val="auto"/>
        </w:rPr>
        <w:t>1、实样出样：按照出样要求提供以下样品：</w:t>
      </w:r>
    </w:p>
    <w:tbl>
      <w:tblPr>
        <w:tblStyle w:val="11"/>
        <w:tblW w:w="3681" w:type="pct"/>
        <w:tblInd w:w="589"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81"/>
        <w:gridCol w:w="4221"/>
        <w:gridCol w:w="2339"/>
        <w:gridCol w:w="812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3"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s="宋体"/>
                <w:color w:val="auto"/>
              </w:rPr>
            </w:pPr>
            <w:r>
              <w:rPr>
                <w:rFonts w:hint="eastAsia" w:ascii="宋体" w:hAnsi="宋体" w:cs="宋体"/>
                <w:color w:val="auto"/>
              </w:rPr>
              <w:t>1</w:t>
            </w:r>
          </w:p>
        </w:tc>
        <w:tc>
          <w:tcPr>
            <w:tcW w:w="1355" w:type="pct"/>
            <w:tcBorders>
              <w:top w:val="single" w:color="auto" w:sz="4" w:space="0"/>
              <w:left w:val="single" w:color="auto" w:sz="4" w:space="0"/>
              <w:bottom w:val="single" w:color="auto" w:sz="4" w:space="0"/>
              <w:right w:val="single" w:color="auto" w:sz="4" w:space="0"/>
            </w:tcBorders>
            <w:noWrap/>
            <w:vAlign w:val="center"/>
          </w:tcPr>
          <w:p>
            <w:pPr>
              <w:spacing w:line="360" w:lineRule="auto"/>
              <w:jc w:val="both"/>
              <w:rPr>
                <w:rFonts w:ascii="宋体" w:hAnsi="宋体" w:cs="宋体"/>
                <w:color w:val="auto"/>
              </w:rPr>
            </w:pPr>
            <w:r>
              <w:rPr>
                <w:rFonts w:hint="eastAsia" w:ascii="宋体" w:hAnsi="宋体" w:cs="宋体"/>
                <w:color w:val="auto"/>
              </w:rPr>
              <w:t>组合床+柜（一套，含两人床位）</w:t>
            </w:r>
          </w:p>
        </w:tc>
        <w:tc>
          <w:tcPr>
            <w:tcW w:w="751" w:type="pct"/>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cs="宋体"/>
                <w:color w:val="auto"/>
              </w:rPr>
            </w:pPr>
            <w:r>
              <w:rPr>
                <w:rFonts w:hint="eastAsia" w:ascii="宋体" w:hAnsi="宋体" w:cs="宋体"/>
                <w:color w:val="auto"/>
              </w:rPr>
              <w:t>4000*970*2080</w:t>
            </w:r>
          </w:p>
        </w:tc>
        <w:tc>
          <w:tcPr>
            <w:tcW w:w="2609" w:type="pct"/>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cs="宋体"/>
                <w:color w:val="auto"/>
              </w:rPr>
            </w:pPr>
            <w:r>
              <w:rPr>
                <w:rFonts w:hint="eastAsia" w:ascii="宋体" w:hAnsi="宋体" w:cs="宋体"/>
                <w:color w:val="auto"/>
              </w:rPr>
              <w:t>对应“三、采购品目分类、参考样式、规格、基本组成、技术参数等要求”序号1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3"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s="宋体"/>
                <w:color w:val="auto"/>
              </w:rPr>
            </w:pPr>
            <w:r>
              <w:rPr>
                <w:rFonts w:hint="eastAsia" w:ascii="宋体" w:hAnsi="宋体" w:cs="宋体"/>
                <w:color w:val="auto"/>
              </w:rPr>
              <w:t>2</w:t>
            </w:r>
          </w:p>
        </w:tc>
        <w:tc>
          <w:tcPr>
            <w:tcW w:w="1355" w:type="pct"/>
            <w:tcBorders>
              <w:top w:val="single" w:color="auto" w:sz="4" w:space="0"/>
              <w:left w:val="single" w:color="auto" w:sz="4" w:space="0"/>
              <w:bottom w:val="single" w:color="auto" w:sz="4" w:space="0"/>
              <w:right w:val="single" w:color="auto" w:sz="4" w:space="0"/>
            </w:tcBorders>
            <w:noWrap/>
            <w:vAlign w:val="center"/>
          </w:tcPr>
          <w:p>
            <w:pPr>
              <w:spacing w:line="360" w:lineRule="auto"/>
              <w:jc w:val="both"/>
              <w:rPr>
                <w:rFonts w:ascii="宋体" w:hAnsi="宋体" w:cs="宋体"/>
                <w:color w:val="auto"/>
              </w:rPr>
            </w:pPr>
            <w:r>
              <w:rPr>
                <w:rFonts w:hint="eastAsia" w:ascii="宋体" w:hAnsi="宋体" w:cs="宋体"/>
                <w:color w:val="auto"/>
              </w:rPr>
              <w:t>行李柜（一个）</w:t>
            </w:r>
          </w:p>
        </w:tc>
        <w:tc>
          <w:tcPr>
            <w:tcW w:w="751" w:type="pct"/>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cs="宋体"/>
                <w:color w:val="auto"/>
              </w:rPr>
            </w:pPr>
            <w:r>
              <w:rPr>
                <w:rFonts w:hint="eastAsia"/>
                <w:color w:val="auto"/>
              </w:rPr>
              <w:t>800*500*2080</w:t>
            </w:r>
          </w:p>
        </w:tc>
        <w:tc>
          <w:tcPr>
            <w:tcW w:w="2609" w:type="pct"/>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cs="宋体"/>
                <w:color w:val="auto"/>
              </w:rPr>
            </w:pPr>
            <w:r>
              <w:rPr>
                <w:rFonts w:hint="eastAsia" w:ascii="宋体" w:hAnsi="宋体" w:cs="宋体"/>
                <w:color w:val="auto"/>
              </w:rPr>
              <w:t>对应“三、采购品目分类、参考样式、规格、基本组成、技术参数等要求”序号2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3"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s="宋体"/>
                <w:color w:val="auto"/>
              </w:rPr>
            </w:pPr>
            <w:r>
              <w:rPr>
                <w:rFonts w:hint="eastAsia" w:ascii="宋体" w:hAnsi="宋体" w:cs="宋体"/>
                <w:color w:val="auto"/>
              </w:rPr>
              <w:t>3</w:t>
            </w:r>
          </w:p>
        </w:tc>
        <w:tc>
          <w:tcPr>
            <w:tcW w:w="1355" w:type="pct"/>
            <w:tcBorders>
              <w:top w:val="single" w:color="auto" w:sz="4" w:space="0"/>
              <w:left w:val="single" w:color="auto" w:sz="4" w:space="0"/>
              <w:bottom w:val="single" w:color="auto" w:sz="4" w:space="0"/>
              <w:right w:val="single" w:color="auto" w:sz="4" w:space="0"/>
            </w:tcBorders>
            <w:noWrap/>
            <w:vAlign w:val="center"/>
          </w:tcPr>
          <w:p>
            <w:pPr>
              <w:spacing w:line="360" w:lineRule="auto"/>
              <w:jc w:val="both"/>
              <w:rPr>
                <w:rFonts w:ascii="宋体" w:hAnsi="宋体" w:cs="宋体"/>
                <w:color w:val="auto"/>
              </w:rPr>
            </w:pPr>
            <w:r>
              <w:rPr>
                <w:rFonts w:hint="eastAsia" w:ascii="宋体" w:hAnsi="宋体" w:cs="宋体"/>
                <w:color w:val="auto"/>
              </w:rPr>
              <w:t>椅子（一把）</w:t>
            </w:r>
          </w:p>
        </w:tc>
        <w:tc>
          <w:tcPr>
            <w:tcW w:w="751" w:type="pct"/>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cs="宋体"/>
                <w:color w:val="auto"/>
              </w:rPr>
            </w:pPr>
            <w:r>
              <w:rPr>
                <w:rFonts w:hint="eastAsia"/>
                <w:color w:val="auto"/>
              </w:rPr>
              <w:t>520*540*450/825</w:t>
            </w:r>
          </w:p>
        </w:tc>
        <w:tc>
          <w:tcPr>
            <w:tcW w:w="2609" w:type="pct"/>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cs="宋体"/>
                <w:color w:val="auto"/>
              </w:rPr>
            </w:pPr>
            <w:r>
              <w:rPr>
                <w:rFonts w:hint="eastAsia" w:ascii="宋体" w:hAnsi="宋体" w:cs="宋体"/>
                <w:color w:val="auto"/>
              </w:rPr>
              <w:t>对应“三、采购品目分类、参考样式、规格、基本组成、技术参数等要求”序号3</w:t>
            </w:r>
          </w:p>
        </w:tc>
      </w:tr>
    </w:tbl>
    <w:p>
      <w:pPr>
        <w:spacing w:line="360" w:lineRule="auto"/>
        <w:rPr>
          <w:rFonts w:ascii="宋体" w:hAnsi="宋体" w:cs="宋体"/>
          <w:color w:val="auto"/>
          <w:highlight w:val="red"/>
        </w:rPr>
      </w:pPr>
    </w:p>
    <w:p>
      <w:pPr>
        <w:spacing w:line="360" w:lineRule="auto"/>
        <w:ind w:firstLine="420" w:firstLineChars="200"/>
        <w:rPr>
          <w:rFonts w:ascii="宋体" w:hAnsi="宋体" w:cs="宋体"/>
          <w:color w:val="auto"/>
        </w:rPr>
      </w:pPr>
      <w:r>
        <w:rPr>
          <w:rFonts w:hint="eastAsia" w:ascii="宋体" w:hAnsi="宋体" w:cs="宋体"/>
          <w:color w:val="auto"/>
        </w:rPr>
        <w:t>2、投标实样送达地点：上海市浦东新区海港大道1550号，联系人：李军，联系电话：13311882117。</w:t>
      </w:r>
    </w:p>
    <w:p>
      <w:pPr>
        <w:spacing w:line="360" w:lineRule="auto"/>
        <w:ind w:firstLine="420" w:firstLineChars="200"/>
        <w:rPr>
          <w:rFonts w:ascii="宋体" w:hAnsi="宋体" w:cs="宋体"/>
          <w:color w:val="auto"/>
        </w:rPr>
      </w:pPr>
      <w:r>
        <w:rPr>
          <w:rFonts w:hint="eastAsia" w:ascii="宋体" w:hAnsi="宋体" w:cs="宋体"/>
          <w:color w:val="auto"/>
        </w:rPr>
        <w:t>3、采购结束后投标实样处置：</w:t>
      </w:r>
    </w:p>
    <w:p>
      <w:pPr>
        <w:spacing w:line="360" w:lineRule="auto"/>
        <w:ind w:firstLine="630" w:firstLineChars="300"/>
        <w:rPr>
          <w:rFonts w:ascii="宋体" w:hAnsi="宋体" w:cs="宋体"/>
          <w:color w:val="auto"/>
        </w:rPr>
      </w:pPr>
      <w:r>
        <w:rPr>
          <w:rFonts w:hint="eastAsia" w:ascii="宋体" w:hAnsi="宋体" w:cs="宋体"/>
          <w:color w:val="auto"/>
        </w:rPr>
        <w:t>a)中标实样将由采购人封样，作为本项目合同履约验收的检验标准之一。</w:t>
      </w:r>
    </w:p>
    <w:p>
      <w:pPr>
        <w:spacing w:line="360" w:lineRule="auto"/>
        <w:ind w:firstLine="630" w:firstLineChars="300"/>
        <w:rPr>
          <w:rFonts w:ascii="宋体" w:hAnsi="宋体" w:cs="宋体"/>
          <w:color w:val="auto"/>
        </w:rPr>
      </w:pPr>
      <w:r>
        <w:rPr>
          <w:rFonts w:hint="eastAsia" w:ascii="宋体" w:hAnsi="宋体" w:cs="宋体"/>
          <w:color w:val="auto"/>
        </w:rPr>
        <w:t>b)允许样品的规格尺寸与上述要求有合理偏差，但投标人中标后必须按照采购需求中规定的规格尺寸生产供货，不得影响交付正常使用。</w:t>
      </w:r>
    </w:p>
    <w:p>
      <w:pPr>
        <w:spacing w:line="360" w:lineRule="auto"/>
        <w:ind w:firstLine="630" w:firstLineChars="300"/>
        <w:rPr>
          <w:rFonts w:ascii="宋体" w:hAnsi="宋体" w:cs="宋体"/>
          <w:color w:val="auto"/>
        </w:rPr>
      </w:pPr>
      <w:r>
        <w:rPr>
          <w:rFonts w:hint="eastAsia" w:ascii="宋体" w:hAnsi="宋体" w:cs="宋体"/>
          <w:color w:val="auto"/>
        </w:rPr>
        <w:t>c)未中标实样处置：采购结果公告发布后15天内未中标人可与采购人联系，约定时间取回投标实样，逾期不领的将由采购人统一处置。如项目发生质疑、投诉，取回投标实样时间将根据具体情况后延。</w:t>
      </w:r>
    </w:p>
    <w:p>
      <w:pPr>
        <w:spacing w:before="123" w:line="360" w:lineRule="auto"/>
        <w:outlineLvl w:val="6"/>
        <w:rPr>
          <w:rFonts w:ascii="宋体" w:hAnsi="宋体" w:cs="宋体"/>
          <w:color w:val="auto"/>
        </w:rPr>
      </w:pPr>
      <w:r>
        <w:rPr>
          <w:rFonts w:hint="eastAsia" w:ascii="宋体" w:hAnsi="宋体" w:cs="宋体"/>
          <w:b/>
          <w:bCs/>
          <w:color w:val="auto"/>
          <w:sz w:val="24"/>
          <w:szCs w:val="24"/>
        </w:rPr>
        <w:t>七、其他需求:</w:t>
      </w:r>
    </w:p>
    <w:p>
      <w:pPr>
        <w:spacing w:line="360" w:lineRule="auto"/>
        <w:rPr>
          <w:rFonts w:ascii="宋体" w:hAnsi="宋体" w:cs="宋体"/>
          <w:color w:val="auto"/>
        </w:rPr>
      </w:pPr>
      <w:r>
        <w:rPr>
          <w:rFonts w:hint="eastAsia" w:ascii="宋体" w:hAnsi="宋体" w:cs="宋体"/>
          <w:color w:val="auto"/>
        </w:rPr>
        <w:t>1、投标单位自报生产供货安装周期，供货安装地址为：上海浦东新区海港大道1550号指定学生宿舍房间内。</w:t>
      </w:r>
    </w:p>
    <w:p>
      <w:pPr>
        <w:spacing w:line="360" w:lineRule="auto"/>
        <w:rPr>
          <w:rFonts w:ascii="宋体" w:hAnsi="宋体" w:cs="宋体"/>
          <w:color w:val="auto"/>
        </w:rPr>
      </w:pPr>
      <w:r>
        <w:rPr>
          <w:rFonts w:hint="eastAsia" w:ascii="宋体" w:hAnsi="宋体" w:cs="宋体"/>
          <w:color w:val="auto"/>
        </w:rPr>
        <w:t>2、44-45号楼宿舍楼内现有792套旧家具需由投标方拆除并清运出学校，拆运、处置费用由投标方承担。</w:t>
      </w:r>
    </w:p>
    <w:p>
      <w:pPr>
        <w:spacing w:line="360" w:lineRule="auto"/>
        <w:rPr>
          <w:rFonts w:ascii="宋体" w:hAnsi="宋体" w:cs="宋体"/>
          <w:color w:val="auto"/>
        </w:rPr>
      </w:pPr>
    </w:p>
    <w:p>
      <w:pPr>
        <w:spacing w:before="123" w:line="360" w:lineRule="auto"/>
        <w:outlineLvl w:val="6"/>
        <w:rPr>
          <w:rFonts w:ascii="宋体" w:hAnsi="宋体" w:cs="宋体"/>
          <w:b/>
          <w:bCs/>
          <w:color w:val="auto"/>
          <w:sz w:val="24"/>
          <w:szCs w:val="24"/>
        </w:rPr>
      </w:pPr>
    </w:p>
    <w:p>
      <w:pPr>
        <w:spacing w:before="123" w:line="360" w:lineRule="auto"/>
        <w:outlineLvl w:val="6"/>
        <w:rPr>
          <w:rFonts w:ascii="宋体" w:hAnsi="宋体" w:cs="宋体"/>
          <w:b/>
          <w:bCs/>
          <w:color w:val="auto"/>
          <w:sz w:val="24"/>
          <w:szCs w:val="24"/>
        </w:rPr>
      </w:pPr>
      <w:r>
        <w:rPr>
          <w:rFonts w:hint="eastAsia" w:ascii="宋体" w:hAnsi="宋体" w:cs="宋体"/>
          <w:b/>
          <w:bCs/>
          <w:color w:val="auto"/>
          <w:sz w:val="24"/>
          <w:szCs w:val="24"/>
        </w:rPr>
        <w:t>八、供货及验收</w:t>
      </w:r>
    </w:p>
    <w:tbl>
      <w:tblPr>
        <w:tblStyle w:val="18"/>
        <w:tblW w:w="1394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07"/>
        <w:gridCol w:w="123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607" w:type="dxa"/>
            <w:noWrap/>
            <w:vAlign w:val="center"/>
          </w:tcPr>
          <w:p>
            <w:pPr>
              <w:spacing w:line="360" w:lineRule="auto"/>
              <w:jc w:val="center"/>
              <w:rPr>
                <w:rFonts w:ascii="宋体" w:hAnsi="宋体" w:cs="宋体"/>
                <w:color w:val="auto"/>
              </w:rPr>
            </w:pPr>
            <w:r>
              <w:rPr>
                <w:rFonts w:hint="eastAsia" w:ascii="宋体" w:hAnsi="宋体" w:cs="宋体"/>
                <w:color w:val="auto"/>
              </w:rPr>
              <w:t>分类</w:t>
            </w:r>
          </w:p>
        </w:tc>
        <w:tc>
          <w:tcPr>
            <w:tcW w:w="12338" w:type="dxa"/>
            <w:noWrap/>
            <w:vAlign w:val="center"/>
          </w:tcPr>
          <w:p>
            <w:pPr>
              <w:spacing w:line="360" w:lineRule="auto"/>
              <w:jc w:val="center"/>
              <w:rPr>
                <w:rFonts w:ascii="宋体" w:hAnsi="宋体" w:cs="宋体"/>
                <w:color w:val="auto"/>
              </w:rPr>
            </w:pPr>
            <w:r>
              <w:rPr>
                <w:rFonts w:hint="eastAsia" w:ascii="宋体" w:hAnsi="宋体" w:cs="宋体"/>
                <w:color w:val="auto"/>
              </w:rPr>
              <w:t>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8" w:hRule="atLeast"/>
        </w:trPr>
        <w:tc>
          <w:tcPr>
            <w:tcW w:w="1607" w:type="dxa"/>
            <w:noWrap/>
            <w:vAlign w:val="center"/>
          </w:tcPr>
          <w:p>
            <w:pPr>
              <w:spacing w:line="360" w:lineRule="auto"/>
              <w:rPr>
                <w:rFonts w:ascii="宋体" w:hAnsi="宋体" w:cs="宋体"/>
                <w:color w:val="auto"/>
              </w:rPr>
            </w:pPr>
            <w:r>
              <w:rPr>
                <w:rFonts w:hint="eastAsia" w:ascii="宋体" w:hAnsi="宋体" w:cs="宋体"/>
                <w:color w:val="auto"/>
              </w:rPr>
              <w:t>供货要求</w:t>
            </w:r>
          </w:p>
        </w:tc>
        <w:tc>
          <w:tcPr>
            <w:tcW w:w="12338" w:type="dxa"/>
            <w:noWrap/>
          </w:tcPr>
          <w:p>
            <w:pPr>
              <w:spacing w:line="360" w:lineRule="auto"/>
              <w:rPr>
                <w:rFonts w:ascii="宋体" w:hAnsi="宋体" w:cs="宋体"/>
                <w:color w:val="auto"/>
              </w:rPr>
            </w:pPr>
            <w:r>
              <w:rPr>
                <w:rFonts w:hint="eastAsia" w:ascii="宋体" w:hAnsi="宋体" w:cs="宋体"/>
                <w:color w:val="auto"/>
              </w:rPr>
              <w:t>供应商应当在合同签订后25个自然日内供货及安装完毕。供应商所提供的货物应符合国家相关质量标准；货物名称、型号规格、数量、颜色、外观等符合采购人要求，不得有损毁或损坏。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6" w:hRule="atLeast"/>
        </w:trPr>
        <w:tc>
          <w:tcPr>
            <w:tcW w:w="1607" w:type="dxa"/>
            <w:noWrap/>
            <w:vAlign w:val="center"/>
          </w:tcPr>
          <w:p>
            <w:pPr>
              <w:spacing w:line="360" w:lineRule="auto"/>
              <w:rPr>
                <w:rFonts w:ascii="宋体" w:hAnsi="宋体" w:cs="宋体"/>
                <w:color w:val="auto"/>
              </w:rPr>
            </w:pPr>
            <w:r>
              <w:rPr>
                <w:rFonts w:hint="eastAsia" w:ascii="宋体" w:hAnsi="宋体" w:cs="宋体"/>
                <w:color w:val="auto"/>
              </w:rPr>
              <w:t>包装要求</w:t>
            </w:r>
          </w:p>
        </w:tc>
        <w:tc>
          <w:tcPr>
            <w:tcW w:w="12338" w:type="dxa"/>
            <w:noWrap/>
          </w:tcPr>
          <w:p>
            <w:pPr>
              <w:spacing w:line="360" w:lineRule="auto"/>
              <w:rPr>
                <w:rFonts w:ascii="宋体" w:hAnsi="宋体" w:cs="宋体"/>
                <w:color w:val="auto"/>
              </w:rPr>
            </w:pPr>
            <w:r>
              <w:rPr>
                <w:rFonts w:hint="eastAsia" w:ascii="宋体" w:hAnsi="宋体" w:cs="宋体"/>
                <w:color w:val="auto"/>
              </w:rPr>
              <w:t>采购中如涉及商品包装和快递包装的，其包装需求标准应不低于《关于印发&lt;商品包装政府采购需求标准(试行)&gt;、&lt;快递包装政府采购需求标准(试行)&gt;的通知》(财办库〔2020〕123号)规定的包装要求。采购人、供应商双方签订合同及验收环节，应包含上述包装要求的条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tcPr>
            <w:tcW w:w="1607" w:type="dxa"/>
            <w:noWrap/>
            <w:vAlign w:val="center"/>
          </w:tcPr>
          <w:p>
            <w:pPr>
              <w:spacing w:line="360" w:lineRule="auto"/>
              <w:rPr>
                <w:rFonts w:ascii="宋体" w:hAnsi="宋体" w:cs="宋体"/>
                <w:color w:val="auto"/>
              </w:rPr>
            </w:pPr>
            <w:r>
              <w:rPr>
                <w:rFonts w:hint="eastAsia" w:ascii="宋体" w:hAnsi="宋体" w:cs="宋体"/>
                <w:color w:val="auto"/>
              </w:rPr>
              <w:t>验收要求</w:t>
            </w:r>
          </w:p>
        </w:tc>
        <w:tc>
          <w:tcPr>
            <w:tcW w:w="12338" w:type="dxa"/>
            <w:noWrap/>
          </w:tcPr>
          <w:p>
            <w:pPr>
              <w:spacing w:line="360" w:lineRule="auto"/>
              <w:rPr>
                <w:rFonts w:ascii="宋体" w:hAnsi="宋体" w:cs="宋体"/>
                <w:color w:val="auto"/>
              </w:rPr>
            </w:pPr>
            <w:r>
              <w:rPr>
                <w:rFonts w:hint="eastAsia" w:ascii="宋体" w:hAnsi="宋体" w:cs="宋体"/>
                <w:color w:val="auto"/>
              </w:rPr>
              <w:t>办公家具安装、调试后，由供、需双方按照合同约定对家具进行验收。验收包括清点型号、数量、检查外观等，供应商应当提供家具清单(各类家具分项开立并标注详细数量)、原产地证明、具出厂日期证明、家具环保证明等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1607" w:type="dxa"/>
            <w:noWrap/>
            <w:vAlign w:val="center"/>
          </w:tcPr>
          <w:p>
            <w:pPr>
              <w:spacing w:line="360" w:lineRule="auto"/>
              <w:rPr>
                <w:rFonts w:ascii="宋体" w:hAnsi="宋体" w:cs="宋体"/>
                <w:color w:val="auto"/>
              </w:rPr>
            </w:pPr>
            <w:r>
              <w:rPr>
                <w:rFonts w:hint="eastAsia" w:ascii="宋体" w:hAnsi="宋体" w:cs="宋体"/>
                <w:color w:val="auto"/>
              </w:rPr>
              <w:t>检测要求</w:t>
            </w:r>
          </w:p>
        </w:tc>
        <w:tc>
          <w:tcPr>
            <w:tcW w:w="12338" w:type="dxa"/>
            <w:noWrap/>
          </w:tcPr>
          <w:p>
            <w:pPr>
              <w:spacing w:line="360" w:lineRule="auto"/>
              <w:rPr>
                <w:rFonts w:ascii="宋体" w:hAnsi="宋体" w:cs="宋体"/>
                <w:color w:val="auto"/>
              </w:rPr>
            </w:pPr>
            <w:r>
              <w:rPr>
                <w:rFonts w:hint="eastAsia" w:ascii="宋体" w:hAnsi="宋体" w:cs="宋体"/>
                <w:color w:val="auto"/>
              </w:rPr>
              <w:t>过程检测</w:t>
            </w:r>
          </w:p>
          <w:p>
            <w:pPr>
              <w:spacing w:line="360" w:lineRule="auto"/>
              <w:rPr>
                <w:rFonts w:ascii="宋体" w:hAnsi="宋体" w:cs="宋体"/>
                <w:color w:val="auto"/>
              </w:rPr>
            </w:pPr>
            <w:r>
              <w:rPr>
                <w:rFonts w:hint="eastAsia" w:ascii="宋体" w:hAnsi="宋体" w:cs="宋体"/>
                <w:color w:val="auto"/>
              </w:rPr>
              <w:t>中标供应商原材料采购完成后，需委托第三方机构进行抽样检测，检测要求见《四、材料要求》，检测数量不超过 50 件。检测费用由中标供应商承担。如检测不合格，中标供应商须按照合同约定的违约责任整改至合格并承担相应的违约责任。</w:t>
            </w:r>
          </w:p>
          <w:p>
            <w:pPr>
              <w:spacing w:line="360" w:lineRule="auto"/>
              <w:rPr>
                <w:rFonts w:ascii="宋体" w:hAnsi="宋体" w:cs="宋体"/>
                <w:color w:val="auto"/>
              </w:rPr>
            </w:pPr>
            <w:r>
              <w:rPr>
                <w:rFonts w:hint="eastAsia" w:ascii="宋体" w:hAnsi="宋体" w:cs="宋体"/>
                <w:color w:val="auto"/>
              </w:rPr>
              <w:t>2.验收检测</w:t>
            </w:r>
          </w:p>
          <w:p>
            <w:pPr>
              <w:spacing w:line="360" w:lineRule="auto"/>
              <w:rPr>
                <w:rFonts w:ascii="宋体" w:hAnsi="宋体" w:cs="宋体"/>
                <w:color w:val="auto"/>
              </w:rPr>
            </w:pPr>
            <w:r>
              <w:rPr>
                <w:rFonts w:hint="eastAsia" w:ascii="宋体" w:hAnsi="宋体" w:cs="宋体"/>
                <w:color w:val="auto"/>
              </w:rPr>
              <w:t>正式验收前，中标供应商委托第三方机构对家具有害物质释放和环保进行抽样检测，根据强制标准进行全项检测，检测数量不超过 50 件。检测费用由中标供应商承担。如检测不合格，中标供应商须按照合同约定的违约责任整改至合格并承担相应的违约责任。</w:t>
            </w:r>
          </w:p>
        </w:tc>
      </w:tr>
    </w:tbl>
    <w:p>
      <w:pPr>
        <w:spacing w:before="123" w:line="360" w:lineRule="auto"/>
        <w:outlineLvl w:val="6"/>
        <w:rPr>
          <w:rFonts w:ascii="宋体" w:hAnsi="宋体" w:cs="宋体"/>
          <w:b/>
          <w:bCs/>
          <w:color w:val="auto"/>
          <w:sz w:val="24"/>
          <w:szCs w:val="24"/>
        </w:rPr>
      </w:pPr>
    </w:p>
    <w:p>
      <w:pPr>
        <w:spacing w:before="123" w:line="360" w:lineRule="auto"/>
        <w:outlineLvl w:val="6"/>
        <w:rPr>
          <w:rFonts w:ascii="宋体" w:hAnsi="宋体" w:cs="宋体"/>
          <w:b/>
          <w:bCs/>
          <w:color w:val="auto"/>
          <w:sz w:val="24"/>
          <w:szCs w:val="24"/>
        </w:rPr>
      </w:pPr>
    </w:p>
    <w:p>
      <w:pPr>
        <w:spacing w:before="123" w:line="360" w:lineRule="auto"/>
        <w:outlineLvl w:val="6"/>
        <w:rPr>
          <w:rFonts w:ascii="宋体" w:hAnsi="宋体" w:cs="宋体"/>
          <w:b/>
          <w:bCs/>
          <w:color w:val="auto"/>
          <w:sz w:val="24"/>
          <w:szCs w:val="24"/>
        </w:rPr>
      </w:pPr>
    </w:p>
    <w:p>
      <w:pPr>
        <w:spacing w:before="123" w:line="360" w:lineRule="auto"/>
        <w:outlineLvl w:val="6"/>
        <w:rPr>
          <w:rFonts w:ascii="宋体" w:hAnsi="宋体" w:cs="宋体"/>
          <w:b/>
          <w:bCs/>
          <w:color w:val="auto"/>
          <w:sz w:val="24"/>
          <w:szCs w:val="24"/>
        </w:rPr>
      </w:pPr>
    </w:p>
    <w:p>
      <w:pPr>
        <w:spacing w:before="123" w:line="360" w:lineRule="auto"/>
        <w:outlineLvl w:val="6"/>
        <w:rPr>
          <w:rFonts w:ascii="宋体" w:hAnsi="宋体" w:cs="宋体"/>
          <w:b/>
          <w:bCs/>
          <w:color w:val="auto"/>
          <w:sz w:val="24"/>
          <w:szCs w:val="24"/>
        </w:rPr>
      </w:pPr>
    </w:p>
    <w:p>
      <w:pPr>
        <w:spacing w:before="123" w:line="360" w:lineRule="auto"/>
        <w:outlineLvl w:val="6"/>
        <w:rPr>
          <w:rFonts w:ascii="宋体" w:hAnsi="宋体" w:cs="宋体"/>
          <w:b/>
          <w:bCs/>
          <w:color w:val="auto"/>
          <w:sz w:val="24"/>
          <w:szCs w:val="24"/>
        </w:rPr>
      </w:pPr>
    </w:p>
    <w:p>
      <w:pPr>
        <w:spacing w:before="123" w:line="360" w:lineRule="auto"/>
        <w:outlineLvl w:val="6"/>
        <w:rPr>
          <w:rFonts w:ascii="宋体" w:hAnsi="宋体" w:cs="宋体"/>
          <w:b/>
          <w:bCs/>
          <w:color w:val="auto"/>
          <w:sz w:val="24"/>
          <w:szCs w:val="24"/>
        </w:rPr>
      </w:pPr>
      <w:r>
        <w:rPr>
          <w:rFonts w:hint="eastAsia" w:ascii="宋体" w:hAnsi="宋体" w:cs="宋体"/>
          <w:b/>
          <w:bCs/>
          <w:color w:val="auto"/>
          <w:sz w:val="24"/>
          <w:szCs w:val="24"/>
        </w:rPr>
        <w:t>九、其他要求</w:t>
      </w:r>
    </w:p>
    <w:tbl>
      <w:tblPr>
        <w:tblStyle w:val="18"/>
        <w:tblpPr w:leftFromText="180" w:rightFromText="180" w:vertAnchor="text" w:horzAnchor="page" w:tblpX="1437" w:tblpY="337"/>
        <w:tblOverlap w:val="never"/>
        <w:tblW w:w="139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07"/>
        <w:gridCol w:w="123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1607" w:type="dxa"/>
            <w:noWrap/>
            <w:vAlign w:val="center"/>
          </w:tcPr>
          <w:p>
            <w:pPr>
              <w:jc w:val="center"/>
              <w:rPr>
                <w:rFonts w:ascii="宋体" w:hAnsi="宋体" w:cs="宋体"/>
                <w:color w:val="auto"/>
              </w:rPr>
            </w:pPr>
            <w:r>
              <w:rPr>
                <w:rFonts w:hint="eastAsia" w:ascii="宋体" w:hAnsi="宋体" w:cs="宋体"/>
                <w:color w:val="auto"/>
              </w:rPr>
              <w:t>分类</w:t>
            </w:r>
          </w:p>
        </w:tc>
        <w:tc>
          <w:tcPr>
            <w:tcW w:w="12338" w:type="dxa"/>
            <w:noWrap/>
            <w:vAlign w:val="center"/>
          </w:tcPr>
          <w:p>
            <w:pPr>
              <w:jc w:val="center"/>
              <w:rPr>
                <w:rFonts w:ascii="宋体" w:hAnsi="宋体" w:cs="宋体"/>
                <w:color w:val="auto"/>
              </w:rPr>
            </w:pPr>
            <w:r>
              <w:rPr>
                <w:rFonts w:hint="eastAsia" w:ascii="宋体" w:hAnsi="宋体" w:cs="宋体"/>
                <w:color w:val="auto"/>
              </w:rPr>
              <w:t>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1" w:hRule="atLeast"/>
        </w:trPr>
        <w:tc>
          <w:tcPr>
            <w:tcW w:w="1607" w:type="dxa"/>
            <w:noWrap/>
            <w:vAlign w:val="center"/>
          </w:tcPr>
          <w:p>
            <w:pPr>
              <w:rPr>
                <w:rFonts w:ascii="宋体" w:hAnsi="宋体" w:cs="宋体"/>
                <w:color w:val="auto"/>
              </w:rPr>
            </w:pPr>
            <w:r>
              <w:rPr>
                <w:rFonts w:hint="eastAsia" w:ascii="宋体" w:hAnsi="宋体" w:cs="宋体"/>
                <w:color w:val="auto"/>
              </w:rPr>
              <w:t>保修服务</w:t>
            </w:r>
          </w:p>
        </w:tc>
        <w:tc>
          <w:tcPr>
            <w:tcW w:w="12338" w:type="dxa"/>
            <w:noWrap/>
            <w:vAlign w:val="center"/>
          </w:tcPr>
          <w:p>
            <w:pPr>
              <w:spacing w:line="360" w:lineRule="auto"/>
              <w:rPr>
                <w:rFonts w:ascii="宋体" w:hAnsi="宋体" w:cs="宋体"/>
                <w:color w:val="auto"/>
              </w:rPr>
            </w:pPr>
            <w:r>
              <w:rPr>
                <w:rFonts w:hint="eastAsia" w:ascii="宋体" w:hAnsi="宋体" w:cs="宋体"/>
                <w:color w:val="auto"/>
              </w:rPr>
              <w:t>供应商提供的售后服务应符合GB/T37652-2019《家具售后服务要求》。免费保修期应当至少不低于6年。免费保修期内，除采购人因非正 常使用造成家具损坏外，损坏维修以及所涉及的零部件更换，应当由供应商免费提供，供应商应当承诺每年对所供家具进行巡检。免费保修期满后，供应商保证以优惠价格提供家具所需零配件和维修服务。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1607" w:type="dxa"/>
            <w:noWrap/>
            <w:vAlign w:val="center"/>
          </w:tcPr>
          <w:p>
            <w:pPr>
              <w:rPr>
                <w:rFonts w:ascii="宋体" w:hAnsi="宋体" w:cs="宋体"/>
                <w:color w:val="auto"/>
              </w:rPr>
            </w:pPr>
            <w:r>
              <w:rPr>
                <w:rFonts w:hint="eastAsia" w:ascii="宋体" w:hAnsi="宋体" w:cs="宋体"/>
                <w:color w:val="auto"/>
              </w:rPr>
              <w:t>应急能力</w:t>
            </w:r>
          </w:p>
        </w:tc>
        <w:tc>
          <w:tcPr>
            <w:tcW w:w="12338" w:type="dxa"/>
            <w:noWrap/>
            <w:vAlign w:val="center"/>
          </w:tcPr>
          <w:p>
            <w:pPr>
              <w:rPr>
                <w:rFonts w:ascii="宋体" w:hAnsi="宋体" w:cs="宋体"/>
                <w:color w:val="auto"/>
              </w:rPr>
            </w:pPr>
            <w:r>
              <w:rPr>
                <w:rFonts w:hint="eastAsia" w:ascii="宋体" w:hAnsi="宋体" w:cs="宋体"/>
                <w:color w:val="auto"/>
              </w:rPr>
              <w:t>供应商应当在采购人单位所在区域拥有维修服务能力，提供售后服务支持。如遇质量问题，供应商应当在接到通知2小时内予以响应，并于8小时内解决完毕或提供代用产品。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1607" w:type="dxa"/>
            <w:noWrap/>
            <w:vAlign w:val="center"/>
          </w:tcPr>
          <w:p>
            <w:pPr>
              <w:rPr>
                <w:rFonts w:ascii="宋体" w:hAnsi="宋体" w:cs="宋体"/>
                <w:color w:val="auto"/>
              </w:rPr>
            </w:pPr>
            <w:r>
              <w:rPr>
                <w:rFonts w:hint="eastAsia" w:ascii="宋体" w:hAnsi="宋体" w:cs="宋体"/>
                <w:color w:val="auto"/>
              </w:rPr>
              <w:t>项目团队</w:t>
            </w:r>
          </w:p>
        </w:tc>
        <w:tc>
          <w:tcPr>
            <w:tcW w:w="12338" w:type="dxa"/>
            <w:noWrap/>
            <w:vAlign w:val="center"/>
          </w:tcPr>
          <w:p>
            <w:pPr>
              <w:spacing w:line="360" w:lineRule="auto"/>
              <w:rPr>
                <w:rFonts w:ascii="宋体" w:hAnsi="宋体" w:cs="宋体"/>
                <w:color w:val="auto"/>
              </w:rPr>
            </w:pPr>
            <w:r>
              <w:rPr>
                <w:rFonts w:hint="eastAsia" w:ascii="宋体" w:hAnsi="宋体" w:cs="宋体"/>
                <w:color w:val="auto"/>
              </w:rPr>
              <w:t>供应商提供项目技术团队及其能力说明，提供人员清单、履历、专业技术能力等资料。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8" w:hRule="atLeast"/>
        </w:trPr>
        <w:tc>
          <w:tcPr>
            <w:tcW w:w="1607" w:type="dxa"/>
            <w:noWrap/>
            <w:vAlign w:val="center"/>
          </w:tcPr>
          <w:p>
            <w:pPr>
              <w:rPr>
                <w:rFonts w:ascii="宋体" w:hAnsi="宋体" w:cs="宋体"/>
                <w:color w:val="auto"/>
              </w:rPr>
            </w:pPr>
            <w:r>
              <w:rPr>
                <w:rFonts w:hint="eastAsia" w:ascii="宋体" w:hAnsi="宋体" w:cs="宋体"/>
                <w:color w:val="auto"/>
              </w:rPr>
              <w:t>生产能力</w:t>
            </w:r>
          </w:p>
        </w:tc>
        <w:tc>
          <w:tcPr>
            <w:tcW w:w="12338" w:type="dxa"/>
            <w:noWrap/>
            <w:vAlign w:val="center"/>
          </w:tcPr>
          <w:p>
            <w:pPr>
              <w:rPr>
                <w:rFonts w:ascii="宋体" w:hAnsi="宋体" w:cs="宋体"/>
                <w:color w:val="auto"/>
              </w:rPr>
            </w:pPr>
            <w:r>
              <w:rPr>
                <w:rFonts w:hint="eastAsia" w:ascii="宋体" w:hAnsi="宋体" w:cs="宋体"/>
                <w:color w:val="auto"/>
              </w:rPr>
              <w:t>1.生产厂商针对生产过程中可能产生的大气污染、水污染及其他环境污染应当具有有效的环保措施，制定科学的环保治理方案。</w:t>
            </w:r>
          </w:p>
          <w:p>
            <w:pPr>
              <w:rPr>
                <w:rFonts w:ascii="宋体" w:hAnsi="宋体" w:cs="宋体"/>
                <w:color w:val="auto"/>
              </w:rPr>
            </w:pPr>
            <w:r>
              <w:rPr>
                <w:rFonts w:hint="eastAsia" w:ascii="宋体" w:hAnsi="宋体" w:cs="宋体"/>
                <w:color w:val="auto"/>
              </w:rPr>
              <w:t>2.生产厂商应当具备完善的管理体系，</w:t>
            </w:r>
            <w:r>
              <w:rPr>
                <w:rFonts w:hint="eastAsia"/>
                <w:color w:val="auto"/>
              </w:rPr>
              <w:t>生产厂商需具有有效的质量管理体系(IS09001 或 GB/T19001)、环境管理体系(IS014001 或 GB/T24001)、职业健康安全管理体系(IS045001或GB/T45001)认证证书，需涵盖所有投标产品生产厂商</w:t>
            </w:r>
            <w:r>
              <w:rPr>
                <w:rFonts w:hint="eastAsia" w:ascii="宋体" w:hAnsi="宋体" w:cs="宋体"/>
                <w:color w:val="auto"/>
              </w:rPr>
              <w:t>；详细阐述生产工艺技术原理、流程、关键技术点及优势，证明其在精度、质量、效率等方面的竞争力；制定科学合理的生产进度计划，明确各阶段时间节点、交付成果，提供进度保障措施，确保生产进度可控且能按时完成；生产设备配置需完备且先进，提供设备清单信息，说明设备的先进性与适用性，可提供相关生产设备购置合同、发票等购置材料作为设备来源证明。</w:t>
            </w:r>
          </w:p>
        </w:tc>
      </w:tr>
    </w:tbl>
    <w:p>
      <w:pPr>
        <w:spacing w:before="123" w:line="360" w:lineRule="auto"/>
        <w:outlineLvl w:val="6"/>
        <w:rPr>
          <w:rFonts w:ascii="宋体" w:hAnsi="宋体" w:cs="宋体"/>
          <w:b/>
          <w:bCs/>
          <w:color w:val="auto"/>
          <w:sz w:val="24"/>
          <w:szCs w:val="24"/>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sectPr>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方正楷体_GB2312">
    <w:altName w:val="楷体_GB2312"/>
    <w:panose1 w:val="02000000000000000000"/>
    <w:charset w:val="86"/>
    <w:family w:val="auto"/>
    <w:pitch w:val="default"/>
    <w:sig w:usb0="00000000" w:usb1="00000000"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40FC89"/>
    <w:multiLevelType w:val="multilevel"/>
    <w:tmpl w:val="3B40FC89"/>
    <w:lvl w:ilvl="0" w:tentative="0">
      <w:start w:val="1"/>
      <w:numFmt w:val="decimal"/>
      <w:pStyle w:val="17"/>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2C5"/>
    <w:rsid w:val="0009405A"/>
    <w:rsid w:val="001E2F23"/>
    <w:rsid w:val="001F3CBB"/>
    <w:rsid w:val="00307CBA"/>
    <w:rsid w:val="003A2F86"/>
    <w:rsid w:val="0043764A"/>
    <w:rsid w:val="005946B8"/>
    <w:rsid w:val="005E79FB"/>
    <w:rsid w:val="0063232F"/>
    <w:rsid w:val="007D71FB"/>
    <w:rsid w:val="00A11B9E"/>
    <w:rsid w:val="00A572C5"/>
    <w:rsid w:val="00B95A9D"/>
    <w:rsid w:val="00D02271"/>
    <w:rsid w:val="00DA6763"/>
    <w:rsid w:val="00EE38B4"/>
    <w:rsid w:val="00F346DC"/>
    <w:rsid w:val="0C2846AB"/>
    <w:rsid w:val="1E591B8F"/>
    <w:rsid w:val="1FF6AE0B"/>
    <w:rsid w:val="2F6F326D"/>
    <w:rsid w:val="2FF4FF2B"/>
    <w:rsid w:val="39FFD589"/>
    <w:rsid w:val="3ADF1DB6"/>
    <w:rsid w:val="3BFF9028"/>
    <w:rsid w:val="416C1DF9"/>
    <w:rsid w:val="418C3CA5"/>
    <w:rsid w:val="44B845D9"/>
    <w:rsid w:val="4A2B83ED"/>
    <w:rsid w:val="4BFF816B"/>
    <w:rsid w:val="535207DE"/>
    <w:rsid w:val="6FE72A92"/>
    <w:rsid w:val="70945DE6"/>
    <w:rsid w:val="73ADDEB6"/>
    <w:rsid w:val="7E9E7EC0"/>
    <w:rsid w:val="7FDF6849"/>
    <w:rsid w:val="B59FABD8"/>
    <w:rsid w:val="BDEED938"/>
    <w:rsid w:val="D95BFDFF"/>
    <w:rsid w:val="EEE6D0D2"/>
    <w:rsid w:val="F3FFF7E3"/>
    <w:rsid w:val="F6FD98EF"/>
    <w:rsid w:val="F7568DA3"/>
    <w:rsid w:val="F77D6C45"/>
    <w:rsid w:val="F7B3F5FD"/>
    <w:rsid w:val="FBDD6C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宋体" w:cs="Arial"/>
      <w:snapToGrid w:val="0"/>
      <w:color w:val="000000"/>
      <w:sz w:val="21"/>
      <w:szCs w:val="21"/>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style>
  <w:style w:type="paragraph" w:styleId="3">
    <w:name w:val="Body Text"/>
    <w:basedOn w:val="1"/>
    <w:next w:val="4"/>
    <w:qFormat/>
    <w:uiPriority w:val="0"/>
    <w:rPr>
      <w:rFonts w:ascii="宋体" w:hAnsi="宋体" w:cs="宋体"/>
      <w:sz w:val="24"/>
      <w:szCs w:val="24"/>
    </w:rPr>
  </w:style>
  <w:style w:type="paragraph" w:styleId="4">
    <w:name w:val="Body Text First Indent"/>
    <w:basedOn w:val="3"/>
    <w:next w:val="5"/>
    <w:qFormat/>
    <w:uiPriority w:val="0"/>
    <w:pPr>
      <w:ind w:firstLine="420" w:firstLineChars="100"/>
    </w:pPr>
  </w:style>
  <w:style w:type="paragraph" w:styleId="5">
    <w:name w:val="toc 6"/>
    <w:basedOn w:val="1"/>
    <w:next w:val="1"/>
    <w:qFormat/>
    <w:uiPriority w:val="0"/>
    <w:pPr>
      <w:ind w:left="2100" w:leftChars="1000"/>
    </w:pPr>
    <w:rPr>
      <w:szCs w:val="22"/>
    </w:rPr>
  </w:style>
  <w:style w:type="paragraph" w:styleId="6">
    <w:name w:val="index 4"/>
    <w:basedOn w:val="1"/>
    <w:next w:val="1"/>
    <w:qFormat/>
    <w:uiPriority w:val="0"/>
    <w:pPr>
      <w:spacing w:line="360" w:lineRule="auto"/>
      <w:ind w:left="600" w:leftChars="600"/>
    </w:pPr>
    <w:rPr>
      <w:sz w:val="24"/>
      <w:szCs w:val="24"/>
    </w:rPr>
  </w:style>
  <w:style w:type="paragraph" w:styleId="7">
    <w:name w:val="Balloon Text"/>
    <w:basedOn w:val="1"/>
    <w:link w:val="21"/>
    <w:qFormat/>
    <w:uiPriority w:val="0"/>
    <w:rPr>
      <w:sz w:val="18"/>
      <w:szCs w:val="18"/>
    </w:rPr>
  </w:style>
  <w:style w:type="paragraph" w:styleId="8">
    <w:name w:val="footer"/>
    <w:basedOn w:val="1"/>
    <w:link w:val="20"/>
    <w:qFormat/>
    <w:uiPriority w:val="0"/>
    <w:pPr>
      <w:tabs>
        <w:tab w:val="center" w:pos="4153"/>
        <w:tab w:val="right" w:pos="8306"/>
      </w:tabs>
    </w:pPr>
    <w:rPr>
      <w:sz w:val="18"/>
      <w:szCs w:val="18"/>
    </w:rPr>
  </w:style>
  <w:style w:type="paragraph" w:styleId="9">
    <w:name w:val="header"/>
    <w:basedOn w:val="1"/>
    <w:link w:val="19"/>
    <w:qFormat/>
    <w:uiPriority w:val="0"/>
    <w:pPr>
      <w:pBdr>
        <w:bottom w:val="single" w:color="auto" w:sz="6" w:space="1"/>
      </w:pBdr>
      <w:tabs>
        <w:tab w:val="center" w:pos="4153"/>
        <w:tab w:val="right" w:pos="8306"/>
      </w:tabs>
      <w:jc w:val="center"/>
    </w:pPr>
    <w:rPr>
      <w:sz w:val="18"/>
      <w:szCs w:val="18"/>
    </w:rPr>
  </w:style>
  <w:style w:type="paragraph" w:styleId="10">
    <w:name w:val="Normal (Web)"/>
    <w:basedOn w:val="1"/>
    <w:qFormat/>
    <w:uiPriority w:val="0"/>
    <w:pPr>
      <w:spacing w:before="100" w:beforeAutospacing="1" w:after="100" w:afterAutospacing="1"/>
    </w:pPr>
    <w:rPr>
      <w:rFonts w:cs="宋体"/>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font31"/>
    <w:basedOn w:val="13"/>
    <w:qFormat/>
    <w:uiPriority w:val="0"/>
    <w:rPr>
      <w:rFonts w:hint="eastAsia" w:ascii="新宋体" w:hAnsi="新宋体" w:eastAsia="新宋体" w:cs="新宋体"/>
      <w:b/>
      <w:bCs/>
      <w:color w:val="000000"/>
      <w:sz w:val="28"/>
      <w:szCs w:val="28"/>
      <w:u w:val="none"/>
    </w:rPr>
  </w:style>
  <w:style w:type="character" w:customStyle="1" w:styleId="15">
    <w:name w:val="font61"/>
    <w:basedOn w:val="13"/>
    <w:qFormat/>
    <w:uiPriority w:val="0"/>
    <w:rPr>
      <w:rFonts w:hint="eastAsia" w:ascii="新宋体" w:hAnsi="新宋体" w:eastAsia="新宋体" w:cs="新宋体"/>
      <w:color w:val="000000"/>
      <w:sz w:val="28"/>
      <w:szCs w:val="28"/>
      <w:u w:val="none"/>
    </w:rPr>
  </w:style>
  <w:style w:type="character" w:customStyle="1" w:styleId="16">
    <w:name w:val="批注文字 Char"/>
    <w:link w:val="2"/>
    <w:qFormat/>
    <w:uiPriority w:val="0"/>
  </w:style>
  <w:style w:type="paragraph" w:styleId="17">
    <w:name w:val="List Paragraph"/>
    <w:basedOn w:val="1"/>
    <w:qFormat/>
    <w:uiPriority w:val="0"/>
    <w:pPr>
      <w:widowControl w:val="0"/>
      <w:numPr>
        <w:ilvl w:val="0"/>
        <w:numId w:val="1"/>
      </w:numPr>
      <w:kinsoku/>
      <w:autoSpaceDE/>
      <w:autoSpaceDN/>
      <w:adjustRightInd/>
      <w:snapToGrid/>
      <w:spacing w:line="360" w:lineRule="auto"/>
      <w:jc w:val="both"/>
      <w:textAlignment w:val="auto"/>
    </w:pPr>
    <w:rPr>
      <w:rFonts w:ascii="宋体" w:hAnsi="宋体" w:cs="Times New Roman"/>
      <w:snapToGrid/>
      <w:color w:val="auto"/>
      <w:kern w:val="2"/>
      <w:sz w:val="24"/>
      <w:szCs w:val="24"/>
    </w:rPr>
  </w:style>
  <w:style w:type="table" w:customStyle="1" w:styleId="18">
    <w:name w:val="Table Normal"/>
    <w:unhideWhenUsed/>
    <w:qFormat/>
    <w:uiPriority w:val="0"/>
    <w:tblPr>
      <w:tblCellMar>
        <w:top w:w="0" w:type="dxa"/>
        <w:left w:w="0" w:type="dxa"/>
        <w:bottom w:w="0" w:type="dxa"/>
        <w:right w:w="0" w:type="dxa"/>
      </w:tblCellMar>
    </w:tblPr>
  </w:style>
  <w:style w:type="character" w:customStyle="1" w:styleId="19">
    <w:name w:val="页眉 Char"/>
    <w:basedOn w:val="13"/>
    <w:link w:val="9"/>
    <w:qFormat/>
    <w:uiPriority w:val="0"/>
    <w:rPr>
      <w:rFonts w:ascii="Arial" w:hAnsi="Arial" w:eastAsia="宋体" w:cs="Arial"/>
      <w:snapToGrid w:val="0"/>
      <w:color w:val="000000"/>
      <w:sz w:val="18"/>
      <w:szCs w:val="18"/>
    </w:rPr>
  </w:style>
  <w:style w:type="character" w:customStyle="1" w:styleId="20">
    <w:name w:val="页脚 Char"/>
    <w:basedOn w:val="13"/>
    <w:link w:val="8"/>
    <w:qFormat/>
    <w:uiPriority w:val="0"/>
    <w:rPr>
      <w:rFonts w:ascii="Arial" w:hAnsi="Arial" w:eastAsia="宋体" w:cs="Arial"/>
      <w:snapToGrid w:val="0"/>
      <w:color w:val="000000"/>
      <w:sz w:val="18"/>
      <w:szCs w:val="18"/>
    </w:rPr>
  </w:style>
  <w:style w:type="character" w:customStyle="1" w:styleId="21">
    <w:name w:val="批注框文本 Char"/>
    <w:basedOn w:val="13"/>
    <w:link w:val="7"/>
    <w:qFormat/>
    <w:uiPriority w:val="0"/>
    <w:rPr>
      <w:rFonts w:ascii="Arial" w:hAnsi="Arial" w:eastAsia="宋体" w:cs="Arial"/>
      <w:snapToGrid w:val="0"/>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2411</Words>
  <Characters>3070</Characters>
  <Lines>40</Lines>
  <Paragraphs>26</Paragraphs>
  <TotalTime>28</TotalTime>
  <ScaleCrop>false</ScaleCrop>
  <LinksUpToDate>false</LinksUpToDate>
  <CharactersWithSpaces>3112</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2026-06-23T10:56:00Z</dcterms:created>
  <dc:creator>Administrator</dc:creator>
  <cp:lastModifiedBy>user</cp:lastModifiedBy>
  <cp:lastPrinted>2026-06-23T14:14:00Z</cp:lastPrinted>
  <dcterms:modified xsi:type="dcterms:W3CDTF">2026-07-06T16:59:18Z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KSOTemplateDocerSaveRecord">
    <vt:lpwstr>eyJoZGlkIjoiMjQzMjJjYTEzYzEzMjVjOGIxYWQwMTc0ZTUwZGE2YjIiLCJ1c2VySWQiOiIyOTgyOTgyOTEifQ==</vt:lpwstr>
  </property>
  <property fmtid="{D5CDD505-2E9C-101B-9397-08002B2CF9AE}" pid="4" name="ICV">
    <vt:lpwstr>92FD1E88E8A14D3DBA76D5B460E697B9_13</vt:lpwstr>
  </property>
</Properties>
</file>