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宋体"/>
          <w:b/>
          <w:color w:val="auto"/>
          <w:highlight w:val="none"/>
        </w:rPr>
      </w:pPr>
      <w:r>
        <w:rPr>
          <w:rFonts w:hint="eastAsia" w:ascii="宋体" w:hAnsi="宋体" w:eastAsia="宋体" w:cs="宋体"/>
          <w:b/>
          <w:color w:val="auto"/>
          <w:sz w:val="44"/>
          <w:szCs w:val="44"/>
          <w:highlight w:val="none"/>
        </w:rPr>
        <w:t>采购需求</w:t>
      </w:r>
    </w:p>
    <w:p>
      <w:pPr>
        <w:spacing w:after="0" w:line="360" w:lineRule="auto"/>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一、项目基本情况</w:t>
      </w:r>
    </w:p>
    <w:p>
      <w:pPr>
        <w:spacing w:after="0" w:line="360" w:lineRule="auto"/>
        <w:ind w:firstLine="640" w:firstLineChars="200"/>
        <w:contextualSpacing/>
        <w:jc w:val="left"/>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1、项目概况</w:t>
      </w:r>
    </w:p>
    <w:p>
      <w:pPr>
        <w:spacing w:after="0" w:line="360" w:lineRule="auto"/>
        <w:ind w:firstLine="640" w:firstLineChars="200"/>
        <w:contextualSpacing/>
        <w:jc w:val="left"/>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项目名称：上海经贸展台搭建服务项目</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项目内容：2026年，上海市人民政府合作交流办公室组团参加大连等3个对口地区举办的经贸展会。展台预计500平方米/个（以</w:t>
      </w:r>
      <w:r>
        <w:rPr>
          <w:rFonts w:ascii="仿宋_GB2312" w:hAnsi="黑体" w:eastAsia="仿宋_GB2312" w:cs="黑体"/>
          <w:bCs/>
          <w:color w:val="auto"/>
          <w:sz w:val="32"/>
          <w:szCs w:val="32"/>
          <w:highlight w:val="none"/>
        </w:rPr>
        <w:t>组委会</w:t>
      </w:r>
      <w:r>
        <w:rPr>
          <w:rFonts w:hint="eastAsia" w:ascii="仿宋_GB2312" w:hAnsi="黑体" w:eastAsia="仿宋_GB2312" w:cs="黑体"/>
          <w:bCs/>
          <w:color w:val="auto"/>
          <w:sz w:val="32"/>
          <w:szCs w:val="32"/>
          <w:highlight w:val="none"/>
        </w:rPr>
        <w:t>实际图纸面积为准），以整体特装展台的形象出展，要求供应商提供展台设计、展台施工制作搭建、展商现场布展支持、展前展后仓储运输等全流程服务。其中，针对每场展会活动需提出个性化的整体设计方案，并提供配套的搭建服务，设计和制作上需充分考虑展区的整体外观形象，主体结构的安全性和环保性等方面。</w:t>
      </w:r>
    </w:p>
    <w:tbl>
      <w:tblPr>
        <w:tblStyle w:val="9"/>
        <w:tblW w:w="929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3"/>
        <w:gridCol w:w="5581"/>
        <w:gridCol w:w="1726"/>
        <w:gridCol w:w="10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4" w:hRule="atLeast"/>
          <w:jc w:val="center"/>
        </w:trPr>
        <w:tc>
          <w:tcPr>
            <w:tcW w:w="953" w:type="dxa"/>
            <w:noWrap/>
            <w:vAlign w:val="center"/>
          </w:tcPr>
          <w:p>
            <w:pPr>
              <w:widowControl/>
              <w:spacing w:after="0" w:line="360" w:lineRule="auto"/>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序号</w:t>
            </w:r>
          </w:p>
        </w:tc>
        <w:tc>
          <w:tcPr>
            <w:tcW w:w="5581" w:type="dxa"/>
            <w:noWrap/>
            <w:vAlign w:val="center"/>
          </w:tcPr>
          <w:p>
            <w:pPr>
              <w:widowControl/>
              <w:spacing w:after="0" w:line="360" w:lineRule="auto"/>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展会名称</w:t>
            </w:r>
          </w:p>
        </w:tc>
        <w:tc>
          <w:tcPr>
            <w:tcW w:w="1726" w:type="dxa"/>
            <w:noWrap/>
            <w:vAlign w:val="center"/>
          </w:tcPr>
          <w:p>
            <w:pPr>
              <w:widowControl/>
              <w:spacing w:after="0" w:line="360" w:lineRule="auto"/>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时间</w:t>
            </w:r>
          </w:p>
        </w:tc>
        <w:tc>
          <w:tcPr>
            <w:tcW w:w="1037" w:type="dxa"/>
            <w:noWrap/>
            <w:vAlign w:val="center"/>
          </w:tcPr>
          <w:p>
            <w:pPr>
              <w:widowControl/>
              <w:spacing w:after="0" w:line="360" w:lineRule="auto"/>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地点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953"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w:t>
            </w:r>
          </w:p>
        </w:tc>
        <w:tc>
          <w:tcPr>
            <w:tcW w:w="5581" w:type="dxa"/>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2026</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第28届</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大连国际工业博览会</w:t>
            </w:r>
          </w:p>
        </w:tc>
        <w:tc>
          <w:tcPr>
            <w:tcW w:w="1726"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5.13-5.16</w:t>
            </w:r>
          </w:p>
        </w:tc>
        <w:tc>
          <w:tcPr>
            <w:tcW w:w="1037"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大连</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953"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w:t>
            </w:r>
          </w:p>
        </w:tc>
        <w:tc>
          <w:tcPr>
            <w:tcW w:w="5581" w:type="dxa"/>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第10届中国-南亚博览会</w:t>
            </w:r>
          </w:p>
        </w:tc>
        <w:tc>
          <w:tcPr>
            <w:tcW w:w="1726"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6.11-6.16</w:t>
            </w:r>
          </w:p>
        </w:tc>
        <w:tc>
          <w:tcPr>
            <w:tcW w:w="1037"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昆明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953"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w:t>
            </w:r>
          </w:p>
        </w:tc>
        <w:tc>
          <w:tcPr>
            <w:tcW w:w="5581" w:type="dxa"/>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第27届中国青海绿色发展投资洽谈会</w:t>
            </w:r>
          </w:p>
        </w:tc>
        <w:tc>
          <w:tcPr>
            <w:tcW w:w="1726"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7.15-7.19</w:t>
            </w:r>
          </w:p>
        </w:tc>
        <w:tc>
          <w:tcPr>
            <w:tcW w:w="1037" w:type="dxa"/>
            <w:noWrap/>
            <w:vAlign w:val="center"/>
          </w:tcPr>
          <w:p>
            <w:pPr>
              <w:widowControl/>
              <w:spacing w:after="0" w:line="360" w:lineRule="auto"/>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西宁</w:t>
            </w:r>
          </w:p>
        </w:tc>
      </w:tr>
    </w:tbl>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备注：以采购方实际参展情况为准。</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项目预算：本项目最高限价为：人民币 267.9 万元。每个展会分为项目设计费用，布展费用、现场费用、仓储运输费用和差旅费用。</w:t>
      </w:r>
    </w:p>
    <w:p>
      <w:pPr>
        <w:pStyle w:val="13"/>
        <w:numPr>
          <w:ilvl w:val="0"/>
          <w:numId w:val="1"/>
        </w:numPr>
        <w:spacing w:after="0" w:line="360" w:lineRule="auto"/>
        <w:ind w:left="420" w:firstLineChars="0"/>
        <w:contextualSpacing/>
        <w:jc w:val="left"/>
        <w:rPr>
          <w:rFonts w:hint="eastAsia" w:ascii="仿宋_GB2312" w:hAnsi="黑体" w:eastAsia="仿宋_GB2312" w:cs="黑体"/>
          <w:b/>
          <w:color w:val="auto"/>
          <w:sz w:val="32"/>
          <w:szCs w:val="32"/>
          <w:highlight w:val="none"/>
        </w:rPr>
      </w:pPr>
      <w:r>
        <w:rPr>
          <w:rFonts w:hint="eastAsia" w:ascii="仿宋_GB2312" w:hAnsi="黑体" w:eastAsia="仿宋_GB2312" w:cs="黑体"/>
          <w:b/>
          <w:color w:val="auto"/>
          <w:sz w:val="32"/>
          <w:szCs w:val="32"/>
          <w:highlight w:val="none"/>
          <w:lang w:val="en-US" w:eastAsia="zh-CN"/>
        </w:rPr>
        <w:t>2026</w:t>
      </w:r>
      <w:r>
        <w:rPr>
          <w:rFonts w:hint="eastAsia" w:ascii="仿宋_GB2312" w:hAnsi="黑体" w:eastAsia="仿宋_GB2312" w:cs="黑体"/>
          <w:b/>
          <w:color w:val="auto"/>
          <w:sz w:val="32"/>
          <w:szCs w:val="32"/>
          <w:highlight w:val="none"/>
        </w:rPr>
        <w:t xml:space="preserve"> （第28届）大连国际工业博览会</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202</w:t>
      </w:r>
      <w:r>
        <w:rPr>
          <w:rFonts w:hint="eastAsia" w:ascii="仿宋_GB2312" w:hAnsi="黑体" w:eastAsia="仿宋_GB2312" w:cs="黑体"/>
          <w:bCs/>
          <w:color w:val="auto"/>
          <w:sz w:val="32"/>
          <w:szCs w:val="32"/>
          <w:highlight w:val="none"/>
        </w:rPr>
        <w:t>6（第28届）</w:t>
      </w:r>
      <w:r>
        <w:rPr>
          <w:rFonts w:ascii="仿宋_GB2312" w:hAnsi="黑体" w:eastAsia="仿宋_GB2312" w:cs="黑体"/>
          <w:bCs/>
          <w:color w:val="auto"/>
          <w:sz w:val="32"/>
          <w:szCs w:val="32"/>
          <w:highlight w:val="none"/>
        </w:rPr>
        <w:t>大连国际工业博览会将于202</w:t>
      </w:r>
      <w:r>
        <w:rPr>
          <w:rFonts w:hint="eastAsia" w:ascii="仿宋_GB2312" w:hAnsi="黑体" w:eastAsia="仿宋_GB2312" w:cs="黑体"/>
          <w:bCs/>
          <w:color w:val="auto"/>
          <w:sz w:val="32"/>
          <w:szCs w:val="32"/>
          <w:highlight w:val="none"/>
        </w:rPr>
        <w:t>6</w:t>
      </w:r>
      <w:r>
        <w:rPr>
          <w:rFonts w:ascii="仿宋_GB2312" w:hAnsi="黑体" w:eastAsia="仿宋_GB2312" w:cs="黑体"/>
          <w:bCs/>
          <w:color w:val="auto"/>
          <w:sz w:val="32"/>
          <w:szCs w:val="32"/>
          <w:highlight w:val="none"/>
        </w:rPr>
        <w:t>年5月</w:t>
      </w:r>
      <w:r>
        <w:rPr>
          <w:rFonts w:hint="eastAsia" w:ascii="仿宋_GB2312" w:hAnsi="黑体" w:eastAsia="仿宋_GB2312" w:cs="黑体"/>
          <w:bCs/>
          <w:color w:val="auto"/>
          <w:sz w:val="32"/>
          <w:szCs w:val="32"/>
          <w:highlight w:val="none"/>
        </w:rPr>
        <w:t>13</w:t>
      </w:r>
      <w:r>
        <w:rPr>
          <w:rFonts w:ascii="仿宋_GB2312" w:hAnsi="黑体" w:eastAsia="仿宋_GB2312" w:cs="黑体"/>
          <w:bCs/>
          <w:color w:val="auto"/>
          <w:sz w:val="32"/>
          <w:szCs w:val="32"/>
          <w:highlight w:val="none"/>
        </w:rPr>
        <w:t>日</w:t>
      </w:r>
      <w:r>
        <w:rPr>
          <w:rFonts w:hint="eastAsia" w:ascii="仿宋_GB2312" w:hAnsi="黑体" w:eastAsia="仿宋_GB2312" w:cs="黑体"/>
          <w:bCs/>
          <w:color w:val="auto"/>
          <w:sz w:val="32"/>
          <w:szCs w:val="32"/>
          <w:highlight w:val="none"/>
        </w:rPr>
        <w:t>至16</w:t>
      </w:r>
      <w:r>
        <w:rPr>
          <w:rFonts w:ascii="仿宋_GB2312" w:hAnsi="黑体" w:eastAsia="仿宋_GB2312" w:cs="黑体"/>
          <w:bCs/>
          <w:color w:val="auto"/>
          <w:sz w:val="32"/>
          <w:szCs w:val="32"/>
          <w:highlight w:val="none"/>
        </w:rPr>
        <w:t>日在大连自贸国际会展中心</w:t>
      </w:r>
      <w:r>
        <w:rPr>
          <w:rFonts w:hint="eastAsia" w:ascii="仿宋_GB2312" w:hAnsi="黑体" w:eastAsia="仿宋_GB2312" w:cs="黑体"/>
          <w:bCs/>
          <w:color w:val="auto"/>
          <w:sz w:val="32"/>
          <w:szCs w:val="32"/>
          <w:highlight w:val="none"/>
        </w:rPr>
        <w:t>举办</w:t>
      </w:r>
      <w:r>
        <w:rPr>
          <w:rFonts w:ascii="仿宋_GB2312" w:hAnsi="黑体" w:eastAsia="仿宋_GB2312" w:cs="黑体"/>
          <w:bCs/>
          <w:color w:val="auto"/>
          <w:sz w:val="32"/>
          <w:szCs w:val="32"/>
          <w:highlight w:val="none"/>
        </w:rPr>
        <w:t>。</w:t>
      </w:r>
      <w:r>
        <w:rPr>
          <w:rFonts w:hint="eastAsia" w:ascii="仿宋_GB2312" w:hAnsi="黑体" w:eastAsia="仿宋_GB2312" w:cs="黑体"/>
          <w:bCs/>
          <w:color w:val="auto"/>
          <w:sz w:val="32"/>
          <w:szCs w:val="32"/>
          <w:highlight w:val="none"/>
        </w:rPr>
        <w:t>本次展会以“数智·聚势·发展”为主题，主要涉及工业制造、智能制造、高端装备、工业自动化、新材料等领域。</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上海经贸展区位于BT001展位，布展面积为500平方米，将集中展示20多家企业及相关展品，涵盖海洋经济、人工智能、智能制造与工业互联网、新能源新材料、生物医药等重点产业领域。目前已初步邀请中核聚变、上海交通大学（深远海科学与工程研究院）、上汽智己、东海水产研究所、旭宇信息、国焊智能科技、健麾信息技术等单位参展，主要展品包括工程实验堆实物模型、交大深海浮岛项目模型、上汽智己新款 SUV 及医药物流分包机等专业设备。</w:t>
      </w:r>
    </w:p>
    <w:p>
      <w:pPr>
        <w:pStyle w:val="13"/>
        <w:numPr>
          <w:ilvl w:val="0"/>
          <w:numId w:val="1"/>
        </w:numPr>
        <w:spacing w:after="0" w:line="360" w:lineRule="auto"/>
        <w:ind w:left="420" w:firstLineChars="0"/>
        <w:contextualSpacing/>
        <w:jc w:val="left"/>
        <w:rPr>
          <w:rFonts w:hint="eastAsia" w:ascii="仿宋_GB2312" w:hAnsi="黑体" w:eastAsia="仿宋_GB2312" w:cs="黑体"/>
          <w:b/>
          <w:color w:val="auto"/>
          <w:sz w:val="32"/>
          <w:szCs w:val="32"/>
          <w:highlight w:val="none"/>
        </w:rPr>
      </w:pPr>
      <w:r>
        <w:rPr>
          <w:rFonts w:hint="eastAsia" w:ascii="仿宋_GB2312" w:hAnsi="黑体" w:eastAsia="仿宋_GB2312" w:cs="黑体"/>
          <w:b/>
          <w:color w:val="auto"/>
          <w:sz w:val="32"/>
          <w:szCs w:val="32"/>
          <w:highlight w:val="none"/>
        </w:rPr>
        <w:t>第10届中国-南亚博览会</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第10届中国—南亚博览会</w:t>
      </w:r>
      <w:r>
        <w:rPr>
          <w:rFonts w:ascii="仿宋_GB2312" w:hAnsi="黑体" w:eastAsia="仿宋_GB2312" w:cs="黑体"/>
          <w:bCs/>
          <w:color w:val="auto"/>
          <w:sz w:val="32"/>
          <w:szCs w:val="32"/>
          <w:highlight w:val="none"/>
        </w:rPr>
        <w:t>将于202</w:t>
      </w:r>
      <w:r>
        <w:rPr>
          <w:rFonts w:hint="eastAsia" w:ascii="仿宋_GB2312" w:hAnsi="黑体" w:eastAsia="仿宋_GB2312" w:cs="黑体"/>
          <w:bCs/>
          <w:color w:val="auto"/>
          <w:sz w:val="32"/>
          <w:szCs w:val="32"/>
          <w:highlight w:val="none"/>
        </w:rPr>
        <w:t>6</w:t>
      </w:r>
      <w:r>
        <w:rPr>
          <w:rFonts w:ascii="仿宋_GB2312" w:hAnsi="黑体" w:eastAsia="仿宋_GB2312" w:cs="黑体"/>
          <w:bCs/>
          <w:color w:val="auto"/>
          <w:sz w:val="32"/>
          <w:szCs w:val="32"/>
          <w:highlight w:val="none"/>
        </w:rPr>
        <w:t>年6月</w:t>
      </w:r>
      <w:r>
        <w:rPr>
          <w:rFonts w:hint="eastAsia" w:ascii="仿宋_GB2312" w:hAnsi="黑体" w:eastAsia="仿宋_GB2312" w:cs="黑体"/>
          <w:bCs/>
          <w:color w:val="auto"/>
          <w:sz w:val="32"/>
          <w:szCs w:val="32"/>
          <w:highlight w:val="none"/>
        </w:rPr>
        <w:t>11</w:t>
      </w:r>
      <w:r>
        <w:rPr>
          <w:rFonts w:ascii="仿宋_GB2312" w:hAnsi="黑体" w:eastAsia="仿宋_GB2312" w:cs="黑体"/>
          <w:bCs/>
          <w:color w:val="auto"/>
          <w:sz w:val="32"/>
          <w:szCs w:val="32"/>
          <w:highlight w:val="none"/>
        </w:rPr>
        <w:t>日至</w:t>
      </w:r>
      <w:r>
        <w:rPr>
          <w:rFonts w:hint="eastAsia" w:ascii="仿宋_GB2312" w:hAnsi="黑体" w:eastAsia="仿宋_GB2312" w:cs="黑体"/>
          <w:bCs/>
          <w:color w:val="auto"/>
          <w:sz w:val="32"/>
          <w:szCs w:val="32"/>
          <w:highlight w:val="none"/>
        </w:rPr>
        <w:t>16</w:t>
      </w:r>
      <w:r>
        <w:rPr>
          <w:rFonts w:ascii="仿宋_GB2312" w:hAnsi="黑体" w:eastAsia="仿宋_GB2312" w:cs="黑体"/>
          <w:bCs/>
          <w:color w:val="auto"/>
          <w:sz w:val="32"/>
          <w:szCs w:val="32"/>
          <w:highlight w:val="none"/>
        </w:rPr>
        <w:t>日在昆明滇池国际会展中心举办。</w:t>
      </w:r>
      <w:r>
        <w:rPr>
          <w:rFonts w:hint="eastAsia" w:ascii="仿宋_GB2312" w:hAnsi="黑体" w:eastAsia="仿宋_GB2312" w:cs="黑体"/>
          <w:bCs/>
          <w:color w:val="auto"/>
          <w:sz w:val="32"/>
          <w:szCs w:val="32"/>
          <w:highlight w:val="none"/>
        </w:rPr>
        <w:t>本次展会以“团结协作,共谋发展”为主题，主要涉及绿色能源、咖啡、医疗康养、现代农业、文化旅游等领域。</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上海经贸展台布展面积预计为500平方米（以组委会实际图纸面积为准）。展区将汇聚约20家来自现代农业、绿色能源、低空经济等先进产业领域企业和展品。主要展品有无人机、机器人、新能源汽车等。</w:t>
      </w:r>
    </w:p>
    <w:p>
      <w:pPr>
        <w:pStyle w:val="13"/>
        <w:numPr>
          <w:ilvl w:val="0"/>
          <w:numId w:val="1"/>
        </w:numPr>
        <w:spacing w:after="0" w:line="360" w:lineRule="auto"/>
        <w:ind w:left="420" w:firstLineChars="0"/>
        <w:contextualSpacing/>
        <w:jc w:val="left"/>
        <w:rPr>
          <w:rFonts w:hint="eastAsia" w:ascii="仿宋_GB2312" w:hAnsi="黑体" w:eastAsia="仿宋_GB2312" w:cs="黑体"/>
          <w:b/>
          <w:color w:val="auto"/>
          <w:sz w:val="32"/>
          <w:szCs w:val="32"/>
          <w:highlight w:val="none"/>
        </w:rPr>
      </w:pPr>
      <w:r>
        <w:rPr>
          <w:rFonts w:hint="eastAsia" w:ascii="仿宋_GB2312" w:hAnsi="黑体" w:eastAsia="仿宋_GB2312" w:cs="黑体"/>
          <w:b/>
          <w:color w:val="auto"/>
          <w:sz w:val="32"/>
          <w:szCs w:val="32"/>
          <w:highlight w:val="none"/>
        </w:rPr>
        <w:t>第27届中国青海绿色发展投资洽谈会</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第27</w:t>
      </w:r>
      <w:r>
        <w:rPr>
          <w:rFonts w:ascii="仿宋_GB2312" w:hAnsi="黑体" w:eastAsia="仿宋_GB2312" w:cs="黑体"/>
          <w:bCs/>
          <w:color w:val="auto"/>
          <w:sz w:val="32"/>
          <w:szCs w:val="32"/>
          <w:highlight w:val="none"/>
        </w:rPr>
        <w:t>届中国青海绿色发展投资洽谈会</w:t>
      </w:r>
      <w:r>
        <w:rPr>
          <w:rFonts w:hint="eastAsia" w:ascii="仿宋_GB2312" w:hAnsi="黑体" w:eastAsia="仿宋_GB2312" w:cs="黑体"/>
          <w:bCs/>
          <w:color w:val="auto"/>
          <w:sz w:val="32"/>
          <w:szCs w:val="32"/>
          <w:highlight w:val="none"/>
        </w:rPr>
        <w:t>将于2026年7月15日至19日在青海省西宁市青海新国际会展中心举办</w:t>
      </w:r>
      <w:r>
        <w:rPr>
          <w:rFonts w:ascii="仿宋_GB2312" w:hAnsi="黑体" w:eastAsia="仿宋_GB2312" w:cs="黑体"/>
          <w:bCs/>
          <w:color w:val="auto"/>
          <w:sz w:val="32"/>
          <w:szCs w:val="32"/>
          <w:highlight w:val="none"/>
        </w:rPr>
        <w:t>。</w:t>
      </w:r>
      <w:r>
        <w:rPr>
          <w:rFonts w:hint="eastAsia" w:ascii="仿宋_GB2312" w:hAnsi="黑体" w:eastAsia="仿宋_GB2312" w:cs="黑体"/>
          <w:bCs/>
          <w:color w:val="auto"/>
          <w:sz w:val="32"/>
          <w:szCs w:val="32"/>
          <w:highlight w:val="none"/>
        </w:rPr>
        <w:t>本次展会以“开放合作 绿色发展”为主题，主要涉及新能源、新材料、有色冶金、绿色算力、节能环保等领域。</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上海经贸展台布展面积预计为500平方米（以组委会实际图纸面积为准），展区将汇聚约20家来自智能制造、绿色能源等产业领域的企业和展品。主要展品有机器人、新能源产品、专业设备等。</w:t>
      </w:r>
    </w:p>
    <w:p>
      <w:pPr>
        <w:spacing w:after="0" w:line="360" w:lineRule="auto"/>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w:t>
      </w:r>
      <w:r>
        <w:rPr>
          <w:rFonts w:hint="eastAsia" w:ascii="黑体" w:hAnsi="黑体" w:eastAsia="黑体" w:cs="黑体"/>
          <w:color w:val="auto"/>
          <w:sz w:val="32"/>
          <w:szCs w:val="32"/>
          <w:highlight w:val="none"/>
          <w:lang w:eastAsia="zh-Hans"/>
        </w:rPr>
        <w:t>、</w:t>
      </w:r>
      <w:r>
        <w:rPr>
          <w:rFonts w:hint="eastAsia" w:ascii="黑体" w:hAnsi="黑体" w:eastAsia="黑体" w:cs="黑体"/>
          <w:color w:val="auto"/>
          <w:sz w:val="32"/>
          <w:szCs w:val="32"/>
          <w:highlight w:val="none"/>
          <w:lang w:eastAsia="zh-CN"/>
        </w:rPr>
        <w:t>供应商</w:t>
      </w:r>
      <w:r>
        <w:rPr>
          <w:rFonts w:hint="eastAsia" w:ascii="黑体" w:hAnsi="黑体" w:eastAsia="黑体" w:cs="黑体"/>
          <w:color w:val="auto"/>
          <w:sz w:val="32"/>
          <w:szCs w:val="32"/>
          <w:highlight w:val="none"/>
        </w:rPr>
        <w:t>要求</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1.具有展览承办经验及较强的策略规划制定、创意设计、展会执行等能力，有异地参展参会项目的经验；具备在项目活动期间适应高强度工作节奏的能力，并对项目执行过程中的各种困难，具有充分预计和解决问题的经验能力；内部管理规范，具有良好的信誉，无重大违法、违规、失信行为；</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2.展会现场如有特定工种施工时，施工人员需持相关部门颁发的合法有效证件上岗作业。</w:t>
      </w:r>
    </w:p>
    <w:p>
      <w:pPr>
        <w:spacing w:after="0" w:line="360" w:lineRule="auto"/>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三、交付状态</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单个展会开幕前，采购人现场进行实地验收；所有</w:t>
      </w:r>
      <w:r>
        <w:rPr>
          <w:rFonts w:hint="eastAsia" w:ascii="仿宋_GB2312" w:hAnsi="黑体" w:eastAsia="仿宋_GB2312" w:cs="黑体"/>
          <w:bCs/>
          <w:color w:val="auto"/>
          <w:sz w:val="32"/>
          <w:szCs w:val="32"/>
          <w:highlight w:val="none"/>
          <w:lang w:eastAsia="zh-CN"/>
        </w:rPr>
        <w:t>三</w:t>
      </w:r>
      <w:r>
        <w:rPr>
          <w:rFonts w:hint="eastAsia" w:ascii="仿宋_GB2312" w:hAnsi="黑体" w:eastAsia="仿宋_GB2312" w:cs="黑体"/>
          <w:bCs/>
          <w:color w:val="auto"/>
          <w:sz w:val="32"/>
          <w:szCs w:val="32"/>
          <w:highlight w:val="none"/>
        </w:rPr>
        <w:t>个项目完成后，</w:t>
      </w:r>
      <w:r>
        <w:rPr>
          <w:rFonts w:hint="eastAsia" w:ascii="仿宋_GB2312" w:hAnsi="黑体" w:eastAsia="仿宋_GB2312" w:cs="黑体"/>
          <w:bCs/>
          <w:color w:val="auto"/>
          <w:sz w:val="32"/>
          <w:szCs w:val="32"/>
          <w:highlight w:val="none"/>
          <w:lang w:eastAsia="zh-CN"/>
        </w:rPr>
        <w:t>成交供应商</w:t>
      </w:r>
      <w:r>
        <w:rPr>
          <w:rFonts w:hint="eastAsia" w:ascii="仿宋_GB2312" w:hAnsi="黑体" w:eastAsia="仿宋_GB2312" w:cs="黑体"/>
          <w:bCs/>
          <w:color w:val="auto"/>
          <w:sz w:val="32"/>
          <w:szCs w:val="32"/>
          <w:highlight w:val="none"/>
        </w:rPr>
        <w:t>及时报送项目实施总结评估报告，由采购人组织最终验收。</w:t>
      </w:r>
    </w:p>
    <w:p>
      <w:pPr>
        <w:spacing w:after="0" w:line="360" w:lineRule="auto"/>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四、需求概述</w:t>
      </w:r>
    </w:p>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（一）指导思想与设计原则</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1、指导思想：上海市人民政府合作交流办公室计划组织上海企业组团参加国内区域性经贸展会，</w:t>
      </w:r>
      <w:r>
        <w:rPr>
          <w:rFonts w:hint="eastAsia" w:ascii="仿宋_GB2312" w:hAnsi="黑体" w:eastAsia="仿宋_GB2312" w:cs="黑体"/>
          <w:bCs/>
          <w:color w:val="auto"/>
          <w:sz w:val="32"/>
          <w:szCs w:val="32"/>
          <w:highlight w:val="none"/>
          <w:lang w:eastAsia="zh-CN"/>
        </w:rPr>
        <w:t>供应商</w:t>
      </w:r>
      <w:r>
        <w:rPr>
          <w:rFonts w:ascii="仿宋_GB2312" w:hAnsi="黑体" w:eastAsia="仿宋_GB2312" w:cs="黑体"/>
          <w:bCs/>
          <w:color w:val="auto"/>
          <w:sz w:val="32"/>
          <w:szCs w:val="32"/>
          <w:highlight w:val="none"/>
        </w:rPr>
        <w:t>需根据每场展会的地域特色、主题要求及场馆规范，提出相应的设计思路、表现形式及展区布局和整体设计，展现上海的城市形象和发展理念的同时把上海的合作交流、对口支援、区域合作成果成效融入到每个展览项目的设计制作中去。</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2、设计原则：每场展会活动需提出完整的设计及施工搭建方案并提供全流程搭建管理服务，尤其在造型和制作工艺上需充分考虑展区的外观形象性及整体性，主体结构的安全性和环保性等方面。设计应采取展品与形象表达并重的原则，以创新的思维和现代设计理念及艺术展示手法，实现学术性、知识性、艺术性、趣味性和互动性的有机结合，能呈现展区主题特色和重点亮点。具体如下：</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（1）布局巧妙，空间合理。紧扣内容，精心布局，内容、形式、空间相辅相成，高效引导参展观众注意力。</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（2）参观动线有序，完整顺畅。参观动线设计考虑全面，重点展品展项尽量布置在主通道区域。</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（3）运用图文、视频、多媒体等形式丰富多样的展陈形式，使展区形态鲜活生动富有艺术张力，充分体现参与性、互动性、体验性。</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（4）生态节能，绿色环保。使用材料在满足展馆标准的同时，追求生态节能，打造绿色展馆。</w:t>
      </w:r>
    </w:p>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（二）展示总体要求</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单个项目的展台预计500平方米/个，限高5米（以</w:t>
      </w:r>
      <w:r>
        <w:rPr>
          <w:rFonts w:ascii="仿宋_GB2312" w:hAnsi="黑体" w:eastAsia="仿宋_GB2312" w:cs="黑体"/>
          <w:bCs/>
          <w:color w:val="auto"/>
          <w:sz w:val="32"/>
          <w:szCs w:val="32"/>
          <w:highlight w:val="none"/>
        </w:rPr>
        <w:t>组委会</w:t>
      </w:r>
      <w:r>
        <w:rPr>
          <w:rFonts w:hint="eastAsia" w:ascii="仿宋_GB2312" w:hAnsi="黑体" w:eastAsia="仿宋_GB2312" w:cs="黑体"/>
          <w:bCs/>
          <w:color w:val="auto"/>
          <w:sz w:val="32"/>
          <w:szCs w:val="32"/>
          <w:highlight w:val="none"/>
        </w:rPr>
        <w:t>实际图纸面积为准）。以上海展区的整体特装形象展示。</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展示内容：</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（1）展品主要为实物、展板、多媒体等。成交供应商根据采购人所提供的素材，设计整体布局、参观动线、完整展区和单体方案。</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（2）在图片、实物、置景等传统展示手段的基础上，充分运用现代展示手段，融入上海元素，各类展品安排合理有序、错落有致。</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（3）设计方面，色彩搭配把握上要简约、明亮、协调。设计方案须符合上海社会主义现代化国际大都市的形象特质。</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（4）搭建方面，首先要考虑结构安全性，其次要满足所有参展企业的展示要求。</w:t>
      </w:r>
    </w:p>
    <w:p>
      <w:pPr>
        <w:spacing w:line="360" w:lineRule="auto"/>
        <w:ind w:left="638" w:leftChars="304"/>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五、服务范围及需求</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包括但不限于展会信息及相关事宜对接；展台布局、人流动线、展台3</w:t>
      </w:r>
      <w:r>
        <w:rPr>
          <w:rFonts w:ascii="仿宋_GB2312" w:hAnsi="黑体" w:eastAsia="仿宋_GB2312" w:cs="黑体"/>
          <w:bCs/>
          <w:color w:val="auto"/>
          <w:sz w:val="32"/>
          <w:szCs w:val="32"/>
          <w:highlight w:val="none"/>
        </w:rPr>
        <w:t>D</w:t>
      </w:r>
      <w:r>
        <w:rPr>
          <w:rFonts w:hint="eastAsia" w:ascii="仿宋_GB2312" w:hAnsi="黑体" w:eastAsia="仿宋_GB2312" w:cs="黑体"/>
          <w:bCs/>
          <w:color w:val="auto"/>
          <w:sz w:val="32"/>
          <w:szCs w:val="32"/>
          <w:highlight w:val="none"/>
        </w:rPr>
        <w:t>效果、平面展示等的设计制作工作；展台主体搭建结构、图文美工制作；展会现场布展施工搭建及撤展拆除工作；展会相关展品的收集、运输、管理、布置及归还工作。</w:t>
      </w:r>
    </w:p>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（一）展品</w:t>
      </w:r>
      <w:r>
        <w:rPr>
          <w:rFonts w:ascii="楷体_GB2312" w:hAnsi="楷体_GB2312" w:eastAsia="楷体_GB2312" w:cs="楷体_GB2312"/>
          <w:b/>
          <w:bCs/>
          <w:color w:val="auto"/>
          <w:sz w:val="32"/>
          <w:szCs w:val="32"/>
          <w:highlight w:val="none"/>
        </w:rPr>
        <w:t>信息</w:t>
      </w:r>
      <w:r>
        <w:rPr>
          <w:rFonts w:hint="eastAsia" w:ascii="楷体_GB2312" w:hAnsi="楷体_GB2312" w:eastAsia="楷体_GB2312" w:cs="楷体_GB2312"/>
          <w:b/>
          <w:bCs/>
          <w:color w:val="auto"/>
          <w:sz w:val="32"/>
          <w:szCs w:val="32"/>
          <w:highlight w:val="none"/>
        </w:rPr>
        <w:t>对接</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1.负责与各场次展会主办方、主场搭建商、主场运输商等相关展会单位就各场展会的举办时间、地点、展位信息等情况进行预先信息对接、报馆等工作。</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2.</w:t>
      </w:r>
      <w:r>
        <w:rPr>
          <w:rFonts w:hint="eastAsia" w:ascii="仿宋_GB2312" w:hAnsi="黑体" w:eastAsia="仿宋_GB2312" w:cs="黑体"/>
          <w:bCs/>
          <w:color w:val="auto"/>
          <w:sz w:val="32"/>
          <w:szCs w:val="32"/>
          <w:highlight w:val="none"/>
        </w:rPr>
        <w:t>配合通知并协调展会各相关单位及展商，收集并审核参展商相关资料。</w:t>
      </w:r>
    </w:p>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（二）整体方案设计</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1.配合采购人组织对接参展企业，协调沟通展示需求，了解展示重点，针对性完善整体展示方案；</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2.根据各场次展会情况负责展团展台的整体布局规划，合理设计展台的展项规划及人员参观动线设计</w:t>
      </w:r>
      <w:r>
        <w:rPr>
          <w:rFonts w:ascii="仿宋_GB2312" w:hAnsi="黑体" w:eastAsia="仿宋_GB2312" w:cs="黑体"/>
          <w:bCs/>
          <w:color w:val="auto"/>
          <w:sz w:val="32"/>
          <w:szCs w:val="32"/>
          <w:highlight w:val="none"/>
        </w:rPr>
        <w:t>；</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3.负责统筹所有设计图纸，包括但不限于展台3D渲染效果图、场地平面布置图、流线图、展商展台单体设计图、根据设计需要补充说明的效果图等；</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4.整体设计策划要求富有创造感，整体造型感强，视觉效果美观大方，能综合体现上海国际化大都市城市形象；</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5、设计需充分考虑展区布局、人流疏导、互动参与、安全环保、管理维护等要求，让设计方案更加直观地展现出来，完成设计并通过采购人审核。</w:t>
      </w:r>
    </w:p>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bookmarkStart w:id="0" w:name="OLE_LINK9"/>
      <w:bookmarkStart w:id="1" w:name="OLE_LINK8"/>
      <w:r>
        <w:rPr>
          <w:rFonts w:hint="eastAsia" w:ascii="楷体_GB2312" w:hAnsi="楷体_GB2312" w:eastAsia="楷体_GB2312" w:cs="楷体_GB2312"/>
          <w:b/>
          <w:bCs/>
          <w:color w:val="auto"/>
          <w:sz w:val="32"/>
          <w:szCs w:val="32"/>
          <w:highlight w:val="none"/>
        </w:rPr>
        <w:t>（三）物料制作</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1.严格按照采购人审定的设计方案，按时完成展台的主体结构、美工物料的制作工作，把控展区制作工艺，在传统物料制作过程中充分开发并运用绿色环保、安全可靠的布展材料。结合展品特性，在设计、用材、制作等方面有所创新，材料质量合格，绿色环保，不在使用过程中出现破损、断裂等情况；</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2.所有搭建内容的形象设计应符合本项目定位并满足展商、观众及工作人员的实际使用需求。如有舞台需含有阻燃地毯、LED屏幕、支撑LED屏幕主体结构、演讲台、讲台前写真、舞台底部区域板材下辅助材料等。相关配套设备包括但不限于LED屏幕、切换台、媒体播放系统、电脑、监视器、视频处理分配系统、翻页器等。LED屏幕需提供高质量播放效果，活动彩排及举办期间全屏无坏点出现</w:t>
      </w:r>
      <w:r>
        <w:rPr>
          <w:rFonts w:hint="eastAsia" w:ascii="仿宋_GB2312" w:hAnsi="仿宋_GB2312" w:eastAsia="仿宋_GB2312" w:cs="仿宋_GB2312"/>
          <w:color w:val="auto"/>
          <w:sz w:val="32"/>
          <w:szCs w:val="32"/>
          <w:highlight w:val="none"/>
          <w:lang w:eastAsia="zh-CN"/>
        </w:rPr>
        <w:t>，相关配套设备需按租赁价投报</w:t>
      </w:r>
      <w:r>
        <w:rPr>
          <w:rFonts w:hint="eastAsia" w:ascii="仿宋_GB2312" w:hAnsi="黑体" w:eastAsia="仿宋_GB2312" w:cs="黑体"/>
          <w:bCs/>
          <w:color w:val="auto"/>
          <w:sz w:val="32"/>
          <w:szCs w:val="32"/>
          <w:highlight w:val="none"/>
        </w:rPr>
        <w:t>；</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3</w:t>
      </w:r>
      <w:r>
        <w:rPr>
          <w:rFonts w:ascii="仿宋_GB2312" w:hAnsi="黑体" w:eastAsia="仿宋_GB2312" w:cs="黑体"/>
          <w:bCs/>
          <w:color w:val="auto"/>
          <w:sz w:val="32"/>
          <w:szCs w:val="32"/>
          <w:highlight w:val="none"/>
        </w:rPr>
        <w:t>.</w:t>
      </w:r>
      <w:r>
        <w:rPr>
          <w:rFonts w:hint="eastAsia" w:ascii="仿宋_GB2312" w:hAnsi="黑体" w:eastAsia="仿宋_GB2312" w:cs="黑体"/>
          <w:bCs/>
          <w:color w:val="auto"/>
          <w:sz w:val="32"/>
          <w:szCs w:val="32"/>
          <w:highlight w:val="none"/>
        </w:rPr>
        <w:t>为确保展台制作的高质量和稳定性，所有材料的材质、尺寸、性能等指标必须符合或优于报价单中列出的标准，确保其在实际使用中能够满足需求。在材料选择过程中，应优先考虑符合国际或国内相关行业标准的材料，并确保其具备环保性和安全性。所有材料需确保无瑕疵、无缺陷，并在施工过程中按照规范进行安装和固定，避免因材料质量问题或施工不当导致的安全隐患或功能缺失。</w:t>
      </w:r>
    </w:p>
    <w:bookmarkEnd w:id="0"/>
    <w:bookmarkEnd w:id="1"/>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bookmarkStart w:id="2" w:name="OLE_LINK11"/>
      <w:bookmarkStart w:id="3" w:name="OLE_LINK10"/>
      <w:r>
        <w:rPr>
          <w:rFonts w:hint="eastAsia" w:ascii="楷体_GB2312" w:hAnsi="楷体_GB2312" w:eastAsia="楷体_GB2312" w:cs="楷体_GB2312"/>
          <w:b/>
          <w:bCs/>
          <w:color w:val="auto"/>
          <w:sz w:val="32"/>
          <w:szCs w:val="32"/>
          <w:highlight w:val="none"/>
        </w:rPr>
        <w:t>（四）布展搭建及撤展</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1</w:t>
      </w:r>
      <w:r>
        <w:rPr>
          <w:rFonts w:hint="eastAsia" w:ascii="仿宋_GB2312" w:hAnsi="黑体" w:eastAsia="仿宋_GB2312" w:cs="黑体"/>
          <w:bCs/>
          <w:color w:val="auto"/>
          <w:sz w:val="32"/>
          <w:szCs w:val="32"/>
          <w:highlight w:val="none"/>
        </w:rPr>
        <w:t>.严格遵守各展馆的材料和施工要求等方面的规定，办理水电气等展台所需的场馆设施及展台进场施工的一切手续；</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2.接受并积极配合采购人及采购人委派的专业第三方机构的监督与管理单位；</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3.负责统筹现场展览施工搭建，在展会指定时间段内</w:t>
      </w:r>
      <w:r>
        <w:rPr>
          <w:rFonts w:ascii="仿宋_GB2312" w:hAnsi="黑体" w:eastAsia="仿宋_GB2312" w:cs="黑体"/>
          <w:bCs/>
          <w:color w:val="auto"/>
          <w:sz w:val="32"/>
          <w:szCs w:val="32"/>
          <w:highlight w:val="none"/>
        </w:rPr>
        <w:t>安全</w:t>
      </w:r>
      <w:r>
        <w:rPr>
          <w:rFonts w:hint="eastAsia" w:ascii="仿宋_GB2312" w:hAnsi="黑体" w:eastAsia="仿宋_GB2312" w:cs="黑体"/>
          <w:bCs/>
          <w:color w:val="auto"/>
          <w:sz w:val="32"/>
          <w:szCs w:val="32"/>
          <w:highlight w:val="none"/>
        </w:rPr>
        <w:t>完成所有展区展位的搭建，要求结构牢固，安全环保，并负责现场安装和调试等全部工作；</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4.展会结束后在展会指定时间内，安全完成展品撤展、展台拆除等相关工作</w:t>
      </w:r>
      <w:r>
        <w:rPr>
          <w:rFonts w:hint="eastAsia" w:ascii="仿宋_GB2312" w:hAnsi="黑体" w:eastAsia="仿宋_GB2312" w:cs="黑体"/>
          <w:bCs/>
          <w:color w:val="auto"/>
          <w:sz w:val="32"/>
          <w:szCs w:val="32"/>
          <w:highlight w:val="none"/>
        </w:rPr>
        <w:t>；</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ascii="仿宋_GB2312" w:hAnsi="黑体" w:eastAsia="仿宋_GB2312" w:cs="黑体"/>
          <w:bCs/>
          <w:color w:val="auto"/>
          <w:sz w:val="32"/>
          <w:szCs w:val="32"/>
          <w:highlight w:val="none"/>
        </w:rPr>
        <w:t>5.</w:t>
      </w:r>
      <w:r>
        <w:rPr>
          <w:rFonts w:hint="eastAsia" w:ascii="仿宋_GB2312" w:hAnsi="黑体" w:eastAsia="仿宋_GB2312" w:cs="黑体"/>
          <w:bCs/>
          <w:color w:val="auto"/>
          <w:sz w:val="32"/>
          <w:szCs w:val="32"/>
          <w:highlight w:val="none"/>
        </w:rPr>
        <w:t>人员要求：布展期</w:t>
      </w:r>
      <w:r>
        <w:rPr>
          <w:rFonts w:ascii="仿宋_GB2312" w:hAnsi="黑体" w:eastAsia="仿宋_GB2312" w:cs="黑体"/>
          <w:bCs/>
          <w:color w:val="auto"/>
          <w:sz w:val="32"/>
          <w:szCs w:val="32"/>
          <w:highlight w:val="none"/>
        </w:rPr>
        <w:t>现场管理人员不得少于3人，</w:t>
      </w:r>
      <w:r>
        <w:rPr>
          <w:rFonts w:hint="eastAsia" w:ascii="仿宋_GB2312" w:hAnsi="黑体" w:eastAsia="仿宋_GB2312" w:cs="黑体"/>
          <w:bCs/>
          <w:color w:val="auto"/>
          <w:sz w:val="32"/>
          <w:szCs w:val="32"/>
          <w:highlight w:val="none"/>
        </w:rPr>
        <w:t>负责统筹施工进度和安全风险排查，确保搭建工作按计划完成</w:t>
      </w:r>
      <w:r>
        <w:rPr>
          <w:rFonts w:ascii="仿宋_GB2312" w:hAnsi="黑体" w:eastAsia="仿宋_GB2312" w:cs="黑体"/>
          <w:bCs/>
          <w:color w:val="auto"/>
          <w:sz w:val="32"/>
          <w:szCs w:val="32"/>
          <w:highlight w:val="none"/>
        </w:rPr>
        <w:t>；</w:t>
      </w:r>
      <w:r>
        <w:rPr>
          <w:rFonts w:hint="eastAsia" w:ascii="仿宋_GB2312" w:hAnsi="黑体" w:eastAsia="仿宋_GB2312" w:cs="黑体"/>
          <w:bCs/>
          <w:color w:val="auto"/>
          <w:sz w:val="32"/>
          <w:szCs w:val="32"/>
          <w:highlight w:val="none"/>
        </w:rPr>
        <w:t>开展期现场管理人员及保障人员不得少于</w:t>
      </w:r>
      <w:r>
        <w:rPr>
          <w:rFonts w:ascii="仿宋_GB2312" w:hAnsi="黑体" w:eastAsia="仿宋_GB2312" w:cs="黑体"/>
          <w:bCs/>
          <w:color w:val="auto"/>
          <w:sz w:val="32"/>
          <w:szCs w:val="32"/>
          <w:highlight w:val="none"/>
        </w:rPr>
        <w:t>5人，负责展台</w:t>
      </w:r>
      <w:r>
        <w:rPr>
          <w:rFonts w:hint="eastAsia" w:ascii="仿宋_GB2312" w:hAnsi="黑体" w:eastAsia="仿宋_GB2312" w:cs="黑体"/>
          <w:bCs/>
          <w:color w:val="auto"/>
          <w:sz w:val="32"/>
          <w:szCs w:val="32"/>
          <w:highlight w:val="none"/>
        </w:rPr>
        <w:t>技术维护及应急处理</w:t>
      </w:r>
      <w:r>
        <w:rPr>
          <w:rFonts w:ascii="仿宋_GB2312" w:hAnsi="黑体" w:eastAsia="仿宋_GB2312" w:cs="黑体"/>
          <w:bCs/>
          <w:color w:val="auto"/>
          <w:sz w:val="32"/>
          <w:szCs w:val="32"/>
          <w:highlight w:val="none"/>
        </w:rPr>
        <w:t>；</w:t>
      </w:r>
      <w:r>
        <w:rPr>
          <w:rFonts w:hint="eastAsia" w:ascii="仿宋_GB2312" w:hAnsi="黑体" w:eastAsia="仿宋_GB2312" w:cs="黑体"/>
          <w:bCs/>
          <w:color w:val="auto"/>
          <w:sz w:val="32"/>
          <w:szCs w:val="32"/>
          <w:highlight w:val="none"/>
        </w:rPr>
        <w:t>撤展期现场管理人员不得少于</w:t>
      </w:r>
      <w:r>
        <w:rPr>
          <w:rFonts w:ascii="仿宋_GB2312" w:hAnsi="黑体" w:eastAsia="仿宋_GB2312" w:cs="黑体"/>
          <w:bCs/>
          <w:color w:val="auto"/>
          <w:sz w:val="32"/>
          <w:szCs w:val="32"/>
          <w:highlight w:val="none"/>
        </w:rPr>
        <w:t>2人，</w:t>
      </w:r>
      <w:r>
        <w:rPr>
          <w:rFonts w:hint="eastAsia" w:ascii="仿宋_GB2312" w:hAnsi="黑体" w:eastAsia="仿宋_GB2312" w:cs="黑体"/>
          <w:bCs/>
          <w:color w:val="auto"/>
          <w:sz w:val="32"/>
          <w:szCs w:val="32"/>
          <w:highlight w:val="none"/>
        </w:rPr>
        <w:t>确保撤展作业顺利完成且场地无遗留物。</w:t>
      </w:r>
    </w:p>
    <w:bookmarkEnd w:id="2"/>
    <w:bookmarkEnd w:id="3"/>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（五）运输及仓储</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1.负责展台所需搭建材料和相关安装设备的打包运输及装卸车等；</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2.负责展团相关参展商需要代运的展品至</w:t>
      </w:r>
      <w:r>
        <w:rPr>
          <w:rFonts w:ascii="仿宋_GB2312" w:hAnsi="黑体" w:eastAsia="仿宋_GB2312" w:cs="黑体"/>
          <w:bCs/>
          <w:color w:val="auto"/>
          <w:sz w:val="32"/>
          <w:szCs w:val="32"/>
          <w:highlight w:val="none"/>
        </w:rPr>
        <w:t>各场次展会</w:t>
      </w:r>
      <w:r>
        <w:rPr>
          <w:rFonts w:hint="eastAsia" w:ascii="仿宋_GB2312" w:hAnsi="黑体" w:eastAsia="仿宋_GB2312" w:cs="黑体"/>
          <w:bCs/>
          <w:color w:val="auto"/>
          <w:sz w:val="32"/>
          <w:szCs w:val="32"/>
          <w:highlight w:val="none"/>
        </w:rPr>
        <w:t>的往返运输工作（包含打包运输及装卸车等）；对有需要的展品提供特殊接送服务，并确保展品的安全；</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3.制定合理安全的运输管理方案，根据不同展品情况配备专业人员和运输设备等确保展品的及时装卸、顺利搬运；</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 xml:space="preserve">4.需在项目举办地有临时储存点，用于展品及设备外包装的临时储存。 </w:t>
      </w:r>
    </w:p>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r>
        <w:rPr>
          <w:rFonts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rPr>
        <w:t>六</w:t>
      </w:r>
      <w:r>
        <w:rPr>
          <w:rFonts w:ascii="楷体_GB2312" w:hAnsi="楷体_GB2312" w:eastAsia="楷体_GB2312" w:cs="楷体_GB2312"/>
          <w:b/>
          <w:bCs/>
          <w:color w:val="auto"/>
          <w:sz w:val="32"/>
          <w:szCs w:val="32"/>
          <w:highlight w:val="none"/>
        </w:rPr>
        <w:t>）展期运营保障</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1.当日展会开展前，安排专职人员每天对展区各项设备进行例行检查，做到及时发现问题并整改到位；</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2.协助采购人妥善完成现场相关单位的接待及引导工作，维护现场秩序；</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3.负责展台现场清洁管理、展示结构、美工物料的维修替换工作；</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4.当日展会结束后，待展商关闭所有展品电源后，安排专职人员关闭展区总电源并做安全检查。</w:t>
      </w:r>
    </w:p>
    <w:p>
      <w:pPr>
        <w:spacing w:after="0" w:line="360" w:lineRule="auto"/>
        <w:ind w:firstLine="643" w:firstLineChars="200"/>
        <w:jc w:val="left"/>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（七）其他</w:t>
      </w:r>
    </w:p>
    <w:p>
      <w:pPr>
        <w:spacing w:after="0" w:line="360" w:lineRule="auto"/>
        <w:ind w:firstLine="640" w:firstLineChars="200"/>
        <w:contextualSpacing/>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t>供应商应确保其按照本合同要求所提交的设计文件、方案及为完成本承包项目而实施的任何工作没有侵犯任何人的著作权、专利权、商标权及其他知识产权。供应商应当保证采购人均不会因其履行合同义务而引起的在专利权、经注册的技术以及其他知识产权方面，发生针对采购人的任何第三方的索赔。</w:t>
      </w:r>
    </w:p>
    <w:p>
      <w:pPr>
        <w:rPr>
          <w:rFonts w:hint="eastAsia" w:ascii="仿宋_GB2312" w:hAnsi="黑体" w:eastAsia="仿宋_GB2312" w:cs="黑体"/>
          <w:bCs/>
          <w:color w:val="auto"/>
          <w:sz w:val="32"/>
          <w:szCs w:val="32"/>
          <w:highlight w:val="none"/>
        </w:rPr>
      </w:pPr>
      <w:r>
        <w:rPr>
          <w:rFonts w:hint="eastAsia" w:ascii="仿宋_GB2312" w:hAnsi="黑体" w:eastAsia="仿宋_GB2312" w:cs="黑体"/>
          <w:bCs/>
          <w:color w:val="auto"/>
          <w:sz w:val="32"/>
          <w:szCs w:val="32"/>
          <w:highlight w:val="none"/>
        </w:rPr>
        <w:br w:type="page"/>
      </w:r>
    </w:p>
    <w:p>
      <w:pPr>
        <w:spacing w:after="0" w:line="360" w:lineRule="auto"/>
        <w:contextualSpacing/>
        <w:rPr>
          <w:rFonts w:hint="eastAsia" w:ascii="仿宋_GB2312" w:hAnsi="黑体" w:eastAsia="仿宋_GB2312" w:cs="黑体"/>
          <w:bCs/>
          <w:color w:val="auto"/>
          <w:sz w:val="32"/>
          <w:szCs w:val="32"/>
          <w:highlight w:val="none"/>
          <w:lang w:eastAsia="zh-CN"/>
        </w:rPr>
      </w:pPr>
      <w:r>
        <w:rPr>
          <w:rFonts w:hint="eastAsia" w:ascii="仿宋_GB2312" w:hAnsi="黑体" w:eastAsia="仿宋_GB2312" w:cs="黑体"/>
          <w:bCs/>
          <w:color w:val="auto"/>
          <w:sz w:val="32"/>
          <w:szCs w:val="32"/>
          <w:highlight w:val="none"/>
          <w:lang w:eastAsia="zh-CN"/>
        </w:rPr>
        <w:t>附件：</w:t>
      </w:r>
      <w:r>
        <w:rPr>
          <w:rFonts w:hint="eastAsia" w:ascii="仿宋_GB2312" w:hAnsi="黑体" w:eastAsia="仿宋_GB2312" w:cs="黑体"/>
          <w:bCs/>
          <w:color w:val="auto"/>
          <w:sz w:val="32"/>
          <w:szCs w:val="32"/>
          <w:highlight w:val="none"/>
          <w:lang w:val="en-US" w:eastAsia="zh-CN"/>
        </w:rPr>
        <w:t>2026</w:t>
      </w:r>
      <w:bookmarkStart w:id="4" w:name="_GoBack"/>
      <w:bookmarkEnd w:id="4"/>
      <w:r>
        <w:rPr>
          <w:rFonts w:hint="eastAsia" w:ascii="仿宋_GB2312" w:hAnsi="黑体" w:eastAsia="仿宋_GB2312" w:cs="黑体"/>
          <w:bCs/>
          <w:color w:val="auto"/>
          <w:sz w:val="32"/>
          <w:szCs w:val="32"/>
          <w:highlight w:val="none"/>
          <w:lang w:eastAsia="zh-CN"/>
        </w:rPr>
        <w:t>（第28届）大连国际工业博览会平面图</w:t>
      </w:r>
    </w:p>
    <w:p>
      <w:pPr>
        <w:spacing w:after="0" w:line="360" w:lineRule="auto"/>
        <w:ind w:firstLine="0" w:firstLineChars="0"/>
        <w:contextualSpacing/>
        <w:rPr>
          <w:rFonts w:hint="eastAsia" w:ascii="仿宋_GB2312" w:hAnsi="黑体" w:eastAsia="仿宋_GB2312" w:cs="黑体"/>
          <w:bCs/>
          <w:color w:val="auto"/>
          <w:sz w:val="32"/>
          <w:szCs w:val="32"/>
          <w:highlight w:val="none"/>
          <w:lang w:eastAsia="zh-CN"/>
        </w:rPr>
      </w:pPr>
      <w:r>
        <w:rPr>
          <w:rFonts w:hint="eastAsia" w:ascii="仿宋_GB2312" w:hAnsi="黑体" w:eastAsia="仿宋_GB2312" w:cs="黑体"/>
          <w:bCs/>
          <w:color w:val="auto"/>
          <w:sz w:val="32"/>
          <w:szCs w:val="32"/>
          <w:highlight w:val="none"/>
          <w:lang w:eastAsia="zh-CN"/>
        </w:rPr>
        <w:drawing>
          <wp:inline distT="0" distB="0" distL="114300" distR="114300">
            <wp:extent cx="7139305" cy="5353685"/>
            <wp:effectExtent l="0" t="0" r="5715" b="10795"/>
            <wp:docPr id="2" name="图片 2" descr="05a74285ba40f837069a1b433512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5a74285ba40f837069a1b4335125e0"/>
                    <pic:cNvPicPr>
                      <a:picLocks noChangeAspect="1"/>
                    </pic:cNvPicPr>
                  </pic:nvPicPr>
                  <pic:blipFill>
                    <a:blip r:embed="rId7"/>
                    <a:stretch>
                      <a:fillRect/>
                    </a:stretch>
                  </pic:blipFill>
                  <pic:spPr>
                    <a:xfrm rot="5400000">
                      <a:off x="0" y="0"/>
                      <a:ext cx="7139305" cy="5353685"/>
                    </a:xfrm>
                    <a:prstGeom prst="rect">
                      <a:avLst/>
                    </a:prstGeom>
                  </pic:spPr>
                </pic:pic>
              </a:graphicData>
            </a:graphic>
          </wp:inline>
        </w:drawing>
      </w:r>
    </w:p>
    <w:p>
      <w:pPr>
        <w:spacing w:after="0" w:line="360" w:lineRule="auto"/>
        <w:rPr>
          <w:rFonts w:hint="eastAsia" w:asciiTheme="minorEastAsia" w:hAnsiTheme="minorEastAsia" w:cstheme="minorEastAsia"/>
          <w:b/>
          <w:bCs/>
          <w:color w:val="auto"/>
          <w:sz w:val="28"/>
          <w:szCs w:val="28"/>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1F00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7"/>
                      <w:rPr>
                        <w:rFonts w:hint="eastAsia"/>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249F1"/>
    <w:multiLevelType w:val="multilevel"/>
    <w:tmpl w:val="57E249F1"/>
    <w:lvl w:ilvl="0" w:tentative="0">
      <w:start w:val="1"/>
      <w:numFmt w:val="bullet"/>
      <w:lvlText w:val=""/>
      <w:lvlJc w:val="left"/>
      <w:pPr>
        <w:ind w:left="1480" w:hanging="420"/>
      </w:pPr>
      <w:rPr>
        <w:rFonts w:hint="default" w:ascii="Wingdings" w:hAnsi="Wingdings"/>
      </w:rPr>
    </w:lvl>
    <w:lvl w:ilvl="1" w:tentative="0">
      <w:start w:val="1"/>
      <w:numFmt w:val="bullet"/>
      <w:lvlText w:val=""/>
      <w:lvlJc w:val="left"/>
      <w:pPr>
        <w:ind w:left="1900" w:hanging="420"/>
      </w:pPr>
      <w:rPr>
        <w:rFonts w:hint="default" w:ascii="Wingdings" w:hAnsi="Wingdings"/>
      </w:rPr>
    </w:lvl>
    <w:lvl w:ilvl="2" w:tentative="0">
      <w:start w:val="1"/>
      <w:numFmt w:val="bullet"/>
      <w:lvlText w:val=""/>
      <w:lvlJc w:val="left"/>
      <w:pPr>
        <w:ind w:left="2320" w:hanging="420"/>
      </w:pPr>
      <w:rPr>
        <w:rFonts w:hint="default" w:ascii="Wingdings" w:hAnsi="Wingdings"/>
      </w:rPr>
    </w:lvl>
    <w:lvl w:ilvl="3" w:tentative="0">
      <w:start w:val="1"/>
      <w:numFmt w:val="bullet"/>
      <w:lvlText w:val=""/>
      <w:lvlJc w:val="left"/>
      <w:pPr>
        <w:ind w:left="2740" w:hanging="420"/>
      </w:pPr>
      <w:rPr>
        <w:rFonts w:hint="default" w:ascii="Wingdings" w:hAnsi="Wingdings"/>
      </w:rPr>
    </w:lvl>
    <w:lvl w:ilvl="4" w:tentative="0">
      <w:start w:val="1"/>
      <w:numFmt w:val="bullet"/>
      <w:lvlText w:val=""/>
      <w:lvlJc w:val="left"/>
      <w:pPr>
        <w:ind w:left="3160" w:hanging="420"/>
      </w:pPr>
      <w:rPr>
        <w:rFonts w:hint="default" w:ascii="Wingdings" w:hAnsi="Wingdings"/>
      </w:rPr>
    </w:lvl>
    <w:lvl w:ilvl="5" w:tentative="0">
      <w:start w:val="1"/>
      <w:numFmt w:val="bullet"/>
      <w:lvlText w:val=""/>
      <w:lvlJc w:val="left"/>
      <w:pPr>
        <w:ind w:left="3580" w:hanging="420"/>
      </w:pPr>
      <w:rPr>
        <w:rFonts w:hint="default" w:ascii="Wingdings" w:hAnsi="Wingdings"/>
      </w:rPr>
    </w:lvl>
    <w:lvl w:ilvl="6" w:tentative="0">
      <w:start w:val="1"/>
      <w:numFmt w:val="bullet"/>
      <w:lvlText w:val=""/>
      <w:lvlJc w:val="left"/>
      <w:pPr>
        <w:ind w:left="4000" w:hanging="420"/>
      </w:pPr>
      <w:rPr>
        <w:rFonts w:hint="default" w:ascii="Wingdings" w:hAnsi="Wingdings"/>
      </w:rPr>
    </w:lvl>
    <w:lvl w:ilvl="7" w:tentative="0">
      <w:start w:val="1"/>
      <w:numFmt w:val="bullet"/>
      <w:lvlText w:val=""/>
      <w:lvlJc w:val="left"/>
      <w:pPr>
        <w:ind w:left="4420" w:hanging="420"/>
      </w:pPr>
      <w:rPr>
        <w:rFonts w:hint="default" w:ascii="Wingdings" w:hAnsi="Wingdings"/>
      </w:rPr>
    </w:lvl>
    <w:lvl w:ilvl="8" w:tentative="0">
      <w:start w:val="1"/>
      <w:numFmt w:val="bullet"/>
      <w:lvlText w:val=""/>
      <w:lvlJc w:val="left"/>
      <w:pPr>
        <w:ind w:left="48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C30"/>
    <w:rsid w:val="00002199"/>
    <w:rsid w:val="000035FC"/>
    <w:rsid w:val="00011759"/>
    <w:rsid w:val="00014A40"/>
    <w:rsid w:val="00021996"/>
    <w:rsid w:val="0003040C"/>
    <w:rsid w:val="00031CFF"/>
    <w:rsid w:val="00031EBC"/>
    <w:rsid w:val="000409E8"/>
    <w:rsid w:val="0004341B"/>
    <w:rsid w:val="000635F1"/>
    <w:rsid w:val="00070A0C"/>
    <w:rsid w:val="000726AA"/>
    <w:rsid w:val="00082344"/>
    <w:rsid w:val="0008687F"/>
    <w:rsid w:val="00086D14"/>
    <w:rsid w:val="00093AB2"/>
    <w:rsid w:val="000A54B9"/>
    <w:rsid w:val="000B1C53"/>
    <w:rsid w:val="000B654E"/>
    <w:rsid w:val="000C0784"/>
    <w:rsid w:val="000D1111"/>
    <w:rsid w:val="000D3305"/>
    <w:rsid w:val="000D4FDD"/>
    <w:rsid w:val="000D5812"/>
    <w:rsid w:val="000E6E07"/>
    <w:rsid w:val="000F41C2"/>
    <w:rsid w:val="00103E7C"/>
    <w:rsid w:val="00112F6E"/>
    <w:rsid w:val="001145D3"/>
    <w:rsid w:val="00120515"/>
    <w:rsid w:val="00120D4D"/>
    <w:rsid w:val="00125110"/>
    <w:rsid w:val="0013360D"/>
    <w:rsid w:val="00137F9C"/>
    <w:rsid w:val="001555EA"/>
    <w:rsid w:val="0018051C"/>
    <w:rsid w:val="00193A38"/>
    <w:rsid w:val="001E105B"/>
    <w:rsid w:val="001F2F28"/>
    <w:rsid w:val="001F71A0"/>
    <w:rsid w:val="00203FD7"/>
    <w:rsid w:val="00231D11"/>
    <w:rsid w:val="00252A9D"/>
    <w:rsid w:val="002921C8"/>
    <w:rsid w:val="00296EF9"/>
    <w:rsid w:val="002A4572"/>
    <w:rsid w:val="002A6FA1"/>
    <w:rsid w:val="002B0D81"/>
    <w:rsid w:val="002B5C06"/>
    <w:rsid w:val="002D00A3"/>
    <w:rsid w:val="002D0BEE"/>
    <w:rsid w:val="002D36E6"/>
    <w:rsid w:val="002E71EB"/>
    <w:rsid w:val="00304092"/>
    <w:rsid w:val="00304667"/>
    <w:rsid w:val="00306D54"/>
    <w:rsid w:val="00307D50"/>
    <w:rsid w:val="00323E09"/>
    <w:rsid w:val="00336341"/>
    <w:rsid w:val="00337144"/>
    <w:rsid w:val="00340723"/>
    <w:rsid w:val="00342C62"/>
    <w:rsid w:val="00364EA9"/>
    <w:rsid w:val="00364ECF"/>
    <w:rsid w:val="00382BFE"/>
    <w:rsid w:val="003B2521"/>
    <w:rsid w:val="003E5E72"/>
    <w:rsid w:val="0041074C"/>
    <w:rsid w:val="00414F93"/>
    <w:rsid w:val="00414FE1"/>
    <w:rsid w:val="00423606"/>
    <w:rsid w:val="004243C7"/>
    <w:rsid w:val="00431FF4"/>
    <w:rsid w:val="00433C1E"/>
    <w:rsid w:val="00454E43"/>
    <w:rsid w:val="00457D58"/>
    <w:rsid w:val="00463E0F"/>
    <w:rsid w:val="00465DCF"/>
    <w:rsid w:val="00492455"/>
    <w:rsid w:val="004A3BAF"/>
    <w:rsid w:val="004B09F5"/>
    <w:rsid w:val="004C574B"/>
    <w:rsid w:val="004D264F"/>
    <w:rsid w:val="004E0185"/>
    <w:rsid w:val="004F26B2"/>
    <w:rsid w:val="004F4A7C"/>
    <w:rsid w:val="00506695"/>
    <w:rsid w:val="005172C9"/>
    <w:rsid w:val="005245F9"/>
    <w:rsid w:val="0055286A"/>
    <w:rsid w:val="005733CF"/>
    <w:rsid w:val="00580C56"/>
    <w:rsid w:val="005A6663"/>
    <w:rsid w:val="005A6F08"/>
    <w:rsid w:val="005A714C"/>
    <w:rsid w:val="005B280D"/>
    <w:rsid w:val="005B5BC5"/>
    <w:rsid w:val="005C377C"/>
    <w:rsid w:val="005D21F7"/>
    <w:rsid w:val="005E609B"/>
    <w:rsid w:val="005E7297"/>
    <w:rsid w:val="005E72D4"/>
    <w:rsid w:val="005F4678"/>
    <w:rsid w:val="00613985"/>
    <w:rsid w:val="00634BD3"/>
    <w:rsid w:val="00657EA2"/>
    <w:rsid w:val="00663C30"/>
    <w:rsid w:val="00667014"/>
    <w:rsid w:val="00677D56"/>
    <w:rsid w:val="006A5092"/>
    <w:rsid w:val="006A7050"/>
    <w:rsid w:val="006B2FF3"/>
    <w:rsid w:val="006B6FF2"/>
    <w:rsid w:val="006C0745"/>
    <w:rsid w:val="006D624B"/>
    <w:rsid w:val="006E52BE"/>
    <w:rsid w:val="006F1A26"/>
    <w:rsid w:val="006F340B"/>
    <w:rsid w:val="006F4DB5"/>
    <w:rsid w:val="00702905"/>
    <w:rsid w:val="0070624A"/>
    <w:rsid w:val="007265A1"/>
    <w:rsid w:val="00733E8D"/>
    <w:rsid w:val="007344DE"/>
    <w:rsid w:val="00736C33"/>
    <w:rsid w:val="00744632"/>
    <w:rsid w:val="00751621"/>
    <w:rsid w:val="00755B92"/>
    <w:rsid w:val="00760567"/>
    <w:rsid w:val="00763879"/>
    <w:rsid w:val="00770C10"/>
    <w:rsid w:val="00776793"/>
    <w:rsid w:val="0077757A"/>
    <w:rsid w:val="00790B69"/>
    <w:rsid w:val="007955C9"/>
    <w:rsid w:val="007A0B62"/>
    <w:rsid w:val="007B0ACA"/>
    <w:rsid w:val="007C0F06"/>
    <w:rsid w:val="00812CED"/>
    <w:rsid w:val="008153D1"/>
    <w:rsid w:val="00830478"/>
    <w:rsid w:val="00855B95"/>
    <w:rsid w:val="00874698"/>
    <w:rsid w:val="00886B85"/>
    <w:rsid w:val="00895299"/>
    <w:rsid w:val="008A5295"/>
    <w:rsid w:val="008B1170"/>
    <w:rsid w:val="008C67C9"/>
    <w:rsid w:val="008D2156"/>
    <w:rsid w:val="008E4BCC"/>
    <w:rsid w:val="008F4F47"/>
    <w:rsid w:val="00903490"/>
    <w:rsid w:val="00912FD6"/>
    <w:rsid w:val="00916E04"/>
    <w:rsid w:val="00923736"/>
    <w:rsid w:val="0094271C"/>
    <w:rsid w:val="009434C9"/>
    <w:rsid w:val="00947623"/>
    <w:rsid w:val="00952A8D"/>
    <w:rsid w:val="009568FA"/>
    <w:rsid w:val="00973113"/>
    <w:rsid w:val="009742AC"/>
    <w:rsid w:val="00995916"/>
    <w:rsid w:val="009970E0"/>
    <w:rsid w:val="009C4F62"/>
    <w:rsid w:val="009C7892"/>
    <w:rsid w:val="009D7FC9"/>
    <w:rsid w:val="009F1E27"/>
    <w:rsid w:val="009F39A4"/>
    <w:rsid w:val="009F60CB"/>
    <w:rsid w:val="009F7C3B"/>
    <w:rsid w:val="00A12DB6"/>
    <w:rsid w:val="00A30E33"/>
    <w:rsid w:val="00A4226B"/>
    <w:rsid w:val="00A43B78"/>
    <w:rsid w:val="00A43B84"/>
    <w:rsid w:val="00A4730A"/>
    <w:rsid w:val="00A61259"/>
    <w:rsid w:val="00A6746E"/>
    <w:rsid w:val="00A6776C"/>
    <w:rsid w:val="00A72786"/>
    <w:rsid w:val="00A72D54"/>
    <w:rsid w:val="00A846C8"/>
    <w:rsid w:val="00A94956"/>
    <w:rsid w:val="00AA62AC"/>
    <w:rsid w:val="00AB264A"/>
    <w:rsid w:val="00AB32B4"/>
    <w:rsid w:val="00AB67B4"/>
    <w:rsid w:val="00AE23B7"/>
    <w:rsid w:val="00AE7CAD"/>
    <w:rsid w:val="00B01FEF"/>
    <w:rsid w:val="00B17A54"/>
    <w:rsid w:val="00B33A33"/>
    <w:rsid w:val="00B35D49"/>
    <w:rsid w:val="00B46107"/>
    <w:rsid w:val="00B5328F"/>
    <w:rsid w:val="00B86D8B"/>
    <w:rsid w:val="00B97AA0"/>
    <w:rsid w:val="00BA4FF2"/>
    <w:rsid w:val="00BC4F26"/>
    <w:rsid w:val="00BD26E4"/>
    <w:rsid w:val="00BD3056"/>
    <w:rsid w:val="00BD6257"/>
    <w:rsid w:val="00C02386"/>
    <w:rsid w:val="00C0669C"/>
    <w:rsid w:val="00C1070E"/>
    <w:rsid w:val="00C11374"/>
    <w:rsid w:val="00C14757"/>
    <w:rsid w:val="00C1729B"/>
    <w:rsid w:val="00C25D07"/>
    <w:rsid w:val="00C3356C"/>
    <w:rsid w:val="00C40570"/>
    <w:rsid w:val="00C557D7"/>
    <w:rsid w:val="00C62F96"/>
    <w:rsid w:val="00C67FE1"/>
    <w:rsid w:val="00C76FD2"/>
    <w:rsid w:val="00C823E9"/>
    <w:rsid w:val="00C90EBE"/>
    <w:rsid w:val="00CA13AD"/>
    <w:rsid w:val="00CD148C"/>
    <w:rsid w:val="00CD4399"/>
    <w:rsid w:val="00CD52EA"/>
    <w:rsid w:val="00CE6574"/>
    <w:rsid w:val="00CE6C2B"/>
    <w:rsid w:val="00D21760"/>
    <w:rsid w:val="00D30727"/>
    <w:rsid w:val="00D37E6D"/>
    <w:rsid w:val="00D5070B"/>
    <w:rsid w:val="00D54FE8"/>
    <w:rsid w:val="00D56456"/>
    <w:rsid w:val="00D57FD2"/>
    <w:rsid w:val="00D7245C"/>
    <w:rsid w:val="00D908EB"/>
    <w:rsid w:val="00D91D17"/>
    <w:rsid w:val="00D95ECF"/>
    <w:rsid w:val="00D973B2"/>
    <w:rsid w:val="00DA0024"/>
    <w:rsid w:val="00DA1361"/>
    <w:rsid w:val="00DB6E78"/>
    <w:rsid w:val="00DC336A"/>
    <w:rsid w:val="00DC6079"/>
    <w:rsid w:val="00DD0F3E"/>
    <w:rsid w:val="00DD24A1"/>
    <w:rsid w:val="00DD4037"/>
    <w:rsid w:val="00DE1212"/>
    <w:rsid w:val="00DE1CF6"/>
    <w:rsid w:val="00E03B6E"/>
    <w:rsid w:val="00E33161"/>
    <w:rsid w:val="00E4324A"/>
    <w:rsid w:val="00E4500A"/>
    <w:rsid w:val="00E46EFC"/>
    <w:rsid w:val="00E50BC5"/>
    <w:rsid w:val="00E7721F"/>
    <w:rsid w:val="00E803BA"/>
    <w:rsid w:val="00E82C51"/>
    <w:rsid w:val="00E8643D"/>
    <w:rsid w:val="00EA4467"/>
    <w:rsid w:val="00EC0F74"/>
    <w:rsid w:val="00EC3140"/>
    <w:rsid w:val="00ED385B"/>
    <w:rsid w:val="00EF1D20"/>
    <w:rsid w:val="00F067B2"/>
    <w:rsid w:val="00F12D81"/>
    <w:rsid w:val="00F146C9"/>
    <w:rsid w:val="00F212DE"/>
    <w:rsid w:val="00F23628"/>
    <w:rsid w:val="00F30B47"/>
    <w:rsid w:val="00F36847"/>
    <w:rsid w:val="00F46E1B"/>
    <w:rsid w:val="00F610AF"/>
    <w:rsid w:val="00F73EA5"/>
    <w:rsid w:val="00F7404E"/>
    <w:rsid w:val="00F7792B"/>
    <w:rsid w:val="00F83E71"/>
    <w:rsid w:val="00F87338"/>
    <w:rsid w:val="00FA725C"/>
    <w:rsid w:val="00FE0744"/>
    <w:rsid w:val="00FE3A86"/>
    <w:rsid w:val="03C76963"/>
    <w:rsid w:val="05E82BC0"/>
    <w:rsid w:val="0A6D28B2"/>
    <w:rsid w:val="0A7D5FCD"/>
    <w:rsid w:val="0E8F62CF"/>
    <w:rsid w:val="102869DB"/>
    <w:rsid w:val="12850115"/>
    <w:rsid w:val="12AB56A1"/>
    <w:rsid w:val="16F93C3E"/>
    <w:rsid w:val="17ED553E"/>
    <w:rsid w:val="183E7A46"/>
    <w:rsid w:val="1B4B17D0"/>
    <w:rsid w:val="1D076614"/>
    <w:rsid w:val="1E80442A"/>
    <w:rsid w:val="1EE75CB3"/>
    <w:rsid w:val="242A78F6"/>
    <w:rsid w:val="24D13584"/>
    <w:rsid w:val="26F21066"/>
    <w:rsid w:val="27985D9D"/>
    <w:rsid w:val="28C037FD"/>
    <w:rsid w:val="292411BF"/>
    <w:rsid w:val="2A1853C2"/>
    <w:rsid w:val="2AA7672D"/>
    <w:rsid w:val="2ACF250E"/>
    <w:rsid w:val="2B911481"/>
    <w:rsid w:val="2BA83601"/>
    <w:rsid w:val="2CCF789E"/>
    <w:rsid w:val="2EC1207D"/>
    <w:rsid w:val="2EDE49DD"/>
    <w:rsid w:val="2F0D1E7C"/>
    <w:rsid w:val="2FE87E8A"/>
    <w:rsid w:val="2FF051B5"/>
    <w:rsid w:val="303D3985"/>
    <w:rsid w:val="31FD5099"/>
    <w:rsid w:val="32B177B3"/>
    <w:rsid w:val="342A4220"/>
    <w:rsid w:val="34844512"/>
    <w:rsid w:val="3804014E"/>
    <w:rsid w:val="386817BB"/>
    <w:rsid w:val="3BFF3C2F"/>
    <w:rsid w:val="3CCF238D"/>
    <w:rsid w:val="40377B31"/>
    <w:rsid w:val="409704CC"/>
    <w:rsid w:val="43F81C45"/>
    <w:rsid w:val="44F85C75"/>
    <w:rsid w:val="45BB0838"/>
    <w:rsid w:val="45C17918"/>
    <w:rsid w:val="469043B7"/>
    <w:rsid w:val="49BB1B0D"/>
    <w:rsid w:val="4A093BC3"/>
    <w:rsid w:val="4AB87DE9"/>
    <w:rsid w:val="4C2537F3"/>
    <w:rsid w:val="4C2A72E5"/>
    <w:rsid w:val="4ED92673"/>
    <w:rsid w:val="50824F0E"/>
    <w:rsid w:val="52486BB6"/>
    <w:rsid w:val="52BB9A43"/>
    <w:rsid w:val="534A697E"/>
    <w:rsid w:val="56951575"/>
    <w:rsid w:val="57FF139C"/>
    <w:rsid w:val="590A0A3C"/>
    <w:rsid w:val="5C545A2F"/>
    <w:rsid w:val="5DE66A2C"/>
    <w:rsid w:val="5E820594"/>
    <w:rsid w:val="5FB7671B"/>
    <w:rsid w:val="600D113F"/>
    <w:rsid w:val="61380253"/>
    <w:rsid w:val="61BB0BCB"/>
    <w:rsid w:val="61D92C5E"/>
    <w:rsid w:val="61E0223F"/>
    <w:rsid w:val="64852C29"/>
    <w:rsid w:val="65FF3A70"/>
    <w:rsid w:val="66B75B1A"/>
    <w:rsid w:val="6822579E"/>
    <w:rsid w:val="695D4175"/>
    <w:rsid w:val="6AD71D05"/>
    <w:rsid w:val="6B4F21E3"/>
    <w:rsid w:val="6BE19B94"/>
    <w:rsid w:val="6C1370C5"/>
    <w:rsid w:val="6C651507"/>
    <w:rsid w:val="6CBB308B"/>
    <w:rsid w:val="6D885538"/>
    <w:rsid w:val="6E6E5F4F"/>
    <w:rsid w:val="702D3795"/>
    <w:rsid w:val="7036571F"/>
    <w:rsid w:val="70467B14"/>
    <w:rsid w:val="715F4802"/>
    <w:rsid w:val="72BA2C79"/>
    <w:rsid w:val="735E7F1F"/>
    <w:rsid w:val="74365E32"/>
    <w:rsid w:val="755E02D7"/>
    <w:rsid w:val="75FFFA74"/>
    <w:rsid w:val="7693567A"/>
    <w:rsid w:val="77316C41"/>
    <w:rsid w:val="778F06C6"/>
    <w:rsid w:val="77D6F2D9"/>
    <w:rsid w:val="78A13A2B"/>
    <w:rsid w:val="7ACF29F8"/>
    <w:rsid w:val="7BFD10EC"/>
    <w:rsid w:val="7C5C02BC"/>
    <w:rsid w:val="7D7F138D"/>
    <w:rsid w:val="7E3F7E95"/>
    <w:rsid w:val="7F1F151E"/>
    <w:rsid w:val="7F2A644F"/>
    <w:rsid w:val="7FEFCC04"/>
    <w:rsid w:val="7FFF9D0D"/>
    <w:rsid w:val="8AF6333B"/>
    <w:rsid w:val="8BDF53E6"/>
    <w:rsid w:val="9EBF82BE"/>
    <w:rsid w:val="BCDAFEE2"/>
    <w:rsid w:val="C3D4074E"/>
    <w:rsid w:val="D0FDD986"/>
    <w:rsid w:val="D3DFF513"/>
    <w:rsid w:val="D7D373AD"/>
    <w:rsid w:val="DBA9A341"/>
    <w:rsid w:val="DBEA6204"/>
    <w:rsid w:val="DF5FF69A"/>
    <w:rsid w:val="DFCE1C5C"/>
    <w:rsid w:val="DFFFBFF8"/>
    <w:rsid w:val="E7F7BC16"/>
    <w:rsid w:val="EB3D7840"/>
    <w:rsid w:val="EE863AA1"/>
    <w:rsid w:val="EFBE3FD5"/>
    <w:rsid w:val="F4ED7995"/>
    <w:rsid w:val="F5DF31F0"/>
    <w:rsid w:val="F6DD14D6"/>
    <w:rsid w:val="F6DF0A5C"/>
    <w:rsid w:val="F6FBE987"/>
    <w:rsid w:val="F786E19F"/>
    <w:rsid w:val="FAFFC091"/>
    <w:rsid w:val="FBF7015F"/>
    <w:rsid w:val="FDFF9BF0"/>
    <w:rsid w:val="FEBF961C"/>
    <w:rsid w:val="FF6CE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ind w:left="600" w:leftChars="200"/>
      <w:jc w:val="left"/>
      <w:outlineLvl w:val="0"/>
    </w:pPr>
    <w:rPr>
      <w:rFonts w:ascii="黑体" w:hAnsi="黑体" w:eastAsia="黑体" w:cs="Times New Roman"/>
      <w:b/>
      <w:kern w:val="44"/>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annotation text"/>
    <w:basedOn w:val="1"/>
    <w:semiHidden/>
    <w:unhideWhenUsed/>
    <w:qFormat/>
    <w:uiPriority w:val="99"/>
    <w:pPr>
      <w:jc w:val="left"/>
    </w:pPr>
  </w:style>
  <w:style w:type="paragraph" w:styleId="5">
    <w:name w:val="Body Text"/>
    <w:basedOn w:val="1"/>
    <w:qFormat/>
    <w:uiPriority w:val="1"/>
    <w:pPr>
      <w:ind w:left="449"/>
    </w:pPr>
    <w:rPr>
      <w:rFonts w:ascii="宋体" w:hAnsi="宋体" w:cs="宋体"/>
      <w:szCs w:val="21"/>
      <w:lang w:val="zh-CN" w:bidi="zh-CN"/>
    </w:rPr>
  </w:style>
  <w:style w:type="paragraph" w:styleId="6">
    <w:name w:val="Balloon Text"/>
    <w:basedOn w:val="1"/>
    <w:link w:val="17"/>
    <w:semiHidden/>
    <w:unhideWhenUsed/>
    <w:qFormat/>
    <w:uiPriority w:val="99"/>
    <w:pPr>
      <w:spacing w:after="0" w:line="240" w:lineRule="auto"/>
    </w:pPr>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rPr>
  </w:style>
  <w:style w:type="paragraph" w:styleId="13">
    <w:name w:val="List Paragraph"/>
    <w:basedOn w:val="1"/>
    <w:qFormat/>
    <w:uiPriority w:val="34"/>
    <w:pPr>
      <w:ind w:firstLine="420" w:firstLineChars="200"/>
    </w:pPr>
    <w:rPr>
      <w:rFonts w:ascii="Calibri" w:hAnsi="Calibri" w:eastAsia="宋体" w:cs="Times New Roman"/>
    </w:rPr>
  </w:style>
  <w:style w:type="character" w:customStyle="1" w:styleId="14">
    <w:name w:val="UserStyle_0"/>
    <w:semiHidden/>
    <w:qFormat/>
    <w:uiPriority w:val="0"/>
  </w:style>
  <w:style w:type="character" w:customStyle="1" w:styleId="15">
    <w:name w:val="页眉 字符"/>
    <w:basedOn w:val="11"/>
    <w:link w:val="8"/>
    <w:qFormat/>
    <w:uiPriority w:val="99"/>
    <w:rPr>
      <w:sz w:val="18"/>
      <w:szCs w:val="18"/>
    </w:rPr>
  </w:style>
  <w:style w:type="character" w:customStyle="1" w:styleId="16">
    <w:name w:val="页脚 字符"/>
    <w:basedOn w:val="11"/>
    <w:link w:val="7"/>
    <w:qFormat/>
    <w:uiPriority w:val="99"/>
    <w:rPr>
      <w:sz w:val="18"/>
      <w:szCs w:val="18"/>
    </w:rPr>
  </w:style>
  <w:style w:type="character" w:customStyle="1" w:styleId="17">
    <w:name w:val="批注框文本 字符"/>
    <w:basedOn w:val="11"/>
    <w:link w:val="6"/>
    <w:semiHidden/>
    <w:qFormat/>
    <w:uiPriority w:val="99"/>
    <w:rPr>
      <w:kern w:val="2"/>
      <w:sz w:val="18"/>
      <w:szCs w:val="18"/>
    </w:rPr>
  </w:style>
  <w:style w:type="character" w:customStyle="1" w:styleId="18">
    <w:name w:val="标题 1 字符"/>
    <w:basedOn w:val="11"/>
    <w:link w:val="2"/>
    <w:qFormat/>
    <w:uiPriority w:val="9"/>
    <w:rPr>
      <w:rFonts w:ascii="黑体" w:hAnsi="黑体" w:eastAsia="黑体"/>
      <w:b/>
      <w:kern w:val="44"/>
      <w:sz w:val="21"/>
      <w:szCs w:val="48"/>
    </w:rPr>
  </w:style>
  <w:style w:type="paragraph" w:customStyle="1" w:styleId="1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2932</Words>
  <Characters>3050</Characters>
  <Lines>381</Lines>
  <Paragraphs>271</Paragraphs>
  <TotalTime>0</TotalTime>
  <ScaleCrop>false</ScaleCrop>
  <LinksUpToDate>false</LinksUpToDate>
  <CharactersWithSpaces>5711</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2025-04-11T20:07:00Z</dcterms:created>
  <dc:creator>佳嘉 陈</dc:creator>
  <cp:lastModifiedBy>高际航</cp:lastModifiedBy>
  <cp:lastPrinted>2026-04-15T10:24:00Z</cp:lastPrinted>
  <dcterms:modified xsi:type="dcterms:W3CDTF">2026-04-16T08:46:18Z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A2ABEA234227F1689E30E06919B19DBC_43</vt:lpwstr>
  </property>
  <property fmtid="{D5CDD505-2E9C-101B-9397-08002B2CF9AE}" pid="4" name="KSOTemplateDocerSaveRecord">
    <vt:lpwstr>eyJoZGlkIjoiMTMzOGY5ZDMyZThhZjI5N2FkYjM4YjU3NDM3YjBiYTMiLCJ1c2VySWQiOiI0NjQ4NDUwMDkifQ==</vt:lpwstr>
  </property>
</Properties>
</file>