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E51F8">
      <w:pPr>
        <w:pStyle w:val="3"/>
        <w:spacing w:before="313" w:line="360" w:lineRule="auto"/>
        <w:ind w:left="40"/>
        <w:jc w:val="center"/>
        <w:rPr>
          <w:b/>
          <w:bCs/>
          <w:color w:val="auto"/>
          <w:spacing w:val="12"/>
          <w:sz w:val="32"/>
          <w:szCs w:val="32"/>
          <w:lang w:eastAsia="zh-CN"/>
        </w:rPr>
      </w:pPr>
      <w:r>
        <w:rPr>
          <w:rFonts w:hint="eastAsia"/>
          <w:b/>
          <w:bCs/>
          <w:color w:val="auto"/>
          <w:spacing w:val="12"/>
          <w:sz w:val="32"/>
          <w:szCs w:val="32"/>
          <w:lang w:eastAsia="zh-CN"/>
        </w:rPr>
        <w:t>上海大学宝山校区V楼国际学生公寓家具采购需求</w:t>
      </w:r>
    </w:p>
    <w:p w14:paraId="21211993">
      <w:pPr>
        <w:pStyle w:val="3"/>
        <w:spacing w:before="313" w:line="360" w:lineRule="auto"/>
        <w:ind w:left="40" w:firstLine="470" w:firstLineChars="200"/>
        <w:rPr>
          <w:b/>
          <w:bCs/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pacing w:val="12"/>
          <w:sz w:val="21"/>
          <w:szCs w:val="21"/>
          <w:lang w:eastAsia="zh-CN"/>
        </w:rPr>
        <w:t>一、项目背景</w:t>
      </w:r>
    </w:p>
    <w:p w14:paraId="13F18E4B">
      <w:pPr>
        <w:pStyle w:val="3"/>
        <w:spacing w:before="44" w:line="360" w:lineRule="auto"/>
        <w:ind w:firstLine="420" w:firstLineChars="200"/>
        <w:jc w:val="both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eastAsia="zh-CN"/>
        </w:rPr>
        <w:t>项目</w:t>
      </w:r>
      <w:r>
        <w:rPr>
          <w:rFonts w:hint="eastAsia"/>
          <w:color w:val="auto"/>
          <w:sz w:val="21"/>
          <w:szCs w:val="21"/>
          <w:lang w:val="en-US" w:eastAsia="zh-CN"/>
        </w:rPr>
        <w:t>名称</w:t>
      </w:r>
      <w:r>
        <w:rPr>
          <w:rFonts w:hint="eastAsia"/>
          <w:color w:val="auto"/>
          <w:sz w:val="21"/>
          <w:szCs w:val="21"/>
          <w:lang w:eastAsia="zh-CN"/>
        </w:rPr>
        <w:t>：</w:t>
      </w:r>
      <w:r>
        <w:rPr>
          <w:rFonts w:hint="eastAsia"/>
          <w:color w:val="auto"/>
          <w:sz w:val="21"/>
          <w:szCs w:val="21"/>
          <w:lang w:val="en-US" w:eastAsia="zh-CN"/>
        </w:rPr>
        <w:t>上海大学宝山校区V楼国际学生公寓家具项目</w:t>
      </w:r>
    </w:p>
    <w:p w14:paraId="6EA4D11A">
      <w:pPr>
        <w:pStyle w:val="3"/>
        <w:spacing w:before="44" w:line="360" w:lineRule="auto"/>
        <w:ind w:firstLine="420" w:firstLineChars="200"/>
        <w:jc w:val="both"/>
        <w:rPr>
          <w:rFonts w:hint="eastAsia"/>
          <w:color w:val="auto"/>
          <w:sz w:val="21"/>
          <w:szCs w:val="21"/>
          <w:lang w:eastAsia="zh-CN"/>
        </w:rPr>
      </w:pPr>
      <w:r>
        <w:rPr>
          <w:rFonts w:hint="eastAsia"/>
          <w:color w:val="auto"/>
          <w:sz w:val="21"/>
          <w:szCs w:val="21"/>
          <w:lang w:eastAsia="zh-CN"/>
        </w:rPr>
        <w:t>项目地址：上海大学（上海市宝山区上大路99号）</w:t>
      </w:r>
    </w:p>
    <w:p w14:paraId="3E0760E3">
      <w:pPr>
        <w:pStyle w:val="3"/>
        <w:spacing w:before="44" w:line="360" w:lineRule="auto"/>
        <w:ind w:left="50" w:firstLine="422" w:firstLineChars="200"/>
        <w:jc w:val="both"/>
        <w:rPr>
          <w:b/>
          <w:bCs/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z w:val="21"/>
          <w:szCs w:val="21"/>
          <w:lang w:eastAsia="zh-CN"/>
        </w:rPr>
        <w:t>二、需执行的国家相关标准、行业标准或其他标准、规范</w:t>
      </w:r>
    </w:p>
    <w:p w14:paraId="283CBE8B"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（一）强制性标准</w:t>
      </w:r>
    </w:p>
    <w:p w14:paraId="39334760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18584-2024《家具中有害物质限量》（强制标准，2025年7月1日实施）</w:t>
      </w:r>
    </w:p>
    <w:p w14:paraId="514BD042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 28008-2024《家具结构安全技术规范》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（强制标准，2025年7月1日实施）</w:t>
      </w:r>
    </w:p>
    <w:p w14:paraId="69168DB0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GB17927-2024《家具阻燃性能安全技术规范》（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强制标准，</w:t>
      </w: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2025年9月1日实施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</w:p>
    <w:p w14:paraId="68089C19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18583-2008 《室内装饰装修材料 胶粘剂中有害物质限量》；</w:t>
      </w:r>
    </w:p>
    <w:p w14:paraId="1320FDEB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6566-2010 《建筑材料放射性核素限量》；</w:t>
      </w:r>
    </w:p>
    <w:p w14:paraId="74BECAE6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18584-2001《室内装饰装修材料木家具中有害物质限量》；</w:t>
      </w:r>
    </w:p>
    <w:p w14:paraId="31C31B1B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18580-2017 《室内装饰装修材料人造板及其制品中甲醛释放限量》；</w:t>
      </w:r>
    </w:p>
    <w:p w14:paraId="1D961BC8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18581-2020《木器涂料中有害物质限量》；</w:t>
      </w:r>
    </w:p>
    <w:p w14:paraId="4649B790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GB18581-2009《室内装饰装修材料溶剂型木器涂料中有害物质限量》；</w:t>
      </w:r>
    </w:p>
    <w:p w14:paraId="25BCE20D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18401-2010《国家纺织产品基本安全技术规范》；</w:t>
      </w:r>
    </w:p>
    <w:p w14:paraId="000246E0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16799-2018《家具用皮革》；</w:t>
      </w:r>
    </w:p>
    <w:p w14:paraId="7A3874D6"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 w14:paraId="6C473C6B"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（二）质量及技术标准</w:t>
      </w:r>
    </w:p>
    <w:p w14:paraId="5F3BCE3D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重要标准：</w:t>
      </w:r>
    </w:p>
    <w:p w14:paraId="32FE500C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35607-2024《绿色产品评价家具》；</w:t>
      </w:r>
    </w:p>
    <w:p w14:paraId="6D0CCE03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3325-2024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《金属家具通用技术条件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》；</w:t>
      </w:r>
    </w:p>
    <w:p w14:paraId="1CD08E64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3324-2024《木家具通用技术条件》；</w:t>
      </w:r>
    </w:p>
    <w:p w14:paraId="299B2F2A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其他标准：</w:t>
      </w:r>
    </w:p>
    <w:p w14:paraId="290B08CC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15102-2017《浸渍胶膜纸饰面纤维板和刨花板》；</w:t>
      </w:r>
    </w:p>
    <w:p w14:paraId="5E14C30D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29525-2013《座椅升降气弹簧 技术条件》；</w:t>
      </w:r>
    </w:p>
    <w:p w14:paraId="7AC2EF75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10802-2023《通用软质聚氨酯泡沫塑料》；</w:t>
      </w:r>
    </w:p>
    <w:p w14:paraId="15078D49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35601-2024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《绿色产品评价</w:t>
      </w: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人造板和木质地板》；</w:t>
      </w:r>
    </w:p>
    <w:p w14:paraId="4D8E8D1E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2189-2013《家具五金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杯状暗铰链》；</w:t>
      </w:r>
    </w:p>
    <w:p w14:paraId="14E91DA8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GB/T 11718-2021 《中密度纤维板》；</w:t>
      </w:r>
    </w:p>
    <w:p w14:paraId="48B16210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1621-2015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《家具锁》；</w:t>
      </w:r>
    </w:p>
    <w:p w14:paraId="1F98C858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GB/T 2454-2013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《家具五金</w:t>
      </w: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抽屉导轨》；</w:t>
      </w:r>
    </w:p>
    <w:p w14:paraId="6A58BEBC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GB/T 4765-2014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《家具用脚轮》；</w:t>
      </w:r>
    </w:p>
    <w:p w14:paraId="48F13332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2280-2016《办公家具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办公椅》；</w:t>
      </w:r>
    </w:p>
    <w:p w14:paraId="294D0566"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 xml:space="preserve">QB/T 1952.1-2023《软体家具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沙发》；</w:t>
      </w:r>
    </w:p>
    <w:p w14:paraId="37E0846F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34722-2017《浸渍胶膜纸饰面胶合板和细木工板》；</w:t>
      </w:r>
    </w:p>
    <w:p w14:paraId="61235F2A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3826-1999《轻工产品金属镀层和化学处理层的耐腐蚀试验方法（NSS）法中性盐雾试验》；</w:t>
      </w:r>
    </w:p>
    <w:p w14:paraId="761A54C5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4371-2012《家具抗菌性能的评价》；</w:t>
      </w:r>
    </w:p>
    <w:p w14:paraId="3E7A8482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20285—2006《材料产烟毒性危险分级》；</w:t>
      </w:r>
    </w:p>
    <w:p w14:paraId="08C4457B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4463-2013《家具用封边条技术要求》；</w:t>
      </w:r>
    </w:p>
    <w:p w14:paraId="628718C6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32487-2016《塑料家具通用技术条件》；</w:t>
      </w:r>
    </w:p>
    <w:p w14:paraId="165E4EA0">
      <w:pPr>
        <w:pStyle w:val="4"/>
        <w:ind w:left="0" w:leftChars="0" w:firstLine="420" w:firstLineChars="200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JC/T 2039-2010《抗菌防霉木质装饰板》；</w:t>
      </w:r>
    </w:p>
    <w:p w14:paraId="5655CE9D">
      <w:pPr>
        <w:pStyle w:val="4"/>
        <w:ind w:left="0" w:leftChars="0"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及其他与本次采购的家具相关的现行最新标准；采购需求内所涉及到的标准若与现行标准冲突，均以现行的最新版本为准。</w:t>
      </w:r>
    </w:p>
    <w:p w14:paraId="5DB6D6F7">
      <w:pPr>
        <w:rPr>
          <w:rFonts w:hint="eastAsia"/>
          <w:color w:val="auto"/>
          <w:lang w:eastAsia="zh-CN"/>
        </w:rPr>
      </w:pPr>
    </w:p>
    <w:p w14:paraId="495047C3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color w:val="auto"/>
          <w:spacing w:val="-25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2"/>
          <w:lang w:eastAsia="zh-CN"/>
        </w:rPr>
        <w:t>三、采购品目分类、参考样式、规格、基本组成、质量标准等要求</w:t>
      </w:r>
    </w:p>
    <w:tbl>
      <w:tblPr>
        <w:tblStyle w:val="12"/>
        <w:tblpPr w:leftFromText="180" w:rightFromText="180" w:vertAnchor="text" w:horzAnchor="page" w:tblpX="1456" w:tblpY="594"/>
        <w:tblOverlap w:val="never"/>
        <w:tblW w:w="2094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1084"/>
        <w:gridCol w:w="850"/>
        <w:gridCol w:w="3220"/>
        <w:gridCol w:w="2025"/>
        <w:gridCol w:w="1241"/>
        <w:gridCol w:w="2987"/>
        <w:gridCol w:w="3266"/>
        <w:gridCol w:w="5742"/>
      </w:tblGrid>
      <w:tr w14:paraId="69896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528" w:type="dxa"/>
            <w:vAlign w:val="center"/>
          </w:tcPr>
          <w:p w14:paraId="6D5E338C">
            <w:pPr>
              <w:pStyle w:val="11"/>
              <w:spacing w:before="91" w:line="360" w:lineRule="auto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084" w:type="dxa"/>
            <w:vAlign w:val="center"/>
          </w:tcPr>
          <w:p w14:paraId="14E4EF61">
            <w:pPr>
              <w:pStyle w:val="11"/>
              <w:spacing w:before="91" w:line="360" w:lineRule="auto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850" w:type="dxa"/>
            <w:vAlign w:val="center"/>
          </w:tcPr>
          <w:p w14:paraId="4D598095">
            <w:pPr>
              <w:pStyle w:val="11"/>
              <w:spacing w:before="91" w:line="360" w:lineRule="auto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3220" w:type="dxa"/>
            <w:vAlign w:val="center"/>
          </w:tcPr>
          <w:p w14:paraId="3F2D8C3C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2025" w:type="dxa"/>
            <w:vAlign w:val="center"/>
          </w:tcPr>
          <w:p w14:paraId="0842392E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 w14:paraId="258A8A34">
            <w:pPr>
              <w:pStyle w:val="11"/>
              <w:spacing w:before="87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（长×宽×高）mm</w:t>
            </w:r>
          </w:p>
        </w:tc>
        <w:tc>
          <w:tcPr>
            <w:tcW w:w="1241" w:type="dxa"/>
            <w:vAlign w:val="center"/>
          </w:tcPr>
          <w:p w14:paraId="37655D60">
            <w:pPr>
              <w:pStyle w:val="11"/>
              <w:spacing w:before="91" w:line="360" w:lineRule="auto"/>
              <w:jc w:val="center"/>
              <w:rPr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2987" w:type="dxa"/>
            <w:vAlign w:val="center"/>
          </w:tcPr>
          <w:p w14:paraId="43315ABD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3266" w:type="dxa"/>
            <w:vAlign w:val="center"/>
          </w:tcPr>
          <w:p w14:paraId="4C07386F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5742" w:type="dxa"/>
            <w:vAlign w:val="center"/>
          </w:tcPr>
          <w:p w14:paraId="6EFB24ED">
            <w:pPr>
              <w:pStyle w:val="11"/>
              <w:spacing w:before="91" w:line="360" w:lineRule="auto"/>
              <w:jc w:val="center"/>
              <w:rPr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 w14:paraId="037BE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20943" w:type="dxa"/>
            <w:gridSpan w:val="9"/>
            <w:vAlign w:val="center"/>
          </w:tcPr>
          <w:p w14:paraId="636E0947">
            <w:pPr>
              <w:pStyle w:val="13"/>
              <w:spacing w:line="360" w:lineRule="auto"/>
              <w:jc w:val="both"/>
              <w:rPr>
                <w:rFonts w:hint="default" w:hAnsi="宋体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color w:val="auto"/>
              </w:rPr>
              <w:t>一、</w:t>
            </w:r>
            <w:r>
              <w:rPr>
                <w:rFonts w:hint="eastAsia" w:hAnsi="宋体"/>
                <w:color w:val="auto"/>
                <w:lang w:val="en-US" w:eastAsia="zh-CN"/>
              </w:rPr>
              <w:t>寝室家具</w:t>
            </w:r>
          </w:p>
        </w:tc>
      </w:tr>
      <w:tr w14:paraId="300BE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5" w:hRule="atLeast"/>
        </w:trPr>
        <w:tc>
          <w:tcPr>
            <w:tcW w:w="528" w:type="dxa"/>
            <w:vAlign w:val="center"/>
          </w:tcPr>
          <w:p w14:paraId="4B89242E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1</w:t>
            </w:r>
          </w:p>
        </w:tc>
        <w:tc>
          <w:tcPr>
            <w:tcW w:w="1084" w:type="dxa"/>
            <w:vAlign w:val="center"/>
          </w:tcPr>
          <w:p w14:paraId="7AB10D69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hAnsi="宋体"/>
                <w:color w:val="auto"/>
              </w:rPr>
              <w:t>单人位床</w:t>
            </w:r>
          </w:p>
          <w:p w14:paraId="7C1A7D3D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yellow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2F5BC534">
            <w:pPr>
              <w:pStyle w:val="11"/>
              <w:spacing w:before="129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木质床</w:t>
            </w:r>
          </w:p>
        </w:tc>
        <w:tc>
          <w:tcPr>
            <w:tcW w:w="3220" w:type="dxa"/>
            <w:vAlign w:val="center"/>
          </w:tcPr>
          <w:p w14:paraId="773CA04C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933575" cy="1088390"/>
                  <wp:effectExtent l="0" t="0" r="9525" b="16510"/>
                  <wp:docPr id="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2C574485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2</w:t>
            </w:r>
            <w:r>
              <w:rPr>
                <w:rFonts w:hint="eastAsia"/>
                <w:color w:val="auto"/>
                <w:spacing w:val="-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25*1024*430/1100</w:t>
            </w:r>
          </w:p>
          <w:p w14:paraId="1055B39D">
            <w:pPr>
              <w:pStyle w:val="11"/>
              <w:spacing w:before="91" w:line="360" w:lineRule="auto"/>
              <w:ind w:left="32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其中床板：2000*1000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41" w:type="dxa"/>
            <w:vAlign w:val="center"/>
          </w:tcPr>
          <w:p w14:paraId="5FF8DF0B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226</w:t>
            </w:r>
          </w:p>
        </w:tc>
        <w:tc>
          <w:tcPr>
            <w:tcW w:w="2987" w:type="dxa"/>
            <w:vAlign w:val="center"/>
          </w:tcPr>
          <w:p w14:paraId="69E1F532">
            <w:pPr>
              <w:pStyle w:val="11"/>
              <w:spacing w:before="76" w:line="360" w:lineRule="auto"/>
              <w:ind w:right="268"/>
              <w:jc w:val="both"/>
              <w:rPr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床头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床架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抽屉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构成</w:t>
            </w:r>
          </w:p>
        </w:tc>
        <w:tc>
          <w:tcPr>
            <w:tcW w:w="3266" w:type="dxa"/>
            <w:vAlign w:val="center"/>
          </w:tcPr>
          <w:p w14:paraId="51FFBB10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572606C8">
            <w:pPr>
              <w:pStyle w:val="11"/>
              <w:spacing w:before="58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63B5FA97">
            <w:pPr>
              <w:pStyle w:val="11"/>
              <w:spacing w:before="58" w:line="360" w:lineRule="auto"/>
              <w:jc w:val="both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同色PVC封边条</w:t>
            </w:r>
          </w:p>
          <w:p w14:paraId="3A252B5F">
            <w:pPr>
              <w:pStyle w:val="11"/>
              <w:spacing w:before="90" w:line="360" w:lineRule="auto"/>
              <w:jc w:val="both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5"/>
                <w:sz w:val="21"/>
                <w:szCs w:val="21"/>
                <w:lang w:val="en-US" w:eastAsia="zh-CN"/>
              </w:rPr>
              <w:t>床</w:t>
            </w:r>
            <w:r>
              <w:rPr>
                <w:rFonts w:hint="eastAsia"/>
                <w:color w:val="auto"/>
                <w:spacing w:val="5"/>
                <w:sz w:val="21"/>
                <w:szCs w:val="21"/>
                <w:lang w:eastAsia="zh-CN"/>
              </w:rPr>
              <w:t>架：木制</w:t>
            </w:r>
          </w:p>
          <w:p w14:paraId="3152CB16">
            <w:pPr>
              <w:pStyle w:val="11"/>
              <w:spacing w:line="360" w:lineRule="auto"/>
              <w:jc w:val="both"/>
              <w:rPr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27F7DF26">
            <w:pPr>
              <w:pStyle w:val="13"/>
              <w:spacing w:line="360" w:lineRule="auto"/>
              <w:jc w:val="both"/>
              <w:rPr>
                <w:rFonts w:hint="eastAsia" w:hAnsi="宋体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基材：采用ENF级实木多层板，柜体厚度≥18mm。环保等级需满足甲醛释放量≤0.05mg/m³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。抽屉面板/背板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厚度≥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12mm。</w:t>
            </w:r>
          </w:p>
          <w:p w14:paraId="78F648B3">
            <w:pPr>
              <w:pStyle w:val="13"/>
              <w:spacing w:line="360" w:lineRule="auto"/>
              <w:jc w:val="both"/>
              <w:rPr>
                <w:rFonts w:hint="eastAsia" w:hAnsi="宋体"/>
                <w:color w:val="auto"/>
                <w:sz w:val="21"/>
                <w:szCs w:val="21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饰面：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正反面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三聚氰胺贴面，表面不可留有压痕、划伤、斑点和凹凸不平。</w:t>
            </w:r>
          </w:p>
          <w:p w14:paraId="221CA2C7">
            <w:pPr>
              <w:pStyle w:val="13"/>
              <w:spacing w:line="360" w:lineRule="auto"/>
              <w:jc w:val="both"/>
              <w:rPr>
                <w:rFonts w:hint="eastAsia" w:hAnsi="宋体"/>
                <w:color w:val="auto"/>
                <w:sz w:val="21"/>
                <w:szCs w:val="21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封边：2mm厚优质同色PVC封边条封边。</w:t>
            </w:r>
          </w:p>
          <w:p w14:paraId="78C7DA63">
            <w:pPr>
              <w:pStyle w:val="13"/>
              <w:spacing w:line="360" w:lineRule="auto"/>
              <w:jc w:val="both"/>
              <w:rPr>
                <w:rFonts w:hint="eastAsia" w:hAnsi="宋体"/>
                <w:color w:val="auto"/>
                <w:sz w:val="21"/>
                <w:szCs w:val="21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胶水：采用高温封边热溶胶，经全自动封边机与板材热压封边。</w:t>
            </w:r>
          </w:p>
          <w:p w14:paraId="2A87E064">
            <w:pPr>
              <w:pStyle w:val="13"/>
              <w:spacing w:line="360" w:lineRule="auto"/>
              <w:jc w:val="both"/>
              <w:rPr>
                <w:rFonts w:hint="eastAsia" w:hAnsi="宋体"/>
                <w:color w:val="auto"/>
                <w:sz w:val="21"/>
                <w:szCs w:val="21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五金配件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件之间采用三合一连接件连接，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采用优质阻尼铰链，带阻尼的缓冲装置。</w:t>
            </w:r>
          </w:p>
          <w:p w14:paraId="77F61582">
            <w:pPr>
              <w:pStyle w:val="13"/>
              <w:spacing w:line="360" w:lineRule="auto"/>
              <w:jc w:val="both"/>
              <w:rPr>
                <w:color w:val="auto"/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床头配有储物格，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床下一侧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配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有3个自带隐形拉手抽屉；另外一侧床板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上配置可翻合盖板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增加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床下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储物空间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 w14:paraId="43607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28" w:type="dxa"/>
            <w:vAlign w:val="center"/>
          </w:tcPr>
          <w:p w14:paraId="22FA40F0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2</w:t>
            </w:r>
          </w:p>
        </w:tc>
        <w:tc>
          <w:tcPr>
            <w:tcW w:w="1084" w:type="dxa"/>
            <w:vAlign w:val="center"/>
          </w:tcPr>
          <w:p w14:paraId="520957B2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  <w:t>床垫</w:t>
            </w:r>
          </w:p>
        </w:tc>
        <w:tc>
          <w:tcPr>
            <w:tcW w:w="850" w:type="dxa"/>
            <w:vAlign w:val="center"/>
          </w:tcPr>
          <w:p w14:paraId="482E0C2D">
            <w:pPr>
              <w:pStyle w:val="11"/>
              <w:spacing w:before="129" w:line="360" w:lineRule="auto"/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乳胶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椰棕床垫</w:t>
            </w:r>
          </w:p>
        </w:tc>
        <w:tc>
          <w:tcPr>
            <w:tcW w:w="3220" w:type="dxa"/>
            <w:vAlign w:val="center"/>
          </w:tcPr>
          <w:p w14:paraId="6A709802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729740" cy="1097915"/>
                  <wp:effectExtent l="0" t="0" r="3810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7BF9F7E9">
            <w:pPr>
              <w:pStyle w:val="11"/>
              <w:spacing w:before="91" w:line="360" w:lineRule="auto"/>
              <w:ind w:left="32"/>
              <w:jc w:val="both"/>
              <w:rPr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2000*1000*150</w:t>
            </w:r>
          </w:p>
        </w:tc>
        <w:tc>
          <w:tcPr>
            <w:tcW w:w="1241" w:type="dxa"/>
            <w:vAlign w:val="center"/>
          </w:tcPr>
          <w:p w14:paraId="7928EC92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226</w:t>
            </w:r>
          </w:p>
        </w:tc>
        <w:tc>
          <w:tcPr>
            <w:tcW w:w="2987" w:type="dxa"/>
            <w:vAlign w:val="center"/>
          </w:tcPr>
          <w:p w14:paraId="1BA6BDCD">
            <w:pPr>
              <w:pStyle w:val="11"/>
              <w:spacing w:before="76" w:line="360" w:lineRule="auto"/>
              <w:ind w:right="268"/>
              <w:jc w:val="both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由支撑层+填充层+面料层构成，颜色可选</w:t>
            </w:r>
          </w:p>
        </w:tc>
        <w:tc>
          <w:tcPr>
            <w:tcW w:w="3266" w:type="dxa"/>
            <w:vAlign w:val="center"/>
          </w:tcPr>
          <w:p w14:paraId="4389A0DB">
            <w:pPr>
              <w:pStyle w:val="11"/>
              <w:spacing w:before="191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外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 w:bidi="ar-SA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料：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 w:bidi="ar-SA"/>
              </w:rPr>
              <w:t>针织或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海绵</w:t>
            </w:r>
          </w:p>
          <w:p w14:paraId="4080A96A">
            <w:pPr>
              <w:pStyle w:val="11"/>
              <w:spacing w:before="191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内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 w:bidi="ar-SA"/>
              </w:rPr>
              <w:t>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：乳胶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 w:bidi="ar-SA"/>
              </w:rPr>
              <w:t>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椰棕</w:t>
            </w:r>
          </w:p>
          <w:p w14:paraId="29BC5175"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742" w:type="dxa"/>
            <w:vAlign w:val="center"/>
          </w:tcPr>
          <w:p w14:paraId="72398F0A"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外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 w:bidi="ar-SA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料：采用高品质针织面料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或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高弹海绵面料，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透气性好，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高回弹，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双面两用，颜色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可选。</w:t>
            </w:r>
          </w:p>
          <w:p w14:paraId="31E69246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填充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：不少于2cm乳胶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层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，不少于2cm环保3E椰棕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层。</w:t>
            </w:r>
          </w:p>
          <w:p w14:paraId="1E0420A2"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3.支撑：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独立弹簧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。</w:t>
            </w:r>
          </w:p>
          <w:p w14:paraId="43108922"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配置及功能：透气防潮，硬度软硬适中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，通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过防霉防菌防螨处理，无胶水、无异味、提供质量检测报告，具备出色阻燃性能，面料耐磨且抗起球，经久耐用。</w:t>
            </w:r>
          </w:p>
        </w:tc>
      </w:tr>
      <w:tr w14:paraId="4E1AF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28" w:type="dxa"/>
            <w:vAlign w:val="center"/>
          </w:tcPr>
          <w:p w14:paraId="0384699F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3</w:t>
            </w:r>
          </w:p>
        </w:tc>
        <w:tc>
          <w:tcPr>
            <w:tcW w:w="1084" w:type="dxa"/>
            <w:vAlign w:val="center"/>
          </w:tcPr>
          <w:p w14:paraId="394E3BCF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  <w:t>组合书桌</w:t>
            </w:r>
          </w:p>
          <w:p w14:paraId="0F74D7D4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highlight w:val="yellow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427F1C4D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桌</w:t>
            </w:r>
          </w:p>
        </w:tc>
        <w:tc>
          <w:tcPr>
            <w:tcW w:w="3220" w:type="dxa"/>
            <w:vAlign w:val="center"/>
          </w:tcPr>
          <w:p w14:paraId="2A9B4576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10970" cy="2127250"/>
                  <wp:effectExtent l="0" t="0" r="17780" b="6350"/>
                  <wp:docPr id="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4542757E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1400*600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300*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800/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2000</w:t>
            </w:r>
          </w:p>
          <w:p w14:paraId="0992C99F">
            <w:pPr>
              <w:pStyle w:val="11"/>
              <w:spacing w:before="91" w:line="360" w:lineRule="auto"/>
              <w:ind w:left="32"/>
              <w:jc w:val="both"/>
              <w:rPr>
                <w:rFonts w:hint="default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其中桌面深度600；柜体深度300；桌面高度800）</w:t>
            </w:r>
          </w:p>
        </w:tc>
        <w:tc>
          <w:tcPr>
            <w:tcW w:w="1241" w:type="dxa"/>
            <w:vAlign w:val="center"/>
          </w:tcPr>
          <w:p w14:paraId="424A02B4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226</w:t>
            </w:r>
          </w:p>
        </w:tc>
        <w:tc>
          <w:tcPr>
            <w:tcW w:w="2987" w:type="dxa"/>
            <w:vAlign w:val="center"/>
          </w:tcPr>
          <w:p w14:paraId="175B635E">
            <w:pPr>
              <w:pStyle w:val="11"/>
              <w:spacing w:before="191" w:line="360" w:lineRule="auto"/>
              <w:jc w:val="both"/>
              <w:rPr>
                <w:rFonts w:hint="default"/>
                <w:color w:val="auto"/>
                <w:spacing w:val="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由柜体框架、台面、背板、隔板及抽屉组成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 w14:paraId="45069392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5C63F399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0988C443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封边：同色PVC封边条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3D971C0D">
            <w:pPr>
              <w:pStyle w:val="13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基材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：ENF级实木多层板，桌面厚度≥25mm，其余厚度≥18mm。</w:t>
            </w: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桌面高度800mm。</w:t>
            </w:r>
          </w:p>
          <w:p w14:paraId="4F0368FD">
            <w:pPr>
              <w:pStyle w:val="13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正反面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耐磨</w:t>
            </w: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三聚氰胺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浸渍饰面。</w:t>
            </w:r>
          </w:p>
          <w:p w14:paraId="6B518AB9">
            <w:pPr>
              <w:pStyle w:val="13"/>
              <w:spacing w:line="360" w:lineRule="auto"/>
              <w:jc w:val="both"/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胶水：无醛PUR防水封边胶</w:t>
            </w: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。</w:t>
            </w:r>
          </w:p>
          <w:p w14:paraId="5A17CCBE"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封边：2mm厚优质同色PVC封边条封边。</w:t>
            </w:r>
          </w:p>
          <w:p w14:paraId="7BB7E0EB"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五金配件：采用优质阻尼铰链，带阻尼的缓冲装置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。</w:t>
            </w:r>
          </w:p>
          <w:p w14:paraId="2D176AF6">
            <w:pPr>
              <w:pStyle w:val="13"/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书桌下侧靠墙位置需配置挡板；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双配色（浅白哑光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柜门/抽屉门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+浅木色纹理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侧边/开放格背板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），表面需做防潮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耐污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处理。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上侧为</w:t>
            </w: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双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门柜，中侧为双空格置物架，另一侧为桌上空格柜</w:t>
            </w:r>
            <w:r>
              <w:rPr>
                <w:rFonts w:hint="eastAsia" w:hAnsi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，桌下配双抽屉，另配一个抽屉组合柜。</w:t>
            </w:r>
          </w:p>
        </w:tc>
      </w:tr>
      <w:tr w14:paraId="26CE6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528" w:type="dxa"/>
            <w:vAlign w:val="center"/>
          </w:tcPr>
          <w:p w14:paraId="7E013FB8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4</w:t>
            </w:r>
          </w:p>
        </w:tc>
        <w:tc>
          <w:tcPr>
            <w:tcW w:w="1084" w:type="dxa"/>
            <w:vAlign w:val="center"/>
          </w:tcPr>
          <w:p w14:paraId="54952E50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  <w:t>三门衣橱</w:t>
            </w:r>
          </w:p>
          <w:p w14:paraId="2DD7458D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highlight w:val="yellow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3C9DDD55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柜</w:t>
            </w:r>
          </w:p>
        </w:tc>
        <w:tc>
          <w:tcPr>
            <w:tcW w:w="3220" w:type="dxa"/>
            <w:vAlign w:val="center"/>
          </w:tcPr>
          <w:p w14:paraId="51D75715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02385" cy="2281555"/>
                  <wp:effectExtent l="0" t="0" r="12065" b="4445"/>
                  <wp:docPr id="1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22C162CE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1350*600*2000</w:t>
            </w:r>
          </w:p>
        </w:tc>
        <w:tc>
          <w:tcPr>
            <w:tcW w:w="1241" w:type="dxa"/>
            <w:vAlign w:val="center"/>
          </w:tcPr>
          <w:p w14:paraId="11C9E181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142</w:t>
            </w:r>
          </w:p>
        </w:tc>
        <w:tc>
          <w:tcPr>
            <w:tcW w:w="2987" w:type="dxa"/>
            <w:vAlign w:val="center"/>
          </w:tcPr>
          <w:p w14:paraId="208B8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由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柜体、柜门、背板、抽屉组成</w:t>
            </w:r>
          </w:p>
          <w:p w14:paraId="161F36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</w:p>
        </w:tc>
        <w:tc>
          <w:tcPr>
            <w:tcW w:w="3266" w:type="dxa"/>
            <w:vAlign w:val="center"/>
          </w:tcPr>
          <w:p w14:paraId="66C354A9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62A2A39B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4F60E9A7"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封边：同色PVC封边条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3EA823FD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1.基材：ENF级实木多层板，厚度≥18mm。</w:t>
            </w:r>
          </w:p>
          <w:p w14:paraId="6CFA3183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2.饰面：正反面三聚氰胺贴面，表面不可留有压痕、划伤、斑点和凹凸不平，同批产品不得出现明显色差。</w:t>
            </w:r>
          </w:p>
          <w:p w14:paraId="06A27A44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3.封边：2mm厚优质PVC封边条封边。</w:t>
            </w:r>
          </w:p>
          <w:p w14:paraId="3FDF7DE9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4.胶水：无醛PUR防水封边胶。</w:t>
            </w:r>
          </w:p>
          <w:p w14:paraId="1F0A6072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5.五金配件：采用优质阻尼铰链和缓冲滑轨，确保柜门和抽屉开合顺畅，静音且耐用。</w:t>
            </w:r>
          </w:p>
          <w:p w14:paraId="532414E0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配置及功能：双配色（浅白哑光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柜门/抽屉门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+浅木色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侧边/开放格背板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）</w:t>
            </w:r>
            <w:r>
              <w:rPr>
                <w:rFonts w:hint="eastAsia" w:hAnsi="宋体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表面需做防潮耐污处理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。柜内配置挂衣杆，梳妆镜等。配置长条形金属内扣拉手（铝合金材质，哑光银色，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柜门拉手长度120mm，抽屉拉手长度80mm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）。</w:t>
            </w:r>
          </w:p>
        </w:tc>
      </w:tr>
      <w:tr w14:paraId="3A178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28" w:type="dxa"/>
            <w:vAlign w:val="center"/>
          </w:tcPr>
          <w:p w14:paraId="4725784C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5</w:t>
            </w:r>
          </w:p>
        </w:tc>
        <w:tc>
          <w:tcPr>
            <w:tcW w:w="1084" w:type="dxa"/>
            <w:vAlign w:val="center"/>
          </w:tcPr>
          <w:p w14:paraId="36A9978F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  <w:lang w:val="en-US" w:eastAsia="zh-CN"/>
              </w:rPr>
              <w:t>二</w:t>
            </w: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  <w:t>门衣橱</w:t>
            </w:r>
          </w:p>
        </w:tc>
        <w:tc>
          <w:tcPr>
            <w:tcW w:w="850" w:type="dxa"/>
            <w:vAlign w:val="center"/>
          </w:tcPr>
          <w:p w14:paraId="6DB6B815">
            <w:pPr>
              <w:pStyle w:val="11"/>
              <w:spacing w:before="129" w:line="360" w:lineRule="auto"/>
              <w:jc w:val="center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柜</w:t>
            </w:r>
          </w:p>
        </w:tc>
        <w:tc>
          <w:tcPr>
            <w:tcW w:w="3220" w:type="dxa"/>
            <w:vAlign w:val="center"/>
          </w:tcPr>
          <w:p w14:paraId="37323762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21435" cy="2566670"/>
                  <wp:effectExtent l="0" t="0" r="12065" b="508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66616461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1000*600*2000</w:t>
            </w:r>
          </w:p>
        </w:tc>
        <w:tc>
          <w:tcPr>
            <w:tcW w:w="1241" w:type="dxa"/>
            <w:vAlign w:val="center"/>
          </w:tcPr>
          <w:p w14:paraId="222CA104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84</w:t>
            </w:r>
          </w:p>
        </w:tc>
        <w:tc>
          <w:tcPr>
            <w:tcW w:w="2987" w:type="dxa"/>
            <w:vAlign w:val="center"/>
          </w:tcPr>
          <w:p w14:paraId="212485DE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由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柜体、柜门、背板、抽屉组成</w:t>
            </w:r>
          </w:p>
        </w:tc>
        <w:tc>
          <w:tcPr>
            <w:tcW w:w="3266" w:type="dxa"/>
            <w:vAlign w:val="center"/>
          </w:tcPr>
          <w:p w14:paraId="157121B7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3EB4CE72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3BE84860"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封边：同色PVC封边条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7F38F292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1.基材：ENF级多层实木板，厚度≥18mm。</w:t>
            </w:r>
          </w:p>
          <w:p w14:paraId="5C4276FB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2.饰面：正反面三聚氰胺贴面，表面不可留有压痕、划伤、斑点和凹凸不平，同批产品不得出现明显色差。</w:t>
            </w:r>
          </w:p>
          <w:p w14:paraId="458E62EE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3.封边：2mm厚优质PVC封边条封边。</w:t>
            </w:r>
          </w:p>
          <w:p w14:paraId="492880AB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4.胶水：无醛PUR防水封边胶。</w:t>
            </w:r>
          </w:p>
          <w:p w14:paraId="6AB52FF3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5.五金配件：采用优质阻尼铰链和缓冲滑轨，确保柜门和抽屉开合顺畅，静音且耐用。</w:t>
            </w:r>
          </w:p>
          <w:p w14:paraId="4B83A3E8">
            <w:pPr>
              <w:pStyle w:val="13"/>
              <w:spacing w:line="360" w:lineRule="auto"/>
              <w:jc w:val="both"/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双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柜门和抽屉组合，柜下部分留空，柜内配置挂衣杆，梳妆镜等。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双配色（白色哑光柜门/抽屉+浅木色侧边/开放格背板），表面需做防潮耐污处理。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配置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长条形金属内扣拉手（铝合金材质，哑光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银色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，柜门拉手长度120mm，抽屉拉手长度80mm）。</w:t>
            </w:r>
          </w:p>
        </w:tc>
      </w:tr>
      <w:tr w14:paraId="3C5FBB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43" w:hRule="atLeast"/>
        </w:trPr>
        <w:tc>
          <w:tcPr>
            <w:tcW w:w="528" w:type="dxa"/>
            <w:vAlign w:val="center"/>
          </w:tcPr>
          <w:p w14:paraId="3BBB49E6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6</w:t>
            </w:r>
          </w:p>
        </w:tc>
        <w:tc>
          <w:tcPr>
            <w:tcW w:w="1084" w:type="dxa"/>
            <w:vAlign w:val="center"/>
          </w:tcPr>
          <w:p w14:paraId="02D1646C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1"/>
                <w:szCs w:val="28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1"/>
                <w:szCs w:val="28"/>
              </w:rPr>
              <w:t>公寓椅</w:t>
            </w:r>
          </w:p>
          <w:p w14:paraId="491873D9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1"/>
                <w:szCs w:val="28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yellow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3BBE7044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木制椅</w:t>
            </w:r>
          </w:p>
        </w:tc>
        <w:tc>
          <w:tcPr>
            <w:tcW w:w="3220" w:type="dxa"/>
            <w:vAlign w:val="center"/>
          </w:tcPr>
          <w:p w14:paraId="7F62BE10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17295" cy="1777365"/>
                  <wp:effectExtent l="0" t="0" r="1905" b="1333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779A245C">
            <w:pPr>
              <w:pStyle w:val="11"/>
              <w:spacing w:before="91" w:line="360" w:lineRule="auto"/>
              <w:ind w:left="32"/>
              <w:jc w:val="both"/>
              <w:rPr>
                <w:rFonts w:hint="default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1241" w:type="dxa"/>
            <w:vAlign w:val="center"/>
          </w:tcPr>
          <w:p w14:paraId="6EB7DDBF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226</w:t>
            </w:r>
          </w:p>
        </w:tc>
        <w:tc>
          <w:tcPr>
            <w:tcW w:w="2987" w:type="dxa"/>
            <w:vAlign w:val="center"/>
          </w:tcPr>
          <w:p w14:paraId="08FFDBFC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由椅架、椅面、靠背组成</w:t>
            </w:r>
          </w:p>
        </w:tc>
        <w:tc>
          <w:tcPr>
            <w:tcW w:w="3266" w:type="dxa"/>
            <w:vAlign w:val="center"/>
          </w:tcPr>
          <w:p w14:paraId="5052225C">
            <w:pPr>
              <w:pStyle w:val="13"/>
              <w:spacing w:line="360" w:lineRule="auto"/>
              <w:jc w:val="both"/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椅面：木制</w:t>
            </w:r>
          </w:p>
          <w:p w14:paraId="4F3306B9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椅架：木制</w:t>
            </w:r>
          </w:p>
        </w:tc>
        <w:tc>
          <w:tcPr>
            <w:tcW w:w="5742" w:type="dxa"/>
            <w:vAlign w:val="center"/>
          </w:tcPr>
          <w:p w14:paraId="6FF4A944">
            <w:pPr>
              <w:pStyle w:val="13"/>
              <w:spacing w:line="360" w:lineRule="auto"/>
              <w:jc w:val="both"/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椅架：采用优质橡木或榉木，木材经过严格干燥处理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一体化弯曲木设计，无拼接缝隙，增强结构强度。椅腿呈A字形，提供稳定支撑。</w:t>
            </w:r>
          </w:p>
          <w:p w14:paraId="3335758A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椅面和靠背：椅面和靠背均采用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同一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材质，椅面厚度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≥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15mm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。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表面经过精细打磨，去除毛刺，保证手感平滑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采用环保型木蜡油或清漆保护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，具有良好的防水、防刮性能。</w:t>
            </w:r>
          </w:p>
          <w:p w14:paraId="402126B7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  <w:t>承重能力≥150kg，长时间使用依然稳固可靠。</w:t>
            </w:r>
          </w:p>
        </w:tc>
      </w:tr>
      <w:tr w14:paraId="15352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28" w:type="dxa"/>
            <w:vAlign w:val="center"/>
          </w:tcPr>
          <w:p w14:paraId="7E892A13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7</w:t>
            </w:r>
          </w:p>
        </w:tc>
        <w:tc>
          <w:tcPr>
            <w:tcW w:w="1084" w:type="dxa"/>
            <w:vAlign w:val="center"/>
          </w:tcPr>
          <w:p w14:paraId="7A7AE62E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1"/>
                <w:szCs w:val="28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1"/>
                <w:szCs w:val="28"/>
              </w:rPr>
              <w:t>储物柜</w:t>
            </w:r>
          </w:p>
        </w:tc>
        <w:tc>
          <w:tcPr>
            <w:tcW w:w="850" w:type="dxa"/>
            <w:vAlign w:val="center"/>
          </w:tcPr>
          <w:p w14:paraId="7C5F2CED">
            <w:pPr>
              <w:pStyle w:val="11"/>
              <w:spacing w:before="129" w:line="360" w:lineRule="auto"/>
              <w:jc w:val="center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柜</w:t>
            </w:r>
          </w:p>
        </w:tc>
        <w:tc>
          <w:tcPr>
            <w:tcW w:w="3220" w:type="dxa"/>
            <w:vAlign w:val="center"/>
          </w:tcPr>
          <w:p w14:paraId="09C40D5A">
            <w:pPr>
              <w:pStyle w:val="11"/>
              <w:spacing w:before="91" w:line="360" w:lineRule="auto"/>
              <w:ind w:left="32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734820" cy="1893570"/>
                  <wp:effectExtent l="0" t="0" r="17780" b="1143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22C8C093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1200*600*1200</w:t>
            </w:r>
          </w:p>
        </w:tc>
        <w:tc>
          <w:tcPr>
            <w:tcW w:w="1241" w:type="dxa"/>
            <w:vAlign w:val="center"/>
          </w:tcPr>
          <w:p w14:paraId="28581EA0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142</w:t>
            </w:r>
          </w:p>
        </w:tc>
        <w:tc>
          <w:tcPr>
            <w:tcW w:w="2987" w:type="dxa"/>
            <w:vAlign w:val="center"/>
          </w:tcPr>
          <w:p w14:paraId="3B3DF1AE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由柜体、柜门、背板组成</w:t>
            </w:r>
          </w:p>
        </w:tc>
        <w:tc>
          <w:tcPr>
            <w:tcW w:w="3266" w:type="dxa"/>
            <w:vAlign w:val="center"/>
          </w:tcPr>
          <w:p w14:paraId="00380DDC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29E3A1F6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5953096D"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封边：同色PVC封边条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26745C91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1.基材：ENF级多层实木板，厚度≥18mm。</w:t>
            </w:r>
          </w:p>
          <w:p w14:paraId="6B07CF3A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 xml:space="preserve">2.饰面：正反面三聚氰胺贴面，表面不可留有压痕、划伤、斑点和凹凸不平，同批产品不得出现明显色差。 </w:t>
            </w:r>
          </w:p>
          <w:p w14:paraId="6A3ECB81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3.封边：2mm厚优质PVC封边条封边。</w:t>
            </w:r>
          </w:p>
          <w:p w14:paraId="5684C73B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4.胶水：无醛PUR防水封边胶。</w:t>
            </w:r>
          </w:p>
          <w:p w14:paraId="55E045F1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5.五金配件：采用优质阻尼铰链，带阻尼的缓冲装置。</w:t>
            </w:r>
          </w:p>
          <w:p w14:paraId="32ED208C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双配色（浅白哑光柜门+浅木色柜体/台面），表面需做防潮耐污处理。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配置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长条形金属内扣拉手（铝合金材质，哑光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银色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，长度120mm）。</w:t>
            </w:r>
          </w:p>
        </w:tc>
      </w:tr>
      <w:tr w14:paraId="308B9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79" w:hRule="atLeast"/>
        </w:trPr>
        <w:tc>
          <w:tcPr>
            <w:tcW w:w="528" w:type="dxa"/>
            <w:vAlign w:val="center"/>
          </w:tcPr>
          <w:p w14:paraId="287395BB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8</w:t>
            </w:r>
          </w:p>
        </w:tc>
        <w:tc>
          <w:tcPr>
            <w:tcW w:w="1084" w:type="dxa"/>
            <w:vAlign w:val="center"/>
          </w:tcPr>
          <w:p w14:paraId="447E61A4">
            <w:pPr>
              <w:spacing w:line="360" w:lineRule="auto"/>
              <w:jc w:val="both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  <w:t>墙柜储物柜</w:t>
            </w:r>
          </w:p>
          <w:p w14:paraId="16D33763">
            <w:pPr>
              <w:spacing w:line="360" w:lineRule="auto"/>
              <w:jc w:val="center"/>
              <w:rPr>
                <w:rFonts w:hint="eastAsia" w:ascii="Times New Roman" w:hAnsi="微软雅黑" w:eastAsia="宋体" w:cs="Tahoma"/>
                <w:color w:val="auto"/>
                <w:sz w:val="20"/>
                <w:szCs w:val="24"/>
              </w:rPr>
            </w:pP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  <w:highlight w:val="none"/>
              </w:rPr>
              <w:t>（</w:t>
            </w: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  <w:highlight w:val="none"/>
                <w:lang w:val="en-US" w:eastAsia="zh-CN"/>
              </w:rPr>
              <w:t>拆除及更新</w:t>
            </w:r>
            <w:r>
              <w:rPr>
                <w:rFonts w:hint="eastAsia" w:ascii="Times New Roman" w:hAnsi="微软雅黑" w:eastAsia="宋体" w:cs="Tahoma"/>
                <w:color w:val="auto"/>
                <w:sz w:val="20"/>
                <w:szCs w:val="24"/>
                <w:highlight w:val="none"/>
              </w:rPr>
              <w:t>面板）</w:t>
            </w:r>
          </w:p>
        </w:tc>
        <w:tc>
          <w:tcPr>
            <w:tcW w:w="850" w:type="dxa"/>
            <w:vAlign w:val="center"/>
          </w:tcPr>
          <w:p w14:paraId="1E41ED83">
            <w:pPr>
              <w:pStyle w:val="11"/>
              <w:spacing w:before="129" w:line="360" w:lineRule="auto"/>
              <w:jc w:val="center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柜</w:t>
            </w:r>
          </w:p>
        </w:tc>
        <w:tc>
          <w:tcPr>
            <w:tcW w:w="3220" w:type="dxa"/>
            <w:vAlign w:val="center"/>
          </w:tcPr>
          <w:p w14:paraId="44258EAC">
            <w:pPr>
              <w:pStyle w:val="11"/>
              <w:spacing w:before="91" w:line="360" w:lineRule="auto"/>
              <w:ind w:left="32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28115" cy="1637665"/>
                  <wp:effectExtent l="0" t="0" r="635" b="63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795D168B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2450*590*2800</w:t>
            </w:r>
          </w:p>
          <w:p w14:paraId="78F45144">
            <w:pPr>
              <w:pStyle w:val="11"/>
              <w:spacing w:before="91" w:line="360" w:lineRule="auto"/>
              <w:ind w:left="32"/>
              <w:jc w:val="both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上柜门（4块）：695*600中柜门（4块）：695*1675下抽屉（4块）：695*300</w:t>
            </w:r>
          </w:p>
        </w:tc>
        <w:tc>
          <w:tcPr>
            <w:tcW w:w="1241" w:type="dxa"/>
            <w:vAlign w:val="center"/>
          </w:tcPr>
          <w:p w14:paraId="0A82DCC9">
            <w:pPr>
              <w:pStyle w:val="11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2987" w:type="dxa"/>
            <w:vAlign w:val="center"/>
          </w:tcPr>
          <w:p w14:paraId="3D14DC1A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由柜门面板组成</w:t>
            </w:r>
          </w:p>
          <w:p w14:paraId="62397476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</w:pPr>
          </w:p>
        </w:tc>
        <w:tc>
          <w:tcPr>
            <w:tcW w:w="3266" w:type="dxa"/>
            <w:vAlign w:val="center"/>
          </w:tcPr>
          <w:p w14:paraId="34F99E99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板基材：ENF级实木多层板</w:t>
            </w:r>
          </w:p>
          <w:p w14:paraId="34E5C6E9">
            <w:pPr>
              <w:pStyle w:val="11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38291643"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封边：同色PVC封边条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val="en-US"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40A78E8C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1.基材：ENF级多层实木板，厚度≥18mm。</w:t>
            </w:r>
          </w:p>
          <w:p w14:paraId="1253D1CC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2.饰面：正反面三聚氰胺贴面，表面不可留有压痕、划伤、斑点和凹凸不平，同批产品不得出现明显色差。</w:t>
            </w:r>
          </w:p>
          <w:p w14:paraId="713C2F3D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3.封边：2mm厚优质PVC封边条封边。</w:t>
            </w:r>
          </w:p>
          <w:p w14:paraId="33802E6A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4.胶水：无醛PUR防水封边胶。</w:t>
            </w:r>
          </w:p>
          <w:p w14:paraId="1F24BD90">
            <w:pPr>
              <w:pStyle w:val="13"/>
              <w:spacing w:line="360" w:lineRule="auto"/>
              <w:jc w:val="both"/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5.五金配件：采用优质阻尼铰链，带阻尼的缓冲装置。</w:t>
            </w:r>
          </w:p>
          <w:p w14:paraId="1C2E451A">
            <w:pPr>
              <w:pStyle w:val="13"/>
              <w:spacing w:line="360" w:lineRule="auto"/>
              <w:jc w:val="both"/>
              <w:rPr>
                <w:rFonts w:hint="default" w:hAnsi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6.</w:t>
            </w:r>
            <w:r>
              <w:rPr>
                <w:rFonts w:hint="eastAsia" w:hAnsi="宋体"/>
                <w:color w:val="auto"/>
                <w:sz w:val="21"/>
                <w:szCs w:val="21"/>
              </w:rPr>
              <w:t>配置及功能：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浅白哑光柜门，表面需做防潮耐污处理。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配置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长条形金属内扣拉手（铝合金材质，哑光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银色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，长度120mm）。</w:t>
            </w:r>
          </w:p>
        </w:tc>
      </w:tr>
      <w:tr w14:paraId="7E168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20943" w:type="dxa"/>
            <w:gridSpan w:val="9"/>
            <w:vAlign w:val="center"/>
          </w:tcPr>
          <w:p w14:paraId="44FDED64">
            <w:pPr>
              <w:pStyle w:val="13"/>
              <w:spacing w:line="360" w:lineRule="auto"/>
              <w:jc w:val="both"/>
              <w:rPr>
                <w:rFonts w:hAnsi="宋体"/>
                <w:color w:val="auto"/>
                <w:sz w:val="21"/>
                <w:szCs w:val="21"/>
              </w:rPr>
            </w:pPr>
            <w:r>
              <w:rPr>
                <w:rFonts w:hint="eastAsia" w:hAnsi="宋体"/>
                <w:color w:val="auto"/>
                <w:sz w:val="21"/>
                <w:szCs w:val="21"/>
              </w:rPr>
              <w:t>二、</w:t>
            </w:r>
            <w:r>
              <w:rPr>
                <w:rFonts w:hint="eastAsia" w:hAnsi="宋体"/>
                <w:color w:val="auto"/>
                <w:sz w:val="21"/>
                <w:szCs w:val="21"/>
                <w:lang w:val="en-US" w:eastAsia="zh-CN"/>
              </w:rPr>
              <w:t>其他家具</w:t>
            </w:r>
          </w:p>
        </w:tc>
      </w:tr>
      <w:tr w14:paraId="134D2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3" w:hRule="atLeast"/>
        </w:trPr>
        <w:tc>
          <w:tcPr>
            <w:tcW w:w="528" w:type="dxa"/>
            <w:vAlign w:val="center"/>
          </w:tcPr>
          <w:p w14:paraId="7E9AE9C2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</w:t>
            </w:r>
          </w:p>
        </w:tc>
        <w:tc>
          <w:tcPr>
            <w:tcW w:w="1084" w:type="dxa"/>
            <w:vAlign w:val="center"/>
          </w:tcPr>
          <w:p w14:paraId="2881A919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阅览桌</w:t>
            </w:r>
          </w:p>
        </w:tc>
        <w:tc>
          <w:tcPr>
            <w:tcW w:w="850" w:type="dxa"/>
            <w:vAlign w:val="center"/>
          </w:tcPr>
          <w:p w14:paraId="0FD3FC2B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桌</w:t>
            </w:r>
          </w:p>
        </w:tc>
        <w:tc>
          <w:tcPr>
            <w:tcW w:w="3220" w:type="dxa"/>
            <w:vAlign w:val="center"/>
          </w:tcPr>
          <w:p w14:paraId="7853EE99">
            <w:pPr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85950" cy="1316990"/>
                  <wp:effectExtent l="0" t="0" r="0" b="165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-4013" b="6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09794834">
            <w:pPr>
              <w:pStyle w:val="11"/>
              <w:spacing w:before="91" w:line="360" w:lineRule="auto"/>
              <w:jc w:val="center"/>
              <w:rPr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1600*1200*1250</w:t>
            </w:r>
          </w:p>
        </w:tc>
        <w:tc>
          <w:tcPr>
            <w:tcW w:w="1241" w:type="dxa"/>
            <w:vAlign w:val="center"/>
          </w:tcPr>
          <w:p w14:paraId="2394226D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vAlign w:val="center"/>
          </w:tcPr>
          <w:p w14:paraId="38E1518D">
            <w:pPr>
              <w:pStyle w:val="11"/>
              <w:spacing w:line="360" w:lineRule="auto"/>
              <w:jc w:val="both"/>
              <w:rPr>
                <w:rFonts w:hint="eastAsia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</w:p>
          <w:p w14:paraId="75AF10D1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主桌台面厚度≥25mm</w:t>
            </w:r>
          </w:p>
          <w:p w14:paraId="0F7FB3F1">
            <w:pPr>
              <w:pStyle w:val="11"/>
              <w:spacing w:before="76" w:line="360" w:lineRule="auto"/>
              <w:ind w:right="268"/>
              <w:jc w:val="both"/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主桌台面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高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度≥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800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lang w:eastAsia="zh-CN"/>
              </w:rPr>
              <w:t>mm</w:t>
            </w:r>
          </w:p>
          <w:p w14:paraId="1BEBCA31">
            <w:pPr>
              <w:pStyle w:val="11"/>
              <w:spacing w:line="360" w:lineRule="auto"/>
              <w:jc w:val="both"/>
              <w:rPr>
                <w:rFonts w:hint="default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266" w:type="dxa"/>
            <w:vAlign w:val="center"/>
          </w:tcPr>
          <w:p w14:paraId="2B965C85">
            <w:pPr>
              <w:pStyle w:val="11"/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板基材：ENF级实木多层板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桌架：</w:t>
            </w:r>
            <w:r>
              <w:rPr>
                <w:rFonts w:hint="eastAsia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木制</w:t>
            </w:r>
          </w:p>
          <w:p w14:paraId="3D339703"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封边：同色PVC封边条</w:t>
            </w:r>
          </w:p>
        </w:tc>
        <w:tc>
          <w:tcPr>
            <w:tcW w:w="5742" w:type="dxa"/>
            <w:vAlign w:val="center"/>
          </w:tcPr>
          <w:p w14:paraId="0F838F27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板材：ENF级多层实木板，厚度≥25mm。</w:t>
            </w:r>
          </w:p>
          <w:p w14:paraId="08ED8676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2.封边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四周采用软性PVC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材料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封边。</w:t>
            </w:r>
          </w:p>
          <w:p w14:paraId="082A35A9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桌架：采用四根尺寸≥60*40*1.2mm的三角管，管脚底部配备管塞，内嵌可调节脚。</w:t>
            </w:r>
          </w:p>
          <w:p w14:paraId="4262A9B8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灯槽：采用优质铝合金框架结构，其中横梁尺寸≥50*15mm，立柱尺寸≥25*30mm。</w:t>
            </w:r>
          </w:p>
        </w:tc>
      </w:tr>
      <w:tr w14:paraId="00316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6" w:hRule="atLeast"/>
        </w:trPr>
        <w:tc>
          <w:tcPr>
            <w:tcW w:w="528" w:type="dxa"/>
            <w:vAlign w:val="center"/>
          </w:tcPr>
          <w:p w14:paraId="69F0690A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</w:t>
            </w:r>
          </w:p>
        </w:tc>
        <w:tc>
          <w:tcPr>
            <w:tcW w:w="1084" w:type="dxa"/>
            <w:vAlign w:val="center"/>
          </w:tcPr>
          <w:p w14:paraId="6FC2383F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阅览椅</w:t>
            </w:r>
          </w:p>
        </w:tc>
        <w:tc>
          <w:tcPr>
            <w:tcW w:w="850" w:type="dxa"/>
            <w:vAlign w:val="center"/>
          </w:tcPr>
          <w:p w14:paraId="0522E02F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培训椅</w:t>
            </w:r>
          </w:p>
        </w:tc>
        <w:tc>
          <w:tcPr>
            <w:tcW w:w="3220" w:type="dxa"/>
            <w:vAlign w:val="center"/>
          </w:tcPr>
          <w:p w14:paraId="04A464DF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45870" cy="1518920"/>
                  <wp:effectExtent l="0" t="0" r="1143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05744E02">
            <w:pPr>
              <w:pStyle w:val="11"/>
              <w:spacing w:before="91" w:line="360" w:lineRule="auto"/>
              <w:jc w:val="center"/>
              <w:rPr>
                <w:rFonts w:hint="default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1241" w:type="dxa"/>
            <w:vAlign w:val="center"/>
          </w:tcPr>
          <w:p w14:paraId="29054881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829F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由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椅架、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椅座、椅背、地脚组成</w:t>
            </w:r>
          </w:p>
        </w:tc>
        <w:tc>
          <w:tcPr>
            <w:tcW w:w="3266" w:type="dxa"/>
            <w:vAlign w:val="center"/>
          </w:tcPr>
          <w:p w14:paraId="5F37D2DE"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椅面</w:t>
            </w:r>
            <w:r>
              <w:rPr>
                <w:rFonts w:hint="eastAsia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PP（聚丙烯）加纤材质</w:t>
            </w:r>
          </w:p>
          <w:p w14:paraId="5F5622DD"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椅架</w:t>
            </w:r>
            <w:r>
              <w:rPr>
                <w:rFonts w:hint="eastAsia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：金属</w:t>
            </w:r>
          </w:p>
          <w:p w14:paraId="53D168D2"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  <w:t>五金配件：连接件</w:t>
            </w:r>
          </w:p>
        </w:tc>
        <w:tc>
          <w:tcPr>
            <w:tcW w:w="5742" w:type="dxa"/>
            <w:vAlign w:val="center"/>
          </w:tcPr>
          <w:p w14:paraId="3589A9D5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椅架：采用优质圆管，管径≥16mm，壁厚≥1.5mm，表面经静电喷塑处理，具有防锈防腐蚀性能。管材表面精细光滑，牢固抗冲击，不易变形，可承重≥150kg。</w:t>
            </w:r>
          </w:p>
          <w:p w14:paraId="62D50B4F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 xml:space="preserve">胶壳：一体成型，环保不褪色，质地轻、抗裂性强。                                          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椅背：由靠背、椅座、内座组成，内座可选颜色。</w:t>
            </w:r>
          </w:p>
          <w:p w14:paraId="45A60122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脚塞：采用防滑塑料胶塞，移动时安静无噪音。</w:t>
            </w:r>
          </w:p>
        </w:tc>
      </w:tr>
      <w:tr w14:paraId="68749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4" w:hRule="atLeast"/>
        </w:trPr>
        <w:tc>
          <w:tcPr>
            <w:tcW w:w="528" w:type="dxa"/>
            <w:vAlign w:val="center"/>
          </w:tcPr>
          <w:p w14:paraId="40C36E05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3</w:t>
            </w:r>
          </w:p>
        </w:tc>
        <w:tc>
          <w:tcPr>
            <w:tcW w:w="1084" w:type="dxa"/>
            <w:vAlign w:val="center"/>
          </w:tcPr>
          <w:p w14:paraId="11BC15D5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组合沙发</w:t>
            </w:r>
          </w:p>
        </w:tc>
        <w:tc>
          <w:tcPr>
            <w:tcW w:w="850" w:type="dxa"/>
            <w:vAlign w:val="center"/>
          </w:tcPr>
          <w:p w14:paraId="2D02B703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软包扶手</w:t>
            </w:r>
          </w:p>
        </w:tc>
        <w:tc>
          <w:tcPr>
            <w:tcW w:w="3220" w:type="dxa"/>
            <w:vAlign w:val="center"/>
          </w:tcPr>
          <w:p w14:paraId="6D6F4503">
            <w:pPr>
              <w:pStyle w:val="11"/>
              <w:spacing w:before="91" w:line="360" w:lineRule="auto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037715" cy="958850"/>
                  <wp:effectExtent l="0" t="0" r="635" b="1270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 w14:paraId="780C9B14">
            <w:pPr>
              <w:pStyle w:val="11"/>
              <w:spacing w:before="91" w:line="360" w:lineRule="auto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3200*1200*750/420</w:t>
            </w:r>
          </w:p>
          <w:p w14:paraId="2F4B4EFA">
            <w:pPr>
              <w:pStyle w:val="11"/>
              <w:spacing w:before="91" w:line="360" w:lineRule="auto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val="en-US" w:eastAsia="zh-CN"/>
              </w:rPr>
              <w:t>总高750；靠背高420</w:t>
            </w:r>
            <w:r>
              <w:rPr>
                <w:rFonts w:hint="eastAsia"/>
                <w:color w:val="auto"/>
                <w:spacing w:val="-2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41" w:type="dxa"/>
            <w:vAlign w:val="center"/>
          </w:tcPr>
          <w:p w14:paraId="49583577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vAlign w:val="center"/>
          </w:tcPr>
          <w:p w14:paraId="56F5972A">
            <w:pPr>
              <w:pStyle w:val="11"/>
              <w:spacing w:before="66" w:line="360" w:lineRule="auto"/>
              <w:rPr>
                <w:rFonts w:hint="default"/>
                <w:color w:val="auto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lang w:val="en-US" w:eastAsia="zh-CN"/>
              </w:rPr>
              <w:t>由主体框架、座面结构、外部面料及填充物组成</w:t>
            </w:r>
          </w:p>
        </w:tc>
        <w:tc>
          <w:tcPr>
            <w:tcW w:w="3266" w:type="dxa"/>
            <w:vAlign w:val="center"/>
          </w:tcPr>
          <w:p w14:paraId="366BCADD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  <w:t>面料：麻布</w:t>
            </w:r>
          </w:p>
          <w:p w14:paraId="68EFA4D0">
            <w:pPr>
              <w:pStyle w:val="11"/>
              <w:spacing w:line="360" w:lineRule="auto"/>
              <w:jc w:val="both"/>
              <w:rPr>
                <w:rFonts w:hint="default"/>
                <w:color w:val="auto"/>
                <w:spacing w:val="-3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  <w:t>内框架：实木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lang w:val="en-US" w:eastAsia="zh-CN"/>
              </w:rPr>
              <w:t>内框架</w:t>
            </w:r>
          </w:p>
        </w:tc>
        <w:tc>
          <w:tcPr>
            <w:tcW w:w="5742" w:type="dxa"/>
            <w:vAlign w:val="center"/>
          </w:tcPr>
          <w:p w14:paraId="4F97DC05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面料：采用</w:t>
            </w:r>
            <w:r>
              <w:rPr>
                <w:rFonts w:hint="eastAsia"/>
                <w:color w:val="auto"/>
              </w:rPr>
              <w:t>棉麻混纺布艺</w:t>
            </w:r>
            <w:r>
              <w:rPr>
                <w:rFonts w:hint="eastAsia"/>
                <w:color w:val="auto"/>
                <w:lang w:eastAsia="zh-CN"/>
              </w:rPr>
              <w:t>，</w:t>
            </w:r>
            <w:r>
              <w:rPr>
                <w:rFonts w:hint="eastAsia"/>
                <w:color w:val="auto"/>
              </w:rPr>
              <w:t>或科技布</w:t>
            </w:r>
            <w:r>
              <w:rPr>
                <w:rFonts w:hint="eastAsia"/>
                <w:color w:val="auto"/>
                <w:lang w:val="en-US" w:eastAsia="zh-CN"/>
              </w:rPr>
              <w:t>或优</w:t>
            </w:r>
            <w:r>
              <w:rPr>
                <w:rFonts w:hint="eastAsia"/>
                <w:color w:val="auto"/>
              </w:rPr>
              <w:t>质麻布，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透气性强富有弹性，颜色多选。</w:t>
            </w:r>
          </w:p>
          <w:p w14:paraId="402AE1CD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2.海绵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：采用高回弹、高密度定型海绵。</w:t>
            </w:r>
          </w:p>
          <w:p w14:paraId="6BB4D12E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内框架：</w:t>
            </w:r>
            <w:r>
              <w:rPr>
                <w:rFonts w:hint="eastAsia"/>
                <w:color w:val="auto"/>
                <w:lang w:val="en-US" w:eastAsia="zh-CN"/>
              </w:rPr>
              <w:t>采用实木框架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，含水率符合国家标准，结构稳定牢固，并经防腐、防蛀处理。</w:t>
            </w:r>
          </w:p>
          <w:p w14:paraId="4E9B0BAF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4.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支撑：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eastAsia="zh-CN"/>
              </w:rPr>
              <w:t>采用高弹力独立弹簧或专用弹性绷带作为托承。</w:t>
            </w:r>
          </w:p>
        </w:tc>
      </w:tr>
      <w:tr w14:paraId="72FAD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F47BE"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4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E47A3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洽谈桌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C4226">
            <w:pPr>
              <w:pStyle w:val="11"/>
              <w:spacing w:before="129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圆形桌</w:t>
            </w:r>
          </w:p>
        </w:tc>
        <w:tc>
          <w:tcPr>
            <w:tcW w:w="3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DE1AB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670050" cy="1932305"/>
                  <wp:effectExtent l="0" t="0" r="6350" b="10795"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9AC9F">
            <w:pPr>
              <w:pStyle w:val="11"/>
              <w:spacing w:before="91" w:line="360" w:lineRule="auto"/>
              <w:jc w:val="center"/>
              <w:rPr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Φ800*750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833417">
            <w:pPr>
              <w:pStyle w:val="11"/>
              <w:spacing w:before="76" w:line="360" w:lineRule="auto"/>
              <w:ind w:left="164" w:right="268"/>
              <w:jc w:val="center"/>
              <w:rPr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500BBF">
            <w:pPr>
              <w:pStyle w:val="11"/>
              <w:spacing w:before="66" w:line="360" w:lineRule="auto"/>
              <w:rPr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lang w:eastAsia="zh-CN"/>
              </w:rPr>
              <w:t>由金属桌架、台面组成</w:t>
            </w:r>
          </w:p>
        </w:tc>
        <w:tc>
          <w:tcPr>
            <w:tcW w:w="3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7DF52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  <w:t>基材：岩板</w:t>
            </w:r>
          </w:p>
          <w:p w14:paraId="0E7D0A60">
            <w:pPr>
              <w:pStyle w:val="11"/>
              <w:spacing w:line="360" w:lineRule="auto"/>
              <w:jc w:val="both"/>
              <w:rPr>
                <w:rFonts w:hint="default"/>
                <w:color w:val="auto"/>
                <w:spacing w:val="-3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lang w:eastAsia="zh-CN"/>
              </w:rPr>
              <w:t>桌架：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lang w:val="en-US" w:eastAsia="zh-CN"/>
              </w:rPr>
              <w:t>金属</w:t>
            </w:r>
          </w:p>
        </w:tc>
        <w:tc>
          <w:tcPr>
            <w:tcW w:w="5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80A214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1.台面：采用耐高温、耐腐蚀岩板，耐热耐磨性强，厚度≥12mm，表面纹理均匀无断裂、色斑。台面边缘做圆弧封边，打磨光滑无毛刺，封边与台面贴合紧密无缝隙。</w:t>
            </w:r>
          </w:p>
          <w:p w14:paraId="5A473F27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2.支架：采用金属管材（壁厚≥1.5mm），经折弯成型后弧度流畅一致，无褶皱、变形；桌面高度≥750mm。</w:t>
            </w:r>
          </w:p>
          <w:p w14:paraId="6723B252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3.底座：金属圆盘底座厚度≥3mm，直径需匹配桌面尺寸（承重比≥1:4），确保放置平稳不侧翻。</w:t>
            </w:r>
          </w:p>
          <w:p w14:paraId="3BA9F43A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spacing w:val="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4.连接：台面与支架、支架与底座采用五金连接件+结构胶双重固定，组装后无松动、摇晃。</w:t>
            </w:r>
          </w:p>
        </w:tc>
      </w:tr>
      <w:tr w14:paraId="477E84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F7B92E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5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4B1128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洽谈椅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5EAF38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布艺椅</w:t>
            </w:r>
          </w:p>
        </w:tc>
        <w:tc>
          <w:tcPr>
            <w:tcW w:w="3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94148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34440" cy="1378585"/>
                  <wp:effectExtent l="0" t="0" r="3810" b="12065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4B447">
            <w:pPr>
              <w:pStyle w:val="11"/>
              <w:spacing w:before="91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91CD3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E4072">
            <w:pPr>
              <w:pStyle w:val="11"/>
              <w:spacing w:before="66" w:line="360" w:lineRule="auto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金属椅子、椅面、靠背组成</w:t>
            </w:r>
          </w:p>
        </w:tc>
        <w:tc>
          <w:tcPr>
            <w:tcW w:w="3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5C4C9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基材：多层板</w:t>
            </w:r>
          </w:p>
          <w:p w14:paraId="43C40300">
            <w:pPr>
              <w:pStyle w:val="11"/>
              <w:spacing w:line="360" w:lineRule="auto"/>
              <w:jc w:val="both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椅架：金属</w:t>
            </w:r>
          </w:p>
        </w:tc>
        <w:tc>
          <w:tcPr>
            <w:tcW w:w="5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28E29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1.面料：采用优质麻布，搭配高密度海绵。</w:t>
            </w:r>
          </w:p>
          <w:p w14:paraId="6C4711BD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2.内框架：采用橡木等实木，经烘干处理，结构稳定牢固，无虫蛀、无开裂、无腐朽，内封E0级多层板。</w:t>
            </w:r>
          </w:p>
          <w:p w14:paraId="646AF00B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3.坐靠垫：采用高密度海绵，回弹率≥40%，软包面料无跳线、色差。</w:t>
            </w:r>
          </w:p>
          <w:p w14:paraId="3C58758D">
            <w:pPr>
              <w:spacing w:line="360" w:lineRule="auto"/>
              <w:jc w:val="both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4.椅脚：椅脚底部加装防滑耐磨脚垫。整体椅子无摇晃、无异响，承重≥120kg。</w:t>
            </w:r>
          </w:p>
        </w:tc>
      </w:tr>
      <w:tr w14:paraId="4FE6B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27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2C9F2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6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EFAA83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会议桌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29544F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钢木结合条桌</w:t>
            </w:r>
          </w:p>
        </w:tc>
        <w:tc>
          <w:tcPr>
            <w:tcW w:w="3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88EED1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12925" cy="1102995"/>
                  <wp:effectExtent l="0" t="0" r="1587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94" t="18898" r="2508" b="6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10C837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1400*500*750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CEF0AA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E1A982">
            <w:pPr>
              <w:pStyle w:val="11"/>
              <w:spacing w:before="66" w:line="360" w:lineRule="auto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由木板、五金等构成</w:t>
            </w:r>
          </w:p>
        </w:tc>
        <w:tc>
          <w:tcPr>
            <w:tcW w:w="3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EA20C9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板基材：刨花板</w:t>
            </w:r>
          </w:p>
          <w:p w14:paraId="4A8B06E7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面材：浸渍胶膜纸饰面</w:t>
            </w:r>
          </w:p>
          <w:p w14:paraId="53BF4870">
            <w:pPr>
              <w:pStyle w:val="11"/>
              <w:spacing w:before="64" w:line="360" w:lineRule="auto"/>
              <w:jc w:val="both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桌架：钢制</w:t>
            </w:r>
          </w:p>
          <w:p w14:paraId="7625AE3A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5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PVC</w:t>
            </w:r>
          </w:p>
          <w:p w14:paraId="49AA5D4C">
            <w:pPr>
              <w:pStyle w:val="11"/>
              <w:spacing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五金件：连接件</w:t>
            </w:r>
          </w:p>
        </w:tc>
        <w:tc>
          <w:tcPr>
            <w:tcW w:w="5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D4871B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1.基材：采用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浸渍胶膜纸饰面刨花板，甲醛释放量符合E0级标准，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厚度≥25mm。</w:t>
            </w:r>
          </w:p>
          <w:p w14:paraId="653A1AB4"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 w:bidi="ar-SA"/>
              </w:rPr>
              <w:t>饰面：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浸渍胶膜纸饰面。</w:t>
            </w:r>
          </w:p>
          <w:p w14:paraId="36AB8CD3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3.封边：2mm厚PVC封边条。</w:t>
            </w:r>
          </w:p>
          <w:p w14:paraId="2F2B3A8F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五金配件：优质连接件。</w:t>
            </w:r>
          </w:p>
          <w:p w14:paraId="3AB0AC86">
            <w:pPr>
              <w:spacing w:line="360" w:lineRule="auto"/>
              <w:jc w:val="both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5.配置及功能：桌面可翻转移动，带拼接连接件。</w:t>
            </w:r>
          </w:p>
        </w:tc>
      </w:tr>
      <w:tr w14:paraId="6152D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7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33B9AB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7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B36ED">
            <w:pPr>
              <w:spacing w:line="360" w:lineRule="auto"/>
              <w:jc w:val="both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会议椅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C59CFB">
            <w:pPr>
              <w:pStyle w:val="11"/>
              <w:spacing w:before="129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弓形椅</w:t>
            </w:r>
          </w:p>
        </w:tc>
        <w:tc>
          <w:tcPr>
            <w:tcW w:w="3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290A3"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62660" cy="1147445"/>
                  <wp:effectExtent l="0" t="0" r="8890" b="14605"/>
                  <wp:docPr id="9" name="图片 8" descr="5c342ad4f48bbd83de3b0d9e4ad44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5c342ad4f48bbd83de3b0d9e4ad4406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1BF338">
            <w:pPr>
              <w:pStyle w:val="11"/>
              <w:spacing w:before="91" w:line="360" w:lineRule="auto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43B88"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56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E1101B"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由椅座，椅背，椅脚，地脚组成</w:t>
            </w:r>
          </w:p>
        </w:tc>
        <w:tc>
          <w:tcPr>
            <w:tcW w:w="3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169DE"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椅架：金属脚架</w:t>
            </w:r>
          </w:p>
          <w:p w14:paraId="566EBCA5"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椅脚：金属弓型脚</w:t>
            </w:r>
          </w:p>
        </w:tc>
        <w:tc>
          <w:tcPr>
            <w:tcW w:w="5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0F1E04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1.椅架：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钢管脚架，钢管壁厚≥1.5mm，弓型脚架，底部带静音防滑垫。</w:t>
            </w: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管材表面精细光滑，牢固抗冲击，不易变形，可承重≥150kg，配备固定扶手。</w:t>
            </w:r>
          </w:p>
          <w:p w14:paraId="51F6FD0C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2.椅背：面料采用双层尼龙与玻纤网面料，腰靠固定。</w:t>
            </w:r>
          </w:p>
          <w:p w14:paraId="76960D34">
            <w:pPr>
              <w:spacing w:line="360" w:lineRule="auto"/>
              <w:jc w:val="both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lang w:val="en-US" w:eastAsia="zh-CN"/>
              </w:rPr>
              <w:t>3.椅座：采用厚度≥12mm多层板座板，搭配高回弹海绵和弹力布。</w:t>
            </w:r>
          </w:p>
        </w:tc>
      </w:tr>
    </w:tbl>
    <w:p w14:paraId="33EC9A51">
      <w:pPr>
        <w:spacing w:line="360" w:lineRule="auto"/>
        <w:rPr>
          <w:rFonts w:ascii="宋体" w:hAnsi="宋体" w:eastAsia="宋体" w:cs="宋体"/>
          <w:color w:val="auto"/>
          <w:spacing w:val="-18"/>
          <w:lang w:eastAsia="zh-CN"/>
        </w:rPr>
      </w:pPr>
    </w:p>
    <w:p w14:paraId="0708A2D2">
      <w:pPr>
        <w:pStyle w:val="4"/>
        <w:spacing w:line="360" w:lineRule="auto"/>
        <w:ind w:left="0" w:leftChars="0" w:firstLine="420" w:firstLineChars="200"/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  <w:t>注：</w:t>
      </w:r>
    </w:p>
    <w:p w14:paraId="0F416A30">
      <w:pPr>
        <w:pStyle w:val="4"/>
        <w:spacing w:line="360" w:lineRule="auto"/>
        <w:ind w:left="0" w:leftChars="0" w:firstLine="420" w:firstLineChars="200"/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  <w:t>（1）投标方应对投标货物品牌、尺寸规格、颜色、材料、质量、性能等作出说明，提供所投产品的技术参数偏离表，按实际情况注明以上清单产品各项技术参数偏离情况（正偏离/满足/负偏离），技术要求偏离表不能违背真实的参数和指标。</w:t>
      </w:r>
    </w:p>
    <w:p w14:paraId="59242613">
      <w:pPr>
        <w:pStyle w:val="4"/>
        <w:spacing w:line="360" w:lineRule="auto"/>
        <w:ind w:left="0" w:leftChars="0" w:firstLine="420" w:firstLineChars="200"/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  <w:t>（2）项目需求中指出的工艺、材料和货物的标准以及参照的技术参数、图片或型号仅起说明作用，并没有任何限制性和排他性，响应方在投标中可以选用其他替代标准、技术参数或型号，但这些替代应以不影响产品质量或功能实现为前提。</w:t>
      </w:r>
    </w:p>
    <w:p w14:paraId="7E8D4DF9">
      <w:pPr>
        <w:pStyle w:val="4"/>
        <w:spacing w:line="360" w:lineRule="auto"/>
        <w:ind w:left="0" w:leftChars="0" w:firstLine="420" w:firstLineChars="200"/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  <w:t>（3）项目需求中指出的技术标准与规范如有更新，应以最新的标准规范实施。</w:t>
      </w:r>
    </w:p>
    <w:p w14:paraId="25F50B90">
      <w:pPr>
        <w:pStyle w:val="4"/>
        <w:spacing w:line="360" w:lineRule="auto"/>
        <w:ind w:left="0" w:leftChars="0" w:firstLine="420" w:firstLineChars="200"/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sz w:val="21"/>
          <w:szCs w:val="21"/>
          <w:lang w:eastAsia="zh-CN"/>
        </w:rPr>
        <w:t>（4）所有采购家具产品，均需经使用方确认最终的色样方可采购或制作。</w:t>
      </w:r>
    </w:p>
    <w:p w14:paraId="6CB74D80">
      <w:pPr>
        <w:spacing w:line="360" w:lineRule="auto"/>
        <w:rPr>
          <w:rFonts w:ascii="宋体" w:hAnsi="宋体" w:eastAsia="宋体" w:cs="宋体"/>
          <w:color w:val="auto"/>
          <w:spacing w:val="-18"/>
          <w:lang w:eastAsia="zh-CN"/>
        </w:rPr>
      </w:pPr>
    </w:p>
    <w:p w14:paraId="1F0E54CB">
      <w:pPr>
        <w:spacing w:line="360" w:lineRule="auto"/>
        <w:rPr>
          <w:rFonts w:ascii="宋体" w:hAnsi="宋体" w:eastAsia="宋体" w:cs="宋体"/>
          <w:color w:val="auto"/>
          <w:spacing w:val="-18"/>
          <w:lang w:eastAsia="zh-CN"/>
        </w:rPr>
      </w:pPr>
    </w:p>
    <w:p w14:paraId="4DE43CFE">
      <w:pPr>
        <w:spacing w:line="360" w:lineRule="auto"/>
        <w:rPr>
          <w:rFonts w:ascii="宋体" w:hAnsi="宋体" w:eastAsia="宋体" w:cs="宋体"/>
          <w:color w:val="auto"/>
          <w:spacing w:val="-18"/>
          <w:lang w:eastAsia="zh-CN"/>
        </w:rPr>
      </w:pPr>
    </w:p>
    <w:p w14:paraId="1F13BB76">
      <w:pPr>
        <w:spacing w:line="360" w:lineRule="auto"/>
        <w:rPr>
          <w:rFonts w:ascii="宋体" w:hAnsi="宋体" w:eastAsia="宋体" w:cs="宋体"/>
          <w:color w:val="auto"/>
          <w:spacing w:val="-18"/>
          <w:lang w:eastAsia="zh-CN"/>
        </w:rPr>
      </w:pPr>
    </w:p>
    <w:p w14:paraId="57015EAD">
      <w:pPr>
        <w:spacing w:before="123" w:line="360" w:lineRule="auto"/>
        <w:ind w:firstLine="422" w:firstLineChars="200"/>
        <w:outlineLvl w:val="6"/>
        <w:rPr>
          <w:rFonts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四、材料要求</w:t>
      </w:r>
    </w:p>
    <w:p w14:paraId="7C411EE8">
      <w:pPr>
        <w:pStyle w:val="3"/>
        <w:spacing w:before="315" w:line="360" w:lineRule="auto"/>
        <w:ind w:firstLine="420" w:firstLineChars="200"/>
        <w:rPr>
          <w:color w:val="auto"/>
          <w:sz w:val="21"/>
          <w:szCs w:val="21"/>
          <w:lang w:eastAsia="zh-CN"/>
        </w:rPr>
      </w:pPr>
      <w:r>
        <w:rPr>
          <w:rFonts w:hint="eastAsia"/>
          <w:color w:val="auto"/>
          <w:sz w:val="21"/>
          <w:szCs w:val="21"/>
          <w:lang w:eastAsia="zh-CN"/>
        </w:rPr>
        <w:t>本项目采用的材料需符合以下要求：</w:t>
      </w:r>
    </w:p>
    <w:p w14:paraId="22FCC337">
      <w:pPr>
        <w:numPr>
          <w:ilvl w:val="-1"/>
          <w:numId w:val="0"/>
        </w:numPr>
        <w:spacing w:line="360" w:lineRule="auto"/>
        <w:ind w:firstLine="422" w:firstLineChars="200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cs="宋体"/>
          <w:b/>
          <w:bCs/>
          <w:color w:val="auto"/>
          <w:szCs w:val="24"/>
          <w:highlight w:val="none"/>
          <w:lang w:val="en-US" w:eastAsia="zh-CN"/>
        </w:rPr>
        <w:t>（一）钢管：</w:t>
      </w:r>
      <w:r>
        <w:rPr>
          <w:rFonts w:hint="eastAsia" w:cs="宋体"/>
          <w:b w:val="0"/>
          <w:bCs w:val="0"/>
          <w:color w:val="auto"/>
          <w:szCs w:val="24"/>
          <w:highlight w:val="none"/>
          <w:lang w:eastAsia="zh-CN"/>
        </w:rPr>
        <w:t>检测报告</w:t>
      </w:r>
      <w:r>
        <w:rPr>
          <w:rFonts w:hint="eastAsia" w:ascii="宋体" w:hAnsi="宋体" w:eastAsia="宋体" w:cs="宋体"/>
          <w:color w:val="auto"/>
          <w:lang w:eastAsia="zh-CN"/>
        </w:rPr>
        <w:t>需符合QB/T 3826-1999标准，其中金属表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面耐腐蚀－中性盐雾试验300h达到10级。</w:t>
      </w:r>
      <w:r>
        <w:rPr>
          <w:rFonts w:hint="eastAsia" w:cs="宋体"/>
          <w:b w:val="0"/>
          <w:bCs w:val="0"/>
          <w:color w:val="auto"/>
          <w:szCs w:val="24"/>
          <w:highlight w:val="none"/>
          <w:lang w:eastAsia="zh-CN"/>
        </w:rPr>
        <w:br w:type="textWrapping"/>
      </w:r>
      <w:r>
        <w:rPr>
          <w:rFonts w:hint="eastAsia" w:cs="宋体"/>
          <w:b w:val="0"/>
          <w:bCs w:val="0"/>
          <w:color w:val="auto"/>
          <w:szCs w:val="24"/>
          <w:highlight w:val="none"/>
          <w:lang w:val="en-US" w:eastAsia="zh-CN"/>
        </w:rPr>
        <w:t xml:space="preserve">    </w:t>
      </w:r>
      <w:r>
        <w:rPr>
          <w:rFonts w:hint="eastAsia" w:cs="宋体"/>
          <w:b/>
          <w:bCs/>
          <w:color w:val="auto"/>
          <w:szCs w:val="24"/>
          <w:highlight w:val="none"/>
          <w:lang w:eastAsia="zh-CN"/>
        </w:rPr>
        <w:t>（</w:t>
      </w:r>
      <w:r>
        <w:rPr>
          <w:rFonts w:hint="eastAsia" w:cs="宋体"/>
          <w:b/>
          <w:bCs/>
          <w:color w:val="auto"/>
          <w:szCs w:val="24"/>
          <w:highlight w:val="none"/>
          <w:lang w:val="en-US" w:eastAsia="zh-CN"/>
        </w:rPr>
        <w:t>二</w:t>
      </w:r>
      <w:r>
        <w:rPr>
          <w:rFonts w:hint="eastAsia" w:cs="宋体"/>
          <w:b/>
          <w:bCs/>
          <w:color w:val="auto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auto"/>
          <w:highlight w:val="none"/>
          <w:lang w:val="en-US" w:eastAsia="zh-CN"/>
        </w:rPr>
        <w:t>ENF级</w:t>
      </w:r>
      <w:r>
        <w:rPr>
          <w:rFonts w:hint="eastAsia" w:ascii="宋体" w:hAnsi="宋体" w:eastAsia="宋体" w:cs="宋体"/>
          <w:b/>
          <w:bCs/>
          <w:color w:val="auto"/>
          <w:highlight w:val="none"/>
          <w:lang w:eastAsia="zh-CN"/>
        </w:rPr>
        <w:t>多层实木板：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符合GB18580-2017、GB/T 35601-2017、GB/T 9846-2015、GB/T 17657-2013、GB/T 39600-2021标准，其中胶合强度、静曲强度、弹性模量均合格，甲醛释放量≤0.0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mg/m³，苯、甲苯、二甲苯均未检出，TVOC≤30</w:t>
      </w:r>
      <w:r>
        <w:rPr>
          <w:rFonts w:hint="eastAsia" w:ascii="宋体" w:hAnsi="宋体" w:eastAsia="宋体" w:cs="宋体"/>
          <w:color w:val="auto"/>
          <w:highlight w:val="none"/>
        </w:rPr>
        <w:t>μ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g/m³。</w:t>
      </w:r>
    </w:p>
    <w:p w14:paraId="33BB80A9">
      <w:pPr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cs="宋体"/>
          <w:b/>
          <w:bCs/>
          <w:color w:val="auto"/>
          <w:szCs w:val="24"/>
          <w:highlight w:val="none"/>
          <w:lang w:val="en-US" w:eastAsia="zh-CN"/>
        </w:rPr>
        <w:t>（三）刨花板：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符合GB/T4897-2015、GB18580-2017、GB/T 35601-2017、GB/T 17657-2013、GB/T 31762-2015、GB/T 39600-2021要求，其中静曲强度≥14 Mpa，弹性模量≥2800Mpa，内胶合强度≥0.3Mpa，表面胶合强度≥1.7Mpa，板面握螺钉力≥1400N、板边握螺钉力≥900N，板内密度偏差、2H吸水厚度膨胀率均合格， 甲醛释放量≤0.025mg/m³，苯酚释放量未检出，苯、甲苯、二甲苯均未检出，TVOC≤30μg/m³。</w:t>
      </w:r>
    </w:p>
    <w:p w14:paraId="12680808">
      <w:p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）浸渍胶膜纸饰面刨花板：</w:t>
      </w:r>
      <w:r>
        <w:rPr>
          <w:rFonts w:hint="eastAsia" w:ascii="宋体" w:hAnsi="宋体" w:eastAsia="宋体" w:cs="宋体"/>
          <w:color w:val="auto"/>
          <w:lang w:eastAsia="zh-CN"/>
        </w:rPr>
        <w:t>符合GB/T 17657-2013、GB18580-2017、GB/T 1502-2017、GB/T 35601-2017、GB/T 39600-2021要求。其中静曲强度≥14MPa，弹性模量≥2800Mpa，内结合强度≥0.3Mpa，表面胶合强度≥1.7Mpa，板面握螺钉力≥1400N、板边握螺钉力≥900N，表面耐冷热循环、表面耐划痕合格，表面耐香烟灼烧、表面耐干热达到5级，甲醛释放量≤0.025mg/m³，苯、甲苯、二甲苯均未检出，TVOC≤30</w:t>
      </w:r>
      <w:r>
        <w:rPr>
          <w:rFonts w:hint="eastAsia" w:ascii="宋体" w:hAnsi="宋体" w:eastAsia="宋体" w:cs="宋体"/>
          <w:color w:val="auto"/>
        </w:rPr>
        <w:t>μ</w:t>
      </w:r>
      <w:r>
        <w:rPr>
          <w:rFonts w:hint="eastAsia" w:ascii="宋体" w:hAnsi="宋体" w:eastAsia="宋体" w:cs="宋体"/>
          <w:color w:val="auto"/>
          <w:lang w:eastAsia="zh-CN"/>
        </w:rPr>
        <w:t>g/m³。</w:t>
      </w:r>
    </w:p>
    <w:p w14:paraId="53DE626E">
      <w:pPr>
        <w:spacing w:line="360" w:lineRule="auto"/>
        <w:ind w:firstLine="422" w:firstLineChars="200"/>
        <w:rPr>
          <w:rFonts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）中密度纤维板：</w:t>
      </w:r>
      <w:r>
        <w:rPr>
          <w:rFonts w:hint="eastAsia" w:ascii="宋体" w:hAnsi="宋体" w:eastAsia="宋体" w:cs="宋体"/>
          <w:color w:val="auto"/>
          <w:lang w:eastAsia="zh-CN"/>
        </w:rPr>
        <w:t>符合GB18580-2017、GB/T 17657-2013、GB/T 35601-2017、GB/T 31762-2015、GB/T 11718-2021、GB/T 39600-2021标准，其中静曲强度≥14Mpa，弹性模量≥2800Mpa，内结合强度≥0.3Mpa，表面结合强度≥1.7Mpa，板内密度偏差、2H吸水厚度膨胀率均合格，甲醛释放量≤0.025mg/m³，苯酚释放量未检出，苯、甲苯、二甲苯均未检出，TVOC≤40</w:t>
      </w:r>
      <w:r>
        <w:rPr>
          <w:rFonts w:hint="eastAsia" w:ascii="宋体" w:hAnsi="宋体" w:eastAsia="宋体" w:cs="宋体"/>
          <w:color w:val="auto"/>
        </w:rPr>
        <w:t>μ</w:t>
      </w:r>
      <w:r>
        <w:rPr>
          <w:rFonts w:hint="eastAsia" w:ascii="宋体" w:hAnsi="宋体" w:eastAsia="宋体" w:cs="宋体"/>
          <w:color w:val="auto"/>
          <w:lang w:eastAsia="zh-CN"/>
        </w:rPr>
        <w:t>g/m³。</w:t>
      </w:r>
    </w:p>
    <w:p w14:paraId="357E047C">
      <w:pPr>
        <w:spacing w:line="360" w:lineRule="auto"/>
        <w:ind w:firstLine="422" w:firstLineChars="200"/>
        <w:rPr>
          <w:rFonts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）多层实木板：</w:t>
      </w:r>
      <w:r>
        <w:rPr>
          <w:rFonts w:hint="eastAsia" w:ascii="宋体" w:hAnsi="宋体" w:eastAsia="宋体" w:cs="宋体"/>
          <w:color w:val="auto"/>
          <w:lang w:eastAsia="zh-CN"/>
        </w:rPr>
        <w:t>符合GB18580-2017、GB/T 35601-2017、GB/T 9846-2015、GB/T 17657-2013、GB/T 39600-2021标准，其中胶合强度、静曲强度、弹性模量均合格，甲醛释放量≤0.05mg/m³，苯、甲苯、二甲苯均未检出，TVOC≤30</w:t>
      </w:r>
      <w:r>
        <w:rPr>
          <w:rFonts w:hint="eastAsia" w:ascii="宋体" w:hAnsi="宋体" w:eastAsia="宋体" w:cs="宋体"/>
          <w:color w:val="auto"/>
        </w:rPr>
        <w:t>μ</w:t>
      </w:r>
      <w:r>
        <w:rPr>
          <w:rFonts w:hint="eastAsia" w:ascii="宋体" w:hAnsi="宋体" w:eastAsia="宋体" w:cs="宋体"/>
          <w:color w:val="auto"/>
          <w:lang w:eastAsia="zh-CN"/>
        </w:rPr>
        <w:t>g/m³。</w:t>
      </w:r>
    </w:p>
    <w:p w14:paraId="75602776">
      <w:pPr>
        <w:pStyle w:val="19"/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1"/>
          <w:szCs w:val="21"/>
          <w:lang w:val="en-US" w:eastAsia="zh-CN" w:bidi="ar-SA"/>
        </w:rPr>
        <w:t>（七）PVC封边条：</w:t>
      </w:r>
      <w:r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符合QB/T 4463-2013、GB/T 17657-2013标准，其中甲醛释放量未检出，耐干热性、耐磨性、耐冷热循环性、耐老化性均合格，耐开裂性达到1级，耐光色牢度≥4级。</w:t>
      </w:r>
    </w:p>
    <w:p w14:paraId="522C8AE6">
      <w:pPr>
        <w:pStyle w:val="19"/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1"/>
          <w:szCs w:val="21"/>
          <w:lang w:val="en-US" w:eastAsia="zh-CN" w:bidi="ar-SA"/>
        </w:rPr>
        <w:t>（八）阻尼导轨：</w:t>
      </w:r>
      <w:r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符合QB/T 2454-2013、QB/T3826-1999、QB/T3827-1999标准，其中垂直静载荷、水平静载荷均合格，金属表面耐腐蚀－中性盐雾试验300h达到10级、乙酸盐雾试验100h达到10级。</w:t>
      </w:r>
    </w:p>
    <w:p w14:paraId="57EFE150">
      <w:pPr>
        <w:pStyle w:val="19"/>
        <w:numPr>
          <w:ilvl w:val="0"/>
          <w:numId w:val="0"/>
        </w:numPr>
        <w:ind w:firstLine="422" w:firstLineChars="200"/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1"/>
          <w:szCs w:val="21"/>
          <w:lang w:val="en-US" w:eastAsia="zh-CN" w:bidi="ar-SA"/>
        </w:rPr>
        <w:t>（九）阻尼铰链：</w:t>
      </w:r>
      <w:r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符合QB/T 3832-1999、QB/T3827-1999、QB/T 2189-2013标准，其中垂直静载荷、水平静载荷均合格，金属表面耐腐蚀－中性盐雾试验300h达到10级、乙酸盐雾试验300h达到10级。</w:t>
      </w:r>
    </w:p>
    <w:p w14:paraId="3E06C044">
      <w:pPr>
        <w:spacing w:line="360" w:lineRule="auto"/>
        <w:ind w:firstLine="422" w:firstLineChars="200"/>
        <w:rPr>
          <w:rFonts w:ascii="宋体" w:hAnsi="宋体" w:eastAsia="宋体" w:cs="宋体"/>
          <w:color w:val="auto"/>
          <w:lang w:eastAsia="zh-CN"/>
        </w:rPr>
      </w:pPr>
      <w:r>
        <w:rPr>
          <w:rFonts w:hint="eastAsia" w:cs="宋体"/>
          <w:b/>
          <w:bCs/>
          <w:color w:val="auto"/>
          <w:highlight w:val="none"/>
        </w:rPr>
        <w:t>（</w:t>
      </w:r>
      <w:r>
        <w:rPr>
          <w:rFonts w:hint="eastAsia" w:cs="宋体"/>
          <w:b/>
          <w:bCs/>
          <w:color w:val="auto"/>
          <w:highlight w:val="none"/>
          <w:lang w:val="en-US" w:eastAsia="zh-CN"/>
        </w:rPr>
        <w:t>十</w:t>
      </w:r>
      <w:r>
        <w:rPr>
          <w:rFonts w:hint="eastAsia" w:cs="宋体"/>
          <w:b/>
          <w:bCs/>
          <w:color w:val="auto"/>
          <w:highlight w:val="none"/>
        </w:rPr>
        <w:t>）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三合一连接件：</w:t>
      </w:r>
      <w:r>
        <w:rPr>
          <w:rFonts w:hint="eastAsia" w:ascii="宋体" w:hAnsi="宋体" w:eastAsia="宋体" w:cs="宋体"/>
          <w:color w:val="auto"/>
          <w:lang w:eastAsia="zh-CN"/>
        </w:rPr>
        <w:t>符合GB/T 28203-2011标准，其中三合一偏心连接件偏心体抗压强度≥280N，三合一偏心连接件预埋螺母抗拉强度应 ≥600N，三合一偏心连接件中连接螺杆螺纹与预埋螺母的抗拉强度应 ≥800N，三合一偏心连接件中偏心体与连接螺杆的扭矩≥10N·m。</w:t>
      </w:r>
    </w:p>
    <w:p w14:paraId="08D3AE8D">
      <w:p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cs="宋体"/>
          <w:b/>
          <w:bCs/>
          <w:color w:val="auto"/>
          <w:highlight w:val="none"/>
        </w:rPr>
        <w:t>（</w:t>
      </w:r>
      <w:r>
        <w:rPr>
          <w:rFonts w:hint="eastAsia" w:cs="宋体"/>
          <w:b/>
          <w:bCs/>
          <w:color w:val="auto"/>
          <w:highlight w:val="none"/>
          <w:lang w:val="en-US" w:eastAsia="zh-CN"/>
        </w:rPr>
        <w:t>十一</w:t>
      </w:r>
      <w:r>
        <w:rPr>
          <w:rFonts w:hint="eastAsia" w:cs="宋体"/>
          <w:b/>
          <w:bCs/>
          <w:color w:val="auto"/>
          <w:highlight w:val="none"/>
        </w:rPr>
        <w:t>）封边胶：</w:t>
      </w:r>
      <w:r>
        <w:rPr>
          <w:rFonts w:hint="eastAsia" w:ascii="宋体" w:hAnsi="宋体" w:eastAsia="宋体" w:cs="宋体"/>
          <w:color w:val="auto"/>
          <w:lang w:eastAsia="zh-CN"/>
        </w:rPr>
        <w:t>依据GB/T 33372-2020标准，所使用的胶粘剂中挥发性有机化合物（VOC）≤50g/L。</w:t>
      </w:r>
    </w:p>
    <w:p w14:paraId="16401283">
      <w:p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cs="宋体"/>
          <w:b/>
          <w:bCs/>
          <w:color w:val="auto"/>
          <w:highlight w:val="none"/>
          <w:lang w:val="en-US" w:eastAsia="zh-CN"/>
        </w:rPr>
        <w:t>十二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）网布：</w:t>
      </w:r>
      <w:r>
        <w:rPr>
          <w:rFonts w:hint="eastAsia" w:ascii="宋体" w:hAnsi="宋体" w:eastAsia="宋体" w:cs="宋体"/>
          <w:color w:val="auto"/>
          <w:lang w:eastAsia="zh-CN"/>
        </w:rPr>
        <w:t>符合GB 18401-2010、GB/T 27717-2011、 HJ2546-2016标准，其中甲醛含量未检出、可分解致癌芳香胺染料未检出、可萃取重金属未检出、富马酸二甲酯未检出。</w:t>
      </w:r>
    </w:p>
    <w:p w14:paraId="26DD64D7">
      <w:pPr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cs="宋体"/>
          <w:b/>
          <w:bCs/>
          <w:color w:val="auto"/>
          <w:highlight w:val="none"/>
          <w:lang w:val="en-US" w:eastAsia="zh-CN"/>
        </w:rPr>
        <w:t>十三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）高弹海绵：</w:t>
      </w:r>
      <w:r>
        <w:rPr>
          <w:rFonts w:hint="eastAsia" w:ascii="宋体" w:hAnsi="宋体" w:eastAsia="宋体" w:cs="宋体"/>
          <w:color w:val="auto"/>
          <w:lang w:eastAsia="zh-CN"/>
        </w:rPr>
        <w:t>符合GB/T 10802-2006标准，其中回弹率≥60%，拉伸强度≥90kPa，伸长率≥200%，75%压缩永久变形≤7%，座面密度≥30kg/m³，甲醛释放量≤0.05mg/（m²·h）。</w:t>
      </w:r>
    </w:p>
    <w:p w14:paraId="2468E7A4">
      <w:pPr>
        <w:spacing w:line="360" w:lineRule="auto"/>
        <w:ind w:firstLine="422" w:firstLineChars="20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十四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auto"/>
        </w:rPr>
        <w:t>水性底漆：</w:t>
      </w:r>
      <w:r>
        <w:rPr>
          <w:rFonts w:hint="eastAsia" w:ascii="宋体" w:hAnsi="宋体" w:eastAsia="宋体" w:cs="宋体"/>
          <w:color w:val="auto"/>
        </w:rPr>
        <w:t>符合GB 18581-2020、HJ 2537-2014标准，其中甲醛含量≤5mg/kg，VOC含量≤30g/L。</w:t>
      </w:r>
    </w:p>
    <w:p w14:paraId="5FE50413">
      <w:pPr>
        <w:spacing w:line="360" w:lineRule="auto"/>
        <w:ind w:firstLine="422" w:firstLineChars="20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（十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auto"/>
        </w:rPr>
        <w:t>水性面漆：</w:t>
      </w:r>
      <w:r>
        <w:rPr>
          <w:rFonts w:hint="eastAsia" w:ascii="宋体" w:hAnsi="宋体" w:eastAsia="宋体" w:cs="宋体"/>
          <w:color w:val="auto"/>
        </w:rPr>
        <w:t>符合GB 18581-2020、HJ 2537-2014标准，其中甲醛含量≤5mg/kg，VOC含量≤15g/L。</w:t>
      </w:r>
    </w:p>
    <w:p w14:paraId="49963866">
      <w:pPr>
        <w:pStyle w:val="19"/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1"/>
          <w:szCs w:val="21"/>
          <w:lang w:val="en-US" w:eastAsia="zh-CN" w:bidi="ar-SA"/>
        </w:rPr>
        <w:t>（十六）拉手：</w:t>
      </w:r>
      <w:r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符合QB/T 3826-1999标准。金属表面耐腐蚀－中性盐雾试验24小时达到10级、乙酸盐雾试验24小时达到10级。塑料件耐老化性能需符合GB/T 32487-2016标准，耐老化时间≥240小时。</w:t>
      </w:r>
    </w:p>
    <w:p w14:paraId="10183439">
      <w:pPr>
        <w:pStyle w:val="19"/>
        <w:numPr>
          <w:ilvl w:val="0"/>
          <w:numId w:val="0"/>
        </w:numPr>
        <w:spacing w:line="360" w:lineRule="auto"/>
        <w:ind w:firstLine="422" w:firstLineChars="200"/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1"/>
          <w:szCs w:val="21"/>
          <w:lang w:val="en-US" w:eastAsia="zh-CN" w:bidi="ar-SA"/>
        </w:rPr>
        <w:t>（十七）塑粉：</w:t>
      </w:r>
      <w:r>
        <w:rPr>
          <w:rFonts w:hint="eastAsia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依据GB 30981-2020标准，涂料中可溶性有害元素含量的测定结果如下：铅、镉、铬、汞：均未检出。</w:t>
      </w:r>
    </w:p>
    <w:p w14:paraId="284D9529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</w:p>
    <w:p w14:paraId="2629C7F8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说明：</w:t>
      </w:r>
    </w:p>
    <w:p w14:paraId="20069088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（1）上述原材料要求如与“三、采购品目分类、参考样式、规格、基本组成、质量标准等要求”不一致，以上述要求为准，检测报告原件备查；</w:t>
      </w:r>
    </w:p>
    <w:p w14:paraId="6BB2F4EE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（2）针对不同叫法的同一原材料，其检测报告均予认可（如名称不一致，需注明需求中对应的原材料名称）。</w:t>
      </w:r>
    </w:p>
    <w:p w14:paraId="747D8928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（3）检测报告上的委托单位(受检单位)名称必须与投标人或投标产品的生产厂家或原材料生产厂家一致。每份检测报告均需带有CMA标识。报告签发时间不早于2025年1月1日。</w:t>
      </w:r>
    </w:p>
    <w:p w14:paraId="733E56DD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  <w:t>（4）投标人需提供承诺函，承诺货物生产过程中，拟投入的原材料不低于上述检测报告结果，未提供承诺函及相应检测报告者不得分。</w:t>
      </w:r>
    </w:p>
    <w:p w14:paraId="47747214">
      <w:pPr>
        <w:pStyle w:val="19"/>
        <w:numPr>
          <w:ilvl w:val="0"/>
          <w:numId w:val="0"/>
        </w:numPr>
        <w:spacing w:line="360" w:lineRule="auto"/>
        <w:ind w:firstLine="420" w:firstLineChars="200"/>
        <w:rPr>
          <w:rFonts w:hint="default" w:ascii="宋体" w:hAnsi="宋体" w:eastAsia="宋体" w:cs="宋体"/>
          <w:snapToGrid w:val="0"/>
          <w:color w:val="auto"/>
          <w:sz w:val="21"/>
          <w:szCs w:val="21"/>
          <w:lang w:val="en-US" w:eastAsia="zh-CN" w:bidi="ar-SA"/>
        </w:rPr>
      </w:pPr>
    </w:p>
    <w:p w14:paraId="6E01373A">
      <w:pPr>
        <w:spacing w:before="121" w:line="360" w:lineRule="auto"/>
        <w:ind w:firstLine="422" w:firstLineChars="200"/>
        <w:rPr>
          <w:rFonts w:ascii="宋体" w:hAnsi="宋体" w:eastAsia="宋体" w:cs="宋体"/>
          <w:b/>
          <w:bCs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五、</w:t>
      </w:r>
      <w:r>
        <w:rPr>
          <w:rFonts w:hint="eastAsia" w:ascii="宋体" w:hAnsi="宋体" w:eastAsia="宋体" w:cs="宋体"/>
          <w:b/>
          <w:bCs/>
          <w:color w:val="auto"/>
          <w:spacing w:val="-5"/>
          <w:lang w:eastAsia="zh-CN"/>
        </w:rPr>
        <w:t>颜色要求</w:t>
      </w:r>
    </w:p>
    <w:tbl>
      <w:tblPr>
        <w:tblStyle w:val="12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952"/>
      </w:tblGrid>
      <w:tr w14:paraId="0B41A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 w14:paraId="702C0760">
            <w:pPr>
              <w:pStyle w:val="11"/>
              <w:spacing w:before="237" w:line="360" w:lineRule="auto"/>
              <w:ind w:left="1385" w:firstLine="195" w:firstLineChars="100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4952" w:type="dxa"/>
          </w:tcPr>
          <w:p w14:paraId="17D2E042">
            <w:pPr>
              <w:pStyle w:val="11"/>
              <w:spacing w:before="238" w:line="360" w:lineRule="auto"/>
              <w:ind w:left="152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3"/>
                <w:sz w:val="21"/>
                <w:szCs w:val="21"/>
              </w:rPr>
              <w:t>主体颜色</w:t>
            </w:r>
          </w:p>
        </w:tc>
      </w:tr>
      <w:tr w14:paraId="1F744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3673" w:type="dxa"/>
            <w:vAlign w:val="center"/>
          </w:tcPr>
          <w:p w14:paraId="6B1791A1">
            <w:pPr>
              <w:pStyle w:val="11"/>
              <w:spacing w:before="94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4952" w:type="dxa"/>
            <w:vAlign w:val="center"/>
          </w:tcPr>
          <w:p w14:paraId="54B45163">
            <w:pPr>
              <w:pStyle w:val="11"/>
              <w:spacing w:before="54" w:line="360" w:lineRule="auto"/>
              <w:jc w:val="both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纹路：保留天然纹路感</w:t>
            </w:r>
          </w:p>
          <w:p w14:paraId="6257376F">
            <w:pPr>
              <w:pStyle w:val="11"/>
              <w:spacing w:before="86" w:line="360" w:lineRule="auto"/>
              <w:jc w:val="both"/>
              <w:rPr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颜色：浅白哑光+浅木色</w:t>
            </w:r>
          </w:p>
        </w:tc>
      </w:tr>
      <w:tr w14:paraId="2AE1A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 w14:paraId="077469F4">
            <w:pPr>
              <w:pStyle w:val="11"/>
              <w:spacing w:before="268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5"/>
                <w:sz w:val="21"/>
                <w:szCs w:val="21"/>
              </w:rPr>
              <w:t>钢制</w:t>
            </w:r>
          </w:p>
        </w:tc>
        <w:tc>
          <w:tcPr>
            <w:tcW w:w="14952" w:type="dxa"/>
            <w:vAlign w:val="center"/>
          </w:tcPr>
          <w:p w14:paraId="35D84613">
            <w:pPr>
              <w:pStyle w:val="11"/>
              <w:spacing w:before="127" w:line="360" w:lineRule="auto"/>
              <w:jc w:val="both"/>
              <w:rPr>
                <w:color w:val="auto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颜色：砂纹白</w:t>
            </w:r>
          </w:p>
        </w:tc>
      </w:tr>
      <w:tr w14:paraId="6C492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 w14:paraId="0C39A573">
            <w:pPr>
              <w:pStyle w:val="11"/>
              <w:spacing w:before="250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椅子、沙发</w:t>
            </w:r>
          </w:p>
        </w:tc>
        <w:tc>
          <w:tcPr>
            <w:tcW w:w="14952" w:type="dxa"/>
            <w:vAlign w:val="center"/>
          </w:tcPr>
          <w:p w14:paraId="2B5A8C36">
            <w:pPr>
              <w:pStyle w:val="11"/>
              <w:spacing w:before="127" w:line="360" w:lineRule="auto"/>
              <w:jc w:val="both"/>
              <w:rPr>
                <w:rFonts w:hint="default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颜色：黑色、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浅木色等（可根据建筑装饰调整）</w:t>
            </w:r>
          </w:p>
        </w:tc>
      </w:tr>
    </w:tbl>
    <w:p w14:paraId="2E090709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3B218805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6444F5D7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6AC1CA9C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2AAB2CB6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6F9C25B0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</w:p>
    <w:p w14:paraId="3D28FA6E">
      <w:pPr>
        <w:spacing w:before="311" w:line="360" w:lineRule="auto"/>
        <w:ind w:firstLine="0" w:firstLineChars="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t>说明：</w:t>
      </w:r>
      <w:r>
        <w:rPr>
          <w:rFonts w:hint="eastAsia" w:ascii="宋体" w:hAnsi="宋体" w:eastAsia="宋体" w:cs="宋体"/>
          <w:color w:val="auto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lang w:eastAsia="zh-CN"/>
        </w:rPr>
        <w:t>家具颜色应与建筑内装饰风格相适应，以单色为主，不宜过于鲜艳，主体颜色投标时暂按以上要求考虑，中标后具体颜色须待采购人明确后方可下单制作。</w:t>
      </w:r>
    </w:p>
    <w:p w14:paraId="44C3F0C7">
      <w:pPr>
        <w:spacing w:line="360" w:lineRule="auto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lang w:eastAsia="zh-CN"/>
        </w:rPr>
        <w:t>请投标人注意，中标后价格不因具体颜色的调整而改变，报价时应综合考虑该因素。</w:t>
      </w:r>
    </w:p>
    <w:p w14:paraId="768ED83B">
      <w:pPr>
        <w:spacing w:line="360" w:lineRule="auto"/>
        <w:rPr>
          <w:rFonts w:ascii="宋体" w:hAnsi="宋体" w:eastAsia="宋体" w:cs="宋体"/>
          <w:color w:val="auto"/>
        </w:rPr>
      </w:pPr>
    </w:p>
    <w:p w14:paraId="13E6B744">
      <w:pPr>
        <w:spacing w:before="130" w:line="360" w:lineRule="auto"/>
        <w:ind w:firstLine="422" w:firstLineChars="200"/>
        <w:rPr>
          <w:rFonts w:ascii="宋体" w:hAnsi="宋体" w:eastAsia="宋体" w:cs="宋体"/>
          <w:b/>
          <w:bCs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、样品要求</w:t>
      </w:r>
    </w:p>
    <w:tbl>
      <w:tblPr>
        <w:tblStyle w:val="12"/>
        <w:tblpPr w:leftFromText="180" w:rightFromText="180" w:vertAnchor="text" w:horzAnchor="page" w:tblpX="1550" w:tblpY="404"/>
        <w:tblOverlap w:val="never"/>
        <w:tblW w:w="186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3"/>
        <w:gridCol w:w="10099"/>
        <w:gridCol w:w="5317"/>
      </w:tblGrid>
      <w:tr w14:paraId="6FB01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23" w:type="dxa"/>
          </w:tcPr>
          <w:p w14:paraId="03FD41CA">
            <w:pPr>
              <w:pStyle w:val="11"/>
              <w:spacing w:before="246" w:line="360" w:lineRule="auto"/>
              <w:ind w:left="1175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0099" w:type="dxa"/>
          </w:tcPr>
          <w:p w14:paraId="45489A14">
            <w:pPr>
              <w:pStyle w:val="11"/>
              <w:spacing w:before="246" w:line="360" w:lineRule="auto"/>
              <w:ind w:left="132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3"/>
                <w:sz w:val="21"/>
                <w:szCs w:val="21"/>
              </w:rPr>
              <w:t>样品要求</w:t>
            </w:r>
          </w:p>
        </w:tc>
        <w:tc>
          <w:tcPr>
            <w:tcW w:w="5317" w:type="dxa"/>
          </w:tcPr>
          <w:p w14:paraId="3579B740">
            <w:pPr>
              <w:pStyle w:val="11"/>
              <w:spacing w:before="244" w:line="360" w:lineRule="auto"/>
              <w:ind w:left="106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</w:rPr>
              <w:t>大小尺寸</w:t>
            </w: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</w:rPr>
              <w:t>单位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mm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</w:tr>
      <w:tr w14:paraId="6F9DF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3" w:hRule="atLeast"/>
        </w:trPr>
        <w:tc>
          <w:tcPr>
            <w:tcW w:w="3223" w:type="dxa"/>
          </w:tcPr>
          <w:p w14:paraId="1CC4E223">
            <w:pPr>
              <w:pStyle w:val="11"/>
              <w:spacing w:before="91" w:line="360" w:lineRule="auto"/>
              <w:ind w:left="1185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0099" w:type="dxa"/>
          </w:tcPr>
          <w:p w14:paraId="4BB61B07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ENF级实木多层板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切角一块 - 参照常用材料要求第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项</w:t>
            </w:r>
          </w:p>
          <w:p w14:paraId="59938F46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刨花板切角一块 - 参照常用材料要求第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项</w:t>
            </w:r>
          </w:p>
          <w:p w14:paraId="479A9ECF">
            <w:pPr>
              <w:pStyle w:val="11"/>
              <w:spacing w:before="118" w:line="240" w:lineRule="auto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浸渍胶膜纸饰面刨花板切角一块 - 参照常用材料要求第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项</w:t>
            </w:r>
          </w:p>
        </w:tc>
        <w:tc>
          <w:tcPr>
            <w:tcW w:w="5317" w:type="dxa"/>
          </w:tcPr>
          <w:p w14:paraId="0419FACC">
            <w:pPr>
              <w:pStyle w:val="11"/>
              <w:spacing w:before="140" w:line="360" w:lineRule="auto"/>
              <w:ind w:left="106"/>
              <w:rPr>
                <w:rFonts w:hint="eastAsia"/>
                <w:color w:val="auto"/>
                <w:spacing w:val="-7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7"/>
                <w:sz w:val="21"/>
                <w:szCs w:val="21"/>
                <w:lang w:val="en-US" w:eastAsia="zh-CN"/>
              </w:rPr>
              <w:t>尺寸：</w:t>
            </w:r>
            <w:r>
              <w:rPr>
                <w:rFonts w:hint="eastAsia"/>
                <w:color w:val="auto"/>
                <w:spacing w:val="-7"/>
                <w:sz w:val="21"/>
                <w:szCs w:val="21"/>
              </w:rPr>
              <w:t>200×20</w:t>
            </w:r>
            <w:r>
              <w:rPr>
                <w:rFonts w:hint="eastAsia"/>
                <w:color w:val="auto"/>
                <w:spacing w:val="-7"/>
                <w:sz w:val="21"/>
                <w:szCs w:val="21"/>
                <w:lang w:eastAsia="zh-CN"/>
              </w:rPr>
              <w:t>0</w:t>
            </w:r>
          </w:p>
          <w:p w14:paraId="220C8F7B">
            <w:pPr>
              <w:pStyle w:val="11"/>
              <w:spacing w:before="140" w:line="360" w:lineRule="auto"/>
              <w:ind w:left="106"/>
              <w:rPr>
                <w:rFonts w:hint="default"/>
                <w:color w:val="auto"/>
                <w:spacing w:val="-7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7"/>
                <w:sz w:val="21"/>
                <w:szCs w:val="21"/>
                <w:lang w:val="en-US" w:eastAsia="zh-CN"/>
              </w:rPr>
              <w:t>各 1 件</w:t>
            </w:r>
          </w:p>
        </w:tc>
      </w:tr>
      <w:tr w14:paraId="3DC8B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3223" w:type="dxa"/>
          </w:tcPr>
          <w:p w14:paraId="05F8C34D">
            <w:pPr>
              <w:pStyle w:val="11"/>
              <w:spacing w:before="260" w:line="360" w:lineRule="auto"/>
              <w:ind w:left="1185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</w:rPr>
              <w:t>五金件</w:t>
            </w:r>
          </w:p>
        </w:tc>
        <w:tc>
          <w:tcPr>
            <w:tcW w:w="10099" w:type="dxa"/>
          </w:tcPr>
          <w:p w14:paraId="5935C987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阻尼铰链 - 参照常用材料要求第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九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项</w:t>
            </w:r>
          </w:p>
          <w:p w14:paraId="5CA66CAF">
            <w:pPr>
              <w:pStyle w:val="11"/>
              <w:spacing w:before="118" w:line="240" w:lineRule="auto"/>
              <w:rPr>
                <w:rFonts w:hint="default"/>
                <w:color w:val="auto"/>
                <w:position w:val="14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三合一连接件 - 参照常用材料要求第十项</w:t>
            </w:r>
          </w:p>
        </w:tc>
        <w:tc>
          <w:tcPr>
            <w:tcW w:w="5317" w:type="dxa"/>
          </w:tcPr>
          <w:p w14:paraId="5F5EFA9C">
            <w:pPr>
              <w:pStyle w:val="11"/>
              <w:spacing w:before="260" w:line="360" w:lineRule="auto"/>
              <w:ind w:left="106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各 1件</w:t>
            </w:r>
          </w:p>
        </w:tc>
      </w:tr>
      <w:tr w14:paraId="2679D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83" w:hRule="atLeast"/>
        </w:trPr>
        <w:tc>
          <w:tcPr>
            <w:tcW w:w="3223" w:type="dxa"/>
          </w:tcPr>
          <w:p w14:paraId="6E02B355">
            <w:pPr>
              <w:pStyle w:val="11"/>
              <w:spacing w:before="260" w:line="360" w:lineRule="auto"/>
              <w:ind w:left="1185"/>
              <w:rPr>
                <w:color w:val="auto"/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lang w:eastAsia="zh-CN"/>
              </w:rPr>
              <w:t>成品</w:t>
            </w:r>
          </w:p>
        </w:tc>
        <w:tc>
          <w:tcPr>
            <w:tcW w:w="10099" w:type="dxa"/>
          </w:tcPr>
          <w:p w14:paraId="1EFD90D9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单人位床-参照采购清单 一、寝室家具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序号1</w:t>
            </w:r>
          </w:p>
          <w:p w14:paraId="35660B15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组合书桌－参照采购清单 一、寝室家具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序号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3</w:t>
            </w:r>
          </w:p>
          <w:p w14:paraId="58E35506">
            <w:pPr>
              <w:pStyle w:val="11"/>
              <w:spacing w:before="118" w:line="240" w:lineRule="auto"/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三门衣橱－参照采购清单 一、寝室家具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序号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4</w:t>
            </w:r>
          </w:p>
          <w:p w14:paraId="70E85313">
            <w:pPr>
              <w:pStyle w:val="11"/>
              <w:spacing w:before="118" w:line="240" w:lineRule="auto"/>
              <w:rPr>
                <w:rFonts w:hint="default"/>
                <w:color w:val="auto"/>
                <w:spacing w:val="4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公寓椅－参照采购清单 一、寝室家具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eastAsia="zh-CN"/>
              </w:rPr>
              <w:t>序号</w:t>
            </w:r>
            <w:r>
              <w:rPr>
                <w:rFonts w:hint="eastAsia"/>
                <w:color w:val="auto"/>
                <w:position w:val="14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317" w:type="dxa"/>
          </w:tcPr>
          <w:p w14:paraId="60C4FF3A">
            <w:pPr>
              <w:pStyle w:val="11"/>
              <w:spacing w:before="260" w:line="360" w:lineRule="auto"/>
              <w:ind w:left="106"/>
              <w:rPr>
                <w:color w:val="auto"/>
                <w:spacing w:val="-13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  <w:lang w:eastAsia="zh-CN"/>
              </w:rPr>
              <w:t>各1件</w:t>
            </w:r>
          </w:p>
        </w:tc>
      </w:tr>
    </w:tbl>
    <w:p w14:paraId="7E148967">
      <w:pPr>
        <w:spacing w:line="360" w:lineRule="auto"/>
        <w:rPr>
          <w:rFonts w:ascii="宋体" w:hAnsi="宋体" w:eastAsia="宋体" w:cs="宋体"/>
          <w:color w:val="auto"/>
          <w:lang w:eastAsia="zh-CN"/>
        </w:rPr>
      </w:pPr>
    </w:p>
    <w:p w14:paraId="71C1BF96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381FD1E0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68F022DC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6958FF4F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42087A27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0F0A8547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4A8A34FE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0097B593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1E76273A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18836D30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149751C9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2993BE25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  <w:bookmarkStart w:id="0" w:name="_GoBack"/>
      <w:bookmarkEnd w:id="0"/>
    </w:p>
    <w:p w14:paraId="3C3F7FEC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</w:p>
    <w:p w14:paraId="4CB93996">
      <w:pPr>
        <w:spacing w:line="360" w:lineRule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t>说明：</w:t>
      </w:r>
    </w:p>
    <w:p w14:paraId="38E4B2D0">
      <w:pPr>
        <w:spacing w:before="1" w:line="360" w:lineRule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lang w:eastAsia="zh-CN"/>
        </w:rPr>
        <w:t>投标人需要按以上要求提交样品，中标样品交由采购人作为履约验收参考，最终产品使用的原辅材料不得低于样品的标准。</w:t>
      </w:r>
    </w:p>
    <w:p w14:paraId="50F92C36">
      <w:pPr>
        <w:spacing w:before="1" w:line="360" w:lineRule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lang w:eastAsia="zh-CN"/>
        </w:rPr>
        <w:t>尺寸和规格可根据情况合理波动。投标人中标后需按照采购需求中要求的规格尺寸生产，不得影响交付正常使用。</w:t>
      </w:r>
    </w:p>
    <w:p w14:paraId="1EA2ECDE">
      <w:pPr>
        <w:spacing w:before="1" w:line="360" w:lineRule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lang w:eastAsia="zh-CN"/>
        </w:rPr>
        <w:t>投标人需在标书中提供样品清单（格式自拟）：列出此次样品涉及的材料品牌、五金配件品牌、型号、制造厂商。</w:t>
      </w:r>
    </w:p>
    <w:p w14:paraId="49A7C633">
      <w:pPr>
        <w:spacing w:before="1" w:line="360" w:lineRule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lang w:eastAsia="zh-CN"/>
        </w:rPr>
        <w:t>、投标实样送达地点：上海市宝山区聚丰园路88号新世纪大学生村，联系人：徐玉明，联系电话：18918279381，样品接受时间：所有实样在投标截止前2天内的每天9点-17点送达并完成现场搭样，逾期不再接受任何实样。实样上应注明投标人的名称。</w:t>
      </w:r>
    </w:p>
    <w:p w14:paraId="671B608B">
      <w:pPr>
        <w:spacing w:line="360" w:lineRule="auto"/>
        <w:rPr>
          <w:rFonts w:ascii="宋体" w:hAnsi="宋体" w:eastAsia="宋体" w:cs="宋体"/>
          <w:color w:val="auto"/>
          <w:lang w:eastAsia="zh-CN"/>
        </w:rPr>
      </w:pPr>
    </w:p>
    <w:p w14:paraId="61DFD24C">
      <w:pPr>
        <w:pStyle w:val="3"/>
        <w:spacing w:before="120" w:line="360" w:lineRule="auto"/>
        <w:ind w:left="160" w:firstLine="406" w:firstLineChars="200"/>
        <w:outlineLvl w:val="6"/>
        <w:rPr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pacing w:val="-4"/>
          <w:sz w:val="21"/>
          <w:szCs w:val="21"/>
          <w:lang w:val="en-US" w:eastAsia="zh-CN"/>
        </w:rPr>
        <w:t>七</w:t>
      </w:r>
      <w:r>
        <w:rPr>
          <w:rFonts w:hint="eastAsia"/>
          <w:b/>
          <w:bCs/>
          <w:color w:val="auto"/>
          <w:spacing w:val="-4"/>
          <w:sz w:val="21"/>
          <w:szCs w:val="21"/>
          <w:lang w:eastAsia="zh-CN"/>
        </w:rPr>
        <w:t>、供货及验收</w:t>
      </w:r>
    </w:p>
    <w:p w14:paraId="1B106728">
      <w:pPr>
        <w:spacing w:line="360" w:lineRule="auto"/>
        <w:rPr>
          <w:rFonts w:ascii="宋体" w:hAnsi="宋体" w:eastAsia="宋体" w:cs="宋体"/>
          <w:color w:val="auto"/>
          <w:lang w:eastAsia="zh-CN"/>
        </w:rPr>
      </w:pPr>
    </w:p>
    <w:tbl>
      <w:tblPr>
        <w:tblStyle w:val="12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67DD5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 w14:paraId="34C777BC">
            <w:pPr>
              <w:pStyle w:val="11"/>
              <w:spacing w:before="190" w:line="360" w:lineRule="auto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分类</w:t>
            </w:r>
          </w:p>
        </w:tc>
        <w:tc>
          <w:tcPr>
            <w:tcW w:w="12007" w:type="dxa"/>
          </w:tcPr>
          <w:p w14:paraId="72AE2170">
            <w:pPr>
              <w:pStyle w:val="11"/>
              <w:spacing w:before="190" w:line="360" w:lineRule="auto"/>
              <w:ind w:left="547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内容</w:t>
            </w:r>
          </w:p>
        </w:tc>
      </w:tr>
      <w:tr w14:paraId="39697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3943" w:type="dxa"/>
          </w:tcPr>
          <w:p w14:paraId="2070D4A3">
            <w:pPr>
              <w:pStyle w:val="11"/>
              <w:spacing w:before="120" w:line="360" w:lineRule="auto"/>
              <w:jc w:val="center"/>
              <w:rPr>
                <w:color w:val="auto"/>
                <w:spacing w:val="4"/>
                <w:sz w:val="21"/>
                <w:szCs w:val="21"/>
              </w:rPr>
            </w:pPr>
          </w:p>
          <w:p w14:paraId="1C84B993">
            <w:pPr>
              <w:pStyle w:val="11"/>
              <w:spacing w:before="120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</w:rPr>
              <w:t>供货要求</w:t>
            </w:r>
          </w:p>
        </w:tc>
        <w:tc>
          <w:tcPr>
            <w:tcW w:w="12007" w:type="dxa"/>
          </w:tcPr>
          <w:p w14:paraId="3B3B118B">
            <w:pPr>
              <w:pStyle w:val="11"/>
              <w:spacing w:before="191" w:line="360" w:lineRule="auto"/>
              <w:ind w:left="152" w:right="180" w:hanging="10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供应商应当在合同签订后</w:t>
            </w: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highlight w:val="none"/>
                <w:u w:val="single"/>
                <w:lang w:val="en-US" w:eastAsia="zh-CN"/>
              </w:rPr>
              <w:t xml:space="preserve">45 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个自然日内供货及安装完毕。供应商</w:t>
            </w:r>
            <w:r>
              <w:rPr>
                <w:rFonts w:hint="eastAsia"/>
                <w:color w:val="auto"/>
                <w:spacing w:val="6"/>
                <w:sz w:val="21"/>
                <w:szCs w:val="21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/>
                <w:color w:val="auto"/>
                <w:spacing w:val="5"/>
                <w:sz w:val="21"/>
                <w:szCs w:val="21"/>
                <w:lang w:eastAsia="zh-CN"/>
              </w:rPr>
              <w:t>量、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颜色、外观等符合采购人要求，不得有损毁或损坏。</w:t>
            </w:r>
          </w:p>
        </w:tc>
      </w:tr>
      <w:tr w14:paraId="01311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1" w:hRule="atLeast"/>
        </w:trPr>
        <w:tc>
          <w:tcPr>
            <w:tcW w:w="3943" w:type="dxa"/>
          </w:tcPr>
          <w:p w14:paraId="58789B5F">
            <w:pPr>
              <w:pStyle w:val="11"/>
              <w:spacing w:before="201" w:line="360" w:lineRule="auto"/>
              <w:ind w:left="1225"/>
              <w:jc w:val="center"/>
              <w:rPr>
                <w:color w:val="auto"/>
                <w:spacing w:val="4"/>
                <w:sz w:val="21"/>
                <w:szCs w:val="21"/>
                <w:lang w:eastAsia="zh-CN"/>
              </w:rPr>
            </w:pPr>
          </w:p>
          <w:p w14:paraId="7CD18166">
            <w:pPr>
              <w:pStyle w:val="11"/>
              <w:spacing w:before="201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</w:rPr>
              <w:t>包装要求</w:t>
            </w:r>
          </w:p>
        </w:tc>
        <w:tc>
          <w:tcPr>
            <w:tcW w:w="12007" w:type="dxa"/>
          </w:tcPr>
          <w:p w14:paraId="08BA5BB5">
            <w:pPr>
              <w:pStyle w:val="11"/>
              <w:spacing w:before="191" w:line="360" w:lineRule="auto"/>
              <w:ind w:left="152" w:right="180" w:hanging="10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采购中如涉及商品包装和快递包装的，其包装需求标准应不低于《关于印发〈商品包装政府采购需求标准（试行）〉〈快递包装政府采购需求标准（试行）〉的通知》（财办库〔2020〕123号）规定的包装要求。采购人、供应商双方签订合同及验收环节，应包含上述包装要求的条款。</w:t>
            </w:r>
          </w:p>
        </w:tc>
      </w:tr>
      <w:tr w14:paraId="79669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78254C39">
            <w:pPr>
              <w:pStyle w:val="11"/>
              <w:spacing w:before="185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</w:rPr>
              <w:t>验收要求</w:t>
            </w:r>
          </w:p>
        </w:tc>
        <w:tc>
          <w:tcPr>
            <w:tcW w:w="12007" w:type="dxa"/>
          </w:tcPr>
          <w:p w14:paraId="678CF9A0"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寝室和其他家具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安装、调试后，由供、需双方按照合同约定对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家具进行验收。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验收包括清点型号、数量、检查外观等，供应商应当提供家具清单（各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类家具分项开立并标注详细数量）、原产地证明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、具出厂日期证明、家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具环保证明等文件。</w:t>
            </w:r>
          </w:p>
        </w:tc>
      </w:tr>
      <w:tr w14:paraId="1CA0F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6AC1F090">
            <w:pPr>
              <w:pStyle w:val="11"/>
              <w:spacing w:before="185" w:line="360" w:lineRule="auto"/>
              <w:jc w:val="center"/>
              <w:rPr>
                <w:color w:val="auto"/>
                <w:spacing w:val="4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</w:rPr>
              <w:t>检测要求</w:t>
            </w:r>
          </w:p>
        </w:tc>
        <w:tc>
          <w:tcPr>
            <w:tcW w:w="12007" w:type="dxa"/>
          </w:tcPr>
          <w:p w14:paraId="2E6CBEA8"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正式验收前，采购人将委托第三方机构对家具进行质量和环保相关检测，检验不合格不予验收。</w:t>
            </w:r>
          </w:p>
        </w:tc>
      </w:tr>
    </w:tbl>
    <w:p w14:paraId="510D75AF">
      <w:pPr>
        <w:spacing w:line="360" w:lineRule="auto"/>
        <w:rPr>
          <w:rFonts w:ascii="宋体" w:hAnsi="宋体" w:eastAsia="宋体" w:cs="宋体"/>
          <w:color w:val="auto"/>
          <w:lang w:eastAsia="zh-CN"/>
        </w:rPr>
      </w:pPr>
    </w:p>
    <w:p w14:paraId="500B51EA">
      <w:pPr>
        <w:pStyle w:val="3"/>
        <w:spacing w:before="120" w:line="360" w:lineRule="auto"/>
        <w:ind w:left="150" w:firstLine="410" w:firstLineChars="200"/>
        <w:rPr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pacing w:val="-3"/>
          <w:sz w:val="21"/>
          <w:szCs w:val="21"/>
          <w:lang w:val="en-US" w:eastAsia="zh-CN"/>
        </w:rPr>
        <w:t>八</w:t>
      </w:r>
      <w:r>
        <w:rPr>
          <w:rFonts w:hint="eastAsia"/>
          <w:b/>
          <w:bCs/>
          <w:color w:val="auto"/>
          <w:spacing w:val="-3"/>
          <w:sz w:val="21"/>
          <w:szCs w:val="21"/>
          <w:lang w:eastAsia="zh-CN"/>
        </w:rPr>
        <w:t>、服务要求</w:t>
      </w:r>
    </w:p>
    <w:p w14:paraId="4F7AE028">
      <w:pPr>
        <w:spacing w:line="360" w:lineRule="auto"/>
        <w:rPr>
          <w:rFonts w:ascii="宋体" w:hAnsi="宋体" w:eastAsia="宋体" w:cs="宋体"/>
          <w:color w:val="auto"/>
          <w:lang w:eastAsia="zh-CN"/>
        </w:rPr>
      </w:pPr>
    </w:p>
    <w:tbl>
      <w:tblPr>
        <w:tblStyle w:val="12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042D6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 w14:paraId="4F8C25C3">
            <w:pPr>
              <w:pStyle w:val="11"/>
              <w:spacing w:before="180" w:line="360" w:lineRule="auto"/>
              <w:jc w:val="center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10"/>
                <w:sz w:val="21"/>
                <w:szCs w:val="21"/>
              </w:rPr>
              <w:t>分类</w:t>
            </w:r>
          </w:p>
        </w:tc>
        <w:tc>
          <w:tcPr>
            <w:tcW w:w="12007" w:type="dxa"/>
          </w:tcPr>
          <w:p w14:paraId="4D5C0AC8">
            <w:pPr>
              <w:pStyle w:val="11"/>
              <w:spacing w:before="180" w:line="360" w:lineRule="auto"/>
              <w:ind w:left="5431"/>
              <w:rPr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-29"/>
                <w:sz w:val="21"/>
                <w:szCs w:val="21"/>
              </w:rPr>
              <w:t>内容</w:t>
            </w:r>
          </w:p>
        </w:tc>
      </w:tr>
      <w:tr w14:paraId="23AD8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3943" w:type="dxa"/>
            <w:vAlign w:val="center"/>
          </w:tcPr>
          <w:p w14:paraId="286ABD50">
            <w:pPr>
              <w:pStyle w:val="11"/>
              <w:spacing w:before="182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保修服务</w:t>
            </w:r>
          </w:p>
        </w:tc>
        <w:tc>
          <w:tcPr>
            <w:tcW w:w="12007" w:type="dxa"/>
          </w:tcPr>
          <w:p w14:paraId="5DE6A121">
            <w:pPr>
              <w:spacing w:before="182" w:line="360" w:lineRule="auto"/>
              <w:ind w:left="152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供应商提供的售后服务应符合GB/T37652-2019《家具售后服务要求》。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免费保修期应当至少不低于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10 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年。免费保修期内，除采购人因非正 常使用造成家具损坏外，损坏维修以及所涉及的零部件更换，应当由供应商免费提供，供应商应当承诺每年对所供家具进行巡检。免费保修期满后，供应商保证以优惠价格提供家具所需零配件和维修服务。</w:t>
            </w:r>
          </w:p>
        </w:tc>
      </w:tr>
      <w:tr w14:paraId="15AF2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2FFD300F">
            <w:pPr>
              <w:pStyle w:val="11"/>
              <w:spacing w:before="203"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7"/>
                <w:sz w:val="21"/>
                <w:szCs w:val="21"/>
              </w:rPr>
              <w:t>应急能力</w:t>
            </w:r>
          </w:p>
        </w:tc>
        <w:tc>
          <w:tcPr>
            <w:tcW w:w="12007" w:type="dxa"/>
            <w:vAlign w:val="center"/>
          </w:tcPr>
          <w:p w14:paraId="657ED2F9"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  <w:tr w14:paraId="68FEB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11430047">
            <w:pPr>
              <w:pStyle w:val="11"/>
              <w:spacing w:before="203" w:line="360" w:lineRule="auto"/>
              <w:jc w:val="center"/>
              <w:rPr>
                <w:rFonts w:hint="eastAsia"/>
                <w:color w:val="auto"/>
                <w:spacing w:val="7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项目团队</w:t>
            </w:r>
          </w:p>
        </w:tc>
        <w:tc>
          <w:tcPr>
            <w:tcW w:w="12007" w:type="dxa"/>
            <w:vAlign w:val="center"/>
          </w:tcPr>
          <w:p w14:paraId="1E55CDF8">
            <w:pPr>
              <w:spacing w:line="360" w:lineRule="auto"/>
              <w:rPr>
                <w:rFonts w:hint="eastAsia" w:ascii="宋体" w:hAnsi="宋体" w:eastAsia="宋体" w:cs="宋体"/>
                <w:color w:val="auto"/>
                <w:lang w:eastAsia="zh-CN"/>
              </w:rPr>
            </w:pPr>
          </w:p>
          <w:p w14:paraId="3B8C38E4">
            <w:pPr>
              <w:spacing w:line="360" w:lineRule="auto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供应商提供项目技术团队及其能力说明，提供人员清单、履历、专业技术能力等资料。</w:t>
            </w:r>
          </w:p>
          <w:p w14:paraId="0D975778">
            <w:pPr>
              <w:pStyle w:val="11"/>
              <w:spacing w:before="182" w:line="360" w:lineRule="auto"/>
              <w:ind w:left="152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</w:p>
        </w:tc>
      </w:tr>
    </w:tbl>
    <w:p w14:paraId="76DAE4BF">
      <w:pPr>
        <w:pStyle w:val="3"/>
        <w:spacing w:before="44" w:line="360" w:lineRule="auto"/>
        <w:jc w:val="both"/>
        <w:rPr>
          <w:b/>
          <w:bCs/>
          <w:color w:val="auto"/>
          <w:sz w:val="21"/>
          <w:szCs w:val="21"/>
          <w:lang w:eastAsia="zh-CN"/>
        </w:rPr>
      </w:pPr>
    </w:p>
    <w:p w14:paraId="5594AB64">
      <w:pPr>
        <w:pStyle w:val="3"/>
        <w:spacing w:before="44" w:line="360" w:lineRule="auto"/>
        <w:jc w:val="both"/>
        <w:rPr>
          <w:b/>
          <w:bCs/>
          <w:color w:val="auto"/>
          <w:sz w:val="21"/>
          <w:szCs w:val="21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moder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76451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mMWI4ZjhmZjFiNjc2NmJkZTZiMDJkYjZjZGE3YWQifQ=="/>
  </w:docVars>
  <w:rsids>
    <w:rsidRoot w:val="F32BEA20"/>
    <w:rsid w:val="000B7219"/>
    <w:rsid w:val="000E7E1A"/>
    <w:rsid w:val="001C66E0"/>
    <w:rsid w:val="00303362"/>
    <w:rsid w:val="00370CD3"/>
    <w:rsid w:val="00373E3B"/>
    <w:rsid w:val="003B70E8"/>
    <w:rsid w:val="00477ADE"/>
    <w:rsid w:val="00491D0C"/>
    <w:rsid w:val="004A65F7"/>
    <w:rsid w:val="004B24BC"/>
    <w:rsid w:val="004D58DF"/>
    <w:rsid w:val="004E2372"/>
    <w:rsid w:val="004E3009"/>
    <w:rsid w:val="00502A07"/>
    <w:rsid w:val="00541D04"/>
    <w:rsid w:val="005827BC"/>
    <w:rsid w:val="00614F90"/>
    <w:rsid w:val="00633781"/>
    <w:rsid w:val="006A5F7B"/>
    <w:rsid w:val="006F31B1"/>
    <w:rsid w:val="006F51A9"/>
    <w:rsid w:val="007217F7"/>
    <w:rsid w:val="007368BA"/>
    <w:rsid w:val="008F78A6"/>
    <w:rsid w:val="00931AA9"/>
    <w:rsid w:val="00A22C06"/>
    <w:rsid w:val="00A50927"/>
    <w:rsid w:val="00A5171D"/>
    <w:rsid w:val="00A87052"/>
    <w:rsid w:val="00AB0786"/>
    <w:rsid w:val="00B01454"/>
    <w:rsid w:val="00BD5D1A"/>
    <w:rsid w:val="00BF21A4"/>
    <w:rsid w:val="00C16242"/>
    <w:rsid w:val="00C17B63"/>
    <w:rsid w:val="00C316D2"/>
    <w:rsid w:val="00C451DB"/>
    <w:rsid w:val="00CE02A4"/>
    <w:rsid w:val="00DC60BB"/>
    <w:rsid w:val="00DE3995"/>
    <w:rsid w:val="00E52E48"/>
    <w:rsid w:val="00E6065C"/>
    <w:rsid w:val="00EE0FE9"/>
    <w:rsid w:val="00FC4822"/>
    <w:rsid w:val="00FC4D10"/>
    <w:rsid w:val="00FD664B"/>
    <w:rsid w:val="01EC72D6"/>
    <w:rsid w:val="01EE19B6"/>
    <w:rsid w:val="02D2752A"/>
    <w:rsid w:val="02D54924"/>
    <w:rsid w:val="032155E5"/>
    <w:rsid w:val="03E122AE"/>
    <w:rsid w:val="048B7990"/>
    <w:rsid w:val="04B8274F"/>
    <w:rsid w:val="054F6C10"/>
    <w:rsid w:val="05F257ED"/>
    <w:rsid w:val="06F537E7"/>
    <w:rsid w:val="07830DF3"/>
    <w:rsid w:val="08962CD9"/>
    <w:rsid w:val="089B79AC"/>
    <w:rsid w:val="089E411A"/>
    <w:rsid w:val="0A496C6B"/>
    <w:rsid w:val="0A65393A"/>
    <w:rsid w:val="0B7207C3"/>
    <w:rsid w:val="0BFA514F"/>
    <w:rsid w:val="0C1A5107"/>
    <w:rsid w:val="0CEB57EE"/>
    <w:rsid w:val="0D7F205C"/>
    <w:rsid w:val="0DBE3A75"/>
    <w:rsid w:val="0ED56EC0"/>
    <w:rsid w:val="0F20786F"/>
    <w:rsid w:val="0F3D5D2B"/>
    <w:rsid w:val="0F69040E"/>
    <w:rsid w:val="0FE02B63"/>
    <w:rsid w:val="10AE2B97"/>
    <w:rsid w:val="10B6036E"/>
    <w:rsid w:val="11203B56"/>
    <w:rsid w:val="114D15D1"/>
    <w:rsid w:val="12DD1C1A"/>
    <w:rsid w:val="139879D4"/>
    <w:rsid w:val="13D03611"/>
    <w:rsid w:val="14045069"/>
    <w:rsid w:val="149503B7"/>
    <w:rsid w:val="14A32AD4"/>
    <w:rsid w:val="154222ED"/>
    <w:rsid w:val="154B68C4"/>
    <w:rsid w:val="17075941"/>
    <w:rsid w:val="175207E1"/>
    <w:rsid w:val="17591B70"/>
    <w:rsid w:val="17C97A85"/>
    <w:rsid w:val="18491BE4"/>
    <w:rsid w:val="18512847"/>
    <w:rsid w:val="188624F1"/>
    <w:rsid w:val="19A05834"/>
    <w:rsid w:val="19CF1C75"/>
    <w:rsid w:val="19F31523"/>
    <w:rsid w:val="1A864A2A"/>
    <w:rsid w:val="1AB76023"/>
    <w:rsid w:val="1B1F2752"/>
    <w:rsid w:val="1BB03EA9"/>
    <w:rsid w:val="1BC03F6C"/>
    <w:rsid w:val="1C7F2B15"/>
    <w:rsid w:val="1D0A3F3C"/>
    <w:rsid w:val="1D5232E9"/>
    <w:rsid w:val="1EF65EF6"/>
    <w:rsid w:val="1EFF8184"/>
    <w:rsid w:val="1F1825EA"/>
    <w:rsid w:val="1FAC3873"/>
    <w:rsid w:val="1FD06747"/>
    <w:rsid w:val="1FEC17D3"/>
    <w:rsid w:val="202D5948"/>
    <w:rsid w:val="20A7394C"/>
    <w:rsid w:val="21FE6183"/>
    <w:rsid w:val="24763D61"/>
    <w:rsid w:val="24C34ACD"/>
    <w:rsid w:val="25B03AC5"/>
    <w:rsid w:val="2604539D"/>
    <w:rsid w:val="275842EA"/>
    <w:rsid w:val="28341AF8"/>
    <w:rsid w:val="289C366A"/>
    <w:rsid w:val="296F3171"/>
    <w:rsid w:val="2A2D414C"/>
    <w:rsid w:val="2A357C69"/>
    <w:rsid w:val="2A922F77"/>
    <w:rsid w:val="2AF27C5D"/>
    <w:rsid w:val="2AF95CDD"/>
    <w:rsid w:val="2C210C11"/>
    <w:rsid w:val="2D1E0AF2"/>
    <w:rsid w:val="2EBC4A66"/>
    <w:rsid w:val="2EE2000F"/>
    <w:rsid w:val="2FD951A4"/>
    <w:rsid w:val="30242699"/>
    <w:rsid w:val="3299588B"/>
    <w:rsid w:val="32B77117"/>
    <w:rsid w:val="34D643A8"/>
    <w:rsid w:val="34D83C7C"/>
    <w:rsid w:val="35002E80"/>
    <w:rsid w:val="37160228"/>
    <w:rsid w:val="37C46987"/>
    <w:rsid w:val="37E053DB"/>
    <w:rsid w:val="388157A3"/>
    <w:rsid w:val="3B4417B9"/>
    <w:rsid w:val="3B9F11A4"/>
    <w:rsid w:val="3BF21AC7"/>
    <w:rsid w:val="3BF5780A"/>
    <w:rsid w:val="3CAF4E60"/>
    <w:rsid w:val="3D5CBD80"/>
    <w:rsid w:val="3DB12122"/>
    <w:rsid w:val="3EBE219D"/>
    <w:rsid w:val="3ED60DA6"/>
    <w:rsid w:val="3F5AB3C8"/>
    <w:rsid w:val="3F5D7BA0"/>
    <w:rsid w:val="3F9846F3"/>
    <w:rsid w:val="3FA96B6D"/>
    <w:rsid w:val="3FDE82F7"/>
    <w:rsid w:val="3FE21E53"/>
    <w:rsid w:val="3FEBE777"/>
    <w:rsid w:val="41547434"/>
    <w:rsid w:val="415723CD"/>
    <w:rsid w:val="424D3EFC"/>
    <w:rsid w:val="436C43ED"/>
    <w:rsid w:val="44020D16"/>
    <w:rsid w:val="44184095"/>
    <w:rsid w:val="452712E0"/>
    <w:rsid w:val="4545333A"/>
    <w:rsid w:val="46F661E4"/>
    <w:rsid w:val="471617C4"/>
    <w:rsid w:val="47FFDCAD"/>
    <w:rsid w:val="488F6B6B"/>
    <w:rsid w:val="49753D38"/>
    <w:rsid w:val="49B93C25"/>
    <w:rsid w:val="4A6A1E1D"/>
    <w:rsid w:val="4ACF8BDF"/>
    <w:rsid w:val="4ADD6B6A"/>
    <w:rsid w:val="4B9D2BAA"/>
    <w:rsid w:val="4C455C43"/>
    <w:rsid w:val="4C904D8E"/>
    <w:rsid w:val="4DBF6B3F"/>
    <w:rsid w:val="4DD71DB8"/>
    <w:rsid w:val="4DDE1EAC"/>
    <w:rsid w:val="4E267AA4"/>
    <w:rsid w:val="4EF61F46"/>
    <w:rsid w:val="4F05790C"/>
    <w:rsid w:val="4F7BBD28"/>
    <w:rsid w:val="4FBF10D1"/>
    <w:rsid w:val="50011267"/>
    <w:rsid w:val="501C6CBB"/>
    <w:rsid w:val="51556929"/>
    <w:rsid w:val="52304CA0"/>
    <w:rsid w:val="52EF7834"/>
    <w:rsid w:val="54981E66"/>
    <w:rsid w:val="55833339"/>
    <w:rsid w:val="55FC58A6"/>
    <w:rsid w:val="562E7798"/>
    <w:rsid w:val="56E36785"/>
    <w:rsid w:val="57266671"/>
    <w:rsid w:val="57BF3926"/>
    <w:rsid w:val="57CC4F2E"/>
    <w:rsid w:val="57E97DCB"/>
    <w:rsid w:val="58813F12"/>
    <w:rsid w:val="58FF201C"/>
    <w:rsid w:val="59C75EEA"/>
    <w:rsid w:val="59FF9E14"/>
    <w:rsid w:val="5B55BA3E"/>
    <w:rsid w:val="5BFF5FD2"/>
    <w:rsid w:val="5C396427"/>
    <w:rsid w:val="5C3A3EBB"/>
    <w:rsid w:val="5CB82A1B"/>
    <w:rsid w:val="5CEBF368"/>
    <w:rsid w:val="5DBF5DC0"/>
    <w:rsid w:val="5DC84051"/>
    <w:rsid w:val="5DEF1908"/>
    <w:rsid w:val="5F7D427D"/>
    <w:rsid w:val="5F9A7BFD"/>
    <w:rsid w:val="5FBA3DFB"/>
    <w:rsid w:val="5FCB6008"/>
    <w:rsid w:val="5FD3CA50"/>
    <w:rsid w:val="5FFF8E82"/>
    <w:rsid w:val="6029230F"/>
    <w:rsid w:val="60E326C3"/>
    <w:rsid w:val="617E16D9"/>
    <w:rsid w:val="61970898"/>
    <w:rsid w:val="62D13935"/>
    <w:rsid w:val="63C00461"/>
    <w:rsid w:val="63E15B05"/>
    <w:rsid w:val="642D7FAE"/>
    <w:rsid w:val="65332685"/>
    <w:rsid w:val="65F00576"/>
    <w:rsid w:val="65F07DFC"/>
    <w:rsid w:val="661A0A16"/>
    <w:rsid w:val="66C03014"/>
    <w:rsid w:val="67801DCE"/>
    <w:rsid w:val="67B1679C"/>
    <w:rsid w:val="685A3F49"/>
    <w:rsid w:val="692F585A"/>
    <w:rsid w:val="69A55B1C"/>
    <w:rsid w:val="69C04704"/>
    <w:rsid w:val="6A2E5B11"/>
    <w:rsid w:val="6A6257BB"/>
    <w:rsid w:val="6A9C6F1F"/>
    <w:rsid w:val="6B321631"/>
    <w:rsid w:val="6B4A672F"/>
    <w:rsid w:val="6BFC241F"/>
    <w:rsid w:val="6D295E5F"/>
    <w:rsid w:val="6E4BC4BD"/>
    <w:rsid w:val="6F4656AB"/>
    <w:rsid w:val="6FBC4E2F"/>
    <w:rsid w:val="703F45D4"/>
    <w:rsid w:val="70E175CD"/>
    <w:rsid w:val="70E231B1"/>
    <w:rsid w:val="719C6181"/>
    <w:rsid w:val="721B2E1F"/>
    <w:rsid w:val="72870097"/>
    <w:rsid w:val="730F0E54"/>
    <w:rsid w:val="738A46D6"/>
    <w:rsid w:val="73CB617F"/>
    <w:rsid w:val="743B3304"/>
    <w:rsid w:val="74FB35F0"/>
    <w:rsid w:val="75475175"/>
    <w:rsid w:val="75682090"/>
    <w:rsid w:val="75FBCD7E"/>
    <w:rsid w:val="762027B2"/>
    <w:rsid w:val="76203194"/>
    <w:rsid w:val="765B7D5B"/>
    <w:rsid w:val="76F87F1C"/>
    <w:rsid w:val="770F2826"/>
    <w:rsid w:val="772B3B04"/>
    <w:rsid w:val="77471FC0"/>
    <w:rsid w:val="777FCD40"/>
    <w:rsid w:val="77B74889"/>
    <w:rsid w:val="77FE8DD7"/>
    <w:rsid w:val="797FA1C8"/>
    <w:rsid w:val="79840163"/>
    <w:rsid w:val="7A1EF845"/>
    <w:rsid w:val="7A786BEB"/>
    <w:rsid w:val="7B8E6410"/>
    <w:rsid w:val="7BD15B74"/>
    <w:rsid w:val="7BF02C26"/>
    <w:rsid w:val="7C35AD77"/>
    <w:rsid w:val="7C9C5B48"/>
    <w:rsid w:val="7CED0356"/>
    <w:rsid w:val="7DEB81F6"/>
    <w:rsid w:val="7DFF6E60"/>
    <w:rsid w:val="7E096221"/>
    <w:rsid w:val="7E651F84"/>
    <w:rsid w:val="7E7C4598"/>
    <w:rsid w:val="7EDAB6D1"/>
    <w:rsid w:val="7EFC62A2"/>
    <w:rsid w:val="7F533BF8"/>
    <w:rsid w:val="7F6A4692"/>
    <w:rsid w:val="7F762CDF"/>
    <w:rsid w:val="7F7B1F12"/>
    <w:rsid w:val="7FFE675D"/>
    <w:rsid w:val="99FF1764"/>
    <w:rsid w:val="B6FD9580"/>
    <w:rsid w:val="BBFB8DC5"/>
    <w:rsid w:val="BFCA52C9"/>
    <w:rsid w:val="BFEEBC32"/>
    <w:rsid w:val="BFF6FB84"/>
    <w:rsid w:val="CBEF25B4"/>
    <w:rsid w:val="D75D7127"/>
    <w:rsid w:val="D7DF423C"/>
    <w:rsid w:val="D9BF9575"/>
    <w:rsid w:val="DCFF6989"/>
    <w:rsid w:val="DEFFB634"/>
    <w:rsid w:val="DFCDF6B7"/>
    <w:rsid w:val="DFFDAC87"/>
    <w:rsid w:val="E3E7D210"/>
    <w:rsid w:val="E5F57EB6"/>
    <w:rsid w:val="E5FB5E7F"/>
    <w:rsid w:val="E6E78B4F"/>
    <w:rsid w:val="E7EF1F2D"/>
    <w:rsid w:val="E9BF572B"/>
    <w:rsid w:val="ED3DD135"/>
    <w:rsid w:val="EFF210A5"/>
    <w:rsid w:val="F32BEA20"/>
    <w:rsid w:val="F4DB9A57"/>
    <w:rsid w:val="F77B24EB"/>
    <w:rsid w:val="F77FDFD2"/>
    <w:rsid w:val="F79F4D83"/>
    <w:rsid w:val="F7BF3339"/>
    <w:rsid w:val="F7FFACF7"/>
    <w:rsid w:val="F9DF9DB7"/>
    <w:rsid w:val="F9E7476A"/>
    <w:rsid w:val="FB8F55DC"/>
    <w:rsid w:val="FBCF7ABF"/>
    <w:rsid w:val="FC6A8C7F"/>
    <w:rsid w:val="FCF7F34B"/>
    <w:rsid w:val="FE3F271B"/>
    <w:rsid w:val="FE60D4C9"/>
    <w:rsid w:val="FEBFC356"/>
    <w:rsid w:val="FF3F929E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4">
    <w:name w:val="index 4"/>
    <w:basedOn w:val="1"/>
    <w:next w:val="1"/>
    <w:autoRedefine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页眉 Char"/>
    <w:basedOn w:val="9"/>
    <w:link w:val="7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5">
    <w:name w:val="页脚 Char"/>
    <w:basedOn w:val="9"/>
    <w:link w:val="6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批注框文本 Char"/>
    <w:basedOn w:val="9"/>
    <w:link w:val="5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8">
    <w:name w:val="font31"/>
    <w:basedOn w:val="9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paragraph" w:styleId="19">
    <w:name w:val="List Paragraph"/>
    <w:basedOn w:val="1"/>
    <w:autoRedefine/>
    <w:qFormat/>
    <w:uiPriority w:val="0"/>
    <w:pPr>
      <w:spacing w:line="360" w:lineRule="auto"/>
    </w:pPr>
    <w:rPr>
      <w:rFonts w:ascii="宋体" w:hAnsi="宋体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20">
    <w:name w:val="font2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aa56c3a2-fea0-4981-bb76-f113a0c6cbc7</errorID>
      <errorWord xmlns="http://schemas.wps.cn/vas-ai-hub/contract-review">无噪音</errorWord>
      <group xmlns="http://schemas.wps.cn/vas-ai-hub/contract-review">L1_Word</group>
      <groupName xmlns="http://schemas.wps.cn/vas-ai-hub/contract-review">字词问题</groupName>
      <ability xmlns="http://schemas.wps.cn/vas-ai-hub/contract-review">L2_Alias</ability>
      <abilityName xmlns="http://schemas.wps.cn/vas-ai-hub/contract-review">也作/曾用词</abilityName>
      <candidateList xmlns="http://schemas.wps.cn/vas-ai-hub/contract-review">
        <item xmlns="http://schemas.wps.cn/vas-ai-hub/contract-review">无噪声</item>
      </candidateList>
      <explain xmlns="http://schemas.wps.cn/vas-ai-hub/contract-review">词汇[无噪音]为不规范表述或旧称，其规范书面表述为[无噪声]。</explain>
      <paraID xmlns="http://schemas.wps.cn/vas-ai-hub/contract-review">45A60122</paraID>
      <start xmlns="http://schemas.wps.cn/vas-ai-hub/contract-review">19</start>
      <end xmlns="http://schemas.wps.cn/vas-ai-hub/contract-review">22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f882ca31-75d6-4f5c-ae6c-d623c8fe45b2</errorID>
      <errorWord xmlns="http://schemas.wps.cn/vas-ai-hub/contract-review">木质家具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木制家具</item>
      </candidateList>
      <explain xmlns="http://schemas.wps.cn/vas-ai-hub/contract-review"/>
      <paraID xmlns="http://schemas.wps.cn/vas-ai-hub/contract-review">6AF585D2</paraID>
      <start xmlns="http://schemas.wps.cn/vas-ai-hub/contract-review">22</start>
      <end xmlns="http://schemas.wps.cn/vas-ai-hub/contract-review">26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b2d88c51-a8e7-4ff2-945e-098576bf42e1</errorID>
      <errorWord xmlns="http://schemas.wps.cn/vas-ai-hub/contract-review">木制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木质</item>
      </candidateList>
      <explain xmlns="http://schemas.wps.cn/vas-ai-hub/contract-review">存在发音相同字词的误用。</explain>
      <paraID xmlns="http://schemas.wps.cn/vas-ai-hub/contract-review">6B1791A1</paraID>
      <start xmlns="http://schemas.wps.cn/vas-ai-hub/contract-review">0</start>
      <end xmlns="http://schemas.wps.cn/vas-ai-hub/contract-review">2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8390bf15-e30f-47b0-8088-ec37de99143a</errorID>
      <errorWord xmlns="http://schemas.wps.cn/vas-ai-hub/contract-review">木制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木质</item>
      </candidateList>
      <explain xmlns="http://schemas.wps.cn/vas-ai-hub/contract-review">存在发音相同字词的误用。</explain>
      <paraID xmlns="http://schemas.wps.cn/vas-ai-hub/contract-review">46D6AB05</paraID>
      <start xmlns="http://schemas.wps.cn/vas-ai-hub/contract-review">0</start>
      <end xmlns="http://schemas.wps.cn/vas-ai-hub/contract-review">2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61e63b42-facf-432e-bf09-7b41e714e5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4053</Words>
  <Characters>4906</Characters>
  <Lines>15</Lines>
  <Paragraphs>11</Paragraphs>
  <TotalTime>106</TotalTime>
  <ScaleCrop>false</ScaleCrop>
  <LinksUpToDate>false</LinksUpToDate>
  <CharactersWithSpaces>4993</CharactersWithSpaces>
  <Application>WPS Office_12.8.2.18605_F1E327BC-269C-435d-A152-05C5408002CA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2024-04-23T09:59:00Z</dcterms:created>
  <dc:creator>Cindy</dc:creator>
  <cp:lastModifiedBy>王国林</cp:lastModifiedBy>
  <dcterms:modified xsi:type="dcterms:W3CDTF">2026-01-20T10:33:18Z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2052-12.8.2.18605</vt:lpwstr>
  </property>
  <property fmtid="{D5CDD505-2E9C-101B-9397-08002B2CF9AE}" pid="3" name="ICV">
    <vt:lpwstr>0E06CB22B00540068B093161D2BD06F9_13</vt:lpwstr>
  </property>
  <property fmtid="{D5CDD505-2E9C-101B-9397-08002B2CF9AE}" pid="4" name="KSOTemplateDocerSaveRecord">
    <vt:lpwstr>eyJoZGlkIjoiYWNhOWIzNjM1Yjg3Y2MxMTViNmNhZWYwOWU0NmRhN2QiLCJ1c2VySWQiOiIxNDM0Mjc4MTAwIn0=</vt:lpwstr>
  </property>
</Properties>
</file>