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2C7585">
      <w:pPr>
        <w:pStyle w:val="2"/>
        <w:spacing w:line="360" w:lineRule="auto"/>
        <w:rPr>
          <w:rFonts w:hint="eastAsia" w:asciiTheme="minorEastAsia" w:hAnsiTheme="minorEastAsia" w:eastAsiaTheme="minorEastAsia"/>
        </w:rPr>
      </w:pPr>
      <w:r>
        <w:rPr>
          <w:rFonts w:hint="eastAsia" w:asciiTheme="minorEastAsia" w:hAnsiTheme="minorEastAsia" w:eastAsiaTheme="minorEastAsia"/>
        </w:rPr>
        <w:t>项目名称：上海市口腔医院</w:t>
      </w:r>
      <w:r>
        <w:rPr>
          <w:rFonts w:hint="eastAsia" w:asciiTheme="minorEastAsia" w:hAnsiTheme="minorEastAsia" w:eastAsiaTheme="minorEastAsia"/>
          <w:lang w:val="en-US" w:eastAsia="zh-CN"/>
        </w:rPr>
        <w:t>互联互通信息</w:t>
      </w:r>
      <w:r>
        <w:rPr>
          <w:rFonts w:hint="eastAsia" w:asciiTheme="minorEastAsia" w:hAnsiTheme="minorEastAsia" w:eastAsiaTheme="minorEastAsia"/>
        </w:rPr>
        <w:t>建设项目</w:t>
      </w:r>
    </w:p>
    <w:p w14:paraId="1B19562C">
      <w:pPr>
        <w:pStyle w:val="29"/>
        <w:spacing w:line="360" w:lineRule="auto"/>
        <w:ind w:left="420" w:firstLine="0" w:firstLineChars="0"/>
        <w:rPr>
          <w:rFonts w:asciiTheme="minorEastAsia" w:hAnsiTheme="minorEastAsia" w:eastAsiaTheme="minorEastAsia"/>
          <w:sz w:val="24"/>
          <w:szCs w:val="24"/>
        </w:rPr>
      </w:pPr>
    </w:p>
    <w:p w14:paraId="7BDB6333">
      <w:pPr>
        <w:pStyle w:val="2"/>
        <w:spacing w:line="360" w:lineRule="auto"/>
        <w:rPr>
          <w:rFonts w:asciiTheme="minorEastAsia" w:hAnsiTheme="minorEastAsia" w:eastAsiaTheme="minorEastAsia"/>
        </w:rPr>
      </w:pPr>
      <w:r>
        <w:rPr>
          <w:rFonts w:hint="eastAsia" w:asciiTheme="minorEastAsia" w:hAnsiTheme="minorEastAsia" w:eastAsiaTheme="minorEastAsia"/>
          <w:lang w:val="en-US" w:eastAsia="zh-CN"/>
        </w:rPr>
        <w:t>一</w:t>
      </w:r>
      <w:r>
        <w:rPr>
          <w:rFonts w:hint="eastAsia" w:asciiTheme="minorEastAsia" w:hAnsiTheme="minorEastAsia" w:eastAsiaTheme="minorEastAsia"/>
        </w:rPr>
        <w:t>、招标要求</w:t>
      </w:r>
    </w:p>
    <w:p w14:paraId="3E2A7C07">
      <w:pPr>
        <w:pStyle w:val="3"/>
        <w:numPr>
          <w:ilvl w:val="0"/>
          <w:numId w:val="1"/>
        </w:numPr>
        <w:spacing w:line="360" w:lineRule="auto"/>
        <w:ind w:left="420"/>
        <w:textAlignment w:val="baseline"/>
        <w:rPr>
          <w:rFonts w:asciiTheme="minorEastAsia" w:hAnsiTheme="minorEastAsia" w:eastAsiaTheme="minorEastAsia"/>
          <w:sz w:val="24"/>
          <w:szCs w:val="24"/>
        </w:rPr>
      </w:pPr>
      <w:bookmarkStart w:id="0" w:name="_Toc3420"/>
      <w:bookmarkStart w:id="1" w:name="_Toc73086506"/>
      <w:r>
        <w:rPr>
          <w:rFonts w:hint="eastAsia" w:asciiTheme="minorEastAsia" w:hAnsiTheme="minorEastAsia" w:eastAsiaTheme="minorEastAsia"/>
          <w:sz w:val="24"/>
          <w:szCs w:val="24"/>
        </w:rPr>
        <w:t>项目背景</w:t>
      </w:r>
      <w:bookmarkEnd w:id="0"/>
      <w:bookmarkEnd w:id="1"/>
      <w:bookmarkStart w:id="2" w:name="_Toc386229114"/>
      <w:bookmarkStart w:id="3" w:name="_Toc386229322"/>
      <w:bookmarkStart w:id="4" w:name="_Toc386137895"/>
      <w:bookmarkStart w:id="5" w:name="_Toc321257474"/>
      <w:bookmarkStart w:id="6" w:name="_Toc382080664"/>
    </w:p>
    <w:p w14:paraId="43F259C5">
      <w:pPr>
        <w:spacing w:line="360" w:lineRule="auto"/>
        <w:ind w:firstLine="420"/>
        <w:rPr>
          <w:rFonts w:asciiTheme="minorEastAsia" w:hAnsiTheme="minorEastAsia" w:eastAsiaTheme="minorEastAsia"/>
          <w:sz w:val="24"/>
        </w:rPr>
      </w:pPr>
      <w:r>
        <w:rPr>
          <w:rFonts w:asciiTheme="minorEastAsia" w:hAnsiTheme="minorEastAsia" w:eastAsiaTheme="minorEastAsia"/>
          <w:sz w:val="24"/>
        </w:rPr>
        <w:t>上海市口腔医院成立于1946年，前身是上海市立牙病中心防治所，隶属于上海申康医院发展中心。是一所集医疗、教学、科研、预防为一体，以医防融合为特色的三级口腔专科医院。自上世纪50年代起，受上海市卫生健康委员会的委托，指导全市口腔疾病防控工作，拥有全国最完整的口腔公共卫生三级防治网络。现设有</w:t>
      </w:r>
      <w:r>
        <w:rPr>
          <w:rFonts w:hint="eastAsia" w:asciiTheme="minorEastAsia" w:hAnsiTheme="minorEastAsia" w:eastAsiaTheme="minorEastAsia"/>
          <w:sz w:val="24"/>
          <w:lang w:val="en-US" w:eastAsia="zh-CN"/>
        </w:rPr>
        <w:t>黄浦</w:t>
      </w:r>
      <w:r>
        <w:rPr>
          <w:rFonts w:asciiTheme="minorEastAsia" w:hAnsiTheme="minorEastAsia" w:eastAsiaTheme="minorEastAsia"/>
          <w:sz w:val="24"/>
        </w:rPr>
        <w:t>院区、</w:t>
      </w:r>
      <w:r>
        <w:rPr>
          <w:rFonts w:hint="eastAsia" w:asciiTheme="minorEastAsia" w:hAnsiTheme="minorEastAsia" w:eastAsiaTheme="minorEastAsia"/>
          <w:sz w:val="24"/>
          <w:lang w:val="en-US" w:eastAsia="zh-CN"/>
        </w:rPr>
        <w:t>徐汇</w:t>
      </w:r>
      <w:r>
        <w:rPr>
          <w:rFonts w:asciiTheme="minorEastAsia" w:hAnsiTheme="minorEastAsia" w:eastAsiaTheme="minorEastAsia"/>
          <w:sz w:val="24"/>
        </w:rPr>
        <w:t>院区、浦锦院区、</w:t>
      </w:r>
      <w:r>
        <w:rPr>
          <w:rFonts w:hint="eastAsia" w:asciiTheme="minorEastAsia" w:hAnsiTheme="minorEastAsia" w:eastAsiaTheme="minorEastAsia"/>
          <w:sz w:val="24"/>
          <w:lang w:val="en-US" w:eastAsia="zh-CN"/>
        </w:rPr>
        <w:t>闵行院区、</w:t>
      </w:r>
      <w:r>
        <w:rPr>
          <w:rFonts w:asciiTheme="minorEastAsia" w:hAnsiTheme="minorEastAsia" w:eastAsiaTheme="minorEastAsia"/>
          <w:sz w:val="24"/>
        </w:rPr>
        <w:t>永嘉路门诊部</w:t>
      </w:r>
      <w:r>
        <w:rPr>
          <w:rFonts w:hint="eastAsia" w:asciiTheme="minorEastAsia" w:hAnsiTheme="minorEastAsia" w:eastAsiaTheme="minorEastAsia"/>
          <w:sz w:val="24"/>
          <w:lang w:val="en-US" w:eastAsia="zh-CN"/>
        </w:rPr>
        <w:t>共5个院区</w:t>
      </w:r>
      <w:r>
        <w:rPr>
          <w:rFonts w:hint="eastAsia" w:asciiTheme="minorEastAsia" w:hAnsiTheme="minorEastAsia" w:eastAsiaTheme="minorEastAsia"/>
          <w:sz w:val="24"/>
          <w:lang w:eastAsia="zh-CN"/>
        </w:rPr>
        <w:t>，</w:t>
      </w:r>
      <w:r>
        <w:rPr>
          <w:rFonts w:asciiTheme="minorEastAsia" w:hAnsiTheme="minorEastAsia" w:eastAsiaTheme="minorEastAsia"/>
          <w:sz w:val="24"/>
        </w:rPr>
        <w:t>为居民提供口腔健康服务，着力改善群众口腔健康水平，提高生活品质。</w:t>
      </w:r>
      <w:r>
        <w:rPr>
          <w:rFonts w:hint="eastAsia" w:asciiTheme="minorEastAsia" w:hAnsiTheme="minorEastAsia" w:eastAsiaTheme="minorEastAsia"/>
          <w:sz w:val="24"/>
        </w:rPr>
        <w:t>在上海市卫生健康委员会、上海申康医院发展中心和复旦大学的领导下，医院将在更高的起点上，向建设中国特色世界顶尖大学附属口腔医院暨口腔医学院奋进。</w:t>
      </w:r>
    </w:p>
    <w:p w14:paraId="4FF0E490">
      <w:pPr>
        <w:spacing w:line="360" w:lineRule="auto"/>
        <w:ind w:firstLine="420"/>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为推动上海市口腔医院高质量发展，有必要强化信息化支撑作用，推进电子病历、智慧服务、智慧管理“三位一体”智慧医院建设，充分参照《医院信息互联互通标准化成熟度测评方案（2020年版）》，结合医院现状及战略发展目标，借鉴信息化建设的先进技术经验，以业务协同为主线，积极开展互联互通标准化成熟度相关建设，实现业务系统之间统一的信息交换和共享，降低系统耦合，确保大规模数据交换性能及安全有效的系统集成，提升医院整体架构的稳定性；让医院的信息化建设新上一个台阶，以满足医院未来的发展。</w:t>
      </w:r>
    </w:p>
    <w:p w14:paraId="7858177B">
      <w:pPr>
        <w:pStyle w:val="3"/>
        <w:numPr>
          <w:ilvl w:val="0"/>
          <w:numId w:val="1"/>
        </w:numPr>
        <w:spacing w:line="360" w:lineRule="auto"/>
        <w:ind w:left="420"/>
        <w:textAlignment w:val="baseline"/>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本期建设具体实现目标</w:t>
      </w:r>
    </w:p>
    <w:p w14:paraId="2DC9E85B">
      <w:pPr>
        <w:spacing w:line="360" w:lineRule="auto"/>
        <w:ind w:firstLine="420"/>
        <w:rPr>
          <w:rFonts w:hint="eastAsia" w:asciiTheme="minorEastAsia" w:hAnsiTheme="minorEastAsia" w:eastAsiaTheme="minorEastAsia"/>
          <w:sz w:val="24"/>
          <w:szCs w:val="24"/>
          <w:lang w:val="en-US"/>
        </w:rPr>
      </w:pPr>
      <w:r>
        <w:rPr>
          <w:rFonts w:hint="eastAsia" w:asciiTheme="minorEastAsia" w:hAnsiTheme="minorEastAsia" w:eastAsiaTheme="minorEastAsia"/>
          <w:sz w:val="24"/>
        </w:rPr>
        <w:t>遵循国家医改总体部署及卫生改革政策的总体规划，从医院自身发展需求出发，制定前瞻性的信息化规划，本着继承、发展、新建的精神，</w:t>
      </w:r>
      <w:r>
        <w:rPr>
          <w:rFonts w:hint="eastAsia" w:asciiTheme="minorEastAsia" w:hAnsiTheme="minorEastAsia" w:eastAsiaTheme="minorEastAsia"/>
          <w:sz w:val="24"/>
          <w:lang w:val="en-US" w:eastAsia="zh-CN"/>
        </w:rPr>
        <w:t>加强院内信息系统互联互通、数据共享和业务协同能力，为患者提供更加便捷、高效、安全的医疗服务，推动上海市口腔医院医疗健康事业高质量发展。</w:t>
      </w:r>
      <w:bookmarkEnd w:id="2"/>
      <w:bookmarkEnd w:id="3"/>
      <w:bookmarkEnd w:id="4"/>
      <w:bookmarkEnd w:id="5"/>
      <w:bookmarkEnd w:id="6"/>
      <w:bookmarkStart w:id="7" w:name="_Toc386229382"/>
      <w:bookmarkStart w:id="8" w:name="_Toc382080739"/>
      <w:bookmarkStart w:id="9" w:name="_Toc386229174"/>
      <w:bookmarkStart w:id="10" w:name="_Toc386137955"/>
      <w:bookmarkStart w:id="11" w:name="_Toc445306828"/>
      <w:r>
        <w:rPr>
          <w:rFonts w:hint="eastAsia" w:asciiTheme="minorEastAsia" w:hAnsiTheme="minorEastAsia" w:eastAsiaTheme="minorEastAsia"/>
          <w:sz w:val="24"/>
          <w:lang w:val="en-US" w:eastAsia="zh-CN"/>
        </w:rPr>
        <w:t>按照互联互通五乙标准进行业务系统改造和建设。</w:t>
      </w:r>
      <w:r>
        <w:rPr>
          <w:rFonts w:hint="eastAsia" w:asciiTheme="minorEastAsia" w:hAnsiTheme="minorEastAsia" w:eastAsiaTheme="minorEastAsia"/>
          <w:sz w:val="24"/>
          <w:szCs w:val="24"/>
        </w:rPr>
        <w:t>加</w:t>
      </w:r>
      <w:r>
        <w:rPr>
          <w:rFonts w:hint="eastAsia" w:asciiTheme="minorEastAsia" w:hAnsiTheme="minorEastAsia" w:eastAsiaTheme="minorEastAsia"/>
          <w:sz w:val="24"/>
        </w:rPr>
        <w:t>强业务系统数据互通，实现医疗信息的实时共享与深度整合，大幅提升诊疗效率与安全性。</w:t>
      </w:r>
    </w:p>
    <w:bookmarkEnd w:id="7"/>
    <w:bookmarkEnd w:id="8"/>
    <w:bookmarkEnd w:id="9"/>
    <w:bookmarkEnd w:id="10"/>
    <w:bookmarkEnd w:id="11"/>
    <w:p w14:paraId="0D68A58A">
      <w:pPr>
        <w:pStyle w:val="3"/>
        <w:numPr>
          <w:ilvl w:val="0"/>
          <w:numId w:val="1"/>
        </w:numPr>
        <w:spacing w:line="360" w:lineRule="auto"/>
        <w:ind w:left="420"/>
        <w:textAlignment w:val="baseline"/>
        <w:rPr>
          <w:rFonts w:hint="default" w:asciiTheme="minorEastAsia" w:hAnsiTheme="minorEastAsia" w:eastAsiaTheme="minorEastAsia"/>
          <w:sz w:val="24"/>
          <w:szCs w:val="24"/>
          <w:lang w:val="en-US" w:eastAsia="zh-CN"/>
        </w:rPr>
      </w:pPr>
      <w:bookmarkStart w:id="12" w:name="_Toc73086511"/>
      <w:r>
        <w:rPr>
          <w:rFonts w:hint="eastAsia" w:asciiTheme="minorEastAsia" w:hAnsiTheme="minorEastAsia" w:eastAsiaTheme="minorEastAsia"/>
          <w:sz w:val="24"/>
          <w:szCs w:val="24"/>
        </w:rPr>
        <w:t>应用系统功能要求</w:t>
      </w:r>
      <w:bookmarkEnd w:id="12"/>
    </w:p>
    <w:p w14:paraId="4A67DDF0">
      <w:pPr>
        <w:spacing w:line="360" w:lineRule="auto"/>
        <w:ind w:firstLine="420"/>
        <w:rPr>
          <w:rFonts w:hint="default" w:asciiTheme="minorEastAsia" w:hAnsiTheme="minorEastAsia" w:eastAsiaTheme="minorEastAsia"/>
          <w:sz w:val="24"/>
          <w:highlight w:val="yellow"/>
          <w:lang w:val="en-US" w:eastAsia="zh-CN"/>
        </w:rPr>
      </w:pPr>
      <w:r>
        <w:rPr>
          <w:rFonts w:hint="eastAsia" w:asciiTheme="minorEastAsia" w:hAnsiTheme="minorEastAsia" w:eastAsiaTheme="minorEastAsia"/>
          <w:sz w:val="24"/>
        </w:rPr>
        <w:t>投标方应基于医疗机构现有信息化基础设施及系统架构现状，严格参照互联互通标准化成熟度测评技术规范要求，编制系统性升级改造实施方案，确保各业务系统功能模块全面符合互联互通标准化成熟度测评维度与技术指标并配合评级相关工作，具体改造工程包含但不限于本招标文件所列示的项目建设清单要求，涵盖功能优化、系统适配、数据整合等关键环节，并提供完整的标准对标分析、实施路径规划及验收保障机制。投标人应承诺，配合医院后续CDSS临床知识库系统建设对接，投标人应配合医院系统对接工作开展，详细工作内容双方友好协商。</w:t>
      </w:r>
    </w:p>
    <w:p w14:paraId="0BC4A61F">
      <w:pPr>
        <w:spacing w:line="360" w:lineRule="auto"/>
        <w:ind w:firstLine="420"/>
        <w:rPr>
          <w:rFonts w:hint="default" w:asciiTheme="minorEastAsia" w:hAnsiTheme="minorEastAsia" w:eastAsiaTheme="minorEastAsia"/>
          <w:sz w:val="24"/>
          <w:lang w:val="en-US" w:eastAsia="zh-CN"/>
        </w:rPr>
      </w:pPr>
    </w:p>
    <w:p w14:paraId="0D74B0B4">
      <w:pPr>
        <w:pStyle w:val="4"/>
        <w:numPr>
          <w:ilvl w:val="1"/>
          <w:numId w:val="1"/>
        </w:numPr>
        <w:spacing w:before="312" w:after="312" w:afterAutospacing="1" w:line="360" w:lineRule="auto"/>
        <w:textAlignment w:val="baseline"/>
        <w:rPr>
          <w:rFonts w:hint="eastAsia" w:cs="Times New Roman" w:asciiTheme="minorEastAsia" w:hAnsiTheme="minorEastAsia" w:eastAsiaTheme="minorEastAsia"/>
          <w:szCs w:val="24"/>
        </w:rPr>
      </w:pPr>
      <w:bookmarkStart w:id="13" w:name="_Toc44516269"/>
      <w:bookmarkStart w:id="14" w:name="_Toc14720"/>
      <w:bookmarkStart w:id="15" w:name="_Toc44516108"/>
      <w:r>
        <w:rPr>
          <w:rFonts w:hint="eastAsia" w:cs="Times New Roman" w:asciiTheme="minorEastAsia" w:hAnsiTheme="minorEastAsia" w:eastAsiaTheme="minorEastAsia"/>
          <w:szCs w:val="24"/>
        </w:rPr>
        <w:t>项目招标清单</w:t>
      </w:r>
      <w:bookmarkEnd w:id="13"/>
      <w:bookmarkEnd w:id="14"/>
      <w:bookmarkEnd w:id="15"/>
    </w:p>
    <w:p w14:paraId="33B437EE">
      <w:pPr>
        <w:pStyle w:val="46"/>
        <w:ind w:firstLineChars="0"/>
        <w:textAlignment w:val="baseline"/>
        <w:rPr>
          <w:rFonts w:hint="eastAsia" w:cs="Times New Roman" w:asciiTheme="minorEastAsia" w:hAnsiTheme="minorEastAsia" w:eastAsiaTheme="minorEastAsia"/>
          <w:szCs w:val="24"/>
          <w:lang w:eastAsia="zh-CN"/>
        </w:rPr>
      </w:pPr>
      <w:r>
        <w:rPr>
          <w:rFonts w:hint="eastAsia" w:cs="Times New Roman" w:asciiTheme="minorEastAsia" w:hAnsiTheme="minorEastAsia" w:eastAsiaTheme="minorEastAsia"/>
          <w:szCs w:val="24"/>
        </w:rPr>
        <w:t>依据医院业务</w:t>
      </w:r>
      <w:r>
        <w:rPr>
          <w:rFonts w:hint="eastAsia" w:cs="Times New Roman" w:asciiTheme="minorEastAsia" w:hAnsiTheme="minorEastAsia" w:eastAsiaTheme="minorEastAsia"/>
          <w:szCs w:val="24"/>
          <w:lang w:val="en-US" w:eastAsia="zh-CN"/>
        </w:rPr>
        <w:t>的</w:t>
      </w:r>
      <w:r>
        <w:rPr>
          <w:rFonts w:hint="eastAsia" w:cs="Times New Roman" w:asciiTheme="minorEastAsia" w:hAnsiTheme="minorEastAsia" w:eastAsiaTheme="minorEastAsia"/>
          <w:szCs w:val="24"/>
        </w:rPr>
        <w:t>实际需求，具体建设</w:t>
      </w:r>
      <w:r>
        <w:rPr>
          <w:rFonts w:hint="eastAsia" w:cs="Times New Roman" w:asciiTheme="minorEastAsia" w:hAnsiTheme="minorEastAsia" w:eastAsiaTheme="minorEastAsia"/>
          <w:szCs w:val="24"/>
          <w:lang w:val="en-US" w:eastAsia="zh-CN"/>
        </w:rPr>
        <w:t>清单</w:t>
      </w:r>
      <w:r>
        <w:rPr>
          <w:rFonts w:hint="eastAsia" w:cs="Times New Roman" w:asciiTheme="minorEastAsia" w:hAnsiTheme="minorEastAsia" w:eastAsiaTheme="minorEastAsia"/>
          <w:szCs w:val="24"/>
        </w:rPr>
        <w:t>如下表所示，要求包括以下功能模块</w:t>
      </w:r>
      <w:r>
        <w:rPr>
          <w:rFonts w:hint="eastAsia" w:cs="Times New Roman" w:asciiTheme="minorEastAsia" w:hAnsiTheme="minorEastAsia" w:eastAsiaTheme="minorEastAsia"/>
          <w:szCs w:val="24"/>
          <w:lang w:eastAsia="zh-CN"/>
        </w:rPr>
        <w:t>：</w:t>
      </w:r>
    </w:p>
    <w:tbl>
      <w:tblPr>
        <w:tblStyle w:val="22"/>
        <w:tblW w:w="8298"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17"/>
        <w:gridCol w:w="1017"/>
        <w:gridCol w:w="1575"/>
        <w:gridCol w:w="4689"/>
      </w:tblGrid>
      <w:tr w14:paraId="1AE22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452C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1B50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系统</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3C8E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功能模块</w:t>
            </w:r>
          </w:p>
        </w:tc>
        <w:tc>
          <w:tcPr>
            <w:tcW w:w="4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8E54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功能模块明细</w:t>
            </w:r>
          </w:p>
        </w:tc>
      </w:tr>
      <w:tr w14:paraId="5A65B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0181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3A28C6">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移动护理</w:t>
            </w:r>
            <w:r>
              <w:rPr>
                <w:rFonts w:hint="eastAsia" w:ascii="宋体" w:hAnsi="宋体" w:cs="宋体"/>
                <w:i w:val="0"/>
                <w:iCs w:val="0"/>
                <w:color w:val="000000"/>
                <w:kern w:val="0"/>
                <w:sz w:val="24"/>
                <w:szCs w:val="24"/>
                <w:u w:val="none"/>
                <w:lang w:val="en-US" w:eastAsia="zh-CN" w:bidi="ar"/>
              </w:rPr>
              <w:t>信息系统</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6321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移动护理执行</w:t>
            </w:r>
          </w:p>
        </w:tc>
        <w:tc>
          <w:tcPr>
            <w:tcW w:w="4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2D5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患者信息查询</w:t>
            </w:r>
          </w:p>
        </w:tc>
      </w:tr>
      <w:tr w14:paraId="38360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B8F32">
            <w:pPr>
              <w:jc w:val="center"/>
              <w:rPr>
                <w:rFonts w:hint="eastAsia" w:ascii="宋体" w:hAnsi="宋体" w:eastAsia="宋体" w:cs="宋体"/>
                <w:i w:val="0"/>
                <w:iCs w:val="0"/>
                <w:color w:val="000000"/>
                <w:sz w:val="24"/>
                <w:szCs w:val="24"/>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FDAB1">
            <w:pPr>
              <w:jc w:val="center"/>
              <w:rPr>
                <w:rFonts w:hint="eastAsia" w:ascii="宋体" w:hAnsi="宋体" w:eastAsia="宋体" w:cs="宋体"/>
                <w:i w:val="0"/>
                <w:iCs w:val="0"/>
                <w:color w:val="000000"/>
                <w:sz w:val="24"/>
                <w:szCs w:val="24"/>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D2B3A">
            <w:pPr>
              <w:jc w:val="center"/>
              <w:rPr>
                <w:rFonts w:hint="eastAsia" w:ascii="宋体" w:hAnsi="宋体" w:eastAsia="宋体" w:cs="宋体"/>
                <w:i w:val="0"/>
                <w:iCs w:val="0"/>
                <w:color w:val="000000"/>
                <w:sz w:val="24"/>
                <w:szCs w:val="24"/>
                <w:u w:val="none"/>
              </w:rPr>
            </w:pPr>
          </w:p>
        </w:tc>
        <w:tc>
          <w:tcPr>
            <w:tcW w:w="4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423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扫码执行医嘱</w:t>
            </w:r>
          </w:p>
        </w:tc>
      </w:tr>
      <w:tr w14:paraId="1C002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87C2A">
            <w:pPr>
              <w:jc w:val="center"/>
              <w:rPr>
                <w:rFonts w:hint="eastAsia" w:ascii="宋体" w:hAnsi="宋体" w:eastAsia="宋体" w:cs="宋体"/>
                <w:i w:val="0"/>
                <w:iCs w:val="0"/>
                <w:color w:val="000000"/>
                <w:sz w:val="24"/>
                <w:szCs w:val="24"/>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9BDD5">
            <w:pPr>
              <w:jc w:val="center"/>
              <w:rPr>
                <w:rFonts w:hint="eastAsia" w:ascii="宋体" w:hAnsi="宋体" w:eastAsia="宋体" w:cs="宋体"/>
                <w:i w:val="0"/>
                <w:iCs w:val="0"/>
                <w:color w:val="000000"/>
                <w:sz w:val="24"/>
                <w:szCs w:val="24"/>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15325">
            <w:pPr>
              <w:jc w:val="center"/>
              <w:rPr>
                <w:rFonts w:hint="eastAsia" w:ascii="宋体" w:hAnsi="宋体" w:eastAsia="宋体" w:cs="宋体"/>
                <w:i w:val="0"/>
                <w:iCs w:val="0"/>
                <w:color w:val="000000"/>
                <w:sz w:val="24"/>
                <w:szCs w:val="24"/>
                <w:u w:val="none"/>
              </w:rPr>
            </w:pPr>
          </w:p>
        </w:tc>
        <w:tc>
          <w:tcPr>
            <w:tcW w:w="4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0E4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护理临床监控</w:t>
            </w:r>
          </w:p>
        </w:tc>
      </w:tr>
      <w:tr w14:paraId="45A3A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0E2DB">
            <w:pPr>
              <w:jc w:val="center"/>
              <w:rPr>
                <w:rFonts w:hint="eastAsia" w:ascii="宋体" w:hAnsi="宋体" w:eastAsia="宋体" w:cs="宋体"/>
                <w:i w:val="0"/>
                <w:iCs w:val="0"/>
                <w:color w:val="000000"/>
                <w:sz w:val="24"/>
                <w:szCs w:val="24"/>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3DCE3">
            <w:pPr>
              <w:jc w:val="center"/>
              <w:rPr>
                <w:rFonts w:hint="eastAsia" w:ascii="宋体" w:hAnsi="宋体" w:eastAsia="宋体" w:cs="宋体"/>
                <w:i w:val="0"/>
                <w:iCs w:val="0"/>
                <w:color w:val="000000"/>
                <w:sz w:val="24"/>
                <w:szCs w:val="24"/>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7F223">
            <w:pPr>
              <w:jc w:val="center"/>
              <w:rPr>
                <w:rFonts w:hint="eastAsia" w:ascii="宋体" w:hAnsi="宋体" w:eastAsia="宋体" w:cs="宋体"/>
                <w:i w:val="0"/>
                <w:iCs w:val="0"/>
                <w:color w:val="000000"/>
                <w:sz w:val="24"/>
                <w:szCs w:val="24"/>
                <w:u w:val="none"/>
              </w:rPr>
            </w:pPr>
          </w:p>
        </w:tc>
        <w:tc>
          <w:tcPr>
            <w:tcW w:w="4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5C7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临床辅助工具</w:t>
            </w:r>
          </w:p>
        </w:tc>
      </w:tr>
      <w:tr w14:paraId="06187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BA923">
            <w:pPr>
              <w:jc w:val="center"/>
              <w:rPr>
                <w:rFonts w:hint="eastAsia" w:ascii="宋体" w:hAnsi="宋体" w:eastAsia="宋体" w:cs="宋体"/>
                <w:i w:val="0"/>
                <w:iCs w:val="0"/>
                <w:color w:val="000000"/>
                <w:sz w:val="24"/>
                <w:szCs w:val="24"/>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710E6">
            <w:pPr>
              <w:jc w:val="center"/>
              <w:rPr>
                <w:rFonts w:hint="eastAsia" w:ascii="宋体" w:hAnsi="宋体" w:eastAsia="宋体" w:cs="宋体"/>
                <w:i w:val="0"/>
                <w:iCs w:val="0"/>
                <w:color w:val="000000"/>
                <w:sz w:val="24"/>
                <w:szCs w:val="24"/>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0883C">
            <w:pPr>
              <w:jc w:val="center"/>
              <w:rPr>
                <w:rFonts w:hint="eastAsia" w:ascii="宋体" w:hAnsi="宋体" w:eastAsia="宋体" w:cs="宋体"/>
                <w:i w:val="0"/>
                <w:iCs w:val="0"/>
                <w:color w:val="000000"/>
                <w:sz w:val="24"/>
                <w:szCs w:val="24"/>
                <w:u w:val="none"/>
              </w:rPr>
            </w:pPr>
          </w:p>
        </w:tc>
        <w:tc>
          <w:tcPr>
            <w:tcW w:w="4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15B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病区患者体征采集</w:t>
            </w:r>
          </w:p>
        </w:tc>
      </w:tr>
      <w:tr w14:paraId="28D75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E5AA4">
            <w:pPr>
              <w:jc w:val="center"/>
              <w:rPr>
                <w:rFonts w:hint="eastAsia" w:ascii="宋体" w:hAnsi="宋体" w:eastAsia="宋体" w:cs="宋体"/>
                <w:i w:val="0"/>
                <w:iCs w:val="0"/>
                <w:color w:val="000000"/>
                <w:sz w:val="24"/>
                <w:szCs w:val="24"/>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D77AC">
            <w:pPr>
              <w:jc w:val="center"/>
              <w:rPr>
                <w:rFonts w:hint="eastAsia" w:ascii="宋体" w:hAnsi="宋体" w:eastAsia="宋体" w:cs="宋体"/>
                <w:i w:val="0"/>
                <w:iCs w:val="0"/>
                <w:color w:val="000000"/>
                <w:sz w:val="24"/>
                <w:szCs w:val="24"/>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0DFFB">
            <w:pPr>
              <w:jc w:val="center"/>
              <w:rPr>
                <w:rFonts w:hint="eastAsia" w:ascii="宋体" w:hAnsi="宋体" w:eastAsia="宋体" w:cs="宋体"/>
                <w:i w:val="0"/>
                <w:iCs w:val="0"/>
                <w:color w:val="000000"/>
                <w:sz w:val="24"/>
                <w:szCs w:val="24"/>
                <w:u w:val="none"/>
              </w:rPr>
            </w:pPr>
          </w:p>
        </w:tc>
        <w:tc>
          <w:tcPr>
            <w:tcW w:w="4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C8D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移动护理危急值应用</w:t>
            </w:r>
          </w:p>
        </w:tc>
      </w:tr>
      <w:tr w14:paraId="1B31E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8A18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28F45">
            <w:pPr>
              <w:jc w:val="center"/>
              <w:rPr>
                <w:rFonts w:hint="eastAsia" w:ascii="宋体" w:hAnsi="宋体" w:eastAsia="宋体" w:cs="宋体"/>
                <w:i w:val="0"/>
                <w:iCs w:val="0"/>
                <w:color w:val="000000"/>
                <w:sz w:val="24"/>
                <w:szCs w:val="24"/>
                <w:u w:val="none"/>
              </w:rPr>
            </w:pP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2523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移动护理文书</w:t>
            </w:r>
          </w:p>
        </w:tc>
        <w:tc>
          <w:tcPr>
            <w:tcW w:w="4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920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移动端体温单录入</w:t>
            </w:r>
          </w:p>
        </w:tc>
      </w:tr>
      <w:tr w14:paraId="7E02A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F17D6">
            <w:pPr>
              <w:jc w:val="center"/>
              <w:rPr>
                <w:rFonts w:hint="eastAsia" w:ascii="宋体" w:hAnsi="宋体" w:eastAsia="宋体" w:cs="宋体"/>
                <w:i w:val="0"/>
                <w:iCs w:val="0"/>
                <w:color w:val="000000"/>
                <w:sz w:val="24"/>
                <w:szCs w:val="24"/>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14772">
            <w:pPr>
              <w:jc w:val="center"/>
              <w:rPr>
                <w:rFonts w:hint="eastAsia" w:ascii="宋体" w:hAnsi="宋体" w:eastAsia="宋体" w:cs="宋体"/>
                <w:i w:val="0"/>
                <w:iCs w:val="0"/>
                <w:color w:val="000000"/>
                <w:sz w:val="24"/>
                <w:szCs w:val="24"/>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9619C">
            <w:pPr>
              <w:jc w:val="center"/>
              <w:rPr>
                <w:rFonts w:hint="eastAsia" w:ascii="宋体" w:hAnsi="宋体" w:eastAsia="宋体" w:cs="宋体"/>
                <w:i w:val="0"/>
                <w:iCs w:val="0"/>
                <w:color w:val="000000"/>
                <w:sz w:val="24"/>
                <w:szCs w:val="24"/>
                <w:u w:val="none"/>
              </w:rPr>
            </w:pPr>
          </w:p>
        </w:tc>
        <w:tc>
          <w:tcPr>
            <w:tcW w:w="4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3AD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护理记录单录入</w:t>
            </w:r>
          </w:p>
        </w:tc>
      </w:tr>
      <w:tr w14:paraId="27ADC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A4538">
            <w:pPr>
              <w:jc w:val="center"/>
              <w:rPr>
                <w:rFonts w:hint="eastAsia" w:ascii="宋体" w:hAnsi="宋体" w:eastAsia="宋体" w:cs="宋体"/>
                <w:i w:val="0"/>
                <w:iCs w:val="0"/>
                <w:color w:val="000000"/>
                <w:sz w:val="24"/>
                <w:szCs w:val="24"/>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D8FE7">
            <w:pPr>
              <w:jc w:val="center"/>
              <w:rPr>
                <w:rFonts w:hint="eastAsia" w:ascii="宋体" w:hAnsi="宋体" w:eastAsia="宋体" w:cs="宋体"/>
                <w:i w:val="0"/>
                <w:iCs w:val="0"/>
                <w:color w:val="000000"/>
                <w:sz w:val="24"/>
                <w:szCs w:val="24"/>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0B16E">
            <w:pPr>
              <w:jc w:val="center"/>
              <w:rPr>
                <w:rFonts w:hint="eastAsia" w:ascii="宋体" w:hAnsi="宋体" w:eastAsia="宋体" w:cs="宋体"/>
                <w:i w:val="0"/>
                <w:iCs w:val="0"/>
                <w:color w:val="000000"/>
                <w:sz w:val="24"/>
                <w:szCs w:val="24"/>
                <w:u w:val="none"/>
              </w:rPr>
            </w:pPr>
          </w:p>
        </w:tc>
        <w:tc>
          <w:tcPr>
            <w:tcW w:w="4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BBD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移动端评估单录入</w:t>
            </w:r>
          </w:p>
        </w:tc>
      </w:tr>
      <w:tr w14:paraId="2D14B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C9C5C">
            <w:pPr>
              <w:jc w:val="center"/>
              <w:rPr>
                <w:rFonts w:hint="eastAsia" w:ascii="宋体" w:hAnsi="宋体" w:eastAsia="宋体" w:cs="宋体"/>
                <w:i w:val="0"/>
                <w:iCs w:val="0"/>
                <w:color w:val="000000"/>
                <w:sz w:val="24"/>
                <w:szCs w:val="24"/>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6F598">
            <w:pPr>
              <w:jc w:val="center"/>
              <w:rPr>
                <w:rFonts w:hint="eastAsia" w:ascii="宋体" w:hAnsi="宋体" w:eastAsia="宋体" w:cs="宋体"/>
                <w:i w:val="0"/>
                <w:iCs w:val="0"/>
                <w:color w:val="000000"/>
                <w:sz w:val="24"/>
                <w:szCs w:val="24"/>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A49A6">
            <w:pPr>
              <w:jc w:val="center"/>
              <w:rPr>
                <w:rFonts w:hint="eastAsia" w:ascii="宋体" w:hAnsi="宋体" w:eastAsia="宋体" w:cs="宋体"/>
                <w:i w:val="0"/>
                <w:iCs w:val="0"/>
                <w:color w:val="000000"/>
                <w:sz w:val="24"/>
                <w:szCs w:val="24"/>
                <w:u w:val="none"/>
              </w:rPr>
            </w:pPr>
          </w:p>
        </w:tc>
        <w:tc>
          <w:tcPr>
            <w:tcW w:w="4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C1A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告知书录入</w:t>
            </w:r>
          </w:p>
        </w:tc>
      </w:tr>
      <w:tr w14:paraId="42193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955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17" w:type="dxa"/>
            <w:vMerge w:val="restart"/>
            <w:tcBorders>
              <w:top w:val="single" w:color="000000" w:sz="4" w:space="0"/>
              <w:left w:val="single" w:color="000000" w:sz="4" w:space="0"/>
              <w:right w:val="single" w:color="000000" w:sz="4" w:space="0"/>
            </w:tcBorders>
            <w:shd w:val="clear" w:color="auto" w:fill="auto"/>
            <w:vAlign w:val="center"/>
          </w:tcPr>
          <w:p w14:paraId="5126832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集成平台</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4CF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集成平台引擎</w:t>
            </w:r>
          </w:p>
        </w:tc>
        <w:tc>
          <w:tcPr>
            <w:tcW w:w="4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E3F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集成引擎（AO企业版）</w:t>
            </w:r>
          </w:p>
        </w:tc>
      </w:tr>
      <w:tr w14:paraId="0B992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1C3E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17" w:type="dxa"/>
            <w:vMerge w:val="continue"/>
            <w:tcBorders>
              <w:left w:val="single" w:color="000000" w:sz="4" w:space="0"/>
              <w:right w:val="single" w:color="000000" w:sz="4" w:space="0"/>
            </w:tcBorders>
            <w:shd w:val="clear" w:color="auto" w:fill="auto"/>
            <w:vAlign w:val="center"/>
          </w:tcPr>
          <w:p w14:paraId="4C66953D">
            <w:pPr>
              <w:jc w:val="center"/>
              <w:rPr>
                <w:rFonts w:hint="eastAsia" w:ascii="宋体" w:hAnsi="宋体" w:eastAsia="宋体" w:cs="宋体"/>
                <w:i w:val="0"/>
                <w:iCs w:val="0"/>
                <w:color w:val="000000"/>
                <w:sz w:val="28"/>
                <w:szCs w:val="28"/>
                <w:u w:val="none"/>
              </w:rPr>
            </w:pPr>
          </w:p>
        </w:tc>
        <w:tc>
          <w:tcPr>
            <w:tcW w:w="1575" w:type="dxa"/>
            <w:vMerge w:val="restart"/>
            <w:tcBorders>
              <w:top w:val="single" w:color="000000" w:sz="4" w:space="0"/>
              <w:left w:val="single" w:color="000000" w:sz="4" w:space="0"/>
              <w:right w:val="single" w:color="000000" w:sz="4" w:space="0"/>
            </w:tcBorders>
            <w:shd w:val="clear" w:color="auto" w:fill="auto"/>
            <w:vAlign w:val="center"/>
          </w:tcPr>
          <w:p w14:paraId="66CE93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院内集成服务</w:t>
            </w:r>
          </w:p>
        </w:tc>
        <w:tc>
          <w:tcPr>
            <w:tcW w:w="4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AE5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门诊交互服务</w:t>
            </w:r>
          </w:p>
        </w:tc>
      </w:tr>
      <w:tr w14:paraId="7F5D9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0D561">
            <w:pPr>
              <w:jc w:val="center"/>
              <w:rPr>
                <w:rFonts w:hint="eastAsia" w:ascii="宋体" w:hAnsi="宋体" w:eastAsia="宋体" w:cs="宋体"/>
                <w:i w:val="0"/>
                <w:iCs w:val="0"/>
                <w:color w:val="000000"/>
                <w:sz w:val="24"/>
                <w:szCs w:val="24"/>
                <w:u w:val="none"/>
              </w:rPr>
            </w:pPr>
          </w:p>
        </w:tc>
        <w:tc>
          <w:tcPr>
            <w:tcW w:w="1017" w:type="dxa"/>
            <w:vMerge w:val="continue"/>
            <w:tcBorders>
              <w:left w:val="single" w:color="000000" w:sz="4" w:space="0"/>
              <w:right w:val="single" w:color="000000" w:sz="4" w:space="0"/>
            </w:tcBorders>
            <w:shd w:val="clear" w:color="auto" w:fill="auto"/>
            <w:vAlign w:val="center"/>
          </w:tcPr>
          <w:p w14:paraId="66DC8B27">
            <w:pPr>
              <w:jc w:val="center"/>
              <w:rPr>
                <w:rFonts w:hint="eastAsia" w:ascii="宋体" w:hAnsi="宋体" w:eastAsia="宋体" w:cs="宋体"/>
                <w:i w:val="0"/>
                <w:iCs w:val="0"/>
                <w:color w:val="000000"/>
                <w:sz w:val="28"/>
                <w:szCs w:val="28"/>
                <w:u w:val="none"/>
              </w:rPr>
            </w:pPr>
          </w:p>
        </w:tc>
        <w:tc>
          <w:tcPr>
            <w:tcW w:w="1575" w:type="dxa"/>
            <w:vMerge w:val="continue"/>
            <w:tcBorders>
              <w:left w:val="single" w:color="000000" w:sz="4" w:space="0"/>
              <w:right w:val="single" w:color="000000" w:sz="4" w:space="0"/>
            </w:tcBorders>
            <w:shd w:val="clear" w:color="auto" w:fill="auto"/>
            <w:vAlign w:val="center"/>
          </w:tcPr>
          <w:p w14:paraId="18D6B47F">
            <w:pPr>
              <w:jc w:val="center"/>
              <w:rPr>
                <w:rFonts w:hint="eastAsia" w:ascii="宋体" w:hAnsi="宋体" w:eastAsia="宋体" w:cs="宋体"/>
                <w:i w:val="0"/>
                <w:iCs w:val="0"/>
                <w:color w:val="000000"/>
                <w:sz w:val="24"/>
                <w:szCs w:val="24"/>
                <w:u w:val="none"/>
              </w:rPr>
            </w:pPr>
          </w:p>
        </w:tc>
        <w:tc>
          <w:tcPr>
            <w:tcW w:w="4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D33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住院交互服务</w:t>
            </w:r>
          </w:p>
        </w:tc>
      </w:tr>
      <w:tr w14:paraId="4C737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DA18C">
            <w:pPr>
              <w:jc w:val="center"/>
              <w:rPr>
                <w:rFonts w:hint="eastAsia" w:ascii="宋体" w:hAnsi="宋体" w:eastAsia="宋体" w:cs="宋体"/>
                <w:i w:val="0"/>
                <w:iCs w:val="0"/>
                <w:color w:val="000000"/>
                <w:sz w:val="24"/>
                <w:szCs w:val="24"/>
                <w:u w:val="none"/>
              </w:rPr>
            </w:pPr>
          </w:p>
        </w:tc>
        <w:tc>
          <w:tcPr>
            <w:tcW w:w="1017" w:type="dxa"/>
            <w:vMerge w:val="continue"/>
            <w:tcBorders>
              <w:left w:val="single" w:color="000000" w:sz="4" w:space="0"/>
              <w:right w:val="single" w:color="000000" w:sz="4" w:space="0"/>
            </w:tcBorders>
            <w:shd w:val="clear" w:color="auto" w:fill="auto"/>
            <w:vAlign w:val="center"/>
          </w:tcPr>
          <w:p w14:paraId="636848C6">
            <w:pPr>
              <w:jc w:val="center"/>
              <w:rPr>
                <w:rFonts w:hint="eastAsia" w:ascii="宋体" w:hAnsi="宋体" w:eastAsia="宋体" w:cs="宋体"/>
                <w:i w:val="0"/>
                <w:iCs w:val="0"/>
                <w:color w:val="000000"/>
                <w:sz w:val="28"/>
                <w:szCs w:val="28"/>
                <w:u w:val="none"/>
              </w:rPr>
            </w:pPr>
          </w:p>
        </w:tc>
        <w:tc>
          <w:tcPr>
            <w:tcW w:w="1575" w:type="dxa"/>
            <w:vMerge w:val="continue"/>
            <w:tcBorders>
              <w:left w:val="single" w:color="000000" w:sz="4" w:space="0"/>
              <w:right w:val="single" w:color="000000" w:sz="4" w:space="0"/>
            </w:tcBorders>
            <w:shd w:val="clear" w:color="auto" w:fill="auto"/>
            <w:vAlign w:val="center"/>
          </w:tcPr>
          <w:p w14:paraId="2D44001C">
            <w:pPr>
              <w:jc w:val="center"/>
              <w:rPr>
                <w:rFonts w:hint="eastAsia" w:ascii="宋体" w:hAnsi="宋体" w:eastAsia="宋体" w:cs="宋体"/>
                <w:i w:val="0"/>
                <w:iCs w:val="0"/>
                <w:color w:val="000000"/>
                <w:sz w:val="24"/>
                <w:szCs w:val="24"/>
                <w:u w:val="none"/>
              </w:rPr>
            </w:pPr>
          </w:p>
        </w:tc>
        <w:tc>
          <w:tcPr>
            <w:tcW w:w="4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09F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医技交互服务</w:t>
            </w:r>
          </w:p>
        </w:tc>
      </w:tr>
      <w:tr w14:paraId="10E53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672CA">
            <w:pPr>
              <w:jc w:val="center"/>
              <w:rPr>
                <w:rFonts w:hint="eastAsia" w:ascii="宋体" w:hAnsi="宋体" w:eastAsia="宋体" w:cs="宋体"/>
                <w:i w:val="0"/>
                <w:iCs w:val="0"/>
                <w:color w:val="000000"/>
                <w:sz w:val="24"/>
                <w:szCs w:val="24"/>
                <w:u w:val="none"/>
              </w:rPr>
            </w:pPr>
          </w:p>
        </w:tc>
        <w:tc>
          <w:tcPr>
            <w:tcW w:w="1017" w:type="dxa"/>
            <w:vMerge w:val="continue"/>
            <w:tcBorders>
              <w:left w:val="single" w:color="000000" w:sz="4" w:space="0"/>
              <w:right w:val="single" w:color="000000" w:sz="4" w:space="0"/>
            </w:tcBorders>
            <w:shd w:val="clear" w:color="auto" w:fill="auto"/>
            <w:vAlign w:val="center"/>
          </w:tcPr>
          <w:p w14:paraId="6B56298E">
            <w:pPr>
              <w:jc w:val="center"/>
              <w:rPr>
                <w:rFonts w:hint="eastAsia" w:ascii="宋体" w:hAnsi="宋体" w:eastAsia="宋体" w:cs="宋体"/>
                <w:i w:val="0"/>
                <w:iCs w:val="0"/>
                <w:color w:val="000000"/>
                <w:sz w:val="28"/>
                <w:szCs w:val="28"/>
                <w:u w:val="none"/>
              </w:rPr>
            </w:pPr>
          </w:p>
        </w:tc>
        <w:tc>
          <w:tcPr>
            <w:tcW w:w="1575" w:type="dxa"/>
            <w:vMerge w:val="continue"/>
            <w:tcBorders>
              <w:left w:val="single" w:color="000000" w:sz="4" w:space="0"/>
              <w:right w:val="single" w:color="000000" w:sz="4" w:space="0"/>
            </w:tcBorders>
            <w:shd w:val="clear" w:color="auto" w:fill="auto"/>
            <w:vAlign w:val="center"/>
          </w:tcPr>
          <w:p w14:paraId="28CBF06E">
            <w:pPr>
              <w:jc w:val="center"/>
              <w:rPr>
                <w:rFonts w:hint="eastAsia" w:ascii="宋体" w:hAnsi="宋体" w:eastAsia="宋体" w:cs="宋体"/>
                <w:i w:val="0"/>
                <w:iCs w:val="0"/>
                <w:color w:val="000000"/>
                <w:sz w:val="24"/>
                <w:szCs w:val="24"/>
                <w:u w:val="none"/>
              </w:rPr>
            </w:pPr>
          </w:p>
        </w:tc>
        <w:tc>
          <w:tcPr>
            <w:tcW w:w="4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E6E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病历文档交互服务</w:t>
            </w:r>
          </w:p>
        </w:tc>
      </w:tr>
      <w:tr w14:paraId="24E32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70B83">
            <w:pPr>
              <w:jc w:val="center"/>
              <w:rPr>
                <w:rFonts w:hint="eastAsia" w:ascii="宋体" w:hAnsi="宋体" w:eastAsia="宋体" w:cs="宋体"/>
                <w:i w:val="0"/>
                <w:iCs w:val="0"/>
                <w:color w:val="000000"/>
                <w:sz w:val="24"/>
                <w:szCs w:val="24"/>
                <w:u w:val="none"/>
              </w:rPr>
            </w:pPr>
          </w:p>
        </w:tc>
        <w:tc>
          <w:tcPr>
            <w:tcW w:w="1017" w:type="dxa"/>
            <w:vMerge w:val="continue"/>
            <w:tcBorders>
              <w:left w:val="single" w:color="000000" w:sz="4" w:space="0"/>
              <w:right w:val="single" w:color="000000" w:sz="4" w:space="0"/>
            </w:tcBorders>
            <w:shd w:val="clear" w:color="auto" w:fill="auto"/>
            <w:vAlign w:val="center"/>
          </w:tcPr>
          <w:p w14:paraId="5C0B9994">
            <w:pPr>
              <w:jc w:val="center"/>
              <w:rPr>
                <w:rFonts w:hint="eastAsia" w:ascii="宋体" w:hAnsi="宋体" w:eastAsia="宋体" w:cs="宋体"/>
                <w:i w:val="0"/>
                <w:iCs w:val="0"/>
                <w:color w:val="000000"/>
                <w:sz w:val="28"/>
                <w:szCs w:val="28"/>
                <w:u w:val="none"/>
              </w:rPr>
            </w:pPr>
          </w:p>
        </w:tc>
        <w:tc>
          <w:tcPr>
            <w:tcW w:w="1575" w:type="dxa"/>
            <w:vMerge w:val="continue"/>
            <w:tcBorders>
              <w:left w:val="single" w:color="000000" w:sz="4" w:space="0"/>
              <w:bottom w:val="single" w:color="000000" w:sz="4" w:space="0"/>
              <w:right w:val="single" w:color="000000" w:sz="4" w:space="0"/>
            </w:tcBorders>
            <w:shd w:val="clear" w:color="auto" w:fill="auto"/>
            <w:vAlign w:val="center"/>
          </w:tcPr>
          <w:p w14:paraId="07970882">
            <w:pPr>
              <w:jc w:val="center"/>
              <w:rPr>
                <w:rFonts w:hint="eastAsia" w:ascii="宋体" w:hAnsi="宋体" w:eastAsia="宋体" w:cs="宋体"/>
                <w:i w:val="0"/>
                <w:iCs w:val="0"/>
                <w:color w:val="000000"/>
                <w:sz w:val="24"/>
                <w:szCs w:val="24"/>
                <w:u w:val="none"/>
              </w:rPr>
            </w:pPr>
          </w:p>
        </w:tc>
        <w:tc>
          <w:tcPr>
            <w:tcW w:w="4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2E95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基础数据交互服务</w:t>
            </w:r>
          </w:p>
        </w:tc>
      </w:tr>
      <w:tr w14:paraId="3F35D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268C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17" w:type="dxa"/>
            <w:vMerge w:val="continue"/>
            <w:tcBorders>
              <w:left w:val="single" w:color="000000" w:sz="4" w:space="0"/>
              <w:right w:val="single" w:color="000000" w:sz="4" w:space="0"/>
            </w:tcBorders>
            <w:shd w:val="clear" w:color="auto" w:fill="auto"/>
            <w:vAlign w:val="center"/>
          </w:tcPr>
          <w:p w14:paraId="68292BEA">
            <w:pPr>
              <w:jc w:val="center"/>
              <w:rPr>
                <w:rFonts w:hint="eastAsia" w:ascii="宋体" w:hAnsi="宋体" w:eastAsia="宋体" w:cs="宋体"/>
                <w:i w:val="0"/>
                <w:iCs w:val="0"/>
                <w:color w:val="000000"/>
                <w:sz w:val="28"/>
                <w:szCs w:val="28"/>
                <w:u w:val="none"/>
              </w:rPr>
            </w:pP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EDF8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集成平台管理系统</w:t>
            </w:r>
          </w:p>
        </w:tc>
        <w:tc>
          <w:tcPr>
            <w:tcW w:w="4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8E5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服务管理</w:t>
            </w:r>
          </w:p>
        </w:tc>
      </w:tr>
      <w:tr w14:paraId="7E0BB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C4A18">
            <w:pPr>
              <w:jc w:val="center"/>
              <w:rPr>
                <w:rFonts w:hint="eastAsia" w:ascii="宋体" w:hAnsi="宋体" w:eastAsia="宋体" w:cs="宋体"/>
                <w:i w:val="0"/>
                <w:iCs w:val="0"/>
                <w:color w:val="000000"/>
                <w:sz w:val="24"/>
                <w:szCs w:val="24"/>
                <w:u w:val="none"/>
              </w:rPr>
            </w:pPr>
          </w:p>
        </w:tc>
        <w:tc>
          <w:tcPr>
            <w:tcW w:w="1017" w:type="dxa"/>
            <w:vMerge w:val="continue"/>
            <w:tcBorders>
              <w:left w:val="single" w:color="000000" w:sz="4" w:space="0"/>
              <w:right w:val="single" w:color="000000" w:sz="4" w:space="0"/>
            </w:tcBorders>
            <w:shd w:val="clear" w:color="auto" w:fill="auto"/>
            <w:vAlign w:val="center"/>
          </w:tcPr>
          <w:p w14:paraId="3EB78CFD">
            <w:pPr>
              <w:jc w:val="center"/>
              <w:rPr>
                <w:rFonts w:hint="eastAsia" w:ascii="宋体" w:hAnsi="宋体" w:eastAsia="宋体" w:cs="宋体"/>
                <w:i w:val="0"/>
                <w:iCs w:val="0"/>
                <w:color w:val="000000"/>
                <w:sz w:val="28"/>
                <w:szCs w:val="2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733EB">
            <w:pPr>
              <w:jc w:val="center"/>
              <w:rPr>
                <w:rFonts w:hint="eastAsia" w:ascii="宋体" w:hAnsi="宋体" w:eastAsia="宋体" w:cs="宋体"/>
                <w:i w:val="0"/>
                <w:iCs w:val="0"/>
                <w:color w:val="000000"/>
                <w:sz w:val="24"/>
                <w:szCs w:val="24"/>
                <w:u w:val="none"/>
              </w:rPr>
            </w:pPr>
          </w:p>
        </w:tc>
        <w:tc>
          <w:tcPr>
            <w:tcW w:w="4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0C7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服务监控</w:t>
            </w:r>
          </w:p>
        </w:tc>
      </w:tr>
      <w:tr w14:paraId="5DE78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5AE09">
            <w:pPr>
              <w:jc w:val="center"/>
              <w:rPr>
                <w:rFonts w:hint="eastAsia" w:ascii="宋体" w:hAnsi="宋体" w:eastAsia="宋体" w:cs="宋体"/>
                <w:i w:val="0"/>
                <w:iCs w:val="0"/>
                <w:color w:val="000000"/>
                <w:sz w:val="24"/>
                <w:szCs w:val="24"/>
                <w:u w:val="none"/>
              </w:rPr>
            </w:pPr>
          </w:p>
        </w:tc>
        <w:tc>
          <w:tcPr>
            <w:tcW w:w="1017" w:type="dxa"/>
            <w:vMerge w:val="continue"/>
            <w:tcBorders>
              <w:left w:val="single" w:color="000000" w:sz="4" w:space="0"/>
              <w:right w:val="single" w:color="000000" w:sz="4" w:space="0"/>
            </w:tcBorders>
            <w:shd w:val="clear" w:color="auto" w:fill="auto"/>
            <w:vAlign w:val="center"/>
          </w:tcPr>
          <w:p w14:paraId="0142F909">
            <w:pPr>
              <w:jc w:val="center"/>
              <w:rPr>
                <w:rFonts w:hint="eastAsia" w:ascii="宋体" w:hAnsi="宋体" w:eastAsia="宋体" w:cs="宋体"/>
                <w:i w:val="0"/>
                <w:iCs w:val="0"/>
                <w:color w:val="000000"/>
                <w:sz w:val="28"/>
                <w:szCs w:val="2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2C90E">
            <w:pPr>
              <w:jc w:val="center"/>
              <w:rPr>
                <w:rFonts w:hint="eastAsia" w:ascii="宋体" w:hAnsi="宋体" w:eastAsia="宋体" w:cs="宋体"/>
                <w:i w:val="0"/>
                <w:iCs w:val="0"/>
                <w:color w:val="000000"/>
                <w:sz w:val="24"/>
                <w:szCs w:val="24"/>
                <w:u w:val="none"/>
              </w:rPr>
            </w:pPr>
          </w:p>
        </w:tc>
        <w:tc>
          <w:tcPr>
            <w:tcW w:w="4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A67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服务调试</w:t>
            </w:r>
          </w:p>
        </w:tc>
      </w:tr>
      <w:tr w14:paraId="7AAA9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530F8">
            <w:pPr>
              <w:jc w:val="center"/>
              <w:rPr>
                <w:rFonts w:hint="eastAsia" w:ascii="宋体" w:hAnsi="宋体" w:eastAsia="宋体" w:cs="宋体"/>
                <w:i w:val="0"/>
                <w:iCs w:val="0"/>
                <w:color w:val="000000"/>
                <w:sz w:val="24"/>
                <w:szCs w:val="24"/>
                <w:u w:val="none"/>
              </w:rPr>
            </w:pPr>
          </w:p>
        </w:tc>
        <w:tc>
          <w:tcPr>
            <w:tcW w:w="1017" w:type="dxa"/>
            <w:vMerge w:val="continue"/>
            <w:tcBorders>
              <w:left w:val="single" w:color="000000" w:sz="4" w:space="0"/>
              <w:right w:val="single" w:color="000000" w:sz="4" w:space="0"/>
            </w:tcBorders>
            <w:shd w:val="clear" w:color="auto" w:fill="auto"/>
            <w:vAlign w:val="center"/>
          </w:tcPr>
          <w:p w14:paraId="77B8910A">
            <w:pPr>
              <w:jc w:val="center"/>
              <w:rPr>
                <w:rFonts w:hint="eastAsia" w:ascii="宋体" w:hAnsi="宋体" w:eastAsia="宋体" w:cs="宋体"/>
                <w:i w:val="0"/>
                <w:iCs w:val="0"/>
                <w:color w:val="000000"/>
                <w:sz w:val="28"/>
                <w:szCs w:val="2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3B25D">
            <w:pPr>
              <w:jc w:val="center"/>
              <w:rPr>
                <w:rFonts w:hint="eastAsia" w:ascii="宋体" w:hAnsi="宋体" w:eastAsia="宋体" w:cs="宋体"/>
                <w:i w:val="0"/>
                <w:iCs w:val="0"/>
                <w:color w:val="000000"/>
                <w:sz w:val="24"/>
                <w:szCs w:val="24"/>
                <w:u w:val="none"/>
              </w:rPr>
            </w:pPr>
          </w:p>
        </w:tc>
        <w:tc>
          <w:tcPr>
            <w:tcW w:w="4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96C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服务监控大屏</w:t>
            </w:r>
          </w:p>
        </w:tc>
      </w:tr>
      <w:tr w14:paraId="22CEE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20CF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17" w:type="dxa"/>
            <w:vMerge w:val="continue"/>
            <w:tcBorders>
              <w:left w:val="single" w:color="000000" w:sz="4" w:space="0"/>
              <w:right w:val="single" w:color="000000" w:sz="4" w:space="0"/>
            </w:tcBorders>
            <w:shd w:val="clear" w:color="auto" w:fill="auto"/>
            <w:vAlign w:val="center"/>
          </w:tcPr>
          <w:p w14:paraId="4BE389EF">
            <w:pPr>
              <w:jc w:val="center"/>
              <w:rPr>
                <w:rFonts w:hint="eastAsia" w:ascii="宋体" w:hAnsi="宋体" w:eastAsia="宋体" w:cs="宋体"/>
                <w:i w:val="0"/>
                <w:iCs w:val="0"/>
                <w:color w:val="000000"/>
                <w:sz w:val="28"/>
                <w:szCs w:val="28"/>
                <w:u w:val="none"/>
              </w:rPr>
            </w:pPr>
          </w:p>
        </w:tc>
        <w:tc>
          <w:tcPr>
            <w:tcW w:w="1575" w:type="dxa"/>
            <w:vMerge w:val="restart"/>
            <w:tcBorders>
              <w:top w:val="single" w:color="000000" w:sz="4" w:space="0"/>
              <w:left w:val="single" w:color="000000" w:sz="4" w:space="0"/>
              <w:right w:val="single" w:color="000000" w:sz="4" w:space="0"/>
            </w:tcBorders>
            <w:shd w:val="clear" w:color="auto" w:fill="auto"/>
            <w:vAlign w:val="center"/>
          </w:tcPr>
          <w:p w14:paraId="258FC6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互联互通数据交互服务</w:t>
            </w:r>
          </w:p>
        </w:tc>
        <w:tc>
          <w:tcPr>
            <w:tcW w:w="4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B9D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文档注册、查询服务</w:t>
            </w:r>
          </w:p>
        </w:tc>
      </w:tr>
      <w:tr w14:paraId="0DC35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42BDF">
            <w:pPr>
              <w:jc w:val="center"/>
              <w:rPr>
                <w:rFonts w:hint="eastAsia" w:ascii="宋体" w:hAnsi="宋体" w:eastAsia="宋体" w:cs="宋体"/>
                <w:i w:val="0"/>
                <w:iCs w:val="0"/>
                <w:color w:val="000000"/>
                <w:sz w:val="24"/>
                <w:szCs w:val="24"/>
                <w:u w:val="none"/>
              </w:rPr>
            </w:pPr>
          </w:p>
        </w:tc>
        <w:tc>
          <w:tcPr>
            <w:tcW w:w="1017" w:type="dxa"/>
            <w:vMerge w:val="continue"/>
            <w:tcBorders>
              <w:left w:val="single" w:color="000000" w:sz="4" w:space="0"/>
              <w:right w:val="single" w:color="000000" w:sz="4" w:space="0"/>
            </w:tcBorders>
            <w:shd w:val="clear" w:color="auto" w:fill="auto"/>
            <w:vAlign w:val="center"/>
          </w:tcPr>
          <w:p w14:paraId="5FE4C88F">
            <w:pPr>
              <w:jc w:val="center"/>
              <w:rPr>
                <w:rFonts w:hint="eastAsia" w:ascii="宋体" w:hAnsi="宋体" w:eastAsia="宋体" w:cs="宋体"/>
                <w:i w:val="0"/>
                <w:iCs w:val="0"/>
                <w:color w:val="000000"/>
                <w:sz w:val="28"/>
                <w:szCs w:val="28"/>
                <w:u w:val="none"/>
              </w:rPr>
            </w:pPr>
          </w:p>
        </w:tc>
        <w:tc>
          <w:tcPr>
            <w:tcW w:w="1575" w:type="dxa"/>
            <w:vMerge w:val="continue"/>
            <w:tcBorders>
              <w:left w:val="single" w:color="000000" w:sz="4" w:space="0"/>
              <w:right w:val="single" w:color="000000" w:sz="4" w:space="0"/>
            </w:tcBorders>
            <w:shd w:val="clear" w:color="auto" w:fill="auto"/>
            <w:vAlign w:val="center"/>
          </w:tcPr>
          <w:p w14:paraId="071D1208">
            <w:pPr>
              <w:jc w:val="center"/>
              <w:rPr>
                <w:rFonts w:hint="eastAsia" w:ascii="宋体" w:hAnsi="宋体" w:eastAsia="宋体" w:cs="宋体"/>
                <w:i w:val="0"/>
                <w:iCs w:val="0"/>
                <w:color w:val="000000"/>
                <w:sz w:val="24"/>
                <w:szCs w:val="24"/>
                <w:u w:val="none"/>
              </w:rPr>
            </w:pPr>
          </w:p>
        </w:tc>
        <w:tc>
          <w:tcPr>
            <w:tcW w:w="4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2EF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个人信息注册、查询服务</w:t>
            </w:r>
          </w:p>
        </w:tc>
      </w:tr>
      <w:tr w14:paraId="08450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2C44A">
            <w:pPr>
              <w:jc w:val="center"/>
              <w:rPr>
                <w:rFonts w:hint="eastAsia" w:ascii="宋体" w:hAnsi="宋体" w:eastAsia="宋体" w:cs="宋体"/>
                <w:i w:val="0"/>
                <w:iCs w:val="0"/>
                <w:color w:val="000000"/>
                <w:sz w:val="24"/>
                <w:szCs w:val="24"/>
                <w:u w:val="none"/>
              </w:rPr>
            </w:pPr>
          </w:p>
        </w:tc>
        <w:tc>
          <w:tcPr>
            <w:tcW w:w="1017" w:type="dxa"/>
            <w:vMerge w:val="continue"/>
            <w:tcBorders>
              <w:left w:val="single" w:color="000000" w:sz="4" w:space="0"/>
              <w:right w:val="single" w:color="000000" w:sz="4" w:space="0"/>
            </w:tcBorders>
            <w:shd w:val="clear" w:color="auto" w:fill="auto"/>
            <w:vAlign w:val="center"/>
          </w:tcPr>
          <w:p w14:paraId="51449CC6">
            <w:pPr>
              <w:jc w:val="center"/>
              <w:rPr>
                <w:rFonts w:hint="eastAsia" w:ascii="宋体" w:hAnsi="宋体" w:eastAsia="宋体" w:cs="宋体"/>
                <w:i w:val="0"/>
                <w:iCs w:val="0"/>
                <w:color w:val="000000"/>
                <w:sz w:val="28"/>
                <w:szCs w:val="28"/>
                <w:u w:val="none"/>
              </w:rPr>
            </w:pPr>
          </w:p>
        </w:tc>
        <w:tc>
          <w:tcPr>
            <w:tcW w:w="1575" w:type="dxa"/>
            <w:vMerge w:val="continue"/>
            <w:tcBorders>
              <w:left w:val="single" w:color="000000" w:sz="4" w:space="0"/>
              <w:right w:val="single" w:color="000000" w:sz="4" w:space="0"/>
            </w:tcBorders>
            <w:shd w:val="clear" w:color="auto" w:fill="auto"/>
            <w:vAlign w:val="center"/>
          </w:tcPr>
          <w:p w14:paraId="741D960B">
            <w:pPr>
              <w:jc w:val="center"/>
              <w:rPr>
                <w:rFonts w:hint="eastAsia" w:ascii="宋体" w:hAnsi="宋体" w:eastAsia="宋体" w:cs="宋体"/>
                <w:i w:val="0"/>
                <w:iCs w:val="0"/>
                <w:color w:val="000000"/>
                <w:sz w:val="24"/>
                <w:szCs w:val="24"/>
                <w:u w:val="none"/>
              </w:rPr>
            </w:pPr>
          </w:p>
        </w:tc>
        <w:tc>
          <w:tcPr>
            <w:tcW w:w="4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340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医疗卫生机构注册、查询服务</w:t>
            </w:r>
          </w:p>
        </w:tc>
      </w:tr>
      <w:tr w14:paraId="2A763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98814">
            <w:pPr>
              <w:jc w:val="center"/>
              <w:rPr>
                <w:rFonts w:hint="eastAsia" w:ascii="宋体" w:hAnsi="宋体" w:eastAsia="宋体" w:cs="宋体"/>
                <w:i w:val="0"/>
                <w:iCs w:val="0"/>
                <w:color w:val="000000"/>
                <w:sz w:val="24"/>
                <w:szCs w:val="24"/>
                <w:u w:val="none"/>
              </w:rPr>
            </w:pPr>
          </w:p>
        </w:tc>
        <w:tc>
          <w:tcPr>
            <w:tcW w:w="1017" w:type="dxa"/>
            <w:vMerge w:val="continue"/>
            <w:tcBorders>
              <w:left w:val="single" w:color="000000" w:sz="4" w:space="0"/>
              <w:right w:val="single" w:color="000000" w:sz="4" w:space="0"/>
            </w:tcBorders>
            <w:shd w:val="clear" w:color="auto" w:fill="auto"/>
            <w:vAlign w:val="center"/>
          </w:tcPr>
          <w:p w14:paraId="050994BE">
            <w:pPr>
              <w:jc w:val="center"/>
              <w:rPr>
                <w:rFonts w:hint="eastAsia" w:ascii="宋体" w:hAnsi="宋体" w:eastAsia="宋体" w:cs="宋体"/>
                <w:i w:val="0"/>
                <w:iCs w:val="0"/>
                <w:color w:val="000000"/>
                <w:sz w:val="28"/>
                <w:szCs w:val="28"/>
                <w:u w:val="none"/>
              </w:rPr>
            </w:pPr>
          </w:p>
        </w:tc>
        <w:tc>
          <w:tcPr>
            <w:tcW w:w="1575" w:type="dxa"/>
            <w:vMerge w:val="continue"/>
            <w:tcBorders>
              <w:left w:val="single" w:color="000000" w:sz="4" w:space="0"/>
              <w:right w:val="single" w:color="000000" w:sz="4" w:space="0"/>
            </w:tcBorders>
            <w:shd w:val="clear" w:color="auto" w:fill="auto"/>
            <w:vAlign w:val="center"/>
          </w:tcPr>
          <w:p w14:paraId="35FB8CDA">
            <w:pPr>
              <w:jc w:val="center"/>
              <w:rPr>
                <w:rFonts w:hint="eastAsia" w:ascii="宋体" w:hAnsi="宋体" w:eastAsia="宋体" w:cs="宋体"/>
                <w:i w:val="0"/>
                <w:iCs w:val="0"/>
                <w:color w:val="000000"/>
                <w:sz w:val="24"/>
                <w:szCs w:val="24"/>
                <w:u w:val="none"/>
              </w:rPr>
            </w:pPr>
          </w:p>
        </w:tc>
        <w:tc>
          <w:tcPr>
            <w:tcW w:w="4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A0B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医疗卫生人员注册、查询服务</w:t>
            </w:r>
          </w:p>
        </w:tc>
      </w:tr>
      <w:tr w14:paraId="69AB1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AE54B">
            <w:pPr>
              <w:jc w:val="center"/>
              <w:rPr>
                <w:rFonts w:hint="eastAsia" w:ascii="宋体" w:hAnsi="宋体" w:eastAsia="宋体" w:cs="宋体"/>
                <w:i w:val="0"/>
                <w:iCs w:val="0"/>
                <w:color w:val="000000"/>
                <w:sz w:val="24"/>
                <w:szCs w:val="24"/>
                <w:u w:val="none"/>
              </w:rPr>
            </w:pPr>
          </w:p>
        </w:tc>
        <w:tc>
          <w:tcPr>
            <w:tcW w:w="1017" w:type="dxa"/>
            <w:vMerge w:val="continue"/>
            <w:tcBorders>
              <w:left w:val="single" w:color="000000" w:sz="4" w:space="0"/>
              <w:right w:val="single" w:color="000000" w:sz="4" w:space="0"/>
            </w:tcBorders>
            <w:shd w:val="clear" w:color="auto" w:fill="auto"/>
            <w:vAlign w:val="center"/>
          </w:tcPr>
          <w:p w14:paraId="3AB2FB61">
            <w:pPr>
              <w:jc w:val="center"/>
              <w:rPr>
                <w:rFonts w:hint="eastAsia" w:ascii="宋体" w:hAnsi="宋体" w:eastAsia="宋体" w:cs="宋体"/>
                <w:i w:val="0"/>
                <w:iCs w:val="0"/>
                <w:color w:val="000000"/>
                <w:sz w:val="28"/>
                <w:szCs w:val="28"/>
                <w:u w:val="none"/>
              </w:rPr>
            </w:pPr>
          </w:p>
        </w:tc>
        <w:tc>
          <w:tcPr>
            <w:tcW w:w="1575" w:type="dxa"/>
            <w:vMerge w:val="continue"/>
            <w:tcBorders>
              <w:left w:val="single" w:color="000000" w:sz="4" w:space="0"/>
              <w:right w:val="single" w:color="000000" w:sz="4" w:space="0"/>
            </w:tcBorders>
            <w:shd w:val="clear" w:color="auto" w:fill="auto"/>
            <w:vAlign w:val="center"/>
          </w:tcPr>
          <w:p w14:paraId="6B4457E0">
            <w:pPr>
              <w:jc w:val="center"/>
              <w:rPr>
                <w:rFonts w:hint="eastAsia" w:ascii="宋体" w:hAnsi="宋体" w:eastAsia="宋体" w:cs="宋体"/>
                <w:i w:val="0"/>
                <w:iCs w:val="0"/>
                <w:color w:val="000000"/>
                <w:sz w:val="24"/>
                <w:szCs w:val="24"/>
                <w:u w:val="none"/>
              </w:rPr>
            </w:pPr>
          </w:p>
        </w:tc>
        <w:tc>
          <w:tcPr>
            <w:tcW w:w="4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041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就诊信息交互服务</w:t>
            </w:r>
          </w:p>
        </w:tc>
      </w:tr>
      <w:tr w14:paraId="45F35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2F0EB">
            <w:pPr>
              <w:jc w:val="center"/>
              <w:rPr>
                <w:rFonts w:hint="eastAsia" w:ascii="宋体" w:hAnsi="宋体" w:eastAsia="宋体" w:cs="宋体"/>
                <w:i w:val="0"/>
                <w:iCs w:val="0"/>
                <w:color w:val="000000"/>
                <w:sz w:val="24"/>
                <w:szCs w:val="24"/>
                <w:u w:val="none"/>
              </w:rPr>
            </w:pPr>
          </w:p>
        </w:tc>
        <w:tc>
          <w:tcPr>
            <w:tcW w:w="1017" w:type="dxa"/>
            <w:vMerge w:val="continue"/>
            <w:tcBorders>
              <w:left w:val="single" w:color="000000" w:sz="4" w:space="0"/>
              <w:right w:val="single" w:color="000000" w:sz="4" w:space="0"/>
            </w:tcBorders>
            <w:shd w:val="clear" w:color="auto" w:fill="auto"/>
            <w:vAlign w:val="center"/>
          </w:tcPr>
          <w:p w14:paraId="445176D7">
            <w:pPr>
              <w:jc w:val="center"/>
              <w:rPr>
                <w:rFonts w:hint="eastAsia" w:ascii="宋体" w:hAnsi="宋体" w:eastAsia="宋体" w:cs="宋体"/>
                <w:i w:val="0"/>
                <w:iCs w:val="0"/>
                <w:color w:val="000000"/>
                <w:sz w:val="28"/>
                <w:szCs w:val="28"/>
                <w:u w:val="none"/>
              </w:rPr>
            </w:pPr>
          </w:p>
        </w:tc>
        <w:tc>
          <w:tcPr>
            <w:tcW w:w="1575" w:type="dxa"/>
            <w:vMerge w:val="continue"/>
            <w:tcBorders>
              <w:left w:val="single" w:color="000000" w:sz="4" w:space="0"/>
              <w:right w:val="single" w:color="000000" w:sz="4" w:space="0"/>
            </w:tcBorders>
            <w:shd w:val="clear" w:color="auto" w:fill="auto"/>
            <w:vAlign w:val="center"/>
          </w:tcPr>
          <w:p w14:paraId="6C692E9A">
            <w:pPr>
              <w:jc w:val="center"/>
              <w:rPr>
                <w:rFonts w:hint="eastAsia" w:ascii="宋体" w:hAnsi="宋体" w:eastAsia="宋体" w:cs="宋体"/>
                <w:i w:val="0"/>
                <w:iCs w:val="0"/>
                <w:color w:val="000000"/>
                <w:sz w:val="24"/>
                <w:szCs w:val="24"/>
                <w:u w:val="none"/>
              </w:rPr>
            </w:pPr>
          </w:p>
        </w:tc>
        <w:tc>
          <w:tcPr>
            <w:tcW w:w="4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C39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医嘱信息交互服务</w:t>
            </w:r>
          </w:p>
        </w:tc>
      </w:tr>
      <w:tr w14:paraId="3A611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B43BD">
            <w:pPr>
              <w:jc w:val="center"/>
              <w:rPr>
                <w:rFonts w:hint="eastAsia" w:ascii="宋体" w:hAnsi="宋体" w:eastAsia="宋体" w:cs="宋体"/>
                <w:i w:val="0"/>
                <w:iCs w:val="0"/>
                <w:color w:val="000000"/>
                <w:sz w:val="24"/>
                <w:szCs w:val="24"/>
                <w:u w:val="none"/>
              </w:rPr>
            </w:pPr>
          </w:p>
        </w:tc>
        <w:tc>
          <w:tcPr>
            <w:tcW w:w="1017" w:type="dxa"/>
            <w:vMerge w:val="continue"/>
            <w:tcBorders>
              <w:left w:val="single" w:color="000000" w:sz="4" w:space="0"/>
              <w:right w:val="single" w:color="000000" w:sz="4" w:space="0"/>
            </w:tcBorders>
            <w:shd w:val="clear" w:color="auto" w:fill="auto"/>
            <w:vAlign w:val="center"/>
          </w:tcPr>
          <w:p w14:paraId="083BD49E">
            <w:pPr>
              <w:jc w:val="center"/>
              <w:rPr>
                <w:rFonts w:hint="eastAsia" w:ascii="宋体" w:hAnsi="宋体" w:eastAsia="宋体" w:cs="宋体"/>
                <w:i w:val="0"/>
                <w:iCs w:val="0"/>
                <w:color w:val="000000"/>
                <w:sz w:val="28"/>
                <w:szCs w:val="28"/>
                <w:u w:val="none"/>
              </w:rPr>
            </w:pPr>
          </w:p>
        </w:tc>
        <w:tc>
          <w:tcPr>
            <w:tcW w:w="1575" w:type="dxa"/>
            <w:vMerge w:val="continue"/>
            <w:tcBorders>
              <w:left w:val="single" w:color="000000" w:sz="4" w:space="0"/>
              <w:right w:val="single" w:color="000000" w:sz="4" w:space="0"/>
            </w:tcBorders>
            <w:shd w:val="clear" w:color="auto" w:fill="auto"/>
            <w:vAlign w:val="center"/>
          </w:tcPr>
          <w:p w14:paraId="39BCD1D9">
            <w:pPr>
              <w:jc w:val="center"/>
              <w:rPr>
                <w:rFonts w:hint="eastAsia" w:ascii="宋体" w:hAnsi="宋体" w:eastAsia="宋体" w:cs="宋体"/>
                <w:i w:val="0"/>
                <w:iCs w:val="0"/>
                <w:color w:val="000000"/>
                <w:sz w:val="24"/>
                <w:szCs w:val="24"/>
                <w:u w:val="none"/>
              </w:rPr>
            </w:pPr>
          </w:p>
        </w:tc>
        <w:tc>
          <w:tcPr>
            <w:tcW w:w="4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28D5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状态信息交互服务</w:t>
            </w:r>
          </w:p>
        </w:tc>
      </w:tr>
      <w:tr w14:paraId="1E7D9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A3F6E">
            <w:pPr>
              <w:jc w:val="center"/>
              <w:rPr>
                <w:rFonts w:hint="eastAsia" w:ascii="宋体" w:hAnsi="宋体" w:eastAsia="宋体" w:cs="宋体"/>
                <w:i w:val="0"/>
                <w:iCs w:val="0"/>
                <w:color w:val="000000"/>
                <w:sz w:val="24"/>
                <w:szCs w:val="24"/>
                <w:u w:val="none"/>
              </w:rPr>
            </w:pPr>
          </w:p>
        </w:tc>
        <w:tc>
          <w:tcPr>
            <w:tcW w:w="1017" w:type="dxa"/>
            <w:vMerge w:val="continue"/>
            <w:tcBorders>
              <w:left w:val="single" w:color="000000" w:sz="4" w:space="0"/>
              <w:right w:val="single" w:color="000000" w:sz="4" w:space="0"/>
            </w:tcBorders>
            <w:shd w:val="clear" w:color="auto" w:fill="auto"/>
            <w:vAlign w:val="center"/>
          </w:tcPr>
          <w:p w14:paraId="7E200501">
            <w:pPr>
              <w:jc w:val="center"/>
              <w:rPr>
                <w:rFonts w:hint="eastAsia" w:ascii="宋体" w:hAnsi="宋体" w:eastAsia="宋体" w:cs="宋体"/>
                <w:i w:val="0"/>
                <w:iCs w:val="0"/>
                <w:color w:val="000000"/>
                <w:sz w:val="28"/>
                <w:szCs w:val="28"/>
                <w:u w:val="none"/>
              </w:rPr>
            </w:pPr>
          </w:p>
        </w:tc>
        <w:tc>
          <w:tcPr>
            <w:tcW w:w="1575" w:type="dxa"/>
            <w:vMerge w:val="continue"/>
            <w:tcBorders>
              <w:left w:val="single" w:color="000000" w:sz="4" w:space="0"/>
              <w:right w:val="single" w:color="000000" w:sz="4" w:space="0"/>
            </w:tcBorders>
            <w:shd w:val="clear" w:color="auto" w:fill="auto"/>
            <w:vAlign w:val="center"/>
          </w:tcPr>
          <w:p w14:paraId="34221D77">
            <w:pPr>
              <w:jc w:val="center"/>
              <w:rPr>
                <w:rFonts w:hint="eastAsia" w:ascii="宋体" w:hAnsi="宋体" w:eastAsia="宋体" w:cs="宋体"/>
                <w:i w:val="0"/>
                <w:iCs w:val="0"/>
                <w:color w:val="000000"/>
                <w:sz w:val="24"/>
                <w:szCs w:val="24"/>
                <w:u w:val="none"/>
              </w:rPr>
            </w:pPr>
          </w:p>
        </w:tc>
        <w:tc>
          <w:tcPr>
            <w:tcW w:w="4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510D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预约信息交互服务</w:t>
            </w:r>
          </w:p>
        </w:tc>
      </w:tr>
      <w:tr w14:paraId="1A33D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1BF75">
            <w:pPr>
              <w:jc w:val="center"/>
              <w:rPr>
                <w:rFonts w:hint="eastAsia" w:ascii="宋体" w:hAnsi="宋体" w:eastAsia="宋体" w:cs="宋体"/>
                <w:i w:val="0"/>
                <w:iCs w:val="0"/>
                <w:color w:val="000000"/>
                <w:sz w:val="24"/>
                <w:szCs w:val="24"/>
                <w:u w:val="none"/>
              </w:rPr>
            </w:pPr>
          </w:p>
        </w:tc>
        <w:tc>
          <w:tcPr>
            <w:tcW w:w="1017" w:type="dxa"/>
            <w:vMerge w:val="continue"/>
            <w:tcBorders>
              <w:left w:val="single" w:color="000000" w:sz="4" w:space="0"/>
              <w:right w:val="single" w:color="000000" w:sz="4" w:space="0"/>
            </w:tcBorders>
            <w:shd w:val="clear" w:color="auto" w:fill="auto"/>
            <w:vAlign w:val="center"/>
          </w:tcPr>
          <w:p w14:paraId="1AA62457">
            <w:pPr>
              <w:jc w:val="center"/>
              <w:rPr>
                <w:rFonts w:hint="eastAsia" w:ascii="宋体" w:hAnsi="宋体" w:eastAsia="宋体" w:cs="宋体"/>
                <w:i w:val="0"/>
                <w:iCs w:val="0"/>
                <w:color w:val="000000"/>
                <w:sz w:val="28"/>
                <w:szCs w:val="28"/>
                <w:u w:val="none"/>
              </w:rPr>
            </w:pPr>
          </w:p>
        </w:tc>
        <w:tc>
          <w:tcPr>
            <w:tcW w:w="1575" w:type="dxa"/>
            <w:vMerge w:val="continue"/>
            <w:tcBorders>
              <w:left w:val="single" w:color="000000" w:sz="4" w:space="0"/>
              <w:right w:val="single" w:color="000000" w:sz="4" w:space="0"/>
            </w:tcBorders>
            <w:shd w:val="clear" w:color="auto" w:fill="auto"/>
            <w:vAlign w:val="center"/>
          </w:tcPr>
          <w:p w14:paraId="274BA614">
            <w:pPr>
              <w:jc w:val="center"/>
              <w:rPr>
                <w:rFonts w:hint="eastAsia" w:ascii="宋体" w:hAnsi="宋体" w:eastAsia="宋体" w:cs="宋体"/>
                <w:i w:val="0"/>
                <w:iCs w:val="0"/>
                <w:color w:val="000000"/>
                <w:sz w:val="24"/>
                <w:szCs w:val="24"/>
                <w:u w:val="none"/>
              </w:rPr>
            </w:pPr>
          </w:p>
        </w:tc>
        <w:tc>
          <w:tcPr>
            <w:tcW w:w="4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81B9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申请单信息交互服务</w:t>
            </w:r>
          </w:p>
        </w:tc>
      </w:tr>
      <w:tr w14:paraId="57861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776DA">
            <w:pPr>
              <w:jc w:val="center"/>
              <w:rPr>
                <w:rFonts w:hint="eastAsia" w:ascii="宋体" w:hAnsi="宋体" w:eastAsia="宋体" w:cs="宋体"/>
                <w:i w:val="0"/>
                <w:iCs w:val="0"/>
                <w:color w:val="000000"/>
                <w:sz w:val="24"/>
                <w:szCs w:val="24"/>
                <w:u w:val="none"/>
              </w:rPr>
            </w:pPr>
          </w:p>
        </w:tc>
        <w:tc>
          <w:tcPr>
            <w:tcW w:w="1017" w:type="dxa"/>
            <w:vMerge w:val="continue"/>
            <w:tcBorders>
              <w:left w:val="single" w:color="000000" w:sz="4" w:space="0"/>
              <w:bottom w:val="single" w:color="000000" w:sz="4" w:space="0"/>
              <w:right w:val="single" w:color="000000" w:sz="4" w:space="0"/>
            </w:tcBorders>
            <w:shd w:val="clear" w:color="auto" w:fill="auto"/>
            <w:vAlign w:val="center"/>
          </w:tcPr>
          <w:p w14:paraId="55647566">
            <w:pPr>
              <w:jc w:val="center"/>
              <w:rPr>
                <w:rFonts w:hint="eastAsia" w:ascii="宋体" w:hAnsi="宋体" w:eastAsia="宋体" w:cs="宋体"/>
                <w:i w:val="0"/>
                <w:iCs w:val="0"/>
                <w:color w:val="000000"/>
                <w:sz w:val="28"/>
                <w:szCs w:val="28"/>
                <w:u w:val="none"/>
              </w:rPr>
            </w:pPr>
          </w:p>
        </w:tc>
        <w:tc>
          <w:tcPr>
            <w:tcW w:w="1575" w:type="dxa"/>
            <w:vMerge w:val="continue"/>
            <w:tcBorders>
              <w:left w:val="single" w:color="000000" w:sz="4" w:space="0"/>
              <w:bottom w:val="single" w:color="000000" w:sz="4" w:space="0"/>
              <w:right w:val="single" w:color="000000" w:sz="4" w:space="0"/>
            </w:tcBorders>
            <w:shd w:val="clear" w:color="auto" w:fill="auto"/>
            <w:vAlign w:val="center"/>
          </w:tcPr>
          <w:p w14:paraId="2872FB47">
            <w:pPr>
              <w:jc w:val="center"/>
              <w:rPr>
                <w:rFonts w:hint="eastAsia" w:ascii="宋体" w:hAnsi="宋体" w:eastAsia="宋体" w:cs="宋体"/>
                <w:i w:val="0"/>
                <w:iCs w:val="0"/>
                <w:color w:val="000000"/>
                <w:sz w:val="24"/>
                <w:szCs w:val="24"/>
                <w:u w:val="none"/>
              </w:rPr>
            </w:pPr>
          </w:p>
        </w:tc>
        <w:tc>
          <w:tcPr>
            <w:tcW w:w="4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04D2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术语注册、查询服务</w:t>
            </w:r>
          </w:p>
        </w:tc>
      </w:tr>
      <w:tr w14:paraId="7DDBE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E89B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0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7E04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互联互通业务系统改造</w:t>
            </w:r>
          </w:p>
        </w:tc>
        <w:tc>
          <w:tcPr>
            <w:tcW w:w="1575" w:type="dxa"/>
            <w:vMerge w:val="restart"/>
            <w:tcBorders>
              <w:top w:val="single" w:color="000000" w:sz="4" w:space="0"/>
              <w:left w:val="single" w:color="000000" w:sz="4" w:space="0"/>
              <w:right w:val="single" w:color="000000" w:sz="4" w:space="0"/>
            </w:tcBorders>
            <w:shd w:val="clear" w:color="auto" w:fill="auto"/>
            <w:vAlign w:val="center"/>
          </w:tcPr>
          <w:p w14:paraId="724510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互联互通业务系统改造</w:t>
            </w:r>
          </w:p>
        </w:tc>
        <w:tc>
          <w:tcPr>
            <w:tcW w:w="4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CA3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电子处方数据集</w:t>
            </w:r>
          </w:p>
        </w:tc>
      </w:tr>
      <w:tr w14:paraId="62FD7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AF108">
            <w:pPr>
              <w:jc w:val="center"/>
              <w:rPr>
                <w:rFonts w:hint="eastAsia" w:ascii="宋体" w:hAnsi="宋体" w:eastAsia="宋体" w:cs="宋体"/>
                <w:i w:val="0"/>
                <w:iCs w:val="0"/>
                <w:color w:val="000000"/>
                <w:sz w:val="24"/>
                <w:szCs w:val="24"/>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996FA">
            <w:pPr>
              <w:jc w:val="center"/>
              <w:rPr>
                <w:rFonts w:hint="eastAsia" w:ascii="宋体" w:hAnsi="宋体" w:eastAsia="宋体" w:cs="宋体"/>
                <w:i w:val="0"/>
                <w:iCs w:val="0"/>
                <w:color w:val="000000"/>
                <w:sz w:val="24"/>
                <w:szCs w:val="24"/>
                <w:u w:val="none"/>
              </w:rPr>
            </w:pPr>
          </w:p>
        </w:tc>
        <w:tc>
          <w:tcPr>
            <w:tcW w:w="1575" w:type="dxa"/>
            <w:vMerge w:val="continue"/>
            <w:tcBorders>
              <w:left w:val="single" w:color="000000" w:sz="4" w:space="0"/>
              <w:right w:val="single" w:color="000000" w:sz="4" w:space="0"/>
            </w:tcBorders>
            <w:shd w:val="clear" w:color="auto" w:fill="auto"/>
            <w:vAlign w:val="center"/>
          </w:tcPr>
          <w:p w14:paraId="74DBB38F">
            <w:pPr>
              <w:jc w:val="center"/>
              <w:rPr>
                <w:rFonts w:hint="eastAsia" w:ascii="宋体" w:hAnsi="宋体" w:eastAsia="宋体" w:cs="宋体"/>
                <w:i w:val="0"/>
                <w:iCs w:val="0"/>
                <w:color w:val="000000"/>
                <w:sz w:val="24"/>
                <w:szCs w:val="24"/>
                <w:u w:val="none"/>
              </w:rPr>
            </w:pPr>
          </w:p>
        </w:tc>
        <w:tc>
          <w:tcPr>
            <w:tcW w:w="4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5AF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电子医嘱服务及数据集</w:t>
            </w:r>
          </w:p>
        </w:tc>
      </w:tr>
      <w:tr w14:paraId="3F00B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C0680">
            <w:pPr>
              <w:jc w:val="center"/>
              <w:rPr>
                <w:rFonts w:hint="eastAsia" w:ascii="宋体" w:hAnsi="宋体" w:eastAsia="宋体" w:cs="宋体"/>
                <w:i w:val="0"/>
                <w:iCs w:val="0"/>
                <w:color w:val="000000"/>
                <w:sz w:val="24"/>
                <w:szCs w:val="24"/>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AFE3C">
            <w:pPr>
              <w:jc w:val="center"/>
              <w:rPr>
                <w:rFonts w:hint="eastAsia" w:ascii="宋体" w:hAnsi="宋体" w:eastAsia="宋体" w:cs="宋体"/>
                <w:i w:val="0"/>
                <w:iCs w:val="0"/>
                <w:color w:val="000000"/>
                <w:sz w:val="24"/>
                <w:szCs w:val="24"/>
                <w:u w:val="none"/>
              </w:rPr>
            </w:pPr>
          </w:p>
        </w:tc>
        <w:tc>
          <w:tcPr>
            <w:tcW w:w="1575" w:type="dxa"/>
            <w:vMerge w:val="continue"/>
            <w:tcBorders>
              <w:left w:val="single" w:color="000000" w:sz="4" w:space="0"/>
              <w:right w:val="single" w:color="000000" w:sz="4" w:space="0"/>
            </w:tcBorders>
            <w:shd w:val="clear" w:color="auto" w:fill="auto"/>
            <w:vAlign w:val="center"/>
          </w:tcPr>
          <w:p w14:paraId="4DEEBBB0">
            <w:pPr>
              <w:jc w:val="center"/>
              <w:rPr>
                <w:rFonts w:hint="eastAsia" w:ascii="宋体" w:hAnsi="宋体" w:eastAsia="宋体" w:cs="宋体"/>
                <w:i w:val="0"/>
                <w:iCs w:val="0"/>
                <w:color w:val="000000"/>
                <w:sz w:val="24"/>
                <w:szCs w:val="24"/>
                <w:u w:val="none"/>
              </w:rPr>
            </w:pPr>
          </w:p>
        </w:tc>
        <w:tc>
          <w:tcPr>
            <w:tcW w:w="4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DE6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出入院信息服务及数据集</w:t>
            </w:r>
          </w:p>
        </w:tc>
      </w:tr>
      <w:tr w14:paraId="39A88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58655">
            <w:pPr>
              <w:jc w:val="center"/>
              <w:rPr>
                <w:rFonts w:hint="eastAsia" w:ascii="宋体" w:hAnsi="宋体" w:eastAsia="宋体" w:cs="宋体"/>
                <w:i w:val="0"/>
                <w:iCs w:val="0"/>
                <w:color w:val="000000"/>
                <w:sz w:val="24"/>
                <w:szCs w:val="24"/>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20C91">
            <w:pPr>
              <w:jc w:val="center"/>
              <w:rPr>
                <w:rFonts w:hint="eastAsia" w:ascii="宋体" w:hAnsi="宋体" w:eastAsia="宋体" w:cs="宋体"/>
                <w:i w:val="0"/>
                <w:iCs w:val="0"/>
                <w:color w:val="000000"/>
                <w:sz w:val="24"/>
                <w:szCs w:val="24"/>
                <w:u w:val="none"/>
              </w:rPr>
            </w:pPr>
          </w:p>
        </w:tc>
        <w:tc>
          <w:tcPr>
            <w:tcW w:w="1575" w:type="dxa"/>
            <w:vMerge w:val="continue"/>
            <w:tcBorders>
              <w:left w:val="single" w:color="000000" w:sz="4" w:space="0"/>
              <w:right w:val="single" w:color="000000" w:sz="4" w:space="0"/>
            </w:tcBorders>
            <w:shd w:val="clear" w:color="auto" w:fill="auto"/>
            <w:vAlign w:val="center"/>
          </w:tcPr>
          <w:p w14:paraId="466F3DE6">
            <w:pPr>
              <w:jc w:val="center"/>
              <w:rPr>
                <w:rFonts w:hint="eastAsia" w:ascii="宋体" w:hAnsi="宋体" w:eastAsia="宋体" w:cs="宋体"/>
                <w:i w:val="0"/>
                <w:iCs w:val="0"/>
                <w:color w:val="000000"/>
                <w:sz w:val="24"/>
                <w:szCs w:val="24"/>
                <w:u w:val="none"/>
              </w:rPr>
            </w:pPr>
          </w:p>
        </w:tc>
        <w:tc>
          <w:tcPr>
            <w:tcW w:w="4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E59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门急诊挂号服务及数据集</w:t>
            </w:r>
          </w:p>
        </w:tc>
      </w:tr>
      <w:tr w14:paraId="42646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9A820">
            <w:pPr>
              <w:jc w:val="center"/>
              <w:rPr>
                <w:rFonts w:hint="eastAsia" w:ascii="宋体" w:hAnsi="宋体" w:eastAsia="宋体" w:cs="宋体"/>
                <w:i w:val="0"/>
                <w:iCs w:val="0"/>
                <w:color w:val="000000"/>
                <w:sz w:val="24"/>
                <w:szCs w:val="24"/>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6B1BE">
            <w:pPr>
              <w:jc w:val="center"/>
              <w:rPr>
                <w:rFonts w:hint="eastAsia" w:ascii="宋体" w:hAnsi="宋体" w:eastAsia="宋体" w:cs="宋体"/>
                <w:i w:val="0"/>
                <w:iCs w:val="0"/>
                <w:color w:val="000000"/>
                <w:sz w:val="24"/>
                <w:szCs w:val="24"/>
                <w:u w:val="none"/>
              </w:rPr>
            </w:pPr>
          </w:p>
        </w:tc>
        <w:tc>
          <w:tcPr>
            <w:tcW w:w="1575" w:type="dxa"/>
            <w:vMerge w:val="continue"/>
            <w:tcBorders>
              <w:left w:val="single" w:color="000000" w:sz="4" w:space="0"/>
              <w:right w:val="single" w:color="000000" w:sz="4" w:space="0"/>
            </w:tcBorders>
            <w:shd w:val="clear" w:color="auto" w:fill="auto"/>
            <w:vAlign w:val="center"/>
          </w:tcPr>
          <w:p w14:paraId="2ADB1961">
            <w:pPr>
              <w:jc w:val="center"/>
              <w:rPr>
                <w:rFonts w:hint="eastAsia" w:ascii="宋体" w:hAnsi="宋体" w:eastAsia="宋体" w:cs="宋体"/>
                <w:i w:val="0"/>
                <w:iCs w:val="0"/>
                <w:color w:val="000000"/>
                <w:sz w:val="24"/>
                <w:szCs w:val="24"/>
                <w:u w:val="none"/>
              </w:rPr>
            </w:pPr>
          </w:p>
        </w:tc>
        <w:tc>
          <w:tcPr>
            <w:tcW w:w="4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36D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门急诊收费查询服务及数据集</w:t>
            </w:r>
          </w:p>
        </w:tc>
      </w:tr>
      <w:tr w14:paraId="0F03F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CC81D">
            <w:pPr>
              <w:jc w:val="center"/>
              <w:rPr>
                <w:rFonts w:hint="eastAsia" w:ascii="宋体" w:hAnsi="宋体" w:eastAsia="宋体" w:cs="宋体"/>
                <w:i w:val="0"/>
                <w:iCs w:val="0"/>
                <w:color w:val="000000"/>
                <w:sz w:val="24"/>
                <w:szCs w:val="24"/>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F004B">
            <w:pPr>
              <w:jc w:val="center"/>
              <w:rPr>
                <w:rFonts w:hint="eastAsia" w:ascii="宋体" w:hAnsi="宋体" w:eastAsia="宋体" w:cs="宋体"/>
                <w:i w:val="0"/>
                <w:iCs w:val="0"/>
                <w:color w:val="000000"/>
                <w:sz w:val="24"/>
                <w:szCs w:val="24"/>
                <w:u w:val="none"/>
              </w:rPr>
            </w:pPr>
          </w:p>
        </w:tc>
        <w:tc>
          <w:tcPr>
            <w:tcW w:w="1575" w:type="dxa"/>
            <w:vMerge w:val="continue"/>
            <w:tcBorders>
              <w:left w:val="single" w:color="000000" w:sz="4" w:space="0"/>
              <w:right w:val="single" w:color="000000" w:sz="4" w:space="0"/>
            </w:tcBorders>
            <w:shd w:val="clear" w:color="auto" w:fill="auto"/>
            <w:vAlign w:val="center"/>
          </w:tcPr>
          <w:p w14:paraId="6C476095">
            <w:pPr>
              <w:jc w:val="center"/>
              <w:rPr>
                <w:rFonts w:hint="eastAsia" w:ascii="宋体" w:hAnsi="宋体" w:eastAsia="宋体" w:cs="宋体"/>
                <w:i w:val="0"/>
                <w:iCs w:val="0"/>
                <w:color w:val="000000"/>
                <w:sz w:val="24"/>
                <w:szCs w:val="24"/>
                <w:u w:val="none"/>
              </w:rPr>
            </w:pPr>
          </w:p>
        </w:tc>
        <w:tc>
          <w:tcPr>
            <w:tcW w:w="4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AE3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药品管理信息查询服务</w:t>
            </w:r>
          </w:p>
        </w:tc>
      </w:tr>
      <w:tr w14:paraId="5B86F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0D4B8">
            <w:pPr>
              <w:jc w:val="center"/>
              <w:rPr>
                <w:rFonts w:hint="eastAsia" w:ascii="宋体" w:hAnsi="宋体" w:eastAsia="宋体" w:cs="宋体"/>
                <w:i w:val="0"/>
                <w:iCs w:val="0"/>
                <w:color w:val="000000"/>
                <w:sz w:val="24"/>
                <w:szCs w:val="24"/>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74DEE">
            <w:pPr>
              <w:jc w:val="center"/>
              <w:rPr>
                <w:rFonts w:hint="eastAsia" w:ascii="宋体" w:hAnsi="宋体" w:eastAsia="宋体" w:cs="宋体"/>
                <w:i w:val="0"/>
                <w:iCs w:val="0"/>
                <w:color w:val="000000"/>
                <w:sz w:val="24"/>
                <w:szCs w:val="24"/>
                <w:u w:val="none"/>
              </w:rPr>
            </w:pPr>
          </w:p>
        </w:tc>
        <w:tc>
          <w:tcPr>
            <w:tcW w:w="1575" w:type="dxa"/>
            <w:vMerge w:val="continue"/>
            <w:tcBorders>
              <w:left w:val="single" w:color="000000" w:sz="4" w:space="0"/>
              <w:right w:val="single" w:color="000000" w:sz="4" w:space="0"/>
            </w:tcBorders>
            <w:shd w:val="clear" w:color="auto" w:fill="auto"/>
            <w:vAlign w:val="center"/>
          </w:tcPr>
          <w:p w14:paraId="13E33920">
            <w:pPr>
              <w:jc w:val="center"/>
              <w:rPr>
                <w:rFonts w:hint="eastAsia" w:ascii="宋体" w:hAnsi="宋体" w:eastAsia="宋体" w:cs="宋体"/>
                <w:i w:val="0"/>
                <w:iCs w:val="0"/>
                <w:color w:val="000000"/>
                <w:sz w:val="24"/>
                <w:szCs w:val="24"/>
                <w:u w:val="none"/>
              </w:rPr>
            </w:pPr>
          </w:p>
        </w:tc>
        <w:tc>
          <w:tcPr>
            <w:tcW w:w="4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168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医务管理查询服务</w:t>
            </w:r>
          </w:p>
        </w:tc>
      </w:tr>
      <w:tr w14:paraId="73B9C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E89AA">
            <w:pPr>
              <w:jc w:val="center"/>
              <w:rPr>
                <w:rFonts w:hint="eastAsia" w:ascii="宋体" w:hAnsi="宋体" w:eastAsia="宋体" w:cs="宋体"/>
                <w:i w:val="0"/>
                <w:iCs w:val="0"/>
                <w:color w:val="000000"/>
                <w:sz w:val="24"/>
                <w:szCs w:val="24"/>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75735">
            <w:pPr>
              <w:jc w:val="center"/>
              <w:rPr>
                <w:rFonts w:hint="eastAsia" w:ascii="宋体" w:hAnsi="宋体" w:eastAsia="宋体" w:cs="宋体"/>
                <w:i w:val="0"/>
                <w:iCs w:val="0"/>
                <w:color w:val="000000"/>
                <w:sz w:val="24"/>
                <w:szCs w:val="24"/>
                <w:u w:val="none"/>
              </w:rPr>
            </w:pPr>
          </w:p>
        </w:tc>
        <w:tc>
          <w:tcPr>
            <w:tcW w:w="1575" w:type="dxa"/>
            <w:vMerge w:val="continue"/>
            <w:tcBorders>
              <w:left w:val="single" w:color="000000" w:sz="4" w:space="0"/>
              <w:right w:val="single" w:color="000000" w:sz="4" w:space="0"/>
            </w:tcBorders>
            <w:shd w:val="clear" w:color="auto" w:fill="auto"/>
            <w:vAlign w:val="center"/>
          </w:tcPr>
          <w:p w14:paraId="791963CE">
            <w:pPr>
              <w:jc w:val="center"/>
              <w:rPr>
                <w:rFonts w:hint="eastAsia" w:ascii="宋体" w:hAnsi="宋体" w:eastAsia="宋体" w:cs="宋体"/>
                <w:i w:val="0"/>
                <w:iCs w:val="0"/>
                <w:color w:val="000000"/>
                <w:sz w:val="24"/>
                <w:szCs w:val="24"/>
                <w:u w:val="none"/>
              </w:rPr>
            </w:pPr>
          </w:p>
        </w:tc>
        <w:tc>
          <w:tcPr>
            <w:tcW w:w="4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9B9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医疗保险/新农合服务</w:t>
            </w:r>
          </w:p>
        </w:tc>
      </w:tr>
      <w:tr w14:paraId="77295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B9718">
            <w:pPr>
              <w:jc w:val="center"/>
              <w:rPr>
                <w:rFonts w:hint="eastAsia" w:ascii="宋体" w:hAnsi="宋体" w:eastAsia="宋体" w:cs="宋体"/>
                <w:i w:val="0"/>
                <w:iCs w:val="0"/>
                <w:color w:val="000000"/>
                <w:sz w:val="24"/>
                <w:szCs w:val="24"/>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45E71">
            <w:pPr>
              <w:jc w:val="center"/>
              <w:rPr>
                <w:rFonts w:hint="eastAsia" w:ascii="宋体" w:hAnsi="宋体" w:eastAsia="宋体" w:cs="宋体"/>
                <w:i w:val="0"/>
                <w:iCs w:val="0"/>
                <w:color w:val="000000"/>
                <w:sz w:val="24"/>
                <w:szCs w:val="24"/>
                <w:u w:val="none"/>
              </w:rPr>
            </w:pPr>
          </w:p>
        </w:tc>
        <w:tc>
          <w:tcPr>
            <w:tcW w:w="1575" w:type="dxa"/>
            <w:vMerge w:val="continue"/>
            <w:tcBorders>
              <w:left w:val="single" w:color="000000" w:sz="4" w:space="0"/>
              <w:right w:val="single" w:color="000000" w:sz="4" w:space="0"/>
            </w:tcBorders>
            <w:shd w:val="clear" w:color="auto" w:fill="auto"/>
            <w:vAlign w:val="center"/>
          </w:tcPr>
          <w:p w14:paraId="3B5C1DA7">
            <w:pPr>
              <w:jc w:val="center"/>
              <w:rPr>
                <w:rFonts w:hint="eastAsia" w:ascii="宋体" w:hAnsi="宋体" w:eastAsia="宋体" w:cs="宋体"/>
                <w:i w:val="0"/>
                <w:iCs w:val="0"/>
                <w:color w:val="000000"/>
                <w:sz w:val="24"/>
                <w:szCs w:val="24"/>
                <w:u w:val="none"/>
              </w:rPr>
            </w:pPr>
          </w:p>
        </w:tc>
        <w:tc>
          <w:tcPr>
            <w:tcW w:w="4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A0D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食源性疾病上报信息服务</w:t>
            </w:r>
          </w:p>
        </w:tc>
      </w:tr>
      <w:tr w14:paraId="36958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8787A">
            <w:pPr>
              <w:jc w:val="center"/>
              <w:rPr>
                <w:rFonts w:hint="eastAsia" w:ascii="宋体" w:hAnsi="宋体" w:eastAsia="宋体" w:cs="宋体"/>
                <w:i w:val="0"/>
                <w:iCs w:val="0"/>
                <w:color w:val="000000"/>
                <w:sz w:val="24"/>
                <w:szCs w:val="24"/>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BF701">
            <w:pPr>
              <w:jc w:val="center"/>
              <w:rPr>
                <w:rFonts w:hint="eastAsia" w:ascii="宋体" w:hAnsi="宋体" w:eastAsia="宋体" w:cs="宋体"/>
                <w:i w:val="0"/>
                <w:iCs w:val="0"/>
                <w:color w:val="000000"/>
                <w:sz w:val="24"/>
                <w:szCs w:val="24"/>
                <w:u w:val="none"/>
              </w:rPr>
            </w:pPr>
          </w:p>
        </w:tc>
        <w:tc>
          <w:tcPr>
            <w:tcW w:w="1575" w:type="dxa"/>
            <w:vMerge w:val="continue"/>
            <w:tcBorders>
              <w:left w:val="single" w:color="000000" w:sz="4" w:space="0"/>
              <w:right w:val="single" w:color="000000" w:sz="4" w:space="0"/>
            </w:tcBorders>
            <w:shd w:val="clear" w:color="auto" w:fill="auto"/>
            <w:vAlign w:val="center"/>
          </w:tcPr>
          <w:p w14:paraId="115933E8">
            <w:pPr>
              <w:jc w:val="center"/>
              <w:rPr>
                <w:rFonts w:hint="eastAsia" w:ascii="宋体" w:hAnsi="宋体" w:eastAsia="宋体" w:cs="宋体"/>
                <w:i w:val="0"/>
                <w:iCs w:val="0"/>
                <w:color w:val="000000"/>
                <w:sz w:val="24"/>
                <w:szCs w:val="24"/>
                <w:u w:val="none"/>
              </w:rPr>
            </w:pPr>
          </w:p>
        </w:tc>
        <w:tc>
          <w:tcPr>
            <w:tcW w:w="4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D50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住院结构化电子病历信息服务及数据集</w:t>
            </w:r>
          </w:p>
        </w:tc>
      </w:tr>
      <w:tr w14:paraId="5B51C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C6856">
            <w:pPr>
              <w:jc w:val="center"/>
              <w:rPr>
                <w:rFonts w:hint="eastAsia" w:ascii="宋体" w:hAnsi="宋体" w:eastAsia="宋体" w:cs="宋体"/>
                <w:i w:val="0"/>
                <w:iCs w:val="0"/>
                <w:color w:val="000000"/>
                <w:sz w:val="24"/>
                <w:szCs w:val="24"/>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048FB">
            <w:pPr>
              <w:jc w:val="center"/>
              <w:rPr>
                <w:rFonts w:hint="eastAsia" w:ascii="宋体" w:hAnsi="宋体" w:eastAsia="宋体" w:cs="宋体"/>
                <w:i w:val="0"/>
                <w:iCs w:val="0"/>
                <w:color w:val="000000"/>
                <w:sz w:val="24"/>
                <w:szCs w:val="24"/>
                <w:u w:val="none"/>
              </w:rPr>
            </w:pPr>
          </w:p>
        </w:tc>
        <w:tc>
          <w:tcPr>
            <w:tcW w:w="1575" w:type="dxa"/>
            <w:vMerge w:val="continue"/>
            <w:tcBorders>
              <w:left w:val="single" w:color="000000" w:sz="4" w:space="0"/>
              <w:right w:val="single" w:color="000000" w:sz="4" w:space="0"/>
            </w:tcBorders>
            <w:shd w:val="clear" w:color="auto" w:fill="auto"/>
            <w:vAlign w:val="center"/>
          </w:tcPr>
          <w:p w14:paraId="4A21329C">
            <w:pPr>
              <w:jc w:val="center"/>
              <w:rPr>
                <w:rFonts w:hint="eastAsia" w:ascii="宋体" w:hAnsi="宋体" w:eastAsia="宋体" w:cs="宋体"/>
                <w:i w:val="0"/>
                <w:iCs w:val="0"/>
                <w:color w:val="000000"/>
                <w:sz w:val="24"/>
                <w:szCs w:val="24"/>
                <w:u w:val="none"/>
              </w:rPr>
            </w:pPr>
          </w:p>
        </w:tc>
        <w:tc>
          <w:tcPr>
            <w:tcW w:w="4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F08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住院医生站信息服务</w:t>
            </w:r>
          </w:p>
        </w:tc>
      </w:tr>
      <w:tr w14:paraId="6431B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223BA">
            <w:pPr>
              <w:jc w:val="center"/>
              <w:rPr>
                <w:rFonts w:hint="eastAsia" w:ascii="宋体" w:hAnsi="宋体" w:eastAsia="宋体" w:cs="宋体"/>
                <w:i w:val="0"/>
                <w:iCs w:val="0"/>
                <w:color w:val="000000"/>
                <w:sz w:val="24"/>
                <w:szCs w:val="24"/>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028B4">
            <w:pPr>
              <w:jc w:val="center"/>
              <w:rPr>
                <w:rFonts w:hint="eastAsia" w:ascii="宋体" w:hAnsi="宋体" w:eastAsia="宋体" w:cs="宋体"/>
                <w:i w:val="0"/>
                <w:iCs w:val="0"/>
                <w:color w:val="000000"/>
                <w:sz w:val="24"/>
                <w:szCs w:val="24"/>
                <w:u w:val="none"/>
              </w:rPr>
            </w:pPr>
          </w:p>
        </w:tc>
        <w:tc>
          <w:tcPr>
            <w:tcW w:w="1575" w:type="dxa"/>
            <w:vMerge w:val="continue"/>
            <w:tcBorders>
              <w:left w:val="single" w:color="000000" w:sz="4" w:space="0"/>
              <w:right w:val="single" w:color="000000" w:sz="4" w:space="0"/>
            </w:tcBorders>
            <w:shd w:val="clear" w:color="auto" w:fill="auto"/>
            <w:vAlign w:val="center"/>
          </w:tcPr>
          <w:p w14:paraId="3F19D19A">
            <w:pPr>
              <w:jc w:val="center"/>
              <w:rPr>
                <w:rFonts w:hint="eastAsia" w:ascii="宋体" w:hAnsi="宋体" w:eastAsia="宋体" w:cs="宋体"/>
                <w:i w:val="0"/>
                <w:iCs w:val="0"/>
                <w:color w:val="000000"/>
                <w:sz w:val="24"/>
                <w:szCs w:val="24"/>
                <w:u w:val="none"/>
              </w:rPr>
            </w:pPr>
          </w:p>
        </w:tc>
        <w:tc>
          <w:tcPr>
            <w:tcW w:w="4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7F9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护理信息查询服务及数据集</w:t>
            </w:r>
          </w:p>
        </w:tc>
      </w:tr>
      <w:tr w14:paraId="02529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80938">
            <w:pPr>
              <w:jc w:val="center"/>
              <w:rPr>
                <w:rFonts w:hint="eastAsia" w:ascii="宋体" w:hAnsi="宋体" w:eastAsia="宋体" w:cs="宋体"/>
                <w:i w:val="0"/>
                <w:iCs w:val="0"/>
                <w:color w:val="000000"/>
                <w:sz w:val="24"/>
                <w:szCs w:val="24"/>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15024">
            <w:pPr>
              <w:jc w:val="center"/>
              <w:rPr>
                <w:rFonts w:hint="eastAsia" w:ascii="宋体" w:hAnsi="宋体" w:eastAsia="宋体" w:cs="宋体"/>
                <w:i w:val="0"/>
                <w:iCs w:val="0"/>
                <w:color w:val="000000"/>
                <w:sz w:val="24"/>
                <w:szCs w:val="24"/>
                <w:u w:val="none"/>
              </w:rPr>
            </w:pPr>
          </w:p>
        </w:tc>
        <w:tc>
          <w:tcPr>
            <w:tcW w:w="1575" w:type="dxa"/>
            <w:vMerge w:val="continue"/>
            <w:tcBorders>
              <w:left w:val="single" w:color="000000" w:sz="4" w:space="0"/>
              <w:right w:val="single" w:color="000000" w:sz="4" w:space="0"/>
            </w:tcBorders>
            <w:shd w:val="clear" w:color="auto" w:fill="auto"/>
            <w:vAlign w:val="center"/>
          </w:tcPr>
          <w:p w14:paraId="15C10FBB">
            <w:pPr>
              <w:jc w:val="center"/>
              <w:rPr>
                <w:rFonts w:hint="eastAsia" w:ascii="宋体" w:hAnsi="宋体" w:eastAsia="宋体" w:cs="宋体"/>
                <w:i w:val="0"/>
                <w:iCs w:val="0"/>
                <w:color w:val="000000"/>
                <w:sz w:val="24"/>
                <w:szCs w:val="24"/>
                <w:u w:val="none"/>
              </w:rPr>
            </w:pPr>
          </w:p>
        </w:tc>
        <w:tc>
          <w:tcPr>
            <w:tcW w:w="4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9EA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住院护士工作站信息查询服务</w:t>
            </w:r>
          </w:p>
        </w:tc>
      </w:tr>
      <w:tr w14:paraId="01E25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05B11">
            <w:pPr>
              <w:jc w:val="center"/>
              <w:rPr>
                <w:rFonts w:hint="eastAsia" w:ascii="宋体" w:hAnsi="宋体" w:eastAsia="宋体" w:cs="宋体"/>
                <w:i w:val="0"/>
                <w:iCs w:val="0"/>
                <w:color w:val="000000"/>
                <w:sz w:val="24"/>
                <w:szCs w:val="24"/>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D55CE">
            <w:pPr>
              <w:jc w:val="center"/>
              <w:rPr>
                <w:rFonts w:hint="eastAsia" w:ascii="宋体" w:hAnsi="宋体" w:eastAsia="宋体" w:cs="宋体"/>
                <w:i w:val="0"/>
                <w:iCs w:val="0"/>
                <w:color w:val="000000"/>
                <w:sz w:val="24"/>
                <w:szCs w:val="24"/>
                <w:u w:val="none"/>
              </w:rPr>
            </w:pPr>
          </w:p>
        </w:tc>
        <w:tc>
          <w:tcPr>
            <w:tcW w:w="1575" w:type="dxa"/>
            <w:vMerge w:val="continue"/>
            <w:tcBorders>
              <w:left w:val="single" w:color="000000" w:sz="4" w:space="0"/>
              <w:right w:val="single" w:color="000000" w:sz="4" w:space="0"/>
            </w:tcBorders>
            <w:shd w:val="clear" w:color="auto" w:fill="auto"/>
            <w:vAlign w:val="center"/>
          </w:tcPr>
          <w:p w14:paraId="0F86DD4E">
            <w:pPr>
              <w:jc w:val="center"/>
              <w:rPr>
                <w:rFonts w:hint="eastAsia" w:ascii="宋体" w:hAnsi="宋体" w:eastAsia="宋体" w:cs="宋体"/>
                <w:i w:val="0"/>
                <w:iCs w:val="0"/>
                <w:color w:val="000000"/>
                <w:sz w:val="24"/>
                <w:szCs w:val="24"/>
                <w:u w:val="none"/>
              </w:rPr>
            </w:pPr>
          </w:p>
        </w:tc>
        <w:tc>
          <w:tcPr>
            <w:tcW w:w="4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821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自助机导诊查询服务</w:t>
            </w:r>
          </w:p>
        </w:tc>
      </w:tr>
      <w:tr w14:paraId="1590A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249DA">
            <w:pPr>
              <w:jc w:val="center"/>
              <w:rPr>
                <w:rFonts w:hint="eastAsia" w:ascii="宋体" w:hAnsi="宋体" w:eastAsia="宋体" w:cs="宋体"/>
                <w:i w:val="0"/>
                <w:iCs w:val="0"/>
                <w:color w:val="000000"/>
                <w:sz w:val="24"/>
                <w:szCs w:val="24"/>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27393">
            <w:pPr>
              <w:jc w:val="center"/>
              <w:rPr>
                <w:rFonts w:hint="eastAsia" w:ascii="宋体" w:hAnsi="宋体" w:eastAsia="宋体" w:cs="宋体"/>
                <w:i w:val="0"/>
                <w:iCs w:val="0"/>
                <w:color w:val="000000"/>
                <w:sz w:val="24"/>
                <w:szCs w:val="24"/>
                <w:u w:val="none"/>
              </w:rPr>
            </w:pPr>
          </w:p>
        </w:tc>
        <w:tc>
          <w:tcPr>
            <w:tcW w:w="1575" w:type="dxa"/>
            <w:vMerge w:val="continue"/>
            <w:tcBorders>
              <w:left w:val="single" w:color="000000" w:sz="4" w:space="0"/>
              <w:right w:val="single" w:color="000000" w:sz="4" w:space="0"/>
            </w:tcBorders>
            <w:shd w:val="clear" w:color="auto" w:fill="auto"/>
            <w:vAlign w:val="center"/>
          </w:tcPr>
          <w:p w14:paraId="3FCB4804">
            <w:pPr>
              <w:jc w:val="center"/>
              <w:rPr>
                <w:rFonts w:hint="eastAsia" w:ascii="宋体" w:hAnsi="宋体" w:eastAsia="宋体" w:cs="宋体"/>
                <w:i w:val="0"/>
                <w:iCs w:val="0"/>
                <w:color w:val="000000"/>
                <w:sz w:val="24"/>
                <w:szCs w:val="24"/>
                <w:u w:val="none"/>
              </w:rPr>
            </w:pPr>
          </w:p>
        </w:tc>
        <w:tc>
          <w:tcPr>
            <w:tcW w:w="4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5E9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放射查询服务及数据集</w:t>
            </w:r>
          </w:p>
        </w:tc>
      </w:tr>
      <w:tr w14:paraId="2C503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5D5B4">
            <w:pPr>
              <w:jc w:val="center"/>
              <w:rPr>
                <w:rFonts w:hint="eastAsia" w:ascii="宋体" w:hAnsi="宋体" w:eastAsia="宋体" w:cs="宋体"/>
                <w:i w:val="0"/>
                <w:iCs w:val="0"/>
                <w:color w:val="000000"/>
                <w:sz w:val="24"/>
                <w:szCs w:val="24"/>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C2D71">
            <w:pPr>
              <w:jc w:val="center"/>
              <w:rPr>
                <w:rFonts w:hint="eastAsia" w:ascii="宋体" w:hAnsi="宋体" w:eastAsia="宋体" w:cs="宋体"/>
                <w:i w:val="0"/>
                <w:iCs w:val="0"/>
                <w:color w:val="000000"/>
                <w:sz w:val="24"/>
                <w:szCs w:val="24"/>
                <w:u w:val="none"/>
              </w:rPr>
            </w:pPr>
          </w:p>
        </w:tc>
        <w:tc>
          <w:tcPr>
            <w:tcW w:w="1575" w:type="dxa"/>
            <w:vMerge w:val="continue"/>
            <w:tcBorders>
              <w:left w:val="single" w:color="000000" w:sz="4" w:space="0"/>
              <w:right w:val="single" w:color="000000" w:sz="4" w:space="0"/>
            </w:tcBorders>
            <w:shd w:val="clear" w:color="auto" w:fill="auto"/>
            <w:vAlign w:val="center"/>
          </w:tcPr>
          <w:p w14:paraId="7CEBB486">
            <w:pPr>
              <w:jc w:val="center"/>
              <w:rPr>
                <w:rFonts w:hint="eastAsia" w:ascii="宋体" w:hAnsi="宋体" w:eastAsia="宋体" w:cs="宋体"/>
                <w:i w:val="0"/>
                <w:iCs w:val="0"/>
                <w:color w:val="000000"/>
                <w:sz w:val="24"/>
                <w:szCs w:val="24"/>
                <w:u w:val="none"/>
              </w:rPr>
            </w:pPr>
          </w:p>
        </w:tc>
        <w:tc>
          <w:tcPr>
            <w:tcW w:w="4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34B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超声信息查询服务及数据集</w:t>
            </w:r>
          </w:p>
        </w:tc>
      </w:tr>
      <w:tr w14:paraId="4DDE9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6B9C0">
            <w:pPr>
              <w:jc w:val="center"/>
              <w:rPr>
                <w:rFonts w:hint="eastAsia" w:ascii="宋体" w:hAnsi="宋体" w:eastAsia="宋体" w:cs="宋体"/>
                <w:i w:val="0"/>
                <w:iCs w:val="0"/>
                <w:color w:val="000000"/>
                <w:sz w:val="24"/>
                <w:szCs w:val="24"/>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485DC">
            <w:pPr>
              <w:jc w:val="center"/>
              <w:rPr>
                <w:rFonts w:hint="eastAsia" w:ascii="宋体" w:hAnsi="宋体" w:eastAsia="宋体" w:cs="宋体"/>
                <w:i w:val="0"/>
                <w:iCs w:val="0"/>
                <w:color w:val="000000"/>
                <w:sz w:val="24"/>
                <w:szCs w:val="24"/>
                <w:u w:val="none"/>
              </w:rPr>
            </w:pPr>
          </w:p>
        </w:tc>
        <w:tc>
          <w:tcPr>
            <w:tcW w:w="1575" w:type="dxa"/>
            <w:vMerge w:val="continue"/>
            <w:tcBorders>
              <w:left w:val="single" w:color="000000" w:sz="4" w:space="0"/>
              <w:right w:val="single" w:color="000000" w:sz="4" w:space="0"/>
            </w:tcBorders>
            <w:shd w:val="clear" w:color="auto" w:fill="auto"/>
            <w:vAlign w:val="center"/>
          </w:tcPr>
          <w:p w14:paraId="4851F38E">
            <w:pPr>
              <w:jc w:val="center"/>
              <w:rPr>
                <w:rFonts w:hint="eastAsia" w:ascii="宋体" w:hAnsi="宋体" w:eastAsia="宋体" w:cs="宋体"/>
                <w:i w:val="0"/>
                <w:iCs w:val="0"/>
                <w:color w:val="000000"/>
                <w:sz w:val="24"/>
                <w:szCs w:val="24"/>
                <w:u w:val="none"/>
              </w:rPr>
            </w:pPr>
          </w:p>
        </w:tc>
        <w:tc>
          <w:tcPr>
            <w:tcW w:w="4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0A0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内镜信息查询服务及数据集</w:t>
            </w:r>
          </w:p>
        </w:tc>
      </w:tr>
      <w:tr w14:paraId="02469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270C5">
            <w:pPr>
              <w:jc w:val="center"/>
              <w:rPr>
                <w:rFonts w:hint="eastAsia" w:ascii="宋体" w:hAnsi="宋体" w:eastAsia="宋体" w:cs="宋体"/>
                <w:i w:val="0"/>
                <w:iCs w:val="0"/>
                <w:color w:val="000000"/>
                <w:sz w:val="24"/>
                <w:szCs w:val="24"/>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37030">
            <w:pPr>
              <w:jc w:val="center"/>
              <w:rPr>
                <w:rFonts w:hint="eastAsia" w:ascii="宋体" w:hAnsi="宋体" w:eastAsia="宋体" w:cs="宋体"/>
                <w:i w:val="0"/>
                <w:iCs w:val="0"/>
                <w:color w:val="000000"/>
                <w:sz w:val="24"/>
                <w:szCs w:val="24"/>
                <w:u w:val="none"/>
              </w:rPr>
            </w:pPr>
          </w:p>
        </w:tc>
        <w:tc>
          <w:tcPr>
            <w:tcW w:w="1575" w:type="dxa"/>
            <w:vMerge w:val="continue"/>
            <w:tcBorders>
              <w:left w:val="single" w:color="000000" w:sz="4" w:space="0"/>
              <w:right w:val="single" w:color="000000" w:sz="4" w:space="0"/>
            </w:tcBorders>
            <w:shd w:val="clear" w:color="auto" w:fill="auto"/>
            <w:vAlign w:val="center"/>
          </w:tcPr>
          <w:p w14:paraId="25E6339B">
            <w:pPr>
              <w:jc w:val="center"/>
              <w:rPr>
                <w:rFonts w:hint="eastAsia" w:ascii="宋体" w:hAnsi="宋体" w:eastAsia="宋体" w:cs="宋体"/>
                <w:i w:val="0"/>
                <w:iCs w:val="0"/>
                <w:color w:val="000000"/>
                <w:sz w:val="24"/>
                <w:szCs w:val="24"/>
                <w:u w:val="none"/>
              </w:rPr>
            </w:pPr>
          </w:p>
        </w:tc>
        <w:tc>
          <w:tcPr>
            <w:tcW w:w="4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633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检验信息查询服务及数据集</w:t>
            </w:r>
          </w:p>
        </w:tc>
      </w:tr>
      <w:tr w14:paraId="59035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7DF4A">
            <w:pPr>
              <w:jc w:val="center"/>
              <w:rPr>
                <w:rFonts w:hint="eastAsia" w:ascii="宋体" w:hAnsi="宋体" w:eastAsia="宋体" w:cs="宋体"/>
                <w:i w:val="0"/>
                <w:iCs w:val="0"/>
                <w:color w:val="000000"/>
                <w:sz w:val="24"/>
                <w:szCs w:val="24"/>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621E2">
            <w:pPr>
              <w:jc w:val="center"/>
              <w:rPr>
                <w:rFonts w:hint="eastAsia" w:ascii="宋体" w:hAnsi="宋体" w:eastAsia="宋体" w:cs="宋体"/>
                <w:i w:val="0"/>
                <w:iCs w:val="0"/>
                <w:color w:val="000000"/>
                <w:sz w:val="24"/>
                <w:szCs w:val="24"/>
                <w:u w:val="none"/>
              </w:rPr>
            </w:pPr>
          </w:p>
        </w:tc>
        <w:tc>
          <w:tcPr>
            <w:tcW w:w="1575" w:type="dxa"/>
            <w:vMerge w:val="continue"/>
            <w:tcBorders>
              <w:left w:val="single" w:color="000000" w:sz="4" w:space="0"/>
              <w:right w:val="single" w:color="000000" w:sz="4" w:space="0"/>
            </w:tcBorders>
            <w:shd w:val="clear" w:color="auto" w:fill="auto"/>
            <w:vAlign w:val="center"/>
          </w:tcPr>
          <w:p w14:paraId="699C0FD1">
            <w:pPr>
              <w:jc w:val="center"/>
              <w:rPr>
                <w:rFonts w:hint="eastAsia" w:ascii="宋体" w:hAnsi="宋体" w:eastAsia="宋体" w:cs="宋体"/>
                <w:i w:val="0"/>
                <w:iCs w:val="0"/>
                <w:color w:val="000000"/>
                <w:sz w:val="24"/>
                <w:szCs w:val="24"/>
                <w:u w:val="none"/>
              </w:rPr>
            </w:pPr>
          </w:p>
        </w:tc>
        <w:tc>
          <w:tcPr>
            <w:tcW w:w="4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669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PACS信息查询服务</w:t>
            </w:r>
          </w:p>
        </w:tc>
      </w:tr>
      <w:tr w14:paraId="1B396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702F4">
            <w:pPr>
              <w:jc w:val="center"/>
              <w:rPr>
                <w:rFonts w:hint="eastAsia" w:ascii="宋体" w:hAnsi="宋体" w:eastAsia="宋体" w:cs="宋体"/>
                <w:i w:val="0"/>
                <w:iCs w:val="0"/>
                <w:color w:val="000000"/>
                <w:sz w:val="24"/>
                <w:szCs w:val="24"/>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BF6C7">
            <w:pPr>
              <w:jc w:val="center"/>
              <w:rPr>
                <w:rFonts w:hint="eastAsia" w:ascii="宋体" w:hAnsi="宋体" w:eastAsia="宋体" w:cs="宋体"/>
                <w:i w:val="0"/>
                <w:iCs w:val="0"/>
                <w:color w:val="000000"/>
                <w:sz w:val="24"/>
                <w:szCs w:val="24"/>
                <w:u w:val="none"/>
              </w:rPr>
            </w:pPr>
          </w:p>
        </w:tc>
        <w:tc>
          <w:tcPr>
            <w:tcW w:w="1575" w:type="dxa"/>
            <w:vMerge w:val="continue"/>
            <w:tcBorders>
              <w:left w:val="single" w:color="000000" w:sz="4" w:space="0"/>
              <w:right w:val="single" w:color="000000" w:sz="4" w:space="0"/>
            </w:tcBorders>
            <w:shd w:val="clear" w:color="auto" w:fill="auto"/>
            <w:vAlign w:val="center"/>
          </w:tcPr>
          <w:p w14:paraId="6F90CDBA">
            <w:pPr>
              <w:jc w:val="center"/>
              <w:rPr>
                <w:rFonts w:hint="eastAsia" w:ascii="宋体" w:hAnsi="宋体" w:eastAsia="宋体" w:cs="宋体"/>
                <w:i w:val="0"/>
                <w:iCs w:val="0"/>
                <w:color w:val="000000"/>
                <w:sz w:val="24"/>
                <w:szCs w:val="24"/>
                <w:u w:val="none"/>
              </w:rPr>
            </w:pPr>
          </w:p>
        </w:tc>
        <w:tc>
          <w:tcPr>
            <w:tcW w:w="4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D35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输血信息查询服务</w:t>
            </w:r>
          </w:p>
        </w:tc>
      </w:tr>
      <w:tr w14:paraId="1078D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B315B">
            <w:pPr>
              <w:jc w:val="center"/>
              <w:rPr>
                <w:rFonts w:hint="eastAsia" w:ascii="宋体" w:hAnsi="宋体" w:eastAsia="宋体" w:cs="宋体"/>
                <w:i w:val="0"/>
                <w:iCs w:val="0"/>
                <w:color w:val="000000"/>
                <w:sz w:val="24"/>
                <w:szCs w:val="24"/>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C948E">
            <w:pPr>
              <w:jc w:val="center"/>
              <w:rPr>
                <w:rFonts w:hint="eastAsia" w:ascii="宋体" w:hAnsi="宋体" w:eastAsia="宋体" w:cs="宋体"/>
                <w:i w:val="0"/>
                <w:iCs w:val="0"/>
                <w:color w:val="000000"/>
                <w:sz w:val="24"/>
                <w:szCs w:val="24"/>
                <w:u w:val="none"/>
              </w:rPr>
            </w:pPr>
          </w:p>
        </w:tc>
        <w:tc>
          <w:tcPr>
            <w:tcW w:w="1575" w:type="dxa"/>
            <w:vMerge w:val="continue"/>
            <w:tcBorders>
              <w:left w:val="single" w:color="000000" w:sz="4" w:space="0"/>
              <w:bottom w:val="single" w:color="000000" w:sz="4" w:space="0"/>
              <w:right w:val="single" w:color="000000" w:sz="4" w:space="0"/>
            </w:tcBorders>
            <w:shd w:val="clear" w:color="auto" w:fill="auto"/>
            <w:vAlign w:val="center"/>
          </w:tcPr>
          <w:p w14:paraId="1EDB84E6">
            <w:pPr>
              <w:jc w:val="center"/>
              <w:rPr>
                <w:rFonts w:hint="eastAsia" w:ascii="宋体" w:hAnsi="宋体" w:eastAsia="宋体" w:cs="宋体"/>
                <w:i w:val="0"/>
                <w:iCs w:val="0"/>
                <w:color w:val="000000"/>
                <w:sz w:val="24"/>
                <w:szCs w:val="24"/>
                <w:u w:val="none"/>
              </w:rPr>
            </w:pPr>
          </w:p>
        </w:tc>
        <w:tc>
          <w:tcPr>
            <w:tcW w:w="4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1458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物资设备应用改造</w:t>
            </w:r>
          </w:p>
        </w:tc>
      </w:tr>
      <w:tr w14:paraId="59AB5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623A9">
            <w:pPr>
              <w:jc w:val="center"/>
              <w:rPr>
                <w:rFonts w:hint="eastAsia" w:ascii="宋体" w:hAnsi="宋体" w:eastAsia="宋体" w:cs="宋体"/>
                <w:i w:val="0"/>
                <w:iCs w:val="0"/>
                <w:color w:val="000000"/>
                <w:sz w:val="24"/>
                <w:szCs w:val="24"/>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C1362">
            <w:pPr>
              <w:jc w:val="center"/>
              <w:rPr>
                <w:rFonts w:hint="eastAsia" w:ascii="宋体" w:hAnsi="宋体" w:eastAsia="宋体" w:cs="宋体"/>
                <w:i w:val="0"/>
                <w:iCs w:val="0"/>
                <w:color w:val="000000"/>
                <w:sz w:val="24"/>
                <w:szCs w:val="24"/>
                <w:u w:val="none"/>
              </w:rPr>
            </w:pP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E6AA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数据接口开发</w:t>
            </w:r>
          </w:p>
        </w:tc>
        <w:tc>
          <w:tcPr>
            <w:tcW w:w="4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E4B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分诊管理</w:t>
            </w:r>
          </w:p>
        </w:tc>
      </w:tr>
      <w:tr w14:paraId="0C737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56AE0">
            <w:pPr>
              <w:jc w:val="center"/>
              <w:rPr>
                <w:rFonts w:hint="eastAsia" w:ascii="宋体" w:hAnsi="宋体" w:eastAsia="宋体" w:cs="宋体"/>
                <w:i w:val="0"/>
                <w:iCs w:val="0"/>
                <w:color w:val="000000"/>
                <w:sz w:val="24"/>
                <w:szCs w:val="24"/>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E3B77">
            <w:pPr>
              <w:jc w:val="center"/>
              <w:rPr>
                <w:rFonts w:hint="eastAsia" w:ascii="宋体" w:hAnsi="宋体" w:eastAsia="宋体" w:cs="宋体"/>
                <w:i w:val="0"/>
                <w:iCs w:val="0"/>
                <w:color w:val="000000"/>
                <w:sz w:val="24"/>
                <w:szCs w:val="24"/>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7CD4B">
            <w:pPr>
              <w:jc w:val="center"/>
              <w:rPr>
                <w:rFonts w:hint="eastAsia" w:ascii="宋体" w:hAnsi="宋体" w:eastAsia="宋体" w:cs="宋体"/>
                <w:i w:val="0"/>
                <w:iCs w:val="0"/>
                <w:color w:val="000000"/>
                <w:sz w:val="24"/>
                <w:szCs w:val="24"/>
                <w:u w:val="none"/>
              </w:rPr>
            </w:pPr>
          </w:p>
        </w:tc>
        <w:tc>
          <w:tcPr>
            <w:tcW w:w="4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2EE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手术麻醉</w:t>
            </w:r>
          </w:p>
        </w:tc>
      </w:tr>
      <w:tr w14:paraId="39565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53925">
            <w:pPr>
              <w:jc w:val="center"/>
              <w:rPr>
                <w:rFonts w:hint="eastAsia" w:ascii="宋体" w:hAnsi="宋体" w:eastAsia="宋体" w:cs="宋体"/>
                <w:i w:val="0"/>
                <w:iCs w:val="0"/>
                <w:color w:val="000000"/>
                <w:sz w:val="24"/>
                <w:szCs w:val="24"/>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41D65">
            <w:pPr>
              <w:jc w:val="center"/>
              <w:rPr>
                <w:rFonts w:hint="eastAsia" w:ascii="宋体" w:hAnsi="宋体" w:eastAsia="宋体" w:cs="宋体"/>
                <w:i w:val="0"/>
                <w:iCs w:val="0"/>
                <w:color w:val="000000"/>
                <w:sz w:val="24"/>
                <w:szCs w:val="24"/>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2864B">
            <w:pPr>
              <w:jc w:val="center"/>
              <w:rPr>
                <w:rFonts w:hint="eastAsia" w:ascii="宋体" w:hAnsi="宋体" w:eastAsia="宋体" w:cs="宋体"/>
                <w:i w:val="0"/>
                <w:iCs w:val="0"/>
                <w:color w:val="000000"/>
                <w:sz w:val="24"/>
                <w:szCs w:val="24"/>
                <w:u w:val="none"/>
              </w:rPr>
            </w:pPr>
          </w:p>
        </w:tc>
        <w:tc>
          <w:tcPr>
            <w:tcW w:w="4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7E7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心电管理</w:t>
            </w:r>
          </w:p>
        </w:tc>
      </w:tr>
      <w:tr w14:paraId="6AB14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9BB08">
            <w:pPr>
              <w:jc w:val="center"/>
              <w:rPr>
                <w:rFonts w:hint="eastAsia" w:ascii="宋体" w:hAnsi="宋体" w:eastAsia="宋体" w:cs="宋体"/>
                <w:i w:val="0"/>
                <w:iCs w:val="0"/>
                <w:color w:val="000000"/>
                <w:sz w:val="24"/>
                <w:szCs w:val="24"/>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E5D81">
            <w:pPr>
              <w:jc w:val="center"/>
              <w:rPr>
                <w:rFonts w:hint="eastAsia" w:ascii="宋体" w:hAnsi="宋体" w:eastAsia="宋体" w:cs="宋体"/>
                <w:i w:val="0"/>
                <w:iCs w:val="0"/>
                <w:color w:val="000000"/>
                <w:sz w:val="24"/>
                <w:szCs w:val="24"/>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E4A1E">
            <w:pPr>
              <w:jc w:val="center"/>
              <w:rPr>
                <w:rFonts w:hint="eastAsia" w:ascii="宋体" w:hAnsi="宋体" w:eastAsia="宋体" w:cs="宋体"/>
                <w:i w:val="0"/>
                <w:iCs w:val="0"/>
                <w:color w:val="000000"/>
                <w:sz w:val="24"/>
                <w:szCs w:val="24"/>
                <w:u w:val="none"/>
              </w:rPr>
            </w:pPr>
          </w:p>
        </w:tc>
        <w:tc>
          <w:tcPr>
            <w:tcW w:w="4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234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病理管理</w:t>
            </w:r>
          </w:p>
        </w:tc>
      </w:tr>
      <w:tr w14:paraId="2EC75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DBF28">
            <w:pPr>
              <w:jc w:val="center"/>
              <w:rPr>
                <w:rFonts w:hint="eastAsia" w:ascii="宋体" w:hAnsi="宋体" w:eastAsia="宋体" w:cs="宋体"/>
                <w:i w:val="0"/>
                <w:iCs w:val="0"/>
                <w:color w:val="000000"/>
                <w:sz w:val="24"/>
                <w:szCs w:val="24"/>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E72C0">
            <w:pPr>
              <w:jc w:val="center"/>
              <w:rPr>
                <w:rFonts w:hint="eastAsia" w:ascii="宋体" w:hAnsi="宋体" w:eastAsia="宋体" w:cs="宋体"/>
                <w:i w:val="0"/>
                <w:iCs w:val="0"/>
                <w:color w:val="000000"/>
                <w:sz w:val="24"/>
                <w:szCs w:val="24"/>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E43CC">
            <w:pPr>
              <w:jc w:val="center"/>
              <w:rPr>
                <w:rFonts w:hint="eastAsia" w:ascii="宋体" w:hAnsi="宋体" w:eastAsia="宋体" w:cs="宋体"/>
                <w:i w:val="0"/>
                <w:iCs w:val="0"/>
                <w:color w:val="000000"/>
                <w:sz w:val="24"/>
                <w:szCs w:val="24"/>
                <w:u w:val="none"/>
              </w:rPr>
            </w:pPr>
          </w:p>
        </w:tc>
        <w:tc>
          <w:tcPr>
            <w:tcW w:w="4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05D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w:t>
            </w:r>
            <w:r>
              <w:rPr>
                <w:rFonts w:hint="eastAsia" w:ascii="宋体" w:hAnsi="宋体" w:cs="宋体"/>
                <w:i w:val="0"/>
                <w:iCs w:val="0"/>
                <w:color w:val="000000"/>
                <w:kern w:val="0"/>
                <w:sz w:val="24"/>
                <w:szCs w:val="24"/>
                <w:u w:val="none"/>
                <w:lang w:val="en-US" w:eastAsia="zh-CN" w:bidi="ar"/>
              </w:rPr>
              <w:t>病历</w:t>
            </w:r>
          </w:p>
        </w:tc>
      </w:tr>
      <w:tr w14:paraId="2A1D8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BC74A">
            <w:pPr>
              <w:jc w:val="center"/>
              <w:rPr>
                <w:rFonts w:hint="eastAsia" w:ascii="宋体" w:hAnsi="宋体" w:eastAsia="宋体" w:cs="宋体"/>
                <w:i w:val="0"/>
                <w:iCs w:val="0"/>
                <w:color w:val="000000"/>
                <w:sz w:val="24"/>
                <w:szCs w:val="24"/>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8D015">
            <w:pPr>
              <w:jc w:val="center"/>
              <w:rPr>
                <w:rFonts w:hint="eastAsia" w:ascii="宋体" w:hAnsi="宋体" w:eastAsia="宋体" w:cs="宋体"/>
                <w:i w:val="0"/>
                <w:iCs w:val="0"/>
                <w:color w:val="000000"/>
                <w:sz w:val="24"/>
                <w:szCs w:val="24"/>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81B93">
            <w:pPr>
              <w:jc w:val="center"/>
              <w:rPr>
                <w:rFonts w:hint="eastAsia" w:ascii="宋体" w:hAnsi="宋体" w:eastAsia="宋体" w:cs="宋体"/>
                <w:i w:val="0"/>
                <w:iCs w:val="0"/>
                <w:color w:val="000000"/>
                <w:sz w:val="24"/>
                <w:szCs w:val="24"/>
                <w:u w:val="none"/>
              </w:rPr>
            </w:pPr>
          </w:p>
        </w:tc>
        <w:tc>
          <w:tcPr>
            <w:tcW w:w="4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40E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医务排班</w:t>
            </w:r>
          </w:p>
        </w:tc>
      </w:tr>
      <w:tr w14:paraId="72807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52895">
            <w:pPr>
              <w:jc w:val="center"/>
              <w:rPr>
                <w:rFonts w:hint="eastAsia" w:ascii="宋体" w:hAnsi="宋体" w:eastAsia="宋体" w:cs="宋体"/>
                <w:i w:val="0"/>
                <w:iCs w:val="0"/>
                <w:color w:val="000000"/>
                <w:sz w:val="24"/>
                <w:szCs w:val="24"/>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F3AFB">
            <w:pPr>
              <w:jc w:val="center"/>
              <w:rPr>
                <w:rFonts w:hint="eastAsia" w:ascii="宋体" w:hAnsi="宋体" w:eastAsia="宋体" w:cs="宋体"/>
                <w:i w:val="0"/>
                <w:iCs w:val="0"/>
                <w:color w:val="000000"/>
                <w:sz w:val="24"/>
                <w:szCs w:val="24"/>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9AE24">
            <w:pPr>
              <w:jc w:val="center"/>
              <w:rPr>
                <w:rFonts w:hint="eastAsia" w:ascii="宋体" w:hAnsi="宋体" w:eastAsia="宋体" w:cs="宋体"/>
                <w:i w:val="0"/>
                <w:iCs w:val="0"/>
                <w:color w:val="000000"/>
                <w:sz w:val="24"/>
                <w:szCs w:val="24"/>
                <w:u w:val="none"/>
              </w:rPr>
            </w:pPr>
          </w:p>
        </w:tc>
        <w:tc>
          <w:tcPr>
            <w:tcW w:w="4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FEC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绩效系统</w:t>
            </w:r>
          </w:p>
        </w:tc>
      </w:tr>
      <w:tr w14:paraId="2C137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19715">
            <w:pPr>
              <w:jc w:val="center"/>
              <w:rPr>
                <w:rFonts w:hint="eastAsia" w:ascii="宋体" w:hAnsi="宋体" w:eastAsia="宋体" w:cs="宋体"/>
                <w:i w:val="0"/>
                <w:iCs w:val="0"/>
                <w:color w:val="000000"/>
                <w:sz w:val="24"/>
                <w:szCs w:val="24"/>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062FC">
            <w:pPr>
              <w:jc w:val="center"/>
              <w:rPr>
                <w:rFonts w:hint="eastAsia" w:ascii="宋体" w:hAnsi="宋体" w:eastAsia="宋体" w:cs="宋体"/>
                <w:i w:val="0"/>
                <w:iCs w:val="0"/>
                <w:color w:val="000000"/>
                <w:sz w:val="24"/>
                <w:szCs w:val="24"/>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E5A83">
            <w:pPr>
              <w:jc w:val="center"/>
              <w:rPr>
                <w:rFonts w:hint="eastAsia" w:ascii="宋体" w:hAnsi="宋体" w:eastAsia="宋体" w:cs="宋体"/>
                <w:i w:val="0"/>
                <w:iCs w:val="0"/>
                <w:color w:val="000000"/>
                <w:sz w:val="24"/>
                <w:szCs w:val="24"/>
                <w:u w:val="none"/>
              </w:rPr>
            </w:pPr>
          </w:p>
        </w:tc>
        <w:tc>
          <w:tcPr>
            <w:tcW w:w="4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8AD70">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医疗</w:t>
            </w:r>
            <w:r>
              <w:rPr>
                <w:rFonts w:hint="eastAsia" w:ascii="宋体" w:hAnsi="宋体" w:eastAsia="宋体" w:cs="宋体"/>
                <w:i w:val="0"/>
                <w:iCs w:val="0"/>
                <w:color w:val="000000"/>
                <w:kern w:val="0"/>
                <w:sz w:val="24"/>
                <w:szCs w:val="24"/>
                <w:u w:val="none"/>
                <w:lang w:val="en-US" w:eastAsia="zh-CN" w:bidi="ar"/>
              </w:rPr>
              <w:t>设备管理</w:t>
            </w:r>
            <w:r>
              <w:rPr>
                <w:rFonts w:hint="eastAsia" w:ascii="宋体" w:hAnsi="宋体" w:cs="宋体"/>
                <w:i w:val="0"/>
                <w:iCs w:val="0"/>
                <w:color w:val="000000"/>
                <w:kern w:val="0"/>
                <w:sz w:val="24"/>
                <w:szCs w:val="24"/>
                <w:u w:val="none"/>
                <w:lang w:val="en-US" w:eastAsia="zh-CN" w:bidi="ar"/>
              </w:rPr>
              <w:t>等</w:t>
            </w:r>
          </w:p>
        </w:tc>
      </w:tr>
      <w:tr w14:paraId="50D58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A5A3C">
            <w:pPr>
              <w:jc w:val="center"/>
              <w:rPr>
                <w:rFonts w:hint="eastAsia" w:ascii="宋体" w:hAnsi="宋体" w:eastAsia="宋体" w:cs="宋体"/>
                <w:i w:val="0"/>
                <w:iCs w:val="0"/>
                <w:color w:val="000000"/>
                <w:sz w:val="24"/>
                <w:szCs w:val="24"/>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09C8D">
            <w:pPr>
              <w:jc w:val="center"/>
              <w:rPr>
                <w:rFonts w:hint="eastAsia" w:ascii="宋体" w:hAnsi="宋体" w:eastAsia="宋体" w:cs="宋体"/>
                <w:i w:val="0"/>
                <w:iCs w:val="0"/>
                <w:color w:val="000000"/>
                <w:sz w:val="24"/>
                <w:szCs w:val="24"/>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8B752">
            <w:pPr>
              <w:jc w:val="center"/>
              <w:rPr>
                <w:rFonts w:hint="eastAsia" w:ascii="宋体" w:hAnsi="宋体" w:eastAsia="宋体" w:cs="宋体"/>
                <w:i w:val="0"/>
                <w:iCs w:val="0"/>
                <w:color w:val="000000"/>
                <w:sz w:val="24"/>
                <w:szCs w:val="24"/>
                <w:u w:val="none"/>
              </w:rPr>
            </w:pPr>
          </w:p>
        </w:tc>
        <w:tc>
          <w:tcPr>
            <w:tcW w:w="4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520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OA系统</w:t>
            </w:r>
          </w:p>
        </w:tc>
      </w:tr>
    </w:tbl>
    <w:p w14:paraId="13AA44CE">
      <w:pPr>
        <w:pStyle w:val="46"/>
        <w:ind w:left="0" w:leftChars="0" w:firstLine="0" w:firstLineChars="0"/>
        <w:textAlignment w:val="baseline"/>
        <w:rPr>
          <w:rFonts w:hint="eastAsia" w:cs="Times New Roman" w:asciiTheme="minorEastAsia" w:hAnsiTheme="minorEastAsia" w:eastAsiaTheme="minorEastAsia"/>
          <w:szCs w:val="24"/>
          <w:lang w:eastAsia="zh-CN"/>
        </w:rPr>
      </w:pPr>
    </w:p>
    <w:p w14:paraId="7A39B0D3">
      <w:pPr>
        <w:pStyle w:val="46"/>
        <w:ind w:firstLineChars="0"/>
        <w:textAlignment w:val="baseline"/>
        <w:rPr>
          <w:rFonts w:hint="eastAsia" w:cs="Times New Roman" w:asciiTheme="minorEastAsia" w:hAnsiTheme="minorEastAsia" w:eastAsiaTheme="minorEastAsia"/>
          <w:szCs w:val="24"/>
          <w:lang w:eastAsia="zh-CN"/>
        </w:rPr>
      </w:pPr>
    </w:p>
    <w:p w14:paraId="4A26EB1D">
      <w:pPr>
        <w:pStyle w:val="4"/>
        <w:numPr>
          <w:ilvl w:val="1"/>
          <w:numId w:val="1"/>
        </w:numPr>
        <w:spacing w:before="312" w:after="312" w:afterAutospacing="1" w:line="360" w:lineRule="auto"/>
        <w:textAlignment w:val="baseline"/>
        <w:rPr>
          <w:rFonts w:hint="eastAsia" w:cs="Times New Roman" w:asciiTheme="minorEastAsia" w:hAnsiTheme="minorEastAsia" w:eastAsiaTheme="minorEastAsia"/>
          <w:szCs w:val="24"/>
        </w:rPr>
      </w:pPr>
      <w:bookmarkStart w:id="16" w:name="_Toc38033810"/>
      <w:bookmarkEnd w:id="16"/>
      <w:bookmarkStart w:id="17" w:name="_Toc38037735"/>
      <w:bookmarkEnd w:id="17"/>
      <w:bookmarkStart w:id="18" w:name="_Toc38034291"/>
      <w:bookmarkEnd w:id="18"/>
      <w:bookmarkStart w:id="19" w:name="_Toc48046178"/>
      <w:bookmarkEnd w:id="19"/>
      <w:bookmarkStart w:id="20" w:name="_Toc38034242"/>
      <w:bookmarkEnd w:id="20"/>
      <w:bookmarkStart w:id="21" w:name="_Toc38033633"/>
      <w:bookmarkEnd w:id="21"/>
      <w:r>
        <w:rPr>
          <w:rFonts w:hint="eastAsia" w:cs="Times New Roman" w:asciiTheme="minorEastAsia" w:hAnsiTheme="minorEastAsia" w:eastAsiaTheme="minorEastAsia"/>
          <w:szCs w:val="24"/>
        </w:rPr>
        <w:t>详细技术参数</w:t>
      </w:r>
    </w:p>
    <w:p w14:paraId="0D37C892">
      <w:pPr>
        <w:pStyle w:val="5"/>
        <w:keepNext/>
        <w:keepLines/>
        <w:pageBreakBefore w:val="0"/>
        <w:widowControl w:val="0"/>
        <w:kinsoku/>
        <w:wordWrap/>
        <w:overflowPunct/>
        <w:topLinePunct w:val="0"/>
        <w:autoSpaceDE/>
        <w:autoSpaceDN/>
        <w:bidi w:val="0"/>
        <w:adjustRightInd/>
        <w:snapToGrid/>
        <w:spacing w:before="0" w:after="0" w:line="360" w:lineRule="auto"/>
        <w:ind w:left="1327" w:hanging="901"/>
        <w:textAlignment w:val="auto"/>
        <w:rPr>
          <w:rFonts w:hint="eastAsia" w:ascii="Times New Roman" w:hAnsi="Times New Roman" w:cs="Times New Roman"/>
          <w:b/>
          <w:bCs/>
          <w:sz w:val="28"/>
          <w:szCs w:val="28"/>
          <w:lang w:val="en-US" w:eastAsia="zh-CN"/>
        </w:rPr>
      </w:pPr>
      <w:r>
        <w:rPr>
          <w:rFonts w:hint="eastAsia" w:ascii="Times New Roman" w:hAnsi="Times New Roman" w:cs="Times New Roman"/>
          <w:b/>
          <w:bCs/>
          <w:sz w:val="28"/>
          <w:szCs w:val="28"/>
          <w:lang w:val="en-US" w:eastAsia="zh-CN"/>
        </w:rPr>
        <w:t>3.2.1移动护理信息系统</w:t>
      </w:r>
    </w:p>
    <w:p w14:paraId="5E41BAC3">
      <w:pPr>
        <w:pStyle w:val="13"/>
        <w:spacing w:line="360" w:lineRule="auto"/>
        <w:ind w:firstLine="480" w:firstLineChars="200"/>
        <w:rPr>
          <w:rFonts w:hint="eastAsia" w:cs="Times New Roman" w:asciiTheme="minorEastAsia" w:hAnsiTheme="minorEastAsia" w:eastAsiaTheme="minorEastAsia"/>
          <w:lang w:val="en-US" w:eastAsia="zh-CN"/>
        </w:rPr>
      </w:pPr>
      <w:r>
        <w:rPr>
          <w:rFonts w:hint="eastAsia" w:cs="Times New Roman" w:asciiTheme="minorEastAsia" w:hAnsiTheme="minorEastAsia" w:eastAsiaTheme="minorEastAsia"/>
          <w:lang w:val="en-US" w:eastAsia="zh-CN"/>
        </w:rPr>
        <w:t xml:space="preserve"> 移动护理系统需要实现病区患者信息管理、医嘱执行闭环、护理任务管理等功能，帮助医院构建一个高效、智能、实时的护理作业平台，提升了医院护理工作的质量和效率。通过移动护理系统，患者能够享受到更加个性化、精细化的护理服务。其次，系统的医嘱执行闭环功能确保患者用药的准确性和及时性，减少用药差错的风险，保障患者的安全。</w:t>
      </w:r>
    </w:p>
    <w:p w14:paraId="2CEE570F">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firstLine="0" w:firstLineChars="0"/>
        <w:textAlignment w:val="auto"/>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移动护理执行</w:t>
      </w:r>
    </w:p>
    <w:p w14:paraId="057B5B57">
      <w:pPr>
        <w:numPr>
          <w:ilvl w:val="0"/>
          <w:numId w:val="3"/>
        </w:numPr>
        <w:spacing w:line="360" w:lineRule="auto"/>
        <w:ind w:left="425" w:leftChars="0" w:hanging="425" w:firstLineChars="0"/>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t>患者信息查询</w:t>
      </w:r>
    </w:p>
    <w:p w14:paraId="3DE547B8">
      <w:pPr>
        <w:pStyle w:val="13"/>
        <w:spacing w:line="360" w:lineRule="auto"/>
        <w:ind w:firstLine="480" w:firstLineChars="200"/>
        <w:rPr>
          <w:rFonts w:hint="default" w:cs="Times New Roman" w:asciiTheme="minorEastAsia" w:hAnsiTheme="minorEastAsia" w:eastAsiaTheme="minorEastAsia"/>
          <w:lang w:val="en-US" w:eastAsia="zh-CN"/>
        </w:rPr>
      </w:pPr>
      <w:r>
        <w:rPr>
          <w:rFonts w:hint="eastAsia" w:cs="Times New Roman" w:asciiTheme="minorEastAsia" w:hAnsiTheme="minorEastAsia" w:eastAsiaTheme="minorEastAsia"/>
          <w:lang w:val="en-US" w:eastAsia="zh-CN"/>
        </w:rPr>
        <w:t>需提供床位列表显示功能，能显示床号、患者姓名、患者基本信息、护理等级等信息。能查看患者基本信息及临床诊疗信息。</w:t>
      </w:r>
    </w:p>
    <w:p w14:paraId="0FD5FE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ascii="Times New Roman" w:hAnsi="Times New Roman" w:eastAsia="宋体" w:cs="Times New Roman"/>
          <w:b/>
          <w:bCs/>
          <w:i w:val="0"/>
          <w:iCs w:val="0"/>
          <w:sz w:val="24"/>
          <w:szCs w:val="24"/>
        </w:rPr>
      </w:pPr>
      <w:r>
        <w:rPr>
          <w:rFonts w:ascii="Times New Roman" w:hAnsi="Times New Roman" w:eastAsia="宋体" w:cs="Times New Roman"/>
          <w:b/>
          <w:bCs/>
          <w:i w:val="0"/>
          <w:iCs w:val="0"/>
          <w:sz w:val="24"/>
          <w:szCs w:val="24"/>
        </w:rPr>
        <w:t>床位列表</w:t>
      </w:r>
    </w:p>
    <w:p w14:paraId="5B3D8875">
      <w:pPr>
        <w:pStyle w:val="29"/>
        <w:snapToGrid w:val="0"/>
        <w:spacing w:line="360" w:lineRule="auto"/>
        <w:ind w:firstLine="480"/>
        <w:rPr>
          <w:rFonts w:ascii="Times New Roman" w:hAnsi="Times New Roman" w:eastAsia="宋体" w:cs="Times New Roman"/>
          <w:color w:val="000000"/>
          <w:sz w:val="24"/>
        </w:rPr>
      </w:pPr>
      <w:r>
        <w:rPr>
          <w:rFonts w:ascii="Times New Roman" w:hAnsi="Times New Roman" w:eastAsia="宋体" w:cs="Times New Roman"/>
          <w:color w:val="000000"/>
          <w:sz w:val="24"/>
        </w:rPr>
        <w:t>具备当前护士负责病区的病人列表信息显示功能，包括：床号、姓名、基本信息、护理等级。</w:t>
      </w:r>
    </w:p>
    <w:p w14:paraId="434EA6FC">
      <w:pPr>
        <w:pStyle w:val="29"/>
        <w:snapToGrid w:val="0"/>
        <w:spacing w:line="360" w:lineRule="auto"/>
        <w:ind w:firstLine="480"/>
        <w:rPr>
          <w:rFonts w:ascii="Times New Roman" w:hAnsi="Times New Roman" w:eastAsia="宋体" w:cs="Times New Roman"/>
          <w:color w:val="000000"/>
          <w:sz w:val="24"/>
        </w:rPr>
      </w:pPr>
      <w:r>
        <w:rPr>
          <w:rFonts w:ascii="Times New Roman" w:hAnsi="Times New Roman" w:eastAsia="宋体" w:cs="Times New Roman"/>
          <w:color w:val="000000"/>
          <w:sz w:val="24"/>
        </w:rPr>
        <w:t>具备显示内容根据护理等级、护理任务、病人类型过滤功能。</w:t>
      </w:r>
    </w:p>
    <w:p w14:paraId="30296A61">
      <w:pPr>
        <w:pStyle w:val="29"/>
        <w:snapToGrid w:val="0"/>
        <w:spacing w:line="360" w:lineRule="auto"/>
        <w:ind w:firstLine="480"/>
        <w:rPr>
          <w:rFonts w:ascii="Times New Roman" w:hAnsi="Times New Roman" w:eastAsia="宋体" w:cs="Times New Roman"/>
          <w:color w:val="000000"/>
          <w:sz w:val="24"/>
        </w:rPr>
      </w:pPr>
      <w:r>
        <w:rPr>
          <w:rFonts w:ascii="Times New Roman" w:hAnsi="Times New Roman" w:eastAsia="宋体" w:cs="Times New Roman"/>
          <w:color w:val="000000"/>
          <w:sz w:val="24"/>
        </w:rPr>
        <w:t>具备统计病区病人总体情况功能，包括；病区护理、手术、体征、危重病人一览。</w:t>
      </w:r>
    </w:p>
    <w:p w14:paraId="1C6D62D1">
      <w:pPr>
        <w:pStyle w:val="29"/>
        <w:snapToGrid w:val="0"/>
        <w:spacing w:line="360" w:lineRule="auto"/>
        <w:ind w:firstLine="480"/>
        <w:rPr>
          <w:rFonts w:ascii="Times New Roman" w:hAnsi="Times New Roman" w:eastAsia="宋体" w:cs="Times New Roman"/>
          <w:color w:val="000000"/>
          <w:sz w:val="24"/>
        </w:rPr>
      </w:pPr>
      <w:r>
        <w:rPr>
          <w:rFonts w:ascii="Times New Roman" w:hAnsi="Times New Roman" w:eastAsia="宋体" w:cs="Times New Roman"/>
          <w:color w:val="000000"/>
          <w:sz w:val="24"/>
        </w:rPr>
        <w:t>具备根据护理等级、护理任务、病人类型进行床位统计功能，</w:t>
      </w:r>
      <w:r>
        <w:rPr>
          <w:rFonts w:hint="eastAsia" w:ascii="Times New Roman" w:hAnsi="Times New Roman" w:eastAsia="宋体" w:cs="Times New Roman"/>
          <w:color w:val="000000"/>
          <w:sz w:val="24"/>
          <w:lang w:val="en-US" w:eastAsia="zh-CN"/>
        </w:rPr>
        <w:t>选择</w:t>
      </w:r>
      <w:r>
        <w:rPr>
          <w:rFonts w:ascii="Times New Roman" w:hAnsi="Times New Roman" w:eastAsia="宋体" w:cs="Times New Roman"/>
          <w:color w:val="000000"/>
          <w:sz w:val="24"/>
        </w:rPr>
        <w:t>床位进</w:t>
      </w:r>
      <w:r>
        <w:rPr>
          <w:rFonts w:hint="eastAsia" w:ascii="Times New Roman" w:hAnsi="Times New Roman" w:eastAsia="宋体" w:cs="Times New Roman"/>
          <w:color w:val="000000"/>
          <w:sz w:val="24"/>
          <w:lang w:val="en-US" w:eastAsia="zh-CN"/>
        </w:rPr>
        <w:t>行</w:t>
      </w:r>
      <w:r>
        <w:rPr>
          <w:rFonts w:ascii="Times New Roman" w:hAnsi="Times New Roman" w:eastAsia="宋体" w:cs="Times New Roman"/>
          <w:color w:val="000000"/>
          <w:sz w:val="24"/>
        </w:rPr>
        <w:t>病人信息查询。</w:t>
      </w:r>
    </w:p>
    <w:p w14:paraId="2A47B5C1">
      <w:pPr>
        <w:pStyle w:val="29"/>
        <w:snapToGrid w:val="0"/>
        <w:spacing w:line="360" w:lineRule="auto"/>
        <w:ind w:firstLine="480"/>
        <w:rPr>
          <w:rFonts w:ascii="Times New Roman" w:hAnsi="Times New Roman" w:eastAsia="宋体" w:cs="Times New Roman"/>
          <w:color w:val="000000"/>
          <w:sz w:val="24"/>
        </w:rPr>
      </w:pPr>
      <w:r>
        <w:rPr>
          <w:rFonts w:ascii="Times New Roman" w:hAnsi="Times New Roman" w:eastAsia="宋体" w:cs="Times New Roman"/>
          <w:color w:val="000000"/>
          <w:sz w:val="24"/>
        </w:rPr>
        <w:t>具备通过病历号、床号、姓名检索病人功能。</w:t>
      </w:r>
    </w:p>
    <w:p w14:paraId="17E61D28">
      <w:pPr>
        <w:pStyle w:val="54"/>
        <w:numPr>
          <w:ilvl w:val="0"/>
          <w:numId w:val="0"/>
        </w:numPr>
        <w:snapToGrid w:val="0"/>
        <w:spacing w:line="360" w:lineRule="auto"/>
        <w:ind w:firstLine="480" w:firstLineChars="200"/>
        <w:rPr>
          <w:rFonts w:hint="eastAsia" w:ascii="宋体" w:hAnsi="宋体" w:eastAsia="宋体" w:cs="宋体"/>
          <w:i w:val="0"/>
          <w:iCs w:val="0"/>
          <w:sz w:val="24"/>
          <w:szCs w:val="24"/>
          <w:lang w:eastAsia="zh-CN"/>
        </w:rPr>
      </w:pPr>
      <w:r>
        <w:rPr>
          <w:rFonts w:ascii="Times New Roman" w:hAnsi="Times New Roman" w:eastAsia="宋体" w:cs="Times New Roman"/>
          <w:i w:val="0"/>
          <w:iCs w:val="0"/>
          <w:color w:val="000000"/>
          <w:sz w:val="24"/>
        </w:rPr>
        <w:t>具备切换选择登录病区功能</w:t>
      </w:r>
      <w:r>
        <w:rPr>
          <w:rFonts w:hint="eastAsia" w:ascii="宋体" w:hAnsi="宋体" w:eastAsia="宋体" w:cs="宋体"/>
          <w:i w:val="0"/>
          <w:iCs w:val="0"/>
          <w:sz w:val="24"/>
          <w:szCs w:val="24"/>
          <w:lang w:eastAsia="zh-CN"/>
        </w:rPr>
        <w:t>。</w:t>
      </w:r>
    </w:p>
    <w:p w14:paraId="638EC21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hint="default" w:ascii="Times New Roman" w:hAnsi="Times New Roman" w:eastAsia="宋体" w:cs="Times New Roman"/>
          <w:b/>
          <w:bCs/>
          <w:i w:val="0"/>
          <w:iCs w:val="0"/>
          <w:sz w:val="24"/>
          <w:szCs w:val="24"/>
          <w:lang w:val="en-US" w:eastAsia="zh-CN"/>
        </w:rPr>
      </w:pPr>
      <w:r>
        <w:rPr>
          <w:rFonts w:hint="eastAsia" w:ascii="Times New Roman" w:hAnsi="Times New Roman" w:eastAsia="宋体" w:cs="Times New Roman"/>
          <w:b/>
          <w:bCs/>
          <w:i w:val="0"/>
          <w:iCs w:val="0"/>
          <w:sz w:val="24"/>
          <w:szCs w:val="24"/>
          <w:lang w:val="en-US" w:eastAsia="zh-CN"/>
        </w:rPr>
        <w:t>病人信息查询</w:t>
      </w:r>
    </w:p>
    <w:p w14:paraId="5B9D1ED5">
      <w:pPr>
        <w:pStyle w:val="29"/>
        <w:numPr>
          <w:ilvl w:val="255"/>
          <w:numId w:val="0"/>
        </w:numPr>
        <w:snapToGrid w:val="0"/>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具备查看病人基本信息、入院诊断、住院费用信息功能。</w:t>
      </w:r>
    </w:p>
    <w:p w14:paraId="2CC1FB95">
      <w:pPr>
        <w:pStyle w:val="29"/>
        <w:numPr>
          <w:ilvl w:val="255"/>
          <w:numId w:val="0"/>
        </w:numPr>
        <w:snapToGrid w:val="0"/>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具备查看病人过敏信息功能，过敏信息以红色字体显示。</w:t>
      </w:r>
    </w:p>
    <w:p w14:paraId="10AB7CC5">
      <w:pPr>
        <w:pStyle w:val="29"/>
        <w:numPr>
          <w:ilvl w:val="255"/>
          <w:numId w:val="0"/>
        </w:numPr>
        <w:snapToGrid w:val="0"/>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具备查看病人医嘱（长期、临时、有效长期、当天医嘱）、病程记录、检查检验报告、手术、会诊信息</w:t>
      </w:r>
      <w:r>
        <w:rPr>
          <w:rFonts w:hint="eastAsia" w:ascii="Times New Roman" w:hAnsi="Times New Roman" w:eastAsia="宋体" w:cs="Times New Roman"/>
          <w:color w:val="000000"/>
          <w:sz w:val="24"/>
          <w:szCs w:val="24"/>
        </w:rPr>
        <w:t>功能</w:t>
      </w:r>
      <w:r>
        <w:rPr>
          <w:rFonts w:ascii="Times New Roman" w:hAnsi="Times New Roman" w:eastAsia="宋体" w:cs="Times New Roman"/>
          <w:color w:val="000000"/>
          <w:sz w:val="24"/>
          <w:szCs w:val="24"/>
        </w:rPr>
        <w:t>。</w:t>
      </w:r>
    </w:p>
    <w:p w14:paraId="36A68924">
      <w:pPr>
        <w:pStyle w:val="29"/>
        <w:numPr>
          <w:ilvl w:val="255"/>
          <w:numId w:val="0"/>
        </w:numPr>
        <w:snapToGrid w:val="0"/>
        <w:spacing w:line="360" w:lineRule="auto"/>
        <w:ind w:firstLine="480" w:firstLineChars="200"/>
      </w:pPr>
      <w:r>
        <w:rPr>
          <w:rFonts w:ascii="Times New Roman" w:hAnsi="Times New Roman" w:eastAsia="宋体" w:cs="Times New Roman"/>
          <w:color w:val="000000"/>
          <w:sz w:val="24"/>
          <w:szCs w:val="24"/>
        </w:rPr>
        <w:t>具备患者费用清单和费用明细查询功能。</w:t>
      </w:r>
    </w:p>
    <w:p w14:paraId="0B32605F">
      <w:pPr>
        <w:numPr>
          <w:ilvl w:val="0"/>
          <w:numId w:val="3"/>
        </w:numPr>
        <w:spacing w:line="360" w:lineRule="auto"/>
        <w:ind w:left="425" w:leftChars="0" w:hanging="425" w:firstLineChars="0"/>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t>扫码执行医嘱</w:t>
      </w:r>
    </w:p>
    <w:p w14:paraId="270384E5">
      <w:pPr>
        <w:pStyle w:val="29"/>
        <w:snapToGrid w:val="0"/>
        <w:spacing w:line="360" w:lineRule="auto"/>
        <w:ind w:firstLine="480"/>
        <w:rPr>
          <w:rFonts w:hint="default" w:ascii="Times New Roman" w:hAnsi="Times New Roman" w:eastAsia="宋体" w:cs="Times New Roman"/>
          <w:color w:val="000000"/>
          <w:sz w:val="24"/>
          <w:highlight w:val="none"/>
          <w:lang w:val="en-US"/>
        </w:rPr>
      </w:pPr>
      <w:r>
        <w:rPr>
          <w:rFonts w:hint="default" w:ascii="Times New Roman" w:hAnsi="Times New Roman" w:eastAsia="宋体" w:cs="Times New Roman"/>
          <w:color w:val="000000"/>
          <w:sz w:val="24"/>
          <w:highlight w:val="none"/>
          <w:lang w:val="en-US" w:eastAsia="zh-CN"/>
        </w:rPr>
        <w:t>以</w:t>
      </w:r>
      <w:r>
        <w:rPr>
          <w:rFonts w:hint="default" w:ascii="Times New Roman" w:hAnsi="Times New Roman" w:eastAsia="宋体" w:cs="Times New Roman"/>
          <w:color w:val="000000"/>
          <w:sz w:val="24"/>
          <w:highlight w:val="none"/>
        </w:rPr>
        <w:t>列表展示医嘱的执行情况，</w:t>
      </w:r>
      <w:r>
        <w:rPr>
          <w:rFonts w:hint="eastAsia" w:ascii="Times New Roman" w:hAnsi="Times New Roman" w:cs="Times New Roman"/>
          <w:color w:val="000000"/>
          <w:sz w:val="24"/>
          <w:highlight w:val="none"/>
          <w:lang w:val="en-US" w:eastAsia="zh-CN"/>
        </w:rPr>
        <w:t>能</w:t>
      </w:r>
      <w:r>
        <w:rPr>
          <w:rFonts w:hint="default" w:ascii="Times New Roman" w:hAnsi="Times New Roman" w:eastAsia="宋体" w:cs="Times New Roman"/>
          <w:color w:val="000000"/>
          <w:sz w:val="24"/>
          <w:highlight w:val="none"/>
        </w:rPr>
        <w:t>区分医嘱</w:t>
      </w:r>
      <w:r>
        <w:rPr>
          <w:rFonts w:hint="eastAsia" w:ascii="Times New Roman" w:hAnsi="Times New Roman" w:cs="Times New Roman"/>
          <w:color w:val="000000"/>
          <w:sz w:val="24"/>
          <w:highlight w:val="none"/>
          <w:lang w:val="en-US" w:eastAsia="zh-CN"/>
        </w:rPr>
        <w:t>是</w:t>
      </w:r>
      <w:r>
        <w:rPr>
          <w:rFonts w:hint="default" w:ascii="Times New Roman" w:hAnsi="Times New Roman" w:eastAsia="宋体" w:cs="Times New Roman"/>
          <w:color w:val="000000"/>
          <w:sz w:val="24"/>
          <w:highlight w:val="none"/>
        </w:rPr>
        <w:t>已执行</w:t>
      </w:r>
      <w:r>
        <w:rPr>
          <w:rFonts w:hint="eastAsia" w:ascii="Times New Roman" w:hAnsi="Times New Roman" w:cs="Times New Roman"/>
          <w:color w:val="000000"/>
          <w:sz w:val="24"/>
          <w:highlight w:val="none"/>
          <w:lang w:val="en-US" w:eastAsia="zh-CN"/>
        </w:rPr>
        <w:t>还是</w:t>
      </w:r>
      <w:r>
        <w:rPr>
          <w:rFonts w:hint="default" w:ascii="Times New Roman" w:hAnsi="Times New Roman" w:eastAsia="宋体" w:cs="Times New Roman"/>
          <w:color w:val="000000"/>
          <w:sz w:val="24"/>
          <w:highlight w:val="none"/>
        </w:rPr>
        <w:t>未执行</w:t>
      </w:r>
      <w:r>
        <w:rPr>
          <w:rFonts w:hint="eastAsia" w:ascii="Times New Roman" w:hAnsi="Times New Roman" w:cs="Times New Roman"/>
          <w:color w:val="000000"/>
          <w:sz w:val="24"/>
          <w:highlight w:val="none"/>
          <w:lang w:eastAsia="zh-CN"/>
        </w:rPr>
        <w:t>。</w:t>
      </w:r>
      <w:r>
        <w:rPr>
          <w:rFonts w:hint="eastAsia" w:ascii="Times New Roman" w:hAnsi="Times New Roman" w:cs="Times New Roman"/>
          <w:color w:val="000000"/>
          <w:sz w:val="24"/>
          <w:highlight w:val="none"/>
          <w:lang w:val="en-US" w:eastAsia="zh-CN"/>
        </w:rPr>
        <w:t>可按医嘱类别查看某天待执行医嘱。支持扫码、手动执行两种方式，手动执行医嘱可录入手动执行的原因</w:t>
      </w:r>
      <w:r>
        <w:rPr>
          <w:rFonts w:hint="eastAsia" w:ascii="Times New Roman" w:hAnsi="Times New Roman" w:eastAsia="宋体" w:cs="Times New Roman"/>
          <w:color w:val="000000"/>
          <w:kern w:val="2"/>
          <w:sz w:val="24"/>
          <w:szCs w:val="22"/>
          <w:highlight w:val="none"/>
          <w:lang w:val="en-US" w:eastAsia="zh-CN" w:bidi="ar-SA"/>
        </w:rPr>
        <w:t>。</w:t>
      </w:r>
    </w:p>
    <w:p w14:paraId="7A3E97E2">
      <w:pPr>
        <w:pStyle w:val="29"/>
        <w:numPr>
          <w:ilvl w:val="255"/>
          <w:numId w:val="0"/>
        </w:numPr>
        <w:snapToGrid w:val="0"/>
        <w:spacing w:line="360" w:lineRule="auto"/>
        <w:ind w:firstLine="480" w:firstLineChars="200"/>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具备根据病人医嘱信息，自动按时间、频次生成每条医嘱的具体待执行记录功能。</w:t>
      </w:r>
    </w:p>
    <w:p w14:paraId="60ACCDDC">
      <w:pPr>
        <w:pStyle w:val="29"/>
        <w:numPr>
          <w:ilvl w:val="255"/>
          <w:numId w:val="0"/>
        </w:numPr>
        <w:snapToGrid w:val="0"/>
        <w:spacing w:line="360" w:lineRule="auto"/>
        <w:ind w:firstLine="480" w:firstLineChars="200"/>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具备按医嘱类别筛选展示某天待执行医嘱功能，医嘱类别包括口服、注射、输液、治疗、皮试。</w:t>
      </w:r>
    </w:p>
    <w:p w14:paraId="53368E2B">
      <w:pPr>
        <w:pStyle w:val="29"/>
        <w:numPr>
          <w:ilvl w:val="255"/>
          <w:numId w:val="0"/>
        </w:numPr>
        <w:snapToGrid w:val="0"/>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具备扫码、手动执行医嘱功能</w:t>
      </w:r>
      <w:r>
        <w:rPr>
          <w:rFonts w:hint="eastAsia" w:ascii="Times New Roman" w:hAnsi="Times New Roman" w:cs="Times New Roman"/>
          <w:color w:val="000000"/>
          <w:sz w:val="24"/>
          <w:szCs w:val="24"/>
          <w:lang w:eastAsia="zh-CN"/>
        </w:rPr>
        <w:t>。</w:t>
      </w:r>
      <w:r>
        <w:rPr>
          <w:rFonts w:ascii="Times New Roman" w:hAnsi="Times New Roman" w:eastAsia="宋体" w:cs="Times New Roman"/>
          <w:color w:val="000000"/>
          <w:sz w:val="24"/>
          <w:szCs w:val="24"/>
        </w:rPr>
        <w:t>手动执行医嘱时有确认执行弹框提示，可录入手动执行原因。</w:t>
      </w:r>
    </w:p>
    <w:p w14:paraId="62EE19A6">
      <w:pPr>
        <w:pStyle w:val="29"/>
        <w:numPr>
          <w:ilvl w:val="255"/>
          <w:numId w:val="0"/>
        </w:numPr>
        <w:snapToGrid w:val="0"/>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具备取消执行、暂停、停止、取消停止、修改执行时间、修改结束时间功能。</w:t>
      </w:r>
    </w:p>
    <w:p w14:paraId="155D3114">
      <w:pPr>
        <w:pStyle w:val="29"/>
        <w:numPr>
          <w:ilvl w:val="255"/>
          <w:numId w:val="0"/>
        </w:numPr>
        <w:snapToGrid w:val="0"/>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输液医嘱执行具备多通道输液记录、滴速上下限提醒功能。</w:t>
      </w:r>
    </w:p>
    <w:p w14:paraId="560F7BBA">
      <w:pPr>
        <w:pStyle w:val="29"/>
        <w:numPr>
          <w:ilvl w:val="255"/>
          <w:numId w:val="0"/>
        </w:numPr>
        <w:snapToGrid w:val="0"/>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具备输液巡视功能，可记录输液不良反应，可按日期、用法筛选查看病人输液巡视单。</w:t>
      </w:r>
    </w:p>
    <w:p w14:paraId="0AA09FEE">
      <w:pPr>
        <w:pStyle w:val="29"/>
        <w:numPr>
          <w:ilvl w:val="255"/>
          <w:numId w:val="0"/>
        </w:numPr>
        <w:snapToGrid w:val="0"/>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具备将医嘱执行记录同步到护理文书，将已执行的液体医嘱同步到出入量表单中、输血医嘱执行信息同步到输血记录单中。</w:t>
      </w:r>
    </w:p>
    <w:p w14:paraId="798E5EA8">
      <w:pPr>
        <w:pStyle w:val="29"/>
        <w:numPr>
          <w:ilvl w:val="255"/>
          <w:numId w:val="0"/>
        </w:numPr>
        <w:snapToGrid w:val="0"/>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具备执行胰岛素注射医嘱，记录胰岛素注射部位功能。</w:t>
      </w:r>
    </w:p>
    <w:p w14:paraId="3F568E89">
      <w:pPr>
        <w:pStyle w:val="29"/>
        <w:numPr>
          <w:ilvl w:val="255"/>
          <w:numId w:val="0"/>
        </w:numPr>
        <w:snapToGrid w:val="0"/>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具备皮试管理功能，具备录入皮试医嘱皮试结果。</w:t>
      </w:r>
    </w:p>
    <w:p w14:paraId="74F0B9C6">
      <w:pPr>
        <w:pStyle w:val="29"/>
        <w:numPr>
          <w:ilvl w:val="255"/>
          <w:numId w:val="0"/>
        </w:numPr>
        <w:snapToGrid w:val="0"/>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具备检验标本采集核对功能，并</w:t>
      </w:r>
      <w:r>
        <w:rPr>
          <w:rFonts w:hint="eastAsia" w:ascii="Times New Roman" w:hAnsi="Times New Roman" w:eastAsia="宋体" w:cs="Times New Roman"/>
          <w:color w:val="000000"/>
          <w:sz w:val="24"/>
          <w:szCs w:val="24"/>
          <w:lang w:val="en-US" w:eastAsia="zh-CN"/>
        </w:rPr>
        <w:t>支持与检验系统对接，</w:t>
      </w:r>
      <w:r>
        <w:rPr>
          <w:rFonts w:ascii="Times New Roman" w:hAnsi="Times New Roman" w:eastAsia="宋体" w:cs="Times New Roman"/>
          <w:color w:val="000000"/>
          <w:sz w:val="24"/>
          <w:szCs w:val="24"/>
        </w:rPr>
        <w:t>通过接口更新</w:t>
      </w:r>
      <w:r>
        <w:rPr>
          <w:rFonts w:hint="eastAsia" w:ascii="Times New Roman" w:hAnsi="Times New Roman" w:cs="Times New Roman"/>
          <w:color w:val="000000"/>
          <w:sz w:val="24"/>
          <w:szCs w:val="24"/>
          <w:lang w:val="en-US" w:eastAsia="zh-CN"/>
        </w:rPr>
        <w:t>检验</w:t>
      </w:r>
      <w:r>
        <w:rPr>
          <w:rFonts w:ascii="Times New Roman" w:hAnsi="Times New Roman" w:eastAsia="宋体" w:cs="Times New Roman"/>
          <w:color w:val="000000"/>
          <w:sz w:val="24"/>
          <w:szCs w:val="24"/>
        </w:rPr>
        <w:t>系统标本核对状态。</w:t>
      </w:r>
    </w:p>
    <w:p w14:paraId="47605EB4">
      <w:pPr>
        <w:pStyle w:val="29"/>
        <w:numPr>
          <w:ilvl w:val="255"/>
          <w:numId w:val="0"/>
        </w:numPr>
        <w:snapToGrid w:val="0"/>
        <w:spacing w:line="360" w:lineRule="auto"/>
        <w:ind w:firstLine="480" w:firstLineChars="200"/>
        <w:rPr>
          <w:rFonts w:hint="eastAsia" w:ascii="Times New Roman" w:hAnsi="Times New Roman" w:cs="Times New Roman"/>
          <w:color w:val="000000"/>
          <w:sz w:val="24"/>
          <w:szCs w:val="24"/>
          <w:lang w:eastAsia="zh-CN"/>
        </w:rPr>
      </w:pPr>
      <w:r>
        <w:rPr>
          <w:rFonts w:ascii="Times New Roman" w:hAnsi="Times New Roman" w:eastAsia="宋体" w:cs="Times New Roman"/>
          <w:color w:val="000000"/>
          <w:sz w:val="24"/>
          <w:szCs w:val="24"/>
        </w:rPr>
        <w:t>具备在医嘱执行时校验并提示功能，包括患者过敏信息、用药指导、滴速范围</w:t>
      </w:r>
      <w:r>
        <w:rPr>
          <w:rFonts w:hint="eastAsia" w:ascii="Times New Roman" w:hAnsi="Times New Roman" w:cs="Times New Roman"/>
          <w:color w:val="000000"/>
          <w:sz w:val="24"/>
          <w:szCs w:val="24"/>
          <w:lang w:eastAsia="zh-CN"/>
        </w:rPr>
        <w:t>。</w:t>
      </w:r>
    </w:p>
    <w:p w14:paraId="3BAD42DE">
      <w:pPr>
        <w:pStyle w:val="29"/>
        <w:numPr>
          <w:ilvl w:val="255"/>
          <w:numId w:val="0"/>
        </w:numPr>
        <w:snapToGrid w:val="0"/>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具备超时执行提醒、即将结束提醒、已停止医嘱提醒。</w:t>
      </w:r>
    </w:p>
    <w:p w14:paraId="54AAD993">
      <w:pPr>
        <w:pStyle w:val="29"/>
        <w:numPr>
          <w:ilvl w:val="255"/>
          <w:numId w:val="0"/>
        </w:numPr>
        <w:snapToGrid w:val="0"/>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具备展示标本采集试管帽颜色功能。</w:t>
      </w:r>
    </w:p>
    <w:p w14:paraId="2111F238">
      <w:pPr>
        <w:numPr>
          <w:ilvl w:val="0"/>
          <w:numId w:val="3"/>
        </w:numPr>
        <w:spacing w:line="360" w:lineRule="auto"/>
        <w:ind w:left="425" w:leftChars="0" w:hanging="425" w:firstLineChars="0"/>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t>护理临床监控</w:t>
      </w:r>
    </w:p>
    <w:p w14:paraId="78A5EFE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hint="eastAsia" w:ascii="Times New Roman" w:hAnsi="Times New Roman" w:eastAsia="宋体" w:cs="Times New Roman"/>
          <w:b/>
          <w:bCs/>
          <w:i w:val="0"/>
          <w:iCs w:val="0"/>
          <w:sz w:val="24"/>
          <w:szCs w:val="24"/>
          <w:lang w:val="en-US" w:eastAsia="zh-CN"/>
        </w:rPr>
      </w:pPr>
      <w:r>
        <w:rPr>
          <w:rFonts w:hint="eastAsia" w:ascii="Times New Roman" w:hAnsi="Times New Roman" w:eastAsia="宋体" w:cs="Times New Roman"/>
          <w:b/>
          <w:bCs/>
          <w:i w:val="0"/>
          <w:iCs w:val="0"/>
          <w:sz w:val="24"/>
          <w:szCs w:val="24"/>
          <w:lang w:val="en-US" w:eastAsia="zh-CN"/>
        </w:rPr>
        <w:t>病区医嘱</w:t>
      </w:r>
    </w:p>
    <w:p w14:paraId="5F679E08">
      <w:pPr>
        <w:pStyle w:val="29"/>
        <w:keepNext w:val="0"/>
        <w:keepLines w:val="0"/>
        <w:pageBreakBefore w:val="0"/>
        <w:widowControl w:val="0"/>
        <w:numPr>
          <w:ilvl w:val="255"/>
          <w:numId w:val="0"/>
        </w:numPr>
        <w:kinsoku/>
        <w:wordWrap/>
        <w:overflowPunct/>
        <w:topLinePunct w:val="0"/>
        <w:autoSpaceDE/>
        <w:autoSpaceDN/>
        <w:bidi w:val="0"/>
        <w:adjustRightInd/>
        <w:snapToGrid w:val="0"/>
        <w:spacing w:line="360" w:lineRule="auto"/>
        <w:ind w:firstLine="480" w:firstLineChars="200"/>
        <w:textAlignment w:val="auto"/>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具备展示病区医嘱功能，包括通过列表展示全病区患者医嘱数量、医嘱内容、执行情况。</w:t>
      </w:r>
    </w:p>
    <w:p w14:paraId="022C4B9B">
      <w:pPr>
        <w:pStyle w:val="29"/>
        <w:keepNext w:val="0"/>
        <w:keepLines w:val="0"/>
        <w:pageBreakBefore w:val="0"/>
        <w:widowControl w:val="0"/>
        <w:numPr>
          <w:ilvl w:val="255"/>
          <w:numId w:val="0"/>
        </w:numPr>
        <w:kinsoku/>
        <w:wordWrap/>
        <w:overflowPunct/>
        <w:topLinePunct w:val="0"/>
        <w:autoSpaceDE/>
        <w:autoSpaceDN/>
        <w:bidi w:val="0"/>
        <w:adjustRightInd/>
        <w:snapToGrid w:val="0"/>
        <w:spacing w:line="360" w:lineRule="auto"/>
        <w:ind w:firstLine="480" w:firstLineChars="200"/>
        <w:textAlignment w:val="auto"/>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具备按时间、病人范围、长期/临时、执行状态、药品类别筛选医嘱功能。</w:t>
      </w:r>
    </w:p>
    <w:p w14:paraId="5CBCA3FC">
      <w:pPr>
        <w:keepNext w:val="0"/>
        <w:keepLines w:val="0"/>
        <w:pageBreakBefore w:val="0"/>
        <w:widowControl w:val="0"/>
        <w:kinsoku/>
        <w:wordWrap/>
        <w:overflowPunct/>
        <w:topLinePunct w:val="0"/>
        <w:autoSpaceDE/>
        <w:autoSpaceDN/>
        <w:bidi w:val="0"/>
        <w:adjustRightInd/>
        <w:textAlignment w:val="auto"/>
        <w:rPr>
          <w:rFonts w:hint="eastAsia" w:ascii="Times New Roman" w:hAnsi="Times New Roman" w:eastAsia="宋体" w:cs="Times New Roman"/>
          <w:color w:val="000000"/>
          <w:sz w:val="24"/>
          <w:szCs w:val="24"/>
          <w:lang w:eastAsia="zh-CN"/>
        </w:rPr>
      </w:pPr>
      <w:r>
        <w:rPr>
          <w:rFonts w:ascii="Times New Roman" w:hAnsi="Times New Roman" w:eastAsia="宋体" w:cs="Times New Roman"/>
          <w:color w:val="000000"/>
          <w:sz w:val="24"/>
          <w:szCs w:val="24"/>
        </w:rPr>
        <w:t>具备显示当天所有需执行的医嘱总数</w:t>
      </w:r>
      <w:r>
        <w:rPr>
          <w:rFonts w:hint="eastAsia" w:ascii="Times New Roman" w:hAnsi="Times New Roman" w:cs="Times New Roman"/>
          <w:color w:val="000000"/>
          <w:sz w:val="24"/>
          <w:szCs w:val="24"/>
          <w:lang w:val="en-US" w:eastAsia="zh-CN"/>
        </w:rPr>
        <w:t>功能</w:t>
      </w:r>
      <w:r>
        <w:rPr>
          <w:rFonts w:hint="eastAsia" w:ascii="Times New Roman" w:hAnsi="Times New Roman" w:eastAsia="宋体" w:cs="Times New Roman"/>
          <w:color w:val="000000"/>
          <w:sz w:val="24"/>
          <w:szCs w:val="24"/>
          <w:lang w:eastAsia="zh-CN"/>
        </w:rPr>
        <w:t>。</w:t>
      </w:r>
    </w:p>
    <w:p w14:paraId="491E11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hint="eastAsia" w:ascii="Times New Roman" w:hAnsi="Times New Roman" w:eastAsia="宋体" w:cs="Times New Roman"/>
          <w:b/>
          <w:bCs/>
          <w:i w:val="0"/>
          <w:iCs w:val="0"/>
          <w:sz w:val="24"/>
          <w:szCs w:val="24"/>
          <w:lang w:val="en-US" w:eastAsia="zh-CN"/>
        </w:rPr>
      </w:pPr>
      <w:r>
        <w:rPr>
          <w:rFonts w:hint="eastAsia" w:ascii="Times New Roman" w:hAnsi="Times New Roman" w:eastAsia="宋体" w:cs="Times New Roman"/>
          <w:b/>
          <w:bCs/>
          <w:i w:val="0"/>
          <w:iCs w:val="0"/>
          <w:sz w:val="24"/>
          <w:szCs w:val="24"/>
          <w:lang w:val="en-US" w:eastAsia="zh-CN"/>
        </w:rPr>
        <w:t>输液监控</w:t>
      </w:r>
    </w:p>
    <w:p w14:paraId="022D7301">
      <w:pPr>
        <w:pStyle w:val="29"/>
        <w:numPr>
          <w:ilvl w:val="255"/>
          <w:numId w:val="0"/>
        </w:numPr>
        <w:snapToGrid w:val="0"/>
        <w:spacing w:line="360" w:lineRule="auto"/>
        <w:ind w:firstLine="480" w:firstLineChars="200"/>
        <w:rPr>
          <w:rFonts w:ascii="Times New Roman" w:hAnsi="Times New Roman" w:eastAsia="宋体" w:cs="Times New Roman"/>
          <w:b w:val="0"/>
          <w:bCs w:val="0"/>
          <w:color w:val="000000"/>
          <w:sz w:val="24"/>
          <w:szCs w:val="24"/>
        </w:rPr>
      </w:pPr>
      <w:r>
        <w:rPr>
          <w:rFonts w:ascii="Times New Roman" w:hAnsi="Times New Roman" w:eastAsia="宋体" w:cs="Times New Roman"/>
          <w:b w:val="0"/>
          <w:bCs w:val="0"/>
          <w:color w:val="000000"/>
          <w:sz w:val="24"/>
          <w:szCs w:val="24"/>
        </w:rPr>
        <w:t>具备展示全病区病人输液信息功能，且以进度条形式展示输液进度。</w:t>
      </w:r>
    </w:p>
    <w:p w14:paraId="0D101050">
      <w:pPr>
        <w:pStyle w:val="29"/>
        <w:numPr>
          <w:ilvl w:val="255"/>
          <w:numId w:val="0"/>
        </w:numPr>
        <w:snapToGrid w:val="0"/>
        <w:spacing w:line="360" w:lineRule="auto"/>
        <w:ind w:firstLine="480" w:firstLineChars="200"/>
        <w:rPr>
          <w:rFonts w:ascii="Times New Roman" w:hAnsi="Times New Roman" w:eastAsia="宋体" w:cs="Times New Roman"/>
          <w:b w:val="0"/>
          <w:bCs w:val="0"/>
          <w:color w:val="000000"/>
          <w:sz w:val="24"/>
          <w:szCs w:val="24"/>
        </w:rPr>
      </w:pPr>
      <w:r>
        <w:rPr>
          <w:rFonts w:ascii="Times New Roman" w:hAnsi="Times New Roman" w:eastAsia="宋体" w:cs="Times New Roman"/>
          <w:b w:val="0"/>
          <w:bCs w:val="0"/>
          <w:color w:val="000000"/>
          <w:sz w:val="24"/>
          <w:szCs w:val="24"/>
        </w:rPr>
        <w:t>具备展示病区即将完成输液的数量功能。</w:t>
      </w:r>
    </w:p>
    <w:p w14:paraId="6BA6E1E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hint="eastAsia" w:ascii="Times New Roman" w:hAnsi="Times New Roman" w:eastAsia="宋体" w:cs="Times New Roman"/>
          <w:b/>
          <w:bCs/>
          <w:i w:val="0"/>
          <w:iCs w:val="0"/>
          <w:sz w:val="24"/>
          <w:szCs w:val="24"/>
          <w:lang w:val="en-US" w:eastAsia="zh-CN"/>
        </w:rPr>
      </w:pPr>
      <w:r>
        <w:rPr>
          <w:rFonts w:hint="eastAsia" w:ascii="Times New Roman" w:hAnsi="Times New Roman" w:eastAsia="宋体" w:cs="Times New Roman"/>
          <w:b/>
          <w:bCs/>
          <w:i w:val="0"/>
          <w:iCs w:val="0"/>
          <w:sz w:val="24"/>
          <w:szCs w:val="24"/>
          <w:lang w:val="en-US" w:eastAsia="zh-CN"/>
        </w:rPr>
        <w:t>护理任务清单</w:t>
      </w:r>
    </w:p>
    <w:p w14:paraId="1425BF06">
      <w:pPr>
        <w:pStyle w:val="29"/>
        <w:keepNext w:val="0"/>
        <w:keepLines w:val="0"/>
        <w:pageBreakBefore w:val="0"/>
        <w:widowControl w:val="0"/>
        <w:numPr>
          <w:ilvl w:val="255"/>
          <w:numId w:val="0"/>
        </w:numPr>
        <w:kinsoku/>
        <w:wordWrap/>
        <w:overflowPunct/>
        <w:topLinePunct w:val="0"/>
        <w:autoSpaceDE/>
        <w:autoSpaceDN/>
        <w:bidi w:val="0"/>
        <w:adjustRightInd/>
        <w:snapToGrid w:val="0"/>
        <w:spacing w:line="360" w:lineRule="auto"/>
        <w:ind w:firstLine="480" w:firstLineChars="200"/>
        <w:textAlignment w:val="auto"/>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具备二维表展示各患者各项护理工作项完成情况功能。</w:t>
      </w:r>
    </w:p>
    <w:p w14:paraId="156709A5">
      <w:pPr>
        <w:pStyle w:val="21"/>
        <w:keepNext w:val="0"/>
        <w:keepLines w:val="0"/>
        <w:pageBreakBefore w:val="0"/>
        <w:widowControl w:val="0"/>
        <w:kinsoku/>
        <w:wordWrap/>
        <w:overflowPunct/>
        <w:topLinePunct w:val="0"/>
        <w:autoSpaceDE/>
        <w:autoSpaceDN/>
        <w:bidi w:val="0"/>
        <w:adjustRightInd/>
        <w:spacing w:after="0"/>
        <w:ind w:left="0" w:leftChars="0" w:firstLine="480" w:firstLineChars="200"/>
        <w:textAlignment w:val="auto"/>
        <w:rPr>
          <w:rFonts w:hint="eastAsia" w:eastAsia="宋体"/>
          <w:lang w:val="en-US" w:eastAsia="zh-CN"/>
        </w:rPr>
      </w:pPr>
      <w:r>
        <w:rPr>
          <w:rFonts w:ascii="Times New Roman" w:hAnsi="Times New Roman" w:eastAsia="宋体" w:cs="Times New Roman"/>
          <w:color w:val="000000"/>
          <w:sz w:val="24"/>
          <w:szCs w:val="24"/>
        </w:rPr>
        <w:t>具备</w:t>
      </w:r>
      <w:r>
        <w:rPr>
          <w:rFonts w:hint="eastAsia" w:ascii="Times New Roman" w:hAnsi="Times New Roman" w:eastAsia="宋体" w:cs="Times New Roman"/>
          <w:color w:val="000000"/>
          <w:sz w:val="24"/>
          <w:szCs w:val="24"/>
          <w:lang w:val="en-US" w:eastAsia="zh-CN"/>
        </w:rPr>
        <w:t>选择</w:t>
      </w:r>
      <w:r>
        <w:rPr>
          <w:rFonts w:ascii="Times New Roman" w:hAnsi="Times New Roman" w:eastAsia="宋体" w:cs="Times New Roman"/>
          <w:color w:val="000000"/>
          <w:sz w:val="24"/>
          <w:szCs w:val="24"/>
        </w:rPr>
        <w:t>二维表中的工作项</w:t>
      </w:r>
      <w:r>
        <w:rPr>
          <w:rFonts w:hint="eastAsia" w:ascii="Times New Roman" w:hAnsi="Times New Roman" w:eastAsia="宋体" w:cs="Times New Roman"/>
          <w:color w:val="000000"/>
          <w:sz w:val="24"/>
          <w:szCs w:val="24"/>
          <w:lang w:val="en-US" w:eastAsia="zh-CN"/>
        </w:rPr>
        <w:t>进入</w:t>
      </w:r>
      <w:r>
        <w:rPr>
          <w:rFonts w:ascii="Times New Roman" w:hAnsi="Times New Roman" w:eastAsia="宋体" w:cs="Times New Roman"/>
          <w:color w:val="000000"/>
          <w:sz w:val="24"/>
          <w:szCs w:val="24"/>
        </w:rPr>
        <w:t>执行</w:t>
      </w:r>
      <w:r>
        <w:rPr>
          <w:rFonts w:hint="eastAsia" w:ascii="Times New Roman" w:hAnsi="Times New Roman" w:eastAsia="宋体" w:cs="Times New Roman"/>
          <w:color w:val="000000"/>
          <w:sz w:val="24"/>
          <w:szCs w:val="24"/>
          <w:lang w:val="en-US" w:eastAsia="zh-CN"/>
        </w:rPr>
        <w:t>界面功能</w:t>
      </w:r>
      <w:r>
        <w:rPr>
          <w:rFonts w:hint="eastAsia" w:ascii="Times New Roman" w:hAnsi="Times New Roman" w:eastAsia="宋体" w:cs="Times New Roman"/>
          <w:color w:val="000000"/>
          <w:sz w:val="24"/>
          <w:szCs w:val="24"/>
          <w:lang w:eastAsia="zh-CN"/>
        </w:rPr>
        <w:t>。</w:t>
      </w:r>
    </w:p>
    <w:p w14:paraId="31BCD670">
      <w:pPr>
        <w:numPr>
          <w:ilvl w:val="0"/>
          <w:numId w:val="3"/>
        </w:numPr>
        <w:spacing w:line="360" w:lineRule="auto"/>
        <w:ind w:left="425" w:leftChars="0" w:hanging="425" w:firstLineChars="0"/>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t>临床辅助工具</w:t>
      </w:r>
    </w:p>
    <w:p w14:paraId="14B34A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hint="eastAsia" w:ascii="Times New Roman" w:hAnsi="Times New Roman" w:eastAsia="宋体" w:cs="Times New Roman"/>
          <w:b/>
          <w:bCs/>
          <w:i w:val="0"/>
          <w:iCs w:val="0"/>
          <w:sz w:val="24"/>
          <w:szCs w:val="24"/>
          <w:lang w:val="en-US" w:eastAsia="zh-CN"/>
        </w:rPr>
      </w:pPr>
      <w:r>
        <w:rPr>
          <w:rFonts w:hint="eastAsia" w:ascii="Times New Roman" w:hAnsi="Times New Roman" w:eastAsia="宋体" w:cs="Times New Roman"/>
          <w:b/>
          <w:bCs/>
          <w:i w:val="0"/>
          <w:iCs w:val="0"/>
          <w:sz w:val="24"/>
          <w:szCs w:val="24"/>
          <w:lang w:val="en-US" w:eastAsia="zh-CN"/>
        </w:rPr>
        <w:t>护理巡视</w:t>
      </w:r>
    </w:p>
    <w:p w14:paraId="156A2BCD">
      <w:pPr>
        <w:pStyle w:val="21"/>
        <w:ind w:left="0" w:leftChars="0" w:firstLine="420" w:firstLineChars="200"/>
        <w:rPr>
          <w:rFonts w:hint="default" w:eastAsia="宋体"/>
          <w:lang w:val="en-US" w:eastAsia="zh-CN"/>
        </w:rPr>
      </w:pPr>
      <w:r>
        <w:rPr>
          <w:rFonts w:hint="eastAsia" w:eastAsia="宋体"/>
          <w:lang w:val="en-US" w:eastAsia="zh-CN"/>
        </w:rPr>
        <w:t>基于护理级别生成巡视计划，进行巡视提醒，可将医嘱执行巡视记录写入巡视记录，可生成巡视记录时间轴。</w:t>
      </w:r>
    </w:p>
    <w:p w14:paraId="1429ACB2">
      <w:pPr>
        <w:pStyle w:val="29"/>
        <w:numPr>
          <w:ilvl w:val="255"/>
          <w:numId w:val="0"/>
        </w:numPr>
        <w:snapToGrid w:val="0"/>
        <w:spacing w:line="360" w:lineRule="auto"/>
        <w:ind w:firstLine="480" w:firstLineChars="200"/>
        <w:rPr>
          <w:rFonts w:ascii="Times New Roman" w:hAnsi="Times New Roman" w:eastAsia="宋体" w:cs="Times New Roman"/>
          <w:b w:val="0"/>
          <w:bCs w:val="0"/>
          <w:color w:val="000000"/>
          <w:sz w:val="24"/>
          <w:szCs w:val="24"/>
        </w:rPr>
      </w:pPr>
      <w:r>
        <w:rPr>
          <w:rFonts w:ascii="Times New Roman" w:hAnsi="Times New Roman" w:eastAsia="宋体" w:cs="Times New Roman"/>
          <w:b w:val="0"/>
          <w:bCs w:val="0"/>
          <w:color w:val="000000"/>
          <w:sz w:val="24"/>
          <w:szCs w:val="24"/>
        </w:rPr>
        <w:t>具备扫描腕带、床头卡、房间卡完成巡房操作功能。</w:t>
      </w:r>
    </w:p>
    <w:p w14:paraId="41E6BAC1">
      <w:pPr>
        <w:pStyle w:val="29"/>
        <w:numPr>
          <w:ilvl w:val="255"/>
          <w:numId w:val="0"/>
        </w:numPr>
        <w:snapToGrid w:val="0"/>
        <w:spacing w:line="360" w:lineRule="auto"/>
        <w:ind w:firstLine="480" w:firstLineChars="200"/>
        <w:rPr>
          <w:rFonts w:ascii="Times New Roman" w:hAnsi="Times New Roman" w:eastAsia="宋体" w:cs="Times New Roman"/>
          <w:b w:val="0"/>
          <w:bCs w:val="0"/>
          <w:color w:val="000000"/>
          <w:sz w:val="24"/>
          <w:szCs w:val="24"/>
        </w:rPr>
      </w:pPr>
      <w:r>
        <w:rPr>
          <w:rFonts w:ascii="Times New Roman" w:hAnsi="Times New Roman" w:eastAsia="宋体" w:cs="Times New Roman"/>
          <w:b w:val="0"/>
          <w:bCs w:val="0"/>
          <w:color w:val="000000"/>
          <w:sz w:val="24"/>
          <w:szCs w:val="24"/>
        </w:rPr>
        <w:t>具备手动巡房（不用扫床头卡）功能。</w:t>
      </w:r>
    </w:p>
    <w:p w14:paraId="193A5D42">
      <w:pPr>
        <w:pStyle w:val="29"/>
        <w:numPr>
          <w:ilvl w:val="255"/>
          <w:numId w:val="0"/>
        </w:numPr>
        <w:snapToGrid w:val="0"/>
        <w:spacing w:line="360" w:lineRule="auto"/>
        <w:ind w:firstLine="480" w:firstLineChars="200"/>
        <w:rPr>
          <w:rFonts w:ascii="Times New Roman" w:hAnsi="Times New Roman" w:eastAsia="宋体" w:cs="Times New Roman"/>
          <w:b w:val="0"/>
          <w:bCs w:val="0"/>
          <w:color w:val="000000"/>
          <w:sz w:val="24"/>
          <w:szCs w:val="24"/>
        </w:rPr>
      </w:pPr>
      <w:r>
        <w:rPr>
          <w:rFonts w:ascii="Times New Roman" w:hAnsi="Times New Roman" w:eastAsia="宋体" w:cs="Times New Roman"/>
          <w:b w:val="0"/>
          <w:bCs w:val="0"/>
          <w:color w:val="000000"/>
          <w:sz w:val="24"/>
          <w:szCs w:val="24"/>
        </w:rPr>
        <w:t>具备引用上次巡视记录功能。</w:t>
      </w:r>
    </w:p>
    <w:p w14:paraId="02F2D74A">
      <w:pPr>
        <w:pStyle w:val="29"/>
        <w:numPr>
          <w:ilvl w:val="255"/>
          <w:numId w:val="0"/>
        </w:numPr>
        <w:snapToGrid w:val="0"/>
        <w:spacing w:line="360" w:lineRule="auto"/>
        <w:ind w:firstLine="480" w:firstLineChars="200"/>
        <w:rPr>
          <w:rFonts w:ascii="Times New Roman" w:hAnsi="Times New Roman" w:eastAsia="宋体" w:cs="Times New Roman"/>
          <w:b w:val="0"/>
          <w:bCs w:val="0"/>
          <w:color w:val="000000"/>
          <w:sz w:val="24"/>
          <w:szCs w:val="24"/>
        </w:rPr>
      </w:pPr>
      <w:r>
        <w:rPr>
          <w:rFonts w:ascii="Times New Roman" w:hAnsi="Times New Roman" w:eastAsia="宋体" w:cs="Times New Roman"/>
          <w:b w:val="0"/>
          <w:bCs w:val="0"/>
          <w:color w:val="000000"/>
          <w:sz w:val="24"/>
          <w:szCs w:val="24"/>
        </w:rPr>
        <w:t>具备按照患者护理等级生成巡视计划功能。</w:t>
      </w:r>
    </w:p>
    <w:p w14:paraId="494FA77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hint="eastAsia" w:ascii="Times New Roman" w:hAnsi="Times New Roman" w:eastAsia="宋体" w:cs="Times New Roman"/>
          <w:b/>
          <w:bCs/>
          <w:i w:val="0"/>
          <w:iCs w:val="0"/>
          <w:sz w:val="24"/>
          <w:szCs w:val="24"/>
          <w:lang w:val="en-US" w:eastAsia="zh-CN"/>
        </w:rPr>
      </w:pPr>
      <w:r>
        <w:rPr>
          <w:rFonts w:hint="eastAsia" w:ascii="Times New Roman" w:hAnsi="Times New Roman" w:eastAsia="宋体" w:cs="Times New Roman"/>
          <w:b/>
          <w:bCs/>
          <w:i w:val="0"/>
          <w:iCs w:val="0"/>
          <w:sz w:val="24"/>
          <w:szCs w:val="24"/>
          <w:lang w:val="en-US" w:eastAsia="zh-CN"/>
        </w:rPr>
        <w:t>药品配置核对</w:t>
      </w:r>
    </w:p>
    <w:p w14:paraId="6FC7CB6A">
      <w:pPr>
        <w:pStyle w:val="29"/>
        <w:keepNext w:val="0"/>
        <w:keepLines w:val="0"/>
        <w:pageBreakBefore w:val="0"/>
        <w:widowControl w:val="0"/>
        <w:numPr>
          <w:ilvl w:val="255"/>
          <w:numId w:val="0"/>
        </w:numPr>
        <w:kinsoku/>
        <w:wordWrap/>
        <w:overflowPunct/>
        <w:topLinePunct w:val="0"/>
        <w:autoSpaceDE/>
        <w:autoSpaceDN/>
        <w:bidi w:val="0"/>
        <w:adjustRightInd/>
        <w:snapToGrid w:val="0"/>
        <w:spacing w:line="360" w:lineRule="auto"/>
        <w:ind w:firstLine="480" w:firstLineChars="200"/>
        <w:textAlignment w:val="auto"/>
        <w:rPr>
          <w:rFonts w:ascii="Times New Roman" w:hAnsi="Times New Roman" w:eastAsia="宋体" w:cs="Times New Roman"/>
          <w:b w:val="0"/>
          <w:bCs w:val="0"/>
          <w:color w:val="000000"/>
          <w:sz w:val="24"/>
          <w:szCs w:val="24"/>
        </w:rPr>
      </w:pPr>
      <w:r>
        <w:rPr>
          <w:rFonts w:ascii="Times New Roman" w:hAnsi="Times New Roman" w:eastAsia="宋体" w:cs="Times New Roman"/>
          <w:b w:val="0"/>
          <w:bCs w:val="0"/>
          <w:color w:val="000000"/>
          <w:sz w:val="24"/>
          <w:szCs w:val="24"/>
        </w:rPr>
        <w:t>具备扫码配置药品功能，同步记录配置人、配置时间。</w:t>
      </w:r>
    </w:p>
    <w:p w14:paraId="7EF115ED">
      <w:pPr>
        <w:pStyle w:val="29"/>
        <w:keepNext w:val="0"/>
        <w:keepLines w:val="0"/>
        <w:pageBreakBefore w:val="0"/>
        <w:widowControl w:val="0"/>
        <w:numPr>
          <w:ilvl w:val="255"/>
          <w:numId w:val="0"/>
        </w:numPr>
        <w:kinsoku/>
        <w:wordWrap/>
        <w:overflowPunct/>
        <w:topLinePunct w:val="0"/>
        <w:autoSpaceDE/>
        <w:autoSpaceDN/>
        <w:bidi w:val="0"/>
        <w:adjustRightInd/>
        <w:snapToGrid w:val="0"/>
        <w:spacing w:line="360" w:lineRule="auto"/>
        <w:ind w:firstLine="480" w:firstLineChars="200"/>
        <w:textAlignment w:val="auto"/>
        <w:rPr>
          <w:rFonts w:ascii="Times New Roman" w:hAnsi="Times New Roman" w:eastAsia="宋体" w:cs="Times New Roman"/>
          <w:b w:val="0"/>
          <w:bCs w:val="0"/>
          <w:color w:val="000000"/>
          <w:sz w:val="24"/>
          <w:szCs w:val="24"/>
        </w:rPr>
      </w:pPr>
      <w:r>
        <w:rPr>
          <w:rFonts w:ascii="Times New Roman" w:hAnsi="Times New Roman" w:eastAsia="宋体" w:cs="Times New Roman"/>
          <w:b w:val="0"/>
          <w:bCs w:val="0"/>
          <w:color w:val="000000"/>
          <w:sz w:val="24"/>
          <w:szCs w:val="24"/>
        </w:rPr>
        <w:t>具备医嘱执行前扫码核对用药功能，包括单次核对、二次核对。</w:t>
      </w:r>
    </w:p>
    <w:p w14:paraId="4B3B03F8">
      <w:pPr>
        <w:pStyle w:val="29"/>
        <w:keepNext w:val="0"/>
        <w:keepLines w:val="0"/>
        <w:pageBreakBefore w:val="0"/>
        <w:widowControl w:val="0"/>
        <w:numPr>
          <w:ilvl w:val="255"/>
          <w:numId w:val="0"/>
        </w:numPr>
        <w:kinsoku/>
        <w:wordWrap/>
        <w:overflowPunct/>
        <w:topLinePunct w:val="0"/>
        <w:autoSpaceDE/>
        <w:autoSpaceDN/>
        <w:bidi w:val="0"/>
        <w:adjustRightInd/>
        <w:snapToGrid w:val="0"/>
        <w:spacing w:line="360" w:lineRule="auto"/>
        <w:ind w:firstLine="480" w:firstLineChars="200"/>
        <w:textAlignment w:val="auto"/>
        <w:rPr>
          <w:rFonts w:ascii="Times New Roman" w:hAnsi="Times New Roman" w:eastAsia="宋体" w:cs="Times New Roman"/>
          <w:b w:val="0"/>
          <w:bCs w:val="0"/>
          <w:color w:val="000000"/>
          <w:sz w:val="24"/>
          <w:szCs w:val="24"/>
        </w:rPr>
      </w:pPr>
      <w:r>
        <w:rPr>
          <w:rFonts w:ascii="Times New Roman" w:hAnsi="Times New Roman" w:eastAsia="宋体" w:cs="Times New Roman"/>
          <w:b w:val="0"/>
          <w:bCs w:val="0"/>
          <w:color w:val="000000"/>
          <w:sz w:val="24"/>
          <w:szCs w:val="24"/>
        </w:rPr>
        <w:t>具备查询配置核对记录功能。可按患者列表展示药品配置、核对记录；可时间、药品类别、配置/核对分类、长期/临时分类、关注病人筛选；可显示病区已配置、未配置、已核对、未核对数量。</w:t>
      </w:r>
    </w:p>
    <w:p w14:paraId="2115CD89">
      <w:pPr>
        <w:pStyle w:val="29"/>
        <w:keepNext w:val="0"/>
        <w:keepLines w:val="0"/>
        <w:pageBreakBefore w:val="0"/>
        <w:widowControl w:val="0"/>
        <w:numPr>
          <w:ilvl w:val="255"/>
          <w:numId w:val="0"/>
        </w:numPr>
        <w:kinsoku/>
        <w:wordWrap/>
        <w:overflowPunct/>
        <w:topLinePunct w:val="0"/>
        <w:autoSpaceDE/>
        <w:autoSpaceDN/>
        <w:bidi w:val="0"/>
        <w:adjustRightInd/>
        <w:snapToGrid w:val="0"/>
        <w:spacing w:line="360" w:lineRule="auto"/>
        <w:ind w:firstLine="480" w:firstLineChars="200"/>
        <w:textAlignment w:val="auto"/>
        <w:rPr>
          <w:rFonts w:ascii="Times New Roman" w:hAnsi="Times New Roman" w:eastAsia="宋体" w:cs="Times New Roman"/>
          <w:b w:val="0"/>
          <w:bCs w:val="0"/>
          <w:color w:val="000000"/>
          <w:sz w:val="24"/>
          <w:szCs w:val="24"/>
        </w:rPr>
      </w:pPr>
      <w:r>
        <w:rPr>
          <w:rFonts w:ascii="Times New Roman" w:hAnsi="Times New Roman" w:eastAsia="宋体" w:cs="Times New Roman"/>
          <w:b w:val="0"/>
          <w:bCs w:val="0"/>
          <w:color w:val="000000"/>
          <w:sz w:val="24"/>
          <w:szCs w:val="24"/>
        </w:rPr>
        <w:t>具备配置必须配置核对医嘱种类功能，此类医嘱若未配置，执行医嘱时可弹框提示药品未配置。</w:t>
      </w:r>
    </w:p>
    <w:p w14:paraId="0B7701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hint="eastAsia" w:ascii="Times New Roman" w:hAnsi="Times New Roman" w:eastAsia="宋体" w:cs="Times New Roman"/>
          <w:b/>
          <w:bCs/>
          <w:i w:val="0"/>
          <w:iCs w:val="0"/>
          <w:sz w:val="24"/>
          <w:szCs w:val="24"/>
          <w:lang w:val="en-US" w:eastAsia="zh-CN"/>
        </w:rPr>
      </w:pPr>
      <w:r>
        <w:rPr>
          <w:rFonts w:hint="eastAsia" w:ascii="Times New Roman" w:hAnsi="Times New Roman" w:eastAsia="宋体" w:cs="Times New Roman"/>
          <w:b/>
          <w:bCs/>
          <w:i w:val="0"/>
          <w:iCs w:val="0"/>
          <w:sz w:val="24"/>
          <w:szCs w:val="24"/>
          <w:lang w:val="en-US" w:eastAsia="zh-CN"/>
        </w:rPr>
        <w:t>消息提醒</w:t>
      </w:r>
    </w:p>
    <w:p w14:paraId="5774389E">
      <w:pPr>
        <w:pStyle w:val="29"/>
        <w:widowControl/>
        <w:numPr>
          <w:ilvl w:val="255"/>
          <w:numId w:val="0"/>
        </w:numPr>
        <w:spacing w:line="360" w:lineRule="auto"/>
        <w:ind w:firstLine="480" w:firstLineChars="200"/>
        <w:rPr>
          <w:rFonts w:ascii="Times New Roman" w:hAnsi="Times New Roman" w:eastAsia="宋体" w:cs="Times New Roman"/>
          <w:b w:val="0"/>
          <w:bCs w:val="0"/>
          <w:color w:val="000000"/>
          <w:sz w:val="24"/>
          <w:szCs w:val="24"/>
        </w:rPr>
      </w:pPr>
      <w:r>
        <w:rPr>
          <w:rFonts w:ascii="Times New Roman" w:hAnsi="Times New Roman" w:eastAsia="宋体" w:cs="Times New Roman"/>
          <w:b w:val="0"/>
          <w:bCs w:val="0"/>
          <w:color w:val="000000"/>
          <w:sz w:val="24"/>
          <w:szCs w:val="24"/>
        </w:rPr>
        <w:t>具备新生成医嘱、护理任务消息实时推送提醒功能。</w:t>
      </w:r>
    </w:p>
    <w:p w14:paraId="29CDF390">
      <w:pPr>
        <w:pStyle w:val="29"/>
        <w:widowControl/>
        <w:numPr>
          <w:ilvl w:val="255"/>
          <w:numId w:val="0"/>
        </w:numPr>
        <w:spacing w:line="360" w:lineRule="auto"/>
        <w:ind w:firstLine="480" w:firstLineChars="200"/>
        <w:rPr>
          <w:rFonts w:ascii="Times New Roman" w:hAnsi="Times New Roman" w:eastAsia="宋体" w:cs="Times New Roman"/>
          <w:b w:val="0"/>
          <w:bCs w:val="0"/>
          <w:color w:val="000000"/>
          <w:sz w:val="24"/>
          <w:szCs w:val="24"/>
        </w:rPr>
      </w:pPr>
      <w:r>
        <w:rPr>
          <w:rFonts w:ascii="Times New Roman" w:hAnsi="Times New Roman" w:eastAsia="宋体" w:cs="Times New Roman"/>
          <w:b w:val="0"/>
          <w:bCs w:val="0"/>
          <w:color w:val="000000"/>
          <w:sz w:val="24"/>
          <w:szCs w:val="24"/>
        </w:rPr>
        <w:t>具备查看历史消息功能。</w:t>
      </w:r>
    </w:p>
    <w:p w14:paraId="5D1F12A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hint="eastAsia" w:ascii="Times New Roman" w:hAnsi="Times New Roman" w:eastAsia="宋体" w:cs="Times New Roman"/>
          <w:b/>
          <w:bCs/>
          <w:i w:val="0"/>
          <w:iCs w:val="0"/>
          <w:sz w:val="24"/>
          <w:szCs w:val="24"/>
          <w:lang w:val="en-US" w:eastAsia="zh-CN"/>
        </w:rPr>
      </w:pPr>
      <w:r>
        <w:rPr>
          <w:rFonts w:hint="eastAsia" w:ascii="Times New Roman" w:hAnsi="Times New Roman" w:eastAsia="宋体" w:cs="Times New Roman"/>
          <w:b/>
          <w:bCs/>
          <w:i w:val="0"/>
          <w:iCs w:val="0"/>
          <w:sz w:val="24"/>
          <w:szCs w:val="24"/>
          <w:lang w:val="en-US" w:eastAsia="zh-CN"/>
        </w:rPr>
        <w:t>备忘录</w:t>
      </w:r>
    </w:p>
    <w:p w14:paraId="6BC3DCA0">
      <w:pPr>
        <w:numPr>
          <w:ilvl w:val="0"/>
          <w:numId w:val="0"/>
        </w:numPr>
        <w:spacing w:line="360" w:lineRule="auto"/>
        <w:ind w:leftChars="0" w:firstLine="480" w:firstLineChars="200"/>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具</w:t>
      </w:r>
      <w:r>
        <w:rPr>
          <w:rFonts w:hint="eastAsia" w:cs="Times New Roman"/>
          <w:b w:val="0"/>
          <w:bCs w:val="0"/>
          <w:sz w:val="24"/>
          <w:szCs w:val="24"/>
          <w:lang w:val="en-US" w:eastAsia="zh-CN"/>
        </w:rPr>
        <w:t>备</w:t>
      </w:r>
      <w:r>
        <w:rPr>
          <w:rFonts w:hint="eastAsia" w:ascii="Times New Roman" w:hAnsi="Times New Roman" w:eastAsia="宋体" w:cs="Times New Roman"/>
          <w:b w:val="0"/>
          <w:bCs w:val="0"/>
          <w:sz w:val="24"/>
          <w:szCs w:val="24"/>
          <w:lang w:val="en-US" w:eastAsia="zh-CN"/>
        </w:rPr>
        <w:t>备忘录创建及提醒功能，创建备忘录可关联到具体患者，可录音、上传照片，设置提醒时间后能进行自动提醒。</w:t>
      </w:r>
    </w:p>
    <w:p w14:paraId="31AAA1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hint="default" w:ascii="Times New Roman" w:hAnsi="Times New Roman" w:eastAsia="宋体" w:cs="Times New Roman"/>
          <w:b/>
          <w:bCs/>
          <w:i w:val="0"/>
          <w:iCs w:val="0"/>
          <w:sz w:val="24"/>
          <w:szCs w:val="24"/>
          <w:lang w:val="en-US" w:eastAsia="zh-CN"/>
        </w:rPr>
      </w:pPr>
      <w:r>
        <w:rPr>
          <w:rFonts w:hint="default" w:ascii="Times New Roman" w:hAnsi="Times New Roman" w:eastAsia="宋体" w:cs="Times New Roman"/>
          <w:b/>
          <w:bCs/>
          <w:i w:val="0"/>
          <w:iCs w:val="0"/>
          <w:sz w:val="24"/>
          <w:szCs w:val="24"/>
          <w:lang w:val="en-US" w:eastAsia="zh-CN"/>
        </w:rPr>
        <w:t>实时补记账</w:t>
      </w:r>
    </w:p>
    <w:p w14:paraId="536D22C3">
      <w:pPr>
        <w:numPr>
          <w:ilvl w:val="0"/>
          <w:numId w:val="0"/>
        </w:numPr>
        <w:spacing w:line="360" w:lineRule="auto"/>
        <w:ind w:leftChars="200"/>
        <w:rPr>
          <w:rFonts w:hint="default" w:ascii="Times New Roman" w:hAnsi="Times New Roman" w:eastAsia="宋体" w:cs="Times New Roman"/>
          <w:b w:val="0"/>
          <w:bCs w:val="0"/>
          <w:sz w:val="24"/>
          <w:szCs w:val="24"/>
          <w:lang w:val="en-US" w:eastAsia="zh-CN"/>
        </w:rPr>
      </w:pPr>
      <w:r>
        <w:rPr>
          <w:rFonts w:hint="eastAsia" w:ascii="Times New Roman" w:hAnsi="Times New Roman" w:cs="Times New Roman"/>
          <w:b w:val="0"/>
          <w:bCs w:val="0"/>
          <w:sz w:val="24"/>
          <w:szCs w:val="24"/>
          <w:lang w:val="en-US" w:eastAsia="zh-CN"/>
        </w:rPr>
        <w:t>支持与医院信息系统对接，同步费用项目字典，可在移动端进行实时补记账。</w:t>
      </w:r>
    </w:p>
    <w:p w14:paraId="26A93A21">
      <w:pPr>
        <w:numPr>
          <w:ilvl w:val="0"/>
          <w:numId w:val="0"/>
        </w:numPr>
        <w:spacing w:line="360" w:lineRule="auto"/>
        <w:ind w:leftChars="0" w:firstLine="482" w:firstLineChars="200"/>
        <w:rPr>
          <w:rFonts w:ascii="Times New Roman" w:hAnsi="Times New Roman" w:eastAsia="宋体" w:cs="Times New Roman"/>
          <w:b w:val="0"/>
          <w:bCs w:val="0"/>
          <w:sz w:val="24"/>
          <w:szCs w:val="24"/>
        </w:rPr>
      </w:pPr>
      <w:r>
        <w:rPr>
          <w:rFonts w:hint="default" w:ascii="Times New Roman" w:hAnsi="Times New Roman" w:eastAsia="宋体" w:cs="Times New Roman"/>
          <w:b/>
          <w:bCs/>
          <w:i w:val="0"/>
          <w:iCs w:val="0"/>
          <w:sz w:val="24"/>
          <w:szCs w:val="24"/>
          <w:lang w:val="en-US" w:eastAsia="zh-CN"/>
        </w:rPr>
        <w:t>执行情况统计</w:t>
      </w:r>
    </w:p>
    <w:p w14:paraId="1975836E">
      <w:r>
        <w:rPr>
          <w:rFonts w:hint="eastAsia" w:ascii="Times New Roman" w:hAnsi="Times New Roman" w:eastAsia="宋体" w:cs="Times New Roman"/>
          <w:sz w:val="24"/>
          <w:szCs w:val="24"/>
          <w:lang w:val="en-US" w:eastAsia="zh-CN"/>
        </w:rPr>
        <w:t>具备按照病区、当前登录人执行情况和执行率进行统计，汇总工作量功能。</w:t>
      </w:r>
    </w:p>
    <w:p w14:paraId="1D6A115B">
      <w:pPr>
        <w:numPr>
          <w:ilvl w:val="0"/>
          <w:numId w:val="0"/>
        </w:numPr>
        <w:spacing w:line="360" w:lineRule="auto"/>
        <w:ind w:leftChars="0" w:firstLine="482" w:firstLineChars="200"/>
        <w:rPr>
          <w:rFonts w:ascii="Times New Roman" w:hAnsi="Times New Roman" w:eastAsia="宋体" w:cs="Times New Roman"/>
          <w:b/>
          <w:bCs/>
          <w:sz w:val="24"/>
          <w:szCs w:val="24"/>
        </w:rPr>
      </w:pPr>
      <w:r>
        <w:rPr>
          <w:rFonts w:hint="default" w:ascii="Times New Roman" w:hAnsi="Times New Roman" w:eastAsia="宋体" w:cs="Times New Roman"/>
          <w:b/>
          <w:bCs/>
          <w:sz w:val="24"/>
          <w:szCs w:val="24"/>
          <w:lang w:val="en-US" w:eastAsia="zh-CN"/>
        </w:rPr>
        <w:t>执行情况统计</w:t>
      </w:r>
    </w:p>
    <w:p w14:paraId="1FB54A34">
      <w:pPr>
        <w:numPr>
          <w:ilvl w:val="0"/>
          <w:numId w:val="0"/>
        </w:numPr>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具备按照病区、当前登录人执行情况和执行率进行统计，汇总工作量功能。</w:t>
      </w:r>
    </w:p>
    <w:p w14:paraId="3DA28181">
      <w:pPr>
        <w:numPr>
          <w:ilvl w:val="0"/>
          <w:numId w:val="3"/>
        </w:numPr>
        <w:spacing w:line="360" w:lineRule="auto"/>
        <w:ind w:left="425" w:leftChars="0" w:hanging="425" w:firstLineChars="0"/>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t>病区患者体征采集</w:t>
      </w:r>
    </w:p>
    <w:p w14:paraId="04B02296">
      <w:pPr>
        <w:pStyle w:val="29"/>
        <w:widowControl/>
        <w:numPr>
          <w:ilvl w:val="255"/>
          <w:numId w:val="0"/>
        </w:num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具备患者体征集中采集功能，采集的项目包括体温、脉搏、呼吸、心率、体重、疼痛、入液量、出液量、大便次数、上午血压、下午血压。</w:t>
      </w:r>
    </w:p>
    <w:p w14:paraId="28B5F2B0">
      <w:pPr>
        <w:pStyle w:val="29"/>
        <w:widowControl/>
        <w:numPr>
          <w:ilvl w:val="255"/>
          <w:numId w:val="0"/>
        </w:num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具备患者筛选功能，包括入院3天内病人、术后三天内病人、3天内体温高于37.5℃、全区病人、关注病人。</w:t>
      </w:r>
    </w:p>
    <w:p w14:paraId="22AA6502">
      <w:pPr>
        <w:pStyle w:val="29"/>
        <w:widowControl/>
        <w:numPr>
          <w:ilvl w:val="255"/>
          <w:numId w:val="0"/>
        </w:numPr>
        <w:spacing w:line="360" w:lineRule="auto"/>
        <w:ind w:firstLine="480" w:firstLineChars="200"/>
        <w:rPr>
          <w:rFonts w:hint="eastAsia" w:ascii="Times New Roman" w:hAnsi="Times New Roman" w:eastAsia="宋体" w:cs="Times New Roman"/>
          <w:color w:val="000000"/>
          <w:sz w:val="24"/>
          <w:szCs w:val="24"/>
          <w:lang w:eastAsia="zh-CN"/>
        </w:rPr>
      </w:pPr>
      <w:r>
        <w:rPr>
          <w:rFonts w:ascii="Times New Roman" w:hAnsi="Times New Roman" w:eastAsia="宋体" w:cs="Times New Roman"/>
          <w:color w:val="000000"/>
          <w:sz w:val="24"/>
          <w:szCs w:val="24"/>
        </w:rPr>
        <w:t>具备采集的数据同步到体温单功能</w:t>
      </w:r>
      <w:r>
        <w:rPr>
          <w:rFonts w:hint="eastAsia" w:ascii="Times New Roman" w:hAnsi="Times New Roman" w:eastAsia="宋体" w:cs="Times New Roman"/>
          <w:color w:val="000000"/>
          <w:sz w:val="24"/>
          <w:szCs w:val="24"/>
          <w:lang w:eastAsia="zh-CN"/>
        </w:rPr>
        <w:t>。</w:t>
      </w:r>
    </w:p>
    <w:p w14:paraId="2AB51344">
      <w:pPr>
        <w:numPr>
          <w:ilvl w:val="0"/>
          <w:numId w:val="3"/>
        </w:numPr>
        <w:spacing w:line="360" w:lineRule="auto"/>
        <w:ind w:left="425" w:leftChars="0" w:hanging="425" w:firstLineChars="0"/>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t>移动护理危急值应用</w:t>
      </w:r>
    </w:p>
    <w:p w14:paraId="4970C57E">
      <w:pPr>
        <w:pStyle w:val="29"/>
        <w:widowControl/>
        <w:numPr>
          <w:ilvl w:val="255"/>
          <w:numId w:val="0"/>
        </w:numPr>
        <w:snapToGrid w:val="0"/>
        <w:spacing w:line="360" w:lineRule="auto"/>
        <w:ind w:firstLine="480" w:firstLineChars="200"/>
        <w:rPr>
          <w:rFonts w:hint="eastAsia" w:ascii="Times New Roman" w:hAnsi="Times New Roman" w:eastAsia="宋体" w:cs="Times New Roman"/>
          <w:color w:val="000000"/>
          <w:sz w:val="24"/>
          <w:szCs w:val="24"/>
          <w:lang w:eastAsia="zh-CN"/>
        </w:rPr>
      </w:pPr>
      <w:r>
        <w:rPr>
          <w:rFonts w:ascii="Times New Roman" w:hAnsi="Times New Roman" w:eastAsia="宋体" w:cs="Times New Roman"/>
          <w:color w:val="000000"/>
          <w:sz w:val="24"/>
          <w:szCs w:val="24"/>
        </w:rPr>
        <w:t>支持与医技系统对接，接收危急值实时提醒</w:t>
      </w:r>
      <w:r>
        <w:rPr>
          <w:rFonts w:hint="eastAsia" w:ascii="Times New Roman" w:hAnsi="Times New Roman" w:eastAsia="宋体" w:cs="Times New Roman"/>
          <w:color w:val="000000"/>
          <w:sz w:val="24"/>
          <w:szCs w:val="24"/>
          <w:lang w:eastAsia="zh-CN"/>
        </w:rPr>
        <w:t>。</w:t>
      </w:r>
    </w:p>
    <w:p w14:paraId="3410014F">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firstLine="0" w:firstLineChars="0"/>
        <w:textAlignment w:val="auto"/>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移动护理文书</w:t>
      </w:r>
    </w:p>
    <w:p w14:paraId="3F4A9AF2">
      <w:pPr>
        <w:numPr>
          <w:ilvl w:val="0"/>
          <w:numId w:val="4"/>
        </w:numPr>
        <w:spacing w:line="360" w:lineRule="auto"/>
        <w:ind w:left="425" w:leftChars="0" w:hanging="425" w:firstLineChars="0"/>
        <w:rPr>
          <w:rFonts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lang w:val="en-US" w:eastAsia="zh-CN"/>
        </w:rPr>
        <w:t>移动端体温单、护理记录单录入</w:t>
      </w:r>
    </w:p>
    <w:p w14:paraId="6D101373">
      <w:pPr>
        <w:pStyle w:val="29"/>
        <w:widowControl/>
        <w:numPr>
          <w:ilvl w:val="255"/>
          <w:numId w:val="0"/>
        </w:numPr>
        <w:snapToGrid w:val="0"/>
        <w:spacing w:line="360" w:lineRule="auto"/>
        <w:ind w:firstLine="480" w:firstLineChars="200"/>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具备体温单、护理记录单的</w:t>
      </w:r>
      <w:r>
        <w:rPr>
          <w:rFonts w:hint="default" w:ascii="Times New Roman" w:hAnsi="Times New Roman" w:eastAsia="宋体" w:cs="Times New Roman"/>
          <w:color w:val="000000"/>
          <w:sz w:val="24"/>
          <w:szCs w:val="24"/>
          <w:lang w:val="en-US" w:eastAsia="zh-CN"/>
        </w:rPr>
        <w:t>录入</w:t>
      </w:r>
      <w:r>
        <w:rPr>
          <w:rFonts w:hint="eastAsia" w:ascii="Times New Roman" w:hAnsi="Times New Roman" w:eastAsia="宋体" w:cs="Times New Roman"/>
          <w:color w:val="000000"/>
          <w:sz w:val="24"/>
          <w:szCs w:val="24"/>
          <w:lang w:val="en-US" w:eastAsia="zh-CN"/>
        </w:rPr>
        <w:t>、</w:t>
      </w:r>
      <w:r>
        <w:rPr>
          <w:rFonts w:hint="default" w:ascii="Times New Roman" w:hAnsi="Times New Roman" w:eastAsia="宋体" w:cs="Times New Roman"/>
          <w:color w:val="000000"/>
          <w:sz w:val="24"/>
          <w:szCs w:val="24"/>
          <w:lang w:val="en-US" w:eastAsia="zh-CN"/>
        </w:rPr>
        <w:t>修改</w:t>
      </w:r>
      <w:r>
        <w:rPr>
          <w:rFonts w:hint="eastAsia" w:ascii="Times New Roman" w:hAnsi="Times New Roman" w:eastAsia="宋体" w:cs="Times New Roman"/>
          <w:color w:val="000000"/>
          <w:sz w:val="24"/>
          <w:szCs w:val="24"/>
          <w:lang w:val="en-US" w:eastAsia="zh-CN"/>
        </w:rPr>
        <w:t>功能。</w:t>
      </w:r>
    </w:p>
    <w:p w14:paraId="29E52330">
      <w:pPr>
        <w:pStyle w:val="29"/>
        <w:widowControl/>
        <w:numPr>
          <w:ilvl w:val="255"/>
          <w:numId w:val="0"/>
        </w:numPr>
        <w:snapToGrid w:val="0"/>
        <w:spacing w:line="360" w:lineRule="auto"/>
        <w:ind w:firstLine="480" w:firstLineChars="200"/>
        <w:rPr>
          <w:rFonts w:hint="eastAsia"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默认按所选病人填写</w:t>
      </w:r>
      <w:r>
        <w:rPr>
          <w:rFonts w:hint="eastAsia" w:ascii="Times New Roman" w:hAnsi="Times New Roman" w:eastAsia="宋体" w:cs="Times New Roman"/>
          <w:color w:val="000000"/>
          <w:sz w:val="24"/>
          <w:szCs w:val="24"/>
          <w:lang w:val="en-US" w:eastAsia="zh-CN"/>
        </w:rPr>
        <w:t>体温单、护理记录单</w:t>
      </w:r>
      <w:r>
        <w:rPr>
          <w:rFonts w:hint="default" w:ascii="Times New Roman" w:hAnsi="Times New Roman" w:eastAsia="宋体" w:cs="Times New Roman"/>
          <w:color w:val="000000"/>
          <w:sz w:val="24"/>
          <w:szCs w:val="24"/>
          <w:lang w:val="en-US" w:eastAsia="zh-CN"/>
        </w:rPr>
        <w:t>，可查看、编辑历史记录</w:t>
      </w:r>
      <w:r>
        <w:rPr>
          <w:rFonts w:hint="eastAsia" w:ascii="Times New Roman" w:hAnsi="Times New Roman" w:eastAsia="宋体" w:cs="Times New Roman"/>
          <w:color w:val="000000"/>
          <w:sz w:val="24"/>
          <w:szCs w:val="24"/>
          <w:lang w:val="en-US" w:eastAsia="zh-CN"/>
        </w:rPr>
        <w:t>。</w:t>
      </w:r>
    </w:p>
    <w:p w14:paraId="5D9101FB">
      <w:pPr>
        <w:pStyle w:val="29"/>
        <w:widowControl/>
        <w:numPr>
          <w:ilvl w:val="255"/>
          <w:numId w:val="0"/>
        </w:numPr>
        <w:snapToGrid w:val="0"/>
        <w:spacing w:line="360" w:lineRule="auto"/>
        <w:ind w:firstLine="480" w:firstLineChars="200"/>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具备</w:t>
      </w:r>
      <w:r>
        <w:rPr>
          <w:rFonts w:hint="default" w:ascii="Times New Roman" w:hAnsi="Times New Roman" w:eastAsia="宋体" w:cs="Times New Roman"/>
          <w:color w:val="000000"/>
          <w:sz w:val="24"/>
          <w:szCs w:val="24"/>
          <w:lang w:val="en-US" w:eastAsia="zh-CN"/>
        </w:rPr>
        <w:t>直接切换病人填写</w:t>
      </w:r>
      <w:r>
        <w:rPr>
          <w:rFonts w:hint="eastAsia" w:ascii="Times New Roman" w:hAnsi="Times New Roman" w:eastAsia="宋体" w:cs="Times New Roman"/>
          <w:color w:val="000000"/>
          <w:sz w:val="24"/>
          <w:szCs w:val="24"/>
          <w:lang w:val="en-US" w:eastAsia="zh-CN"/>
        </w:rPr>
        <w:t>体温单、护理记录单。</w:t>
      </w:r>
    </w:p>
    <w:p w14:paraId="1AC7EA87">
      <w:pPr>
        <w:pStyle w:val="29"/>
        <w:widowControl/>
        <w:numPr>
          <w:ilvl w:val="255"/>
          <w:numId w:val="0"/>
        </w:numPr>
        <w:snapToGrid w:val="0"/>
        <w:spacing w:line="360" w:lineRule="auto"/>
        <w:ind w:firstLine="480" w:firstLineChars="200"/>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具备在护理记录单中直接引入体征数据、医嘱数据功能。</w:t>
      </w:r>
    </w:p>
    <w:p w14:paraId="7A2CDEE3">
      <w:pPr>
        <w:pStyle w:val="29"/>
        <w:widowControl/>
        <w:numPr>
          <w:ilvl w:val="255"/>
          <w:numId w:val="0"/>
        </w:numPr>
        <w:snapToGrid w:val="0"/>
        <w:spacing w:line="360" w:lineRule="auto"/>
        <w:ind w:firstLine="480" w:firstLineChars="200"/>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体温单提供</w:t>
      </w:r>
      <w:r>
        <w:rPr>
          <w:rFonts w:hint="default" w:ascii="Times New Roman" w:hAnsi="Times New Roman" w:eastAsia="宋体" w:cs="Times New Roman"/>
          <w:color w:val="000000"/>
          <w:sz w:val="24"/>
          <w:szCs w:val="24"/>
          <w:lang w:val="en-US" w:eastAsia="zh-CN"/>
        </w:rPr>
        <w:t>单个录入、集中录入两种模式。集中录入模式下，切换病人直接保存上一个患者已记录的数据</w:t>
      </w:r>
      <w:r>
        <w:rPr>
          <w:rFonts w:hint="eastAsia" w:ascii="Times New Roman" w:hAnsi="Times New Roman" w:eastAsia="宋体" w:cs="Times New Roman"/>
          <w:color w:val="000000"/>
          <w:sz w:val="24"/>
          <w:szCs w:val="24"/>
          <w:lang w:val="en-US" w:eastAsia="zh-CN"/>
        </w:rPr>
        <w:t>。</w:t>
      </w:r>
    </w:p>
    <w:p w14:paraId="761B73F0">
      <w:pPr>
        <w:pStyle w:val="29"/>
        <w:widowControl/>
        <w:numPr>
          <w:ilvl w:val="255"/>
          <w:numId w:val="0"/>
        </w:numPr>
        <w:snapToGrid w:val="0"/>
        <w:spacing w:line="360" w:lineRule="auto"/>
        <w:ind w:firstLine="480" w:firstLineChars="200"/>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具备生成体温单三测线功能。</w:t>
      </w:r>
    </w:p>
    <w:p w14:paraId="0D6F2B79">
      <w:pPr>
        <w:numPr>
          <w:ilvl w:val="0"/>
          <w:numId w:val="4"/>
        </w:numPr>
        <w:spacing w:line="360" w:lineRule="auto"/>
        <w:ind w:left="425" w:leftChars="0" w:hanging="425" w:firstLineChars="0"/>
        <w:rPr>
          <w:rFonts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lang w:val="en-US" w:eastAsia="zh-CN"/>
        </w:rPr>
        <w:t>移动端评估单、告知书录入</w:t>
      </w:r>
    </w:p>
    <w:p w14:paraId="670398A7">
      <w:pPr>
        <w:numPr>
          <w:ilvl w:val="-1"/>
          <w:numId w:val="0"/>
        </w:numPr>
        <w:spacing w:line="360" w:lineRule="auto"/>
        <w:ind w:left="0" w:firstLine="480" w:firstLineChars="200"/>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具备风险评估单、入院评估单、告知书的录入和修改功能。</w:t>
      </w:r>
    </w:p>
    <w:p w14:paraId="520CC7D1">
      <w:pPr>
        <w:numPr>
          <w:ilvl w:val="-1"/>
          <w:numId w:val="0"/>
        </w:numPr>
        <w:spacing w:line="360" w:lineRule="auto"/>
        <w:ind w:left="0"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lang w:val="en-US" w:eastAsia="zh-CN"/>
        </w:rPr>
        <w:t>具备在护理记录文书录入中直接引入包括BMI、护理记录模版、检验报告、检查报告、住院病历、特殊符号、过敏信息功能。</w:t>
      </w:r>
    </w:p>
    <w:p w14:paraId="2BE8F0C3">
      <w:pPr>
        <w:pStyle w:val="5"/>
        <w:keepNext/>
        <w:keepLines/>
        <w:pageBreakBefore w:val="0"/>
        <w:widowControl w:val="0"/>
        <w:kinsoku/>
        <w:wordWrap/>
        <w:overflowPunct/>
        <w:topLinePunct w:val="0"/>
        <w:autoSpaceDE/>
        <w:autoSpaceDN/>
        <w:bidi w:val="0"/>
        <w:adjustRightInd/>
        <w:snapToGrid/>
        <w:spacing w:before="0" w:after="0" w:line="360" w:lineRule="auto"/>
        <w:ind w:left="1327" w:hanging="901"/>
        <w:textAlignment w:val="auto"/>
        <w:rPr>
          <w:rFonts w:hint="default" w:ascii="Times New Roman" w:hAnsi="Times New Roman" w:eastAsia="宋体" w:cs="Times New Roman"/>
          <w:b/>
          <w:bCs/>
          <w:sz w:val="28"/>
          <w:szCs w:val="28"/>
          <w:lang w:val="en-US" w:eastAsia="zh-CN"/>
        </w:rPr>
      </w:pPr>
      <w:r>
        <w:rPr>
          <w:rFonts w:hint="eastAsia" w:ascii="Times New Roman" w:hAnsi="Times New Roman" w:eastAsia="宋体" w:cs="Times New Roman"/>
          <w:b/>
          <w:bCs/>
          <w:sz w:val="28"/>
          <w:szCs w:val="28"/>
          <w:lang w:val="en-US" w:eastAsia="zh-CN"/>
        </w:rPr>
        <w:t>3.2.2集成平台</w:t>
      </w:r>
    </w:p>
    <w:p w14:paraId="3080ED2E">
      <w:pPr>
        <w:numPr>
          <w:ilvl w:val="0"/>
          <w:numId w:val="5"/>
        </w:numPr>
        <w:bidi w:val="0"/>
        <w:rPr>
          <w:rFonts w:hint="eastAsia" w:ascii="宋体" w:hAnsi="宋体" w:eastAsia="宋体" w:cs="宋体"/>
          <w:b/>
          <w:bCs/>
          <w:sz w:val="24"/>
          <w:szCs w:val="24"/>
        </w:rPr>
      </w:pPr>
      <w:r>
        <w:rPr>
          <w:rFonts w:hint="eastAsia" w:ascii="宋体" w:hAnsi="宋体" w:eastAsia="宋体" w:cs="宋体"/>
          <w:b/>
          <w:bCs/>
          <w:sz w:val="24"/>
          <w:szCs w:val="24"/>
          <w:lang w:val="en-US" w:eastAsia="zh-CN"/>
        </w:rPr>
        <w:t>集成平台引擎</w:t>
      </w:r>
    </w:p>
    <w:p w14:paraId="4FBAD697">
      <w:pPr>
        <w:numPr>
          <w:ilvl w:val="0"/>
          <w:numId w:val="6"/>
        </w:numPr>
        <w:bidi w:val="0"/>
        <w:spacing w:line="360" w:lineRule="auto"/>
        <w:rPr>
          <w:rFonts w:hint="eastAsia" w:ascii="宋体" w:hAnsi="宋体" w:eastAsia="宋体" w:cs="宋体"/>
          <w:sz w:val="24"/>
          <w:szCs w:val="24"/>
        </w:rPr>
      </w:pPr>
      <w:r>
        <w:rPr>
          <w:rFonts w:hint="eastAsia" w:ascii="宋体" w:hAnsi="宋体" w:eastAsia="宋体" w:cs="宋体"/>
          <w:sz w:val="24"/>
          <w:szCs w:val="24"/>
        </w:rPr>
        <w:t>基本功能要求</w:t>
      </w:r>
    </w:p>
    <w:p w14:paraId="02C3BE88">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支持热备高可用性部署，主备机之间配置、消息库可实时同步，当主机发生故障时，备机可在不需人工干预的情况下秒级自动启动，消息在备机中继续运行，当主机修复后，消息会转回主机中继续处理</w:t>
      </w:r>
      <w:r>
        <w:rPr>
          <w:rFonts w:hint="eastAsia" w:ascii="宋体" w:hAnsi="宋体" w:eastAsia="宋体" w:cs="宋体"/>
          <w:sz w:val="24"/>
          <w:szCs w:val="24"/>
          <w:lang w:eastAsia="zh-CN"/>
        </w:rPr>
        <w:t>。</w:t>
      </w:r>
    </w:p>
    <w:p w14:paraId="74DC7D19">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支持HL7v2、HL7v3、国家互联互通CDA标准、FHIR、XML、JSON标准和规范，提供对这些标准处理的工具</w:t>
      </w:r>
      <w:r>
        <w:rPr>
          <w:rFonts w:hint="eastAsia" w:ascii="宋体" w:hAnsi="宋体" w:eastAsia="宋体" w:cs="宋体"/>
          <w:sz w:val="24"/>
          <w:szCs w:val="24"/>
          <w:lang w:eastAsia="zh-CN"/>
        </w:rPr>
        <w:t>。</w:t>
      </w:r>
    </w:p>
    <w:p w14:paraId="79BAA677">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支持HL7v2、HL7v3标准库</w:t>
      </w:r>
      <w:r>
        <w:rPr>
          <w:rFonts w:hint="eastAsia" w:ascii="宋体" w:hAnsi="宋体" w:eastAsia="宋体" w:cs="宋体"/>
          <w:sz w:val="24"/>
          <w:szCs w:val="24"/>
          <w:lang w:eastAsia="zh-CN"/>
        </w:rPr>
        <w:t>。</w:t>
      </w:r>
    </w:p>
    <w:p w14:paraId="65A9BC26">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支持多种通讯协议，包括但不限于TCP/IP、SOAP Web 服务、REST Web 服务、文件、定时器、DLL、Kafka、数据库</w:t>
      </w:r>
      <w:r>
        <w:rPr>
          <w:rFonts w:hint="eastAsia" w:ascii="宋体" w:hAnsi="宋体" w:eastAsia="宋体" w:cs="宋体"/>
          <w:sz w:val="24"/>
          <w:szCs w:val="24"/>
          <w:lang w:eastAsia="zh-CN"/>
        </w:rPr>
        <w:t>。</w:t>
      </w:r>
    </w:p>
    <w:p w14:paraId="6ABD9289">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支持简单代码映射lookup表配置功能、H2内存数据库</w:t>
      </w:r>
      <w:r>
        <w:rPr>
          <w:rFonts w:hint="eastAsia" w:ascii="宋体" w:hAnsi="宋体" w:eastAsia="宋体" w:cs="宋体"/>
          <w:sz w:val="24"/>
          <w:szCs w:val="24"/>
          <w:lang w:eastAsia="zh-CN"/>
        </w:rPr>
        <w:t>。</w:t>
      </w:r>
    </w:p>
    <w:p w14:paraId="3C7DE3A6">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支持通用的JAVA脚本开发功能，包括 Groovy脚本, 支持对JSON, XML 结构数据的脚本处理</w:t>
      </w:r>
      <w:r>
        <w:rPr>
          <w:rFonts w:hint="eastAsia" w:ascii="宋体" w:hAnsi="宋体" w:eastAsia="宋体" w:cs="宋体"/>
          <w:sz w:val="24"/>
          <w:szCs w:val="24"/>
          <w:lang w:eastAsia="zh-CN"/>
        </w:rPr>
        <w:t>。</w:t>
      </w:r>
    </w:p>
    <w:p w14:paraId="0717C6E8">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同一服务可同时支持接口模式和集成模式。</w:t>
      </w:r>
    </w:p>
    <w:p w14:paraId="62066818">
      <w:pPr>
        <w:numPr>
          <w:ilvl w:val="0"/>
          <w:numId w:val="6"/>
        </w:numPr>
        <w:bidi w:val="0"/>
        <w:spacing w:line="360" w:lineRule="auto"/>
        <w:rPr>
          <w:rFonts w:hint="eastAsia" w:ascii="宋体" w:hAnsi="宋体" w:eastAsia="宋体" w:cs="宋体"/>
          <w:sz w:val="24"/>
          <w:szCs w:val="24"/>
        </w:rPr>
      </w:pPr>
      <w:r>
        <w:rPr>
          <w:rFonts w:hint="eastAsia" w:ascii="宋体" w:hAnsi="宋体" w:eastAsia="宋体" w:cs="宋体"/>
          <w:sz w:val="24"/>
          <w:szCs w:val="24"/>
        </w:rPr>
        <w:t>用户界面要求</w:t>
      </w:r>
    </w:p>
    <w:p w14:paraId="43466633">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开发界面应均为网页界面</w:t>
      </w:r>
      <w:r>
        <w:rPr>
          <w:rFonts w:hint="eastAsia" w:ascii="宋体" w:hAnsi="宋体" w:eastAsia="宋体" w:cs="宋体"/>
          <w:sz w:val="24"/>
          <w:szCs w:val="24"/>
          <w:lang w:eastAsia="zh-CN"/>
        </w:rPr>
        <w:t>。</w:t>
      </w:r>
      <w:r>
        <w:rPr>
          <w:rFonts w:hint="eastAsia" w:ascii="宋体" w:hAnsi="宋体" w:eastAsia="宋体" w:cs="宋体"/>
          <w:sz w:val="24"/>
          <w:szCs w:val="24"/>
        </w:rPr>
        <w:t>网页界面支持中英文一键即时切换</w:t>
      </w:r>
      <w:r>
        <w:rPr>
          <w:rFonts w:hint="eastAsia" w:ascii="宋体" w:hAnsi="宋体" w:eastAsia="宋体" w:cs="宋体"/>
          <w:sz w:val="24"/>
          <w:szCs w:val="24"/>
          <w:lang w:eastAsia="zh-CN"/>
        </w:rPr>
        <w:t>。</w:t>
      </w:r>
      <w:r>
        <w:rPr>
          <w:rFonts w:hint="eastAsia" w:ascii="宋体" w:hAnsi="宋体" w:eastAsia="宋体" w:cs="宋体"/>
          <w:sz w:val="24"/>
          <w:szCs w:val="24"/>
        </w:rPr>
        <w:t xml:space="preserve">   </w:t>
      </w:r>
    </w:p>
    <w:p w14:paraId="26707520">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支持能在同一个界面中完成流程开发、调试、服务监控等工作，并能显示异常错误队列</w:t>
      </w:r>
      <w:r>
        <w:rPr>
          <w:rFonts w:hint="eastAsia" w:ascii="宋体" w:hAnsi="宋体" w:eastAsia="宋体" w:cs="宋体"/>
          <w:sz w:val="24"/>
          <w:szCs w:val="24"/>
          <w:lang w:eastAsia="zh-CN"/>
        </w:rPr>
        <w:t>。</w:t>
      </w:r>
    </w:p>
    <w:p w14:paraId="21B9E825">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支持拖拉式图形化路由设计及路由间衔接和串联</w:t>
      </w:r>
      <w:r>
        <w:rPr>
          <w:rFonts w:hint="eastAsia" w:ascii="宋体" w:hAnsi="宋体" w:eastAsia="宋体" w:cs="宋体"/>
          <w:sz w:val="24"/>
          <w:szCs w:val="24"/>
          <w:lang w:eastAsia="zh-CN"/>
        </w:rPr>
        <w:t>。</w:t>
      </w:r>
    </w:p>
    <w:p w14:paraId="28787CAA">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支持全局视图显示整个流程完整流通线路，用户能直观查看包含多终端、多路由的完整消息处理流程，在一个视图页面上能看到整体业务流程图</w:t>
      </w:r>
      <w:r>
        <w:rPr>
          <w:rFonts w:hint="eastAsia" w:ascii="宋体" w:hAnsi="宋体" w:eastAsia="宋体" w:cs="宋体"/>
          <w:sz w:val="24"/>
          <w:szCs w:val="24"/>
          <w:lang w:eastAsia="zh-CN"/>
        </w:rPr>
        <w:t>。</w:t>
      </w:r>
    </w:p>
    <w:p w14:paraId="26E846A5">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支持图形化数据映射配置界面，并能支持通过代码编写进行数据映射配置。</w:t>
      </w:r>
    </w:p>
    <w:p w14:paraId="5EAD8958">
      <w:pPr>
        <w:numPr>
          <w:ilvl w:val="0"/>
          <w:numId w:val="6"/>
        </w:numPr>
        <w:bidi w:val="0"/>
        <w:spacing w:line="360" w:lineRule="auto"/>
        <w:rPr>
          <w:rFonts w:hint="eastAsia" w:ascii="宋体" w:hAnsi="宋体" w:eastAsia="宋体" w:cs="宋体"/>
          <w:sz w:val="24"/>
          <w:szCs w:val="24"/>
        </w:rPr>
      </w:pPr>
      <w:r>
        <w:rPr>
          <w:rFonts w:hint="eastAsia" w:ascii="宋体" w:hAnsi="宋体" w:eastAsia="宋体" w:cs="宋体"/>
          <w:sz w:val="24"/>
          <w:szCs w:val="24"/>
        </w:rPr>
        <w:t>数据库支持要求</w:t>
      </w:r>
    </w:p>
    <w:p w14:paraId="7CEEC67E">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支持主流关系型数据库的数据抽取、更改、插入功能，如MS-SQL、 Oracle、MySQL，支持上传任意的数据库JDBC驱动以提供对其它数据库连接的支持;</w:t>
      </w:r>
    </w:p>
    <w:p w14:paraId="0E669D8D">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支持数据处理结果图形化全局流程显示，并提供流程树状显示，展示在整个流程中路由内每个节点数据的状态， 方便用户进行问题排查;</w:t>
      </w:r>
    </w:p>
    <w:p w14:paraId="34206AFB">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数据库事务支持，一库多表操作时可回滚，支持跨数据库事务处理;</w:t>
      </w:r>
    </w:p>
    <w:p w14:paraId="21A8C19F">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支持数据库终端结果可自动生成JSON schema方便数据映射;</w:t>
      </w:r>
    </w:p>
    <w:p w14:paraId="1852FA80">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支持平台不使用特殊自定义数据库存储数据，允许用户在不使用引擎工具的情况下，用通用数据库工具也能查询数据。</w:t>
      </w:r>
    </w:p>
    <w:p w14:paraId="1BDF7A43">
      <w:pPr>
        <w:numPr>
          <w:ilvl w:val="0"/>
          <w:numId w:val="6"/>
        </w:numPr>
        <w:bidi w:val="0"/>
        <w:spacing w:line="360" w:lineRule="auto"/>
        <w:rPr>
          <w:rFonts w:hint="eastAsia" w:ascii="宋体" w:hAnsi="宋体" w:eastAsia="宋体" w:cs="宋体"/>
          <w:sz w:val="24"/>
          <w:szCs w:val="24"/>
        </w:rPr>
      </w:pPr>
      <w:r>
        <w:rPr>
          <w:rFonts w:hint="eastAsia" w:ascii="宋体" w:hAnsi="宋体" w:eastAsia="宋体" w:cs="宋体"/>
          <w:sz w:val="24"/>
          <w:szCs w:val="24"/>
        </w:rPr>
        <w:t>运维管理要求</w:t>
      </w:r>
    </w:p>
    <w:p w14:paraId="7A895BCE">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支持在线查看系统状态信息、进行性能监控，可以进行数据管理，允许访问日志、进行故障诊断;</w:t>
      </w:r>
    </w:p>
    <w:p w14:paraId="36CB5C2A">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监控均为网页界面，网页界面支持单页面随时切换中英文</w:t>
      </w:r>
      <w:r>
        <w:rPr>
          <w:rFonts w:hint="eastAsia" w:ascii="宋体" w:hAnsi="宋体" w:eastAsia="宋体" w:cs="宋体"/>
          <w:sz w:val="24"/>
          <w:szCs w:val="24"/>
          <w:lang w:eastAsia="zh-CN"/>
        </w:rPr>
        <w:t>。</w:t>
      </w:r>
    </w:p>
    <w:p w14:paraId="5CD7A125">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支持在发生异常情况时或消息堆积时可发送通知和提醒，消息堆积警告和警报阙值可配置;</w:t>
      </w:r>
    </w:p>
    <w:p w14:paraId="4AFB42B8">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支持在线服务自助式调试Web界面，调试界面支持单元测试及集成测试</w:t>
      </w:r>
      <w:r>
        <w:rPr>
          <w:rFonts w:hint="eastAsia" w:ascii="宋体" w:hAnsi="宋体" w:eastAsia="宋体" w:cs="宋体"/>
          <w:sz w:val="24"/>
          <w:szCs w:val="24"/>
          <w:lang w:eastAsia="zh-CN"/>
        </w:rPr>
        <w:t>。</w:t>
      </w:r>
    </w:p>
    <w:p w14:paraId="70C41B9B">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支持可开放的集成平台管理、设置、监控的API，支持第三方的应用开发</w:t>
      </w:r>
      <w:r>
        <w:rPr>
          <w:rFonts w:hint="eastAsia" w:ascii="宋体" w:hAnsi="宋体" w:eastAsia="宋体" w:cs="宋体"/>
          <w:sz w:val="24"/>
          <w:szCs w:val="24"/>
          <w:lang w:eastAsia="zh-CN"/>
        </w:rPr>
        <w:t>。</w:t>
      </w:r>
    </w:p>
    <w:p w14:paraId="7D373524">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支持采用H5技术，支持PC端和移动端设备查看引擎运行状态，界面自适应调整分辨率</w:t>
      </w:r>
      <w:r>
        <w:rPr>
          <w:rFonts w:hint="eastAsia" w:ascii="宋体" w:hAnsi="宋体" w:eastAsia="宋体" w:cs="宋体"/>
          <w:sz w:val="24"/>
          <w:szCs w:val="24"/>
          <w:lang w:eastAsia="zh-CN"/>
        </w:rPr>
        <w:t>。</w:t>
      </w:r>
    </w:p>
    <w:p w14:paraId="3102F6D6">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支持选择性关闭路由中消息追踪功能，减少不必要排错消息存储，节省磁盘空间。</w:t>
      </w:r>
    </w:p>
    <w:p w14:paraId="7820F7D1">
      <w:pPr>
        <w:numPr>
          <w:ilvl w:val="0"/>
          <w:numId w:val="5"/>
        </w:numPr>
        <w:bidi w:val="0"/>
        <w:rPr>
          <w:rFonts w:hint="eastAsia" w:ascii="宋体" w:hAnsi="宋体" w:eastAsia="宋体" w:cs="宋体"/>
          <w:b/>
          <w:bCs/>
          <w:sz w:val="24"/>
          <w:szCs w:val="24"/>
        </w:rPr>
      </w:pPr>
      <w:bookmarkStart w:id="22" w:name="_Toc15453"/>
      <w:r>
        <w:rPr>
          <w:rFonts w:hint="eastAsia" w:ascii="宋体" w:hAnsi="宋体" w:eastAsia="宋体" w:cs="宋体"/>
          <w:b/>
          <w:bCs/>
          <w:sz w:val="24"/>
          <w:szCs w:val="24"/>
          <w:lang w:val="en-US" w:eastAsia="zh-CN"/>
        </w:rPr>
        <w:t>院内集成服务</w:t>
      </w:r>
    </w:p>
    <w:p w14:paraId="14ADAABE">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集成平台提供临床业务交互集成解决方案，以面向服务的体系架构（SOA）为理念，以企业服务总线为基础，以临床业务规范为依据，采用标准化服务方式从患者基本信息、挂号、出入转、医技申请单及报告、手术麻醉等内容对接异构系统。</w:t>
      </w:r>
    </w:p>
    <w:p w14:paraId="7C0212CF">
      <w:pPr>
        <w:numPr>
          <w:ilvl w:val="0"/>
          <w:numId w:val="7"/>
        </w:numPr>
        <w:bidi w:val="0"/>
        <w:rPr>
          <w:rFonts w:hint="eastAsia" w:ascii="宋体" w:hAnsi="宋体" w:eastAsia="宋体" w:cs="宋体"/>
          <w:sz w:val="24"/>
          <w:szCs w:val="24"/>
        </w:rPr>
      </w:pPr>
      <w:r>
        <w:rPr>
          <w:rFonts w:hint="eastAsia" w:ascii="宋体" w:hAnsi="宋体" w:eastAsia="宋体" w:cs="宋体"/>
          <w:sz w:val="24"/>
          <w:szCs w:val="24"/>
        </w:rPr>
        <w:t>门诊交互服务</w:t>
      </w:r>
      <w:bookmarkEnd w:id="22"/>
    </w:p>
    <w:p w14:paraId="426D0B5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患者建档服务</w:t>
      </w:r>
      <w:r>
        <w:rPr>
          <w:rFonts w:hint="eastAsia" w:ascii="宋体" w:hAnsi="宋体" w:eastAsia="宋体" w:cs="宋体"/>
          <w:b/>
          <w:bCs/>
          <w:sz w:val="24"/>
          <w:szCs w:val="24"/>
          <w:lang w:val="en-US" w:eastAsia="zh-CN"/>
        </w:rPr>
        <w:t>子集</w:t>
      </w:r>
    </w:p>
    <w:p w14:paraId="074D369A">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集成平台提供标准化患者建档流程，生产方发布患者信息登记、更新操作服务经过集成平台下发订阅给相关业务消费方。</w:t>
      </w:r>
    </w:p>
    <w:p w14:paraId="37F861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门诊挂号服务</w:t>
      </w:r>
      <w:r>
        <w:rPr>
          <w:rFonts w:hint="eastAsia" w:ascii="宋体" w:hAnsi="宋体" w:eastAsia="宋体" w:cs="宋体"/>
          <w:b/>
          <w:bCs/>
          <w:sz w:val="24"/>
          <w:szCs w:val="24"/>
          <w:lang w:val="en-US" w:eastAsia="zh-CN"/>
        </w:rPr>
        <w:t>子集</w:t>
      </w:r>
    </w:p>
    <w:p w14:paraId="500D0FC5">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集成平台提供标准的患者挂号信息接收服务，用于接收生产系统的患者信息以及挂号基本信息</w:t>
      </w:r>
      <w:r>
        <w:rPr>
          <w:rFonts w:hint="eastAsia" w:ascii="宋体" w:hAnsi="宋体" w:eastAsia="宋体" w:cs="宋体"/>
          <w:sz w:val="24"/>
          <w:szCs w:val="24"/>
          <w:lang w:eastAsia="zh-CN"/>
        </w:rPr>
        <w:t>。</w:t>
      </w:r>
      <w:r>
        <w:rPr>
          <w:rFonts w:hint="eastAsia" w:ascii="宋体" w:hAnsi="宋体" w:eastAsia="宋体" w:cs="宋体"/>
          <w:sz w:val="24"/>
          <w:szCs w:val="24"/>
        </w:rPr>
        <w:t>集成平台根据医院实际应用场景</w:t>
      </w:r>
      <w:r>
        <w:rPr>
          <w:rFonts w:hint="eastAsia" w:ascii="宋体" w:hAnsi="宋体" w:eastAsia="宋体" w:cs="宋体"/>
          <w:sz w:val="24"/>
          <w:szCs w:val="24"/>
          <w:lang w:val="en-US" w:eastAsia="zh-CN"/>
        </w:rPr>
        <w:t>下发订阅</w:t>
      </w:r>
      <w:r>
        <w:rPr>
          <w:rFonts w:hint="eastAsia" w:ascii="宋体" w:hAnsi="宋体" w:eastAsia="宋体" w:cs="宋体"/>
          <w:sz w:val="24"/>
          <w:szCs w:val="24"/>
        </w:rPr>
        <w:t>给</w:t>
      </w:r>
      <w:r>
        <w:rPr>
          <w:rFonts w:hint="eastAsia" w:ascii="宋体" w:hAnsi="宋体" w:eastAsia="宋体" w:cs="宋体"/>
          <w:sz w:val="24"/>
          <w:szCs w:val="24"/>
          <w:lang w:val="en-US" w:eastAsia="zh-CN"/>
        </w:rPr>
        <w:t>业务</w:t>
      </w:r>
      <w:r>
        <w:rPr>
          <w:rFonts w:hint="eastAsia" w:ascii="宋体" w:hAnsi="宋体" w:eastAsia="宋体" w:cs="宋体"/>
          <w:sz w:val="24"/>
          <w:szCs w:val="24"/>
        </w:rPr>
        <w:t>消费</w:t>
      </w:r>
      <w:r>
        <w:rPr>
          <w:rFonts w:hint="eastAsia" w:ascii="宋体" w:hAnsi="宋体" w:eastAsia="宋体" w:cs="宋体"/>
          <w:sz w:val="24"/>
          <w:szCs w:val="24"/>
          <w:lang w:val="en-US" w:eastAsia="zh-CN"/>
        </w:rPr>
        <w:t>方</w:t>
      </w:r>
      <w:r>
        <w:rPr>
          <w:rFonts w:hint="eastAsia" w:ascii="宋体" w:hAnsi="宋体" w:eastAsia="宋体" w:cs="宋体"/>
          <w:sz w:val="24"/>
          <w:szCs w:val="24"/>
        </w:rPr>
        <w:t>。</w:t>
      </w:r>
    </w:p>
    <w:p w14:paraId="196F1B4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门诊处方服务</w:t>
      </w:r>
      <w:r>
        <w:rPr>
          <w:rFonts w:hint="eastAsia" w:ascii="宋体" w:hAnsi="宋体" w:eastAsia="宋体" w:cs="宋体"/>
          <w:b/>
          <w:bCs/>
          <w:sz w:val="24"/>
          <w:szCs w:val="24"/>
          <w:lang w:val="en-US" w:eastAsia="zh-CN"/>
        </w:rPr>
        <w:t>子集</w:t>
      </w:r>
    </w:p>
    <w:p w14:paraId="46101B76">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集成平台提供标准化门诊处方流程，生产方发布处方开立、更新、以及收费状态变更服务</w:t>
      </w:r>
      <w:r>
        <w:rPr>
          <w:rFonts w:hint="eastAsia" w:ascii="宋体" w:hAnsi="宋体" w:eastAsia="宋体" w:cs="宋体"/>
          <w:sz w:val="24"/>
          <w:szCs w:val="24"/>
          <w:lang w:val="en-US" w:eastAsia="zh-CN"/>
        </w:rPr>
        <w:t>给集成平台，</w:t>
      </w:r>
      <w:r>
        <w:rPr>
          <w:rFonts w:hint="eastAsia" w:ascii="宋体" w:hAnsi="宋体" w:eastAsia="宋体" w:cs="宋体"/>
          <w:sz w:val="24"/>
          <w:szCs w:val="24"/>
        </w:rPr>
        <w:t>集成平台下发订阅给相关业务消费方。</w:t>
      </w:r>
    </w:p>
    <w:p w14:paraId="583089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门诊申请单服务</w:t>
      </w:r>
      <w:r>
        <w:rPr>
          <w:rFonts w:hint="eastAsia" w:ascii="宋体" w:hAnsi="宋体" w:eastAsia="宋体" w:cs="宋体"/>
          <w:b/>
          <w:bCs/>
          <w:sz w:val="24"/>
          <w:szCs w:val="24"/>
          <w:lang w:val="en-US" w:eastAsia="zh-CN"/>
        </w:rPr>
        <w:t>子集</w:t>
      </w:r>
    </w:p>
    <w:p w14:paraId="7D43E9E0">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集成平台提供标准化门诊申请单流程，生成方发布申请单开立、更新、以及医技确费状态变更服务经过集成平台下发订阅给相关业务消费方。</w:t>
      </w:r>
    </w:p>
    <w:p w14:paraId="082D814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门诊危急值报告服务</w:t>
      </w:r>
      <w:r>
        <w:rPr>
          <w:rFonts w:hint="eastAsia" w:ascii="宋体" w:hAnsi="宋体" w:eastAsia="宋体" w:cs="宋体"/>
          <w:b/>
          <w:bCs/>
          <w:sz w:val="24"/>
          <w:szCs w:val="24"/>
          <w:lang w:val="en-US" w:eastAsia="zh-CN"/>
        </w:rPr>
        <w:t>子集</w:t>
      </w:r>
    </w:p>
    <w:p w14:paraId="71B464C6">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集成平台提供标准化门诊危急值流程，生成方发布危急值报告发布、召回、反馈操作变更服务经过集成平台下发订阅给相关业务消费方。</w:t>
      </w:r>
    </w:p>
    <w:p w14:paraId="7FB2FBE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门诊诊断服务</w:t>
      </w:r>
      <w:r>
        <w:rPr>
          <w:rFonts w:hint="eastAsia" w:ascii="宋体" w:hAnsi="宋体" w:eastAsia="宋体" w:cs="宋体"/>
          <w:b/>
          <w:bCs/>
          <w:sz w:val="24"/>
          <w:szCs w:val="24"/>
          <w:lang w:val="en-US" w:eastAsia="zh-CN"/>
        </w:rPr>
        <w:t>子集</w:t>
      </w:r>
    </w:p>
    <w:p w14:paraId="73F054A9">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集成平台提供标准化门诊诊断流程，生成方发布诊断信息新增操作服务经过集成平台下发订阅给相关业务消费方。</w:t>
      </w:r>
    </w:p>
    <w:p w14:paraId="24FA2289">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sz w:val="24"/>
          <w:szCs w:val="24"/>
          <w:lang w:val="en-US" w:eastAsia="zh-CN"/>
        </w:rPr>
      </w:pPr>
      <w:r>
        <w:rPr>
          <w:rFonts w:hint="eastAsia" w:ascii="宋体" w:hAnsi="宋体" w:cs="宋体"/>
          <w:b/>
          <w:bCs/>
          <w:sz w:val="24"/>
          <w:szCs w:val="24"/>
          <w:lang w:val="en-US" w:eastAsia="zh-CN"/>
        </w:rPr>
        <w:t>门诊预约服务子集</w:t>
      </w:r>
    </w:p>
    <w:p w14:paraId="30B466F5">
      <w:pPr>
        <w:numPr>
          <w:ilvl w:val="0"/>
          <w:numId w:val="7"/>
        </w:numPr>
        <w:bidi w:val="0"/>
        <w:rPr>
          <w:rFonts w:hint="eastAsia" w:ascii="宋体" w:hAnsi="宋体" w:eastAsia="宋体" w:cs="宋体"/>
          <w:sz w:val="24"/>
          <w:szCs w:val="24"/>
        </w:rPr>
      </w:pPr>
      <w:r>
        <w:rPr>
          <w:rFonts w:hint="eastAsia" w:ascii="宋体" w:hAnsi="宋体" w:eastAsia="宋体" w:cs="宋体"/>
          <w:sz w:val="24"/>
          <w:szCs w:val="24"/>
        </w:rPr>
        <w:t>住院交互服务</w:t>
      </w:r>
    </w:p>
    <w:p w14:paraId="20FA28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入出院服务</w:t>
      </w:r>
      <w:r>
        <w:rPr>
          <w:rFonts w:hint="eastAsia" w:ascii="宋体" w:hAnsi="宋体" w:eastAsia="宋体" w:cs="宋体"/>
          <w:b/>
          <w:bCs/>
          <w:sz w:val="24"/>
          <w:szCs w:val="24"/>
          <w:lang w:val="en-US" w:eastAsia="zh-CN"/>
        </w:rPr>
        <w:t>子集</w:t>
      </w:r>
    </w:p>
    <w:p w14:paraId="06DE8A8C">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集成平台提供标准化入出院流程，生成方发布入院登记、取消入院、出院登记、取消出院变更服务经过集成平台下发订阅给相关业务消费方。</w:t>
      </w:r>
    </w:p>
    <w:p w14:paraId="75FB0DC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入出转病区服务</w:t>
      </w:r>
      <w:r>
        <w:rPr>
          <w:rFonts w:hint="eastAsia" w:ascii="宋体" w:hAnsi="宋体" w:eastAsia="宋体" w:cs="宋体"/>
          <w:b/>
          <w:bCs/>
          <w:sz w:val="24"/>
          <w:szCs w:val="24"/>
          <w:lang w:val="en-US" w:eastAsia="zh-CN"/>
        </w:rPr>
        <w:t>子集</w:t>
      </w:r>
    </w:p>
    <w:p w14:paraId="79BBADC7">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集成平台提供标准化入出转病区流程，生成方发布入区、出区、转区、转床、婴儿登记以及反向变更服务经过集成平台下发订阅给相关业务消费方。</w:t>
      </w:r>
    </w:p>
    <w:p w14:paraId="127B69D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住院诊断服务</w:t>
      </w:r>
      <w:r>
        <w:rPr>
          <w:rFonts w:hint="eastAsia" w:ascii="宋体" w:hAnsi="宋体" w:eastAsia="宋体" w:cs="宋体"/>
          <w:b/>
          <w:bCs/>
          <w:sz w:val="24"/>
          <w:szCs w:val="24"/>
          <w:lang w:val="en-US" w:eastAsia="zh-CN"/>
        </w:rPr>
        <w:t>子集</w:t>
      </w:r>
    </w:p>
    <w:p w14:paraId="0507BEE8">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集成平台提供标准化住院诊断流程，生成方发布诊断信息新增操作服务经过集成平台下发订阅给相关业务消费方。</w:t>
      </w:r>
    </w:p>
    <w:p w14:paraId="43BBFA8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住院医嘱服务</w:t>
      </w:r>
      <w:r>
        <w:rPr>
          <w:rFonts w:hint="eastAsia" w:ascii="宋体" w:hAnsi="宋体" w:eastAsia="宋体" w:cs="宋体"/>
          <w:b/>
          <w:bCs/>
          <w:sz w:val="24"/>
          <w:szCs w:val="24"/>
          <w:lang w:val="en-US" w:eastAsia="zh-CN"/>
        </w:rPr>
        <w:t>子集</w:t>
      </w:r>
    </w:p>
    <w:p w14:paraId="5B757629">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集成平台提供标准化住院医嘱流程，生成方发布医嘱开立、审核、执行、DC操作变更服务经过集成平台下发订阅给相关业务消费方。</w:t>
      </w:r>
    </w:p>
    <w:p w14:paraId="644D29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住院申请单服务</w:t>
      </w:r>
      <w:r>
        <w:rPr>
          <w:rFonts w:hint="eastAsia" w:ascii="宋体" w:hAnsi="宋体" w:eastAsia="宋体" w:cs="宋体"/>
          <w:b/>
          <w:bCs/>
          <w:sz w:val="24"/>
          <w:szCs w:val="24"/>
          <w:lang w:val="en-US" w:eastAsia="zh-CN"/>
        </w:rPr>
        <w:t>子集</w:t>
      </w:r>
    </w:p>
    <w:p w14:paraId="36114A3C">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集成平台提供标准化住院申请单流程，生成方发布申请单开立、更新、审核、执行、以及医技确费状态变更服务经过集成平台下发订阅给相关业务消费方。</w:t>
      </w:r>
    </w:p>
    <w:p w14:paraId="6FBB53B4">
      <w:pPr>
        <w:numPr>
          <w:ilvl w:val="0"/>
          <w:numId w:val="7"/>
        </w:numPr>
        <w:bidi w:val="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医技</w:t>
      </w:r>
      <w:r>
        <w:rPr>
          <w:rFonts w:hint="eastAsia" w:ascii="宋体" w:hAnsi="宋体" w:eastAsia="宋体" w:cs="宋体"/>
          <w:sz w:val="24"/>
          <w:szCs w:val="24"/>
          <w:highlight w:val="none"/>
        </w:rPr>
        <w:t>交互服务</w:t>
      </w:r>
    </w:p>
    <w:p w14:paraId="77F48C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门诊医技报告服务</w:t>
      </w:r>
      <w:r>
        <w:rPr>
          <w:rFonts w:hint="eastAsia" w:ascii="宋体" w:hAnsi="宋体" w:eastAsia="宋体" w:cs="宋体"/>
          <w:b/>
          <w:bCs/>
          <w:sz w:val="24"/>
          <w:szCs w:val="24"/>
          <w:lang w:val="en-US" w:eastAsia="zh-CN"/>
        </w:rPr>
        <w:t>子集</w:t>
      </w:r>
    </w:p>
    <w:p w14:paraId="01CB0534">
      <w:pPr>
        <w:pStyle w:val="12"/>
        <w:keepNext w:val="0"/>
        <w:keepLines w:val="0"/>
        <w:pageBreakBefore w:val="0"/>
        <w:widowControl w:val="0"/>
        <w:kinsoku/>
        <w:wordWrap/>
        <w:overflowPunct/>
        <w:topLinePunct w:val="0"/>
        <w:autoSpaceDE/>
        <w:autoSpaceDN/>
        <w:bidi w:val="0"/>
        <w:adjustRightInd/>
        <w:snapToGrid/>
        <w:ind w:leftChars="0" w:firstLine="480" w:firstLineChars="200"/>
        <w:textAlignment w:val="auto"/>
        <w:rPr>
          <w:rFonts w:hint="eastAsia" w:ascii="宋体" w:hAnsi="宋体" w:eastAsia="宋体" w:cs="宋体"/>
          <w:b/>
          <w:bCs/>
          <w:sz w:val="24"/>
          <w:szCs w:val="24"/>
        </w:rPr>
      </w:pPr>
      <w:r>
        <w:rPr>
          <w:rFonts w:hint="eastAsia" w:ascii="宋体" w:hAnsi="宋体" w:eastAsia="宋体" w:cs="宋体"/>
          <w:sz w:val="24"/>
          <w:szCs w:val="24"/>
        </w:rPr>
        <w:t>集成平台提供标准化门诊医技报告流程，生成方发布医技报告发布、撤销操作变更服务经过集成平台下发订阅给相关业务消费方。</w:t>
      </w:r>
    </w:p>
    <w:p w14:paraId="76A3F9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住院医技报告服务</w:t>
      </w:r>
      <w:r>
        <w:rPr>
          <w:rFonts w:hint="eastAsia" w:ascii="宋体" w:hAnsi="宋体" w:eastAsia="宋体" w:cs="宋体"/>
          <w:b/>
          <w:bCs/>
          <w:sz w:val="24"/>
          <w:szCs w:val="24"/>
          <w:lang w:val="en-US" w:eastAsia="zh-CN"/>
        </w:rPr>
        <w:t>子集</w:t>
      </w:r>
    </w:p>
    <w:p w14:paraId="27BE77B5">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集成平台提供标准化住院医技报告流程，生成方发布医技报告发布、撤销操作变更服务经过集成平台下发订阅给相关业务消费方。</w:t>
      </w:r>
    </w:p>
    <w:p w14:paraId="13FF59B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住院危急值报告服务</w:t>
      </w:r>
      <w:r>
        <w:rPr>
          <w:rFonts w:hint="eastAsia" w:ascii="宋体" w:hAnsi="宋体" w:eastAsia="宋体" w:cs="宋体"/>
          <w:b/>
          <w:bCs/>
          <w:sz w:val="24"/>
          <w:szCs w:val="24"/>
          <w:lang w:val="en-US" w:eastAsia="zh-CN"/>
        </w:rPr>
        <w:t>子集</w:t>
      </w:r>
    </w:p>
    <w:p w14:paraId="60A7787C">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集成平台提供标准化住院危急值流程，生成方发布危急值报告发布、召回、反馈操作变更服务经过集成平台下发订阅给相关业务消费方。</w:t>
      </w:r>
    </w:p>
    <w:p w14:paraId="3108E89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手术麻醉服务</w:t>
      </w:r>
      <w:r>
        <w:rPr>
          <w:rFonts w:hint="eastAsia" w:ascii="宋体" w:hAnsi="宋体" w:eastAsia="宋体" w:cs="宋体"/>
          <w:b/>
          <w:bCs/>
          <w:sz w:val="24"/>
          <w:szCs w:val="24"/>
          <w:lang w:val="en-US" w:eastAsia="zh-CN"/>
        </w:rPr>
        <w:t>子集</w:t>
      </w:r>
    </w:p>
    <w:p w14:paraId="44E811DE">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集成平台提供标准化手术麻醉流程，生成方发布手术排班、手术状态、以及项目收费/退费操作变更服务经过集成平台下发订阅给相关业务消费方。</w:t>
      </w:r>
    </w:p>
    <w:p w14:paraId="272852BA">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sz w:val="24"/>
          <w:szCs w:val="24"/>
          <w:lang w:val="en-US" w:eastAsia="zh-CN"/>
        </w:rPr>
      </w:pPr>
      <w:r>
        <w:rPr>
          <w:rFonts w:hint="eastAsia" w:ascii="宋体" w:hAnsi="宋体" w:cs="宋体"/>
          <w:b/>
          <w:bCs/>
          <w:sz w:val="24"/>
          <w:szCs w:val="24"/>
          <w:lang w:val="en-US" w:eastAsia="zh-CN"/>
        </w:rPr>
        <w:t>手术排班、状态服务子集、医技状态更新服务子集</w:t>
      </w:r>
    </w:p>
    <w:p w14:paraId="51A6B599">
      <w:pPr>
        <w:numPr>
          <w:ilvl w:val="0"/>
          <w:numId w:val="7"/>
        </w:numPr>
        <w:bidi w:val="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病历文档</w:t>
      </w:r>
      <w:r>
        <w:rPr>
          <w:rFonts w:hint="eastAsia" w:ascii="宋体" w:hAnsi="宋体" w:eastAsia="宋体" w:cs="宋体"/>
          <w:sz w:val="24"/>
          <w:szCs w:val="24"/>
          <w:highlight w:val="none"/>
        </w:rPr>
        <w:t>交互服务</w:t>
      </w:r>
    </w:p>
    <w:p w14:paraId="75DE9D22">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000000"/>
          <w:kern w:val="2"/>
          <w:sz w:val="24"/>
          <w:szCs w:val="22"/>
          <w:lang w:val="en-US" w:eastAsia="zh-CN" w:bidi="ar-SA"/>
        </w:rPr>
      </w:pPr>
      <w:r>
        <w:rPr>
          <w:rFonts w:hint="eastAsia" w:ascii="Times New Roman" w:hAnsi="Times New Roman" w:eastAsia="宋体" w:cs="Times New Roman"/>
          <w:color w:val="000000"/>
          <w:kern w:val="2"/>
          <w:sz w:val="24"/>
          <w:szCs w:val="22"/>
          <w:lang w:val="en-US" w:eastAsia="zh-CN" w:bidi="ar-SA"/>
        </w:rPr>
        <w:t>集成平台提供标准化电子病历文档注册服务、电子病历文档检索服务、电子病历文档调阅服务。</w:t>
      </w:r>
    </w:p>
    <w:p w14:paraId="274C4DFB">
      <w:pPr>
        <w:numPr>
          <w:ilvl w:val="0"/>
          <w:numId w:val="7"/>
        </w:numPr>
        <w:bidi w:val="0"/>
        <w:ind w:left="0" w:firstLine="0"/>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基础数据交互服务</w:t>
      </w:r>
    </w:p>
    <w:p w14:paraId="2FECF7CC">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000000"/>
          <w:kern w:val="2"/>
          <w:sz w:val="24"/>
          <w:szCs w:val="22"/>
          <w:lang w:val="en-US" w:eastAsia="zh-CN" w:bidi="ar-SA"/>
        </w:rPr>
      </w:pPr>
    </w:p>
    <w:p w14:paraId="7FAF9493">
      <w:pPr>
        <w:numPr>
          <w:ilvl w:val="0"/>
          <w:numId w:val="5"/>
        </w:numPr>
        <w:bidi w:val="0"/>
        <w:rPr>
          <w:rFonts w:hint="eastAsia" w:ascii="宋体" w:hAnsi="宋体" w:eastAsia="宋体" w:cs="宋体"/>
          <w:b/>
          <w:bCs/>
          <w:sz w:val="24"/>
          <w:szCs w:val="24"/>
        </w:rPr>
      </w:pPr>
      <w:r>
        <w:rPr>
          <w:rFonts w:hint="eastAsia" w:ascii="宋体" w:hAnsi="宋体" w:eastAsia="宋体" w:cs="宋体"/>
          <w:b/>
          <w:bCs/>
          <w:sz w:val="24"/>
          <w:szCs w:val="24"/>
        </w:rPr>
        <w:t>集成平台管理系统</w:t>
      </w:r>
    </w:p>
    <w:p w14:paraId="1C60DFBE">
      <w:pPr>
        <w:numPr>
          <w:ilvl w:val="0"/>
          <w:numId w:val="8"/>
        </w:numPr>
        <w:bidi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服务管理</w:t>
      </w:r>
    </w:p>
    <w:p w14:paraId="77A0DB7A">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服务管理需提供常见应用集成场景所需要的标准服务，如果这些服务无法满足医院个性化需求，或者项目进入系统运维阶段，随着医院的信息化发展，当有新的接口服务需求，或者有新系统接入时，需要与现有系统进行对接，服务管理平台可通过快速配置实现服务的新增、服务的发布管理功能，实现对服务的集中管理，提高医院信息化管理效率及水平。要求如下：</w:t>
      </w:r>
    </w:p>
    <w:p w14:paraId="619092DB">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支持服务列表</w:t>
      </w:r>
      <w:r>
        <w:rPr>
          <w:rFonts w:hint="eastAsia" w:ascii="宋体" w:hAnsi="宋体" w:eastAsia="宋体" w:cs="宋体"/>
          <w:sz w:val="24"/>
          <w:szCs w:val="24"/>
          <w:lang w:eastAsia="zh-CN"/>
        </w:rPr>
        <w:t>。</w:t>
      </w:r>
    </w:p>
    <w:p w14:paraId="540B5F35">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支持服务查询</w:t>
      </w:r>
      <w:r>
        <w:rPr>
          <w:rFonts w:hint="eastAsia" w:ascii="宋体" w:hAnsi="宋体" w:eastAsia="宋体" w:cs="宋体"/>
          <w:sz w:val="24"/>
          <w:szCs w:val="24"/>
          <w:lang w:eastAsia="zh-CN"/>
        </w:rPr>
        <w:t>。</w:t>
      </w:r>
    </w:p>
    <w:p w14:paraId="57BFE9B6">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支持导入、导出服务包</w:t>
      </w:r>
      <w:r>
        <w:rPr>
          <w:rFonts w:hint="eastAsia" w:ascii="宋体" w:hAnsi="宋体" w:eastAsia="宋体" w:cs="宋体"/>
          <w:sz w:val="24"/>
          <w:szCs w:val="24"/>
          <w:lang w:eastAsia="zh-CN"/>
        </w:rPr>
        <w:t>。</w:t>
      </w:r>
    </w:p>
    <w:p w14:paraId="69949F1D">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支持服务配置及删除</w:t>
      </w:r>
      <w:r>
        <w:rPr>
          <w:rFonts w:hint="eastAsia" w:ascii="宋体" w:hAnsi="宋体" w:eastAsia="宋体" w:cs="宋体"/>
          <w:sz w:val="24"/>
          <w:szCs w:val="24"/>
          <w:lang w:eastAsia="zh-CN"/>
        </w:rPr>
        <w:t>。</w:t>
      </w:r>
    </w:p>
    <w:p w14:paraId="33AF9085">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支持服务上线、下线</w:t>
      </w:r>
      <w:r>
        <w:rPr>
          <w:rFonts w:hint="eastAsia" w:ascii="宋体" w:hAnsi="宋体" w:eastAsia="宋体" w:cs="宋体"/>
          <w:sz w:val="24"/>
          <w:szCs w:val="24"/>
          <w:lang w:eastAsia="zh-CN"/>
        </w:rPr>
        <w:t>。</w:t>
      </w:r>
    </w:p>
    <w:p w14:paraId="189F5C45">
      <w:pPr>
        <w:numPr>
          <w:ilvl w:val="0"/>
          <w:numId w:val="8"/>
        </w:numPr>
        <w:bidi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服务监控</w:t>
      </w:r>
    </w:p>
    <w:p w14:paraId="1DD1634C">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服务监控需对医院所有服务运行情况的监控，通过监控，及时发现问题采取干预措施，要求如下：</w:t>
      </w:r>
    </w:p>
    <w:p w14:paraId="5F38D92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监控概览</w:t>
      </w:r>
    </w:p>
    <w:p w14:paraId="1A31FC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支持展示业务系统与集成平台之间的服务调用关系</w:t>
      </w:r>
      <w:r>
        <w:rPr>
          <w:rFonts w:hint="eastAsia" w:ascii="宋体" w:hAnsi="宋体" w:eastAsia="宋体" w:cs="宋体"/>
          <w:sz w:val="24"/>
          <w:szCs w:val="24"/>
          <w:lang w:eastAsia="zh-CN"/>
        </w:rPr>
        <w:t>。</w:t>
      </w:r>
    </w:p>
    <w:p w14:paraId="753493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支持展示提供方、调用方服务调用次数</w:t>
      </w:r>
      <w:r>
        <w:rPr>
          <w:rFonts w:hint="eastAsia" w:ascii="宋体" w:hAnsi="宋体" w:eastAsia="宋体" w:cs="宋体"/>
          <w:sz w:val="24"/>
          <w:szCs w:val="24"/>
          <w:lang w:eastAsia="zh-CN"/>
        </w:rPr>
        <w:t>。</w:t>
      </w:r>
    </w:p>
    <w:p w14:paraId="239FD4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支持展示服务关键指标，包含服务请求次数、服务异常次数、接入系统总数、接入服务总数</w:t>
      </w:r>
      <w:r>
        <w:rPr>
          <w:rFonts w:hint="eastAsia" w:ascii="宋体" w:hAnsi="宋体" w:eastAsia="宋体" w:cs="宋体"/>
          <w:sz w:val="24"/>
          <w:szCs w:val="24"/>
          <w:lang w:eastAsia="zh-CN"/>
        </w:rPr>
        <w:t>。</w:t>
      </w:r>
    </w:p>
    <w:p w14:paraId="7C08BC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支持监控服务吞吐量趋势</w:t>
      </w:r>
      <w:r>
        <w:rPr>
          <w:rFonts w:hint="eastAsia" w:ascii="宋体" w:hAnsi="宋体" w:eastAsia="宋体" w:cs="宋体"/>
          <w:sz w:val="24"/>
          <w:szCs w:val="24"/>
          <w:lang w:eastAsia="zh-CN"/>
        </w:rPr>
        <w:t>。</w:t>
      </w:r>
    </w:p>
    <w:p w14:paraId="44706C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实时监控</w:t>
      </w:r>
    </w:p>
    <w:p w14:paraId="7D83BC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支持系统服务流向关系图例展示</w:t>
      </w:r>
      <w:r>
        <w:rPr>
          <w:rFonts w:hint="eastAsia" w:ascii="宋体" w:hAnsi="宋体" w:eastAsia="宋体" w:cs="宋体"/>
          <w:sz w:val="24"/>
          <w:szCs w:val="24"/>
          <w:lang w:eastAsia="zh-CN"/>
        </w:rPr>
        <w:t>。</w:t>
      </w:r>
    </w:p>
    <w:p w14:paraId="46B13A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支持展示服务列表</w:t>
      </w:r>
      <w:r>
        <w:rPr>
          <w:rFonts w:hint="eastAsia" w:ascii="宋体" w:hAnsi="宋体" w:eastAsia="宋体" w:cs="宋体"/>
          <w:sz w:val="24"/>
          <w:szCs w:val="24"/>
          <w:lang w:eastAsia="zh-CN"/>
        </w:rPr>
        <w:t>。</w:t>
      </w:r>
    </w:p>
    <w:p w14:paraId="14B870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支持服务调用详情，包含服务调用链路、耗时、路由名称、消息ID</w:t>
      </w:r>
      <w:r>
        <w:rPr>
          <w:rFonts w:hint="eastAsia" w:ascii="宋体" w:hAnsi="宋体" w:eastAsia="宋体" w:cs="宋体"/>
          <w:sz w:val="24"/>
          <w:szCs w:val="24"/>
          <w:lang w:eastAsia="zh-CN"/>
        </w:rPr>
        <w:t>。</w:t>
      </w:r>
    </w:p>
    <w:p w14:paraId="39A26D7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患者追踪</w:t>
      </w:r>
    </w:p>
    <w:p w14:paraId="44CD21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支持模糊查询</w:t>
      </w:r>
      <w:r>
        <w:rPr>
          <w:rFonts w:hint="eastAsia" w:ascii="宋体" w:hAnsi="宋体" w:eastAsia="宋体" w:cs="宋体"/>
          <w:sz w:val="24"/>
          <w:szCs w:val="24"/>
          <w:lang w:eastAsia="zh-CN"/>
        </w:rPr>
        <w:t>。</w:t>
      </w:r>
    </w:p>
    <w:p w14:paraId="4E5F2D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支持多条件组合查询，例如：患者门诊号、住院号、姓名、身份证号、卡号标识</w:t>
      </w:r>
      <w:r>
        <w:rPr>
          <w:rFonts w:hint="eastAsia" w:ascii="宋体" w:hAnsi="宋体" w:eastAsia="宋体" w:cs="宋体"/>
          <w:sz w:val="24"/>
          <w:szCs w:val="24"/>
          <w:lang w:eastAsia="zh-CN"/>
        </w:rPr>
        <w:t>。</w:t>
      </w:r>
    </w:p>
    <w:p w14:paraId="3B50553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消息搜索</w:t>
      </w:r>
    </w:p>
    <w:p w14:paraId="50A61E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支持追踪消息的流转状态及流转轨迹，便于业务系统进行问题排查</w:t>
      </w:r>
      <w:r>
        <w:rPr>
          <w:rFonts w:hint="eastAsia" w:ascii="宋体" w:hAnsi="宋体" w:eastAsia="宋体" w:cs="宋体"/>
          <w:sz w:val="24"/>
          <w:szCs w:val="24"/>
          <w:lang w:eastAsia="zh-CN"/>
        </w:rPr>
        <w:t>。</w:t>
      </w:r>
    </w:p>
    <w:p w14:paraId="2D702CB5">
      <w:pPr>
        <w:numPr>
          <w:ilvl w:val="0"/>
          <w:numId w:val="8"/>
        </w:numPr>
        <w:bidi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服务调试</w:t>
      </w:r>
    </w:p>
    <w:p w14:paraId="16E7E3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集成平台对接厂商需通过我的服务功能完成服务调试，并需在我请求的服务和我提供的服务之间切换。要求如下：</w:t>
      </w:r>
    </w:p>
    <w:p w14:paraId="2A1FEB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支持服务查询</w:t>
      </w:r>
      <w:r>
        <w:rPr>
          <w:rFonts w:hint="eastAsia" w:ascii="宋体" w:hAnsi="宋体" w:eastAsia="宋体" w:cs="宋体"/>
          <w:sz w:val="24"/>
          <w:szCs w:val="24"/>
          <w:lang w:eastAsia="zh-CN"/>
        </w:rPr>
        <w:t>。</w:t>
      </w:r>
    </w:p>
    <w:p w14:paraId="6CBD2C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支持接口方案下载</w:t>
      </w:r>
      <w:r>
        <w:rPr>
          <w:rFonts w:hint="eastAsia" w:ascii="宋体" w:hAnsi="宋体" w:eastAsia="宋体" w:cs="宋体"/>
          <w:sz w:val="24"/>
          <w:szCs w:val="24"/>
          <w:lang w:eastAsia="zh-CN"/>
        </w:rPr>
        <w:t>。</w:t>
      </w:r>
    </w:p>
    <w:p w14:paraId="38E833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支持服务调试</w:t>
      </w:r>
      <w:r>
        <w:rPr>
          <w:rFonts w:hint="eastAsia" w:ascii="宋体" w:hAnsi="宋体" w:eastAsia="宋体" w:cs="宋体"/>
          <w:sz w:val="24"/>
          <w:szCs w:val="24"/>
          <w:lang w:eastAsia="zh-CN"/>
        </w:rPr>
        <w:t>。</w:t>
      </w:r>
    </w:p>
    <w:p w14:paraId="4C1378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支持服务对接</w:t>
      </w:r>
      <w:r>
        <w:rPr>
          <w:rFonts w:hint="eastAsia" w:ascii="宋体" w:hAnsi="宋体" w:eastAsia="宋体" w:cs="宋体"/>
          <w:sz w:val="24"/>
          <w:szCs w:val="24"/>
          <w:lang w:eastAsia="zh-CN"/>
        </w:rPr>
        <w:t>。</w:t>
      </w:r>
    </w:p>
    <w:p w14:paraId="0F8E8E04">
      <w:pPr>
        <w:numPr>
          <w:ilvl w:val="0"/>
          <w:numId w:val="8"/>
        </w:numPr>
        <w:bidi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服务监控大屏</w:t>
      </w:r>
    </w:p>
    <w:p w14:paraId="0751EE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提供以监控大屏集中展示的集成平台运行现状、监控概览指标、服务的运行效率排名、服务器的硬件资源情况。要求监控如下指标项：</w:t>
      </w:r>
    </w:p>
    <w:p w14:paraId="1AA49A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日调用总数</w:t>
      </w:r>
      <w:r>
        <w:rPr>
          <w:rFonts w:hint="eastAsia" w:ascii="宋体" w:hAnsi="宋体" w:eastAsia="宋体" w:cs="宋体"/>
          <w:sz w:val="24"/>
          <w:szCs w:val="24"/>
          <w:lang w:eastAsia="zh-CN"/>
        </w:rPr>
        <w:t>。</w:t>
      </w:r>
    </w:p>
    <w:p w14:paraId="1B6513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今日异常</w:t>
      </w:r>
      <w:r>
        <w:rPr>
          <w:rFonts w:hint="eastAsia" w:ascii="宋体" w:hAnsi="宋体" w:eastAsia="宋体" w:cs="宋体"/>
          <w:sz w:val="24"/>
          <w:szCs w:val="24"/>
          <w:lang w:eastAsia="zh-CN"/>
        </w:rPr>
        <w:t>。</w:t>
      </w:r>
    </w:p>
    <w:p w14:paraId="262E80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接入系统总数</w:t>
      </w:r>
      <w:r>
        <w:rPr>
          <w:rFonts w:hint="eastAsia" w:ascii="宋体" w:hAnsi="宋体" w:eastAsia="宋体" w:cs="宋体"/>
          <w:sz w:val="24"/>
          <w:szCs w:val="24"/>
          <w:lang w:eastAsia="zh-CN"/>
        </w:rPr>
        <w:t>。</w:t>
      </w:r>
    </w:p>
    <w:p w14:paraId="66A403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服务总数</w:t>
      </w:r>
      <w:r>
        <w:rPr>
          <w:rFonts w:hint="eastAsia" w:ascii="宋体" w:hAnsi="宋体" w:eastAsia="宋体" w:cs="宋体"/>
          <w:sz w:val="24"/>
          <w:szCs w:val="24"/>
          <w:lang w:eastAsia="zh-CN"/>
        </w:rPr>
        <w:t>。</w:t>
      </w:r>
    </w:p>
    <w:p w14:paraId="0340C0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平台监控天数</w:t>
      </w:r>
      <w:r>
        <w:rPr>
          <w:rFonts w:hint="eastAsia" w:ascii="宋体" w:hAnsi="宋体" w:eastAsia="宋体" w:cs="宋体"/>
          <w:sz w:val="24"/>
          <w:szCs w:val="24"/>
          <w:lang w:eastAsia="zh-CN"/>
        </w:rPr>
        <w:t>。</w:t>
      </w:r>
    </w:p>
    <w:p w14:paraId="4CE876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历史调用总数</w:t>
      </w:r>
      <w:r>
        <w:rPr>
          <w:rFonts w:hint="eastAsia" w:ascii="宋体" w:hAnsi="宋体" w:eastAsia="宋体" w:cs="宋体"/>
          <w:sz w:val="24"/>
          <w:szCs w:val="24"/>
          <w:lang w:eastAsia="zh-CN"/>
        </w:rPr>
        <w:t>。</w:t>
      </w:r>
    </w:p>
    <w:p w14:paraId="2586F6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此外还需展示整体平台的架构图，以及所提供的服务、所消费的服务的调用数统计。</w:t>
      </w:r>
    </w:p>
    <w:p w14:paraId="199E837A">
      <w:pPr>
        <w:numPr>
          <w:ilvl w:val="0"/>
          <w:numId w:val="5"/>
        </w:numPr>
        <w:bidi w:val="0"/>
        <w:rPr>
          <w:rFonts w:hint="eastAsia" w:ascii="宋体" w:hAnsi="宋体" w:eastAsia="宋体" w:cs="宋体"/>
          <w:b/>
          <w:bCs/>
          <w:sz w:val="24"/>
          <w:szCs w:val="24"/>
        </w:rPr>
      </w:pPr>
      <w:r>
        <w:rPr>
          <w:rFonts w:hint="eastAsia" w:ascii="宋体" w:hAnsi="宋体" w:eastAsia="宋体" w:cs="宋体"/>
          <w:b/>
          <w:bCs/>
          <w:sz w:val="24"/>
          <w:szCs w:val="24"/>
        </w:rPr>
        <w:t>互联互通数据交互服务</w:t>
      </w:r>
    </w:p>
    <w:p w14:paraId="676A6D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支持</w:t>
      </w:r>
      <w:r>
        <w:rPr>
          <w:rFonts w:hint="eastAsia" w:ascii="宋体" w:hAnsi="宋体" w:eastAsia="宋体" w:cs="宋体"/>
          <w:sz w:val="24"/>
          <w:szCs w:val="24"/>
          <w:lang w:val="en-US" w:eastAsia="zh-CN"/>
        </w:rPr>
        <w:t>以下</w:t>
      </w:r>
      <w:r>
        <w:rPr>
          <w:rFonts w:hint="eastAsia" w:ascii="宋体" w:hAnsi="宋体" w:eastAsia="宋体" w:cs="宋体"/>
          <w:sz w:val="24"/>
          <w:szCs w:val="24"/>
        </w:rPr>
        <w:t>互联互通数据交互服务，包括：</w:t>
      </w:r>
    </w:p>
    <w:tbl>
      <w:tblPr>
        <w:tblStyle w:val="22"/>
        <w:tblW w:w="7910" w:type="dxa"/>
        <w:tblInd w:w="0" w:type="dxa"/>
        <w:shd w:val="clear" w:color="auto" w:fill="auto"/>
        <w:tblLayout w:type="fixed"/>
        <w:tblCellMar>
          <w:top w:w="0" w:type="dxa"/>
          <w:left w:w="0" w:type="dxa"/>
          <w:bottom w:w="0" w:type="dxa"/>
          <w:right w:w="0" w:type="dxa"/>
        </w:tblCellMar>
      </w:tblPr>
      <w:tblGrid>
        <w:gridCol w:w="3350"/>
        <w:gridCol w:w="4560"/>
      </w:tblGrid>
      <w:tr w14:paraId="263A2F47">
        <w:tblPrEx>
          <w:shd w:val="clear" w:color="auto" w:fill="auto"/>
          <w:tblCellMar>
            <w:top w:w="0" w:type="dxa"/>
            <w:left w:w="0" w:type="dxa"/>
            <w:bottom w:w="0" w:type="dxa"/>
            <w:right w:w="0" w:type="dxa"/>
          </w:tblCellMar>
        </w:tblPrEx>
        <w:trPr>
          <w:trHeight w:val="345" w:hRule="atLeast"/>
        </w:trPr>
        <w:tc>
          <w:tcPr>
            <w:tcW w:w="3350" w:type="dxa"/>
            <w:vMerge w:val="restart"/>
            <w:tcBorders>
              <w:top w:val="single" w:color="auto"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365623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文档注册、查询服务 </w:t>
            </w:r>
          </w:p>
        </w:tc>
        <w:tc>
          <w:tcPr>
            <w:tcW w:w="4560" w:type="dxa"/>
            <w:tcBorders>
              <w:top w:val="single" w:color="auto" w:sz="4" w:space="0"/>
              <w:left w:val="nil"/>
              <w:bottom w:val="single" w:color="000000" w:sz="4" w:space="0"/>
              <w:right w:val="single" w:color="000000" w:sz="4" w:space="0"/>
            </w:tcBorders>
            <w:shd w:val="clear" w:color="auto" w:fill="auto"/>
            <w:noWrap/>
            <w:tcMar>
              <w:top w:w="12" w:type="dxa"/>
              <w:left w:w="12" w:type="dxa"/>
              <w:right w:w="12" w:type="dxa"/>
            </w:tcMar>
            <w:vAlign w:val="center"/>
          </w:tcPr>
          <w:p w14:paraId="782E95D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Style w:val="55"/>
                <w:rFonts w:hint="eastAsia" w:ascii="宋体" w:hAnsi="宋体" w:eastAsia="宋体" w:cs="宋体"/>
                <w:sz w:val="24"/>
                <w:szCs w:val="24"/>
                <w:lang w:val="en-US" w:eastAsia="zh-CN" w:bidi="ar"/>
              </w:rPr>
              <w:t xml:space="preserve">电子病历文档注册服务 </w:t>
            </w:r>
          </w:p>
        </w:tc>
      </w:tr>
      <w:tr w14:paraId="6F24C5DF">
        <w:tblPrEx>
          <w:shd w:val="clear" w:color="auto" w:fill="auto"/>
          <w:tblCellMar>
            <w:top w:w="0" w:type="dxa"/>
            <w:left w:w="0" w:type="dxa"/>
            <w:bottom w:w="0" w:type="dxa"/>
            <w:right w:w="0" w:type="dxa"/>
          </w:tblCellMar>
        </w:tblPrEx>
        <w:trPr>
          <w:trHeight w:val="348" w:hRule="atLeast"/>
        </w:trPr>
        <w:tc>
          <w:tcPr>
            <w:tcW w:w="3350" w:type="dxa"/>
            <w:vMerge w:val="continue"/>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09A4B7B">
            <w:pPr>
              <w:jc w:val="center"/>
              <w:rPr>
                <w:rFonts w:hint="eastAsia" w:ascii="宋体" w:hAnsi="宋体" w:eastAsia="宋体" w:cs="宋体"/>
                <w:i w:val="0"/>
                <w:color w:val="000000"/>
                <w:sz w:val="24"/>
                <w:szCs w:val="24"/>
                <w:u w:val="none"/>
              </w:rPr>
            </w:pPr>
          </w:p>
        </w:tc>
        <w:tc>
          <w:tcPr>
            <w:tcW w:w="456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7166626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电子病历文档检索服务</w:t>
            </w:r>
          </w:p>
        </w:tc>
      </w:tr>
      <w:tr w14:paraId="54117F54">
        <w:tblPrEx>
          <w:shd w:val="clear" w:color="auto" w:fill="auto"/>
          <w:tblCellMar>
            <w:top w:w="0" w:type="dxa"/>
            <w:left w:w="0" w:type="dxa"/>
            <w:bottom w:w="0" w:type="dxa"/>
            <w:right w:w="0" w:type="dxa"/>
          </w:tblCellMar>
        </w:tblPrEx>
        <w:trPr>
          <w:trHeight w:val="348" w:hRule="atLeast"/>
        </w:trPr>
        <w:tc>
          <w:tcPr>
            <w:tcW w:w="3350" w:type="dxa"/>
            <w:vMerge w:val="continue"/>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AEC811">
            <w:pPr>
              <w:jc w:val="center"/>
              <w:rPr>
                <w:rFonts w:hint="eastAsia" w:ascii="宋体" w:hAnsi="宋体" w:eastAsia="宋体" w:cs="宋体"/>
                <w:i w:val="0"/>
                <w:color w:val="000000"/>
                <w:sz w:val="24"/>
                <w:szCs w:val="24"/>
                <w:u w:val="none"/>
              </w:rPr>
            </w:pPr>
          </w:p>
        </w:tc>
        <w:tc>
          <w:tcPr>
            <w:tcW w:w="456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500CCBF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电子病历文档调阅服务</w:t>
            </w:r>
          </w:p>
        </w:tc>
      </w:tr>
      <w:tr w14:paraId="3D22078A">
        <w:tblPrEx>
          <w:shd w:val="clear" w:color="auto" w:fill="auto"/>
          <w:tblCellMar>
            <w:top w:w="0" w:type="dxa"/>
            <w:left w:w="0" w:type="dxa"/>
            <w:bottom w:w="0" w:type="dxa"/>
            <w:right w:w="0" w:type="dxa"/>
          </w:tblCellMar>
        </w:tblPrEx>
        <w:trPr>
          <w:trHeight w:val="345" w:hRule="atLeast"/>
        </w:trPr>
        <w:tc>
          <w:tcPr>
            <w:tcW w:w="3350" w:type="dxa"/>
            <w:vMerge w:val="restart"/>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7D445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个人信息注册、查询服务 </w:t>
            </w:r>
          </w:p>
        </w:tc>
        <w:tc>
          <w:tcPr>
            <w:tcW w:w="456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2101413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个人信息注册服务</w:t>
            </w:r>
          </w:p>
        </w:tc>
      </w:tr>
      <w:tr w14:paraId="78002273">
        <w:tblPrEx>
          <w:shd w:val="clear" w:color="auto" w:fill="auto"/>
          <w:tblCellMar>
            <w:top w:w="0" w:type="dxa"/>
            <w:left w:w="0" w:type="dxa"/>
            <w:bottom w:w="0" w:type="dxa"/>
            <w:right w:w="0" w:type="dxa"/>
          </w:tblCellMar>
        </w:tblPrEx>
        <w:trPr>
          <w:trHeight w:val="348" w:hRule="atLeast"/>
        </w:trPr>
        <w:tc>
          <w:tcPr>
            <w:tcW w:w="3350" w:type="dxa"/>
            <w:vMerge w:val="continue"/>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A8629A">
            <w:pPr>
              <w:jc w:val="center"/>
              <w:rPr>
                <w:rFonts w:hint="eastAsia" w:ascii="宋体" w:hAnsi="宋体" w:eastAsia="宋体" w:cs="宋体"/>
                <w:i w:val="0"/>
                <w:color w:val="000000"/>
                <w:sz w:val="24"/>
                <w:szCs w:val="24"/>
                <w:u w:val="none"/>
              </w:rPr>
            </w:pPr>
          </w:p>
        </w:tc>
        <w:tc>
          <w:tcPr>
            <w:tcW w:w="456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637B735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个人信息更新服务</w:t>
            </w:r>
          </w:p>
        </w:tc>
      </w:tr>
      <w:tr w14:paraId="6236F0EE">
        <w:tblPrEx>
          <w:shd w:val="clear" w:color="auto" w:fill="auto"/>
          <w:tblCellMar>
            <w:top w:w="0" w:type="dxa"/>
            <w:left w:w="0" w:type="dxa"/>
            <w:bottom w:w="0" w:type="dxa"/>
            <w:right w:w="0" w:type="dxa"/>
          </w:tblCellMar>
        </w:tblPrEx>
        <w:trPr>
          <w:trHeight w:val="348" w:hRule="atLeast"/>
        </w:trPr>
        <w:tc>
          <w:tcPr>
            <w:tcW w:w="3350" w:type="dxa"/>
            <w:vMerge w:val="continue"/>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1D62C2">
            <w:pPr>
              <w:jc w:val="center"/>
              <w:rPr>
                <w:rFonts w:hint="eastAsia" w:ascii="宋体" w:hAnsi="宋体" w:eastAsia="宋体" w:cs="宋体"/>
                <w:i w:val="0"/>
                <w:color w:val="000000"/>
                <w:sz w:val="24"/>
                <w:szCs w:val="24"/>
                <w:u w:val="none"/>
              </w:rPr>
            </w:pPr>
          </w:p>
        </w:tc>
        <w:tc>
          <w:tcPr>
            <w:tcW w:w="456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7ED7BB0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个人信息合并服务</w:t>
            </w:r>
          </w:p>
        </w:tc>
      </w:tr>
      <w:tr w14:paraId="3EDD6A52">
        <w:tblPrEx>
          <w:shd w:val="clear" w:color="auto" w:fill="auto"/>
          <w:tblCellMar>
            <w:top w:w="0" w:type="dxa"/>
            <w:left w:w="0" w:type="dxa"/>
            <w:bottom w:w="0" w:type="dxa"/>
            <w:right w:w="0" w:type="dxa"/>
          </w:tblCellMar>
        </w:tblPrEx>
        <w:trPr>
          <w:trHeight w:val="348" w:hRule="atLeast"/>
        </w:trPr>
        <w:tc>
          <w:tcPr>
            <w:tcW w:w="3350" w:type="dxa"/>
            <w:vMerge w:val="continue"/>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9DD141C">
            <w:pPr>
              <w:jc w:val="center"/>
              <w:rPr>
                <w:rFonts w:hint="eastAsia" w:ascii="宋体" w:hAnsi="宋体" w:eastAsia="宋体" w:cs="宋体"/>
                <w:i w:val="0"/>
                <w:color w:val="000000"/>
                <w:sz w:val="24"/>
                <w:szCs w:val="24"/>
                <w:u w:val="none"/>
              </w:rPr>
            </w:pPr>
          </w:p>
        </w:tc>
        <w:tc>
          <w:tcPr>
            <w:tcW w:w="456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2E2CB6A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个人信息查询服务</w:t>
            </w:r>
          </w:p>
        </w:tc>
      </w:tr>
      <w:tr w14:paraId="176F263D">
        <w:tblPrEx>
          <w:shd w:val="clear" w:color="auto" w:fill="auto"/>
          <w:tblCellMar>
            <w:top w:w="0" w:type="dxa"/>
            <w:left w:w="0" w:type="dxa"/>
            <w:bottom w:w="0" w:type="dxa"/>
            <w:right w:w="0" w:type="dxa"/>
          </w:tblCellMar>
        </w:tblPrEx>
        <w:trPr>
          <w:trHeight w:val="345" w:hRule="atLeast"/>
        </w:trPr>
        <w:tc>
          <w:tcPr>
            <w:tcW w:w="3350" w:type="dxa"/>
            <w:vMerge w:val="restart"/>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B735E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Style w:val="55"/>
                <w:rFonts w:hint="eastAsia" w:ascii="宋体" w:hAnsi="宋体" w:eastAsia="宋体" w:cs="宋体"/>
                <w:sz w:val="24"/>
                <w:szCs w:val="24"/>
                <w:lang w:val="en-US" w:eastAsia="zh-CN" w:bidi="ar"/>
              </w:rPr>
              <w:t xml:space="preserve">医疗卫生机构注 册、查询服务 </w:t>
            </w:r>
          </w:p>
        </w:tc>
        <w:tc>
          <w:tcPr>
            <w:tcW w:w="456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1CAAFED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医疗卫生机构(科室)信息注册服务</w:t>
            </w:r>
          </w:p>
        </w:tc>
      </w:tr>
      <w:tr w14:paraId="3C3F617C">
        <w:tblPrEx>
          <w:shd w:val="clear" w:color="auto" w:fill="auto"/>
          <w:tblCellMar>
            <w:top w:w="0" w:type="dxa"/>
            <w:left w:w="0" w:type="dxa"/>
            <w:bottom w:w="0" w:type="dxa"/>
            <w:right w:w="0" w:type="dxa"/>
          </w:tblCellMar>
        </w:tblPrEx>
        <w:trPr>
          <w:trHeight w:val="348" w:hRule="atLeast"/>
        </w:trPr>
        <w:tc>
          <w:tcPr>
            <w:tcW w:w="3350" w:type="dxa"/>
            <w:vMerge w:val="continue"/>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E3E18D">
            <w:pPr>
              <w:jc w:val="center"/>
              <w:rPr>
                <w:rFonts w:hint="eastAsia" w:ascii="宋体" w:hAnsi="宋体" w:eastAsia="宋体" w:cs="宋体"/>
                <w:i w:val="0"/>
                <w:color w:val="000000"/>
                <w:sz w:val="24"/>
                <w:szCs w:val="24"/>
                <w:u w:val="none"/>
              </w:rPr>
            </w:pPr>
          </w:p>
        </w:tc>
        <w:tc>
          <w:tcPr>
            <w:tcW w:w="456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42B5C2E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医疗卫生机构(科室)信息更新服务</w:t>
            </w:r>
          </w:p>
        </w:tc>
      </w:tr>
      <w:tr w14:paraId="7D779422">
        <w:tblPrEx>
          <w:shd w:val="clear" w:color="auto" w:fill="auto"/>
          <w:tblCellMar>
            <w:top w:w="0" w:type="dxa"/>
            <w:left w:w="0" w:type="dxa"/>
            <w:bottom w:w="0" w:type="dxa"/>
            <w:right w:w="0" w:type="dxa"/>
          </w:tblCellMar>
        </w:tblPrEx>
        <w:trPr>
          <w:trHeight w:val="348" w:hRule="atLeast"/>
        </w:trPr>
        <w:tc>
          <w:tcPr>
            <w:tcW w:w="3350" w:type="dxa"/>
            <w:vMerge w:val="continue"/>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580BFA">
            <w:pPr>
              <w:jc w:val="center"/>
              <w:rPr>
                <w:rFonts w:hint="eastAsia" w:ascii="宋体" w:hAnsi="宋体" w:eastAsia="宋体" w:cs="宋体"/>
                <w:i w:val="0"/>
                <w:color w:val="000000"/>
                <w:sz w:val="24"/>
                <w:szCs w:val="24"/>
                <w:u w:val="none"/>
              </w:rPr>
            </w:pPr>
          </w:p>
        </w:tc>
        <w:tc>
          <w:tcPr>
            <w:tcW w:w="456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1589C11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医疗卫生机构(科室)信息查询服务</w:t>
            </w:r>
          </w:p>
        </w:tc>
      </w:tr>
      <w:tr w14:paraId="6CB8C5D2">
        <w:tblPrEx>
          <w:shd w:val="clear" w:color="auto" w:fill="auto"/>
          <w:tblCellMar>
            <w:top w:w="0" w:type="dxa"/>
            <w:left w:w="0" w:type="dxa"/>
            <w:bottom w:w="0" w:type="dxa"/>
            <w:right w:w="0" w:type="dxa"/>
          </w:tblCellMar>
        </w:tblPrEx>
        <w:trPr>
          <w:trHeight w:val="345" w:hRule="atLeast"/>
        </w:trPr>
        <w:tc>
          <w:tcPr>
            <w:tcW w:w="3350" w:type="dxa"/>
            <w:vMerge w:val="restart"/>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8501B9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Style w:val="55"/>
                <w:rFonts w:hint="eastAsia" w:ascii="宋体" w:hAnsi="宋体" w:eastAsia="宋体" w:cs="宋体"/>
                <w:sz w:val="24"/>
                <w:szCs w:val="24"/>
                <w:lang w:val="en-US" w:eastAsia="zh-CN" w:bidi="ar"/>
              </w:rPr>
              <w:t xml:space="preserve">医疗卫生人员注 册、查询服务 </w:t>
            </w:r>
          </w:p>
        </w:tc>
        <w:tc>
          <w:tcPr>
            <w:tcW w:w="456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221490A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医疗卫生人员信息注册服务</w:t>
            </w:r>
          </w:p>
        </w:tc>
      </w:tr>
      <w:tr w14:paraId="5CDBC0A1">
        <w:tblPrEx>
          <w:shd w:val="clear" w:color="auto" w:fill="auto"/>
          <w:tblCellMar>
            <w:top w:w="0" w:type="dxa"/>
            <w:left w:w="0" w:type="dxa"/>
            <w:bottom w:w="0" w:type="dxa"/>
            <w:right w:w="0" w:type="dxa"/>
          </w:tblCellMar>
        </w:tblPrEx>
        <w:trPr>
          <w:trHeight w:val="348" w:hRule="atLeast"/>
        </w:trPr>
        <w:tc>
          <w:tcPr>
            <w:tcW w:w="3350" w:type="dxa"/>
            <w:vMerge w:val="continue"/>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D39965">
            <w:pPr>
              <w:jc w:val="center"/>
              <w:rPr>
                <w:rFonts w:hint="eastAsia" w:ascii="宋体" w:hAnsi="宋体" w:eastAsia="宋体" w:cs="宋体"/>
                <w:i w:val="0"/>
                <w:color w:val="000000"/>
                <w:sz w:val="24"/>
                <w:szCs w:val="24"/>
                <w:u w:val="none"/>
              </w:rPr>
            </w:pPr>
          </w:p>
        </w:tc>
        <w:tc>
          <w:tcPr>
            <w:tcW w:w="456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023D700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医疗卫生人员信息更新服务</w:t>
            </w:r>
          </w:p>
        </w:tc>
      </w:tr>
      <w:tr w14:paraId="48464BF1">
        <w:tblPrEx>
          <w:shd w:val="clear" w:color="auto" w:fill="auto"/>
          <w:tblCellMar>
            <w:top w:w="0" w:type="dxa"/>
            <w:left w:w="0" w:type="dxa"/>
            <w:bottom w:w="0" w:type="dxa"/>
            <w:right w:w="0" w:type="dxa"/>
          </w:tblCellMar>
        </w:tblPrEx>
        <w:trPr>
          <w:trHeight w:val="348" w:hRule="atLeast"/>
        </w:trPr>
        <w:tc>
          <w:tcPr>
            <w:tcW w:w="3350" w:type="dxa"/>
            <w:vMerge w:val="continue"/>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C98B62F">
            <w:pPr>
              <w:jc w:val="center"/>
              <w:rPr>
                <w:rFonts w:hint="eastAsia" w:ascii="宋体" w:hAnsi="宋体" w:eastAsia="宋体" w:cs="宋体"/>
                <w:i w:val="0"/>
                <w:color w:val="000000"/>
                <w:sz w:val="24"/>
                <w:szCs w:val="24"/>
                <w:u w:val="none"/>
              </w:rPr>
            </w:pPr>
          </w:p>
        </w:tc>
        <w:tc>
          <w:tcPr>
            <w:tcW w:w="456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7751046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医疗卫生人员信息查询服务</w:t>
            </w:r>
          </w:p>
        </w:tc>
      </w:tr>
      <w:tr w14:paraId="7DA2194F">
        <w:tblPrEx>
          <w:shd w:val="clear" w:color="auto" w:fill="auto"/>
          <w:tblCellMar>
            <w:top w:w="0" w:type="dxa"/>
            <w:left w:w="0" w:type="dxa"/>
            <w:bottom w:w="0" w:type="dxa"/>
            <w:right w:w="0" w:type="dxa"/>
          </w:tblCellMar>
        </w:tblPrEx>
        <w:trPr>
          <w:trHeight w:val="345" w:hRule="atLeast"/>
        </w:trPr>
        <w:tc>
          <w:tcPr>
            <w:tcW w:w="3350" w:type="dxa"/>
            <w:vMerge w:val="restart"/>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97067C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Style w:val="55"/>
                <w:rFonts w:hint="eastAsia" w:ascii="宋体" w:hAnsi="宋体" w:eastAsia="宋体" w:cs="宋体"/>
                <w:sz w:val="24"/>
                <w:szCs w:val="24"/>
                <w:lang w:val="en-US" w:eastAsia="zh-CN" w:bidi="ar"/>
              </w:rPr>
              <w:t xml:space="preserve">就诊信息交互服务 </w:t>
            </w:r>
          </w:p>
        </w:tc>
        <w:tc>
          <w:tcPr>
            <w:tcW w:w="456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722A419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就诊卡信息新增服务</w:t>
            </w:r>
          </w:p>
        </w:tc>
      </w:tr>
      <w:tr w14:paraId="29FB17EF">
        <w:tblPrEx>
          <w:shd w:val="clear" w:color="auto" w:fill="auto"/>
          <w:tblCellMar>
            <w:top w:w="0" w:type="dxa"/>
            <w:left w:w="0" w:type="dxa"/>
            <w:bottom w:w="0" w:type="dxa"/>
            <w:right w:w="0" w:type="dxa"/>
          </w:tblCellMar>
        </w:tblPrEx>
        <w:trPr>
          <w:trHeight w:val="348" w:hRule="atLeast"/>
        </w:trPr>
        <w:tc>
          <w:tcPr>
            <w:tcW w:w="3350" w:type="dxa"/>
            <w:vMerge w:val="continue"/>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EFBAD48">
            <w:pPr>
              <w:jc w:val="center"/>
              <w:rPr>
                <w:rFonts w:hint="eastAsia" w:ascii="宋体" w:hAnsi="宋体" w:eastAsia="宋体" w:cs="宋体"/>
                <w:i w:val="0"/>
                <w:color w:val="000000"/>
                <w:sz w:val="24"/>
                <w:szCs w:val="24"/>
                <w:u w:val="none"/>
              </w:rPr>
            </w:pPr>
          </w:p>
        </w:tc>
        <w:tc>
          <w:tcPr>
            <w:tcW w:w="456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21CC19D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就诊卡信息更新服务</w:t>
            </w:r>
          </w:p>
        </w:tc>
      </w:tr>
      <w:tr w14:paraId="45E8BB6E">
        <w:tblPrEx>
          <w:shd w:val="clear" w:color="auto" w:fill="auto"/>
          <w:tblCellMar>
            <w:top w:w="0" w:type="dxa"/>
            <w:left w:w="0" w:type="dxa"/>
            <w:bottom w:w="0" w:type="dxa"/>
            <w:right w:w="0" w:type="dxa"/>
          </w:tblCellMar>
        </w:tblPrEx>
        <w:trPr>
          <w:trHeight w:val="348" w:hRule="atLeast"/>
        </w:trPr>
        <w:tc>
          <w:tcPr>
            <w:tcW w:w="3350" w:type="dxa"/>
            <w:vMerge w:val="continue"/>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D9F11C9">
            <w:pPr>
              <w:jc w:val="center"/>
              <w:rPr>
                <w:rFonts w:hint="eastAsia" w:ascii="宋体" w:hAnsi="宋体" w:eastAsia="宋体" w:cs="宋体"/>
                <w:i w:val="0"/>
                <w:color w:val="000000"/>
                <w:sz w:val="24"/>
                <w:szCs w:val="24"/>
                <w:u w:val="none"/>
              </w:rPr>
            </w:pPr>
          </w:p>
        </w:tc>
        <w:tc>
          <w:tcPr>
            <w:tcW w:w="456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391027F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就诊卡信息查询服务</w:t>
            </w:r>
          </w:p>
        </w:tc>
      </w:tr>
      <w:tr w14:paraId="7F2AD02A">
        <w:tblPrEx>
          <w:shd w:val="clear" w:color="auto" w:fill="auto"/>
          <w:tblCellMar>
            <w:top w:w="0" w:type="dxa"/>
            <w:left w:w="0" w:type="dxa"/>
            <w:bottom w:w="0" w:type="dxa"/>
            <w:right w:w="0" w:type="dxa"/>
          </w:tblCellMar>
        </w:tblPrEx>
        <w:trPr>
          <w:trHeight w:val="348" w:hRule="atLeast"/>
        </w:trPr>
        <w:tc>
          <w:tcPr>
            <w:tcW w:w="3350" w:type="dxa"/>
            <w:vMerge w:val="continue"/>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2E34B96">
            <w:pPr>
              <w:jc w:val="center"/>
              <w:rPr>
                <w:rFonts w:hint="eastAsia" w:ascii="宋体" w:hAnsi="宋体" w:eastAsia="宋体" w:cs="宋体"/>
                <w:i w:val="0"/>
                <w:color w:val="000000"/>
                <w:sz w:val="24"/>
                <w:szCs w:val="24"/>
                <w:u w:val="none"/>
              </w:rPr>
            </w:pPr>
          </w:p>
        </w:tc>
        <w:tc>
          <w:tcPr>
            <w:tcW w:w="456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1C36D51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门诊挂号信息新增服务</w:t>
            </w:r>
          </w:p>
        </w:tc>
      </w:tr>
      <w:tr w14:paraId="68CC1989">
        <w:tblPrEx>
          <w:shd w:val="clear" w:color="auto" w:fill="auto"/>
          <w:tblCellMar>
            <w:top w:w="0" w:type="dxa"/>
            <w:left w:w="0" w:type="dxa"/>
            <w:bottom w:w="0" w:type="dxa"/>
            <w:right w:w="0" w:type="dxa"/>
          </w:tblCellMar>
        </w:tblPrEx>
        <w:trPr>
          <w:trHeight w:val="348" w:hRule="atLeast"/>
        </w:trPr>
        <w:tc>
          <w:tcPr>
            <w:tcW w:w="3350" w:type="dxa"/>
            <w:vMerge w:val="continue"/>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C75013">
            <w:pPr>
              <w:jc w:val="center"/>
              <w:rPr>
                <w:rFonts w:hint="eastAsia" w:ascii="宋体" w:hAnsi="宋体" w:eastAsia="宋体" w:cs="宋体"/>
                <w:i w:val="0"/>
                <w:color w:val="000000"/>
                <w:sz w:val="24"/>
                <w:szCs w:val="24"/>
                <w:u w:val="none"/>
              </w:rPr>
            </w:pPr>
          </w:p>
        </w:tc>
        <w:tc>
          <w:tcPr>
            <w:tcW w:w="456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3F04DA0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门诊挂号信息更新服务</w:t>
            </w:r>
          </w:p>
        </w:tc>
      </w:tr>
      <w:tr w14:paraId="27FC447D">
        <w:tblPrEx>
          <w:shd w:val="clear" w:color="auto" w:fill="auto"/>
          <w:tblCellMar>
            <w:top w:w="0" w:type="dxa"/>
            <w:left w:w="0" w:type="dxa"/>
            <w:bottom w:w="0" w:type="dxa"/>
            <w:right w:w="0" w:type="dxa"/>
          </w:tblCellMar>
        </w:tblPrEx>
        <w:trPr>
          <w:trHeight w:val="348" w:hRule="atLeast"/>
        </w:trPr>
        <w:tc>
          <w:tcPr>
            <w:tcW w:w="3350" w:type="dxa"/>
            <w:vMerge w:val="continue"/>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6735980">
            <w:pPr>
              <w:jc w:val="center"/>
              <w:rPr>
                <w:rFonts w:hint="eastAsia" w:ascii="宋体" w:hAnsi="宋体" w:eastAsia="宋体" w:cs="宋体"/>
                <w:i w:val="0"/>
                <w:color w:val="000000"/>
                <w:sz w:val="24"/>
                <w:szCs w:val="24"/>
                <w:u w:val="none"/>
              </w:rPr>
            </w:pPr>
          </w:p>
        </w:tc>
        <w:tc>
          <w:tcPr>
            <w:tcW w:w="456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17ECA48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门诊挂号信息查询服务</w:t>
            </w:r>
          </w:p>
        </w:tc>
      </w:tr>
      <w:tr w14:paraId="41BCEB49">
        <w:tblPrEx>
          <w:shd w:val="clear" w:color="auto" w:fill="auto"/>
          <w:tblCellMar>
            <w:top w:w="0" w:type="dxa"/>
            <w:left w:w="0" w:type="dxa"/>
            <w:bottom w:w="0" w:type="dxa"/>
            <w:right w:w="0" w:type="dxa"/>
          </w:tblCellMar>
        </w:tblPrEx>
        <w:trPr>
          <w:trHeight w:val="348" w:hRule="atLeast"/>
        </w:trPr>
        <w:tc>
          <w:tcPr>
            <w:tcW w:w="3350" w:type="dxa"/>
            <w:vMerge w:val="continue"/>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78E2DEB">
            <w:pPr>
              <w:jc w:val="center"/>
              <w:rPr>
                <w:rFonts w:hint="eastAsia" w:ascii="宋体" w:hAnsi="宋体" w:eastAsia="宋体" w:cs="宋体"/>
                <w:i w:val="0"/>
                <w:color w:val="000000"/>
                <w:sz w:val="24"/>
                <w:szCs w:val="24"/>
                <w:u w:val="none"/>
              </w:rPr>
            </w:pPr>
          </w:p>
        </w:tc>
        <w:tc>
          <w:tcPr>
            <w:tcW w:w="456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68429BD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住院就诊信息新增服务</w:t>
            </w:r>
          </w:p>
        </w:tc>
      </w:tr>
      <w:tr w14:paraId="47559D2A">
        <w:tblPrEx>
          <w:shd w:val="clear" w:color="auto" w:fill="auto"/>
          <w:tblCellMar>
            <w:top w:w="0" w:type="dxa"/>
            <w:left w:w="0" w:type="dxa"/>
            <w:bottom w:w="0" w:type="dxa"/>
            <w:right w:w="0" w:type="dxa"/>
          </w:tblCellMar>
        </w:tblPrEx>
        <w:trPr>
          <w:trHeight w:val="348" w:hRule="atLeast"/>
        </w:trPr>
        <w:tc>
          <w:tcPr>
            <w:tcW w:w="3350" w:type="dxa"/>
            <w:vMerge w:val="continue"/>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DDE83D">
            <w:pPr>
              <w:jc w:val="center"/>
              <w:rPr>
                <w:rFonts w:hint="eastAsia" w:ascii="宋体" w:hAnsi="宋体" w:eastAsia="宋体" w:cs="宋体"/>
                <w:i w:val="0"/>
                <w:color w:val="000000"/>
                <w:sz w:val="24"/>
                <w:szCs w:val="24"/>
                <w:u w:val="none"/>
              </w:rPr>
            </w:pPr>
          </w:p>
        </w:tc>
        <w:tc>
          <w:tcPr>
            <w:tcW w:w="456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178834A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住院就诊信息更新服务</w:t>
            </w:r>
          </w:p>
        </w:tc>
      </w:tr>
      <w:tr w14:paraId="50C5D9A1">
        <w:tblPrEx>
          <w:shd w:val="clear" w:color="auto" w:fill="auto"/>
          <w:tblCellMar>
            <w:top w:w="0" w:type="dxa"/>
            <w:left w:w="0" w:type="dxa"/>
            <w:bottom w:w="0" w:type="dxa"/>
            <w:right w:w="0" w:type="dxa"/>
          </w:tblCellMar>
        </w:tblPrEx>
        <w:trPr>
          <w:trHeight w:val="348" w:hRule="atLeast"/>
        </w:trPr>
        <w:tc>
          <w:tcPr>
            <w:tcW w:w="3350" w:type="dxa"/>
            <w:vMerge w:val="continue"/>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3B50C5">
            <w:pPr>
              <w:jc w:val="center"/>
              <w:rPr>
                <w:rFonts w:hint="eastAsia" w:ascii="宋体" w:hAnsi="宋体" w:eastAsia="宋体" w:cs="宋体"/>
                <w:i w:val="0"/>
                <w:color w:val="000000"/>
                <w:sz w:val="24"/>
                <w:szCs w:val="24"/>
                <w:u w:val="none"/>
              </w:rPr>
            </w:pPr>
          </w:p>
        </w:tc>
        <w:tc>
          <w:tcPr>
            <w:tcW w:w="456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61062EE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住院就诊信息查询服务</w:t>
            </w:r>
          </w:p>
        </w:tc>
      </w:tr>
      <w:tr w14:paraId="1DB88EED">
        <w:tblPrEx>
          <w:shd w:val="clear" w:color="auto" w:fill="auto"/>
          <w:tblCellMar>
            <w:top w:w="0" w:type="dxa"/>
            <w:left w:w="0" w:type="dxa"/>
            <w:bottom w:w="0" w:type="dxa"/>
            <w:right w:w="0" w:type="dxa"/>
          </w:tblCellMar>
        </w:tblPrEx>
        <w:trPr>
          <w:trHeight w:val="348" w:hRule="atLeast"/>
        </w:trPr>
        <w:tc>
          <w:tcPr>
            <w:tcW w:w="3350" w:type="dxa"/>
            <w:vMerge w:val="continue"/>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89BBE51">
            <w:pPr>
              <w:jc w:val="center"/>
              <w:rPr>
                <w:rFonts w:hint="eastAsia" w:ascii="宋体" w:hAnsi="宋体" w:eastAsia="宋体" w:cs="宋体"/>
                <w:i w:val="0"/>
                <w:color w:val="000000"/>
                <w:sz w:val="24"/>
                <w:szCs w:val="24"/>
                <w:u w:val="none"/>
              </w:rPr>
            </w:pPr>
          </w:p>
        </w:tc>
        <w:tc>
          <w:tcPr>
            <w:tcW w:w="456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5067FFB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住院转科信息新增服务</w:t>
            </w:r>
          </w:p>
        </w:tc>
      </w:tr>
      <w:tr w14:paraId="4E8568F2">
        <w:tblPrEx>
          <w:shd w:val="clear" w:color="auto" w:fill="auto"/>
          <w:tblCellMar>
            <w:top w:w="0" w:type="dxa"/>
            <w:left w:w="0" w:type="dxa"/>
            <w:bottom w:w="0" w:type="dxa"/>
            <w:right w:w="0" w:type="dxa"/>
          </w:tblCellMar>
        </w:tblPrEx>
        <w:trPr>
          <w:trHeight w:val="348" w:hRule="atLeast"/>
        </w:trPr>
        <w:tc>
          <w:tcPr>
            <w:tcW w:w="3350" w:type="dxa"/>
            <w:vMerge w:val="continue"/>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192586">
            <w:pPr>
              <w:jc w:val="center"/>
              <w:rPr>
                <w:rFonts w:hint="eastAsia" w:ascii="宋体" w:hAnsi="宋体" w:eastAsia="宋体" w:cs="宋体"/>
                <w:i w:val="0"/>
                <w:color w:val="000000"/>
                <w:sz w:val="24"/>
                <w:szCs w:val="24"/>
                <w:u w:val="none"/>
              </w:rPr>
            </w:pPr>
          </w:p>
        </w:tc>
        <w:tc>
          <w:tcPr>
            <w:tcW w:w="456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4519E60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住院转科信息更新服务</w:t>
            </w:r>
          </w:p>
        </w:tc>
      </w:tr>
      <w:tr w14:paraId="42A6B010">
        <w:tblPrEx>
          <w:shd w:val="clear" w:color="auto" w:fill="auto"/>
          <w:tblCellMar>
            <w:top w:w="0" w:type="dxa"/>
            <w:left w:w="0" w:type="dxa"/>
            <w:bottom w:w="0" w:type="dxa"/>
            <w:right w:w="0" w:type="dxa"/>
          </w:tblCellMar>
        </w:tblPrEx>
        <w:trPr>
          <w:trHeight w:val="348" w:hRule="atLeast"/>
        </w:trPr>
        <w:tc>
          <w:tcPr>
            <w:tcW w:w="3350" w:type="dxa"/>
            <w:vMerge w:val="continue"/>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39AE93">
            <w:pPr>
              <w:jc w:val="center"/>
              <w:rPr>
                <w:rFonts w:hint="eastAsia" w:ascii="宋体" w:hAnsi="宋体" w:eastAsia="宋体" w:cs="宋体"/>
                <w:i w:val="0"/>
                <w:color w:val="000000"/>
                <w:sz w:val="24"/>
                <w:szCs w:val="24"/>
                <w:u w:val="none"/>
              </w:rPr>
            </w:pPr>
          </w:p>
        </w:tc>
        <w:tc>
          <w:tcPr>
            <w:tcW w:w="456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4ADBDE7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住院转科信息查询服务</w:t>
            </w:r>
          </w:p>
        </w:tc>
      </w:tr>
      <w:tr w14:paraId="2E0CC65A">
        <w:tblPrEx>
          <w:shd w:val="clear" w:color="auto" w:fill="auto"/>
          <w:tblCellMar>
            <w:top w:w="0" w:type="dxa"/>
            <w:left w:w="0" w:type="dxa"/>
            <w:bottom w:w="0" w:type="dxa"/>
            <w:right w:w="0" w:type="dxa"/>
          </w:tblCellMar>
        </w:tblPrEx>
        <w:trPr>
          <w:trHeight w:val="348" w:hRule="atLeast"/>
        </w:trPr>
        <w:tc>
          <w:tcPr>
            <w:tcW w:w="3350" w:type="dxa"/>
            <w:vMerge w:val="continue"/>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7636AD">
            <w:pPr>
              <w:jc w:val="center"/>
              <w:rPr>
                <w:rFonts w:hint="eastAsia" w:ascii="宋体" w:hAnsi="宋体" w:eastAsia="宋体" w:cs="宋体"/>
                <w:i w:val="0"/>
                <w:color w:val="000000"/>
                <w:sz w:val="24"/>
                <w:szCs w:val="24"/>
                <w:u w:val="none"/>
              </w:rPr>
            </w:pPr>
          </w:p>
        </w:tc>
        <w:tc>
          <w:tcPr>
            <w:tcW w:w="456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715694E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出院登记信息新增服务</w:t>
            </w:r>
          </w:p>
        </w:tc>
      </w:tr>
      <w:tr w14:paraId="304F4BCD">
        <w:tblPrEx>
          <w:shd w:val="clear" w:color="auto" w:fill="auto"/>
          <w:tblCellMar>
            <w:top w:w="0" w:type="dxa"/>
            <w:left w:w="0" w:type="dxa"/>
            <w:bottom w:w="0" w:type="dxa"/>
            <w:right w:w="0" w:type="dxa"/>
          </w:tblCellMar>
        </w:tblPrEx>
        <w:trPr>
          <w:trHeight w:val="348" w:hRule="atLeast"/>
        </w:trPr>
        <w:tc>
          <w:tcPr>
            <w:tcW w:w="3350" w:type="dxa"/>
            <w:vMerge w:val="continue"/>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342EDBF">
            <w:pPr>
              <w:jc w:val="center"/>
              <w:rPr>
                <w:rFonts w:hint="eastAsia" w:ascii="宋体" w:hAnsi="宋体" w:eastAsia="宋体" w:cs="宋体"/>
                <w:i w:val="0"/>
                <w:color w:val="000000"/>
                <w:sz w:val="24"/>
                <w:szCs w:val="24"/>
                <w:u w:val="none"/>
              </w:rPr>
            </w:pPr>
          </w:p>
        </w:tc>
        <w:tc>
          <w:tcPr>
            <w:tcW w:w="456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615A8F9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出院登记信息更新服务</w:t>
            </w:r>
          </w:p>
        </w:tc>
      </w:tr>
      <w:tr w14:paraId="4E9036C2">
        <w:tblPrEx>
          <w:shd w:val="clear" w:color="auto" w:fill="auto"/>
          <w:tblCellMar>
            <w:top w:w="0" w:type="dxa"/>
            <w:left w:w="0" w:type="dxa"/>
            <w:bottom w:w="0" w:type="dxa"/>
            <w:right w:w="0" w:type="dxa"/>
          </w:tblCellMar>
        </w:tblPrEx>
        <w:trPr>
          <w:trHeight w:val="348" w:hRule="atLeast"/>
        </w:trPr>
        <w:tc>
          <w:tcPr>
            <w:tcW w:w="3350" w:type="dxa"/>
            <w:vMerge w:val="continue"/>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C66B231">
            <w:pPr>
              <w:jc w:val="center"/>
              <w:rPr>
                <w:rFonts w:hint="eastAsia" w:ascii="宋体" w:hAnsi="宋体" w:eastAsia="宋体" w:cs="宋体"/>
                <w:i w:val="0"/>
                <w:color w:val="000000"/>
                <w:sz w:val="24"/>
                <w:szCs w:val="24"/>
                <w:u w:val="none"/>
              </w:rPr>
            </w:pPr>
          </w:p>
        </w:tc>
        <w:tc>
          <w:tcPr>
            <w:tcW w:w="456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78757CC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出院登记信息查询服务</w:t>
            </w:r>
          </w:p>
        </w:tc>
      </w:tr>
      <w:tr w14:paraId="0B78921E">
        <w:tblPrEx>
          <w:shd w:val="clear" w:color="auto" w:fill="auto"/>
          <w:tblCellMar>
            <w:top w:w="0" w:type="dxa"/>
            <w:left w:w="0" w:type="dxa"/>
            <w:bottom w:w="0" w:type="dxa"/>
            <w:right w:w="0" w:type="dxa"/>
          </w:tblCellMar>
        </w:tblPrEx>
        <w:trPr>
          <w:trHeight w:val="345" w:hRule="atLeast"/>
        </w:trPr>
        <w:tc>
          <w:tcPr>
            <w:tcW w:w="335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90F2C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Style w:val="55"/>
                <w:rFonts w:hint="eastAsia" w:ascii="宋体" w:hAnsi="宋体" w:eastAsia="宋体" w:cs="宋体"/>
                <w:sz w:val="24"/>
                <w:szCs w:val="24"/>
                <w:lang w:val="en-US" w:eastAsia="zh-CN" w:bidi="ar"/>
              </w:rPr>
              <w:t xml:space="preserve">医嘱信息交互服务 </w:t>
            </w:r>
          </w:p>
        </w:tc>
        <w:tc>
          <w:tcPr>
            <w:tcW w:w="45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BC40D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医嘱信息新增服务</w:t>
            </w:r>
          </w:p>
        </w:tc>
      </w:tr>
      <w:tr w14:paraId="4F2FA4C7">
        <w:tblPrEx>
          <w:shd w:val="clear" w:color="auto" w:fill="auto"/>
          <w:tblCellMar>
            <w:top w:w="0" w:type="dxa"/>
            <w:left w:w="0" w:type="dxa"/>
            <w:bottom w:w="0" w:type="dxa"/>
            <w:right w:w="0" w:type="dxa"/>
          </w:tblCellMar>
        </w:tblPrEx>
        <w:trPr>
          <w:trHeight w:val="348" w:hRule="atLeast"/>
        </w:trPr>
        <w:tc>
          <w:tcPr>
            <w:tcW w:w="335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0139EFC">
            <w:pPr>
              <w:jc w:val="center"/>
              <w:rPr>
                <w:rFonts w:hint="eastAsia" w:ascii="宋体" w:hAnsi="宋体" w:eastAsia="宋体" w:cs="宋体"/>
                <w:i w:val="0"/>
                <w:color w:val="000000"/>
                <w:sz w:val="24"/>
                <w:szCs w:val="24"/>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A6821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医嘱信息更新服务</w:t>
            </w:r>
          </w:p>
        </w:tc>
      </w:tr>
      <w:tr w14:paraId="34C8F4F8">
        <w:tblPrEx>
          <w:shd w:val="clear" w:color="auto" w:fill="auto"/>
          <w:tblCellMar>
            <w:top w:w="0" w:type="dxa"/>
            <w:left w:w="0" w:type="dxa"/>
            <w:bottom w:w="0" w:type="dxa"/>
            <w:right w:w="0" w:type="dxa"/>
          </w:tblCellMar>
        </w:tblPrEx>
        <w:trPr>
          <w:trHeight w:val="348" w:hRule="atLeast"/>
        </w:trPr>
        <w:tc>
          <w:tcPr>
            <w:tcW w:w="335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ADB99C">
            <w:pPr>
              <w:jc w:val="center"/>
              <w:rPr>
                <w:rFonts w:hint="eastAsia" w:ascii="宋体" w:hAnsi="宋体" w:eastAsia="宋体" w:cs="宋体"/>
                <w:i w:val="0"/>
                <w:color w:val="000000"/>
                <w:sz w:val="24"/>
                <w:szCs w:val="24"/>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11B85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医嘱信息查询服务</w:t>
            </w:r>
          </w:p>
        </w:tc>
      </w:tr>
      <w:tr w14:paraId="128757F9">
        <w:tblPrEx>
          <w:shd w:val="clear" w:color="auto" w:fill="auto"/>
          <w:tblCellMar>
            <w:top w:w="0" w:type="dxa"/>
            <w:left w:w="0" w:type="dxa"/>
            <w:bottom w:w="0" w:type="dxa"/>
            <w:right w:w="0" w:type="dxa"/>
          </w:tblCellMar>
        </w:tblPrEx>
        <w:trPr>
          <w:trHeight w:val="348" w:hRule="atLeast"/>
        </w:trPr>
        <w:tc>
          <w:tcPr>
            <w:tcW w:w="335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C3FCAB">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申请单信息交互服务</w:t>
            </w:r>
          </w:p>
        </w:tc>
        <w:tc>
          <w:tcPr>
            <w:tcW w:w="45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DE5A6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检验申请信息新增服务</w:t>
            </w:r>
          </w:p>
        </w:tc>
      </w:tr>
      <w:tr w14:paraId="33AEF3BB">
        <w:tblPrEx>
          <w:shd w:val="clear" w:color="auto" w:fill="auto"/>
          <w:tblCellMar>
            <w:top w:w="0" w:type="dxa"/>
            <w:left w:w="0" w:type="dxa"/>
            <w:bottom w:w="0" w:type="dxa"/>
            <w:right w:w="0" w:type="dxa"/>
          </w:tblCellMar>
        </w:tblPrEx>
        <w:trPr>
          <w:trHeight w:val="348" w:hRule="atLeast"/>
        </w:trPr>
        <w:tc>
          <w:tcPr>
            <w:tcW w:w="335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1EC26F">
            <w:pPr>
              <w:jc w:val="center"/>
              <w:rPr>
                <w:rFonts w:hint="eastAsia" w:ascii="宋体" w:hAnsi="宋体" w:eastAsia="宋体" w:cs="宋体"/>
                <w:i w:val="0"/>
                <w:color w:val="000000"/>
                <w:sz w:val="24"/>
                <w:szCs w:val="24"/>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826BC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检验申请信息更新服务</w:t>
            </w:r>
          </w:p>
        </w:tc>
      </w:tr>
      <w:tr w14:paraId="57D300AC">
        <w:tblPrEx>
          <w:shd w:val="clear" w:color="auto" w:fill="auto"/>
          <w:tblCellMar>
            <w:top w:w="0" w:type="dxa"/>
            <w:left w:w="0" w:type="dxa"/>
            <w:bottom w:w="0" w:type="dxa"/>
            <w:right w:w="0" w:type="dxa"/>
          </w:tblCellMar>
        </w:tblPrEx>
        <w:trPr>
          <w:trHeight w:val="348" w:hRule="atLeast"/>
        </w:trPr>
        <w:tc>
          <w:tcPr>
            <w:tcW w:w="335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51E94C5">
            <w:pPr>
              <w:jc w:val="center"/>
              <w:rPr>
                <w:rFonts w:hint="eastAsia" w:ascii="宋体" w:hAnsi="宋体" w:eastAsia="宋体" w:cs="宋体"/>
                <w:i w:val="0"/>
                <w:color w:val="000000"/>
                <w:sz w:val="24"/>
                <w:szCs w:val="24"/>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8CB87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检验申请信息查询服务</w:t>
            </w:r>
          </w:p>
        </w:tc>
      </w:tr>
      <w:tr w14:paraId="5BF9C56C">
        <w:tblPrEx>
          <w:shd w:val="clear" w:color="auto" w:fill="auto"/>
          <w:tblCellMar>
            <w:top w:w="0" w:type="dxa"/>
            <w:left w:w="0" w:type="dxa"/>
            <w:bottom w:w="0" w:type="dxa"/>
            <w:right w:w="0" w:type="dxa"/>
          </w:tblCellMar>
        </w:tblPrEx>
        <w:trPr>
          <w:trHeight w:val="348" w:hRule="atLeast"/>
        </w:trPr>
        <w:tc>
          <w:tcPr>
            <w:tcW w:w="335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F4FD974">
            <w:pPr>
              <w:jc w:val="center"/>
              <w:rPr>
                <w:rFonts w:hint="eastAsia" w:ascii="宋体" w:hAnsi="宋体" w:eastAsia="宋体" w:cs="宋体"/>
                <w:i w:val="0"/>
                <w:color w:val="000000"/>
                <w:sz w:val="24"/>
                <w:szCs w:val="24"/>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50382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检查申请信息新增服务</w:t>
            </w:r>
          </w:p>
        </w:tc>
      </w:tr>
      <w:tr w14:paraId="6F4D281B">
        <w:tblPrEx>
          <w:shd w:val="clear" w:color="auto" w:fill="auto"/>
          <w:tblCellMar>
            <w:top w:w="0" w:type="dxa"/>
            <w:left w:w="0" w:type="dxa"/>
            <w:bottom w:w="0" w:type="dxa"/>
            <w:right w:w="0" w:type="dxa"/>
          </w:tblCellMar>
        </w:tblPrEx>
        <w:trPr>
          <w:trHeight w:val="348" w:hRule="atLeast"/>
        </w:trPr>
        <w:tc>
          <w:tcPr>
            <w:tcW w:w="335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CBDC453">
            <w:pPr>
              <w:jc w:val="center"/>
              <w:rPr>
                <w:rFonts w:hint="eastAsia" w:ascii="宋体" w:hAnsi="宋体" w:eastAsia="宋体" w:cs="宋体"/>
                <w:i w:val="0"/>
                <w:color w:val="000000"/>
                <w:sz w:val="24"/>
                <w:szCs w:val="24"/>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5A7EB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检查申请信息更新服务</w:t>
            </w:r>
          </w:p>
        </w:tc>
      </w:tr>
      <w:tr w14:paraId="7D551B61">
        <w:tblPrEx>
          <w:shd w:val="clear" w:color="auto" w:fill="auto"/>
          <w:tblCellMar>
            <w:top w:w="0" w:type="dxa"/>
            <w:left w:w="0" w:type="dxa"/>
            <w:bottom w:w="0" w:type="dxa"/>
            <w:right w:w="0" w:type="dxa"/>
          </w:tblCellMar>
        </w:tblPrEx>
        <w:trPr>
          <w:trHeight w:val="348" w:hRule="atLeast"/>
        </w:trPr>
        <w:tc>
          <w:tcPr>
            <w:tcW w:w="335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EE3562A">
            <w:pPr>
              <w:jc w:val="center"/>
              <w:rPr>
                <w:rFonts w:hint="eastAsia" w:ascii="宋体" w:hAnsi="宋体" w:eastAsia="宋体" w:cs="宋体"/>
                <w:i w:val="0"/>
                <w:color w:val="000000"/>
                <w:sz w:val="24"/>
                <w:szCs w:val="24"/>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19C6F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检查申请信息查询服务</w:t>
            </w:r>
          </w:p>
        </w:tc>
      </w:tr>
      <w:tr w14:paraId="5DD2463A">
        <w:tblPrEx>
          <w:shd w:val="clear" w:color="auto" w:fill="auto"/>
          <w:tblCellMar>
            <w:top w:w="0" w:type="dxa"/>
            <w:left w:w="0" w:type="dxa"/>
            <w:bottom w:w="0" w:type="dxa"/>
            <w:right w:w="0" w:type="dxa"/>
          </w:tblCellMar>
        </w:tblPrEx>
        <w:trPr>
          <w:trHeight w:val="348" w:hRule="atLeast"/>
        </w:trPr>
        <w:tc>
          <w:tcPr>
            <w:tcW w:w="335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09B079">
            <w:pPr>
              <w:jc w:val="center"/>
              <w:rPr>
                <w:rFonts w:hint="eastAsia" w:ascii="宋体" w:hAnsi="宋体" w:eastAsia="宋体" w:cs="宋体"/>
                <w:i w:val="0"/>
                <w:color w:val="000000"/>
                <w:sz w:val="24"/>
                <w:szCs w:val="24"/>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70BCA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病理申请信息新增服务</w:t>
            </w:r>
          </w:p>
        </w:tc>
      </w:tr>
      <w:tr w14:paraId="67A94D7D">
        <w:tblPrEx>
          <w:shd w:val="clear" w:color="auto" w:fill="auto"/>
          <w:tblCellMar>
            <w:top w:w="0" w:type="dxa"/>
            <w:left w:w="0" w:type="dxa"/>
            <w:bottom w:w="0" w:type="dxa"/>
            <w:right w:w="0" w:type="dxa"/>
          </w:tblCellMar>
        </w:tblPrEx>
        <w:trPr>
          <w:trHeight w:val="348" w:hRule="atLeast"/>
        </w:trPr>
        <w:tc>
          <w:tcPr>
            <w:tcW w:w="335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9C3E73">
            <w:pPr>
              <w:jc w:val="center"/>
              <w:rPr>
                <w:rFonts w:hint="eastAsia" w:ascii="宋体" w:hAnsi="宋体" w:eastAsia="宋体" w:cs="宋体"/>
                <w:i w:val="0"/>
                <w:color w:val="000000"/>
                <w:sz w:val="24"/>
                <w:szCs w:val="24"/>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4796FD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病理申请信息更新服务</w:t>
            </w:r>
          </w:p>
        </w:tc>
      </w:tr>
      <w:tr w14:paraId="5CDD9054">
        <w:tblPrEx>
          <w:shd w:val="clear" w:color="auto" w:fill="auto"/>
          <w:tblCellMar>
            <w:top w:w="0" w:type="dxa"/>
            <w:left w:w="0" w:type="dxa"/>
            <w:bottom w:w="0" w:type="dxa"/>
            <w:right w:w="0" w:type="dxa"/>
          </w:tblCellMar>
        </w:tblPrEx>
        <w:trPr>
          <w:trHeight w:val="348" w:hRule="atLeast"/>
        </w:trPr>
        <w:tc>
          <w:tcPr>
            <w:tcW w:w="335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0A1702">
            <w:pPr>
              <w:jc w:val="center"/>
              <w:rPr>
                <w:rFonts w:hint="eastAsia" w:ascii="宋体" w:hAnsi="宋体" w:eastAsia="宋体" w:cs="宋体"/>
                <w:i w:val="0"/>
                <w:color w:val="000000"/>
                <w:sz w:val="24"/>
                <w:szCs w:val="24"/>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0BA14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病理申请信息查询服务</w:t>
            </w:r>
          </w:p>
        </w:tc>
      </w:tr>
      <w:tr w14:paraId="2C71F4CB">
        <w:tblPrEx>
          <w:shd w:val="clear" w:color="auto" w:fill="auto"/>
          <w:tblCellMar>
            <w:top w:w="0" w:type="dxa"/>
            <w:left w:w="0" w:type="dxa"/>
            <w:bottom w:w="0" w:type="dxa"/>
            <w:right w:w="0" w:type="dxa"/>
          </w:tblCellMar>
        </w:tblPrEx>
        <w:trPr>
          <w:trHeight w:val="90" w:hRule="atLeast"/>
        </w:trPr>
        <w:tc>
          <w:tcPr>
            <w:tcW w:w="335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8B6A66">
            <w:pPr>
              <w:jc w:val="center"/>
              <w:rPr>
                <w:rFonts w:hint="eastAsia" w:ascii="宋体" w:hAnsi="宋体" w:eastAsia="宋体" w:cs="宋体"/>
                <w:i w:val="0"/>
                <w:color w:val="000000"/>
                <w:sz w:val="24"/>
                <w:szCs w:val="24"/>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4C5A65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输血申请信息新增服务</w:t>
            </w:r>
          </w:p>
        </w:tc>
      </w:tr>
      <w:tr w14:paraId="49BC8D78">
        <w:tblPrEx>
          <w:shd w:val="clear" w:color="auto" w:fill="auto"/>
          <w:tblCellMar>
            <w:top w:w="0" w:type="dxa"/>
            <w:left w:w="0" w:type="dxa"/>
            <w:bottom w:w="0" w:type="dxa"/>
            <w:right w:w="0" w:type="dxa"/>
          </w:tblCellMar>
        </w:tblPrEx>
        <w:trPr>
          <w:trHeight w:val="348" w:hRule="atLeast"/>
        </w:trPr>
        <w:tc>
          <w:tcPr>
            <w:tcW w:w="335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F6C45A">
            <w:pPr>
              <w:jc w:val="center"/>
              <w:rPr>
                <w:rFonts w:hint="eastAsia" w:ascii="宋体" w:hAnsi="宋体" w:eastAsia="宋体" w:cs="宋体"/>
                <w:i w:val="0"/>
                <w:color w:val="000000"/>
                <w:sz w:val="24"/>
                <w:szCs w:val="24"/>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5C4D68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输血申请信息更新服务</w:t>
            </w:r>
          </w:p>
        </w:tc>
      </w:tr>
      <w:tr w14:paraId="4139D7F6">
        <w:tblPrEx>
          <w:shd w:val="clear" w:color="auto" w:fill="auto"/>
          <w:tblCellMar>
            <w:top w:w="0" w:type="dxa"/>
            <w:left w:w="0" w:type="dxa"/>
            <w:bottom w:w="0" w:type="dxa"/>
            <w:right w:w="0" w:type="dxa"/>
          </w:tblCellMar>
        </w:tblPrEx>
        <w:trPr>
          <w:trHeight w:val="348" w:hRule="atLeast"/>
        </w:trPr>
        <w:tc>
          <w:tcPr>
            <w:tcW w:w="335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E3AD35D">
            <w:pPr>
              <w:jc w:val="center"/>
              <w:rPr>
                <w:rFonts w:hint="eastAsia" w:ascii="宋体" w:hAnsi="宋体" w:eastAsia="宋体" w:cs="宋体"/>
                <w:i w:val="0"/>
                <w:color w:val="000000"/>
                <w:sz w:val="24"/>
                <w:szCs w:val="24"/>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A0DC6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输血申请信息查询服务</w:t>
            </w:r>
          </w:p>
        </w:tc>
      </w:tr>
      <w:tr w14:paraId="14E78888">
        <w:tblPrEx>
          <w:shd w:val="clear" w:color="auto" w:fill="auto"/>
          <w:tblCellMar>
            <w:top w:w="0" w:type="dxa"/>
            <w:left w:w="0" w:type="dxa"/>
            <w:bottom w:w="0" w:type="dxa"/>
            <w:right w:w="0" w:type="dxa"/>
          </w:tblCellMar>
        </w:tblPrEx>
        <w:trPr>
          <w:trHeight w:val="348" w:hRule="atLeast"/>
        </w:trPr>
        <w:tc>
          <w:tcPr>
            <w:tcW w:w="335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026F09">
            <w:pPr>
              <w:jc w:val="center"/>
              <w:rPr>
                <w:rFonts w:hint="eastAsia" w:ascii="宋体" w:hAnsi="宋体" w:eastAsia="宋体" w:cs="宋体"/>
                <w:i w:val="0"/>
                <w:color w:val="000000"/>
                <w:sz w:val="24"/>
                <w:szCs w:val="24"/>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A927B4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手术申请信息新增服务</w:t>
            </w:r>
          </w:p>
        </w:tc>
      </w:tr>
      <w:tr w14:paraId="2AF01D15">
        <w:tblPrEx>
          <w:shd w:val="clear" w:color="auto" w:fill="auto"/>
          <w:tblCellMar>
            <w:top w:w="0" w:type="dxa"/>
            <w:left w:w="0" w:type="dxa"/>
            <w:bottom w:w="0" w:type="dxa"/>
            <w:right w:w="0" w:type="dxa"/>
          </w:tblCellMar>
        </w:tblPrEx>
        <w:trPr>
          <w:trHeight w:val="348" w:hRule="atLeast"/>
        </w:trPr>
        <w:tc>
          <w:tcPr>
            <w:tcW w:w="335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45542A">
            <w:pPr>
              <w:jc w:val="center"/>
              <w:rPr>
                <w:rFonts w:hint="eastAsia" w:ascii="宋体" w:hAnsi="宋体" w:eastAsia="宋体" w:cs="宋体"/>
                <w:i w:val="0"/>
                <w:color w:val="000000"/>
                <w:sz w:val="24"/>
                <w:szCs w:val="24"/>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E48052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手术申请信息更新服务</w:t>
            </w:r>
          </w:p>
        </w:tc>
      </w:tr>
      <w:tr w14:paraId="40A0B0ED">
        <w:tblPrEx>
          <w:shd w:val="clear" w:color="auto" w:fill="auto"/>
          <w:tblCellMar>
            <w:top w:w="0" w:type="dxa"/>
            <w:left w:w="0" w:type="dxa"/>
            <w:bottom w:w="0" w:type="dxa"/>
            <w:right w:w="0" w:type="dxa"/>
          </w:tblCellMar>
        </w:tblPrEx>
        <w:trPr>
          <w:trHeight w:val="348" w:hRule="atLeast"/>
        </w:trPr>
        <w:tc>
          <w:tcPr>
            <w:tcW w:w="335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99C061">
            <w:pPr>
              <w:jc w:val="center"/>
              <w:rPr>
                <w:rFonts w:hint="eastAsia" w:ascii="宋体" w:hAnsi="宋体" w:eastAsia="宋体" w:cs="宋体"/>
                <w:i w:val="0"/>
                <w:color w:val="000000"/>
                <w:sz w:val="24"/>
                <w:szCs w:val="24"/>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960D9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手术申请信息查询服务</w:t>
            </w:r>
          </w:p>
        </w:tc>
      </w:tr>
      <w:tr w14:paraId="7CCBE6FE">
        <w:tblPrEx>
          <w:shd w:val="clear" w:color="auto" w:fill="auto"/>
          <w:tblCellMar>
            <w:top w:w="0" w:type="dxa"/>
            <w:left w:w="0" w:type="dxa"/>
            <w:bottom w:w="0" w:type="dxa"/>
            <w:right w:w="0" w:type="dxa"/>
          </w:tblCellMar>
        </w:tblPrEx>
        <w:trPr>
          <w:trHeight w:val="348" w:hRule="atLeast"/>
        </w:trPr>
        <w:tc>
          <w:tcPr>
            <w:tcW w:w="3350" w:type="dxa"/>
            <w:vMerge w:val="restart"/>
            <w:tcBorders>
              <w:top w:val="single" w:color="000000" w:sz="4" w:space="0"/>
              <w:left w:val="single" w:color="000000" w:sz="4" w:space="0"/>
              <w:right w:val="single" w:color="000000" w:sz="4" w:space="0"/>
            </w:tcBorders>
            <w:shd w:val="clear" w:color="auto" w:fill="auto"/>
            <w:noWrap/>
            <w:tcMar>
              <w:top w:w="12" w:type="dxa"/>
              <w:left w:w="12" w:type="dxa"/>
              <w:right w:w="12" w:type="dxa"/>
            </w:tcMar>
            <w:vAlign w:val="center"/>
          </w:tcPr>
          <w:p w14:paraId="228A8F51">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状态信息交互服务</w:t>
            </w:r>
          </w:p>
        </w:tc>
        <w:tc>
          <w:tcPr>
            <w:tcW w:w="45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FCC7E39">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医嘱执行状态信息更新服务</w:t>
            </w:r>
          </w:p>
        </w:tc>
      </w:tr>
      <w:tr w14:paraId="3D858F1C">
        <w:tblPrEx>
          <w:shd w:val="clear" w:color="auto" w:fill="auto"/>
          <w:tblCellMar>
            <w:top w:w="0" w:type="dxa"/>
            <w:left w:w="0" w:type="dxa"/>
            <w:bottom w:w="0" w:type="dxa"/>
            <w:right w:w="0" w:type="dxa"/>
          </w:tblCellMar>
        </w:tblPrEx>
        <w:trPr>
          <w:trHeight w:val="348" w:hRule="atLeast"/>
        </w:trPr>
        <w:tc>
          <w:tcPr>
            <w:tcW w:w="3350" w:type="dxa"/>
            <w:vMerge w:val="continue"/>
            <w:tcBorders>
              <w:left w:val="single" w:color="000000" w:sz="4" w:space="0"/>
              <w:right w:val="single" w:color="000000" w:sz="4" w:space="0"/>
            </w:tcBorders>
            <w:shd w:val="clear" w:color="auto" w:fill="auto"/>
            <w:noWrap/>
            <w:tcMar>
              <w:top w:w="12" w:type="dxa"/>
              <w:left w:w="12" w:type="dxa"/>
              <w:right w:w="12" w:type="dxa"/>
            </w:tcMar>
            <w:vAlign w:val="center"/>
          </w:tcPr>
          <w:p w14:paraId="7D5E30D6">
            <w:pPr>
              <w:jc w:val="center"/>
              <w:rPr>
                <w:rFonts w:hint="eastAsia" w:ascii="宋体" w:hAnsi="宋体" w:eastAsia="宋体" w:cs="宋体"/>
                <w:i w:val="0"/>
                <w:color w:val="000000"/>
                <w:sz w:val="24"/>
                <w:szCs w:val="24"/>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B01342">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医嘱执行状态信息查询服务</w:t>
            </w:r>
          </w:p>
        </w:tc>
      </w:tr>
      <w:tr w14:paraId="7C25F8C6">
        <w:tblPrEx>
          <w:shd w:val="clear" w:color="auto" w:fill="auto"/>
          <w:tblCellMar>
            <w:top w:w="0" w:type="dxa"/>
            <w:left w:w="0" w:type="dxa"/>
            <w:bottom w:w="0" w:type="dxa"/>
            <w:right w:w="0" w:type="dxa"/>
          </w:tblCellMar>
        </w:tblPrEx>
        <w:trPr>
          <w:trHeight w:val="348" w:hRule="atLeast"/>
        </w:trPr>
        <w:tc>
          <w:tcPr>
            <w:tcW w:w="3350" w:type="dxa"/>
            <w:vMerge w:val="continue"/>
            <w:tcBorders>
              <w:left w:val="single" w:color="000000" w:sz="4" w:space="0"/>
              <w:right w:val="single" w:color="000000" w:sz="4" w:space="0"/>
            </w:tcBorders>
            <w:shd w:val="clear" w:color="auto" w:fill="auto"/>
            <w:noWrap/>
            <w:tcMar>
              <w:top w:w="12" w:type="dxa"/>
              <w:left w:w="12" w:type="dxa"/>
              <w:right w:w="12" w:type="dxa"/>
            </w:tcMar>
            <w:vAlign w:val="center"/>
          </w:tcPr>
          <w:p w14:paraId="66148F7A">
            <w:pPr>
              <w:jc w:val="center"/>
              <w:rPr>
                <w:rFonts w:hint="eastAsia" w:ascii="宋体" w:hAnsi="宋体" w:eastAsia="宋体" w:cs="宋体"/>
                <w:i w:val="0"/>
                <w:color w:val="000000"/>
                <w:sz w:val="24"/>
                <w:szCs w:val="24"/>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C83443F">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检查状态信息更新服务</w:t>
            </w:r>
          </w:p>
        </w:tc>
      </w:tr>
      <w:tr w14:paraId="3EA4E4BF">
        <w:tblPrEx>
          <w:shd w:val="clear" w:color="auto" w:fill="auto"/>
          <w:tblCellMar>
            <w:top w:w="0" w:type="dxa"/>
            <w:left w:w="0" w:type="dxa"/>
            <w:bottom w:w="0" w:type="dxa"/>
            <w:right w:w="0" w:type="dxa"/>
          </w:tblCellMar>
        </w:tblPrEx>
        <w:trPr>
          <w:trHeight w:val="348" w:hRule="atLeast"/>
        </w:trPr>
        <w:tc>
          <w:tcPr>
            <w:tcW w:w="3350" w:type="dxa"/>
            <w:vMerge w:val="continue"/>
            <w:tcBorders>
              <w:left w:val="single" w:color="000000" w:sz="4" w:space="0"/>
              <w:right w:val="single" w:color="000000" w:sz="4" w:space="0"/>
            </w:tcBorders>
            <w:shd w:val="clear" w:color="auto" w:fill="auto"/>
            <w:noWrap/>
            <w:tcMar>
              <w:top w:w="12" w:type="dxa"/>
              <w:left w:w="12" w:type="dxa"/>
              <w:right w:w="12" w:type="dxa"/>
            </w:tcMar>
            <w:vAlign w:val="center"/>
          </w:tcPr>
          <w:p w14:paraId="465207FF">
            <w:pPr>
              <w:jc w:val="center"/>
              <w:rPr>
                <w:rFonts w:hint="eastAsia" w:ascii="宋体" w:hAnsi="宋体" w:eastAsia="宋体" w:cs="宋体"/>
                <w:i w:val="0"/>
                <w:color w:val="000000"/>
                <w:sz w:val="24"/>
                <w:szCs w:val="24"/>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4BC4DA">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检查状态信息查询服务</w:t>
            </w:r>
          </w:p>
        </w:tc>
      </w:tr>
      <w:tr w14:paraId="544D08E8">
        <w:tblPrEx>
          <w:shd w:val="clear" w:color="auto" w:fill="auto"/>
          <w:tblCellMar>
            <w:top w:w="0" w:type="dxa"/>
            <w:left w:w="0" w:type="dxa"/>
            <w:bottom w:w="0" w:type="dxa"/>
            <w:right w:w="0" w:type="dxa"/>
          </w:tblCellMar>
        </w:tblPrEx>
        <w:trPr>
          <w:trHeight w:val="348" w:hRule="atLeast"/>
        </w:trPr>
        <w:tc>
          <w:tcPr>
            <w:tcW w:w="3350" w:type="dxa"/>
            <w:vMerge w:val="continue"/>
            <w:tcBorders>
              <w:left w:val="single" w:color="000000" w:sz="4" w:space="0"/>
              <w:right w:val="single" w:color="000000" w:sz="4" w:space="0"/>
            </w:tcBorders>
            <w:shd w:val="clear" w:color="auto" w:fill="auto"/>
            <w:noWrap/>
            <w:tcMar>
              <w:top w:w="12" w:type="dxa"/>
              <w:left w:w="12" w:type="dxa"/>
              <w:right w:w="12" w:type="dxa"/>
            </w:tcMar>
            <w:vAlign w:val="center"/>
          </w:tcPr>
          <w:p w14:paraId="785E29C1">
            <w:pPr>
              <w:jc w:val="center"/>
              <w:rPr>
                <w:rFonts w:hint="eastAsia" w:ascii="宋体" w:hAnsi="宋体" w:eastAsia="宋体" w:cs="宋体"/>
                <w:i w:val="0"/>
                <w:color w:val="000000"/>
                <w:sz w:val="24"/>
                <w:szCs w:val="24"/>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7E7B9B">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检验状态信息更新服务</w:t>
            </w:r>
          </w:p>
        </w:tc>
      </w:tr>
      <w:tr w14:paraId="4FF5B248">
        <w:tblPrEx>
          <w:shd w:val="clear" w:color="auto" w:fill="auto"/>
          <w:tblCellMar>
            <w:top w:w="0" w:type="dxa"/>
            <w:left w:w="0" w:type="dxa"/>
            <w:bottom w:w="0" w:type="dxa"/>
            <w:right w:w="0" w:type="dxa"/>
          </w:tblCellMar>
        </w:tblPrEx>
        <w:trPr>
          <w:trHeight w:val="348" w:hRule="atLeast"/>
        </w:trPr>
        <w:tc>
          <w:tcPr>
            <w:tcW w:w="3350" w:type="dxa"/>
            <w:vMerge w:val="continue"/>
            <w:tcBorders>
              <w:left w:val="single" w:color="000000" w:sz="4" w:space="0"/>
              <w:right w:val="single" w:color="000000" w:sz="4" w:space="0"/>
            </w:tcBorders>
            <w:shd w:val="clear" w:color="auto" w:fill="auto"/>
            <w:noWrap/>
            <w:tcMar>
              <w:top w:w="12" w:type="dxa"/>
              <w:left w:w="12" w:type="dxa"/>
              <w:right w:w="12" w:type="dxa"/>
            </w:tcMar>
            <w:vAlign w:val="center"/>
          </w:tcPr>
          <w:p w14:paraId="5670F2C0">
            <w:pPr>
              <w:jc w:val="center"/>
              <w:rPr>
                <w:rFonts w:hint="eastAsia" w:ascii="宋体" w:hAnsi="宋体" w:eastAsia="宋体" w:cs="宋体"/>
                <w:i w:val="0"/>
                <w:color w:val="000000"/>
                <w:sz w:val="24"/>
                <w:szCs w:val="24"/>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DF78A7A">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检验状态信息查询服务</w:t>
            </w:r>
          </w:p>
        </w:tc>
      </w:tr>
      <w:tr w14:paraId="56F34BB5">
        <w:tblPrEx>
          <w:shd w:val="clear" w:color="auto" w:fill="auto"/>
          <w:tblCellMar>
            <w:top w:w="0" w:type="dxa"/>
            <w:left w:w="0" w:type="dxa"/>
            <w:bottom w:w="0" w:type="dxa"/>
            <w:right w:w="0" w:type="dxa"/>
          </w:tblCellMar>
        </w:tblPrEx>
        <w:trPr>
          <w:trHeight w:val="348" w:hRule="atLeast"/>
        </w:trPr>
        <w:tc>
          <w:tcPr>
            <w:tcW w:w="3350" w:type="dxa"/>
            <w:vMerge w:val="continue"/>
            <w:tcBorders>
              <w:left w:val="single" w:color="000000" w:sz="4" w:space="0"/>
              <w:right w:val="single" w:color="000000" w:sz="4" w:space="0"/>
            </w:tcBorders>
            <w:shd w:val="clear" w:color="auto" w:fill="auto"/>
            <w:noWrap/>
            <w:tcMar>
              <w:top w:w="12" w:type="dxa"/>
              <w:left w:w="12" w:type="dxa"/>
              <w:right w:w="12" w:type="dxa"/>
            </w:tcMar>
            <w:vAlign w:val="center"/>
          </w:tcPr>
          <w:p w14:paraId="30F762C3">
            <w:pPr>
              <w:jc w:val="center"/>
              <w:rPr>
                <w:rFonts w:hint="eastAsia" w:ascii="宋体" w:hAnsi="宋体" w:eastAsia="宋体" w:cs="宋体"/>
                <w:i w:val="0"/>
                <w:color w:val="000000"/>
                <w:sz w:val="24"/>
                <w:szCs w:val="24"/>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630765">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手术排班信息新增服务</w:t>
            </w:r>
          </w:p>
        </w:tc>
      </w:tr>
      <w:tr w14:paraId="2C7B9336">
        <w:tblPrEx>
          <w:shd w:val="clear" w:color="auto" w:fill="auto"/>
          <w:tblCellMar>
            <w:top w:w="0" w:type="dxa"/>
            <w:left w:w="0" w:type="dxa"/>
            <w:bottom w:w="0" w:type="dxa"/>
            <w:right w:w="0" w:type="dxa"/>
          </w:tblCellMar>
        </w:tblPrEx>
        <w:trPr>
          <w:trHeight w:val="348" w:hRule="atLeast"/>
        </w:trPr>
        <w:tc>
          <w:tcPr>
            <w:tcW w:w="3350" w:type="dxa"/>
            <w:vMerge w:val="continue"/>
            <w:tcBorders>
              <w:left w:val="single" w:color="000000" w:sz="4" w:space="0"/>
              <w:right w:val="single" w:color="000000" w:sz="4" w:space="0"/>
            </w:tcBorders>
            <w:shd w:val="clear" w:color="auto" w:fill="auto"/>
            <w:noWrap/>
            <w:tcMar>
              <w:top w:w="12" w:type="dxa"/>
              <w:left w:w="12" w:type="dxa"/>
              <w:right w:w="12" w:type="dxa"/>
            </w:tcMar>
            <w:vAlign w:val="center"/>
          </w:tcPr>
          <w:p w14:paraId="07247C54">
            <w:pPr>
              <w:jc w:val="center"/>
              <w:rPr>
                <w:rFonts w:hint="eastAsia" w:ascii="宋体" w:hAnsi="宋体" w:eastAsia="宋体" w:cs="宋体"/>
                <w:i w:val="0"/>
                <w:color w:val="000000"/>
                <w:sz w:val="24"/>
                <w:szCs w:val="24"/>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E543ED">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手术排班信息更新服务</w:t>
            </w:r>
          </w:p>
        </w:tc>
      </w:tr>
      <w:tr w14:paraId="48AD81E6">
        <w:tblPrEx>
          <w:shd w:val="clear" w:color="auto" w:fill="auto"/>
          <w:tblCellMar>
            <w:top w:w="0" w:type="dxa"/>
            <w:left w:w="0" w:type="dxa"/>
            <w:bottom w:w="0" w:type="dxa"/>
            <w:right w:w="0" w:type="dxa"/>
          </w:tblCellMar>
        </w:tblPrEx>
        <w:trPr>
          <w:trHeight w:val="348" w:hRule="atLeast"/>
        </w:trPr>
        <w:tc>
          <w:tcPr>
            <w:tcW w:w="3350" w:type="dxa"/>
            <w:vMerge w:val="continue"/>
            <w:tcBorders>
              <w:left w:val="single" w:color="000000" w:sz="4" w:space="0"/>
              <w:right w:val="single" w:color="000000" w:sz="4" w:space="0"/>
            </w:tcBorders>
            <w:shd w:val="clear" w:color="auto" w:fill="auto"/>
            <w:noWrap/>
            <w:tcMar>
              <w:top w:w="12" w:type="dxa"/>
              <w:left w:w="12" w:type="dxa"/>
              <w:right w:w="12" w:type="dxa"/>
            </w:tcMar>
            <w:vAlign w:val="center"/>
          </w:tcPr>
          <w:p w14:paraId="2B4AF1A6">
            <w:pPr>
              <w:jc w:val="center"/>
              <w:rPr>
                <w:rFonts w:hint="eastAsia" w:ascii="宋体" w:hAnsi="宋体" w:eastAsia="宋体" w:cs="宋体"/>
                <w:i w:val="0"/>
                <w:color w:val="000000"/>
                <w:sz w:val="24"/>
                <w:szCs w:val="24"/>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83277A">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手术排班信息查询服务</w:t>
            </w:r>
          </w:p>
        </w:tc>
      </w:tr>
      <w:tr w14:paraId="7AC1E88B">
        <w:tblPrEx>
          <w:shd w:val="clear" w:color="auto" w:fill="auto"/>
          <w:tblCellMar>
            <w:top w:w="0" w:type="dxa"/>
            <w:left w:w="0" w:type="dxa"/>
            <w:bottom w:w="0" w:type="dxa"/>
            <w:right w:w="0" w:type="dxa"/>
          </w:tblCellMar>
        </w:tblPrEx>
        <w:trPr>
          <w:trHeight w:val="348" w:hRule="atLeast"/>
        </w:trPr>
        <w:tc>
          <w:tcPr>
            <w:tcW w:w="3350" w:type="dxa"/>
            <w:vMerge w:val="continue"/>
            <w:tcBorders>
              <w:left w:val="single" w:color="000000" w:sz="4" w:space="0"/>
              <w:right w:val="single" w:color="000000" w:sz="4" w:space="0"/>
            </w:tcBorders>
            <w:shd w:val="clear" w:color="auto" w:fill="auto"/>
            <w:noWrap/>
            <w:tcMar>
              <w:top w:w="12" w:type="dxa"/>
              <w:left w:w="12" w:type="dxa"/>
              <w:right w:w="12" w:type="dxa"/>
            </w:tcMar>
            <w:vAlign w:val="center"/>
          </w:tcPr>
          <w:p w14:paraId="57168E23">
            <w:pPr>
              <w:jc w:val="center"/>
              <w:rPr>
                <w:rFonts w:hint="eastAsia" w:ascii="宋体" w:hAnsi="宋体" w:eastAsia="宋体" w:cs="宋体"/>
                <w:i w:val="0"/>
                <w:color w:val="000000"/>
                <w:sz w:val="24"/>
                <w:szCs w:val="24"/>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95DECB">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手术状态信息更新服务</w:t>
            </w:r>
          </w:p>
        </w:tc>
      </w:tr>
      <w:tr w14:paraId="5F5FCD65">
        <w:tblPrEx>
          <w:shd w:val="clear" w:color="auto" w:fill="auto"/>
          <w:tblCellMar>
            <w:top w:w="0" w:type="dxa"/>
            <w:left w:w="0" w:type="dxa"/>
            <w:bottom w:w="0" w:type="dxa"/>
            <w:right w:w="0" w:type="dxa"/>
          </w:tblCellMar>
        </w:tblPrEx>
        <w:trPr>
          <w:trHeight w:val="348" w:hRule="atLeast"/>
        </w:trPr>
        <w:tc>
          <w:tcPr>
            <w:tcW w:w="3350" w:type="dxa"/>
            <w:vMerge w:val="continue"/>
            <w:tcBorders>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4238090">
            <w:pPr>
              <w:jc w:val="center"/>
              <w:rPr>
                <w:rFonts w:hint="eastAsia" w:ascii="宋体" w:hAnsi="宋体" w:eastAsia="宋体" w:cs="宋体"/>
                <w:i w:val="0"/>
                <w:color w:val="000000"/>
                <w:sz w:val="24"/>
                <w:szCs w:val="24"/>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B50FC5">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手术状态信息查询服务</w:t>
            </w:r>
          </w:p>
        </w:tc>
      </w:tr>
      <w:tr w14:paraId="62B74F0B">
        <w:tblPrEx>
          <w:shd w:val="clear" w:color="auto" w:fill="auto"/>
          <w:tblCellMar>
            <w:top w:w="0" w:type="dxa"/>
            <w:left w:w="0" w:type="dxa"/>
            <w:bottom w:w="0" w:type="dxa"/>
            <w:right w:w="0" w:type="dxa"/>
          </w:tblCellMar>
        </w:tblPrEx>
        <w:trPr>
          <w:trHeight w:val="358" w:hRule="atLeast"/>
        </w:trPr>
        <w:tc>
          <w:tcPr>
            <w:tcW w:w="3350" w:type="dxa"/>
            <w:vMerge w:val="restart"/>
            <w:tcBorders>
              <w:left w:val="single" w:color="000000" w:sz="4" w:space="0"/>
              <w:right w:val="single" w:color="000000" w:sz="4" w:space="0"/>
            </w:tcBorders>
            <w:shd w:val="clear" w:color="auto" w:fill="auto"/>
            <w:noWrap/>
            <w:tcMar>
              <w:top w:w="12" w:type="dxa"/>
              <w:left w:w="12" w:type="dxa"/>
              <w:right w:w="12" w:type="dxa"/>
            </w:tcMar>
            <w:vAlign w:val="center"/>
          </w:tcPr>
          <w:p w14:paraId="58EE0D70">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术语注册、查询服务</w:t>
            </w:r>
          </w:p>
        </w:tc>
        <w:tc>
          <w:tcPr>
            <w:tcW w:w="45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B79B5A">
            <w:pPr>
              <w:keepNext w:val="0"/>
              <w:keepLines w:val="0"/>
              <w:widowControl/>
              <w:suppressLineNumbers w:val="0"/>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术语注册服务</w:t>
            </w:r>
          </w:p>
        </w:tc>
      </w:tr>
      <w:tr w14:paraId="76282D16">
        <w:tblPrEx>
          <w:shd w:val="clear" w:color="auto" w:fill="auto"/>
          <w:tblCellMar>
            <w:top w:w="0" w:type="dxa"/>
            <w:left w:w="0" w:type="dxa"/>
            <w:bottom w:w="0" w:type="dxa"/>
            <w:right w:w="0" w:type="dxa"/>
          </w:tblCellMar>
        </w:tblPrEx>
        <w:trPr>
          <w:trHeight w:val="348" w:hRule="atLeast"/>
        </w:trPr>
        <w:tc>
          <w:tcPr>
            <w:tcW w:w="3350" w:type="dxa"/>
            <w:vMerge w:val="continue"/>
            <w:tcBorders>
              <w:left w:val="single" w:color="000000" w:sz="4" w:space="0"/>
              <w:right w:val="single" w:color="000000" w:sz="4" w:space="0"/>
            </w:tcBorders>
            <w:shd w:val="clear" w:color="auto" w:fill="auto"/>
            <w:noWrap/>
            <w:tcMar>
              <w:top w:w="12" w:type="dxa"/>
              <w:left w:w="12" w:type="dxa"/>
              <w:right w:w="12" w:type="dxa"/>
            </w:tcMar>
            <w:vAlign w:val="center"/>
          </w:tcPr>
          <w:p w14:paraId="5F77E27E">
            <w:pPr>
              <w:jc w:val="center"/>
              <w:rPr>
                <w:rFonts w:hint="eastAsia" w:ascii="宋体" w:hAnsi="宋体" w:eastAsia="宋体" w:cs="宋体"/>
                <w:i w:val="0"/>
                <w:color w:val="000000"/>
                <w:sz w:val="24"/>
                <w:szCs w:val="24"/>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67205F2">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术语更新服务</w:t>
            </w:r>
          </w:p>
        </w:tc>
      </w:tr>
      <w:tr w14:paraId="6037DF21">
        <w:tblPrEx>
          <w:shd w:val="clear" w:color="auto" w:fill="auto"/>
          <w:tblCellMar>
            <w:top w:w="0" w:type="dxa"/>
            <w:left w:w="0" w:type="dxa"/>
            <w:bottom w:w="0" w:type="dxa"/>
            <w:right w:w="0" w:type="dxa"/>
          </w:tblCellMar>
        </w:tblPrEx>
        <w:trPr>
          <w:trHeight w:val="348" w:hRule="atLeast"/>
        </w:trPr>
        <w:tc>
          <w:tcPr>
            <w:tcW w:w="3350" w:type="dxa"/>
            <w:vMerge w:val="continue"/>
            <w:tcBorders>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F69402D">
            <w:pPr>
              <w:jc w:val="center"/>
              <w:rPr>
                <w:rFonts w:hint="eastAsia" w:ascii="宋体" w:hAnsi="宋体" w:eastAsia="宋体" w:cs="宋体"/>
                <w:i w:val="0"/>
                <w:color w:val="000000"/>
                <w:sz w:val="24"/>
                <w:szCs w:val="24"/>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77F722">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术语查询服务</w:t>
            </w:r>
          </w:p>
        </w:tc>
      </w:tr>
      <w:tr w14:paraId="4CE54E4F">
        <w:tblPrEx>
          <w:shd w:val="clear" w:color="auto" w:fill="auto"/>
          <w:tblCellMar>
            <w:top w:w="0" w:type="dxa"/>
            <w:left w:w="0" w:type="dxa"/>
            <w:bottom w:w="0" w:type="dxa"/>
            <w:right w:w="0" w:type="dxa"/>
          </w:tblCellMar>
        </w:tblPrEx>
        <w:trPr>
          <w:trHeight w:val="348" w:hRule="atLeast"/>
        </w:trPr>
        <w:tc>
          <w:tcPr>
            <w:tcW w:w="3350" w:type="dxa"/>
            <w:vMerge w:val="restart"/>
            <w:tcBorders>
              <w:left w:val="single" w:color="000000" w:sz="4" w:space="0"/>
              <w:right w:val="single" w:color="000000" w:sz="4" w:space="0"/>
            </w:tcBorders>
            <w:shd w:val="clear" w:color="auto" w:fill="auto"/>
            <w:noWrap/>
            <w:tcMar>
              <w:top w:w="12" w:type="dxa"/>
              <w:left w:w="12" w:type="dxa"/>
              <w:right w:w="12" w:type="dxa"/>
            </w:tcMar>
            <w:vAlign w:val="center"/>
          </w:tcPr>
          <w:p w14:paraId="6EC091A3">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预约信息交互服务</w:t>
            </w:r>
          </w:p>
        </w:tc>
        <w:tc>
          <w:tcPr>
            <w:tcW w:w="45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07C567F">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号源排班信息新增服务</w:t>
            </w:r>
          </w:p>
        </w:tc>
      </w:tr>
      <w:tr w14:paraId="4E1E305D">
        <w:tblPrEx>
          <w:shd w:val="clear" w:color="auto" w:fill="auto"/>
          <w:tblCellMar>
            <w:top w:w="0" w:type="dxa"/>
            <w:left w:w="0" w:type="dxa"/>
            <w:bottom w:w="0" w:type="dxa"/>
            <w:right w:w="0" w:type="dxa"/>
          </w:tblCellMar>
        </w:tblPrEx>
        <w:trPr>
          <w:trHeight w:val="348" w:hRule="atLeast"/>
        </w:trPr>
        <w:tc>
          <w:tcPr>
            <w:tcW w:w="3350" w:type="dxa"/>
            <w:vMerge w:val="continue"/>
            <w:tcBorders>
              <w:left w:val="single" w:color="000000" w:sz="4" w:space="0"/>
              <w:right w:val="single" w:color="000000" w:sz="4" w:space="0"/>
            </w:tcBorders>
            <w:shd w:val="clear" w:color="auto" w:fill="auto"/>
            <w:noWrap/>
            <w:tcMar>
              <w:top w:w="12" w:type="dxa"/>
              <w:left w:w="12" w:type="dxa"/>
              <w:right w:w="12" w:type="dxa"/>
            </w:tcMar>
            <w:vAlign w:val="center"/>
          </w:tcPr>
          <w:p w14:paraId="24CE1B0B">
            <w:pPr>
              <w:jc w:val="center"/>
              <w:rPr>
                <w:rFonts w:hint="eastAsia" w:ascii="宋体" w:hAnsi="宋体" w:eastAsia="宋体" w:cs="宋体"/>
                <w:i w:val="0"/>
                <w:color w:val="000000"/>
                <w:sz w:val="24"/>
                <w:szCs w:val="24"/>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628A6B">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号源排班信息更新服务</w:t>
            </w:r>
          </w:p>
        </w:tc>
      </w:tr>
      <w:tr w14:paraId="2E1EB1EB">
        <w:tblPrEx>
          <w:shd w:val="clear" w:color="auto" w:fill="auto"/>
          <w:tblCellMar>
            <w:top w:w="0" w:type="dxa"/>
            <w:left w:w="0" w:type="dxa"/>
            <w:bottom w:w="0" w:type="dxa"/>
            <w:right w:w="0" w:type="dxa"/>
          </w:tblCellMar>
        </w:tblPrEx>
        <w:trPr>
          <w:trHeight w:val="348" w:hRule="atLeast"/>
        </w:trPr>
        <w:tc>
          <w:tcPr>
            <w:tcW w:w="3350" w:type="dxa"/>
            <w:vMerge w:val="continue"/>
            <w:tcBorders>
              <w:left w:val="single" w:color="000000" w:sz="4" w:space="0"/>
              <w:right w:val="single" w:color="000000" w:sz="4" w:space="0"/>
            </w:tcBorders>
            <w:shd w:val="clear" w:color="auto" w:fill="auto"/>
            <w:noWrap/>
            <w:tcMar>
              <w:top w:w="12" w:type="dxa"/>
              <w:left w:w="12" w:type="dxa"/>
              <w:right w:w="12" w:type="dxa"/>
            </w:tcMar>
            <w:vAlign w:val="center"/>
          </w:tcPr>
          <w:p w14:paraId="0E639FE1">
            <w:pPr>
              <w:jc w:val="center"/>
              <w:rPr>
                <w:rFonts w:hint="eastAsia" w:ascii="宋体" w:hAnsi="宋体" w:eastAsia="宋体" w:cs="宋体"/>
                <w:i w:val="0"/>
                <w:color w:val="000000"/>
                <w:sz w:val="24"/>
                <w:szCs w:val="24"/>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920FF7E">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号源排班信息查询服务</w:t>
            </w:r>
          </w:p>
        </w:tc>
      </w:tr>
      <w:tr w14:paraId="6295E2CB">
        <w:tblPrEx>
          <w:shd w:val="clear" w:color="auto" w:fill="auto"/>
          <w:tblCellMar>
            <w:top w:w="0" w:type="dxa"/>
            <w:left w:w="0" w:type="dxa"/>
            <w:bottom w:w="0" w:type="dxa"/>
            <w:right w:w="0" w:type="dxa"/>
          </w:tblCellMar>
        </w:tblPrEx>
        <w:trPr>
          <w:trHeight w:val="348" w:hRule="atLeast"/>
        </w:trPr>
        <w:tc>
          <w:tcPr>
            <w:tcW w:w="3350" w:type="dxa"/>
            <w:vMerge w:val="continue"/>
            <w:tcBorders>
              <w:left w:val="single" w:color="000000" w:sz="4" w:space="0"/>
              <w:right w:val="single" w:color="000000" w:sz="4" w:space="0"/>
            </w:tcBorders>
            <w:shd w:val="clear" w:color="auto" w:fill="auto"/>
            <w:noWrap/>
            <w:tcMar>
              <w:top w:w="12" w:type="dxa"/>
              <w:left w:w="12" w:type="dxa"/>
              <w:right w:w="12" w:type="dxa"/>
            </w:tcMar>
            <w:vAlign w:val="center"/>
          </w:tcPr>
          <w:p w14:paraId="69294583">
            <w:pPr>
              <w:jc w:val="center"/>
              <w:rPr>
                <w:rFonts w:hint="eastAsia" w:ascii="宋体" w:hAnsi="宋体" w:eastAsia="宋体" w:cs="宋体"/>
                <w:i w:val="0"/>
                <w:color w:val="000000"/>
                <w:sz w:val="24"/>
                <w:szCs w:val="24"/>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651FC11">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门诊预约状态信息新增服务</w:t>
            </w:r>
          </w:p>
        </w:tc>
      </w:tr>
      <w:tr w14:paraId="7F138A29">
        <w:tblPrEx>
          <w:shd w:val="clear" w:color="auto" w:fill="auto"/>
          <w:tblCellMar>
            <w:top w:w="0" w:type="dxa"/>
            <w:left w:w="0" w:type="dxa"/>
            <w:bottom w:w="0" w:type="dxa"/>
            <w:right w:w="0" w:type="dxa"/>
          </w:tblCellMar>
        </w:tblPrEx>
        <w:trPr>
          <w:trHeight w:val="348" w:hRule="atLeast"/>
        </w:trPr>
        <w:tc>
          <w:tcPr>
            <w:tcW w:w="3350" w:type="dxa"/>
            <w:vMerge w:val="continue"/>
            <w:tcBorders>
              <w:left w:val="single" w:color="000000" w:sz="4" w:space="0"/>
              <w:right w:val="single" w:color="000000" w:sz="4" w:space="0"/>
            </w:tcBorders>
            <w:shd w:val="clear" w:color="auto" w:fill="auto"/>
            <w:noWrap/>
            <w:tcMar>
              <w:top w:w="12" w:type="dxa"/>
              <w:left w:w="12" w:type="dxa"/>
              <w:right w:w="12" w:type="dxa"/>
            </w:tcMar>
            <w:vAlign w:val="center"/>
          </w:tcPr>
          <w:p w14:paraId="0BB1E731">
            <w:pPr>
              <w:jc w:val="center"/>
              <w:rPr>
                <w:rFonts w:hint="eastAsia" w:ascii="宋体" w:hAnsi="宋体" w:eastAsia="宋体" w:cs="宋体"/>
                <w:i w:val="0"/>
                <w:color w:val="000000"/>
                <w:sz w:val="24"/>
                <w:szCs w:val="24"/>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F558A9A">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门诊预约状态信息更新服务</w:t>
            </w:r>
          </w:p>
        </w:tc>
      </w:tr>
      <w:tr w14:paraId="1D83FF6D">
        <w:tblPrEx>
          <w:shd w:val="clear" w:color="auto" w:fill="auto"/>
          <w:tblCellMar>
            <w:top w:w="0" w:type="dxa"/>
            <w:left w:w="0" w:type="dxa"/>
            <w:bottom w:w="0" w:type="dxa"/>
            <w:right w:w="0" w:type="dxa"/>
          </w:tblCellMar>
        </w:tblPrEx>
        <w:trPr>
          <w:trHeight w:val="348" w:hRule="atLeast"/>
        </w:trPr>
        <w:tc>
          <w:tcPr>
            <w:tcW w:w="3350" w:type="dxa"/>
            <w:vMerge w:val="continue"/>
            <w:tcBorders>
              <w:left w:val="single" w:color="000000" w:sz="4" w:space="0"/>
              <w:right w:val="single" w:color="000000" w:sz="4" w:space="0"/>
            </w:tcBorders>
            <w:shd w:val="clear" w:color="auto" w:fill="auto"/>
            <w:noWrap/>
            <w:tcMar>
              <w:top w:w="12" w:type="dxa"/>
              <w:left w:w="12" w:type="dxa"/>
              <w:right w:w="12" w:type="dxa"/>
            </w:tcMar>
            <w:vAlign w:val="center"/>
          </w:tcPr>
          <w:p w14:paraId="03E8FC65">
            <w:pPr>
              <w:jc w:val="center"/>
              <w:rPr>
                <w:rFonts w:hint="eastAsia" w:ascii="宋体" w:hAnsi="宋体" w:eastAsia="宋体" w:cs="宋体"/>
                <w:i w:val="0"/>
                <w:color w:val="000000"/>
                <w:sz w:val="24"/>
                <w:szCs w:val="24"/>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813631A">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门诊预约状态信息查询服务</w:t>
            </w:r>
          </w:p>
        </w:tc>
      </w:tr>
      <w:tr w14:paraId="6AC25454">
        <w:tblPrEx>
          <w:shd w:val="clear" w:color="auto" w:fill="auto"/>
          <w:tblCellMar>
            <w:top w:w="0" w:type="dxa"/>
            <w:left w:w="0" w:type="dxa"/>
            <w:bottom w:w="0" w:type="dxa"/>
            <w:right w:w="0" w:type="dxa"/>
          </w:tblCellMar>
        </w:tblPrEx>
        <w:trPr>
          <w:trHeight w:val="348" w:hRule="atLeast"/>
        </w:trPr>
        <w:tc>
          <w:tcPr>
            <w:tcW w:w="3350" w:type="dxa"/>
            <w:vMerge w:val="continue"/>
            <w:tcBorders>
              <w:left w:val="single" w:color="000000" w:sz="4" w:space="0"/>
              <w:right w:val="single" w:color="000000" w:sz="4" w:space="0"/>
            </w:tcBorders>
            <w:shd w:val="clear" w:color="auto" w:fill="auto"/>
            <w:noWrap/>
            <w:tcMar>
              <w:top w:w="12" w:type="dxa"/>
              <w:left w:w="12" w:type="dxa"/>
              <w:right w:w="12" w:type="dxa"/>
            </w:tcMar>
            <w:vAlign w:val="center"/>
          </w:tcPr>
          <w:p w14:paraId="3F363880">
            <w:pPr>
              <w:jc w:val="center"/>
              <w:rPr>
                <w:rFonts w:hint="eastAsia" w:ascii="宋体" w:hAnsi="宋体" w:eastAsia="宋体" w:cs="宋体"/>
                <w:i w:val="0"/>
                <w:color w:val="000000"/>
                <w:sz w:val="24"/>
                <w:szCs w:val="24"/>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71648C">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检查预约状态信息新增服务</w:t>
            </w:r>
          </w:p>
        </w:tc>
      </w:tr>
      <w:tr w14:paraId="3F04B682">
        <w:tblPrEx>
          <w:shd w:val="clear" w:color="auto" w:fill="auto"/>
          <w:tblCellMar>
            <w:top w:w="0" w:type="dxa"/>
            <w:left w:w="0" w:type="dxa"/>
            <w:bottom w:w="0" w:type="dxa"/>
            <w:right w:w="0" w:type="dxa"/>
          </w:tblCellMar>
        </w:tblPrEx>
        <w:trPr>
          <w:trHeight w:val="348" w:hRule="atLeast"/>
        </w:trPr>
        <w:tc>
          <w:tcPr>
            <w:tcW w:w="3350" w:type="dxa"/>
            <w:vMerge w:val="continue"/>
            <w:tcBorders>
              <w:left w:val="single" w:color="000000" w:sz="4" w:space="0"/>
              <w:right w:val="single" w:color="000000" w:sz="4" w:space="0"/>
            </w:tcBorders>
            <w:shd w:val="clear" w:color="auto" w:fill="auto"/>
            <w:noWrap/>
            <w:tcMar>
              <w:top w:w="12" w:type="dxa"/>
              <w:left w:w="12" w:type="dxa"/>
              <w:right w:w="12" w:type="dxa"/>
            </w:tcMar>
            <w:vAlign w:val="center"/>
          </w:tcPr>
          <w:p w14:paraId="44114E6F">
            <w:pPr>
              <w:jc w:val="center"/>
              <w:rPr>
                <w:rFonts w:hint="eastAsia" w:ascii="宋体" w:hAnsi="宋体" w:eastAsia="宋体" w:cs="宋体"/>
                <w:i w:val="0"/>
                <w:color w:val="000000"/>
                <w:sz w:val="24"/>
                <w:szCs w:val="24"/>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5C4DBF9">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检查预约状态信息更新服务</w:t>
            </w:r>
          </w:p>
        </w:tc>
      </w:tr>
      <w:tr w14:paraId="26F0F47C">
        <w:tblPrEx>
          <w:shd w:val="clear" w:color="auto" w:fill="auto"/>
          <w:tblCellMar>
            <w:top w:w="0" w:type="dxa"/>
            <w:left w:w="0" w:type="dxa"/>
            <w:bottom w:w="0" w:type="dxa"/>
            <w:right w:w="0" w:type="dxa"/>
          </w:tblCellMar>
        </w:tblPrEx>
        <w:trPr>
          <w:trHeight w:val="348" w:hRule="atLeast"/>
        </w:trPr>
        <w:tc>
          <w:tcPr>
            <w:tcW w:w="3350" w:type="dxa"/>
            <w:vMerge w:val="continue"/>
            <w:tcBorders>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BB187B">
            <w:pPr>
              <w:jc w:val="center"/>
              <w:rPr>
                <w:rFonts w:hint="eastAsia" w:ascii="宋体" w:hAnsi="宋体" w:eastAsia="宋体" w:cs="宋体"/>
                <w:i w:val="0"/>
                <w:color w:val="000000"/>
                <w:sz w:val="24"/>
                <w:szCs w:val="24"/>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53F2BB2">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检查预约状态信息查询服务</w:t>
            </w:r>
          </w:p>
        </w:tc>
      </w:tr>
      <w:tr w14:paraId="6F95FEB9">
        <w:tblPrEx>
          <w:shd w:val="clear" w:color="auto" w:fill="auto"/>
          <w:tblCellMar>
            <w:top w:w="0" w:type="dxa"/>
            <w:left w:w="0" w:type="dxa"/>
            <w:bottom w:w="0" w:type="dxa"/>
            <w:right w:w="0" w:type="dxa"/>
          </w:tblCellMar>
        </w:tblPrEx>
        <w:trPr>
          <w:trHeight w:val="348" w:hRule="atLeast"/>
        </w:trPr>
        <w:tc>
          <w:tcPr>
            <w:tcW w:w="33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3266D2">
            <w:pPr>
              <w:jc w:val="center"/>
              <w:rPr>
                <w:rFonts w:hint="eastAsia" w:ascii="宋体" w:hAnsi="宋体" w:eastAsia="宋体" w:cs="宋体"/>
                <w:i w:val="0"/>
                <w:color w:val="000000"/>
                <w:sz w:val="24"/>
                <w:szCs w:val="24"/>
                <w:u w:val="none"/>
              </w:rPr>
            </w:pPr>
          </w:p>
        </w:tc>
        <w:tc>
          <w:tcPr>
            <w:tcW w:w="4560"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14:paraId="04504FEB">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r>
    </w:tbl>
    <w:p w14:paraId="7998AD42">
      <w:pPr>
        <w:pStyle w:val="13"/>
        <w:spacing w:line="360" w:lineRule="auto"/>
        <w:ind w:firstLine="480" w:firstLineChars="200"/>
        <w:rPr>
          <w:rFonts w:hint="eastAsia" w:cs="Times New Roman" w:asciiTheme="minorEastAsia" w:hAnsiTheme="minorEastAsia" w:eastAsiaTheme="minorEastAsia"/>
          <w:lang w:val="en-US" w:eastAsia="zh-CN"/>
        </w:rPr>
      </w:pPr>
    </w:p>
    <w:p w14:paraId="111BEA08">
      <w:pPr>
        <w:pStyle w:val="5"/>
        <w:keepNext/>
        <w:keepLines/>
        <w:pageBreakBefore w:val="0"/>
        <w:widowControl w:val="0"/>
        <w:kinsoku/>
        <w:wordWrap/>
        <w:overflowPunct/>
        <w:topLinePunct w:val="0"/>
        <w:autoSpaceDE/>
        <w:autoSpaceDN/>
        <w:bidi w:val="0"/>
        <w:adjustRightInd/>
        <w:snapToGrid/>
        <w:spacing w:before="0" w:after="0" w:line="360" w:lineRule="auto"/>
        <w:ind w:left="1327" w:hanging="901"/>
        <w:textAlignment w:val="auto"/>
        <w:rPr>
          <w:rFonts w:hint="default" w:ascii="Times New Roman" w:hAnsi="Times New Roman" w:eastAsia="宋体" w:cs="Times New Roman"/>
          <w:b/>
          <w:bCs/>
          <w:sz w:val="28"/>
          <w:szCs w:val="28"/>
          <w:lang w:val="en-US" w:eastAsia="zh-CN"/>
        </w:rPr>
      </w:pPr>
      <w:r>
        <w:rPr>
          <w:rFonts w:hint="eastAsia" w:ascii="Times New Roman" w:hAnsi="Times New Roman" w:eastAsia="宋体" w:cs="Times New Roman"/>
          <w:b/>
          <w:bCs/>
          <w:sz w:val="28"/>
          <w:szCs w:val="28"/>
          <w:lang w:val="en-US" w:eastAsia="zh-CN"/>
        </w:rPr>
        <w:t>3.2.3互联互通业务系统改</w:t>
      </w:r>
      <w:r>
        <w:rPr>
          <w:rFonts w:hint="eastAsia" w:ascii="Times New Roman" w:hAnsi="Times New Roman" w:cs="Times New Roman"/>
          <w:b/>
          <w:bCs/>
          <w:sz w:val="28"/>
          <w:szCs w:val="28"/>
          <w:lang w:val="en-US" w:eastAsia="zh-CN"/>
        </w:rPr>
        <w:t>造</w:t>
      </w:r>
    </w:p>
    <w:p w14:paraId="42A29440">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firstLine="0" w:firstLineChars="0"/>
        <w:textAlignment w:val="auto"/>
        <w:rPr>
          <w:rFonts w:hint="eastAsia" w:ascii="Times New Roman" w:hAnsi="Times New Roman" w:eastAsia="宋体" w:cs="Times New Roman"/>
          <w:b/>
          <w:bCs/>
          <w:sz w:val="24"/>
          <w:szCs w:val="24"/>
          <w:lang w:val="en-US" w:eastAsia="zh-CN"/>
        </w:rPr>
      </w:pPr>
      <w:r>
        <w:rPr>
          <w:rFonts w:hint="eastAsia" w:cs="Times New Roman"/>
          <w:b/>
          <w:bCs/>
          <w:sz w:val="24"/>
          <w:szCs w:val="24"/>
          <w:lang w:val="en-US" w:eastAsia="zh-CN"/>
        </w:rPr>
        <w:t>互联互通业务系统改造</w:t>
      </w:r>
    </w:p>
    <w:p w14:paraId="43F0FEEB">
      <w:pPr>
        <w:numPr>
          <w:ilvl w:val="0"/>
          <w:numId w:val="10"/>
        </w:numPr>
        <w:bidi w:val="0"/>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电子处方</w:t>
      </w:r>
    </w:p>
    <w:p w14:paraId="61DB4D0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生成西药处方子集。</w:t>
      </w:r>
    </w:p>
    <w:p w14:paraId="204BE395">
      <w:pPr>
        <w:numPr>
          <w:ilvl w:val="0"/>
          <w:numId w:val="10"/>
        </w:numPr>
        <w:bidi w:val="0"/>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电子医嘱</w:t>
      </w:r>
    </w:p>
    <w:p w14:paraId="251F06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调用互联互通服务：</w:t>
      </w:r>
      <w:r>
        <w:rPr>
          <w:rFonts w:hint="eastAsia" w:ascii="宋体" w:hAnsi="宋体" w:eastAsia="宋体" w:cs="宋体"/>
          <w:sz w:val="24"/>
          <w:szCs w:val="24"/>
        </w:rPr>
        <w:t>住院医嘱子集、医嘱接收服务、申请单接收服务。</w:t>
      </w:r>
    </w:p>
    <w:p w14:paraId="6FC075B1">
      <w:pPr>
        <w:numPr>
          <w:ilvl w:val="0"/>
          <w:numId w:val="10"/>
        </w:numPr>
        <w:bidi w:val="0"/>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出入院管理系统</w:t>
      </w:r>
    </w:p>
    <w:p w14:paraId="00DA8E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调用互联互通服务：新增个人注册服务、个人信息更新服务 、个人身份合并服务、住院就诊登记服务、个人基本信息查询服务、住院就诊查询服务、出院信息查询服务、出院登记服务。</w:t>
      </w:r>
    </w:p>
    <w:p w14:paraId="6A391A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支持以下数据集的生成：患者基本信息子集、医疗费用记录子集、医疗机构信息子集。</w:t>
      </w:r>
    </w:p>
    <w:p w14:paraId="727019B6">
      <w:pPr>
        <w:numPr>
          <w:ilvl w:val="0"/>
          <w:numId w:val="10"/>
        </w:numPr>
        <w:bidi w:val="0"/>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门急诊挂号系统</w:t>
      </w:r>
    </w:p>
    <w:p w14:paraId="23C104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支持以下数据集的生成：患者基本信息子集、医疗费用记录子集、医疗机构信息子集。</w:t>
      </w:r>
    </w:p>
    <w:p w14:paraId="4D2FE6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支持调用互联互通服务：新增个人注册服务 、个人信息更新服务 、个人身份合并服务。</w:t>
      </w:r>
    </w:p>
    <w:p w14:paraId="1E402922">
      <w:pPr>
        <w:numPr>
          <w:ilvl w:val="0"/>
          <w:numId w:val="10"/>
        </w:numPr>
        <w:bidi w:val="0"/>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门急诊收费</w:t>
      </w:r>
    </w:p>
    <w:p w14:paraId="07AB7D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支持以下数据集的生成：患者基本信息子集、医疗费用记录子集、医疗机构信息子集。</w:t>
      </w:r>
    </w:p>
    <w:p w14:paraId="3234CE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调用互联互通服务：个人基本信息查询服务、门诊就诊查询服务。</w:t>
      </w:r>
    </w:p>
    <w:p w14:paraId="34F37275">
      <w:pPr>
        <w:numPr>
          <w:ilvl w:val="0"/>
          <w:numId w:val="10"/>
        </w:numPr>
        <w:bidi w:val="0"/>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药品管理</w:t>
      </w:r>
    </w:p>
    <w:p w14:paraId="6036B8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调用医护人员信息查询服务、医疗卫生机构（科室）信息查询服务。</w:t>
      </w:r>
    </w:p>
    <w:p w14:paraId="2763D5BD">
      <w:pPr>
        <w:numPr>
          <w:ilvl w:val="0"/>
          <w:numId w:val="10"/>
        </w:numPr>
        <w:bidi w:val="0"/>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医务管理系统</w:t>
      </w:r>
    </w:p>
    <w:p w14:paraId="0328F0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调用互联互通服务：医疗卫生机构（科室）信息查询服务。</w:t>
      </w:r>
    </w:p>
    <w:p w14:paraId="2F2C7C75">
      <w:pPr>
        <w:numPr>
          <w:ilvl w:val="0"/>
          <w:numId w:val="10"/>
        </w:numPr>
        <w:bidi w:val="0"/>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医疗保险/新农合服务 </w:t>
      </w:r>
    </w:p>
    <w:p w14:paraId="7AC503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调用互联互通服务：新增个人注册服务、个人信息更新服务。</w:t>
      </w:r>
    </w:p>
    <w:p w14:paraId="3DABA122">
      <w:pPr>
        <w:numPr>
          <w:ilvl w:val="0"/>
          <w:numId w:val="10"/>
        </w:numPr>
        <w:bidi w:val="0"/>
        <w:spacing w:line="360" w:lineRule="auto"/>
        <w:ind w:left="425" w:leftChars="0" w:hanging="425" w:firstLineChars="0"/>
        <w:rPr>
          <w:rFonts w:hint="eastAsia" w:ascii="宋体" w:hAnsi="宋体" w:eastAsia="宋体" w:cs="宋体"/>
          <w:sz w:val="24"/>
          <w:szCs w:val="24"/>
          <w:lang w:val="en-US" w:eastAsia="zh-CN"/>
        </w:rPr>
      </w:pPr>
      <w:bookmarkStart w:id="33" w:name="_GoBack"/>
      <w:r>
        <w:rPr>
          <w:rFonts w:hint="eastAsia" w:ascii="宋体" w:hAnsi="宋体" w:eastAsia="宋体" w:cs="宋体"/>
          <w:sz w:val="24"/>
          <w:szCs w:val="24"/>
          <w:lang w:val="en-US" w:eastAsia="zh-CN"/>
        </w:rPr>
        <w:t>食源性疾病上报信息服务</w:t>
      </w:r>
    </w:p>
    <w:bookmarkEnd w:id="33"/>
    <w:p w14:paraId="6641E5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调用互联互通服务：个人基本信息查询服务。</w:t>
      </w:r>
    </w:p>
    <w:p w14:paraId="7AD5BDF7">
      <w:pPr>
        <w:numPr>
          <w:ilvl w:val="0"/>
          <w:numId w:val="10"/>
        </w:numPr>
        <w:bidi w:val="0"/>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住院结构化电子病历</w:t>
      </w:r>
    </w:p>
    <w:p w14:paraId="19995E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rPr>
        <w:t>支持以下数据集的生成：基本健康信息子集、卫生事件摘要子集、一般手术记录子集、</w:t>
      </w:r>
      <w:r>
        <w:rPr>
          <w:rFonts w:hint="eastAsia" w:ascii="宋体" w:hAnsi="宋体" w:eastAsia="宋体" w:cs="宋体"/>
          <w:sz w:val="24"/>
          <w:szCs w:val="24"/>
          <w:lang w:val="en-US" w:eastAsia="zh-CN"/>
        </w:rPr>
        <w:t>输血记录子集、</w:t>
      </w:r>
      <w:r>
        <w:rPr>
          <w:rFonts w:hint="eastAsia" w:ascii="宋体" w:hAnsi="宋体" w:eastAsia="宋体" w:cs="宋体"/>
          <w:sz w:val="24"/>
          <w:szCs w:val="24"/>
        </w:rPr>
        <w:t>手术同意书子集、麻醉知情同意书子集、</w:t>
      </w:r>
      <w:r>
        <w:rPr>
          <w:rFonts w:hint="eastAsia" w:ascii="宋体" w:hAnsi="宋体" w:eastAsia="宋体" w:cs="宋体"/>
          <w:sz w:val="24"/>
          <w:szCs w:val="24"/>
          <w:lang w:val="en-US" w:eastAsia="zh-CN"/>
        </w:rPr>
        <w:t>输血治疗同意书子集、</w:t>
      </w:r>
      <w:r>
        <w:rPr>
          <w:rFonts w:hint="eastAsia" w:ascii="宋体" w:hAnsi="宋体" w:eastAsia="宋体" w:cs="宋体"/>
          <w:sz w:val="24"/>
          <w:szCs w:val="24"/>
        </w:rPr>
        <w:t>特殊检查及特殊治疗同意书子集、病危（重）通知书子集、其他知情告知同意书子集、住院病案首页子集、入院记录子集、24小时内入出院记录子集、24小时内入院死亡记录子集、首次病程记录子集、日常病程记录子集、上级医师查房记录子集、疑难病例讨论记录子集、交接班记录子集、转科记录子集、阶段小结</w:t>
      </w:r>
      <w:r>
        <w:rPr>
          <w:rFonts w:hint="eastAsia" w:ascii="宋体" w:hAnsi="宋体" w:eastAsia="宋体" w:cs="宋体"/>
          <w:sz w:val="24"/>
          <w:szCs w:val="24"/>
          <w:highlight w:val="none"/>
        </w:rPr>
        <w:t>子集、抢救记录子集、会诊记录子集、术前小结子集、术前讨论子集、术后首次病程记录子集、出院记录子集、死亡记录子集、死亡病例讨论记录子集、出院小结子集、转诊（院）记录子集</w:t>
      </w:r>
      <w:r>
        <w:rPr>
          <w:rFonts w:hint="eastAsia" w:ascii="宋体" w:hAnsi="宋体" w:eastAsia="宋体" w:cs="宋体"/>
          <w:sz w:val="24"/>
          <w:szCs w:val="24"/>
          <w:highlight w:val="none"/>
          <w:lang w:eastAsia="zh-CN"/>
        </w:rPr>
        <w:t>。</w:t>
      </w:r>
    </w:p>
    <w:p w14:paraId="1B4AB6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支持调用互联互通服务：</w:t>
      </w:r>
      <w:r>
        <w:rPr>
          <w:rFonts w:hint="eastAsia" w:ascii="宋体" w:hAnsi="宋体" w:eastAsia="宋体" w:cs="宋体"/>
          <w:sz w:val="24"/>
          <w:szCs w:val="24"/>
          <w:highlight w:val="none"/>
        </w:rPr>
        <w:t>电子病历文档注册服务、电子病历文档检索服务、电子病历文档调阅服务、医嘱查询服务、门诊就诊登记服务。</w:t>
      </w:r>
    </w:p>
    <w:p w14:paraId="3898712D">
      <w:pPr>
        <w:numPr>
          <w:ilvl w:val="0"/>
          <w:numId w:val="10"/>
        </w:numPr>
        <w:bidi w:val="0"/>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住院医生站</w:t>
      </w:r>
    </w:p>
    <w:p w14:paraId="27BDB3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调用个人信息更新服务、个人基本信息查询服务。</w:t>
      </w:r>
    </w:p>
    <w:p w14:paraId="35B16A85">
      <w:pPr>
        <w:numPr>
          <w:ilvl w:val="0"/>
          <w:numId w:val="10"/>
        </w:numPr>
        <w:bidi w:val="0"/>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护理信息系统</w:t>
      </w:r>
    </w:p>
    <w:p w14:paraId="622C92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支持以下数据集的生成：一般护理记录子集、病重（危）护理记录子集、手术护理记录子集、生命体征测量记录子集、出入量记录子集、入院评估记录子集、护理计划记录子集、出院评估与指导记录子集。</w:t>
      </w:r>
    </w:p>
    <w:p w14:paraId="046EE2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支持调用互联互通服务：个人基本信息查询服务。</w:t>
      </w:r>
    </w:p>
    <w:p w14:paraId="2B0A5425">
      <w:pPr>
        <w:numPr>
          <w:ilvl w:val="0"/>
          <w:numId w:val="10"/>
        </w:numPr>
        <w:bidi w:val="0"/>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住院护士工作站</w:t>
      </w:r>
    </w:p>
    <w:p w14:paraId="3F02E9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支持调用个人基本信息查询服务、医嘱查询服务、申请单查询服务、出院信息查询服务。</w:t>
      </w:r>
    </w:p>
    <w:p w14:paraId="0C358630">
      <w:pPr>
        <w:numPr>
          <w:ilvl w:val="0"/>
          <w:numId w:val="10"/>
        </w:numPr>
        <w:bidi w:val="0"/>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自助机导诊</w:t>
      </w:r>
    </w:p>
    <w:p w14:paraId="26D4A8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支持调用个人基本信息查询服务、门诊就诊查询服务。</w:t>
      </w:r>
    </w:p>
    <w:p w14:paraId="411BFD18">
      <w:pPr>
        <w:numPr>
          <w:ilvl w:val="0"/>
          <w:numId w:val="10"/>
        </w:numPr>
        <w:bidi w:val="0"/>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放射</w:t>
      </w:r>
    </w:p>
    <w:p w14:paraId="5A38CF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支持以下数据集的生成：检查记录子集。</w:t>
      </w:r>
    </w:p>
    <w:p w14:paraId="46C3FF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支持</w:t>
      </w:r>
      <w:r>
        <w:rPr>
          <w:rFonts w:hint="eastAsia" w:ascii="宋体" w:hAnsi="宋体" w:eastAsia="宋体" w:cs="宋体"/>
          <w:sz w:val="24"/>
          <w:szCs w:val="24"/>
          <w:highlight w:val="none"/>
        </w:rPr>
        <w:t>调用互联互通服务：个人基本信息查询服务、申请单查询服务</w:t>
      </w:r>
      <w:r>
        <w:rPr>
          <w:rFonts w:hint="eastAsia" w:ascii="宋体" w:hAnsi="宋体" w:eastAsia="宋体" w:cs="宋体"/>
          <w:sz w:val="24"/>
          <w:szCs w:val="24"/>
          <w:highlight w:val="none"/>
          <w:lang w:eastAsia="zh-CN"/>
        </w:rPr>
        <w:t>。</w:t>
      </w:r>
    </w:p>
    <w:p w14:paraId="37E5333B">
      <w:pPr>
        <w:numPr>
          <w:ilvl w:val="0"/>
          <w:numId w:val="10"/>
        </w:numPr>
        <w:bidi w:val="0"/>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超声</w:t>
      </w:r>
    </w:p>
    <w:p w14:paraId="4B480E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支持以下数据集的生成：检查记录子集</w:t>
      </w:r>
      <w:r>
        <w:rPr>
          <w:rFonts w:hint="eastAsia" w:ascii="宋体" w:hAnsi="宋体" w:eastAsia="宋体" w:cs="宋体"/>
          <w:sz w:val="24"/>
          <w:szCs w:val="24"/>
          <w:highlight w:val="none"/>
          <w:lang w:eastAsia="zh-CN"/>
        </w:rPr>
        <w:t>。</w:t>
      </w:r>
    </w:p>
    <w:p w14:paraId="2BF778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lang w:val="en-US" w:eastAsia="zh-CN"/>
        </w:rPr>
      </w:pPr>
      <w:r>
        <w:rPr>
          <w:rFonts w:hint="eastAsia" w:ascii="宋体" w:hAnsi="宋体" w:eastAsia="宋体" w:cs="宋体"/>
          <w:sz w:val="24"/>
          <w:szCs w:val="24"/>
          <w:highlight w:val="none"/>
          <w:lang w:val="en-US" w:eastAsia="zh-CN"/>
        </w:rPr>
        <w:t>支持</w:t>
      </w:r>
      <w:r>
        <w:rPr>
          <w:rFonts w:hint="eastAsia" w:ascii="宋体" w:hAnsi="宋体" w:eastAsia="宋体" w:cs="宋体"/>
          <w:sz w:val="24"/>
          <w:szCs w:val="24"/>
          <w:highlight w:val="none"/>
        </w:rPr>
        <w:t>调用互联互通服务：个人基本信息查询服务、申请单查询服务。</w:t>
      </w:r>
    </w:p>
    <w:p w14:paraId="5D89F084">
      <w:pPr>
        <w:numPr>
          <w:ilvl w:val="0"/>
          <w:numId w:val="10"/>
        </w:numPr>
        <w:bidi w:val="0"/>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内镜</w:t>
      </w:r>
    </w:p>
    <w:p w14:paraId="4A1E11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支持以下数据集的生成：检查记录子集</w:t>
      </w:r>
      <w:r>
        <w:rPr>
          <w:rFonts w:hint="eastAsia" w:ascii="宋体" w:hAnsi="宋体" w:eastAsia="宋体" w:cs="宋体"/>
          <w:sz w:val="24"/>
          <w:szCs w:val="24"/>
          <w:highlight w:val="none"/>
          <w:lang w:eastAsia="zh-CN"/>
        </w:rPr>
        <w:t>。</w:t>
      </w:r>
    </w:p>
    <w:p w14:paraId="0729F0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调用互联互通服务：个人基本信息查询服务、申请单查询服务</w:t>
      </w:r>
      <w:r>
        <w:rPr>
          <w:rFonts w:hint="eastAsia" w:ascii="宋体" w:hAnsi="宋体" w:eastAsia="宋体" w:cs="宋体"/>
          <w:sz w:val="24"/>
          <w:szCs w:val="24"/>
          <w:highlight w:val="none"/>
          <w:lang w:eastAsia="zh-CN"/>
        </w:rPr>
        <w:t>。</w:t>
      </w:r>
    </w:p>
    <w:p w14:paraId="0D468D2E">
      <w:pPr>
        <w:numPr>
          <w:ilvl w:val="0"/>
          <w:numId w:val="10"/>
        </w:numPr>
        <w:bidi w:val="0"/>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LIS</w:t>
      </w:r>
    </w:p>
    <w:p w14:paraId="76C843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支持以下数据集的生成：检验记录子集。</w:t>
      </w:r>
    </w:p>
    <w:p w14:paraId="178078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调用互联互通服务：个人基本信息查询服务、申请单查询服务。</w:t>
      </w:r>
    </w:p>
    <w:p w14:paraId="19091C18">
      <w:pPr>
        <w:numPr>
          <w:ilvl w:val="0"/>
          <w:numId w:val="10"/>
        </w:numPr>
        <w:bidi w:val="0"/>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PACS</w:t>
      </w:r>
    </w:p>
    <w:p w14:paraId="26FFFB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调用互联互通服务：个人基本信息查询服务、申请单查询服务。</w:t>
      </w:r>
    </w:p>
    <w:p w14:paraId="2D9F67D7">
      <w:pPr>
        <w:numPr>
          <w:ilvl w:val="0"/>
          <w:numId w:val="10"/>
        </w:numPr>
        <w:bidi w:val="0"/>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输血管理系统</w:t>
      </w:r>
    </w:p>
    <w:p w14:paraId="0DFD07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调用互联互通服务：个人基本信息查询服务、医护人员信息查询服务、医疗卫生机构（科室）信息查询服务 。</w:t>
      </w:r>
    </w:p>
    <w:p w14:paraId="3F94D4D2">
      <w:pPr>
        <w:numPr>
          <w:ilvl w:val="0"/>
          <w:numId w:val="10"/>
        </w:numPr>
        <w:bidi w:val="0"/>
        <w:spacing w:line="360" w:lineRule="auto"/>
        <w:ind w:left="425" w:leftChars="0" w:hanging="425"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物资设备应用改造</w:t>
      </w:r>
    </w:p>
    <w:p w14:paraId="10D471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调用互联互通服务</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医疗卫生机构（科室）信息查询服务。</w:t>
      </w:r>
    </w:p>
    <w:p w14:paraId="4CF8EB3B">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firstLine="0" w:firstLineChars="0"/>
        <w:textAlignment w:val="auto"/>
        <w:rPr>
          <w:rFonts w:hint="eastAsia" w:ascii="Times New Roman" w:hAnsi="Times New Roman" w:eastAsia="宋体" w:cs="Times New Roman"/>
          <w:b/>
          <w:bCs/>
          <w:sz w:val="24"/>
          <w:szCs w:val="24"/>
          <w:lang w:val="en-US" w:eastAsia="zh-CN"/>
        </w:rPr>
      </w:pPr>
      <w:r>
        <w:rPr>
          <w:rFonts w:hint="eastAsia" w:cs="Times New Roman"/>
          <w:b/>
          <w:bCs/>
          <w:sz w:val="24"/>
          <w:szCs w:val="24"/>
          <w:lang w:val="en-US" w:eastAsia="zh-CN"/>
        </w:rPr>
        <w:t>数据接口开发</w:t>
      </w:r>
    </w:p>
    <w:p w14:paraId="1EEAD4AF">
      <w:pPr>
        <w:numPr>
          <w:ilvl w:val="0"/>
          <w:numId w:val="11"/>
        </w:numPr>
        <w:bidi w:val="0"/>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cs="宋体"/>
          <w:sz w:val="24"/>
          <w:szCs w:val="24"/>
          <w:lang w:val="en-US" w:eastAsia="zh-CN"/>
        </w:rPr>
        <w:t>分诊管理</w:t>
      </w:r>
    </w:p>
    <w:p w14:paraId="0BCBA9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szCs w:val="24"/>
          <w:lang w:val="en-US" w:eastAsia="zh-CN"/>
        </w:rPr>
      </w:pPr>
      <w:r>
        <w:rPr>
          <w:rFonts w:hint="default" w:ascii="宋体" w:hAnsi="宋体" w:cs="宋体"/>
          <w:sz w:val="24"/>
          <w:szCs w:val="24"/>
          <w:lang w:val="en-US" w:eastAsia="zh-CN"/>
        </w:rPr>
        <w:t>单点登录对接，主数据改造。</w:t>
      </w:r>
    </w:p>
    <w:p w14:paraId="10ADFC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业务数据：患者挂号数据、科室数据、医生基础信息数据、门诊排班数据</w:t>
      </w:r>
    </w:p>
    <w:p w14:paraId="7E5F4451">
      <w:pPr>
        <w:numPr>
          <w:ilvl w:val="0"/>
          <w:numId w:val="11"/>
        </w:numPr>
        <w:bidi w:val="0"/>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cs="宋体"/>
          <w:sz w:val="24"/>
          <w:szCs w:val="24"/>
          <w:lang w:val="en-US" w:eastAsia="zh-CN"/>
        </w:rPr>
        <w:t>手术麻醉</w:t>
      </w:r>
    </w:p>
    <w:p w14:paraId="21083C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szCs w:val="24"/>
          <w:lang w:val="en-US" w:eastAsia="zh-CN"/>
        </w:rPr>
      </w:pPr>
      <w:r>
        <w:rPr>
          <w:rFonts w:hint="eastAsia" w:ascii="宋体" w:hAnsi="宋体" w:cs="宋体"/>
          <w:sz w:val="24"/>
          <w:szCs w:val="24"/>
          <w:lang w:val="en-US" w:eastAsia="zh-CN"/>
        </w:rPr>
        <w:t>单点登录对接，主数据改造。</w:t>
      </w:r>
    </w:p>
    <w:p w14:paraId="429B9B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业务内容：</w:t>
      </w:r>
    </w:p>
    <w:p w14:paraId="5BF0E3A1">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szCs w:val="24"/>
          <w:lang w:val="en-US" w:eastAsia="zh-CN"/>
        </w:rPr>
      </w:pPr>
      <w:r>
        <w:rPr>
          <w:rFonts w:hint="eastAsia" w:ascii="宋体" w:hAnsi="宋体" w:cs="宋体"/>
          <w:sz w:val="24"/>
          <w:szCs w:val="24"/>
          <w:lang w:val="en-US" w:eastAsia="zh-CN"/>
        </w:rPr>
        <w:t>麻醉术前方式记录子集、麻醉记录子集、麻醉术后访视记录子集、手术护理记录子集等平台推送数据集改造；2、手术申请信息新增服务、手术申请信息更新服务、手术申请信息查询服务、手术排班信息新增服务、手术排班信息更新服务、手术排班信息查询服务、手术状态信息更新服务、手术状态信息查询服务ESB解耦改造；</w:t>
      </w:r>
    </w:p>
    <w:p w14:paraId="557EEFDA">
      <w:pPr>
        <w:numPr>
          <w:ilvl w:val="0"/>
          <w:numId w:val="11"/>
        </w:numPr>
        <w:bidi w:val="0"/>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cs="宋体"/>
          <w:sz w:val="24"/>
          <w:szCs w:val="24"/>
          <w:lang w:val="en-US" w:eastAsia="zh-CN"/>
        </w:rPr>
        <w:t>心电管理</w:t>
      </w:r>
    </w:p>
    <w:p w14:paraId="29C429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szCs w:val="24"/>
          <w:lang w:val="en-US" w:eastAsia="zh-CN"/>
        </w:rPr>
      </w:pPr>
      <w:r>
        <w:rPr>
          <w:rFonts w:hint="eastAsia" w:ascii="宋体" w:hAnsi="宋体" w:cs="宋体"/>
          <w:sz w:val="24"/>
          <w:szCs w:val="24"/>
          <w:lang w:val="en-US" w:eastAsia="zh-CN"/>
        </w:rPr>
        <w:t>单点登录对接、主数据改造。</w:t>
      </w:r>
    </w:p>
    <w:p w14:paraId="53D525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业务内容：危急值接口、360调阅接口、ESB解耦改造；</w:t>
      </w:r>
    </w:p>
    <w:p w14:paraId="6A7C74A3">
      <w:pPr>
        <w:numPr>
          <w:ilvl w:val="0"/>
          <w:numId w:val="11"/>
        </w:numPr>
        <w:bidi w:val="0"/>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cs="宋体"/>
          <w:sz w:val="24"/>
          <w:szCs w:val="24"/>
          <w:lang w:val="en-US" w:eastAsia="zh-CN"/>
        </w:rPr>
        <w:t>病理管理</w:t>
      </w:r>
    </w:p>
    <w:p w14:paraId="7213B7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szCs w:val="24"/>
          <w:lang w:val="en-US" w:eastAsia="zh-CN"/>
        </w:rPr>
      </w:pPr>
      <w:r>
        <w:rPr>
          <w:rFonts w:hint="eastAsia" w:ascii="宋体" w:hAnsi="宋体" w:cs="宋体"/>
          <w:sz w:val="24"/>
          <w:szCs w:val="24"/>
          <w:lang w:val="en-US" w:eastAsia="zh-CN"/>
        </w:rPr>
        <w:t>单点登录对接、主数据改造。</w:t>
      </w:r>
    </w:p>
    <w:p w14:paraId="0F96AD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业务内容：病理申请信息新增服务、病理信息更新服务、病理信息查询服务、、危急值接口、病案归档接口、ESB解耦改造；</w:t>
      </w:r>
    </w:p>
    <w:p w14:paraId="7185CC92">
      <w:pPr>
        <w:numPr>
          <w:ilvl w:val="0"/>
          <w:numId w:val="11"/>
        </w:numPr>
        <w:bidi w:val="0"/>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cs="宋体"/>
          <w:sz w:val="24"/>
          <w:szCs w:val="24"/>
          <w:lang w:val="en-US" w:eastAsia="zh-CN"/>
        </w:rPr>
        <w:t>电子病历</w:t>
      </w:r>
    </w:p>
    <w:p w14:paraId="4E17D9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szCs w:val="24"/>
          <w:lang w:val="en-US" w:eastAsia="zh-CN"/>
        </w:rPr>
      </w:pPr>
      <w:r>
        <w:rPr>
          <w:rFonts w:hint="eastAsia" w:ascii="宋体" w:hAnsi="宋体" w:cs="宋体"/>
          <w:sz w:val="24"/>
          <w:szCs w:val="24"/>
          <w:lang w:val="en-US" w:eastAsia="zh-CN"/>
        </w:rPr>
        <w:t>单点登录对接、主数据改造。</w:t>
      </w:r>
    </w:p>
    <w:p w14:paraId="3F5AF0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szCs w:val="24"/>
          <w:lang w:val="en-US" w:eastAsia="zh-CN"/>
        </w:rPr>
      </w:pPr>
      <w:r>
        <w:rPr>
          <w:rFonts w:hint="eastAsia" w:ascii="宋体" w:hAnsi="宋体" w:cs="宋体"/>
          <w:sz w:val="24"/>
          <w:szCs w:val="24"/>
          <w:lang w:val="en-US" w:eastAsia="zh-CN"/>
        </w:rPr>
        <w:t>业务数据：患者管理信息、患者标识、挂号、减产、实验室检验</w:t>
      </w:r>
    </w:p>
    <w:p w14:paraId="6A92D9FD">
      <w:pPr>
        <w:numPr>
          <w:ilvl w:val="0"/>
          <w:numId w:val="11"/>
        </w:numPr>
        <w:bidi w:val="0"/>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cs="宋体"/>
          <w:sz w:val="24"/>
          <w:szCs w:val="24"/>
          <w:lang w:val="en-US" w:eastAsia="zh-CN"/>
        </w:rPr>
        <w:t>医务排班</w:t>
      </w:r>
    </w:p>
    <w:p w14:paraId="1ACEAB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单点登录对接、主数据改造。</w:t>
      </w:r>
    </w:p>
    <w:p w14:paraId="553947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szCs w:val="24"/>
          <w:lang w:val="en-US" w:eastAsia="zh-CN"/>
        </w:rPr>
      </w:pPr>
      <w:r>
        <w:rPr>
          <w:rFonts w:hint="default" w:ascii="宋体" w:hAnsi="宋体" w:cs="宋体"/>
          <w:sz w:val="24"/>
          <w:szCs w:val="24"/>
          <w:lang w:val="en-US" w:eastAsia="zh-CN"/>
        </w:rPr>
        <w:t>业务数据：科室、人员、科室和人员数据初始化</w:t>
      </w:r>
      <w:r>
        <w:rPr>
          <w:rFonts w:hint="eastAsia" w:ascii="宋体" w:hAnsi="宋体" w:cs="宋体"/>
          <w:sz w:val="24"/>
          <w:szCs w:val="24"/>
          <w:lang w:val="en-US" w:eastAsia="zh-CN"/>
        </w:rPr>
        <w:t>。</w:t>
      </w:r>
    </w:p>
    <w:p w14:paraId="0C9CEB3A">
      <w:pPr>
        <w:numPr>
          <w:ilvl w:val="0"/>
          <w:numId w:val="11"/>
        </w:numPr>
        <w:bidi w:val="0"/>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cs="宋体"/>
          <w:sz w:val="24"/>
          <w:szCs w:val="24"/>
          <w:lang w:val="en-US" w:eastAsia="zh-CN"/>
        </w:rPr>
        <w:t>绩效系统</w:t>
      </w:r>
    </w:p>
    <w:p w14:paraId="3A7A10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单点登录对接、主数据改造。</w:t>
      </w:r>
    </w:p>
    <w:p w14:paraId="47BEA2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szCs w:val="24"/>
          <w:lang w:val="en-US" w:eastAsia="zh-CN"/>
        </w:rPr>
      </w:pPr>
      <w:r>
        <w:rPr>
          <w:rFonts w:hint="default" w:ascii="宋体" w:hAnsi="宋体" w:cs="宋体"/>
          <w:sz w:val="24"/>
          <w:szCs w:val="24"/>
          <w:lang w:val="en-US" w:eastAsia="zh-CN"/>
        </w:rPr>
        <w:t>业务数据：科室、人员、科室和人员数据初始化、同步过程日志记录</w:t>
      </w:r>
      <w:r>
        <w:rPr>
          <w:rFonts w:hint="eastAsia" w:ascii="宋体" w:hAnsi="宋体" w:cs="宋体"/>
          <w:sz w:val="24"/>
          <w:szCs w:val="24"/>
          <w:lang w:val="en-US" w:eastAsia="zh-CN"/>
        </w:rPr>
        <w:t>。</w:t>
      </w:r>
    </w:p>
    <w:p w14:paraId="6AD6A565">
      <w:pPr>
        <w:numPr>
          <w:ilvl w:val="0"/>
          <w:numId w:val="11"/>
        </w:numPr>
        <w:bidi w:val="0"/>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cs="宋体"/>
          <w:sz w:val="24"/>
          <w:szCs w:val="24"/>
          <w:lang w:val="en-US" w:eastAsia="zh-CN"/>
        </w:rPr>
        <w:t>医疗设备管理等</w:t>
      </w:r>
    </w:p>
    <w:p w14:paraId="6F8043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单点登录对接、主数据改造。涉及医疗设备管理系统、卫生材料管理系统、固定资产管理系统、物资供应管理系统</w:t>
      </w:r>
    </w:p>
    <w:p w14:paraId="698C8B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szCs w:val="24"/>
          <w:lang w:val="en-US" w:eastAsia="zh-CN"/>
        </w:rPr>
      </w:pPr>
      <w:r>
        <w:rPr>
          <w:rFonts w:hint="eastAsia" w:ascii="宋体" w:hAnsi="宋体" w:cs="宋体"/>
          <w:sz w:val="24"/>
          <w:szCs w:val="24"/>
          <w:lang w:val="en-US" w:eastAsia="zh-CN"/>
        </w:rPr>
        <w:t>业务数据：职工信息、科室信息、物资分类、物资品名、物资规格、物资供应商等。</w:t>
      </w:r>
    </w:p>
    <w:p w14:paraId="27480C5A">
      <w:pPr>
        <w:numPr>
          <w:ilvl w:val="0"/>
          <w:numId w:val="11"/>
        </w:numPr>
        <w:bidi w:val="0"/>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cs="宋体"/>
          <w:sz w:val="24"/>
          <w:szCs w:val="24"/>
          <w:lang w:val="en-US" w:eastAsia="zh-CN"/>
        </w:rPr>
        <w:t>OA系统</w:t>
      </w:r>
    </w:p>
    <w:p w14:paraId="340316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szCs w:val="24"/>
          <w:lang w:val="en-US" w:eastAsia="zh-CN"/>
        </w:rPr>
      </w:pPr>
      <w:r>
        <w:rPr>
          <w:rFonts w:hint="eastAsia" w:ascii="宋体" w:hAnsi="宋体" w:cs="宋体"/>
          <w:sz w:val="24"/>
          <w:szCs w:val="24"/>
          <w:lang w:val="en-US" w:eastAsia="zh-CN"/>
        </w:rPr>
        <w:t>单点登录对接、主数据改造。</w:t>
      </w:r>
    </w:p>
    <w:p w14:paraId="4CE823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p>
    <w:p w14:paraId="484A5144">
      <w:pPr>
        <w:pStyle w:val="2"/>
        <w:spacing w:line="360" w:lineRule="auto"/>
        <w:rPr>
          <w:rFonts w:asciiTheme="minorEastAsia" w:hAnsiTheme="minorEastAsia" w:eastAsiaTheme="minorEastAsia"/>
          <w:highlight w:val="none"/>
        </w:rPr>
      </w:pPr>
      <w:bookmarkStart w:id="23" w:name="_Toc73086580"/>
      <w:r>
        <w:rPr>
          <w:rFonts w:hint="eastAsia" w:asciiTheme="minorEastAsia" w:hAnsiTheme="minorEastAsia" w:eastAsiaTheme="minorEastAsia"/>
          <w:highlight w:val="none"/>
          <w:lang w:val="en-US" w:eastAsia="zh-CN"/>
        </w:rPr>
        <w:t>二</w:t>
      </w:r>
      <w:r>
        <w:rPr>
          <w:rFonts w:hint="eastAsia" w:asciiTheme="minorEastAsia" w:hAnsiTheme="minorEastAsia" w:eastAsiaTheme="minorEastAsia"/>
          <w:highlight w:val="none"/>
        </w:rPr>
        <w:t>、系统测试、验收、服务要求</w:t>
      </w:r>
      <w:bookmarkEnd w:id="23"/>
    </w:p>
    <w:p w14:paraId="76A4B73E">
      <w:pPr>
        <w:pStyle w:val="13"/>
        <w:spacing w:line="360" w:lineRule="auto"/>
        <w:ind w:firstLine="480" w:firstLineChars="200"/>
        <w:rPr>
          <w:rFonts w:asciiTheme="minorEastAsia" w:hAnsiTheme="minorEastAsia" w:eastAsiaTheme="minorEastAsia"/>
          <w:color w:val="auto"/>
          <w:highlight w:val="none"/>
          <w:lang w:eastAsia="zh-TW"/>
        </w:rPr>
      </w:pPr>
      <w:bookmarkStart w:id="24" w:name="_Toc227122394"/>
      <w:bookmarkStart w:id="25" w:name="_Toc323201209"/>
      <w:r>
        <w:rPr>
          <w:rFonts w:hint="eastAsia" w:asciiTheme="minorEastAsia" w:hAnsiTheme="minorEastAsia" w:eastAsiaTheme="minorEastAsia"/>
          <w:color w:val="auto"/>
          <w:highlight w:val="none"/>
          <w:lang w:eastAsia="zh-TW"/>
        </w:rPr>
        <w:t>系统测试：每个子系统上线前，应在测试环境中分别经过项目组、系统使用人员测试；BUG更改或个性化功能改造后，应经过开发组测试、项目组测试和系统使用人员测试。测试人员均应签名，便于追溯。各系统正式上线前，应选择合适的试点科室试用。试用最少2～3天，无故障后，方可正式上线。</w:t>
      </w:r>
    </w:p>
    <w:p w14:paraId="691B5C00">
      <w:pPr>
        <w:pStyle w:val="4"/>
        <w:spacing w:before="312" w:after="312" w:afterAutospacing="1" w:line="360" w:lineRule="auto"/>
        <w:ind w:left="426"/>
        <w:textAlignment w:val="baseline"/>
        <w:rPr>
          <w:rFonts w:hint="default" w:asciiTheme="minorEastAsia" w:hAnsiTheme="minorEastAsia" w:eastAsiaTheme="minorEastAsia"/>
          <w:lang w:val="en-US" w:eastAsia="zh-CN"/>
        </w:rPr>
      </w:pPr>
      <w:bookmarkStart w:id="26" w:name="_Toc73086581"/>
      <w:r>
        <w:rPr>
          <w:rFonts w:hint="eastAsia" w:asciiTheme="minorEastAsia" w:hAnsiTheme="minorEastAsia" w:eastAsiaTheme="minorEastAsia"/>
        </w:rPr>
        <w:t>1、验收和交付</w:t>
      </w:r>
      <w:bookmarkEnd w:id="24"/>
      <w:bookmarkEnd w:id="25"/>
      <w:bookmarkEnd w:id="26"/>
    </w:p>
    <w:p w14:paraId="0FAB6292">
      <w:pPr>
        <w:pStyle w:val="13"/>
        <w:spacing w:line="360" w:lineRule="auto"/>
        <w:ind w:firstLine="480" w:firstLineChars="200"/>
        <w:rPr>
          <w:rFonts w:asciiTheme="minorEastAsia" w:hAnsiTheme="minorEastAsia" w:eastAsiaTheme="minorEastAsia"/>
          <w:highlight w:val="none"/>
          <w:lang w:eastAsia="zh-TW"/>
        </w:rPr>
      </w:pPr>
      <w:r>
        <w:rPr>
          <w:rFonts w:hint="eastAsia" w:asciiTheme="minorEastAsia" w:hAnsiTheme="minorEastAsia" w:eastAsiaTheme="minorEastAsia"/>
          <w:highlight w:val="none"/>
          <w:lang w:eastAsia="zh-TW"/>
        </w:rPr>
        <w:t>（1）投标厂商需要根据项目建设内容和进度需要，</w:t>
      </w:r>
      <w:r>
        <w:rPr>
          <w:rFonts w:hint="eastAsia" w:asciiTheme="minorEastAsia" w:hAnsiTheme="minorEastAsia" w:eastAsiaTheme="minorEastAsia"/>
          <w:highlight w:val="none"/>
          <w:lang w:val="en-US" w:eastAsia="zh-CN"/>
        </w:rPr>
        <w:t>组建</w:t>
      </w:r>
      <w:r>
        <w:rPr>
          <w:rFonts w:hint="eastAsia" w:asciiTheme="minorEastAsia" w:hAnsiTheme="minorEastAsia" w:eastAsiaTheme="minorEastAsia"/>
          <w:highlight w:val="none"/>
          <w:lang w:eastAsia="zh-TW"/>
        </w:rPr>
        <w:t>项目小组对本项目进行实施及服务。</w:t>
      </w:r>
    </w:p>
    <w:p w14:paraId="3144ABF3">
      <w:pPr>
        <w:pStyle w:val="13"/>
        <w:spacing w:line="360" w:lineRule="auto"/>
        <w:ind w:firstLine="480" w:firstLineChars="200"/>
        <w:rPr>
          <w:rFonts w:hint="eastAsia" w:asciiTheme="minorEastAsia" w:hAnsiTheme="minorEastAsia" w:eastAsiaTheme="minorEastAsia"/>
          <w:lang w:eastAsia="zh-TW"/>
        </w:rPr>
      </w:pPr>
      <w:r>
        <w:rPr>
          <w:rFonts w:hint="eastAsia" w:asciiTheme="minorEastAsia" w:hAnsiTheme="minorEastAsia" w:eastAsiaTheme="minorEastAsia"/>
          <w:highlight w:val="none"/>
          <w:lang w:eastAsia="zh-TW"/>
        </w:rPr>
        <w:t>（2）验收标准：本项目投标人须合同签订后12个月内完成系统安装、调试及上线运行工作。</w:t>
      </w:r>
      <w:r>
        <w:rPr>
          <w:rFonts w:hint="eastAsia" w:asciiTheme="minorEastAsia" w:hAnsiTheme="minorEastAsia" w:eastAsiaTheme="minorEastAsia"/>
          <w:highlight w:val="none"/>
          <w:lang w:val="en-US" w:eastAsia="zh-CN"/>
        </w:rPr>
        <w:t>此次招标建设内容</w:t>
      </w:r>
      <w:r>
        <w:rPr>
          <w:rFonts w:hint="eastAsia" w:asciiTheme="minorEastAsia" w:hAnsiTheme="minorEastAsia" w:eastAsiaTheme="minorEastAsia"/>
          <w:highlight w:val="none"/>
          <w:lang w:eastAsia="zh-TW"/>
        </w:rPr>
        <w:t>功能点达到</w:t>
      </w:r>
      <w:r>
        <w:rPr>
          <w:rFonts w:hint="eastAsia" w:asciiTheme="minorEastAsia" w:hAnsiTheme="minorEastAsia" w:eastAsiaTheme="minorEastAsia"/>
        </w:rPr>
        <w:t>互联互通标准化成熟度测评</w:t>
      </w:r>
      <w:r>
        <w:rPr>
          <w:rFonts w:hint="eastAsia" w:asciiTheme="minorEastAsia" w:hAnsiTheme="minorEastAsia" w:eastAsiaTheme="minorEastAsia"/>
          <w:lang w:val="en-US" w:eastAsia="zh-CN"/>
        </w:rPr>
        <w:t>五乙功能</w:t>
      </w:r>
      <w:r>
        <w:rPr>
          <w:rFonts w:hint="eastAsia" w:asciiTheme="minorEastAsia" w:hAnsiTheme="minorEastAsia" w:eastAsiaTheme="minorEastAsia"/>
        </w:rPr>
        <w:t>要求</w:t>
      </w:r>
      <w:r>
        <w:rPr>
          <w:rFonts w:hint="eastAsia" w:asciiTheme="minorEastAsia" w:hAnsiTheme="minorEastAsia" w:eastAsiaTheme="minorEastAsia"/>
          <w:lang w:eastAsia="zh-CN"/>
        </w:rPr>
        <w:t>。</w:t>
      </w:r>
      <w:r>
        <w:rPr>
          <w:rFonts w:hint="eastAsia" w:asciiTheme="minorEastAsia" w:hAnsiTheme="minorEastAsia" w:eastAsiaTheme="minorEastAsia"/>
          <w:lang w:eastAsia="zh-TW"/>
        </w:rPr>
        <w:t>。</w:t>
      </w:r>
      <w:bookmarkStart w:id="27" w:name="_Toc323201210"/>
      <w:bookmarkStart w:id="28" w:name="_Toc73086582"/>
      <w:bookmarkStart w:id="29" w:name="_Toc227122395"/>
    </w:p>
    <w:p w14:paraId="18313178">
      <w:pPr>
        <w:pStyle w:val="4"/>
        <w:spacing w:before="312" w:after="312" w:afterAutospacing="1" w:line="360" w:lineRule="auto"/>
        <w:ind w:left="426"/>
        <w:textAlignment w:val="baseline"/>
        <w:rPr>
          <w:rFonts w:asciiTheme="minorEastAsia" w:hAnsiTheme="minorEastAsia" w:eastAsiaTheme="minorEastAsia"/>
        </w:rPr>
      </w:pPr>
      <w:r>
        <w:rPr>
          <w:rFonts w:hint="eastAsia" w:asciiTheme="minorEastAsia" w:hAnsiTheme="minorEastAsia" w:eastAsiaTheme="minorEastAsia"/>
        </w:rPr>
        <w:t>2、培训要求</w:t>
      </w:r>
      <w:bookmarkEnd w:id="27"/>
      <w:bookmarkEnd w:id="28"/>
      <w:bookmarkEnd w:id="29"/>
    </w:p>
    <w:p w14:paraId="61214937">
      <w:pPr>
        <w:pStyle w:val="13"/>
        <w:spacing w:line="360" w:lineRule="auto"/>
        <w:ind w:firstLine="480" w:firstLineChars="200"/>
        <w:rPr>
          <w:rFonts w:hint="eastAsia" w:asciiTheme="minorEastAsia" w:hAnsiTheme="minorEastAsia" w:eastAsiaTheme="minorEastAsia"/>
          <w:highlight w:val="none"/>
          <w:lang w:eastAsia="zh-TW"/>
        </w:rPr>
      </w:pPr>
      <w:r>
        <w:rPr>
          <w:rFonts w:hint="eastAsia" w:asciiTheme="minorEastAsia" w:hAnsiTheme="minorEastAsia" w:eastAsiaTheme="minorEastAsia"/>
          <w:highlight w:val="none"/>
          <w:lang w:eastAsia="zh-CN"/>
        </w:rPr>
        <w:t>（</w:t>
      </w:r>
      <w:r>
        <w:rPr>
          <w:rFonts w:hint="eastAsia" w:asciiTheme="minorEastAsia" w:hAnsiTheme="minorEastAsia" w:eastAsiaTheme="minorEastAsia"/>
          <w:highlight w:val="none"/>
          <w:lang w:val="en-US" w:eastAsia="zh-CN"/>
        </w:rPr>
        <w:t>1</w:t>
      </w:r>
      <w:r>
        <w:rPr>
          <w:rFonts w:hint="eastAsia" w:asciiTheme="minorEastAsia" w:hAnsiTheme="minorEastAsia" w:eastAsiaTheme="minorEastAsia"/>
          <w:highlight w:val="none"/>
          <w:lang w:eastAsia="zh-CN"/>
        </w:rPr>
        <w:t>）</w:t>
      </w:r>
      <w:r>
        <w:rPr>
          <w:rFonts w:hint="eastAsia" w:asciiTheme="minorEastAsia" w:hAnsiTheme="minorEastAsia" w:eastAsiaTheme="minorEastAsia"/>
          <w:highlight w:val="none"/>
          <w:lang w:eastAsia="zh-TW"/>
        </w:rPr>
        <w:t>为保证医院信息化系统正常、安全地运行，技术支持力量和优良的服务是系统正常、安全运行的保障。投标方应据此制定系统详细的技术支持与服务方案。</w:t>
      </w:r>
    </w:p>
    <w:p w14:paraId="0043D089">
      <w:pPr>
        <w:pStyle w:val="13"/>
        <w:spacing w:line="360" w:lineRule="auto"/>
        <w:ind w:firstLine="480" w:firstLineChars="200"/>
        <w:rPr>
          <w:rFonts w:hint="eastAsia" w:asciiTheme="minorEastAsia" w:hAnsiTheme="minorEastAsia" w:eastAsiaTheme="minorEastAsia"/>
          <w:highlight w:val="none"/>
          <w:lang w:eastAsia="zh-TW"/>
        </w:rPr>
      </w:pPr>
      <w:r>
        <w:rPr>
          <w:rFonts w:hint="eastAsia" w:asciiTheme="minorEastAsia" w:hAnsiTheme="minorEastAsia" w:eastAsiaTheme="minorEastAsia"/>
          <w:highlight w:val="none"/>
          <w:lang w:eastAsia="zh-CN"/>
        </w:rPr>
        <w:t>（</w:t>
      </w:r>
      <w:r>
        <w:rPr>
          <w:rFonts w:hint="eastAsia" w:asciiTheme="minorEastAsia" w:hAnsiTheme="minorEastAsia" w:eastAsiaTheme="minorEastAsia"/>
          <w:highlight w:val="none"/>
          <w:lang w:val="en-US" w:eastAsia="zh-CN"/>
        </w:rPr>
        <w:t>2</w:t>
      </w:r>
      <w:r>
        <w:rPr>
          <w:rFonts w:hint="eastAsia" w:asciiTheme="minorEastAsia" w:hAnsiTheme="minorEastAsia" w:eastAsiaTheme="minorEastAsia"/>
          <w:highlight w:val="none"/>
          <w:lang w:eastAsia="zh-CN"/>
        </w:rPr>
        <w:t>）</w:t>
      </w:r>
      <w:r>
        <w:rPr>
          <w:rFonts w:hint="eastAsia" w:asciiTheme="minorEastAsia" w:hAnsiTheme="minorEastAsia" w:eastAsiaTheme="minorEastAsia"/>
          <w:highlight w:val="none"/>
          <w:lang w:eastAsia="zh-TW"/>
        </w:rPr>
        <w:t>投标人必须在对整个项目过程进行科学、有效的项目管理，以确保项目质量和进度，避免扰乱院方正常工作秩序和流程，并节省院方各类资源，充分发挥系统效益。</w:t>
      </w:r>
    </w:p>
    <w:p w14:paraId="4A8BD48D">
      <w:pPr>
        <w:pStyle w:val="13"/>
        <w:spacing w:line="360" w:lineRule="auto"/>
        <w:ind w:firstLine="480" w:firstLineChars="200"/>
        <w:rPr>
          <w:rFonts w:hint="eastAsia" w:asciiTheme="minorEastAsia" w:hAnsiTheme="minorEastAsia" w:eastAsiaTheme="minorEastAsia"/>
          <w:highlight w:val="none"/>
          <w:lang w:eastAsia="zh-TW"/>
        </w:rPr>
      </w:pPr>
      <w:r>
        <w:rPr>
          <w:rFonts w:hint="eastAsia" w:asciiTheme="minorEastAsia" w:hAnsiTheme="minorEastAsia" w:eastAsiaTheme="minorEastAsia"/>
          <w:highlight w:val="none"/>
          <w:lang w:eastAsia="zh-CN"/>
        </w:rPr>
        <w:t>（</w:t>
      </w:r>
      <w:r>
        <w:rPr>
          <w:rFonts w:hint="eastAsia" w:asciiTheme="minorEastAsia" w:hAnsiTheme="minorEastAsia" w:eastAsiaTheme="minorEastAsia"/>
          <w:highlight w:val="none"/>
          <w:lang w:val="en-US" w:eastAsia="zh-CN"/>
        </w:rPr>
        <w:t>3</w:t>
      </w:r>
      <w:r>
        <w:rPr>
          <w:rFonts w:hint="eastAsia" w:asciiTheme="minorEastAsia" w:hAnsiTheme="minorEastAsia" w:eastAsiaTheme="minorEastAsia"/>
          <w:highlight w:val="none"/>
          <w:lang w:eastAsia="zh-CN"/>
        </w:rPr>
        <w:t>）</w:t>
      </w:r>
      <w:r>
        <w:rPr>
          <w:rFonts w:hint="eastAsia" w:asciiTheme="minorEastAsia" w:hAnsiTheme="minorEastAsia" w:eastAsiaTheme="minorEastAsia"/>
          <w:highlight w:val="none"/>
          <w:lang w:eastAsia="zh-TW"/>
        </w:rPr>
        <w:t>在整个项目期间，中标人在各类故障的排除工作中，记录故障情况，分析故障原因，制定科学、合理、有效可行的解决方案，形成文档。</w:t>
      </w:r>
    </w:p>
    <w:p w14:paraId="1A6F6A16">
      <w:pPr>
        <w:pStyle w:val="13"/>
        <w:spacing w:line="360" w:lineRule="auto"/>
        <w:ind w:firstLine="480" w:firstLineChars="200"/>
        <w:rPr>
          <w:rFonts w:hint="eastAsia" w:asciiTheme="minorEastAsia" w:hAnsiTheme="minorEastAsia" w:eastAsiaTheme="minorEastAsia"/>
          <w:highlight w:val="none"/>
          <w:lang w:eastAsia="zh-TW"/>
        </w:rPr>
      </w:pPr>
      <w:r>
        <w:rPr>
          <w:rFonts w:hint="eastAsia" w:asciiTheme="minorEastAsia" w:hAnsiTheme="minorEastAsia" w:eastAsiaTheme="minorEastAsia"/>
          <w:highlight w:val="none"/>
          <w:lang w:eastAsia="zh-CN"/>
        </w:rPr>
        <w:t>（</w:t>
      </w:r>
      <w:r>
        <w:rPr>
          <w:rFonts w:hint="eastAsia" w:asciiTheme="minorEastAsia" w:hAnsiTheme="minorEastAsia" w:eastAsiaTheme="minorEastAsia"/>
          <w:highlight w:val="none"/>
          <w:lang w:val="en-US" w:eastAsia="zh-CN"/>
        </w:rPr>
        <w:t>4</w:t>
      </w:r>
      <w:r>
        <w:rPr>
          <w:rFonts w:hint="eastAsia" w:asciiTheme="minorEastAsia" w:hAnsiTheme="minorEastAsia" w:eastAsiaTheme="minorEastAsia"/>
          <w:highlight w:val="none"/>
          <w:lang w:eastAsia="zh-CN"/>
        </w:rPr>
        <w:t>）</w:t>
      </w:r>
      <w:r>
        <w:rPr>
          <w:rFonts w:hint="eastAsia" w:asciiTheme="minorEastAsia" w:hAnsiTheme="minorEastAsia" w:eastAsiaTheme="minorEastAsia"/>
          <w:highlight w:val="none"/>
          <w:lang w:eastAsia="zh-TW"/>
        </w:rPr>
        <w:t>培训工作是整个系统得以正常运行的关键，除了对普通业务人员的专项培训以外，应对系统维护人员进行系统维护人员进行系统维护的培训。</w:t>
      </w:r>
    </w:p>
    <w:p w14:paraId="450C0B74">
      <w:pPr>
        <w:pStyle w:val="4"/>
        <w:spacing w:before="312" w:after="312" w:afterAutospacing="1" w:line="360" w:lineRule="auto"/>
        <w:ind w:left="426"/>
        <w:textAlignment w:val="baseline"/>
        <w:rPr>
          <w:rFonts w:asciiTheme="minorEastAsia" w:hAnsiTheme="minorEastAsia" w:eastAsiaTheme="minorEastAsia"/>
        </w:rPr>
      </w:pPr>
      <w:bookmarkStart w:id="30" w:name="_Toc227122396"/>
      <w:bookmarkStart w:id="31" w:name="_Toc323201211"/>
      <w:bookmarkStart w:id="32" w:name="_Toc73086583"/>
      <w:r>
        <w:rPr>
          <w:rFonts w:hint="eastAsia" w:asciiTheme="minorEastAsia" w:hAnsiTheme="minorEastAsia" w:eastAsiaTheme="minorEastAsia"/>
          <w:lang w:val="en-US" w:eastAsia="zh-CN"/>
        </w:rPr>
        <w:t>3、</w:t>
      </w:r>
      <w:r>
        <w:rPr>
          <w:rFonts w:hint="eastAsia" w:asciiTheme="minorEastAsia" w:hAnsiTheme="minorEastAsia" w:eastAsiaTheme="minorEastAsia"/>
        </w:rPr>
        <w:t>售后服务要求</w:t>
      </w:r>
      <w:bookmarkEnd w:id="30"/>
      <w:bookmarkEnd w:id="31"/>
      <w:bookmarkEnd w:id="32"/>
    </w:p>
    <w:p w14:paraId="0B8D0ED8">
      <w:pPr>
        <w:spacing w:line="360" w:lineRule="auto"/>
        <w:ind w:firstLine="439"/>
        <w:textAlignment w:val="baseline"/>
        <w:rPr>
          <w:rFonts w:asciiTheme="minorEastAsia" w:hAnsiTheme="minorEastAsia" w:eastAsiaTheme="minorEastAsia"/>
          <w:color w:val="000000"/>
          <w:sz w:val="24"/>
        </w:rPr>
      </w:pPr>
      <w:r>
        <w:rPr>
          <w:rFonts w:hint="eastAsia" w:asciiTheme="minorEastAsia" w:hAnsiTheme="minorEastAsia" w:eastAsiaTheme="minorEastAsia"/>
          <w:color w:val="000000"/>
          <w:sz w:val="24"/>
        </w:rPr>
        <w:t>（1）所有软件产品的质保期自本项目终验合格书签订之日起开始计算。对于应用系统开发，投标人应提供软件壹年免费维护。软件产品7×24小时软件工程师远程维护。</w:t>
      </w:r>
    </w:p>
    <w:p w14:paraId="13CD7292">
      <w:pPr>
        <w:spacing w:line="360" w:lineRule="auto"/>
        <w:ind w:firstLine="439"/>
        <w:textAlignment w:val="baseline"/>
        <w:rPr>
          <w:rFonts w:asciiTheme="minorEastAsia" w:hAnsiTheme="minorEastAsia" w:eastAsiaTheme="minorEastAsia"/>
          <w:color w:val="000000"/>
          <w:sz w:val="24"/>
        </w:rPr>
      </w:pPr>
      <w:r>
        <w:rPr>
          <w:rFonts w:hint="eastAsia" w:asciiTheme="minorEastAsia" w:hAnsiTheme="minorEastAsia" w:eastAsiaTheme="minorEastAsia"/>
          <w:color w:val="000000"/>
          <w:sz w:val="24"/>
        </w:rPr>
        <w:t>（2）工程建设期间及免费质保期均属于免费服务期，该期限内的所有售后服务，包括软件维护、软件同版本升级所产生的费用均由投标人承担。</w:t>
      </w:r>
    </w:p>
    <w:p w14:paraId="3578333C">
      <w:pPr>
        <w:spacing w:line="360" w:lineRule="auto"/>
        <w:ind w:firstLine="439"/>
        <w:textAlignment w:val="baseline"/>
        <w:rPr>
          <w:rFonts w:asciiTheme="minorEastAsia" w:hAnsiTheme="minorEastAsia" w:eastAsiaTheme="minorEastAsia"/>
          <w:color w:val="000000"/>
          <w:sz w:val="24"/>
        </w:rPr>
      </w:pPr>
      <w:r>
        <w:rPr>
          <w:rFonts w:hint="eastAsia" w:asciiTheme="minorEastAsia" w:hAnsiTheme="minorEastAsia" w:eastAsiaTheme="minorEastAsia"/>
          <w:color w:val="000000"/>
          <w:sz w:val="24"/>
        </w:rPr>
        <w:t>（</w:t>
      </w:r>
      <w:r>
        <w:rPr>
          <w:rFonts w:hint="eastAsia" w:asciiTheme="minorEastAsia" w:hAnsiTheme="minorEastAsia" w:eastAsiaTheme="minorEastAsia"/>
          <w:color w:val="000000"/>
          <w:sz w:val="24"/>
          <w:lang w:val="en-US" w:eastAsia="zh-CN"/>
        </w:rPr>
        <w:t>3</w:t>
      </w:r>
      <w:r>
        <w:rPr>
          <w:rFonts w:hint="eastAsia" w:asciiTheme="minorEastAsia" w:hAnsiTheme="minorEastAsia" w:eastAsiaTheme="minorEastAsia"/>
          <w:color w:val="000000"/>
          <w:sz w:val="24"/>
        </w:rPr>
        <w:t>）投标人作为服务方，应提供应用软件维保期内的7</w:t>
      </w:r>
      <w:r>
        <w:rPr>
          <w:rFonts w:asciiTheme="minorEastAsia" w:hAnsiTheme="minorEastAsia" w:eastAsiaTheme="minorEastAsia"/>
          <w:color w:val="000000"/>
          <w:sz w:val="24"/>
        </w:rPr>
        <w:t>*24</w:t>
      </w:r>
      <w:r>
        <w:rPr>
          <w:rFonts w:hint="eastAsia" w:asciiTheme="minorEastAsia" w:hAnsiTheme="minorEastAsia" w:eastAsiaTheme="minorEastAsia"/>
          <w:color w:val="000000"/>
          <w:sz w:val="24"/>
        </w:rPr>
        <w:t>小时免费服务，医院工作日白天（8：00-17：00）故障响应时间20分钟。非工作日及夜间故障响应时间为1小时。2小时内到达现场，一般问题3小时内修复。免费期内对系统优化和常规安全检查。定时维护服务：每季度1次。</w:t>
      </w:r>
    </w:p>
    <w:p w14:paraId="2BF41D07">
      <w:pPr>
        <w:spacing w:line="360" w:lineRule="auto"/>
        <w:ind w:firstLine="439"/>
        <w:textAlignment w:val="baseline"/>
        <w:rPr>
          <w:rFonts w:asciiTheme="minorEastAsia" w:hAnsiTheme="minorEastAsia" w:eastAsiaTheme="minorEastAsia"/>
          <w:color w:val="000000"/>
          <w:sz w:val="24"/>
        </w:rPr>
      </w:pPr>
      <w:r>
        <w:rPr>
          <w:rFonts w:hint="eastAsia" w:asciiTheme="minorEastAsia" w:hAnsiTheme="minorEastAsia" w:eastAsiaTheme="minorEastAsia"/>
          <w:color w:val="000000"/>
          <w:sz w:val="24"/>
        </w:rPr>
        <w:t>（</w:t>
      </w:r>
      <w:r>
        <w:rPr>
          <w:rFonts w:hint="eastAsia" w:asciiTheme="minorEastAsia" w:hAnsiTheme="minorEastAsia" w:eastAsiaTheme="minorEastAsia"/>
          <w:color w:val="000000"/>
          <w:sz w:val="24"/>
          <w:lang w:val="en-US" w:eastAsia="zh-CN"/>
        </w:rPr>
        <w:t>4</w:t>
      </w:r>
      <w:r>
        <w:rPr>
          <w:rFonts w:hint="eastAsia" w:asciiTheme="minorEastAsia" w:hAnsiTheme="minorEastAsia" w:eastAsiaTheme="minorEastAsia"/>
          <w:color w:val="000000"/>
          <w:sz w:val="24"/>
        </w:rPr>
        <w:t>）针对本次项目，投标人做</w:t>
      </w:r>
      <w:r>
        <w:rPr>
          <w:rFonts w:asciiTheme="minorEastAsia" w:hAnsiTheme="minorEastAsia" w:eastAsiaTheme="minorEastAsia"/>
          <w:color w:val="000000"/>
          <w:sz w:val="24"/>
        </w:rPr>
        <w:t>出无推诿承诺。即提供特殊措施，无论由于哪一方产生的问题而使系统发生不正常情况时，在得到</w:t>
      </w:r>
      <w:r>
        <w:rPr>
          <w:rFonts w:hint="eastAsia" w:asciiTheme="minorEastAsia" w:hAnsiTheme="minorEastAsia" w:eastAsiaTheme="minorEastAsia"/>
          <w:color w:val="000000"/>
          <w:sz w:val="24"/>
        </w:rPr>
        <w:t>医院（</w:t>
      </w:r>
      <w:r>
        <w:rPr>
          <w:rFonts w:asciiTheme="minorEastAsia" w:hAnsiTheme="minorEastAsia" w:eastAsiaTheme="minorEastAsia"/>
          <w:color w:val="000000"/>
          <w:sz w:val="24"/>
        </w:rPr>
        <w:t>或使用方）通知后，须立即派工程师</w:t>
      </w:r>
      <w:r>
        <w:rPr>
          <w:rFonts w:hint="eastAsia" w:asciiTheme="minorEastAsia" w:hAnsiTheme="minorEastAsia" w:eastAsiaTheme="minorEastAsia"/>
          <w:color w:val="000000"/>
          <w:sz w:val="24"/>
        </w:rPr>
        <w:t>进行对接调试</w:t>
      </w:r>
      <w:r>
        <w:rPr>
          <w:rFonts w:asciiTheme="minorEastAsia" w:hAnsiTheme="minorEastAsia" w:eastAsiaTheme="minorEastAsia"/>
          <w:color w:val="000000"/>
          <w:sz w:val="24"/>
        </w:rPr>
        <w:t>，</w:t>
      </w:r>
      <w:r>
        <w:rPr>
          <w:rFonts w:hint="eastAsia" w:asciiTheme="minorEastAsia" w:hAnsiTheme="minorEastAsia" w:eastAsiaTheme="minorEastAsia"/>
          <w:color w:val="000000"/>
          <w:sz w:val="24"/>
        </w:rPr>
        <w:t>如必要须到现场支持，</w:t>
      </w:r>
      <w:r>
        <w:rPr>
          <w:rFonts w:asciiTheme="minorEastAsia" w:hAnsiTheme="minorEastAsia" w:eastAsiaTheme="minorEastAsia"/>
          <w:color w:val="000000"/>
          <w:sz w:val="24"/>
        </w:rPr>
        <w:t>全力协助其他供应商，使系统尽快恢复正常。</w:t>
      </w:r>
    </w:p>
    <w:p w14:paraId="6144ACFC">
      <w:pPr>
        <w:spacing w:line="360" w:lineRule="auto"/>
        <w:ind w:firstLine="439"/>
        <w:textAlignment w:val="baseline"/>
        <w:rPr>
          <w:rFonts w:asciiTheme="minorEastAsia" w:hAnsiTheme="minorEastAsia" w:eastAsiaTheme="minorEastAsia"/>
          <w:color w:val="000000"/>
          <w:sz w:val="24"/>
        </w:rPr>
      </w:pPr>
      <w:r>
        <w:rPr>
          <w:rFonts w:hint="eastAsia" w:asciiTheme="minorEastAsia" w:hAnsiTheme="minorEastAsia" w:eastAsiaTheme="minorEastAsia"/>
          <w:color w:val="000000"/>
          <w:sz w:val="24"/>
        </w:rPr>
        <w:t>（</w:t>
      </w:r>
      <w:r>
        <w:rPr>
          <w:rFonts w:hint="eastAsia" w:asciiTheme="minorEastAsia" w:hAnsiTheme="minorEastAsia" w:eastAsiaTheme="minorEastAsia"/>
          <w:color w:val="000000"/>
          <w:sz w:val="24"/>
          <w:lang w:val="en-US" w:eastAsia="zh-CN"/>
        </w:rPr>
        <w:t>5</w:t>
      </w:r>
      <w:r>
        <w:rPr>
          <w:rFonts w:hint="eastAsia" w:asciiTheme="minorEastAsia" w:hAnsiTheme="minorEastAsia" w:eastAsiaTheme="minorEastAsia"/>
          <w:color w:val="000000"/>
          <w:sz w:val="24"/>
        </w:rPr>
        <w:t>）投标人承诺</w:t>
      </w:r>
      <w:r>
        <w:rPr>
          <w:rFonts w:asciiTheme="minorEastAsia" w:hAnsiTheme="minorEastAsia" w:eastAsiaTheme="minorEastAsia"/>
          <w:color w:val="000000"/>
          <w:sz w:val="24"/>
        </w:rPr>
        <w:t>保证所提供的所有产品皆不侵犯任何第三方的版权、知识产权和其他合法权利。</w:t>
      </w:r>
    </w:p>
    <w:p w14:paraId="3C96FFA7">
      <w:pPr>
        <w:spacing w:line="360" w:lineRule="auto"/>
        <w:ind w:firstLine="439"/>
        <w:textAlignment w:val="baseline"/>
        <w:rPr>
          <w:rFonts w:asciiTheme="minorEastAsia" w:hAnsiTheme="minorEastAsia" w:eastAsiaTheme="minorEastAsia"/>
          <w:color w:val="000000"/>
          <w:sz w:val="24"/>
        </w:rPr>
      </w:pPr>
      <w:r>
        <w:rPr>
          <w:rFonts w:hint="eastAsia" w:asciiTheme="minorEastAsia" w:hAnsiTheme="minorEastAsia" w:eastAsiaTheme="minorEastAsia"/>
          <w:color w:val="000000"/>
          <w:sz w:val="24"/>
        </w:rPr>
        <w:t>（</w:t>
      </w:r>
      <w:r>
        <w:rPr>
          <w:rFonts w:hint="eastAsia" w:asciiTheme="minorEastAsia" w:hAnsiTheme="minorEastAsia" w:eastAsiaTheme="minorEastAsia"/>
          <w:color w:val="000000"/>
          <w:sz w:val="24"/>
          <w:lang w:val="en-US" w:eastAsia="zh-CN"/>
        </w:rPr>
        <w:t>6</w:t>
      </w:r>
      <w:r>
        <w:rPr>
          <w:rFonts w:hint="eastAsia" w:asciiTheme="minorEastAsia" w:hAnsiTheme="minorEastAsia" w:eastAsiaTheme="minorEastAsia"/>
          <w:color w:val="000000"/>
          <w:sz w:val="24"/>
        </w:rPr>
        <w:t>）承诺可以为本项目设立技术中心，为用户提供全面专业的技术支持，为用户提供</w:t>
      </w:r>
      <w:r>
        <w:rPr>
          <w:rFonts w:asciiTheme="minorEastAsia" w:hAnsiTheme="minorEastAsia" w:eastAsiaTheme="minorEastAsia"/>
          <w:color w:val="000000"/>
          <w:sz w:val="24"/>
        </w:rPr>
        <w:t>中文电话免费咨询服务</w:t>
      </w:r>
      <w:r>
        <w:rPr>
          <w:rFonts w:hint="eastAsia" w:asciiTheme="minorEastAsia" w:hAnsiTheme="minorEastAsia" w:eastAsiaTheme="minorEastAsia"/>
          <w:color w:val="000000"/>
          <w:sz w:val="24"/>
        </w:rPr>
        <w:t>。</w:t>
      </w:r>
    </w:p>
    <w:p w14:paraId="7A3121F3">
      <w:pPr>
        <w:spacing w:line="360" w:lineRule="auto"/>
        <w:ind w:firstLine="439"/>
        <w:textAlignment w:val="baseline"/>
        <w:rPr>
          <w:rFonts w:asciiTheme="minorEastAsia" w:hAnsiTheme="minorEastAsia" w:eastAsiaTheme="minorEastAsia"/>
          <w:color w:val="000000"/>
          <w:sz w:val="24"/>
        </w:rPr>
      </w:pPr>
      <w:r>
        <w:rPr>
          <w:rFonts w:hint="eastAsia" w:asciiTheme="minorEastAsia" w:hAnsiTheme="minorEastAsia" w:eastAsiaTheme="minorEastAsia"/>
          <w:color w:val="000000"/>
          <w:sz w:val="24"/>
        </w:rPr>
        <w:t>（</w:t>
      </w:r>
      <w:r>
        <w:rPr>
          <w:rFonts w:hint="eastAsia" w:asciiTheme="minorEastAsia" w:hAnsiTheme="minorEastAsia" w:eastAsiaTheme="minorEastAsia"/>
          <w:color w:val="000000"/>
          <w:sz w:val="24"/>
          <w:lang w:val="en-US" w:eastAsia="zh-CN"/>
        </w:rPr>
        <w:t>7</w:t>
      </w:r>
      <w:r>
        <w:rPr>
          <w:rFonts w:hint="eastAsia" w:asciiTheme="minorEastAsia" w:hAnsiTheme="minorEastAsia" w:eastAsiaTheme="minorEastAsia"/>
          <w:color w:val="000000"/>
          <w:sz w:val="24"/>
        </w:rPr>
        <w:t>）投标人在每一维护周期结束后提供维护报告。</w:t>
      </w:r>
    </w:p>
    <w:p w14:paraId="7CF12884">
      <w:pPr>
        <w:spacing w:line="360" w:lineRule="auto"/>
        <w:ind w:firstLine="439"/>
        <w:textAlignment w:val="baseline"/>
        <w:rPr>
          <w:rFonts w:asciiTheme="minorEastAsia" w:hAnsiTheme="minorEastAsia" w:eastAsiaTheme="minorEastAsia"/>
          <w:color w:val="000000"/>
          <w:sz w:val="24"/>
        </w:rPr>
      </w:pPr>
      <w:r>
        <w:rPr>
          <w:rFonts w:hint="eastAsia" w:asciiTheme="minorEastAsia" w:hAnsiTheme="minorEastAsia" w:eastAsiaTheme="minorEastAsia"/>
          <w:color w:val="000000"/>
          <w:sz w:val="24"/>
        </w:rPr>
        <w:t>（</w:t>
      </w:r>
      <w:r>
        <w:rPr>
          <w:rFonts w:hint="eastAsia" w:asciiTheme="minorEastAsia" w:hAnsiTheme="minorEastAsia" w:eastAsiaTheme="minorEastAsia"/>
          <w:color w:val="000000"/>
          <w:sz w:val="24"/>
          <w:lang w:val="en-US" w:eastAsia="zh-CN"/>
        </w:rPr>
        <w:t>8</w:t>
      </w:r>
      <w:r>
        <w:rPr>
          <w:rFonts w:hint="eastAsia" w:asciiTheme="minorEastAsia" w:hAnsiTheme="minorEastAsia" w:eastAsiaTheme="minorEastAsia"/>
          <w:color w:val="000000"/>
          <w:sz w:val="24"/>
        </w:rPr>
        <w:t>）投标人承诺为本次项目</w:t>
      </w:r>
      <w:r>
        <w:rPr>
          <w:rFonts w:asciiTheme="minorEastAsia" w:hAnsiTheme="minorEastAsia" w:eastAsiaTheme="minorEastAsia"/>
          <w:color w:val="000000"/>
          <w:sz w:val="24"/>
        </w:rPr>
        <w:t>提供优质的整体</w:t>
      </w:r>
      <w:r>
        <w:rPr>
          <w:rFonts w:hint="eastAsia" w:asciiTheme="minorEastAsia" w:hAnsiTheme="minorEastAsia" w:eastAsiaTheme="minorEastAsia"/>
          <w:color w:val="000000"/>
          <w:sz w:val="24"/>
        </w:rPr>
        <w:t>培训</w:t>
      </w:r>
      <w:r>
        <w:rPr>
          <w:rFonts w:asciiTheme="minorEastAsia" w:hAnsiTheme="minorEastAsia" w:eastAsiaTheme="minorEastAsia"/>
          <w:color w:val="000000"/>
          <w:sz w:val="24"/>
        </w:rPr>
        <w:t>服务，培训</w:t>
      </w:r>
      <w:r>
        <w:rPr>
          <w:rFonts w:hint="eastAsia" w:asciiTheme="minorEastAsia" w:hAnsiTheme="minorEastAsia" w:eastAsiaTheme="minorEastAsia"/>
          <w:color w:val="000000"/>
          <w:sz w:val="24"/>
        </w:rPr>
        <w:t>内容</w:t>
      </w:r>
      <w:r>
        <w:rPr>
          <w:rFonts w:asciiTheme="minorEastAsia" w:hAnsiTheme="minorEastAsia" w:eastAsiaTheme="minorEastAsia"/>
          <w:color w:val="000000"/>
          <w:sz w:val="24"/>
        </w:rPr>
        <w:t>包括对</w:t>
      </w:r>
      <w:r>
        <w:rPr>
          <w:rFonts w:hint="eastAsia" w:asciiTheme="minorEastAsia" w:hAnsiTheme="minorEastAsia" w:eastAsiaTheme="minorEastAsia"/>
          <w:color w:val="000000"/>
          <w:sz w:val="24"/>
        </w:rPr>
        <w:t>系统软件的</w:t>
      </w:r>
      <w:r>
        <w:rPr>
          <w:rFonts w:asciiTheme="minorEastAsia" w:hAnsiTheme="minorEastAsia" w:eastAsiaTheme="minorEastAsia"/>
          <w:color w:val="000000"/>
          <w:sz w:val="24"/>
        </w:rPr>
        <w:t>技术培训，以及对应用功能的操作培训</w:t>
      </w:r>
      <w:r>
        <w:rPr>
          <w:rFonts w:hint="eastAsia" w:asciiTheme="minorEastAsia" w:hAnsiTheme="minorEastAsia" w:eastAsiaTheme="minorEastAsia"/>
          <w:color w:val="000000"/>
          <w:sz w:val="24"/>
        </w:rPr>
        <w:t>，以</w:t>
      </w:r>
      <w:r>
        <w:rPr>
          <w:rFonts w:asciiTheme="minorEastAsia" w:hAnsiTheme="minorEastAsia" w:eastAsiaTheme="minorEastAsia"/>
          <w:color w:val="000000"/>
          <w:sz w:val="24"/>
        </w:rPr>
        <w:t>保障工程的整体质量。</w:t>
      </w:r>
    </w:p>
    <w:p w14:paraId="450EA4A5">
      <w:pPr>
        <w:spacing w:line="360" w:lineRule="auto"/>
        <w:ind w:firstLine="439"/>
        <w:textAlignment w:val="baseline"/>
        <w:rPr>
          <w:rFonts w:hint="eastAsia" w:asciiTheme="minorEastAsia" w:hAnsiTheme="minorEastAsia" w:eastAsiaTheme="minorEastAsia"/>
          <w:color w:val="000000"/>
          <w:sz w:val="24"/>
          <w:lang w:eastAsia="zh-CN"/>
        </w:rPr>
      </w:pPr>
      <w:r>
        <w:rPr>
          <w:rFonts w:hint="eastAsia" w:asciiTheme="minorEastAsia" w:hAnsiTheme="minorEastAsia" w:eastAsiaTheme="minorEastAsia"/>
          <w:color w:val="000000"/>
          <w:sz w:val="24"/>
          <w:lang w:eastAsia="zh-CN"/>
        </w:rPr>
        <w:t>（</w:t>
      </w:r>
      <w:r>
        <w:rPr>
          <w:rFonts w:hint="eastAsia" w:asciiTheme="minorEastAsia" w:hAnsiTheme="minorEastAsia" w:eastAsiaTheme="minorEastAsia"/>
          <w:color w:val="000000"/>
          <w:sz w:val="24"/>
          <w:lang w:val="en-US" w:eastAsia="zh-CN"/>
        </w:rPr>
        <w:t>9</w:t>
      </w:r>
      <w:r>
        <w:rPr>
          <w:rFonts w:hint="eastAsia" w:asciiTheme="minorEastAsia" w:hAnsiTheme="minorEastAsia" w:eastAsiaTheme="minorEastAsia"/>
          <w:color w:val="000000"/>
          <w:sz w:val="24"/>
          <w:lang w:eastAsia="zh-CN"/>
        </w:rPr>
        <w:t>）投</w:t>
      </w:r>
      <w:r>
        <w:rPr>
          <w:rFonts w:hint="eastAsia" w:asciiTheme="minorEastAsia" w:hAnsiTheme="minorEastAsia" w:eastAsiaTheme="minorEastAsia"/>
          <w:color w:val="000000"/>
          <w:sz w:val="24"/>
          <w:lang w:val="en-US" w:eastAsia="zh-CN"/>
        </w:rPr>
        <w:t>标</w:t>
      </w:r>
      <w:r>
        <w:rPr>
          <w:rFonts w:hint="eastAsia" w:asciiTheme="minorEastAsia" w:hAnsiTheme="minorEastAsia" w:eastAsiaTheme="minorEastAsia"/>
          <w:color w:val="000000"/>
          <w:sz w:val="24"/>
          <w:lang w:eastAsia="zh-CN"/>
        </w:rPr>
        <w:t>人应配合医院完成实证材料准备，配合医院提供相应评级要求的系统截图。</w:t>
      </w:r>
    </w:p>
    <w:p w14:paraId="35EC72D7">
      <w:pPr>
        <w:pStyle w:val="4"/>
        <w:spacing w:before="312" w:after="312" w:afterAutospacing="1" w:line="360" w:lineRule="auto"/>
        <w:ind w:left="426"/>
        <w:textAlignment w:val="baseline"/>
        <w:rPr>
          <w:rFonts w:asciiTheme="minorEastAsia" w:hAnsiTheme="minorEastAsia" w:eastAsiaTheme="minorEastAsia"/>
        </w:rPr>
      </w:pPr>
      <w:r>
        <w:rPr>
          <w:rFonts w:hint="eastAsia" w:asciiTheme="minorEastAsia" w:hAnsiTheme="minorEastAsia" w:eastAsiaTheme="minorEastAsia"/>
          <w:lang w:val="en-US" w:eastAsia="zh-CN"/>
        </w:rPr>
        <w:t>4</w:t>
      </w:r>
      <w:r>
        <w:rPr>
          <w:rFonts w:hint="eastAsia" w:asciiTheme="minorEastAsia" w:hAnsiTheme="minorEastAsia" w:eastAsiaTheme="minorEastAsia"/>
        </w:rPr>
        <w:t>、</w:t>
      </w:r>
      <w:r>
        <w:rPr>
          <w:rFonts w:hint="eastAsia" w:asciiTheme="minorEastAsia" w:hAnsiTheme="minorEastAsia" w:eastAsiaTheme="minorEastAsia"/>
          <w:lang w:eastAsia="zh-CN"/>
        </w:rPr>
        <w:t>团队</w:t>
      </w:r>
      <w:r>
        <w:rPr>
          <w:rFonts w:hint="eastAsia" w:asciiTheme="minorEastAsia" w:hAnsiTheme="minorEastAsia" w:eastAsiaTheme="minorEastAsia"/>
        </w:rPr>
        <w:t>要求</w:t>
      </w:r>
    </w:p>
    <w:p w14:paraId="4932EBC9">
      <w:pPr>
        <w:spacing w:line="360" w:lineRule="auto"/>
        <w:ind w:firstLine="439"/>
        <w:textAlignment w:val="baseline"/>
        <w:rPr>
          <w:rFonts w:asciiTheme="minorEastAsia" w:hAnsiTheme="minorEastAsia" w:eastAsiaTheme="minorEastAsia"/>
          <w:color w:val="000000"/>
          <w:sz w:val="24"/>
        </w:rPr>
      </w:pPr>
      <w:r>
        <w:rPr>
          <w:rFonts w:hint="eastAsia" w:asciiTheme="minorEastAsia" w:hAnsiTheme="minorEastAsia" w:eastAsiaTheme="minorEastAsia"/>
          <w:color w:val="000000"/>
          <w:sz w:val="24"/>
        </w:rPr>
        <w:t>（1）项目建设过程当中，投标人应派遣专业项目管理人员、软件开发人员、系统测试人员等参与本项目。</w:t>
      </w:r>
    </w:p>
    <w:p w14:paraId="2A4894E5">
      <w:pPr>
        <w:spacing w:line="360" w:lineRule="auto"/>
        <w:ind w:firstLine="439"/>
        <w:textAlignment w:val="baseline"/>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lang w:eastAsia="zh-CN"/>
        </w:rPr>
        <w:t>（</w:t>
      </w:r>
      <w:r>
        <w:rPr>
          <w:rFonts w:hint="eastAsia" w:asciiTheme="minorEastAsia" w:hAnsiTheme="minorEastAsia" w:eastAsiaTheme="minorEastAsia"/>
          <w:color w:val="000000"/>
          <w:sz w:val="24"/>
          <w:lang w:val="en-US" w:eastAsia="zh-CN"/>
        </w:rPr>
        <w:t>2</w:t>
      </w:r>
      <w:r>
        <w:rPr>
          <w:rFonts w:hint="eastAsia" w:asciiTheme="minorEastAsia" w:hAnsiTheme="minorEastAsia" w:eastAsiaTheme="minorEastAsia"/>
          <w:color w:val="000000"/>
          <w:sz w:val="24"/>
          <w:lang w:eastAsia="zh-CN"/>
        </w:rPr>
        <w:t>）项目团队需提供总数不少于 10 人(含售后技术支持人员)，且项目实施阶段人员(包括项自负责人、核心技术负责人)不少于8人的团队。（</w:t>
      </w:r>
      <w:r>
        <w:rPr>
          <w:rFonts w:hint="eastAsia" w:asciiTheme="minorEastAsia" w:hAnsiTheme="minorEastAsia" w:eastAsiaTheme="minorEastAsia"/>
          <w:color w:val="000000"/>
          <w:sz w:val="24"/>
          <w:lang w:val="en-US" w:eastAsia="zh-CN"/>
        </w:rPr>
        <w:t>3</w:t>
      </w:r>
      <w:r>
        <w:rPr>
          <w:rFonts w:hint="eastAsia" w:asciiTheme="minorEastAsia" w:hAnsiTheme="minorEastAsia" w:eastAsiaTheme="minorEastAsia"/>
          <w:color w:val="000000"/>
          <w:sz w:val="24"/>
          <w:lang w:eastAsia="zh-CN"/>
        </w:rPr>
        <w:t>）项目负责人具有信息系统项目管理师</w:t>
      </w:r>
      <w:r>
        <w:rPr>
          <w:rFonts w:hint="eastAsia" w:asciiTheme="minorEastAsia" w:hAnsiTheme="minorEastAsia" w:eastAsiaTheme="minorEastAsia"/>
          <w:color w:val="000000"/>
          <w:sz w:val="24"/>
          <w:lang w:val="en-US" w:eastAsia="zh-CN"/>
        </w:rPr>
        <w:t>、</w:t>
      </w:r>
      <w:r>
        <w:rPr>
          <w:rFonts w:hint="eastAsia" w:asciiTheme="minorEastAsia" w:hAnsiTheme="minorEastAsia" w:eastAsiaTheme="minorEastAsia"/>
          <w:color w:val="000000"/>
          <w:sz w:val="24"/>
          <w:lang w:eastAsia="zh-CN"/>
        </w:rPr>
        <w:t>人社部门颁发的计算机相关专业高级工程师职称证书，具有 10 年及以上类似项目实施经验的优先考虑。</w:t>
      </w:r>
    </w:p>
    <w:p w14:paraId="2B82F8F4">
      <w:pPr>
        <w:pStyle w:val="4"/>
        <w:spacing w:before="312" w:after="312" w:afterAutospacing="1" w:line="360" w:lineRule="auto"/>
        <w:ind w:left="426"/>
        <w:textAlignment w:val="baseline"/>
        <w:rPr>
          <w:rFonts w:asciiTheme="minorEastAsia" w:hAnsiTheme="minorEastAsia" w:eastAsiaTheme="minorEastAsia"/>
        </w:rPr>
      </w:pPr>
      <w:r>
        <w:rPr>
          <w:rFonts w:hint="eastAsia" w:asciiTheme="minorEastAsia" w:hAnsiTheme="minorEastAsia" w:eastAsiaTheme="minorEastAsia"/>
          <w:lang w:val="en-US" w:eastAsia="zh-CN"/>
        </w:rPr>
        <w:t>5</w:t>
      </w:r>
      <w:r>
        <w:rPr>
          <w:rFonts w:hint="eastAsia" w:asciiTheme="minorEastAsia" w:hAnsiTheme="minorEastAsia" w:eastAsiaTheme="minorEastAsia"/>
        </w:rPr>
        <w:t>、</w:t>
      </w:r>
      <w:r>
        <w:rPr>
          <w:rFonts w:hint="eastAsia" w:asciiTheme="minorEastAsia" w:hAnsiTheme="minorEastAsia" w:eastAsiaTheme="minorEastAsia"/>
          <w:lang w:eastAsia="zh-CN"/>
        </w:rPr>
        <w:t>其他</w:t>
      </w:r>
      <w:r>
        <w:rPr>
          <w:rFonts w:hint="eastAsia" w:asciiTheme="minorEastAsia" w:hAnsiTheme="minorEastAsia" w:eastAsiaTheme="minorEastAsia"/>
        </w:rPr>
        <w:t>要求</w:t>
      </w:r>
    </w:p>
    <w:p w14:paraId="003ABA7D">
      <w:pPr>
        <w:spacing w:line="360" w:lineRule="auto"/>
        <w:ind w:firstLine="439"/>
        <w:textAlignment w:val="baseline"/>
        <w:rPr>
          <w:rFonts w:hint="default" w:asciiTheme="minorEastAsia" w:hAnsiTheme="minorEastAsia" w:eastAsiaTheme="minorEastAsia"/>
          <w:color w:val="000000"/>
          <w:sz w:val="24"/>
          <w:lang w:eastAsia="zh-CN"/>
        </w:rPr>
      </w:pPr>
      <w:r>
        <w:rPr>
          <w:rFonts w:hint="eastAsia" w:asciiTheme="minorEastAsia" w:hAnsiTheme="minorEastAsia" w:eastAsiaTheme="minorEastAsia"/>
          <w:color w:val="000000"/>
          <w:sz w:val="24"/>
        </w:rPr>
        <w:t>（1）</w:t>
      </w:r>
      <w:r>
        <w:rPr>
          <w:rFonts w:hint="default" w:asciiTheme="minorEastAsia" w:hAnsiTheme="minorEastAsia" w:eastAsiaTheme="minorEastAsia"/>
          <w:color w:val="000000"/>
          <w:sz w:val="24"/>
          <w:lang w:eastAsia="zh-CN"/>
        </w:rPr>
        <w:t>投标人具有近三年类似项目业绩的优先考虑；</w:t>
      </w:r>
    </w:p>
    <w:p w14:paraId="00F2B460">
      <w:pPr>
        <w:spacing w:line="360" w:lineRule="auto"/>
        <w:ind w:firstLine="439"/>
        <w:textAlignment w:val="baseline"/>
        <w:rPr>
          <w:rFonts w:hint="default" w:asciiTheme="minorEastAsia" w:hAnsiTheme="minorEastAsia" w:eastAsiaTheme="minorEastAsia"/>
          <w:color w:val="000000"/>
          <w:sz w:val="24"/>
          <w:lang w:eastAsia="zh-CN"/>
        </w:rPr>
      </w:pPr>
      <w:r>
        <w:rPr>
          <w:rFonts w:hint="default" w:asciiTheme="minorEastAsia" w:hAnsiTheme="minorEastAsia" w:eastAsiaTheme="minorEastAsia"/>
          <w:color w:val="000000"/>
          <w:sz w:val="24"/>
          <w:lang w:eastAsia="zh-CN"/>
        </w:rPr>
        <w:t>（</w:t>
      </w:r>
      <w:r>
        <w:rPr>
          <w:rFonts w:hint="default" w:asciiTheme="minorEastAsia" w:hAnsiTheme="minorEastAsia" w:eastAsiaTheme="minorEastAsia"/>
          <w:color w:val="000000"/>
          <w:sz w:val="24"/>
          <w:lang w:val="en-US" w:eastAsia="zh-CN"/>
        </w:rPr>
        <w:t>2</w:t>
      </w:r>
      <w:r>
        <w:rPr>
          <w:rFonts w:hint="default" w:asciiTheme="minorEastAsia" w:hAnsiTheme="minorEastAsia" w:eastAsiaTheme="minorEastAsia"/>
          <w:color w:val="000000"/>
          <w:sz w:val="24"/>
          <w:lang w:eastAsia="zh-CN"/>
        </w:rPr>
        <w:t>）投标人具有ISO/IEC20000 信息技术服务管理体系认证证书、ISO/IEC27001 信息安全管理体系认证证书、ITSS 信息技术服务标准符合性证书、信息系统建设和服务能力等级证书、CCRC信息安全服务资质认证证书（信息系统安全集成）优先考虑。</w:t>
      </w:r>
    </w:p>
    <w:p w14:paraId="348D635A">
      <w:pPr>
        <w:spacing w:line="360" w:lineRule="auto"/>
        <w:ind w:firstLine="439"/>
        <w:textAlignment w:val="baseline"/>
        <w:rPr>
          <w:rFonts w:asciiTheme="minorEastAsia" w:hAnsiTheme="minorEastAsia" w:eastAsiaTheme="minorEastAsia"/>
          <w:color w:val="000000"/>
          <w:sz w:val="24"/>
        </w:rPr>
      </w:pPr>
    </w:p>
    <w:p w14:paraId="027FF300">
      <w:pPr>
        <w:pStyle w:val="13"/>
      </w:pPr>
    </w:p>
    <w:p w14:paraId="1B0782DB">
      <w:pPr>
        <w:widowControl/>
        <w:spacing w:line="360" w:lineRule="auto"/>
        <w:jc w:val="left"/>
        <w:rPr>
          <w:rFonts w:asciiTheme="minorEastAsia" w:hAnsiTheme="minorEastAsia" w:eastAsiaTheme="minorEastAsia"/>
          <w:color w:val="000000"/>
          <w:sz w:val="24"/>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Calibri Light">
    <w:altName w:val="DejaVu Sans"/>
    <w:panose1 w:val="020F0302020204030204"/>
    <w:charset w:val="00"/>
    <w:family w:val="swiss"/>
    <w:pitch w:val="default"/>
    <w:sig w:usb0="00000000" w:usb1="00000000" w:usb2="00000009" w:usb3="00000000" w:csb0="200001FF" w:csb1="00000000"/>
  </w:font>
  <w:font w:name="苹方-简 常规体">
    <w:altName w:val="思源黑体"/>
    <w:panose1 w:val="020B0400000000000000"/>
    <w:charset w:val="86"/>
    <w:family w:val="auto"/>
    <w:pitch w:val="default"/>
    <w:sig w:usb0="00000000" w:usb1="00000000" w:usb2="00000017" w:usb3="00000000" w:csb0="00040001" w:csb1="00000000"/>
  </w:font>
  <w:font w:name="思源黑体">
    <w:panose1 w:val="020B0500000000000000"/>
    <w:charset w:val="86"/>
    <w:family w:val="auto"/>
    <w:pitch w:val="default"/>
    <w:sig w:usb0="3000008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D6BE8">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A9F664">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2A9F664">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1862E5"/>
    <w:multiLevelType w:val="singleLevel"/>
    <w:tmpl w:val="8B1862E5"/>
    <w:lvl w:ilvl="0" w:tentative="0">
      <w:start w:val="1"/>
      <w:numFmt w:val="decimal"/>
      <w:lvlText w:val="%1)"/>
      <w:lvlJc w:val="left"/>
      <w:pPr>
        <w:ind w:left="425" w:hanging="425"/>
      </w:pPr>
      <w:rPr>
        <w:rFonts w:hint="default"/>
      </w:rPr>
    </w:lvl>
  </w:abstractNum>
  <w:abstractNum w:abstractNumId="1">
    <w:nsid w:val="99A0A01D"/>
    <w:multiLevelType w:val="singleLevel"/>
    <w:tmpl w:val="99A0A01D"/>
    <w:lvl w:ilvl="0" w:tentative="0">
      <w:start w:val="1"/>
      <w:numFmt w:val="decimal"/>
      <w:lvlText w:val="%1)"/>
      <w:lvlJc w:val="left"/>
      <w:pPr>
        <w:ind w:left="425" w:hanging="425"/>
      </w:pPr>
      <w:rPr>
        <w:rFonts w:hint="default"/>
      </w:rPr>
    </w:lvl>
  </w:abstractNum>
  <w:abstractNum w:abstractNumId="2">
    <w:nsid w:val="A9E2A935"/>
    <w:multiLevelType w:val="singleLevel"/>
    <w:tmpl w:val="A9E2A935"/>
    <w:lvl w:ilvl="0" w:tentative="0">
      <w:start w:val="1"/>
      <w:numFmt w:val="decimal"/>
      <w:lvlText w:val="%1)"/>
      <w:lvlJc w:val="left"/>
      <w:pPr>
        <w:ind w:left="425" w:hanging="425"/>
      </w:pPr>
      <w:rPr>
        <w:rFonts w:hint="default"/>
      </w:rPr>
    </w:lvl>
  </w:abstractNum>
  <w:abstractNum w:abstractNumId="3">
    <w:nsid w:val="C40BE07C"/>
    <w:multiLevelType w:val="singleLevel"/>
    <w:tmpl w:val="C40BE07C"/>
    <w:lvl w:ilvl="0" w:tentative="0">
      <w:start w:val="1"/>
      <w:numFmt w:val="decimal"/>
      <w:lvlText w:val="%1)"/>
      <w:lvlJc w:val="left"/>
      <w:pPr>
        <w:ind w:left="425" w:hanging="425"/>
      </w:pPr>
      <w:rPr>
        <w:rFonts w:hint="default"/>
      </w:rPr>
    </w:lvl>
  </w:abstractNum>
  <w:abstractNum w:abstractNumId="4">
    <w:nsid w:val="D416BD7B"/>
    <w:multiLevelType w:val="singleLevel"/>
    <w:tmpl w:val="D416BD7B"/>
    <w:lvl w:ilvl="0" w:tentative="0">
      <w:start w:val="1"/>
      <w:numFmt w:val="decimal"/>
      <w:lvlText w:val="(%1)"/>
      <w:lvlJc w:val="left"/>
      <w:pPr>
        <w:ind w:left="425" w:hanging="425"/>
      </w:pPr>
      <w:rPr>
        <w:rFonts w:hint="default"/>
      </w:rPr>
    </w:lvl>
  </w:abstractNum>
  <w:abstractNum w:abstractNumId="5">
    <w:nsid w:val="EAFE87BD"/>
    <w:multiLevelType w:val="singleLevel"/>
    <w:tmpl w:val="EAFE87BD"/>
    <w:lvl w:ilvl="0" w:tentative="0">
      <w:start w:val="1"/>
      <w:numFmt w:val="decimal"/>
      <w:suff w:val="nothing"/>
      <w:lvlText w:val="%1、"/>
      <w:lvlJc w:val="left"/>
    </w:lvl>
  </w:abstractNum>
  <w:abstractNum w:abstractNumId="6">
    <w:nsid w:val="02E65C35"/>
    <w:multiLevelType w:val="multilevel"/>
    <w:tmpl w:val="02E65C35"/>
    <w:lvl w:ilvl="0" w:tentative="0">
      <w:start w:val="1"/>
      <w:numFmt w:val="decimal"/>
      <w:lvlText w:val="%1."/>
      <w:lvlJc w:val="left"/>
      <w:pPr>
        <w:ind w:left="846" w:hanging="420"/>
      </w:pPr>
    </w:lvl>
    <w:lvl w:ilvl="1" w:tentative="0">
      <w:start w:val="1"/>
      <w:numFmt w:val="decimal"/>
      <w:isLgl/>
      <w:lvlText w:val="%1.%2."/>
      <w:lvlJc w:val="left"/>
      <w:pPr>
        <w:ind w:left="1326" w:hanging="900"/>
      </w:pPr>
      <w:rPr>
        <w:rFonts w:hint="default"/>
        <w:b/>
        <w:bCs/>
      </w:rPr>
    </w:lvl>
    <w:lvl w:ilvl="2" w:tentative="0">
      <w:start w:val="3"/>
      <w:numFmt w:val="decimal"/>
      <w:isLgl/>
      <w:lvlText w:val="%1.%2.%3."/>
      <w:lvlJc w:val="left"/>
      <w:pPr>
        <w:ind w:left="1326" w:hanging="900"/>
      </w:pPr>
      <w:rPr>
        <w:rFonts w:hint="default"/>
      </w:rPr>
    </w:lvl>
    <w:lvl w:ilvl="3" w:tentative="0">
      <w:start w:val="1"/>
      <w:numFmt w:val="decimal"/>
      <w:isLgl/>
      <w:lvlText w:val="%1.%2.%3.%4."/>
      <w:lvlJc w:val="left"/>
      <w:pPr>
        <w:ind w:left="1326" w:hanging="900"/>
      </w:pPr>
      <w:rPr>
        <w:rFonts w:hint="default"/>
      </w:rPr>
    </w:lvl>
    <w:lvl w:ilvl="4" w:tentative="0">
      <w:start w:val="1"/>
      <w:numFmt w:val="decimal"/>
      <w:isLgl/>
      <w:lvlText w:val="%1.%2.%3.%4.%5."/>
      <w:lvlJc w:val="left"/>
      <w:pPr>
        <w:ind w:left="1506" w:hanging="1080"/>
      </w:pPr>
      <w:rPr>
        <w:rFonts w:hint="default"/>
      </w:rPr>
    </w:lvl>
    <w:lvl w:ilvl="5" w:tentative="0">
      <w:start w:val="1"/>
      <w:numFmt w:val="decimal"/>
      <w:isLgl/>
      <w:lvlText w:val="%1.%2.%3.%4.%5.%6."/>
      <w:lvlJc w:val="left"/>
      <w:pPr>
        <w:ind w:left="1506" w:hanging="1080"/>
      </w:pPr>
      <w:rPr>
        <w:rFonts w:hint="default"/>
      </w:rPr>
    </w:lvl>
    <w:lvl w:ilvl="6" w:tentative="0">
      <w:start w:val="1"/>
      <w:numFmt w:val="decimal"/>
      <w:isLgl/>
      <w:lvlText w:val="%1.%2.%3.%4.%5.%6.%7."/>
      <w:lvlJc w:val="left"/>
      <w:pPr>
        <w:ind w:left="1866" w:hanging="1440"/>
      </w:pPr>
      <w:rPr>
        <w:rFonts w:hint="default"/>
      </w:rPr>
    </w:lvl>
    <w:lvl w:ilvl="7" w:tentative="0">
      <w:start w:val="1"/>
      <w:numFmt w:val="decimal"/>
      <w:isLgl/>
      <w:lvlText w:val="%1.%2.%3.%4.%5.%6.%7.%8."/>
      <w:lvlJc w:val="left"/>
      <w:pPr>
        <w:ind w:left="1866" w:hanging="1440"/>
      </w:pPr>
      <w:rPr>
        <w:rFonts w:hint="default"/>
      </w:rPr>
    </w:lvl>
    <w:lvl w:ilvl="8" w:tentative="0">
      <w:start w:val="1"/>
      <w:numFmt w:val="decimal"/>
      <w:isLgl/>
      <w:lvlText w:val="%1.%2.%3.%4.%5.%6.%7.%8.%9."/>
      <w:lvlJc w:val="left"/>
      <w:pPr>
        <w:ind w:left="2226" w:hanging="1800"/>
      </w:pPr>
      <w:rPr>
        <w:rFonts w:hint="default"/>
      </w:rPr>
    </w:lvl>
  </w:abstractNum>
  <w:abstractNum w:abstractNumId="7">
    <w:nsid w:val="0D4D9463"/>
    <w:multiLevelType w:val="singleLevel"/>
    <w:tmpl w:val="0D4D9463"/>
    <w:lvl w:ilvl="0" w:tentative="0">
      <w:start w:val="1"/>
      <w:numFmt w:val="decimal"/>
      <w:lvlText w:val="(%1)"/>
      <w:lvlJc w:val="left"/>
      <w:pPr>
        <w:ind w:left="425" w:hanging="425"/>
      </w:pPr>
      <w:rPr>
        <w:rFonts w:hint="default"/>
      </w:rPr>
    </w:lvl>
  </w:abstractNum>
  <w:abstractNum w:abstractNumId="8">
    <w:nsid w:val="3671B303"/>
    <w:multiLevelType w:val="singleLevel"/>
    <w:tmpl w:val="3671B303"/>
    <w:lvl w:ilvl="0" w:tentative="0">
      <w:start w:val="1"/>
      <w:numFmt w:val="decimal"/>
      <w:lvlText w:val="(%1)"/>
      <w:lvlJc w:val="left"/>
      <w:pPr>
        <w:ind w:left="425" w:hanging="425"/>
      </w:pPr>
      <w:rPr>
        <w:rFonts w:hint="default"/>
      </w:rPr>
    </w:lvl>
  </w:abstractNum>
  <w:abstractNum w:abstractNumId="9">
    <w:nsid w:val="3AA0346A"/>
    <w:multiLevelType w:val="singleLevel"/>
    <w:tmpl w:val="3AA0346A"/>
    <w:lvl w:ilvl="0" w:tentative="0">
      <w:start w:val="1"/>
      <w:numFmt w:val="decimal"/>
      <w:lvlText w:val="%1)"/>
      <w:lvlJc w:val="left"/>
      <w:pPr>
        <w:ind w:left="425" w:hanging="425"/>
      </w:pPr>
      <w:rPr>
        <w:rFonts w:hint="default"/>
      </w:rPr>
    </w:lvl>
  </w:abstractNum>
  <w:abstractNum w:abstractNumId="10">
    <w:nsid w:val="45D85CF1"/>
    <w:multiLevelType w:val="singleLevel"/>
    <w:tmpl w:val="45D85CF1"/>
    <w:lvl w:ilvl="0" w:tentative="0">
      <w:start w:val="1"/>
      <w:numFmt w:val="decimal"/>
      <w:lvlText w:val="%1)"/>
      <w:lvlJc w:val="left"/>
      <w:pPr>
        <w:ind w:left="425" w:hanging="425"/>
      </w:pPr>
      <w:rPr>
        <w:rFonts w:hint="default"/>
      </w:rPr>
    </w:lvl>
  </w:abstractNum>
  <w:abstractNum w:abstractNumId="11">
    <w:nsid w:val="6D039B5C"/>
    <w:multiLevelType w:val="singleLevel"/>
    <w:tmpl w:val="6D039B5C"/>
    <w:lvl w:ilvl="0" w:tentative="0">
      <w:start w:val="1"/>
      <w:numFmt w:val="decimal"/>
      <w:lvlText w:val="%1)"/>
      <w:lvlJc w:val="left"/>
      <w:pPr>
        <w:ind w:left="425" w:hanging="425"/>
      </w:pPr>
      <w:rPr>
        <w:rFonts w:hint="default"/>
      </w:rPr>
    </w:lvl>
  </w:abstractNum>
  <w:num w:numId="1">
    <w:abstractNumId w:val="6"/>
  </w:num>
  <w:num w:numId="2">
    <w:abstractNumId w:val="8"/>
  </w:num>
  <w:num w:numId="3">
    <w:abstractNumId w:val="1"/>
  </w:num>
  <w:num w:numId="4">
    <w:abstractNumId w:val="3"/>
  </w:num>
  <w:num w:numId="5">
    <w:abstractNumId w:val="4"/>
  </w:num>
  <w:num w:numId="6">
    <w:abstractNumId w:val="11"/>
  </w:num>
  <w:num w:numId="7">
    <w:abstractNumId w:val="10"/>
  </w:num>
  <w:num w:numId="8">
    <w:abstractNumId w:val="0"/>
  </w:num>
  <w:num w:numId="9">
    <w:abstractNumId w:val="7"/>
  </w:num>
  <w:num w:numId="10">
    <w:abstractNumId w:val="9"/>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k5ODM0YmMxOWJiYWQyNDU4MGIzYWRmYTA0ZmI5NDcifQ=="/>
  </w:docVars>
  <w:rsids>
    <w:rsidRoot w:val="00172A27"/>
    <w:rsid w:val="00020141"/>
    <w:rsid w:val="00026319"/>
    <w:rsid w:val="000450B2"/>
    <w:rsid w:val="00055842"/>
    <w:rsid w:val="000B20ED"/>
    <w:rsid w:val="000C08D5"/>
    <w:rsid w:val="000C4298"/>
    <w:rsid w:val="000F5ED3"/>
    <w:rsid w:val="0012790B"/>
    <w:rsid w:val="00196EBB"/>
    <w:rsid w:val="001B6790"/>
    <w:rsid w:val="002068DD"/>
    <w:rsid w:val="00316551"/>
    <w:rsid w:val="003D4CAE"/>
    <w:rsid w:val="00437225"/>
    <w:rsid w:val="00477F4B"/>
    <w:rsid w:val="006222B7"/>
    <w:rsid w:val="0063086A"/>
    <w:rsid w:val="0065374D"/>
    <w:rsid w:val="006F40A9"/>
    <w:rsid w:val="007B1475"/>
    <w:rsid w:val="007C2C84"/>
    <w:rsid w:val="008229CD"/>
    <w:rsid w:val="008D0297"/>
    <w:rsid w:val="008E4859"/>
    <w:rsid w:val="00907473"/>
    <w:rsid w:val="00913892"/>
    <w:rsid w:val="00984305"/>
    <w:rsid w:val="00A3737D"/>
    <w:rsid w:val="00A37C0D"/>
    <w:rsid w:val="00AF7775"/>
    <w:rsid w:val="00BB0F87"/>
    <w:rsid w:val="00C427B0"/>
    <w:rsid w:val="00CF0D95"/>
    <w:rsid w:val="00D85282"/>
    <w:rsid w:val="00DE185B"/>
    <w:rsid w:val="00F71BA8"/>
    <w:rsid w:val="01613241"/>
    <w:rsid w:val="01D8093F"/>
    <w:rsid w:val="01E90EBB"/>
    <w:rsid w:val="026B28A3"/>
    <w:rsid w:val="04C8300E"/>
    <w:rsid w:val="05123C0E"/>
    <w:rsid w:val="05F620F4"/>
    <w:rsid w:val="07252B50"/>
    <w:rsid w:val="092C3B1C"/>
    <w:rsid w:val="0BE502CE"/>
    <w:rsid w:val="0C8F3C2A"/>
    <w:rsid w:val="0EF97BEC"/>
    <w:rsid w:val="0F3D0053"/>
    <w:rsid w:val="0F4E7B0D"/>
    <w:rsid w:val="0FB81032"/>
    <w:rsid w:val="11337646"/>
    <w:rsid w:val="11BF6E47"/>
    <w:rsid w:val="12086CF6"/>
    <w:rsid w:val="12AD766B"/>
    <w:rsid w:val="12DA12A2"/>
    <w:rsid w:val="13007A44"/>
    <w:rsid w:val="136021D9"/>
    <w:rsid w:val="16C526A2"/>
    <w:rsid w:val="17D36251"/>
    <w:rsid w:val="1B431431"/>
    <w:rsid w:val="1C226956"/>
    <w:rsid w:val="1D1F26E5"/>
    <w:rsid w:val="1E516838"/>
    <w:rsid w:val="1EEB4498"/>
    <w:rsid w:val="1F31030C"/>
    <w:rsid w:val="20C33B17"/>
    <w:rsid w:val="22FC202C"/>
    <w:rsid w:val="2396026F"/>
    <w:rsid w:val="256F3465"/>
    <w:rsid w:val="27377EC4"/>
    <w:rsid w:val="2808303D"/>
    <w:rsid w:val="28812CAE"/>
    <w:rsid w:val="2B890782"/>
    <w:rsid w:val="2F272D48"/>
    <w:rsid w:val="2FFB6945"/>
    <w:rsid w:val="306E3B27"/>
    <w:rsid w:val="308D102C"/>
    <w:rsid w:val="31146905"/>
    <w:rsid w:val="3454129D"/>
    <w:rsid w:val="35F63353"/>
    <w:rsid w:val="38AD5F3B"/>
    <w:rsid w:val="3A2F444D"/>
    <w:rsid w:val="3A904AB7"/>
    <w:rsid w:val="3B4C0896"/>
    <w:rsid w:val="3BCD2131"/>
    <w:rsid w:val="3E532AD0"/>
    <w:rsid w:val="410B57E6"/>
    <w:rsid w:val="41F95234"/>
    <w:rsid w:val="42D44E0D"/>
    <w:rsid w:val="43A84AF9"/>
    <w:rsid w:val="44595A39"/>
    <w:rsid w:val="44FC060E"/>
    <w:rsid w:val="485D41B8"/>
    <w:rsid w:val="48C61172"/>
    <w:rsid w:val="4A8F075E"/>
    <w:rsid w:val="4DA77A0B"/>
    <w:rsid w:val="4E53406F"/>
    <w:rsid w:val="4F974A08"/>
    <w:rsid w:val="52356EFE"/>
    <w:rsid w:val="537D30E5"/>
    <w:rsid w:val="55A364AD"/>
    <w:rsid w:val="5A126E01"/>
    <w:rsid w:val="5A310179"/>
    <w:rsid w:val="5A7E3EBC"/>
    <w:rsid w:val="5ACC12DE"/>
    <w:rsid w:val="5C515896"/>
    <w:rsid w:val="5C6E6BB0"/>
    <w:rsid w:val="5D5C2DED"/>
    <w:rsid w:val="5E835ECE"/>
    <w:rsid w:val="604064FB"/>
    <w:rsid w:val="676735A3"/>
    <w:rsid w:val="68AD1713"/>
    <w:rsid w:val="69C159DF"/>
    <w:rsid w:val="69D77713"/>
    <w:rsid w:val="6C9E608D"/>
    <w:rsid w:val="6CAC7859"/>
    <w:rsid w:val="6CB71864"/>
    <w:rsid w:val="6CD71D56"/>
    <w:rsid w:val="6E780F3B"/>
    <w:rsid w:val="6E8E7147"/>
    <w:rsid w:val="703D49DE"/>
    <w:rsid w:val="7166A90B"/>
    <w:rsid w:val="71FE7E2D"/>
    <w:rsid w:val="721A0D7D"/>
    <w:rsid w:val="723F2FC1"/>
    <w:rsid w:val="727B0672"/>
    <w:rsid w:val="76F77AE6"/>
    <w:rsid w:val="78443023"/>
    <w:rsid w:val="7AD93D41"/>
    <w:rsid w:val="7B4B123C"/>
    <w:rsid w:val="7C7C058E"/>
    <w:rsid w:val="7C8A007E"/>
    <w:rsid w:val="7D62779B"/>
    <w:rsid w:val="7DFC0157"/>
    <w:rsid w:val="7E9B5237"/>
    <w:rsid w:val="C6FF1563"/>
    <w:rsid w:val="DF77D567"/>
    <w:rsid w:val="FCFEA4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7"/>
    <w:qFormat/>
    <w:uiPriority w:val="0"/>
    <w:pPr>
      <w:keepNext/>
      <w:keepLines/>
      <w:spacing w:before="260" w:after="260" w:line="416" w:lineRule="auto"/>
      <w:outlineLvl w:val="2"/>
    </w:pPr>
    <w:rPr>
      <w:b/>
      <w:bCs/>
      <w:sz w:val="32"/>
      <w:szCs w:val="32"/>
    </w:rPr>
  </w:style>
  <w:style w:type="paragraph" w:styleId="5">
    <w:name w:val="heading 4"/>
    <w:basedOn w:val="1"/>
    <w:next w:val="1"/>
    <w:link w:val="28"/>
    <w:unhideWhenUsed/>
    <w:qFormat/>
    <w:uiPriority w:val="0"/>
    <w:pPr>
      <w:keepNext/>
      <w:keepLines/>
      <w:spacing w:before="280" w:after="290" w:line="376" w:lineRule="auto"/>
      <w:outlineLvl w:val="3"/>
    </w:pPr>
    <w:rPr>
      <w:rFonts w:ascii="Cambria" w:hAnsi="Cambria"/>
      <w:b/>
      <w:bCs/>
      <w:sz w:val="28"/>
      <w:szCs w:val="28"/>
    </w:rPr>
  </w:style>
  <w:style w:type="paragraph" w:styleId="6">
    <w:name w:val="heading 5"/>
    <w:basedOn w:val="1"/>
    <w:next w:val="1"/>
    <w:link w:val="37"/>
    <w:unhideWhenUsed/>
    <w:qFormat/>
    <w:uiPriority w:val="0"/>
    <w:pPr>
      <w:keepNext/>
      <w:keepLines/>
      <w:spacing w:before="280" w:after="290" w:line="376" w:lineRule="auto"/>
      <w:outlineLvl w:val="4"/>
    </w:pPr>
    <w:rPr>
      <w:b/>
      <w:bCs/>
      <w:sz w:val="28"/>
      <w:szCs w:val="28"/>
    </w:rPr>
  </w:style>
  <w:style w:type="paragraph" w:styleId="7">
    <w:name w:val="heading 6"/>
    <w:basedOn w:val="1"/>
    <w:next w:val="1"/>
    <w:link w:val="36"/>
    <w:unhideWhenUsed/>
    <w:qFormat/>
    <w:uiPriority w:val="0"/>
    <w:pPr>
      <w:keepNext/>
      <w:keepLines/>
      <w:spacing w:before="240" w:after="64" w:line="320" w:lineRule="auto"/>
      <w:outlineLvl w:val="5"/>
    </w:pPr>
    <w:rPr>
      <w:rFonts w:asciiTheme="majorHAnsi" w:hAnsiTheme="majorHAnsi" w:eastAsiaTheme="majorEastAsia" w:cstheme="majorBidi"/>
      <w:b/>
      <w:bCs/>
      <w:sz w:val="24"/>
    </w:rPr>
  </w:style>
  <w:style w:type="paragraph" w:styleId="8">
    <w:name w:val="heading 7"/>
    <w:basedOn w:val="1"/>
    <w:next w:val="1"/>
    <w:link w:val="38"/>
    <w:autoRedefine/>
    <w:unhideWhenUsed/>
    <w:qFormat/>
    <w:uiPriority w:val="0"/>
    <w:pPr>
      <w:keepNext/>
      <w:keepLines/>
      <w:spacing w:before="240" w:after="64" w:line="320" w:lineRule="auto"/>
      <w:outlineLvl w:val="6"/>
    </w:pPr>
    <w:rPr>
      <w:b/>
      <w:bCs/>
      <w:sz w:val="24"/>
    </w:rPr>
  </w:style>
  <w:style w:type="paragraph" w:styleId="9">
    <w:name w:val="heading 8"/>
    <w:basedOn w:val="1"/>
    <w:next w:val="1"/>
    <w:link w:val="47"/>
    <w:unhideWhenUsed/>
    <w:qFormat/>
    <w:uiPriority w:val="0"/>
    <w:pPr>
      <w:keepNext/>
      <w:keepLines/>
      <w:spacing w:before="240" w:after="64" w:line="320" w:lineRule="auto"/>
      <w:ind w:left="1440" w:hanging="1440"/>
      <w:outlineLvl w:val="7"/>
    </w:pPr>
    <w:rPr>
      <w:rFonts w:asciiTheme="majorHAnsi" w:hAnsiTheme="majorHAnsi" w:eastAsiaTheme="majorEastAsia" w:cstheme="majorBidi"/>
      <w:sz w:val="24"/>
    </w:rPr>
  </w:style>
  <w:style w:type="paragraph" w:styleId="10">
    <w:name w:val="heading 9"/>
    <w:basedOn w:val="1"/>
    <w:next w:val="1"/>
    <w:link w:val="48"/>
    <w:unhideWhenUsed/>
    <w:qFormat/>
    <w:uiPriority w:val="0"/>
    <w:pPr>
      <w:keepNext/>
      <w:keepLines/>
      <w:spacing w:before="240" w:after="64" w:line="320" w:lineRule="auto"/>
      <w:ind w:left="1584" w:hanging="1584"/>
      <w:outlineLvl w:val="8"/>
    </w:pPr>
    <w:rPr>
      <w:rFonts w:asciiTheme="majorHAnsi" w:hAnsiTheme="majorHAnsi" w:eastAsiaTheme="majorEastAsia" w:cstheme="majorBidi"/>
      <w:szCs w:val="21"/>
    </w:rPr>
  </w:style>
  <w:style w:type="character" w:default="1" w:styleId="24">
    <w:name w:val="Default Paragraph Font"/>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11">
    <w:name w:val="Normal Indent"/>
    <w:basedOn w:val="1"/>
    <w:link w:val="39"/>
    <w:unhideWhenUsed/>
    <w:qFormat/>
    <w:uiPriority w:val="0"/>
    <w:pPr>
      <w:ind w:firstLine="420" w:firstLineChars="200"/>
    </w:pPr>
  </w:style>
  <w:style w:type="paragraph" w:styleId="12">
    <w:name w:val="annotation text"/>
    <w:basedOn w:val="1"/>
    <w:link w:val="35"/>
    <w:autoRedefine/>
    <w:unhideWhenUsed/>
    <w:qFormat/>
    <w:uiPriority w:val="0"/>
    <w:pPr>
      <w:spacing w:line="360" w:lineRule="auto"/>
      <w:ind w:firstLine="425" w:firstLineChars="177"/>
      <w:jc w:val="left"/>
    </w:pPr>
    <w:rPr>
      <w:rFonts w:ascii="Calibri" w:hAnsi="Calibri"/>
      <w:sz w:val="24"/>
      <w:szCs w:val="22"/>
    </w:rPr>
  </w:style>
  <w:style w:type="paragraph" w:styleId="13">
    <w:name w:val="Body Text"/>
    <w:basedOn w:val="1"/>
    <w:link w:val="49"/>
    <w:autoRedefine/>
    <w:unhideWhenUsed/>
    <w:qFormat/>
    <w:uiPriority w:val="99"/>
    <w:pPr>
      <w:spacing w:after="120"/>
    </w:pPr>
    <w:rPr>
      <w:rFonts w:ascii="Calibri" w:hAnsi="Calibri"/>
      <w:sz w:val="24"/>
    </w:rPr>
  </w:style>
  <w:style w:type="paragraph" w:styleId="14">
    <w:name w:val="Body Text Indent"/>
    <w:basedOn w:val="1"/>
    <w:unhideWhenUsed/>
    <w:qFormat/>
    <w:uiPriority w:val="99"/>
    <w:pPr>
      <w:spacing w:after="120"/>
      <w:ind w:left="420" w:leftChars="200"/>
    </w:pPr>
  </w:style>
  <w:style w:type="paragraph" w:styleId="15">
    <w:name w:val="Balloon Text"/>
    <w:basedOn w:val="1"/>
    <w:link w:val="52"/>
    <w:autoRedefine/>
    <w:semiHidden/>
    <w:unhideWhenUsed/>
    <w:qFormat/>
    <w:uiPriority w:val="99"/>
    <w:rPr>
      <w:sz w:val="18"/>
      <w:szCs w:val="18"/>
    </w:rPr>
  </w:style>
  <w:style w:type="paragraph" w:styleId="16">
    <w:name w:val="footer"/>
    <w:basedOn w:val="1"/>
    <w:link w:val="34"/>
    <w:unhideWhenUsed/>
    <w:qFormat/>
    <w:uiPriority w:val="99"/>
    <w:pPr>
      <w:tabs>
        <w:tab w:val="center" w:pos="4153"/>
        <w:tab w:val="right" w:pos="8306"/>
      </w:tabs>
      <w:snapToGrid w:val="0"/>
      <w:jc w:val="left"/>
    </w:pPr>
    <w:rPr>
      <w:sz w:val="18"/>
      <w:szCs w:val="18"/>
    </w:rPr>
  </w:style>
  <w:style w:type="paragraph" w:styleId="17">
    <w:name w:val="header"/>
    <w:basedOn w:val="1"/>
    <w:link w:val="3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Normal (Web)"/>
    <w:basedOn w:val="1"/>
    <w:link w:val="40"/>
    <w:qFormat/>
    <w:uiPriority w:val="0"/>
    <w:pPr>
      <w:widowControl/>
      <w:spacing w:before="100" w:beforeAutospacing="1" w:after="100" w:afterAutospacing="1"/>
      <w:jc w:val="left"/>
    </w:pPr>
    <w:rPr>
      <w:rFonts w:ascii="宋体" w:hAnsi="宋体"/>
      <w:kern w:val="0"/>
      <w:sz w:val="18"/>
      <w:szCs w:val="18"/>
    </w:rPr>
  </w:style>
  <w:style w:type="paragraph" w:styleId="19">
    <w:name w:val="annotation subject"/>
    <w:basedOn w:val="12"/>
    <w:next w:val="12"/>
    <w:link w:val="51"/>
    <w:autoRedefine/>
    <w:semiHidden/>
    <w:unhideWhenUsed/>
    <w:qFormat/>
    <w:uiPriority w:val="99"/>
    <w:pPr>
      <w:spacing w:line="240" w:lineRule="auto"/>
      <w:ind w:firstLine="0" w:firstLineChars="0"/>
    </w:pPr>
    <w:rPr>
      <w:rFonts w:ascii="Times New Roman" w:hAnsi="Times New Roman"/>
      <w:b/>
      <w:bCs/>
      <w:sz w:val="21"/>
      <w:szCs w:val="24"/>
    </w:rPr>
  </w:style>
  <w:style w:type="paragraph" w:styleId="20">
    <w:name w:val="Body Text First Indent"/>
    <w:basedOn w:val="13"/>
    <w:qFormat/>
    <w:uiPriority w:val="0"/>
    <w:pPr>
      <w:ind w:firstLine="420" w:firstLineChars="100"/>
    </w:pPr>
    <w:rPr>
      <w:kern w:val="0"/>
      <w:sz w:val="20"/>
      <w:szCs w:val="20"/>
    </w:rPr>
  </w:style>
  <w:style w:type="paragraph" w:styleId="21">
    <w:name w:val="Body Text First Indent 2"/>
    <w:basedOn w:val="14"/>
    <w:unhideWhenUsed/>
    <w:qFormat/>
    <w:uiPriority w:val="99"/>
    <w:pPr>
      <w:ind w:firstLine="420"/>
    </w:pPr>
  </w:style>
  <w:style w:type="table" w:styleId="23">
    <w:name w:val="Table Grid"/>
    <w:basedOn w:val="2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annotation reference"/>
    <w:unhideWhenUsed/>
    <w:qFormat/>
    <w:uiPriority w:val="0"/>
    <w:rPr>
      <w:sz w:val="21"/>
      <w:szCs w:val="21"/>
    </w:rPr>
  </w:style>
  <w:style w:type="character" w:customStyle="1" w:styleId="26">
    <w:name w:val="标题 2 字符"/>
    <w:basedOn w:val="24"/>
    <w:link w:val="3"/>
    <w:autoRedefine/>
    <w:qFormat/>
    <w:uiPriority w:val="0"/>
    <w:rPr>
      <w:rFonts w:ascii="Arial" w:hAnsi="Arial" w:eastAsia="黑体" w:cs="Times New Roman"/>
      <w:b/>
      <w:bCs/>
      <w:sz w:val="32"/>
      <w:szCs w:val="32"/>
    </w:rPr>
  </w:style>
  <w:style w:type="character" w:customStyle="1" w:styleId="27">
    <w:name w:val="标题 3 字符"/>
    <w:basedOn w:val="24"/>
    <w:link w:val="4"/>
    <w:qFormat/>
    <w:uiPriority w:val="0"/>
    <w:rPr>
      <w:rFonts w:ascii="Times New Roman" w:hAnsi="Times New Roman" w:eastAsia="宋体" w:cs="Times New Roman"/>
      <w:b/>
      <w:bCs/>
      <w:sz w:val="32"/>
      <w:szCs w:val="32"/>
    </w:rPr>
  </w:style>
  <w:style w:type="character" w:customStyle="1" w:styleId="28">
    <w:name w:val="标题 4 字符"/>
    <w:basedOn w:val="24"/>
    <w:link w:val="5"/>
    <w:qFormat/>
    <w:uiPriority w:val="0"/>
    <w:rPr>
      <w:rFonts w:ascii="Cambria" w:hAnsi="Cambria" w:eastAsia="宋体" w:cs="Times New Roman"/>
      <w:b/>
      <w:bCs/>
      <w:sz w:val="28"/>
      <w:szCs w:val="28"/>
    </w:rPr>
  </w:style>
  <w:style w:type="paragraph" w:styleId="29">
    <w:name w:val="List Paragraph"/>
    <w:basedOn w:val="1"/>
    <w:link w:val="30"/>
    <w:qFormat/>
    <w:uiPriority w:val="0"/>
    <w:pPr>
      <w:ind w:firstLine="420" w:firstLineChars="200"/>
    </w:pPr>
    <w:rPr>
      <w:rFonts w:ascii="Calibri" w:hAnsi="Calibri"/>
      <w:szCs w:val="22"/>
    </w:rPr>
  </w:style>
  <w:style w:type="character" w:customStyle="1" w:styleId="30">
    <w:name w:val="列表段落 字符"/>
    <w:link w:val="29"/>
    <w:autoRedefine/>
    <w:qFormat/>
    <w:uiPriority w:val="0"/>
    <w:rPr>
      <w:rFonts w:ascii="Calibri" w:hAnsi="Calibri" w:eastAsia="宋体" w:cs="Times New Roman"/>
    </w:rPr>
  </w:style>
  <w:style w:type="character" w:customStyle="1" w:styleId="31">
    <w:name w:val="样式 正文缩进 + 首行缩进:  2 字符 Char"/>
    <w:link w:val="32"/>
    <w:autoRedefine/>
    <w:qFormat/>
    <w:uiPriority w:val="0"/>
    <w:rPr>
      <w:sz w:val="24"/>
    </w:rPr>
  </w:style>
  <w:style w:type="paragraph" w:customStyle="1" w:styleId="32">
    <w:name w:val="样式 正文缩进 + 首行缩进:  2 字符"/>
    <w:basedOn w:val="11"/>
    <w:link w:val="31"/>
    <w:qFormat/>
    <w:uiPriority w:val="0"/>
    <w:pPr>
      <w:spacing w:line="360" w:lineRule="auto"/>
      <w:ind w:firstLine="200"/>
    </w:pPr>
    <w:rPr>
      <w:rFonts w:asciiTheme="minorHAnsi" w:hAnsiTheme="minorHAnsi" w:eastAsiaTheme="minorEastAsia" w:cstheme="minorBidi"/>
      <w:sz w:val="24"/>
      <w:szCs w:val="22"/>
    </w:rPr>
  </w:style>
  <w:style w:type="character" w:customStyle="1" w:styleId="33">
    <w:name w:val="页眉 字符"/>
    <w:basedOn w:val="24"/>
    <w:link w:val="17"/>
    <w:qFormat/>
    <w:uiPriority w:val="99"/>
    <w:rPr>
      <w:rFonts w:ascii="Times New Roman" w:hAnsi="Times New Roman" w:eastAsia="宋体" w:cs="Times New Roman"/>
      <w:sz w:val="18"/>
      <w:szCs w:val="18"/>
    </w:rPr>
  </w:style>
  <w:style w:type="character" w:customStyle="1" w:styleId="34">
    <w:name w:val="页脚 字符"/>
    <w:basedOn w:val="24"/>
    <w:link w:val="16"/>
    <w:qFormat/>
    <w:uiPriority w:val="99"/>
    <w:rPr>
      <w:rFonts w:ascii="Times New Roman" w:hAnsi="Times New Roman" w:eastAsia="宋体" w:cs="Times New Roman"/>
      <w:sz w:val="18"/>
      <w:szCs w:val="18"/>
    </w:rPr>
  </w:style>
  <w:style w:type="character" w:customStyle="1" w:styleId="35">
    <w:name w:val="批注文字 字符"/>
    <w:basedOn w:val="24"/>
    <w:link w:val="12"/>
    <w:qFormat/>
    <w:uiPriority w:val="0"/>
    <w:rPr>
      <w:rFonts w:ascii="Calibri" w:hAnsi="Calibri" w:eastAsia="宋体" w:cs="Times New Roman"/>
      <w:sz w:val="24"/>
    </w:rPr>
  </w:style>
  <w:style w:type="character" w:customStyle="1" w:styleId="36">
    <w:name w:val="标题 6 字符"/>
    <w:basedOn w:val="24"/>
    <w:link w:val="7"/>
    <w:autoRedefine/>
    <w:qFormat/>
    <w:uiPriority w:val="9"/>
    <w:rPr>
      <w:rFonts w:asciiTheme="majorHAnsi" w:hAnsiTheme="majorHAnsi" w:eastAsiaTheme="majorEastAsia" w:cstheme="majorBidi"/>
      <w:b/>
      <w:bCs/>
      <w:sz w:val="24"/>
      <w:szCs w:val="24"/>
    </w:rPr>
  </w:style>
  <w:style w:type="character" w:customStyle="1" w:styleId="37">
    <w:name w:val="标题 5 字符"/>
    <w:basedOn w:val="24"/>
    <w:link w:val="6"/>
    <w:qFormat/>
    <w:uiPriority w:val="9"/>
    <w:rPr>
      <w:rFonts w:ascii="Times New Roman" w:hAnsi="Times New Roman" w:eastAsia="宋体" w:cs="Times New Roman"/>
      <w:b/>
      <w:bCs/>
      <w:sz w:val="28"/>
      <w:szCs w:val="28"/>
    </w:rPr>
  </w:style>
  <w:style w:type="character" w:customStyle="1" w:styleId="38">
    <w:name w:val="标题 7 字符"/>
    <w:basedOn w:val="24"/>
    <w:link w:val="8"/>
    <w:qFormat/>
    <w:uiPriority w:val="9"/>
    <w:rPr>
      <w:rFonts w:ascii="Times New Roman" w:hAnsi="Times New Roman" w:eastAsia="宋体" w:cs="Times New Roman"/>
      <w:b/>
      <w:bCs/>
      <w:sz w:val="24"/>
      <w:szCs w:val="24"/>
    </w:rPr>
  </w:style>
  <w:style w:type="character" w:customStyle="1" w:styleId="39">
    <w:name w:val="正文缩进 字符"/>
    <w:link w:val="11"/>
    <w:autoRedefine/>
    <w:qFormat/>
    <w:uiPriority w:val="0"/>
    <w:rPr>
      <w:rFonts w:ascii="Times New Roman" w:hAnsi="Times New Roman" w:eastAsia="宋体" w:cs="Times New Roman"/>
      <w:szCs w:val="24"/>
    </w:rPr>
  </w:style>
  <w:style w:type="character" w:customStyle="1" w:styleId="40">
    <w:name w:val="普通(网站) 字符"/>
    <w:link w:val="18"/>
    <w:qFormat/>
    <w:uiPriority w:val="0"/>
    <w:rPr>
      <w:rFonts w:ascii="宋体" w:hAnsi="宋体" w:eastAsia="宋体" w:cs="Times New Roman"/>
      <w:kern w:val="0"/>
      <w:sz w:val="18"/>
      <w:szCs w:val="18"/>
    </w:rPr>
  </w:style>
  <w:style w:type="paragraph" w:customStyle="1" w:styleId="41">
    <w:name w:val="DZBL-正文-2"/>
    <w:basedOn w:val="1"/>
    <w:link w:val="42"/>
    <w:autoRedefine/>
    <w:qFormat/>
    <w:uiPriority w:val="0"/>
    <w:pPr>
      <w:spacing w:line="360" w:lineRule="auto"/>
      <w:ind w:firstLine="425" w:firstLineChars="177"/>
    </w:pPr>
    <w:rPr>
      <w:rFonts w:ascii="宋体" w:hAnsi="Calibri"/>
      <w:sz w:val="24"/>
    </w:rPr>
  </w:style>
  <w:style w:type="character" w:customStyle="1" w:styleId="42">
    <w:name w:val="DZBL-正文-2 Char"/>
    <w:link w:val="41"/>
    <w:autoRedefine/>
    <w:qFormat/>
    <w:uiPriority w:val="0"/>
    <w:rPr>
      <w:rFonts w:ascii="宋体" w:hAnsi="Calibri" w:eastAsia="宋体" w:cs="Times New Roman"/>
      <w:sz w:val="24"/>
      <w:szCs w:val="24"/>
    </w:rPr>
  </w:style>
  <w:style w:type="paragraph" w:customStyle="1" w:styleId="43">
    <w:name w:val="Bid_正文"/>
    <w:basedOn w:val="11"/>
    <w:link w:val="44"/>
    <w:autoRedefine/>
    <w:qFormat/>
    <w:uiPriority w:val="0"/>
    <w:pPr>
      <w:spacing w:afterLines="50" w:line="360" w:lineRule="auto"/>
      <w:ind w:firstLine="480"/>
    </w:pPr>
    <w:rPr>
      <w:rFonts w:cstheme="minorBidi"/>
      <w:sz w:val="24"/>
      <w:szCs w:val="22"/>
    </w:rPr>
  </w:style>
  <w:style w:type="character" w:customStyle="1" w:styleId="44">
    <w:name w:val="Bid_正文 Char"/>
    <w:link w:val="43"/>
    <w:autoRedefine/>
    <w:qFormat/>
    <w:uiPriority w:val="0"/>
    <w:rPr>
      <w:rFonts w:ascii="Times New Roman" w:hAnsi="Times New Roman" w:eastAsia="宋体"/>
      <w:sz w:val="24"/>
    </w:rPr>
  </w:style>
  <w:style w:type="character" w:customStyle="1" w:styleId="45">
    <w:name w:val="标题 1 字符"/>
    <w:basedOn w:val="24"/>
    <w:link w:val="2"/>
    <w:autoRedefine/>
    <w:qFormat/>
    <w:uiPriority w:val="9"/>
    <w:rPr>
      <w:rFonts w:ascii="Times New Roman" w:hAnsi="Times New Roman" w:eastAsia="宋体" w:cs="Times New Roman"/>
      <w:b/>
      <w:bCs/>
      <w:kern w:val="44"/>
      <w:sz w:val="44"/>
      <w:szCs w:val="44"/>
    </w:rPr>
  </w:style>
  <w:style w:type="paragraph" w:customStyle="1" w:styleId="46">
    <w:name w:val="彩色列表 - 强调文字颜色 11"/>
    <w:basedOn w:val="1"/>
    <w:autoRedefine/>
    <w:qFormat/>
    <w:uiPriority w:val="34"/>
    <w:pPr>
      <w:spacing w:line="360" w:lineRule="auto"/>
      <w:ind w:firstLine="420" w:firstLineChars="200"/>
    </w:pPr>
    <w:rPr>
      <w:rFonts w:ascii="Calibri" w:hAnsi="Calibri"/>
      <w:sz w:val="24"/>
      <w:szCs w:val="22"/>
    </w:rPr>
  </w:style>
  <w:style w:type="character" w:customStyle="1" w:styleId="47">
    <w:name w:val="标题 8 字符"/>
    <w:basedOn w:val="24"/>
    <w:link w:val="9"/>
    <w:autoRedefine/>
    <w:qFormat/>
    <w:uiPriority w:val="0"/>
    <w:rPr>
      <w:rFonts w:asciiTheme="majorHAnsi" w:hAnsiTheme="majorHAnsi" w:eastAsiaTheme="majorEastAsia" w:cstheme="majorBidi"/>
      <w:sz w:val="24"/>
      <w:szCs w:val="24"/>
    </w:rPr>
  </w:style>
  <w:style w:type="character" w:customStyle="1" w:styleId="48">
    <w:name w:val="标题 9 字符"/>
    <w:basedOn w:val="24"/>
    <w:link w:val="10"/>
    <w:autoRedefine/>
    <w:qFormat/>
    <w:uiPriority w:val="0"/>
    <w:rPr>
      <w:rFonts w:asciiTheme="majorHAnsi" w:hAnsiTheme="majorHAnsi" w:eastAsiaTheme="majorEastAsia" w:cstheme="majorBidi"/>
      <w:szCs w:val="21"/>
    </w:rPr>
  </w:style>
  <w:style w:type="character" w:customStyle="1" w:styleId="49">
    <w:name w:val="正文文本 字符"/>
    <w:basedOn w:val="24"/>
    <w:link w:val="13"/>
    <w:autoRedefine/>
    <w:qFormat/>
    <w:uiPriority w:val="99"/>
    <w:rPr>
      <w:rFonts w:ascii="Calibri" w:hAnsi="Calibri" w:eastAsia="宋体" w:cs="Times New Roman"/>
      <w:sz w:val="24"/>
      <w:szCs w:val="24"/>
    </w:rPr>
  </w:style>
  <w:style w:type="paragraph" w:customStyle="1" w:styleId="50">
    <w:name w:val="kpk:3级"/>
    <w:basedOn w:val="4"/>
    <w:autoRedefine/>
    <w:qFormat/>
    <w:uiPriority w:val="0"/>
    <w:pPr>
      <w:spacing w:beforeLines="120" w:afterLines="100" w:line="240" w:lineRule="auto"/>
    </w:pPr>
    <w:rPr>
      <w:rFonts w:ascii="黑体" w:hAnsi="宋体" w:eastAsia="黑体"/>
      <w:b w:val="0"/>
      <w:bCs w:val="0"/>
      <w:sz w:val="30"/>
      <w:szCs w:val="24"/>
      <w:lang w:val="zh-CN"/>
    </w:rPr>
  </w:style>
  <w:style w:type="character" w:customStyle="1" w:styleId="51">
    <w:name w:val="批注主题 字符"/>
    <w:basedOn w:val="35"/>
    <w:link w:val="19"/>
    <w:autoRedefine/>
    <w:semiHidden/>
    <w:qFormat/>
    <w:uiPriority w:val="99"/>
    <w:rPr>
      <w:rFonts w:ascii="Times New Roman" w:hAnsi="Times New Roman" w:eastAsia="宋体" w:cs="Times New Roman"/>
      <w:b/>
      <w:bCs/>
      <w:sz w:val="24"/>
      <w:szCs w:val="24"/>
    </w:rPr>
  </w:style>
  <w:style w:type="character" w:customStyle="1" w:styleId="52">
    <w:name w:val="批注框文本 字符"/>
    <w:basedOn w:val="24"/>
    <w:link w:val="15"/>
    <w:autoRedefine/>
    <w:semiHidden/>
    <w:qFormat/>
    <w:uiPriority w:val="99"/>
    <w:rPr>
      <w:rFonts w:ascii="Times New Roman" w:hAnsi="Times New Roman" w:eastAsia="宋体" w:cs="Times New Roman"/>
      <w:sz w:val="18"/>
      <w:szCs w:val="18"/>
    </w:rPr>
  </w:style>
  <w:style w:type="paragraph" w:customStyle="1" w:styleId="53">
    <w:name w:val="wdcj_7_p"/>
    <w:basedOn w:val="1"/>
    <w:qFormat/>
    <w:uiPriority w:val="0"/>
    <w:pPr>
      <w:spacing w:line="360" w:lineRule="auto"/>
      <w:ind w:firstLine="480"/>
      <w:jc w:val="left"/>
    </w:pPr>
    <w:rPr>
      <w:rFonts w:ascii="宋体" w:hAnsi="宋体" w:eastAsia="宋体" w:cs="宋体"/>
      <w:kern w:val="0"/>
      <w:sz w:val="24"/>
      <w:szCs w:val="24"/>
      <w:lang w:val="en-US" w:eastAsia="zh-CN" w:bidi="ar"/>
    </w:rPr>
  </w:style>
  <w:style w:type="paragraph" w:customStyle="1" w:styleId="54">
    <w:name w:val="列表段落1"/>
    <w:basedOn w:val="1"/>
    <w:autoRedefine/>
    <w:qFormat/>
    <w:uiPriority w:val="0"/>
    <w:pPr>
      <w:ind w:firstLine="420"/>
    </w:pPr>
  </w:style>
  <w:style w:type="character" w:customStyle="1" w:styleId="55">
    <w:name w:val="font01"/>
    <w:basedOn w:val="24"/>
    <w:autoRedefine/>
    <w:qFormat/>
    <w:uiPriority w:val="0"/>
    <w:rPr>
      <w:rFonts w:hint="default" w:ascii="苹方-简 常规体" w:hAnsi="苹方-简 常规体" w:eastAsia="苹方-简 常规体" w:cs="苹方-简 常规体"/>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1528</Words>
  <Characters>1539</Characters>
  <Lines>45</Lines>
  <Paragraphs>12</Paragraphs>
  <TotalTime>95</TotalTime>
  <ScaleCrop>false</ScaleCrop>
  <LinksUpToDate>false</LinksUpToDate>
  <CharactersWithSpaces>1539</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2023-06-20T10:26:00Z</dcterms:created>
  <dc:creator>兵</dc:creator>
  <cp:lastModifiedBy>张姝雅</cp:lastModifiedBy>
  <cp:lastPrinted>2025-05-18T16:20:00Z</cp:lastPrinted>
  <dcterms:modified xsi:type="dcterms:W3CDTF">2025-12-25T15:55:54Z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76524100433A3622F0ED4C695E8DBB2B_43</vt:lpwstr>
  </property>
  <property fmtid="{D5CDD505-2E9C-101B-9397-08002B2CF9AE}" pid="4" name="KSOTemplateDocerSaveRecord">
    <vt:lpwstr>eyJoZGlkIjoiYjk5ODM0YmMxOWJiYWQyNDU4MGIzYWRmYTA0ZmI5NDciLCJ1c2VySWQiOiI0MzIyNDE2MzgifQ==</vt:lpwstr>
  </property>
</Properties>
</file>