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FBEA0B">
      <w:pPr>
        <w:ind w:firstLine="0" w:firstLineChars="0"/>
        <w:jc w:val="center"/>
        <w:rPr>
          <w:rFonts w:ascii="黑体" w:hAnsi="黑体" w:eastAsia="黑体"/>
          <w:sz w:val="48"/>
          <w:szCs w:val="48"/>
        </w:rPr>
      </w:pPr>
    </w:p>
    <w:p w14:paraId="514EA9EC">
      <w:pPr>
        <w:ind w:firstLine="0" w:firstLineChars="0"/>
        <w:jc w:val="center"/>
        <w:rPr>
          <w:rFonts w:ascii="黑体" w:hAnsi="黑体" w:eastAsia="黑体"/>
          <w:sz w:val="48"/>
          <w:szCs w:val="48"/>
        </w:rPr>
      </w:pPr>
    </w:p>
    <w:p w14:paraId="14FD7761">
      <w:pPr>
        <w:ind w:firstLine="0" w:firstLineChars="0"/>
        <w:jc w:val="center"/>
        <w:rPr>
          <w:rFonts w:ascii="黑体" w:hAnsi="黑体" w:eastAsia="黑体"/>
          <w:sz w:val="52"/>
          <w:szCs w:val="52"/>
        </w:rPr>
      </w:pPr>
      <w:r>
        <w:rPr>
          <w:rFonts w:hint="eastAsia" w:ascii="黑体" w:hAnsi="黑体" w:eastAsia="黑体"/>
          <w:sz w:val="52"/>
          <w:szCs w:val="52"/>
        </w:rPr>
        <w:t>上海市涉企数据综合管理 （二期）子系统建设项目</w:t>
      </w:r>
    </w:p>
    <w:p w14:paraId="242A8725">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0E8F650B">
      <w:pPr>
        <w:ind w:firstLine="0" w:firstLineChars="0"/>
        <w:jc w:val="center"/>
        <w:rPr>
          <w:rFonts w:ascii="黑体" w:hAnsi="黑体" w:eastAsia="黑体"/>
          <w:sz w:val="72"/>
          <w:szCs w:val="72"/>
        </w:rPr>
      </w:pPr>
    </w:p>
    <w:p w14:paraId="2E241F3A">
      <w:pPr>
        <w:ind w:firstLine="0" w:firstLineChars="0"/>
        <w:jc w:val="center"/>
        <w:rPr>
          <w:rFonts w:ascii="黑体" w:hAnsi="黑体" w:eastAsia="黑体"/>
          <w:sz w:val="48"/>
          <w:szCs w:val="48"/>
        </w:rPr>
      </w:pPr>
    </w:p>
    <w:p w14:paraId="3ACED1CE">
      <w:pPr>
        <w:ind w:firstLine="0" w:firstLineChars="0"/>
        <w:jc w:val="center"/>
        <w:rPr>
          <w:rFonts w:ascii="黑体" w:hAnsi="黑体" w:eastAsia="黑体"/>
          <w:sz w:val="52"/>
          <w:szCs w:val="52"/>
        </w:rPr>
      </w:pPr>
    </w:p>
    <w:p w14:paraId="2B53AE98">
      <w:pPr>
        <w:ind w:firstLine="1040"/>
        <w:rPr>
          <w:rFonts w:ascii="黑体" w:hAnsi="黑体" w:eastAsia="黑体"/>
          <w:sz w:val="52"/>
          <w:szCs w:val="52"/>
        </w:rPr>
      </w:pPr>
    </w:p>
    <w:p w14:paraId="445DC021"/>
    <w:p w14:paraId="5BA093B2"/>
    <w:p w14:paraId="3A4EE81C"/>
    <w:p w14:paraId="002B48DA"/>
    <w:p w14:paraId="17967C09"/>
    <w:p w14:paraId="03211887">
      <w:pPr>
        <w:ind w:firstLine="1040"/>
        <w:rPr>
          <w:rFonts w:ascii="黑体" w:hAnsi="黑体" w:eastAsia="黑体"/>
          <w:sz w:val="52"/>
          <w:szCs w:val="52"/>
        </w:rPr>
      </w:pPr>
    </w:p>
    <w:p w14:paraId="36170366">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22EAEF5F">
      <w:pPr>
        <w:pStyle w:val="2"/>
      </w:pPr>
      <w:bookmarkStart w:id="0" w:name="_Toc63785461"/>
      <w:r>
        <w:rPr>
          <w:rFonts w:hint="eastAsia"/>
        </w:rPr>
        <w:t>项目概况</w:t>
      </w:r>
      <w:bookmarkEnd w:id="0"/>
    </w:p>
    <w:p w14:paraId="7344F308">
      <w:pPr>
        <w:spacing w:line="560" w:lineRule="exact"/>
      </w:pPr>
      <w:r>
        <w:rPr>
          <w:rFonts w:hint="eastAsia"/>
        </w:rPr>
        <w:t>项目背景和现状：上海市作为我国的经济中心，拥有庞大的企业群体，这些企业在日常运营中需要与多个政府部门进行数据交换和报告提交。目前各部门统计报表存在报表数量多、报表类型多、指标重复率高等问题。经分析，重复度较高的为企业所在地地址、从业人数、资产总额、负债总额、营业收入、主营业务收入、利润总额等企业基本情况和企业经营类情况指标，客观上造成了企业的反复填、重复填等问题。同时，传统的数据传输方式存在数据泄露等问题。</w:t>
      </w:r>
    </w:p>
    <w:p w14:paraId="372C6DAC">
      <w:pPr>
        <w:spacing w:line="560" w:lineRule="exact"/>
      </w:pPr>
      <w:r>
        <w:rPr>
          <w:rFonts w:hint="eastAsia"/>
        </w:rPr>
        <w:t>上海市统计局、国家统计局上海调查总队积极落实市领导讲话精神，联合发布《上海统计系统减轻企业报表填报负担专项工作实施方案》，明确提出了要加强数据整合与共享，推进涉企数据一体化系统建设，减轻企业报表填报负担。同时，通过浦江数链及政务区块链基础设施，实现数据的真实可信、安全共享，为企业提供更加便捷、高效的政务服务。</w:t>
      </w:r>
    </w:p>
    <w:p w14:paraId="5DC19CC3">
      <w:pPr>
        <w:spacing w:line="560" w:lineRule="exact"/>
      </w:pPr>
      <w:r>
        <w:rPr>
          <w:rFonts w:hint="eastAsia"/>
        </w:rPr>
        <w:t>本项目将贯彻落实市领导讲话精神，执行建设行动方案要求，建设上海市涉企数据综合管理（二期）子系统，并通过区块链技术的应用，实现企业数据的统一管理和安全共享，减少企业在数据报送过程中的重复劳动，提高数据报送的效率和准确性。</w:t>
      </w:r>
    </w:p>
    <w:p w14:paraId="2A72FD90">
      <w:pPr>
        <w:spacing w:line="560" w:lineRule="exact"/>
      </w:pPr>
      <w:r>
        <w:rPr>
          <w:rFonts w:hint="eastAsia"/>
        </w:rPr>
        <w:t>建设期限：自合同签订之日起6个月</w:t>
      </w:r>
      <w:r>
        <w:rPr>
          <w:rFonts w:hint="eastAsia"/>
          <w:lang w:eastAsia="zh-CN"/>
        </w:rPr>
        <w:t>内</w:t>
      </w:r>
      <w:r>
        <w:rPr>
          <w:rFonts w:hint="eastAsia"/>
        </w:rPr>
        <w:t>（包括0.5个月试运行）</w:t>
      </w:r>
    </w:p>
    <w:p w14:paraId="0E8A29E3">
      <w:pPr>
        <w:spacing w:line="560" w:lineRule="exact"/>
      </w:pPr>
      <w:r>
        <w:rPr>
          <w:rFonts w:hint="eastAsia"/>
        </w:rPr>
        <w:t>建设地点：上海市大数据中心</w:t>
      </w:r>
    </w:p>
    <w:p w14:paraId="6D182F74">
      <w:pPr>
        <w:spacing w:line="560" w:lineRule="exact"/>
      </w:pPr>
      <w:r>
        <w:rPr>
          <w:rFonts w:hint="eastAsia"/>
        </w:rPr>
        <w:t>预算金额：1,767,880元</w:t>
      </w:r>
    </w:p>
    <w:p w14:paraId="6BC725D8">
      <w:pPr>
        <w:spacing w:line="560" w:lineRule="exact"/>
      </w:pPr>
      <w:r>
        <w:rPr>
          <w:rFonts w:hint="eastAsia"/>
        </w:rPr>
        <w:t>当年度预算金额：1,767,880元</w:t>
      </w:r>
    </w:p>
    <w:p w14:paraId="06D916C3">
      <w:pPr>
        <w:spacing w:line="560" w:lineRule="exact"/>
      </w:pPr>
      <w:r>
        <w:rPr>
          <w:rFonts w:hint="eastAsia"/>
        </w:rPr>
        <w:t>采购金额（最高限价）：1,767,880元</w:t>
      </w:r>
    </w:p>
    <w:p w14:paraId="43A7049B">
      <w:pPr>
        <w:spacing w:line="560" w:lineRule="exact"/>
      </w:pPr>
      <w:r>
        <w:rPr>
          <w:rFonts w:hint="eastAsia"/>
        </w:rPr>
        <w:t>组织形式：集中采购</w:t>
      </w:r>
    </w:p>
    <w:p w14:paraId="3816E42E">
      <w:pPr>
        <w:spacing w:line="560" w:lineRule="exact"/>
      </w:pPr>
      <w:r>
        <w:rPr>
          <w:rFonts w:hint="eastAsia"/>
        </w:rPr>
        <w:t>采购方式：竞争性磋商</w:t>
      </w:r>
    </w:p>
    <w:p w14:paraId="68FA9D7C">
      <w:pPr>
        <w:spacing w:line="560" w:lineRule="exact"/>
      </w:pPr>
      <w:r>
        <w:rPr>
          <w:rFonts w:hint="eastAsia"/>
        </w:rPr>
        <w:t>是否接受联合体</w:t>
      </w:r>
      <w:r>
        <w:rPr>
          <w:rFonts w:hint="eastAsia"/>
          <w:sz w:val="24"/>
          <w:szCs w:val="24"/>
        </w:rPr>
        <w:t>响应</w:t>
      </w:r>
      <w:r>
        <w:rPr>
          <w:rFonts w:hint="eastAsia"/>
        </w:rPr>
        <w:t>：否</w:t>
      </w:r>
    </w:p>
    <w:p w14:paraId="35F24D42">
      <w:pPr>
        <w:spacing w:line="560" w:lineRule="exact"/>
      </w:pPr>
      <w:r>
        <w:t>是否按</w:t>
      </w:r>
      <w:r>
        <w:rPr>
          <w:rFonts w:hint="eastAsia"/>
          <w:lang w:eastAsia="zh-CN"/>
        </w:rPr>
        <w:t>XC</w:t>
      </w:r>
      <w:r>
        <w:t>要求建设：是</w:t>
      </w:r>
    </w:p>
    <w:p w14:paraId="66F5B9B9">
      <w:pPr>
        <w:spacing w:line="560" w:lineRule="exact"/>
      </w:pPr>
      <w:r>
        <w:rPr>
          <w:rFonts w:hint="eastAsia"/>
        </w:rPr>
        <w:t>是否采用低代码建设：是</w:t>
      </w:r>
    </w:p>
    <w:p w14:paraId="023B511F">
      <w:pPr>
        <w:spacing w:line="560" w:lineRule="exact"/>
      </w:pPr>
      <w:r>
        <w:rPr>
          <w:rFonts w:hint="eastAsia"/>
        </w:rPr>
        <w:t>运维后所属大系统：综合运行管理系统</w:t>
      </w:r>
    </w:p>
    <w:p w14:paraId="0CCA6328"/>
    <w:p w14:paraId="4B4AB36C">
      <w:pPr>
        <w:pStyle w:val="2"/>
      </w:pPr>
      <w:bookmarkStart w:id="1" w:name="_Toc47537134"/>
      <w:bookmarkEnd w:id="1"/>
      <w:bookmarkStart w:id="2" w:name="_Toc47532891"/>
      <w:bookmarkEnd w:id="2"/>
      <w:bookmarkStart w:id="3" w:name="_Toc47532255"/>
      <w:bookmarkEnd w:id="3"/>
      <w:bookmarkStart w:id="4" w:name="_Toc47536644"/>
      <w:bookmarkEnd w:id="4"/>
      <w:bookmarkStart w:id="5" w:name="_Toc47539070"/>
      <w:bookmarkEnd w:id="5"/>
      <w:bookmarkStart w:id="6" w:name="_Toc47531634"/>
      <w:bookmarkEnd w:id="6"/>
      <w:bookmarkStart w:id="7" w:name="_Toc47536272"/>
      <w:bookmarkEnd w:id="7"/>
      <w:bookmarkStart w:id="8" w:name="_Toc47533256"/>
      <w:bookmarkEnd w:id="8"/>
      <w:bookmarkStart w:id="9" w:name="_Toc63785463"/>
      <w:bookmarkStart w:id="10" w:name="_Toc48223882"/>
      <w:r>
        <w:rPr>
          <w:rFonts w:hint="eastAsia"/>
        </w:rPr>
        <w:t>建设目标</w:t>
      </w:r>
      <w:bookmarkEnd w:id="9"/>
      <w:bookmarkEnd w:id="10"/>
    </w:p>
    <w:p w14:paraId="74B9622E">
      <w:pPr>
        <w:pStyle w:val="3"/>
      </w:pPr>
      <w:r>
        <w:rPr>
          <w:rFonts w:hint="eastAsia"/>
        </w:rPr>
        <w:t>建设目标</w:t>
      </w:r>
    </w:p>
    <w:p w14:paraId="3A00ECAA">
      <w:pPr>
        <w:rPr>
          <w:bCs/>
        </w:rPr>
      </w:pPr>
      <w:r>
        <w:rPr>
          <w:rFonts w:hint="eastAsia"/>
          <w:bCs/>
        </w:rPr>
        <w:t>上海市涉企数据综合管理（二期）子系统依托市大数据中心共性服务能力，按照“报表智联、系统互通、数据跑路”的建设思路，采用统一的涉企数据管理、N个数智融合应用（“1+N”）的架构，遵循“自主可控、安全可信、性能领先、功能完备”的原则，为全市各部门的涉企数据共享交互、数据利用提供安全、高效和可靠的一体化系统。具体建设目标如下：</w:t>
      </w:r>
    </w:p>
    <w:p w14:paraId="5083F812">
      <w:pPr>
        <w:rPr>
          <w:bCs/>
        </w:rPr>
      </w:pPr>
      <w:r>
        <w:rPr>
          <w:rFonts w:hint="eastAsia"/>
          <w:bCs/>
        </w:rPr>
        <w:t>（1）改造涉企数据填报统一入口，实现涉企填报系统整合</w:t>
      </w:r>
    </w:p>
    <w:p w14:paraId="71D09ADC">
      <w:pPr>
        <w:rPr>
          <w:bCs/>
        </w:rPr>
      </w:pPr>
      <w:r>
        <w:rPr>
          <w:rFonts w:hint="eastAsia"/>
          <w:bCs/>
        </w:rPr>
        <w:t>依托“一网通办”统一身份认证体系，采用集成整合、单点登录、链接跳转三种方式，打造涉企数据填报统一入口，逐步实现市级填报相关系统整合。</w:t>
      </w:r>
    </w:p>
    <w:p w14:paraId="6AD1DF55">
      <w:pPr>
        <w:rPr>
          <w:bCs/>
        </w:rPr>
      </w:pPr>
      <w:r>
        <w:rPr>
          <w:rFonts w:hint="eastAsia"/>
          <w:bCs/>
        </w:rPr>
        <w:t>（2）强化涉企相关数据统一管理，满足涉企数据统一管理需求</w:t>
      </w:r>
    </w:p>
    <w:p w14:paraId="1071B1FF">
      <w:pPr>
        <w:rPr>
          <w:bCs/>
        </w:rPr>
      </w:pPr>
      <w:r>
        <w:rPr>
          <w:rFonts w:hint="eastAsia"/>
          <w:bCs/>
        </w:rPr>
        <w:t>调用上海市涉企数据综合管理系统中现有的数据资源管理功能，抽取、归集8个部门110张涉企采集数据，对各部门采集的涉企数据进行统一登记、统一分类、统一存储，生成涉企数据主题库。</w:t>
      </w:r>
    </w:p>
    <w:p w14:paraId="74C64FB0">
      <w:pPr>
        <w:rPr>
          <w:bCs/>
        </w:rPr>
      </w:pPr>
      <w:r>
        <w:rPr>
          <w:rFonts w:hint="eastAsia"/>
          <w:bCs/>
        </w:rPr>
        <w:t>（3）基于链上涉企数据交互接口，最大限度为企业填报工作减负</w:t>
      </w:r>
    </w:p>
    <w:p w14:paraId="76EBFAC9">
      <w:pPr>
        <w:rPr>
          <w:bCs/>
        </w:rPr>
      </w:pPr>
      <w:r>
        <w:rPr>
          <w:rFonts w:hint="eastAsia"/>
          <w:bCs/>
        </w:rPr>
        <w:t>基于区块链，为涉企的110张数据表建立标准接口，采用加密技术对传输中的数据进行加密，防止数据泄露。确保数据源和填报系统能够顺利对接。</w:t>
      </w:r>
    </w:p>
    <w:p w14:paraId="5600E7EE">
      <w:pPr>
        <w:rPr>
          <w:bCs/>
        </w:rPr>
      </w:pPr>
      <w:r>
        <w:rPr>
          <w:rFonts w:hint="eastAsia"/>
          <w:bCs/>
        </w:rPr>
        <w:t>对于政府部门要求的填报工作，可以通过数据交互接口，将相关数据填充到填报系统中。原本需要人工逐个字段录入的大量数据，现在只需少量的人工核对和补充即可，大大节省了时间和人力成本。</w:t>
      </w:r>
    </w:p>
    <w:p w14:paraId="7BCE797D">
      <w:pPr>
        <w:rPr>
          <w:bCs/>
        </w:rPr>
      </w:pPr>
      <w:r>
        <w:rPr>
          <w:rFonts w:hint="eastAsia"/>
          <w:bCs/>
        </w:rPr>
        <w:t>（4）推进涉企数据融合应用，释放涉企数据潜在价值</w:t>
      </w:r>
    </w:p>
    <w:p w14:paraId="3B179D0F">
      <w:pPr>
        <w:rPr>
          <w:bCs/>
        </w:rPr>
      </w:pPr>
      <w:r>
        <w:rPr>
          <w:rFonts w:hint="eastAsia"/>
          <w:bCs/>
        </w:rPr>
        <w:t>深化数智融合应用。利用市大数据中心共性服务能力，进一步融合、加工涉企数据，构建“企业群体数据分析、涉企数据统一填报平台”数据应用赋能，以及面向企业的“企业体检”数据服务应用，助力政府各部门开展政企服务工作，为企业提供数据赋能。</w:t>
      </w:r>
    </w:p>
    <w:p w14:paraId="13F10A9D">
      <w:pPr>
        <w:rPr>
          <w:bCs/>
        </w:rPr>
      </w:pPr>
      <w:r>
        <w:rPr>
          <w:rFonts w:hint="eastAsia"/>
          <w:bCs/>
        </w:rPr>
        <w:t>（5）系统运营管理“一张图”</w:t>
      </w:r>
    </w:p>
    <w:p w14:paraId="2130EB6D">
      <w:pPr>
        <w:rPr>
          <w:bCs/>
        </w:rPr>
      </w:pPr>
      <w:r>
        <w:rPr>
          <w:rFonts w:hint="eastAsia"/>
          <w:bCs/>
        </w:rPr>
        <w:t>采用多维度、多层次的可视化展示技术，结合实时监控和趋势分析，构建涉企数据运营的“一图统揽、一图智管、一图赋能”的数字化管理体系。支持不同角色用户（数据运营人员、业务管理人员、高层决策者）的差异化需求，提供从宏观概览到微观细节的灵活切换能力，帮助数据运营人员、业务管理人员和决策者快速理解涉企数据运营情况。</w:t>
      </w:r>
    </w:p>
    <w:p w14:paraId="6CC46586">
      <w:pPr>
        <w:rPr>
          <w:bCs/>
        </w:rPr>
      </w:pPr>
      <w:r>
        <w:rPr>
          <w:rFonts w:hint="eastAsia"/>
          <w:bCs/>
        </w:rPr>
        <w:t>（6）升级涉企数据应用服务，丰富数据赋能场景</w:t>
      </w:r>
    </w:p>
    <w:p w14:paraId="4A23147F">
      <w:pPr>
        <w:rPr>
          <w:bCs/>
        </w:rPr>
      </w:pPr>
      <w:r>
        <w:rPr>
          <w:rFonts w:hint="eastAsia"/>
          <w:bCs/>
        </w:rPr>
        <w:t>在“一网通办”的企业专属空间，新增8个部门110张报表的历史数据查询，通过涉企数据的反哺，方便企业查询填报的历史报表数据。</w:t>
      </w:r>
    </w:p>
    <w:p w14:paraId="3ED61F75">
      <w:pPr>
        <w:pStyle w:val="3"/>
      </w:pPr>
      <w:r>
        <w:rPr>
          <w:rFonts w:hint="eastAsia"/>
        </w:rPr>
        <w:t>应用指标</w:t>
      </w:r>
    </w:p>
    <w:p w14:paraId="3781A4BF">
      <w:pPr>
        <w:rPr>
          <w:bCs/>
        </w:rPr>
      </w:pPr>
      <w:r>
        <w:rPr>
          <w:rFonts w:hint="eastAsia"/>
          <w:bCs/>
        </w:rPr>
        <w:t>上海市涉企报表通使用对象主要为涉企数据应用赋能的各级政府部门、企业用户，涉企数据运营用户。主要用户包括调查对象（企业）、市区两级部门的业务管理员（数据资源管理）、涉企数据应用赋能的部门使用人员、系统管理员等4</w:t>
      </w:r>
      <w:r>
        <w:rPr>
          <w:rFonts w:hint="eastAsia"/>
          <w:bCs/>
          <w:lang w:eastAsia="zh-CN"/>
        </w:rPr>
        <w:t>类</w:t>
      </w:r>
      <w:r>
        <w:rPr>
          <w:rFonts w:hint="eastAsia"/>
          <w:bCs/>
        </w:rPr>
        <w:t>用户，共计约6万个用户</w:t>
      </w:r>
    </w:p>
    <w:p w14:paraId="0399F3AE">
      <w:r>
        <w:rPr>
          <w:rFonts w:hint="eastAsia"/>
        </w:rPr>
        <w:t>1</w:t>
      </w:r>
      <w:r>
        <w:t xml:space="preserve">. </w:t>
      </w:r>
      <w:r>
        <w:rPr>
          <w:rFonts w:hint="eastAsia"/>
        </w:rPr>
        <w:t>系统峰值并发用户数约2400。</w:t>
      </w:r>
    </w:p>
    <w:p w14:paraId="442607D8">
      <w:r>
        <w:rPr>
          <w:rFonts w:hint="eastAsia"/>
        </w:rPr>
        <w:t>2</w:t>
      </w:r>
      <w:r>
        <w:t xml:space="preserve">. </w:t>
      </w:r>
      <w:r>
        <w:rPr>
          <w:rFonts w:hint="eastAsia"/>
        </w:rPr>
        <w:t>系统响应时间：要求系统平均响应时间小于 1 秒，100个用户并发访问服务处理平均响应时间（峰值响应时间）小于 2 秒。</w:t>
      </w:r>
    </w:p>
    <w:p w14:paraId="0207B4B3">
      <w:pPr>
        <w:pStyle w:val="3"/>
      </w:pPr>
      <w:r>
        <w:rPr>
          <w:rFonts w:hint="eastAsia"/>
        </w:rPr>
        <w:t>业务绩效目标</w:t>
      </w:r>
    </w:p>
    <w:p w14:paraId="7CABF896">
      <w:pPr>
        <w:pStyle w:val="135"/>
        <w:numPr>
          <w:ilvl w:val="0"/>
          <w:numId w:val="3"/>
        </w:numPr>
        <w:ind w:firstLineChars="0"/>
        <w:rPr>
          <w:rFonts w:ascii="宋体" w:hAnsi="宋体" w:eastAsia="宋体"/>
          <w:sz w:val="24"/>
          <w:szCs w:val="24"/>
        </w:rPr>
      </w:pPr>
      <w:r>
        <w:rPr>
          <w:rFonts w:hint="eastAsia" w:ascii="宋体" w:hAnsi="宋体" w:eastAsia="宋体"/>
          <w:sz w:val="24"/>
          <w:szCs w:val="24"/>
        </w:rPr>
        <w:t>数据预填情况指标：数字化采集作业方式比例≥90%。（指标值=1-可预填的公共元数据指标数量/公共元数据指标数量*100%）</w:t>
      </w:r>
    </w:p>
    <w:p w14:paraId="6C6C9039">
      <w:pPr>
        <w:pStyle w:val="3"/>
      </w:pPr>
      <w:r>
        <w:rPr>
          <w:rFonts w:hint="eastAsia"/>
        </w:rPr>
        <w:t>技术绩效目标</w:t>
      </w:r>
    </w:p>
    <w:p w14:paraId="1BE5C3AF">
      <w:pPr>
        <w:pStyle w:val="135"/>
        <w:numPr>
          <w:ilvl w:val="0"/>
          <w:numId w:val="3"/>
        </w:numPr>
        <w:ind w:firstLineChars="0"/>
        <w:rPr>
          <w:rFonts w:ascii="宋体" w:hAnsi="宋体" w:eastAsia="宋体"/>
          <w:sz w:val="24"/>
          <w:szCs w:val="24"/>
        </w:rPr>
      </w:pPr>
      <w:r>
        <w:rPr>
          <w:rFonts w:hint="eastAsia" w:ascii="宋体" w:hAnsi="宋体" w:eastAsia="宋体"/>
          <w:sz w:val="24"/>
          <w:szCs w:val="24"/>
        </w:rPr>
        <w:t>软件开发完成率100%</w:t>
      </w:r>
    </w:p>
    <w:p w14:paraId="5890D67B">
      <w:pPr>
        <w:pStyle w:val="135"/>
        <w:numPr>
          <w:ilvl w:val="0"/>
          <w:numId w:val="3"/>
        </w:numPr>
        <w:ind w:firstLineChars="0"/>
        <w:rPr>
          <w:rFonts w:ascii="宋体" w:hAnsi="宋体" w:eastAsia="宋体"/>
          <w:sz w:val="24"/>
          <w:szCs w:val="24"/>
        </w:rPr>
      </w:pPr>
      <w:r>
        <w:rPr>
          <w:rFonts w:hint="eastAsia" w:ascii="宋体" w:hAnsi="宋体" w:eastAsia="宋体"/>
          <w:sz w:val="24"/>
          <w:szCs w:val="24"/>
        </w:rPr>
        <w:t>系统可靠性100%</w:t>
      </w:r>
    </w:p>
    <w:p w14:paraId="47811895">
      <w:pPr>
        <w:pStyle w:val="135"/>
        <w:numPr>
          <w:ilvl w:val="0"/>
          <w:numId w:val="3"/>
        </w:numPr>
        <w:ind w:firstLineChars="0"/>
        <w:rPr>
          <w:rFonts w:ascii="宋体" w:hAnsi="宋体" w:eastAsia="宋体"/>
          <w:sz w:val="24"/>
          <w:szCs w:val="24"/>
        </w:rPr>
      </w:pPr>
      <w:r>
        <w:rPr>
          <w:rFonts w:hint="eastAsia" w:ascii="宋体" w:hAnsi="宋体" w:eastAsia="宋体"/>
          <w:sz w:val="24"/>
          <w:szCs w:val="24"/>
        </w:rPr>
        <w:t>软件测试达标</w:t>
      </w:r>
    </w:p>
    <w:p w14:paraId="3E98D52F">
      <w:pPr>
        <w:pStyle w:val="135"/>
        <w:numPr>
          <w:ilvl w:val="0"/>
          <w:numId w:val="3"/>
        </w:numPr>
        <w:ind w:firstLineChars="0"/>
        <w:rPr>
          <w:rFonts w:ascii="宋体" w:hAnsi="宋体" w:eastAsia="宋体"/>
          <w:sz w:val="24"/>
          <w:szCs w:val="24"/>
        </w:rPr>
      </w:pPr>
      <w:r>
        <w:rPr>
          <w:rFonts w:hint="eastAsia" w:ascii="宋体" w:hAnsi="宋体" w:eastAsia="宋体"/>
          <w:sz w:val="24"/>
          <w:szCs w:val="24"/>
        </w:rPr>
        <w:t>密码测试达标</w:t>
      </w:r>
    </w:p>
    <w:p w14:paraId="083749BD">
      <w:pPr>
        <w:pStyle w:val="135"/>
        <w:numPr>
          <w:ilvl w:val="0"/>
          <w:numId w:val="3"/>
        </w:numPr>
        <w:ind w:firstLineChars="0"/>
        <w:rPr>
          <w:rFonts w:ascii="宋体" w:hAnsi="宋体" w:eastAsia="宋体"/>
          <w:sz w:val="24"/>
          <w:szCs w:val="24"/>
        </w:rPr>
      </w:pPr>
      <w:r>
        <w:rPr>
          <w:rFonts w:hint="eastAsia" w:ascii="宋体" w:hAnsi="宋体" w:eastAsia="宋体"/>
          <w:sz w:val="24"/>
          <w:szCs w:val="24"/>
        </w:rPr>
        <w:t>安全测试达标</w:t>
      </w:r>
    </w:p>
    <w:p w14:paraId="0BD2116D">
      <w:pPr>
        <w:ind w:firstLine="482"/>
        <w:rPr>
          <w:b/>
        </w:rPr>
      </w:pPr>
    </w:p>
    <w:p w14:paraId="14F33840">
      <w:pPr>
        <w:pStyle w:val="2"/>
      </w:pPr>
      <w:bookmarkStart w:id="11" w:name="_Toc47536304"/>
      <w:bookmarkEnd w:id="11"/>
      <w:bookmarkStart w:id="12" w:name="_Toc47536676"/>
      <w:bookmarkEnd w:id="12"/>
      <w:bookmarkStart w:id="13" w:name="_Toc47539102"/>
      <w:bookmarkEnd w:id="13"/>
      <w:bookmarkStart w:id="14" w:name="_Toc47533288"/>
      <w:bookmarkEnd w:id="14"/>
      <w:bookmarkStart w:id="15" w:name="_Toc47537166"/>
      <w:bookmarkEnd w:id="15"/>
      <w:bookmarkStart w:id="16" w:name="_Toc47532923"/>
      <w:bookmarkEnd w:id="16"/>
      <w:r>
        <w:rPr>
          <w:rFonts w:hint="eastAsia"/>
        </w:rPr>
        <w:t>项目建设内容</w:t>
      </w:r>
    </w:p>
    <w:p w14:paraId="3A87B34D">
      <w:pPr>
        <w:pStyle w:val="3"/>
      </w:pPr>
      <w:r>
        <w:rPr>
          <w:rFonts w:hint="eastAsia"/>
        </w:rPr>
        <w:t>项目建设内容</w:t>
      </w:r>
    </w:p>
    <w:p w14:paraId="50DB0793">
      <w:pPr>
        <w:widowControl/>
        <w:snapToGrid w:val="0"/>
        <w:spacing w:line="440" w:lineRule="exact"/>
        <w:jc w:val="left"/>
        <w:rPr>
          <w:bCs/>
        </w:rPr>
      </w:pPr>
      <w:r>
        <w:rPr>
          <w:rFonts w:hint="eastAsia"/>
          <w:bCs/>
        </w:rPr>
        <w:t>为贯彻落实市委主要领导的讲话和批示要求，上海市涉企数据综合管理（二期）子系统建设项目旨在减轻企业报表填报负担，加强涉企数据的共享与应用，科学把握经济运行态势，以助力政府宏观决策和对企业实施精准政策。本次项目在上海市涉企数据综合管理子系统的基础上，新增8个部门13个涉企数据采集系统110张涉企数据采集表数据的接入、管理、上链，并通过省级数据交互接口，对外提供数据交互服务，同时，在广泛接入涉企数据基础上，开发数据应用，为政府部门与企业提供数据应用赋能，具体建设内容如下：</w:t>
      </w:r>
    </w:p>
    <w:p w14:paraId="7DBE8138">
      <w:pPr>
        <w:widowControl/>
        <w:snapToGrid w:val="0"/>
        <w:spacing w:line="440" w:lineRule="exact"/>
        <w:jc w:val="left"/>
        <w:rPr>
          <w:bCs/>
        </w:rPr>
      </w:pPr>
      <w:r>
        <w:rPr>
          <w:rFonts w:hint="eastAsia"/>
          <w:bCs/>
        </w:rPr>
        <w:t>1、升级企业数据直报平台门户</w:t>
      </w:r>
    </w:p>
    <w:p w14:paraId="107033FD">
      <w:pPr>
        <w:widowControl/>
        <w:snapToGrid w:val="0"/>
        <w:spacing w:line="440" w:lineRule="exact"/>
        <w:jc w:val="left"/>
        <w:rPr>
          <w:bCs/>
        </w:rPr>
      </w:pPr>
      <w:r>
        <w:rPr>
          <w:rFonts w:hint="eastAsia"/>
          <w:bCs/>
        </w:rPr>
        <w:t>在一网通办的企业数据直报平台（涉企数据综合管理子系统）门户中，改造统一登录门户页面，并按照一网通办标准接入8个部门13个涉企数据填报系统的企业填报端应用，集成面向企业的统一登录与应用授权。</w:t>
      </w:r>
    </w:p>
    <w:p w14:paraId="3B872117">
      <w:pPr>
        <w:widowControl/>
        <w:snapToGrid w:val="0"/>
        <w:spacing w:line="440" w:lineRule="exact"/>
        <w:jc w:val="left"/>
        <w:rPr>
          <w:bCs/>
        </w:rPr>
      </w:pPr>
      <w:r>
        <w:rPr>
          <w:rFonts w:hint="eastAsia"/>
          <w:bCs/>
        </w:rPr>
        <w:t>2、系统运营管理</w:t>
      </w:r>
    </w:p>
    <w:p w14:paraId="4A0D4154">
      <w:pPr>
        <w:widowControl/>
        <w:snapToGrid w:val="0"/>
        <w:spacing w:line="440" w:lineRule="exact"/>
        <w:jc w:val="left"/>
        <w:rPr>
          <w:bCs/>
        </w:rPr>
      </w:pPr>
      <w:r>
        <w:rPr>
          <w:rFonts w:hint="eastAsia"/>
          <w:bCs/>
        </w:rPr>
        <w:t>提供涉企数据交互总体分析、数据上链及交互情况分析、数据交互接口及接口调用分析应用，满足不同角色用户（数据运营人员、业务管理人员、高层决策者）的差异化的系统运营需求。</w:t>
      </w:r>
    </w:p>
    <w:p w14:paraId="79900269">
      <w:pPr>
        <w:widowControl/>
        <w:snapToGrid w:val="0"/>
        <w:spacing w:line="440" w:lineRule="exact"/>
        <w:jc w:val="left"/>
        <w:rPr>
          <w:bCs/>
        </w:rPr>
      </w:pPr>
      <w:r>
        <w:rPr>
          <w:rFonts w:hint="eastAsia"/>
          <w:bCs/>
        </w:rPr>
        <w:t>3、升级涉企数据应用服务</w:t>
      </w:r>
    </w:p>
    <w:p w14:paraId="24B9809D">
      <w:pPr>
        <w:widowControl/>
        <w:snapToGrid w:val="0"/>
        <w:spacing w:line="440" w:lineRule="exact"/>
        <w:jc w:val="left"/>
        <w:rPr>
          <w:bCs/>
        </w:rPr>
      </w:pPr>
      <w:r>
        <w:rPr>
          <w:rFonts w:hint="eastAsia"/>
          <w:bCs/>
        </w:rPr>
        <w:t>在“一网通办”的企业专属空间的历史数据查询，新增8个部门1</w:t>
      </w:r>
      <w:r>
        <w:rPr>
          <w:rFonts w:hint="eastAsia"/>
          <w:bCs/>
          <w:lang w:val="en-US" w:eastAsia="zh-CN"/>
        </w:rPr>
        <w:t>10</w:t>
      </w:r>
      <w:r>
        <w:rPr>
          <w:rFonts w:hint="eastAsia"/>
          <w:bCs/>
        </w:rPr>
        <w:t>张报表数据，方便企业查询填报的历史报表数据。</w:t>
      </w:r>
    </w:p>
    <w:p w14:paraId="7B87D448">
      <w:pPr>
        <w:widowControl/>
        <w:snapToGrid w:val="0"/>
        <w:spacing w:line="440" w:lineRule="exact"/>
        <w:jc w:val="left"/>
        <w:rPr>
          <w:bCs/>
        </w:rPr>
      </w:pPr>
      <w:r>
        <w:rPr>
          <w:rFonts w:hint="eastAsia"/>
          <w:bCs/>
        </w:rPr>
        <w:t>4、基于区块链的数据交互接口设计</w:t>
      </w:r>
    </w:p>
    <w:p w14:paraId="24E7D8C7">
      <w:pPr>
        <w:widowControl/>
        <w:snapToGrid w:val="0"/>
        <w:spacing w:line="440" w:lineRule="exact"/>
        <w:jc w:val="left"/>
        <w:rPr>
          <w:bCs/>
        </w:rPr>
      </w:pPr>
      <w:r>
        <w:rPr>
          <w:rFonts w:hint="eastAsia"/>
          <w:bCs/>
        </w:rPr>
        <w:t>基于区块链，围绕8个部门110张涉企报表，建设统一的涉企数据标准接口，为每张报表配套 1 个智能合约及区块链数据交互接口，确保不同的数据源和填报系统能够顺利对接。对于需要大量数据录入的填报任务，可以通过数据交互接口，将相关数据填充到填报系统中。</w:t>
      </w:r>
    </w:p>
    <w:p w14:paraId="6D73FF44">
      <w:pPr>
        <w:widowControl/>
        <w:snapToGrid w:val="0"/>
        <w:spacing w:line="440" w:lineRule="exact"/>
        <w:jc w:val="left"/>
        <w:rPr>
          <w:bCs/>
        </w:rPr>
      </w:pPr>
      <w:r>
        <w:rPr>
          <w:rFonts w:hint="eastAsia"/>
          <w:bCs/>
        </w:rPr>
        <w:t>5、建设涉企数据应用赋能功能模块。</w:t>
      </w:r>
    </w:p>
    <w:p w14:paraId="1614BDA8">
      <w:pPr>
        <w:widowControl/>
        <w:snapToGrid w:val="0"/>
        <w:spacing w:line="440" w:lineRule="exact"/>
        <w:jc w:val="left"/>
        <w:rPr>
          <w:bCs/>
        </w:rPr>
      </w:pPr>
      <w:r>
        <w:rPr>
          <w:rFonts w:hint="eastAsia"/>
          <w:bCs/>
        </w:rPr>
        <w:t>基于涉企数据主题库、综合分析数据，开发多个面向政府部门、企业的专题分析场景、数据服务应用。</w:t>
      </w:r>
    </w:p>
    <w:p w14:paraId="34BC8384">
      <w:pPr>
        <w:widowControl/>
        <w:snapToGrid w:val="0"/>
        <w:spacing w:line="440" w:lineRule="exact"/>
        <w:jc w:val="left"/>
        <w:rPr>
          <w:bCs/>
        </w:rPr>
      </w:pPr>
      <w:r>
        <w:rPr>
          <w:rFonts w:hint="eastAsia"/>
          <w:bCs/>
        </w:rPr>
        <w:t>（1）企业群体数据分析。提供便捷数据查询工具，为政府决策提供精准数据支撑；整合企业档案，提供企业群体数据分析服务，助力决策者全面了解企业经营状况和行业发展情况。</w:t>
      </w:r>
    </w:p>
    <w:p w14:paraId="3F0E1C3F">
      <w:pPr>
        <w:widowControl/>
        <w:snapToGrid w:val="0"/>
        <w:spacing w:line="440" w:lineRule="exact"/>
        <w:jc w:val="left"/>
        <w:rPr>
          <w:bCs/>
        </w:rPr>
      </w:pPr>
      <w:r>
        <w:rPr>
          <w:rFonts w:hint="eastAsia"/>
          <w:bCs/>
        </w:rPr>
        <w:t>（2）企业报表采集系统。以“减少企业重复填报、实现多部门数据复用”为核心目标，通过统一指标库建设、动态化报表生成、智能化数据分发及持续化运营优化，构建全流程一体化的采集体系。</w:t>
      </w:r>
    </w:p>
    <w:p w14:paraId="1B5E66B2">
      <w:pPr>
        <w:widowControl/>
        <w:snapToGrid w:val="0"/>
        <w:spacing w:line="440" w:lineRule="exact"/>
        <w:jc w:val="left"/>
        <w:rPr>
          <w:bCs/>
        </w:rPr>
      </w:pPr>
      <w:r>
        <w:rPr>
          <w:rFonts w:hint="eastAsia"/>
          <w:bCs/>
        </w:rPr>
        <w:t>6、开展涉企数据治理服务。</w:t>
      </w:r>
    </w:p>
    <w:p w14:paraId="0F966AEC">
      <w:pPr>
        <w:widowControl/>
        <w:snapToGrid w:val="0"/>
        <w:spacing w:line="440" w:lineRule="exact"/>
        <w:jc w:val="left"/>
        <w:rPr>
          <w:bCs/>
        </w:rPr>
      </w:pPr>
      <w:r>
        <w:rPr>
          <w:rFonts w:hint="eastAsia"/>
          <w:bCs/>
        </w:rPr>
        <w:t>完成8个部门的涉企元数据梳理入库；8个部门110张涉企采集报表的设计、涉企采集表元数据关系分析服务；</w:t>
      </w:r>
    </w:p>
    <w:p w14:paraId="18909250">
      <w:pPr>
        <w:widowControl/>
        <w:snapToGrid w:val="0"/>
        <w:spacing w:line="440" w:lineRule="exact"/>
        <w:jc w:val="left"/>
        <w:rPr>
          <w:bCs/>
        </w:rPr>
      </w:pPr>
      <w:r>
        <w:rPr>
          <w:rFonts w:hint="eastAsia"/>
          <w:bCs/>
        </w:rPr>
        <w:t>通过数据接口，归集8个部门的涉企填报数据，并基于现有数据资源目录管理功能，完成数据的编目工作。</w:t>
      </w:r>
    </w:p>
    <w:p w14:paraId="167A37DB">
      <w:pPr>
        <w:widowControl/>
        <w:snapToGrid w:val="0"/>
        <w:spacing w:line="440" w:lineRule="exact"/>
        <w:jc w:val="left"/>
        <w:rPr>
          <w:bCs/>
        </w:rPr>
      </w:pPr>
      <w:r>
        <w:rPr>
          <w:rFonts w:hint="eastAsia"/>
          <w:bCs/>
        </w:rPr>
        <w:t>对归集的涉企数据资源，围绕数据应用赋能的场景，开展数据“细加工”，包括数据标签、分析指标加工计算服务，为数据赋能利用提供数据支撑。</w:t>
      </w:r>
    </w:p>
    <w:p w14:paraId="298BF034">
      <w:pPr>
        <w:pStyle w:val="3"/>
      </w:pPr>
      <w:r>
        <w:rPr>
          <w:rFonts w:hint="eastAsia"/>
        </w:rPr>
        <w:t>总体架构</w:t>
      </w:r>
    </w:p>
    <w:p w14:paraId="5C8F0585">
      <w:pPr>
        <w:ind w:firstLine="0" w:firstLineChars="0"/>
      </w:pPr>
      <w:r>
        <w:drawing>
          <wp:inline distT="0" distB="0" distL="0" distR="0">
            <wp:extent cx="5233670" cy="2247900"/>
            <wp:effectExtent l="0" t="0" r="5080" b="0"/>
            <wp:docPr id="903246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903"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52020" cy="2256240"/>
                    </a:xfrm>
                    <a:prstGeom prst="rect">
                      <a:avLst/>
                    </a:prstGeom>
                    <a:noFill/>
                  </pic:spPr>
                </pic:pic>
              </a:graphicData>
            </a:graphic>
          </wp:inline>
        </w:drawing>
      </w:r>
    </w:p>
    <w:p w14:paraId="25B13681">
      <w:r>
        <w:rPr>
          <w:rFonts w:hint="eastAsia"/>
        </w:rPr>
        <w:t>1、管理门户：在现有的涉企数据综合管理门户集成本项目的各项应用，用户经过统一身份认证，登录涉企数据综合管理子系统，按其应用系统权限访问相应的应用。</w:t>
      </w:r>
    </w:p>
    <w:p w14:paraId="1A84CCC8">
      <w:r>
        <w:rPr>
          <w:rFonts w:hint="eastAsia"/>
        </w:rPr>
        <w:t>2、数据应用：充分利旧涉企数据综合管理子系统中的涉企数据资源管理、涉企数据共享管理，增加涉企数据接口、涉企数据应用服务，新增涉企数据应用赋能、系统运营管理模块。通过数据交互接口尽可能为企业的填报工作减负，实现“企业只报一次”的目标；涉企数据应用赋能，为部门与企业提供数据赋能场景，提升政企服务的效能。</w:t>
      </w:r>
    </w:p>
    <w:p w14:paraId="73B0C6EE">
      <w:r>
        <w:rPr>
          <w:rFonts w:hint="eastAsia"/>
        </w:rPr>
        <w:t>3、基础服务：依托上海市政务云平台的日志服务、消息服务、身份认证服务、任务调度服务、监控服务等基础服务，为涉企数据的场景化应用提供共性的基础服务支撑能力。</w:t>
      </w:r>
    </w:p>
    <w:p w14:paraId="5FCC9417">
      <w:r>
        <w:rPr>
          <w:rFonts w:hint="eastAsia"/>
        </w:rPr>
        <w:t>4、数据资源：基于大数据、云存储技术，新增8个部门110张涉企数据资源的归集入库，通过数据处理和整合，建立涉企数据主题库、涉企数据分析库，并将涉企主题库数据上链。</w:t>
      </w:r>
    </w:p>
    <w:p w14:paraId="07AD1E12">
      <w:pPr>
        <w:ind w:firstLine="420" w:firstLineChars="0"/>
      </w:pPr>
      <w:r>
        <w:rPr>
          <w:rFonts w:hint="eastAsia"/>
        </w:rPr>
        <w:t>5、硬件基础设施层：基于市电子政务云网络部署区块链专用服务器以及配套设备，通过云管理平台，为整个政务区块链提供算力，有效支撑全市范围内各类区块链场景大规模部署对算力的需求。</w:t>
      </w:r>
    </w:p>
    <w:p w14:paraId="59E9E911">
      <w:pPr>
        <w:pStyle w:val="3"/>
      </w:pPr>
      <w:r>
        <w:rPr>
          <w:rFonts w:hint="eastAsia"/>
        </w:rPr>
        <w:t>技术指标</w:t>
      </w:r>
    </w:p>
    <w:p w14:paraId="423A5B92">
      <w:r>
        <w:rPr>
          <w:rFonts w:hint="eastAsia"/>
        </w:rPr>
        <w:t>1、系统可靠性要求</w:t>
      </w:r>
    </w:p>
    <w:p w14:paraId="53D7C5FB">
      <w:r>
        <w:rPr>
          <w:rFonts w:hint="eastAsia"/>
        </w:rPr>
        <w:t>系统应能提供满足7*24小时不宕机、不间断的持续服务能力。某个子系统的启动关闭和异常停止后，不应影响其它子系统的正常业务。用户界面程序异常停止后，不应影响服务器端系统和其它用户界面的正常运行。</w:t>
      </w:r>
    </w:p>
    <w:p w14:paraId="17D31523">
      <w:r>
        <w:rPr>
          <w:rFonts w:hint="eastAsia"/>
        </w:rPr>
        <w:t>2、系统支撑能力要求</w:t>
      </w:r>
    </w:p>
    <w:p w14:paraId="17DEA939">
      <w:r>
        <w:t>预估</w:t>
      </w:r>
      <w:r>
        <w:rPr>
          <w:rFonts w:hint="eastAsia"/>
        </w:rPr>
        <w:t>涉企数据填报的企业用户</w:t>
      </w:r>
      <w:r>
        <w:t>数量为6万</w:t>
      </w:r>
      <w:r>
        <w:rPr>
          <w:rFonts w:hint="eastAsia"/>
        </w:rPr>
        <w:t>，80%用户在填报高峰期完成数据预填，按照在线用户数的5%取值，</w:t>
      </w:r>
      <w:r>
        <w:t>48</w:t>
      </w:r>
      <w:r>
        <w:rPr>
          <w:rFonts w:hint="eastAsia"/>
        </w:rPr>
        <w:t>000*5%=2400人，应支持不低于2400人同时并发事务处理能力。</w:t>
      </w:r>
    </w:p>
    <w:p w14:paraId="540EAA73">
      <w:r>
        <w:rPr>
          <w:rFonts w:hint="eastAsia"/>
        </w:rPr>
        <w:t>系统响应时间：要求系统平均响应时间小于 1 秒，100个用户并发访问服务处理平均响应时间（峰值响应时间）小于 2 秒。</w:t>
      </w:r>
    </w:p>
    <w:p w14:paraId="51ADE733">
      <w:r>
        <w:rPr>
          <w:rFonts w:hint="eastAsia"/>
        </w:rPr>
        <w:t>3、数据库信息处理要求</w:t>
      </w:r>
    </w:p>
    <w:p w14:paraId="178B7F2C">
      <w:r>
        <w:rPr>
          <w:rFonts w:hint="eastAsia"/>
        </w:rPr>
        <w:t>系统采用大型关系数据库管理系统，进行本地数据库信息的管理，对于高并发的I/O吞吐要有很高的效率和容错能力。</w:t>
      </w:r>
    </w:p>
    <w:p w14:paraId="5D9A872F">
      <w:r>
        <w:rPr>
          <w:rFonts w:hint="eastAsia"/>
        </w:rPr>
        <w:t>4、数据联机存储能力要求</w:t>
      </w:r>
    </w:p>
    <w:p w14:paraId="0C410BDD">
      <w:r>
        <w:rPr>
          <w:rFonts w:hint="eastAsia"/>
        </w:rPr>
        <w:t>业务数据在系统中至少存储 10 年。经用户设定为重要的数据（如与分析预测相关的数据）、地图切片数据等应长期离线保存。</w:t>
      </w:r>
    </w:p>
    <w:p w14:paraId="3670E571">
      <w:r>
        <w:rPr>
          <w:rFonts w:hint="eastAsia"/>
        </w:rPr>
        <w:t>5、系统用户界面要求</w:t>
      </w:r>
    </w:p>
    <w:p w14:paraId="241EF6D2">
      <w:r>
        <w:rPr>
          <w:rFonts w:hint="eastAsia"/>
        </w:rPr>
        <w:t>用户界面应简洁、友好，操作简单，提示清晰，提供系统操作在线帮助，用户界面显示应采用简体中文。</w:t>
      </w:r>
    </w:p>
    <w:p w14:paraId="52EF96CD">
      <w:r>
        <w:rPr>
          <w:rFonts w:hint="eastAsia"/>
        </w:rPr>
        <w:t>6、系统可维护性要求</w:t>
      </w:r>
    </w:p>
    <w:p w14:paraId="4C791F5F">
      <w:r>
        <w:rPr>
          <w:rFonts w:hint="eastAsia"/>
        </w:rPr>
        <w:t>系统应具有运行维护的管理功能，应实现系统自身完善的维护和管理，包括集中数据维护、系统配置和远程服务器维护等功能。</w:t>
      </w:r>
    </w:p>
    <w:p w14:paraId="5DB564BD">
      <w:r>
        <w:rPr>
          <w:rFonts w:hint="eastAsia"/>
        </w:rPr>
        <w:t>7、系统可扩展性要求</w:t>
      </w:r>
    </w:p>
    <w:p w14:paraId="12E68FB6">
      <w:r>
        <w:rPr>
          <w:rFonts w:hint="eastAsia"/>
        </w:rPr>
        <w:t>应考虑系统结构，功能设计，管理对象，软硬件系统的可扩展性及软硬件的负载平衡机制。要求系统必须具有平滑的扩展能力和灵活易行的二次开发能力。</w:t>
      </w:r>
    </w:p>
    <w:p w14:paraId="322405EB">
      <w:r>
        <w:rPr>
          <w:rFonts w:hint="eastAsia"/>
        </w:rPr>
        <w:t>8、系统安全要求</w:t>
      </w:r>
    </w:p>
    <w:p w14:paraId="13A0571C">
      <w:pPr>
        <w:widowControl/>
        <w:snapToGrid w:val="0"/>
        <w:spacing w:line="440" w:lineRule="exact"/>
        <w:jc w:val="left"/>
      </w:pPr>
      <w:r>
        <w:rPr>
          <w:rFonts w:hint="eastAsia"/>
        </w:rPr>
        <w:t>应确保系统软件的安全运行，防止非法入侵、及未授权用户的非法访问，以保障系统的正常运行。系统应通过设置诸如防火墙等技术手段，对外部用户的访问数据包、用户身份和连接方式进行控制，防止对本系统、与本平台相连的其他系统的非法访问、攻击和破坏。</w:t>
      </w:r>
    </w:p>
    <w:p w14:paraId="2C75B9A2">
      <w:pPr>
        <w:pStyle w:val="3"/>
      </w:pPr>
      <w:r>
        <w:rPr>
          <w:rFonts w:hint="eastAsia"/>
        </w:rPr>
        <w:t>软件开发清单</w:t>
      </w:r>
    </w:p>
    <w:tbl>
      <w:tblPr>
        <w:tblStyle w:val="35"/>
        <w:tblW w:w="8501" w:type="dxa"/>
        <w:tblInd w:w="113" w:type="dxa"/>
        <w:tblLayout w:type="autofit"/>
        <w:tblCellMar>
          <w:top w:w="0" w:type="dxa"/>
          <w:left w:w="108" w:type="dxa"/>
          <w:bottom w:w="0" w:type="dxa"/>
          <w:right w:w="108" w:type="dxa"/>
        </w:tblCellMar>
      </w:tblPr>
      <w:tblGrid>
        <w:gridCol w:w="704"/>
        <w:gridCol w:w="1843"/>
        <w:gridCol w:w="1843"/>
        <w:gridCol w:w="4111"/>
      </w:tblGrid>
      <w:tr w14:paraId="78259311">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shd w:val="clear" w:color="000000" w:fill="F3F8FC"/>
            <w:noWrap/>
            <w:vAlign w:val="center"/>
          </w:tcPr>
          <w:p w14:paraId="471E0AEF">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序号</w:t>
            </w:r>
          </w:p>
        </w:tc>
        <w:tc>
          <w:tcPr>
            <w:tcW w:w="1843" w:type="dxa"/>
            <w:tcBorders>
              <w:top w:val="single" w:color="auto" w:sz="4" w:space="0"/>
              <w:left w:val="nil"/>
              <w:bottom w:val="single" w:color="auto" w:sz="4" w:space="0"/>
              <w:right w:val="single" w:color="auto" w:sz="4" w:space="0"/>
            </w:tcBorders>
            <w:shd w:val="clear" w:color="000000" w:fill="F3F8FC"/>
            <w:noWrap/>
            <w:vAlign w:val="center"/>
          </w:tcPr>
          <w:p w14:paraId="66965B7F">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应用系统名称</w:t>
            </w:r>
          </w:p>
        </w:tc>
        <w:tc>
          <w:tcPr>
            <w:tcW w:w="1843" w:type="dxa"/>
            <w:tcBorders>
              <w:top w:val="single" w:color="auto" w:sz="4" w:space="0"/>
              <w:left w:val="nil"/>
              <w:bottom w:val="single" w:color="auto" w:sz="4" w:space="0"/>
              <w:right w:val="single" w:color="auto" w:sz="4" w:space="0"/>
            </w:tcBorders>
            <w:shd w:val="clear" w:color="000000" w:fill="F3F8FC"/>
            <w:noWrap/>
            <w:vAlign w:val="center"/>
          </w:tcPr>
          <w:p w14:paraId="31410DD3">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模块名称</w:t>
            </w:r>
          </w:p>
        </w:tc>
        <w:tc>
          <w:tcPr>
            <w:tcW w:w="4111" w:type="dxa"/>
            <w:tcBorders>
              <w:top w:val="single" w:color="auto" w:sz="4" w:space="0"/>
              <w:left w:val="nil"/>
              <w:bottom w:val="single" w:color="auto" w:sz="4" w:space="0"/>
              <w:right w:val="single" w:color="auto" w:sz="4" w:space="0"/>
            </w:tcBorders>
            <w:shd w:val="clear" w:color="000000" w:fill="F3F8FC"/>
            <w:vAlign w:val="center"/>
          </w:tcPr>
          <w:p w14:paraId="27BC26B4">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模块描述</w:t>
            </w:r>
          </w:p>
        </w:tc>
      </w:tr>
      <w:tr w14:paraId="5B80778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487DE8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1843" w:type="dxa"/>
            <w:tcBorders>
              <w:top w:val="nil"/>
              <w:left w:val="nil"/>
              <w:bottom w:val="single" w:color="auto" w:sz="4" w:space="0"/>
              <w:right w:val="single" w:color="auto" w:sz="4" w:space="0"/>
            </w:tcBorders>
            <w:noWrap/>
            <w:vAlign w:val="center"/>
          </w:tcPr>
          <w:p w14:paraId="7B7185E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D2C234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统一登录页面（升级）</w:t>
            </w:r>
          </w:p>
        </w:tc>
        <w:tc>
          <w:tcPr>
            <w:tcW w:w="4111" w:type="dxa"/>
            <w:tcBorders>
              <w:top w:val="nil"/>
              <w:left w:val="nil"/>
              <w:bottom w:val="single" w:color="auto" w:sz="4" w:space="0"/>
              <w:right w:val="single" w:color="auto" w:sz="4" w:space="0"/>
            </w:tcBorders>
            <w:vAlign w:val="center"/>
          </w:tcPr>
          <w:p w14:paraId="3153160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1.按照一网通办的样式要求，改造统一登录页面布局，向8个部门13个系统的企业填报用户提供涉企数据填报管理的工作窗口。</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2.采用Portlet、Iframe的形式将8个部门13个涉企数据填报系统集成到企业数据直报平台门户的应用矩阵中，并通过统一身份认证、统一权限、单点登录为各应用提供统一访问入口。</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3.企业用户统一登录包括应用单点登录与身份认证两部分内容。本项目需要在企业用户统一登录的改造，为新对接的13个涉企数据填报系统的企业填报用户提供登录与身份认证功能。</w:t>
            </w:r>
          </w:p>
        </w:tc>
      </w:tr>
      <w:tr w14:paraId="6B999CD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6A75B12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1843" w:type="dxa"/>
            <w:tcBorders>
              <w:top w:val="nil"/>
              <w:left w:val="nil"/>
              <w:bottom w:val="single" w:color="auto" w:sz="4" w:space="0"/>
              <w:right w:val="single" w:color="auto" w:sz="4" w:space="0"/>
            </w:tcBorders>
            <w:noWrap/>
            <w:vAlign w:val="center"/>
          </w:tcPr>
          <w:p w14:paraId="401B34B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EC10AE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涉企数据交互总体分析</w:t>
            </w:r>
          </w:p>
        </w:tc>
        <w:tc>
          <w:tcPr>
            <w:tcW w:w="4111" w:type="dxa"/>
            <w:tcBorders>
              <w:top w:val="nil"/>
              <w:left w:val="nil"/>
              <w:bottom w:val="single" w:color="auto" w:sz="4" w:space="0"/>
              <w:right w:val="single" w:color="auto" w:sz="4" w:space="0"/>
            </w:tcBorders>
            <w:vAlign w:val="center"/>
          </w:tcPr>
          <w:p w14:paraId="7ECBCD8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含涉企数据调用交互规模分析、数据链上共享情况分析、涉企数据交互合约情况分析、涉企数据交互数据情况分析</w:t>
            </w:r>
          </w:p>
        </w:tc>
      </w:tr>
      <w:tr w14:paraId="7009E66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F22153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w:t>
            </w:r>
          </w:p>
        </w:tc>
        <w:tc>
          <w:tcPr>
            <w:tcW w:w="1843" w:type="dxa"/>
            <w:tcBorders>
              <w:top w:val="nil"/>
              <w:left w:val="nil"/>
              <w:bottom w:val="single" w:color="auto" w:sz="4" w:space="0"/>
              <w:right w:val="single" w:color="auto" w:sz="4" w:space="0"/>
            </w:tcBorders>
            <w:noWrap/>
            <w:vAlign w:val="center"/>
          </w:tcPr>
          <w:p w14:paraId="599461E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C7CB80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数据上链及交互情况分析</w:t>
            </w:r>
          </w:p>
        </w:tc>
        <w:tc>
          <w:tcPr>
            <w:tcW w:w="4111" w:type="dxa"/>
            <w:tcBorders>
              <w:top w:val="nil"/>
              <w:left w:val="nil"/>
              <w:bottom w:val="single" w:color="auto" w:sz="4" w:space="0"/>
              <w:right w:val="single" w:color="auto" w:sz="4" w:space="0"/>
            </w:tcBorders>
            <w:vAlign w:val="center"/>
          </w:tcPr>
          <w:p w14:paraId="47ADC27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含数据上链情况分析、链上数据交互情况分析，通过对数据上链、共享交互的量化分析，突出涉企数据的预填赋能转化效率，量化数据上链价值，识别高价值数据字段、数据指标项。</w:t>
            </w:r>
          </w:p>
        </w:tc>
      </w:tr>
      <w:tr w14:paraId="55AA57A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46D81C5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w:t>
            </w:r>
          </w:p>
        </w:tc>
        <w:tc>
          <w:tcPr>
            <w:tcW w:w="1843" w:type="dxa"/>
            <w:tcBorders>
              <w:top w:val="nil"/>
              <w:left w:val="nil"/>
              <w:bottom w:val="single" w:color="auto" w:sz="4" w:space="0"/>
              <w:right w:val="single" w:color="auto" w:sz="4" w:space="0"/>
            </w:tcBorders>
            <w:noWrap/>
            <w:vAlign w:val="center"/>
          </w:tcPr>
          <w:p w14:paraId="6BC2F35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0FD447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数据交互接口及接口调用分析</w:t>
            </w:r>
          </w:p>
        </w:tc>
        <w:tc>
          <w:tcPr>
            <w:tcW w:w="4111" w:type="dxa"/>
            <w:tcBorders>
              <w:top w:val="nil"/>
              <w:left w:val="nil"/>
              <w:bottom w:val="single" w:color="auto" w:sz="4" w:space="0"/>
              <w:right w:val="single" w:color="auto" w:sz="4" w:space="0"/>
            </w:tcBorders>
            <w:vAlign w:val="center"/>
          </w:tcPr>
          <w:p w14:paraId="7F39562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接口数量统计、接口调用数量统计</w:t>
            </w:r>
          </w:p>
        </w:tc>
      </w:tr>
      <w:tr w14:paraId="74D4711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2F2757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5</w:t>
            </w:r>
          </w:p>
        </w:tc>
        <w:tc>
          <w:tcPr>
            <w:tcW w:w="1843" w:type="dxa"/>
            <w:tcBorders>
              <w:top w:val="nil"/>
              <w:left w:val="nil"/>
              <w:bottom w:val="single" w:color="auto" w:sz="4" w:space="0"/>
              <w:right w:val="single" w:color="auto" w:sz="4" w:space="0"/>
            </w:tcBorders>
            <w:noWrap/>
            <w:vAlign w:val="center"/>
          </w:tcPr>
          <w:p w14:paraId="2A914C7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32F633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历史数据查询</w:t>
            </w:r>
          </w:p>
        </w:tc>
        <w:tc>
          <w:tcPr>
            <w:tcW w:w="4111" w:type="dxa"/>
            <w:tcBorders>
              <w:top w:val="nil"/>
              <w:left w:val="nil"/>
              <w:bottom w:val="single" w:color="auto" w:sz="4" w:space="0"/>
              <w:right w:val="single" w:color="auto" w:sz="4" w:space="0"/>
            </w:tcBorders>
            <w:vAlign w:val="center"/>
          </w:tcPr>
          <w:p w14:paraId="6BFD709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定制8个部门110张涉企报表的在企业专属空间的历史数据查询展示</w:t>
            </w:r>
          </w:p>
        </w:tc>
      </w:tr>
      <w:tr w14:paraId="5423D37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503A0D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6</w:t>
            </w:r>
          </w:p>
        </w:tc>
        <w:tc>
          <w:tcPr>
            <w:tcW w:w="1843" w:type="dxa"/>
            <w:tcBorders>
              <w:top w:val="nil"/>
              <w:left w:val="nil"/>
              <w:bottom w:val="single" w:color="auto" w:sz="4" w:space="0"/>
              <w:right w:val="single" w:color="auto" w:sz="4" w:space="0"/>
            </w:tcBorders>
            <w:noWrap/>
            <w:vAlign w:val="center"/>
          </w:tcPr>
          <w:p w14:paraId="473DA94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393CE7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身份认证与授权（升级）-区块链身份认证校验缓存管理（新增）</w:t>
            </w:r>
          </w:p>
        </w:tc>
        <w:tc>
          <w:tcPr>
            <w:tcW w:w="4111" w:type="dxa"/>
            <w:tcBorders>
              <w:top w:val="nil"/>
              <w:left w:val="nil"/>
              <w:bottom w:val="single" w:color="auto" w:sz="4" w:space="0"/>
              <w:right w:val="single" w:color="auto" w:sz="4" w:space="0"/>
            </w:tcBorders>
            <w:vAlign w:val="center"/>
          </w:tcPr>
          <w:p w14:paraId="7864F54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复用身份认证与授权功能，为数据交互需求方配置身份认证与授权服务。</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新增区块链身份认证检验缓存管理，优化链上验证压力。</w:t>
            </w:r>
          </w:p>
        </w:tc>
      </w:tr>
      <w:tr w14:paraId="2815E22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D74F23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7</w:t>
            </w:r>
          </w:p>
        </w:tc>
        <w:tc>
          <w:tcPr>
            <w:tcW w:w="1843" w:type="dxa"/>
            <w:tcBorders>
              <w:top w:val="nil"/>
              <w:left w:val="nil"/>
              <w:bottom w:val="single" w:color="auto" w:sz="4" w:space="0"/>
              <w:right w:val="single" w:color="auto" w:sz="4" w:space="0"/>
            </w:tcBorders>
            <w:noWrap/>
            <w:vAlign w:val="center"/>
          </w:tcPr>
          <w:p w14:paraId="0A7D34B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05B6F4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区块链交互模块（升级）-水务局、市监局、商委、经信委、临港管委会共54张报表的区块链交互模块（升级）</w:t>
            </w:r>
          </w:p>
        </w:tc>
        <w:tc>
          <w:tcPr>
            <w:tcW w:w="4111" w:type="dxa"/>
            <w:tcBorders>
              <w:top w:val="nil"/>
              <w:left w:val="nil"/>
              <w:bottom w:val="single" w:color="auto" w:sz="4" w:space="0"/>
              <w:right w:val="single" w:color="auto" w:sz="4" w:space="0"/>
            </w:tcBorders>
            <w:vAlign w:val="center"/>
          </w:tcPr>
          <w:p w14:paraId="4EC9A04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合约部署（升级）：定制与部署水务局、市监局、商委、经信委、临港管委会共54张报表的交互智能合约</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实时通知（升级）：定制与部署水务局、市监局、商委、经信委、临港管委会共54张报表的数据交互事件订阅</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交易发送（升级）：定制与部署水务局、市监局、商委、经信委、临港管委会共54张报表的数据交互参数。</w:t>
            </w:r>
          </w:p>
        </w:tc>
      </w:tr>
      <w:tr w14:paraId="3D5A7AE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6A92337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8</w:t>
            </w:r>
          </w:p>
        </w:tc>
        <w:tc>
          <w:tcPr>
            <w:tcW w:w="1843" w:type="dxa"/>
            <w:tcBorders>
              <w:top w:val="nil"/>
              <w:left w:val="nil"/>
              <w:bottom w:val="single" w:color="auto" w:sz="4" w:space="0"/>
              <w:right w:val="single" w:color="auto" w:sz="4" w:space="0"/>
            </w:tcBorders>
            <w:noWrap/>
            <w:vAlign w:val="center"/>
          </w:tcPr>
          <w:p w14:paraId="05CDE7C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7426F7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区块链交互模块（升级）-农委、文旅局、粮食局共56张报表的区块链交互模块（升级）</w:t>
            </w:r>
          </w:p>
        </w:tc>
        <w:tc>
          <w:tcPr>
            <w:tcW w:w="4111" w:type="dxa"/>
            <w:tcBorders>
              <w:top w:val="nil"/>
              <w:left w:val="nil"/>
              <w:bottom w:val="single" w:color="auto" w:sz="4" w:space="0"/>
              <w:right w:val="single" w:color="auto" w:sz="4" w:space="0"/>
            </w:tcBorders>
            <w:vAlign w:val="center"/>
          </w:tcPr>
          <w:p w14:paraId="5ABA6FA9">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合约部署（升级）：定制与部署农委、文旅局、粮食局共56张报表的交互智能合约</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实时通知（升级）：定制与部署农委、文旅局、粮食局共56张报表的数据交互事件订阅</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交易发送（升级）：定制与部署农委、文旅局、粮食局共56张报表的数据交互参数。</w:t>
            </w:r>
          </w:p>
        </w:tc>
      </w:tr>
      <w:tr w14:paraId="70BC2E3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32A38A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9</w:t>
            </w:r>
          </w:p>
        </w:tc>
        <w:tc>
          <w:tcPr>
            <w:tcW w:w="1843" w:type="dxa"/>
            <w:tcBorders>
              <w:top w:val="nil"/>
              <w:left w:val="nil"/>
              <w:bottom w:val="single" w:color="auto" w:sz="4" w:space="0"/>
              <w:right w:val="single" w:color="auto" w:sz="4" w:space="0"/>
            </w:tcBorders>
            <w:noWrap/>
            <w:vAlign w:val="center"/>
          </w:tcPr>
          <w:p w14:paraId="15CC29C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46A5E6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涉企数据接口（升级）-水务局、市监局、商委、经信委、临港管委会共54张报表的数据共享合约存证及合约验证调用接口定制的数据共享合约存证及合约验证调用接口定制</w:t>
            </w:r>
          </w:p>
        </w:tc>
        <w:tc>
          <w:tcPr>
            <w:tcW w:w="4111" w:type="dxa"/>
            <w:tcBorders>
              <w:top w:val="nil"/>
              <w:left w:val="nil"/>
              <w:bottom w:val="single" w:color="auto" w:sz="4" w:space="0"/>
              <w:right w:val="single" w:color="auto" w:sz="4" w:space="0"/>
            </w:tcBorders>
            <w:vAlign w:val="center"/>
          </w:tcPr>
          <w:p w14:paraId="0FB3687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共享合约存证接口用于将共享协议的关键信息（如参与方、数据范围、权限规则、有效期等）上链存证，确保不可篡改与可追溯。接口支持JSON格式输入，参数包括合约哈希、参与方数字签名、时间戳及元数据，通过区块链节点写入分布式账本，并返回存证交易ID作为凭证。合约验证调用接口用于验证共享合约的有效性及合规性。输入参数包括待验证合约哈希、当前时间、参与方身份信息等，接口通过区块链查询存证记录，比对合约内容与规则（如权限是否过期、参与方是否授权），返回验证结果（有效/无效）及详细原因。若启用智能合约自动执行，还可触发条件校验（如数据使用范围超限自动阻断）。</w:t>
            </w:r>
          </w:p>
        </w:tc>
      </w:tr>
      <w:tr w14:paraId="0BBC327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E45032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10</w:t>
            </w:r>
          </w:p>
        </w:tc>
        <w:tc>
          <w:tcPr>
            <w:tcW w:w="1843" w:type="dxa"/>
            <w:tcBorders>
              <w:top w:val="nil"/>
              <w:left w:val="nil"/>
              <w:bottom w:val="single" w:color="auto" w:sz="4" w:space="0"/>
              <w:right w:val="single" w:color="auto" w:sz="4" w:space="0"/>
            </w:tcBorders>
            <w:noWrap/>
            <w:vAlign w:val="center"/>
          </w:tcPr>
          <w:p w14:paraId="389640F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77460E5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涉企数据接口（升级）-农委、文旅局、粮食局共56张报表的数据共享合约存证及合约验证调用接口定制</w:t>
            </w:r>
          </w:p>
        </w:tc>
        <w:tc>
          <w:tcPr>
            <w:tcW w:w="4111" w:type="dxa"/>
            <w:tcBorders>
              <w:top w:val="nil"/>
              <w:left w:val="nil"/>
              <w:bottom w:val="single" w:color="auto" w:sz="4" w:space="0"/>
              <w:right w:val="single" w:color="auto" w:sz="4" w:space="0"/>
            </w:tcBorders>
            <w:vAlign w:val="center"/>
          </w:tcPr>
          <w:p w14:paraId="55A08FD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共享合约存证接口用于将共享协议的关键信息（如参与方、数据范围、权限规则、有效期等）上链存证，确保不可篡改与可追溯。接口支持JSON格式输入，参数包括合约哈希、参与方数字签名、时间戳及元数据，通过区块链节点写入分布式账本，并返回存证交易ID作为凭证。合约验证调用接口用于验证共享合约的有效性及合规性。输入参数包括待验证合约哈希、当前时间、参与方身份信息等，接口通过区块链查询存证记录，比对合约内容与规则（如权限是否过期、参与方是否授权），返回验证结果（有效/无效）及详细原因。若启用智能合约自动执行，还可触发条件校验（如数据使用范围超限自动阻断）。</w:t>
            </w:r>
          </w:p>
        </w:tc>
      </w:tr>
      <w:tr w14:paraId="6708F0A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4DE8812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11</w:t>
            </w:r>
          </w:p>
        </w:tc>
        <w:tc>
          <w:tcPr>
            <w:tcW w:w="1843" w:type="dxa"/>
            <w:tcBorders>
              <w:top w:val="nil"/>
              <w:left w:val="nil"/>
              <w:bottom w:val="single" w:color="auto" w:sz="4" w:space="0"/>
              <w:right w:val="single" w:color="auto" w:sz="4" w:space="0"/>
            </w:tcBorders>
            <w:noWrap/>
            <w:vAlign w:val="center"/>
          </w:tcPr>
          <w:p w14:paraId="6BB090E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FB4144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涉企数据接口（升级）-水务局、市监局、商委、经信委、临港管委会共54张报表的数据预填及数据存证接口定制</w:t>
            </w:r>
          </w:p>
        </w:tc>
        <w:tc>
          <w:tcPr>
            <w:tcW w:w="4111" w:type="dxa"/>
            <w:tcBorders>
              <w:top w:val="nil"/>
              <w:left w:val="nil"/>
              <w:bottom w:val="single" w:color="auto" w:sz="4" w:space="0"/>
              <w:right w:val="single" w:color="auto" w:sz="4" w:space="0"/>
            </w:tcBorders>
            <w:vAlign w:val="center"/>
          </w:tcPr>
          <w:p w14:paraId="6A7A0B1B">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预填用于实现数据填报通过数据交互接口，与涉企数据主题库之间的可信数据传输，支持结构化/非结构化数据的“上链存证”与“链上查询”。接口分为写入与读取两类：写入接口接收原始数据（或数据指纹）及元信息（如数据来源、时间戳、操作类型），通过加密（如哈希摘要+非对称签名）保障数据完整性，经节点共识后写入区块链分布式账本，并返回上链交易哈希作为唯一标识；读取接口支持按交易哈希、数据关键词或时间范围检索链上记录，返回数据哈希及关联元数据（原始数据需通过私有通道或链下存储获取）。数据存证接口聚焦关键数据的不可篡改存证，支持对合同、日志、交易记录等敏感信息的存证。输入参数包括待存证数据（或哈希值）、存证方数字签名、业务上下文（如场景类型、关联ID），接口通过智能合约自动校验签名有效性后，将数据指纹（如SHA-256）及元信息上链，并关联存证方身份，返回存证编号及链上位置。</w:t>
            </w:r>
          </w:p>
        </w:tc>
      </w:tr>
      <w:tr w14:paraId="173F5BB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D04714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12</w:t>
            </w:r>
          </w:p>
        </w:tc>
        <w:tc>
          <w:tcPr>
            <w:tcW w:w="1843" w:type="dxa"/>
            <w:tcBorders>
              <w:top w:val="nil"/>
              <w:left w:val="nil"/>
              <w:bottom w:val="single" w:color="auto" w:sz="4" w:space="0"/>
              <w:right w:val="single" w:color="auto" w:sz="4" w:space="0"/>
            </w:tcBorders>
            <w:noWrap/>
            <w:vAlign w:val="center"/>
          </w:tcPr>
          <w:p w14:paraId="0E7ACFB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187F834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涉企数据接口（升级）-农委、文旅局、粮食局共56张报表的数据预填及数据存证接口定制</w:t>
            </w:r>
          </w:p>
        </w:tc>
        <w:tc>
          <w:tcPr>
            <w:tcW w:w="4111" w:type="dxa"/>
            <w:tcBorders>
              <w:top w:val="nil"/>
              <w:left w:val="nil"/>
              <w:bottom w:val="single" w:color="auto" w:sz="4" w:space="0"/>
              <w:right w:val="single" w:color="auto" w:sz="4" w:space="0"/>
            </w:tcBorders>
            <w:vAlign w:val="center"/>
          </w:tcPr>
          <w:p w14:paraId="6EDC5F4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预填用于实现数据填报通过数据交互接口，与涉企数据主题库之间的可信数据传输，支持结构化/非结构化数据的“上链存证”与“链上查询”。接口分为写入与读取两类：写入接口接收原始数据（或数据指纹）及元信息（如数据来源、时间戳、操作类型），通过加密（如哈希摘要+非对称签名）保障数据完整性，经节点共识后写入区块链分布式账本，并返回上链交易哈希作为唯一标识；读取接口支持按交易哈希、数据关键词或时间范围检索链上记录，返回数据哈希及关联元数据（原始数据需通过私有通道或链下存储获取）。数据存证接口聚焦关键数据的不可篡改存证，支持对合同、日志、交易记录等敏感信息的存证。输入参数包括待存证数据（或哈希值）、存证方数字签名、业务上下文（如场景类型、关联ID），接口通过智能合约自动校验签名有效性后，将数据指纹（如SHA-256）及元信息上链，并关联存证方身份，返回存证编号及链上位置。</w:t>
            </w:r>
          </w:p>
        </w:tc>
      </w:tr>
      <w:tr w14:paraId="66C8C86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4AE555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13</w:t>
            </w:r>
          </w:p>
        </w:tc>
        <w:tc>
          <w:tcPr>
            <w:tcW w:w="1843" w:type="dxa"/>
            <w:tcBorders>
              <w:top w:val="nil"/>
              <w:left w:val="nil"/>
              <w:bottom w:val="single" w:color="auto" w:sz="4" w:space="0"/>
              <w:right w:val="single" w:color="auto" w:sz="4" w:space="0"/>
            </w:tcBorders>
            <w:noWrap/>
            <w:vAlign w:val="center"/>
          </w:tcPr>
          <w:p w14:paraId="5F0BFC7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9E1146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涉企数据接口（升级）-水务局、市监局、商委、经信委、临港管委会共54张报表的数据接入及数据存证接口定制</w:t>
            </w:r>
          </w:p>
        </w:tc>
        <w:tc>
          <w:tcPr>
            <w:tcW w:w="4111" w:type="dxa"/>
            <w:tcBorders>
              <w:top w:val="nil"/>
              <w:left w:val="nil"/>
              <w:bottom w:val="single" w:color="auto" w:sz="4" w:space="0"/>
              <w:right w:val="single" w:color="auto" w:sz="4" w:space="0"/>
            </w:tcBorders>
            <w:vAlign w:val="center"/>
          </w:tcPr>
          <w:p w14:paraId="7AD8B5F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接入接口支持多源异构数据（结构化数据库、日志文件、IoT设备数据等）安全接入区块链网络。接口提供标准化数据格式转换（如JSON/XML转区块链协议格式），通过前置节点或网关接收数据，并支持数据预处理（如格式校验、字段映射）。接入方式包括实时推送（WebSocket/MQTT协议）和批量上传（HTTP RESTful接口），同时支持数据加密（国密SM4）与数字签名（SM2），确保传输完整性及来源可信。接口返回接入状态码及区块链临时缓存标识，供后续存证或查询使用。数据存证接口负责将接入的数据关键信息（如哈希值、元数据）写入区块链，实现不可篡改存证。输入参数包括原始数据哈希（如SHA-256）、业务上下文（数据来源、时间戳、关联ID）、存证方数字签名及存证类型（合同/日志/交易）。接口通过智能合约校验签名有效性后，将数据指纹及元信息打包上链，并关联存证方身份与业务标签，返回存证交易哈希及链上存证编号。支持按时间范围、业务类型等条件检索存证记录。</w:t>
            </w:r>
          </w:p>
        </w:tc>
      </w:tr>
      <w:tr w14:paraId="30AFBEC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3FBDCA6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14</w:t>
            </w:r>
          </w:p>
        </w:tc>
        <w:tc>
          <w:tcPr>
            <w:tcW w:w="1843" w:type="dxa"/>
            <w:tcBorders>
              <w:top w:val="nil"/>
              <w:left w:val="nil"/>
              <w:bottom w:val="single" w:color="auto" w:sz="4" w:space="0"/>
              <w:right w:val="single" w:color="auto" w:sz="4" w:space="0"/>
            </w:tcBorders>
            <w:noWrap/>
            <w:vAlign w:val="center"/>
          </w:tcPr>
          <w:p w14:paraId="6F0A8BD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2A46AD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涉企数据接口（升级）-农委、文旅局、粮食局共56张报表的数据接入及数据存证接口定制</w:t>
            </w:r>
          </w:p>
        </w:tc>
        <w:tc>
          <w:tcPr>
            <w:tcW w:w="4111" w:type="dxa"/>
            <w:tcBorders>
              <w:top w:val="nil"/>
              <w:left w:val="nil"/>
              <w:bottom w:val="single" w:color="auto" w:sz="4" w:space="0"/>
              <w:right w:val="single" w:color="auto" w:sz="4" w:space="0"/>
            </w:tcBorders>
            <w:vAlign w:val="center"/>
          </w:tcPr>
          <w:p w14:paraId="78A36D9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数据接入接口支持多源异构数据（结构化数据库、日志文件、IoT设备数据等）安全接入区块链网络。接口提供标准化数据格式转换（如JSON/XML转区块链协议格式），通过前置节点或网关接收数据，并支持数据预处理（如格式校验、字段映射）。接入方式包括实时推送（WebSocket/MQTT协议）和批量上传（HTTP RESTful接口），同时支持数据加密（国密SM4）与数字签名（SM2），确保传输完整性及来源可信。接口返回接入状态码及区块链临时缓存标识，供后续存证或查询使用。数据存证接口负责将接入的数据关键信息（如哈希值、元数据）写入区块链，实现不可篡改存证。输入参数包括原始数据哈希（如SHA-256）、业务上下文（数据来源、时间戳、关联ID）、存证方数字签名及存证类型（合同/日志/交易）。接口通过智能合约校验签名有效性后，将数据指纹及元信息打包上链，并关联存证方身份与业务标签，返回存证交易哈希及链上存证编号。支持按时间范围、业务类型等条件检索存证记录。</w:t>
            </w:r>
          </w:p>
        </w:tc>
      </w:tr>
      <w:tr w14:paraId="60BDE97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6137AEF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15</w:t>
            </w:r>
          </w:p>
        </w:tc>
        <w:tc>
          <w:tcPr>
            <w:tcW w:w="1843" w:type="dxa"/>
            <w:tcBorders>
              <w:top w:val="nil"/>
              <w:left w:val="nil"/>
              <w:bottom w:val="single" w:color="auto" w:sz="4" w:space="0"/>
              <w:right w:val="single" w:color="auto" w:sz="4" w:space="0"/>
            </w:tcBorders>
            <w:noWrap/>
            <w:vAlign w:val="center"/>
          </w:tcPr>
          <w:p w14:paraId="303F1FA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0AF1EA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涉企数据接口（升级）-8个部门13个系统接口调用身份认证接口定制</w:t>
            </w:r>
          </w:p>
        </w:tc>
        <w:tc>
          <w:tcPr>
            <w:tcW w:w="4111" w:type="dxa"/>
            <w:tcBorders>
              <w:top w:val="nil"/>
              <w:left w:val="nil"/>
              <w:bottom w:val="single" w:color="auto" w:sz="4" w:space="0"/>
              <w:right w:val="single" w:color="auto" w:sz="4" w:space="0"/>
            </w:tcBorders>
            <w:vAlign w:val="center"/>
          </w:tcPr>
          <w:p w14:paraId="5938526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验证调用方身份合法性并颁发操作权限凭证。支持多因素认证机制，包括账号密码（AES-256加密传输）、数字证书（X.509标准）、动态令牌（OTP）。调用方发起请求时需提交身份凭证（如API Key+签名、OAuth2.0 Token），接口通过对接统一身份认证中心（如LDAP/Kerberos），结合RBAC（基于角色的访问控制）模型，校验用户身份、设备指纹及IP白名单。认证成功后，接口生成短期有效的访问令牌（JWT或OAuth Token），包含用户ID、角色权限、有效期等字段，并通过HTTPS加密返回。后续接口调用需在请求头携带该令牌，网关层自动校验令牌合法性及权限范围（如只读/读写）。若启用多链环境，认证接口还可关联区块链钱包地址（如通过ECDSA签名验证），实现链上链下身份绑定。</w:t>
            </w:r>
          </w:p>
        </w:tc>
      </w:tr>
      <w:tr w14:paraId="039202A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0B1B04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16</w:t>
            </w:r>
          </w:p>
        </w:tc>
        <w:tc>
          <w:tcPr>
            <w:tcW w:w="1843" w:type="dxa"/>
            <w:tcBorders>
              <w:top w:val="nil"/>
              <w:left w:val="nil"/>
              <w:bottom w:val="single" w:color="auto" w:sz="4" w:space="0"/>
              <w:right w:val="single" w:color="auto" w:sz="4" w:space="0"/>
            </w:tcBorders>
            <w:noWrap/>
            <w:vAlign w:val="center"/>
          </w:tcPr>
          <w:p w14:paraId="6BC462E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813A40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企业群体数据分析-企业档案管理-一企一册管理</w:t>
            </w:r>
          </w:p>
        </w:tc>
        <w:tc>
          <w:tcPr>
            <w:tcW w:w="4111" w:type="dxa"/>
            <w:tcBorders>
              <w:top w:val="nil"/>
              <w:left w:val="nil"/>
              <w:bottom w:val="single" w:color="auto" w:sz="4" w:space="0"/>
              <w:right w:val="single" w:color="auto" w:sz="4" w:space="0"/>
            </w:tcBorders>
            <w:vAlign w:val="center"/>
          </w:tcPr>
          <w:p w14:paraId="548814C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一企一册是为调查单位建立一套全面的名录档案信息，包括来源于部门和统计的各项基本信息、业务指标信息、标签信息、精准施策信息等，帮助用户全面的了解和掌握调查对象的基本情况。</w:t>
            </w:r>
          </w:p>
        </w:tc>
      </w:tr>
      <w:tr w14:paraId="0B96CA6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37C1A1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17</w:t>
            </w:r>
          </w:p>
        </w:tc>
        <w:tc>
          <w:tcPr>
            <w:tcW w:w="1843" w:type="dxa"/>
            <w:tcBorders>
              <w:top w:val="nil"/>
              <w:left w:val="nil"/>
              <w:bottom w:val="single" w:color="auto" w:sz="4" w:space="0"/>
              <w:right w:val="single" w:color="auto" w:sz="4" w:space="0"/>
            </w:tcBorders>
            <w:noWrap/>
            <w:vAlign w:val="center"/>
          </w:tcPr>
          <w:p w14:paraId="1B015C9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1E48DE5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企业群体数据分析-企业档案管理-标签化管理</w:t>
            </w:r>
          </w:p>
        </w:tc>
        <w:tc>
          <w:tcPr>
            <w:tcW w:w="4111" w:type="dxa"/>
            <w:tcBorders>
              <w:top w:val="nil"/>
              <w:left w:val="nil"/>
              <w:bottom w:val="single" w:color="auto" w:sz="4" w:space="0"/>
              <w:right w:val="single" w:color="auto" w:sz="4" w:space="0"/>
            </w:tcBorders>
            <w:vAlign w:val="center"/>
          </w:tcPr>
          <w:p w14:paraId="6C86D49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提供数据标签管理功能，支持批量标签、标签分类。</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标签化是为了方便企业清晰管理，在企业已有的数据基础之上，根据工作需要，加工生成的企业标签信息，便于企业特性的辨别和分类。</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实现企业清晰管理，对入库企业按照地方产业政策和发展方向，对地方主导产业、重点产业、重点行业、特色产业等，通过“贴标签”生成特色专题企业标签信息等，便于不同用户对企业的特性进行辨别和分类。</w:t>
            </w:r>
          </w:p>
        </w:tc>
      </w:tr>
      <w:tr w14:paraId="15CAC6A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32DE81C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18</w:t>
            </w:r>
          </w:p>
        </w:tc>
        <w:tc>
          <w:tcPr>
            <w:tcW w:w="1843" w:type="dxa"/>
            <w:tcBorders>
              <w:top w:val="nil"/>
              <w:left w:val="nil"/>
              <w:bottom w:val="single" w:color="auto" w:sz="4" w:space="0"/>
              <w:right w:val="single" w:color="auto" w:sz="4" w:space="0"/>
            </w:tcBorders>
            <w:noWrap/>
            <w:vAlign w:val="center"/>
          </w:tcPr>
          <w:p w14:paraId="1D26161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9299BC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企业群体数据分析-企业群体分析-重点指标对比分析</w:t>
            </w:r>
          </w:p>
        </w:tc>
        <w:tc>
          <w:tcPr>
            <w:tcW w:w="4111" w:type="dxa"/>
            <w:tcBorders>
              <w:top w:val="nil"/>
              <w:left w:val="nil"/>
              <w:bottom w:val="single" w:color="auto" w:sz="4" w:space="0"/>
              <w:right w:val="single" w:color="auto" w:sz="4" w:space="0"/>
            </w:tcBorders>
            <w:vAlign w:val="center"/>
          </w:tcPr>
          <w:p w14:paraId="2C495EE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根据企业标签，分析各标签属性的企业群体的重点指标当前数据、同比增长情况、占全市总量的比重。重点指标包括：资产总计、营业收入、从业人员等分析维度。</w:t>
            </w:r>
          </w:p>
        </w:tc>
      </w:tr>
      <w:tr w14:paraId="3BC12C8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F34668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19</w:t>
            </w:r>
          </w:p>
        </w:tc>
        <w:tc>
          <w:tcPr>
            <w:tcW w:w="1843" w:type="dxa"/>
            <w:tcBorders>
              <w:top w:val="nil"/>
              <w:left w:val="nil"/>
              <w:bottom w:val="single" w:color="auto" w:sz="4" w:space="0"/>
              <w:right w:val="single" w:color="auto" w:sz="4" w:space="0"/>
            </w:tcBorders>
            <w:noWrap/>
            <w:vAlign w:val="center"/>
          </w:tcPr>
          <w:p w14:paraId="384E7C7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60AEF1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企业群体数据分析-企业群体分析-企业生命周期分析</w:t>
            </w:r>
          </w:p>
        </w:tc>
        <w:tc>
          <w:tcPr>
            <w:tcW w:w="4111" w:type="dxa"/>
            <w:tcBorders>
              <w:top w:val="nil"/>
              <w:left w:val="nil"/>
              <w:bottom w:val="single" w:color="auto" w:sz="4" w:space="0"/>
              <w:right w:val="single" w:color="auto" w:sz="4" w:space="0"/>
            </w:tcBorders>
            <w:vAlign w:val="center"/>
          </w:tcPr>
          <w:p w14:paraId="5C837F8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分析各标签属性的企业群体的平均年龄、各年龄段的企业数量分布（0-5/6-10/11岁以上）。</w:t>
            </w:r>
          </w:p>
        </w:tc>
      </w:tr>
      <w:tr w14:paraId="71BDCE8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CD5E48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20</w:t>
            </w:r>
          </w:p>
        </w:tc>
        <w:tc>
          <w:tcPr>
            <w:tcW w:w="1843" w:type="dxa"/>
            <w:tcBorders>
              <w:top w:val="nil"/>
              <w:left w:val="nil"/>
              <w:bottom w:val="single" w:color="auto" w:sz="4" w:space="0"/>
              <w:right w:val="single" w:color="auto" w:sz="4" w:space="0"/>
            </w:tcBorders>
            <w:noWrap/>
            <w:vAlign w:val="center"/>
          </w:tcPr>
          <w:p w14:paraId="34ACCC5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427C93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企业群体数据分析-企业群体分析-行业/区域企业营业收入及增速</w:t>
            </w:r>
          </w:p>
        </w:tc>
        <w:tc>
          <w:tcPr>
            <w:tcW w:w="4111" w:type="dxa"/>
            <w:tcBorders>
              <w:top w:val="nil"/>
              <w:left w:val="nil"/>
              <w:bottom w:val="single" w:color="auto" w:sz="4" w:space="0"/>
              <w:right w:val="single" w:color="auto" w:sz="4" w:space="0"/>
            </w:tcBorders>
            <w:vAlign w:val="center"/>
          </w:tcPr>
          <w:p w14:paraId="655E67B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分析各地区的各标签属性的企业群体的营业收入和增速情况。</w:t>
            </w:r>
          </w:p>
        </w:tc>
      </w:tr>
      <w:tr w14:paraId="1BB7436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9A9760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21</w:t>
            </w:r>
          </w:p>
        </w:tc>
        <w:tc>
          <w:tcPr>
            <w:tcW w:w="1843" w:type="dxa"/>
            <w:tcBorders>
              <w:top w:val="nil"/>
              <w:left w:val="nil"/>
              <w:bottom w:val="single" w:color="auto" w:sz="4" w:space="0"/>
              <w:right w:val="single" w:color="auto" w:sz="4" w:space="0"/>
            </w:tcBorders>
            <w:noWrap/>
            <w:vAlign w:val="center"/>
          </w:tcPr>
          <w:p w14:paraId="1521A19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641F14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企业群体数据分析-企业群体分析-地区企业活跃度分析</w:t>
            </w:r>
          </w:p>
        </w:tc>
        <w:tc>
          <w:tcPr>
            <w:tcW w:w="4111" w:type="dxa"/>
            <w:tcBorders>
              <w:top w:val="nil"/>
              <w:left w:val="nil"/>
              <w:bottom w:val="single" w:color="auto" w:sz="4" w:space="0"/>
              <w:right w:val="single" w:color="auto" w:sz="4" w:space="0"/>
            </w:tcBorders>
            <w:vAlign w:val="center"/>
          </w:tcPr>
          <w:p w14:paraId="6AD22A8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梳理企业活跃度的量化指标，分析评估企业活跃度情况</w:t>
            </w:r>
          </w:p>
        </w:tc>
      </w:tr>
      <w:tr w14:paraId="31AB73D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60A2B57D">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22</w:t>
            </w:r>
          </w:p>
        </w:tc>
        <w:tc>
          <w:tcPr>
            <w:tcW w:w="1843" w:type="dxa"/>
            <w:tcBorders>
              <w:top w:val="nil"/>
              <w:left w:val="nil"/>
              <w:bottom w:val="single" w:color="auto" w:sz="4" w:space="0"/>
              <w:right w:val="single" w:color="auto" w:sz="4" w:space="0"/>
            </w:tcBorders>
            <w:noWrap/>
            <w:vAlign w:val="center"/>
          </w:tcPr>
          <w:p w14:paraId="5D19772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4FC8E2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企业报表采集系统-填报报表设计-报表管理</w:t>
            </w:r>
          </w:p>
        </w:tc>
        <w:tc>
          <w:tcPr>
            <w:tcW w:w="4111" w:type="dxa"/>
            <w:tcBorders>
              <w:top w:val="nil"/>
              <w:left w:val="nil"/>
              <w:bottom w:val="single" w:color="auto" w:sz="4" w:space="0"/>
              <w:right w:val="single" w:color="auto" w:sz="4" w:space="0"/>
            </w:tcBorders>
            <w:vAlign w:val="center"/>
          </w:tcPr>
          <w:p w14:paraId="57E61B2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实现对各部门报表设计需求的通用管理。</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用可视化编辑器拖拽指标；若需自定义指标，需填写名称、数据类型、业务含义，并设置校验规则和必填性。</w:t>
            </w:r>
          </w:p>
        </w:tc>
      </w:tr>
      <w:tr w14:paraId="5F4E13E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988CBF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23</w:t>
            </w:r>
          </w:p>
        </w:tc>
        <w:tc>
          <w:tcPr>
            <w:tcW w:w="1843" w:type="dxa"/>
            <w:tcBorders>
              <w:top w:val="nil"/>
              <w:left w:val="nil"/>
              <w:bottom w:val="single" w:color="auto" w:sz="4" w:space="0"/>
              <w:right w:val="single" w:color="auto" w:sz="4" w:space="0"/>
            </w:tcBorders>
            <w:noWrap/>
            <w:vAlign w:val="center"/>
          </w:tcPr>
          <w:p w14:paraId="30048A2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935F84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企业报表采集系统-填报报表设计-填报规则</w:t>
            </w:r>
          </w:p>
        </w:tc>
        <w:tc>
          <w:tcPr>
            <w:tcW w:w="4111" w:type="dxa"/>
            <w:tcBorders>
              <w:top w:val="nil"/>
              <w:left w:val="nil"/>
              <w:bottom w:val="single" w:color="auto" w:sz="4" w:space="0"/>
              <w:right w:val="single" w:color="auto" w:sz="4" w:space="0"/>
            </w:tcBorders>
            <w:vAlign w:val="center"/>
          </w:tcPr>
          <w:p w14:paraId="668389E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设计在报表录入模块对报表录入功能的限定规则，包括录入字符控制、跳转控制、计算控制等，填报规则公式维护包括新建、修改、删除、导入导出、排序等操作。支持跨报告期、跨报表的填报规则。</w:t>
            </w:r>
          </w:p>
        </w:tc>
      </w:tr>
      <w:tr w14:paraId="79903CB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15F16A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24</w:t>
            </w:r>
          </w:p>
        </w:tc>
        <w:tc>
          <w:tcPr>
            <w:tcW w:w="1843" w:type="dxa"/>
            <w:tcBorders>
              <w:top w:val="nil"/>
              <w:left w:val="nil"/>
              <w:bottom w:val="single" w:color="auto" w:sz="4" w:space="0"/>
              <w:right w:val="single" w:color="auto" w:sz="4" w:space="0"/>
            </w:tcBorders>
            <w:noWrap/>
            <w:vAlign w:val="center"/>
          </w:tcPr>
          <w:p w14:paraId="47F40CC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789B3CE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企业报表采集系统-采集任务管理-采集任务创建</w:t>
            </w:r>
            <w:r>
              <w:rPr>
                <w:rFonts w:ascii="Times New Roman" w:hAnsi="Times New Roman" w:eastAsiaTheme="minorEastAsia"/>
                <w:color w:val="000000"/>
                <w:kern w:val="0"/>
                <w:sz w:val="21"/>
                <w:szCs w:val="21"/>
              </w:rPr>
              <w:t>​</w:t>
            </w:r>
          </w:p>
        </w:tc>
        <w:tc>
          <w:tcPr>
            <w:tcW w:w="4111" w:type="dxa"/>
            <w:tcBorders>
              <w:top w:val="nil"/>
              <w:left w:val="nil"/>
              <w:bottom w:val="single" w:color="auto" w:sz="4" w:space="0"/>
              <w:right w:val="single" w:color="auto" w:sz="4" w:space="0"/>
            </w:tcBorders>
            <w:vAlign w:val="center"/>
          </w:tcPr>
          <w:p w14:paraId="767B76F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部门登录系统后，创建采集任务时需完成：包括任务名称、截止时间、负责部门、科室及联系人。</w:t>
            </w:r>
          </w:p>
        </w:tc>
      </w:tr>
      <w:tr w14:paraId="1EFF8D7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2D7742D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25</w:t>
            </w:r>
          </w:p>
        </w:tc>
        <w:tc>
          <w:tcPr>
            <w:tcW w:w="1843" w:type="dxa"/>
            <w:tcBorders>
              <w:top w:val="nil"/>
              <w:left w:val="nil"/>
              <w:bottom w:val="single" w:color="auto" w:sz="4" w:space="0"/>
              <w:right w:val="single" w:color="auto" w:sz="4" w:space="0"/>
            </w:tcBorders>
            <w:noWrap/>
            <w:vAlign w:val="center"/>
          </w:tcPr>
          <w:p w14:paraId="534B97F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16115CC9">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企业报表采集系统-采集任务管理-调查时间管理</w:t>
            </w:r>
          </w:p>
        </w:tc>
        <w:tc>
          <w:tcPr>
            <w:tcW w:w="4111" w:type="dxa"/>
            <w:tcBorders>
              <w:top w:val="nil"/>
              <w:left w:val="nil"/>
              <w:bottom w:val="single" w:color="auto" w:sz="4" w:space="0"/>
              <w:right w:val="single" w:color="auto" w:sz="4" w:space="0"/>
            </w:tcBorders>
            <w:vAlign w:val="center"/>
          </w:tcPr>
          <w:p w14:paraId="3321492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调查时间管理功能模块主要提供两方面的业务服务：调查时间设置、调查时间查询。</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调查时间设置：依据调查制度、调查频度、采集时间要求等设置调查填报时间，包括填报开始时间、填报截止时间、补报截止时间、各级验收时间。</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调查时间查询：对各涉企数据采集任务设置的调查时间进行查询，为按时进行数据采集、处理提供依据。</w:t>
            </w:r>
          </w:p>
        </w:tc>
      </w:tr>
      <w:tr w14:paraId="1E56E89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4CE21E1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26</w:t>
            </w:r>
          </w:p>
        </w:tc>
        <w:tc>
          <w:tcPr>
            <w:tcW w:w="1843" w:type="dxa"/>
            <w:tcBorders>
              <w:top w:val="nil"/>
              <w:left w:val="nil"/>
              <w:bottom w:val="single" w:color="auto" w:sz="4" w:space="0"/>
              <w:right w:val="single" w:color="auto" w:sz="4" w:space="0"/>
            </w:tcBorders>
            <w:noWrap/>
            <w:vAlign w:val="center"/>
          </w:tcPr>
          <w:p w14:paraId="19A828E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334E3C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企业报表采集系统-采集任务管理-调查范围管理</w:t>
            </w:r>
          </w:p>
        </w:tc>
        <w:tc>
          <w:tcPr>
            <w:tcW w:w="4111" w:type="dxa"/>
            <w:tcBorders>
              <w:top w:val="nil"/>
              <w:left w:val="nil"/>
              <w:bottom w:val="single" w:color="auto" w:sz="4" w:space="0"/>
              <w:right w:val="single" w:color="auto" w:sz="4" w:space="0"/>
            </w:tcBorders>
            <w:vAlign w:val="center"/>
          </w:tcPr>
          <w:p w14:paraId="7F13314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调查范围管理为各部门用户提供涉企数据采集调查范围设置管理服务。依据调查制度要求，为调查对象分配填报报表，生成调查任务的填报范围，填报范围可按需进行调整。</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通过勾选企业标签组合确定采集范围，支持 “与 / 或” 逻辑（如勾选 “制造业” 且 “规模以上”，则仅采集同时满足两个标签的企业；勾选 “服务业” 或 “小微企业”，则采集满足任一标签的企业）。</w:t>
            </w:r>
          </w:p>
        </w:tc>
      </w:tr>
      <w:tr w14:paraId="5ED9CB2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72569F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27</w:t>
            </w:r>
          </w:p>
        </w:tc>
        <w:tc>
          <w:tcPr>
            <w:tcW w:w="1843" w:type="dxa"/>
            <w:tcBorders>
              <w:top w:val="nil"/>
              <w:left w:val="nil"/>
              <w:bottom w:val="single" w:color="auto" w:sz="4" w:space="0"/>
              <w:right w:val="single" w:color="auto" w:sz="4" w:space="0"/>
            </w:tcBorders>
            <w:noWrap/>
            <w:vAlign w:val="center"/>
          </w:tcPr>
          <w:p w14:paraId="415F917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A5C161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企业报表采集系统-调查对象管理-设置调查单位</w:t>
            </w:r>
          </w:p>
        </w:tc>
        <w:tc>
          <w:tcPr>
            <w:tcW w:w="4111" w:type="dxa"/>
            <w:tcBorders>
              <w:top w:val="nil"/>
              <w:left w:val="nil"/>
              <w:bottom w:val="single" w:color="auto" w:sz="4" w:space="0"/>
              <w:right w:val="single" w:color="auto" w:sz="4" w:space="0"/>
            </w:tcBorders>
            <w:vAlign w:val="center"/>
          </w:tcPr>
          <w:p w14:paraId="09C8290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包括调查单位范围管理、调查单位信息导入、调查单位信息配置、调查单位信息查看、调查单位信息导出等</w:t>
            </w:r>
          </w:p>
        </w:tc>
      </w:tr>
      <w:tr w14:paraId="43BC62B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64527A9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28</w:t>
            </w:r>
          </w:p>
        </w:tc>
        <w:tc>
          <w:tcPr>
            <w:tcW w:w="1843" w:type="dxa"/>
            <w:tcBorders>
              <w:top w:val="nil"/>
              <w:left w:val="nil"/>
              <w:bottom w:val="single" w:color="auto" w:sz="4" w:space="0"/>
              <w:right w:val="single" w:color="auto" w:sz="4" w:space="0"/>
            </w:tcBorders>
            <w:noWrap/>
            <w:vAlign w:val="center"/>
          </w:tcPr>
          <w:p w14:paraId="4B34F4C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99E4F0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企业报表采集系统-调查对象管理-设置调查单位级别管理</w:t>
            </w:r>
          </w:p>
        </w:tc>
        <w:tc>
          <w:tcPr>
            <w:tcW w:w="4111" w:type="dxa"/>
            <w:tcBorders>
              <w:top w:val="nil"/>
              <w:left w:val="nil"/>
              <w:bottom w:val="single" w:color="auto" w:sz="4" w:space="0"/>
              <w:right w:val="single" w:color="auto" w:sz="4" w:space="0"/>
            </w:tcBorders>
            <w:vAlign w:val="center"/>
          </w:tcPr>
          <w:p w14:paraId="594B95B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管理机构导入功能支持用户逐一填写或批量导入调查单位的直管机构、监管机构等。</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机构级别配置功能支持用户对导入调查单位的直管机构、监管机构以及管理级别进行配置管理。</w:t>
            </w:r>
          </w:p>
        </w:tc>
      </w:tr>
      <w:tr w14:paraId="11A5AB0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2D23749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29</w:t>
            </w:r>
          </w:p>
        </w:tc>
        <w:tc>
          <w:tcPr>
            <w:tcW w:w="1843" w:type="dxa"/>
            <w:tcBorders>
              <w:top w:val="nil"/>
              <w:left w:val="nil"/>
              <w:bottom w:val="single" w:color="auto" w:sz="4" w:space="0"/>
              <w:right w:val="single" w:color="auto" w:sz="4" w:space="0"/>
            </w:tcBorders>
            <w:noWrap/>
            <w:vAlign w:val="center"/>
          </w:tcPr>
          <w:p w14:paraId="443BF56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B43687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企业报表采集系统-企业数据填报</w:t>
            </w:r>
          </w:p>
        </w:tc>
        <w:tc>
          <w:tcPr>
            <w:tcW w:w="4111" w:type="dxa"/>
            <w:tcBorders>
              <w:top w:val="nil"/>
              <w:left w:val="nil"/>
              <w:bottom w:val="single" w:color="auto" w:sz="4" w:space="0"/>
              <w:right w:val="single" w:color="auto" w:sz="4" w:space="0"/>
            </w:tcBorders>
            <w:vAlign w:val="center"/>
          </w:tcPr>
          <w:p w14:paraId="740C299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包括采集报表数据填报、采集报表整表数据导入、采集报表数据修改、填报状态查看、审核状态查看、报表状态筛选、报表数据暂存、报表提交、报表表样下载、数据上报、智能预填等</w:t>
            </w:r>
          </w:p>
        </w:tc>
      </w:tr>
      <w:tr w14:paraId="42D3D07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B9F058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30</w:t>
            </w:r>
          </w:p>
        </w:tc>
        <w:tc>
          <w:tcPr>
            <w:tcW w:w="1843" w:type="dxa"/>
            <w:tcBorders>
              <w:top w:val="nil"/>
              <w:left w:val="nil"/>
              <w:bottom w:val="single" w:color="auto" w:sz="4" w:space="0"/>
              <w:right w:val="single" w:color="auto" w:sz="4" w:space="0"/>
            </w:tcBorders>
            <w:noWrap/>
            <w:vAlign w:val="center"/>
          </w:tcPr>
          <w:p w14:paraId="3EA4120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753F49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企业报表采集系统-数据审核验收</w:t>
            </w:r>
          </w:p>
        </w:tc>
        <w:tc>
          <w:tcPr>
            <w:tcW w:w="4111" w:type="dxa"/>
            <w:tcBorders>
              <w:top w:val="nil"/>
              <w:left w:val="nil"/>
              <w:bottom w:val="single" w:color="auto" w:sz="4" w:space="0"/>
              <w:right w:val="single" w:color="auto" w:sz="4" w:space="0"/>
            </w:tcBorders>
            <w:vAlign w:val="center"/>
          </w:tcPr>
          <w:p w14:paraId="2ADB86E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包括审核公式配置、审核范围管理、审核任务定义、审核任务执行等</w:t>
            </w:r>
          </w:p>
        </w:tc>
      </w:tr>
      <w:tr w14:paraId="74697E3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2F06E8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31</w:t>
            </w:r>
          </w:p>
        </w:tc>
        <w:tc>
          <w:tcPr>
            <w:tcW w:w="1843" w:type="dxa"/>
            <w:tcBorders>
              <w:top w:val="nil"/>
              <w:left w:val="nil"/>
              <w:bottom w:val="single" w:color="auto" w:sz="4" w:space="0"/>
              <w:right w:val="single" w:color="auto" w:sz="4" w:space="0"/>
            </w:tcBorders>
            <w:noWrap/>
            <w:vAlign w:val="center"/>
          </w:tcPr>
          <w:p w14:paraId="6CCDAF1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9C4364B">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企业报表采集系统-审核任务查看</w:t>
            </w:r>
          </w:p>
        </w:tc>
        <w:tc>
          <w:tcPr>
            <w:tcW w:w="4111" w:type="dxa"/>
            <w:tcBorders>
              <w:top w:val="nil"/>
              <w:left w:val="nil"/>
              <w:bottom w:val="single" w:color="auto" w:sz="4" w:space="0"/>
              <w:right w:val="single" w:color="auto" w:sz="4" w:space="0"/>
            </w:tcBorders>
            <w:vAlign w:val="center"/>
          </w:tcPr>
          <w:p w14:paraId="6763A2C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包括审核任务查询、审核任务详情查看、任务删除、任务中止等</w:t>
            </w:r>
          </w:p>
        </w:tc>
      </w:tr>
      <w:tr w14:paraId="17A4C1E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E1C0BD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32</w:t>
            </w:r>
          </w:p>
        </w:tc>
        <w:tc>
          <w:tcPr>
            <w:tcW w:w="1843" w:type="dxa"/>
            <w:tcBorders>
              <w:top w:val="nil"/>
              <w:left w:val="nil"/>
              <w:bottom w:val="single" w:color="auto" w:sz="4" w:space="0"/>
              <w:right w:val="single" w:color="auto" w:sz="4" w:space="0"/>
            </w:tcBorders>
            <w:noWrap/>
            <w:vAlign w:val="center"/>
          </w:tcPr>
          <w:p w14:paraId="64FE83A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130C997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企业报表采集系统-审核信息查询</w:t>
            </w:r>
          </w:p>
        </w:tc>
        <w:tc>
          <w:tcPr>
            <w:tcW w:w="4111" w:type="dxa"/>
            <w:tcBorders>
              <w:top w:val="nil"/>
              <w:left w:val="nil"/>
              <w:bottom w:val="single" w:color="auto" w:sz="4" w:space="0"/>
              <w:right w:val="single" w:color="auto" w:sz="4" w:space="0"/>
            </w:tcBorders>
            <w:vAlign w:val="center"/>
          </w:tcPr>
          <w:p w14:paraId="6569671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包括解锁次数统计、地区审核结果统计、错误结果统计排名、审核错误清单查看等</w:t>
            </w:r>
          </w:p>
        </w:tc>
      </w:tr>
      <w:tr w14:paraId="5E7DA5E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26AFD85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33</w:t>
            </w:r>
          </w:p>
        </w:tc>
        <w:tc>
          <w:tcPr>
            <w:tcW w:w="1843" w:type="dxa"/>
            <w:tcBorders>
              <w:top w:val="nil"/>
              <w:left w:val="nil"/>
              <w:bottom w:val="single" w:color="auto" w:sz="4" w:space="0"/>
              <w:right w:val="single" w:color="auto" w:sz="4" w:space="0"/>
            </w:tcBorders>
            <w:noWrap/>
            <w:vAlign w:val="center"/>
          </w:tcPr>
          <w:p w14:paraId="430B737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95AAC9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企业报表采集系统-问题数据标记</w:t>
            </w:r>
          </w:p>
        </w:tc>
        <w:tc>
          <w:tcPr>
            <w:tcW w:w="4111" w:type="dxa"/>
            <w:tcBorders>
              <w:top w:val="nil"/>
              <w:left w:val="nil"/>
              <w:bottom w:val="single" w:color="auto" w:sz="4" w:space="0"/>
              <w:right w:val="single" w:color="auto" w:sz="4" w:space="0"/>
            </w:tcBorders>
            <w:vAlign w:val="center"/>
          </w:tcPr>
          <w:p w14:paraId="169B4A4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包括标记类型管理、异常数据标记、数据标记删除、标记数据查询、按标记汇总数据等</w:t>
            </w:r>
          </w:p>
        </w:tc>
      </w:tr>
      <w:tr w14:paraId="52759C3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552E23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34</w:t>
            </w:r>
          </w:p>
        </w:tc>
        <w:tc>
          <w:tcPr>
            <w:tcW w:w="1843" w:type="dxa"/>
            <w:tcBorders>
              <w:top w:val="nil"/>
              <w:left w:val="nil"/>
              <w:bottom w:val="single" w:color="auto" w:sz="4" w:space="0"/>
              <w:right w:val="single" w:color="auto" w:sz="4" w:space="0"/>
            </w:tcBorders>
            <w:noWrap/>
            <w:vAlign w:val="center"/>
          </w:tcPr>
          <w:p w14:paraId="27BD3A8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17A87F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企业报表采集系统-审核进度监测</w:t>
            </w:r>
          </w:p>
        </w:tc>
        <w:tc>
          <w:tcPr>
            <w:tcW w:w="4111" w:type="dxa"/>
            <w:tcBorders>
              <w:top w:val="nil"/>
              <w:left w:val="nil"/>
              <w:bottom w:val="single" w:color="auto" w:sz="4" w:space="0"/>
              <w:right w:val="single" w:color="auto" w:sz="4" w:space="0"/>
            </w:tcBorders>
            <w:vAlign w:val="center"/>
          </w:tcPr>
          <w:p w14:paraId="74BEB01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包括审核进度监测、审核进度可视化展示等</w:t>
            </w:r>
          </w:p>
        </w:tc>
      </w:tr>
      <w:tr w14:paraId="582A6A0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4F70FF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35</w:t>
            </w:r>
          </w:p>
        </w:tc>
        <w:tc>
          <w:tcPr>
            <w:tcW w:w="1843" w:type="dxa"/>
            <w:tcBorders>
              <w:top w:val="nil"/>
              <w:left w:val="nil"/>
              <w:bottom w:val="single" w:color="auto" w:sz="4" w:space="0"/>
              <w:right w:val="single" w:color="auto" w:sz="4" w:space="0"/>
            </w:tcBorders>
            <w:noWrap/>
            <w:vAlign w:val="center"/>
          </w:tcPr>
          <w:p w14:paraId="152B9D9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54897A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企业报表采集系统-数据验收</w:t>
            </w:r>
          </w:p>
        </w:tc>
        <w:tc>
          <w:tcPr>
            <w:tcW w:w="4111" w:type="dxa"/>
            <w:tcBorders>
              <w:top w:val="nil"/>
              <w:left w:val="nil"/>
              <w:bottom w:val="single" w:color="auto" w:sz="4" w:space="0"/>
              <w:right w:val="single" w:color="auto" w:sz="4" w:space="0"/>
            </w:tcBorders>
            <w:vAlign w:val="center"/>
          </w:tcPr>
          <w:p w14:paraId="0CEF6CB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包括统计计算变量配置、数据逐条验收、数据批量验收、验收不通过设置、取消验收、验收结果导出等</w:t>
            </w:r>
          </w:p>
        </w:tc>
      </w:tr>
      <w:tr w14:paraId="67008F1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6E32FF5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36</w:t>
            </w:r>
          </w:p>
        </w:tc>
        <w:tc>
          <w:tcPr>
            <w:tcW w:w="1843" w:type="dxa"/>
            <w:tcBorders>
              <w:top w:val="nil"/>
              <w:left w:val="nil"/>
              <w:bottom w:val="single" w:color="auto" w:sz="4" w:space="0"/>
              <w:right w:val="single" w:color="auto" w:sz="4" w:space="0"/>
            </w:tcBorders>
            <w:noWrap/>
            <w:vAlign w:val="center"/>
          </w:tcPr>
          <w:p w14:paraId="357B64A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9D2559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企业报表采集系统-验收统计分析</w:t>
            </w:r>
          </w:p>
        </w:tc>
        <w:tc>
          <w:tcPr>
            <w:tcW w:w="4111" w:type="dxa"/>
            <w:tcBorders>
              <w:top w:val="nil"/>
              <w:left w:val="nil"/>
              <w:bottom w:val="single" w:color="auto" w:sz="4" w:space="0"/>
              <w:right w:val="single" w:color="auto" w:sz="4" w:space="0"/>
            </w:tcBorders>
            <w:vAlign w:val="center"/>
          </w:tcPr>
          <w:p w14:paraId="7529FDF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包括验收通过区域分布统计、返回调查对象区域分布统计、返回下级区域分布统计等</w:t>
            </w:r>
          </w:p>
        </w:tc>
      </w:tr>
      <w:tr w14:paraId="132A72C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B7F807D">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37</w:t>
            </w:r>
          </w:p>
        </w:tc>
        <w:tc>
          <w:tcPr>
            <w:tcW w:w="1843" w:type="dxa"/>
            <w:tcBorders>
              <w:top w:val="nil"/>
              <w:left w:val="nil"/>
              <w:bottom w:val="single" w:color="auto" w:sz="4" w:space="0"/>
              <w:right w:val="single" w:color="auto" w:sz="4" w:space="0"/>
            </w:tcBorders>
            <w:noWrap/>
            <w:vAlign w:val="center"/>
          </w:tcPr>
          <w:p w14:paraId="0571084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C57C04B">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企业报表采集系统-修改痕迹管理</w:t>
            </w:r>
          </w:p>
        </w:tc>
        <w:tc>
          <w:tcPr>
            <w:tcW w:w="4111" w:type="dxa"/>
            <w:tcBorders>
              <w:top w:val="nil"/>
              <w:left w:val="nil"/>
              <w:bottom w:val="single" w:color="auto" w:sz="4" w:space="0"/>
              <w:right w:val="single" w:color="auto" w:sz="4" w:space="0"/>
            </w:tcBorders>
            <w:vAlign w:val="center"/>
          </w:tcPr>
          <w:p w14:paraId="2D78ED0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包括预警管理、修改痕迹区域分布统计等</w:t>
            </w:r>
          </w:p>
        </w:tc>
      </w:tr>
      <w:tr w14:paraId="708FD6B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E81DD1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38</w:t>
            </w:r>
          </w:p>
        </w:tc>
        <w:tc>
          <w:tcPr>
            <w:tcW w:w="1843" w:type="dxa"/>
            <w:tcBorders>
              <w:top w:val="nil"/>
              <w:left w:val="nil"/>
              <w:bottom w:val="single" w:color="auto" w:sz="4" w:space="0"/>
              <w:right w:val="single" w:color="auto" w:sz="4" w:space="0"/>
            </w:tcBorders>
            <w:noWrap/>
            <w:vAlign w:val="center"/>
          </w:tcPr>
          <w:p w14:paraId="370C6A7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725C40C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企业报表采集系统-锁定数据管理</w:t>
            </w:r>
          </w:p>
        </w:tc>
        <w:tc>
          <w:tcPr>
            <w:tcW w:w="4111" w:type="dxa"/>
            <w:tcBorders>
              <w:top w:val="nil"/>
              <w:left w:val="nil"/>
              <w:bottom w:val="single" w:color="auto" w:sz="4" w:space="0"/>
              <w:right w:val="single" w:color="auto" w:sz="4" w:space="0"/>
            </w:tcBorders>
            <w:vAlign w:val="center"/>
          </w:tcPr>
          <w:p w14:paraId="582DCFF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包括设置锁定状态、查看下级锁定状态等</w:t>
            </w:r>
          </w:p>
        </w:tc>
      </w:tr>
      <w:tr w14:paraId="665960C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592D668D">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39</w:t>
            </w:r>
          </w:p>
        </w:tc>
        <w:tc>
          <w:tcPr>
            <w:tcW w:w="1843" w:type="dxa"/>
            <w:tcBorders>
              <w:top w:val="nil"/>
              <w:left w:val="nil"/>
              <w:bottom w:val="single" w:color="auto" w:sz="4" w:space="0"/>
              <w:right w:val="single" w:color="auto" w:sz="4" w:space="0"/>
            </w:tcBorders>
            <w:noWrap/>
            <w:vAlign w:val="center"/>
          </w:tcPr>
          <w:p w14:paraId="3DC4061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242981A9">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企业报表采集系统-验收截止时间管理</w:t>
            </w:r>
          </w:p>
        </w:tc>
        <w:tc>
          <w:tcPr>
            <w:tcW w:w="4111" w:type="dxa"/>
            <w:tcBorders>
              <w:top w:val="nil"/>
              <w:left w:val="nil"/>
              <w:bottom w:val="single" w:color="auto" w:sz="4" w:space="0"/>
              <w:right w:val="single" w:color="auto" w:sz="4" w:space="0"/>
            </w:tcBorders>
            <w:vAlign w:val="center"/>
          </w:tcPr>
          <w:p w14:paraId="675FEEC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包括下级验收截止时间设置、下级验收截止时间查看、本级验收截止时间查看、验收返回截止时间设置、验收返回截止时间查看、调查对象填报截止时间设置、调查对象填报截止时间查看等</w:t>
            </w:r>
          </w:p>
        </w:tc>
      </w:tr>
      <w:tr w14:paraId="7608EF7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DE37E0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40</w:t>
            </w:r>
          </w:p>
        </w:tc>
        <w:tc>
          <w:tcPr>
            <w:tcW w:w="1843" w:type="dxa"/>
            <w:tcBorders>
              <w:top w:val="nil"/>
              <w:left w:val="nil"/>
              <w:bottom w:val="single" w:color="auto" w:sz="4" w:space="0"/>
              <w:right w:val="single" w:color="auto" w:sz="4" w:space="0"/>
            </w:tcBorders>
            <w:noWrap/>
            <w:vAlign w:val="center"/>
          </w:tcPr>
          <w:p w14:paraId="6B65A48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566E4A1">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企业报表采集系统-验收进度监测</w:t>
            </w:r>
          </w:p>
        </w:tc>
        <w:tc>
          <w:tcPr>
            <w:tcW w:w="4111" w:type="dxa"/>
            <w:tcBorders>
              <w:top w:val="nil"/>
              <w:left w:val="nil"/>
              <w:bottom w:val="single" w:color="auto" w:sz="4" w:space="0"/>
              <w:right w:val="single" w:color="auto" w:sz="4" w:space="0"/>
            </w:tcBorders>
            <w:vAlign w:val="center"/>
          </w:tcPr>
          <w:p w14:paraId="475DD6D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包括验收进度监测、验收进度可视化展示等</w:t>
            </w:r>
          </w:p>
        </w:tc>
      </w:tr>
    </w:tbl>
    <w:p w14:paraId="174B15F9">
      <w:pPr>
        <w:widowControl/>
        <w:snapToGrid w:val="0"/>
        <w:spacing w:line="440" w:lineRule="exact"/>
        <w:ind w:firstLine="482"/>
        <w:jc w:val="left"/>
        <w:rPr>
          <w:b/>
        </w:rPr>
      </w:pPr>
    </w:p>
    <w:p w14:paraId="0C1FB07A">
      <w:pPr>
        <w:pStyle w:val="3"/>
      </w:pPr>
      <w:r>
        <w:rPr>
          <w:rFonts w:hint="eastAsia"/>
        </w:rPr>
        <w:t>数据服务清单</w:t>
      </w:r>
    </w:p>
    <w:tbl>
      <w:tblPr>
        <w:tblStyle w:val="3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806"/>
        <w:gridCol w:w="4565"/>
      </w:tblGrid>
      <w:tr w14:paraId="6759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88" w:type="dxa"/>
            <w:vAlign w:val="center"/>
          </w:tcPr>
          <w:p w14:paraId="12AF35B0">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序号</w:t>
            </w:r>
          </w:p>
        </w:tc>
        <w:tc>
          <w:tcPr>
            <w:tcW w:w="2806" w:type="dxa"/>
            <w:noWrap/>
            <w:vAlign w:val="center"/>
          </w:tcPr>
          <w:p w14:paraId="66AB4A39">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科目名称</w:t>
            </w:r>
          </w:p>
        </w:tc>
        <w:tc>
          <w:tcPr>
            <w:tcW w:w="4565" w:type="dxa"/>
            <w:noWrap/>
            <w:vAlign w:val="center"/>
          </w:tcPr>
          <w:p w14:paraId="544B49C4">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服务内容</w:t>
            </w:r>
          </w:p>
        </w:tc>
      </w:tr>
      <w:tr w14:paraId="5733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88" w:type="dxa"/>
            <w:vAlign w:val="center"/>
          </w:tcPr>
          <w:p w14:paraId="7C4C1617">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1</w:t>
            </w:r>
          </w:p>
        </w:tc>
        <w:tc>
          <w:tcPr>
            <w:tcW w:w="2806" w:type="dxa"/>
            <w:vAlign w:val="center"/>
          </w:tcPr>
          <w:p w14:paraId="0DF8750F">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1"/>
                <w:szCs w:val="21"/>
              </w:rPr>
              <w:t>数据抽取服务</w:t>
            </w:r>
          </w:p>
        </w:tc>
        <w:tc>
          <w:tcPr>
            <w:tcW w:w="4565" w:type="dxa"/>
            <w:vAlign w:val="center"/>
          </w:tcPr>
          <w:p w14:paraId="0FAF67F1">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olor w:val="000000"/>
                <w:sz w:val="22"/>
              </w:rPr>
              <w:t>1</w:t>
            </w:r>
            <w:r>
              <w:rPr>
                <w:rFonts w:hint="eastAsia"/>
                <w:color w:val="000000"/>
                <w:sz w:val="22"/>
                <w:lang w:val="en-US" w:eastAsia="zh-CN"/>
              </w:rPr>
              <w:t>10</w:t>
            </w:r>
            <w:r>
              <w:rPr>
                <w:rFonts w:hint="eastAsia" w:cs="宋体" w:asciiTheme="minorEastAsia" w:hAnsiTheme="minorEastAsia" w:eastAsiaTheme="minorEastAsia"/>
                <w:color w:val="000000"/>
                <w:kern w:val="0"/>
                <w:sz w:val="21"/>
                <w:szCs w:val="21"/>
              </w:rPr>
              <w:t>张采集表，不少于6万家企业，预计不少于100万条的涉企数据归集、审核入库服务</w:t>
            </w:r>
          </w:p>
        </w:tc>
      </w:tr>
      <w:tr w14:paraId="7D04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88" w:type="dxa"/>
            <w:vAlign w:val="center"/>
          </w:tcPr>
          <w:p w14:paraId="4554C975">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2</w:t>
            </w:r>
          </w:p>
        </w:tc>
        <w:tc>
          <w:tcPr>
            <w:tcW w:w="2806" w:type="dxa"/>
            <w:vAlign w:val="center"/>
          </w:tcPr>
          <w:p w14:paraId="60C173B4">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1"/>
                <w:szCs w:val="21"/>
              </w:rPr>
              <w:t>数据统计分析及报表服务</w:t>
            </w:r>
          </w:p>
        </w:tc>
        <w:tc>
          <w:tcPr>
            <w:tcW w:w="4565" w:type="dxa"/>
            <w:vAlign w:val="center"/>
          </w:tcPr>
          <w:p w14:paraId="7880B74C">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olor w:val="000000"/>
                <w:sz w:val="22"/>
              </w:rPr>
              <w:t>涉企元数据梳理，</w:t>
            </w:r>
            <w:r>
              <w:rPr>
                <w:rFonts w:hint="eastAsia" w:cs="宋体" w:asciiTheme="minorEastAsia" w:hAnsiTheme="minorEastAsia" w:eastAsiaTheme="minorEastAsia"/>
                <w:kern w:val="0"/>
                <w:sz w:val="21"/>
                <w:szCs w:val="21"/>
              </w:rPr>
              <w:t>梳理不少于1000个指标元数据；</w:t>
            </w:r>
            <w:r>
              <w:rPr>
                <w:rFonts w:hint="eastAsia"/>
                <w:color w:val="000000"/>
                <w:sz w:val="22"/>
              </w:rPr>
              <w:t>147</w:t>
            </w:r>
            <w:r>
              <w:rPr>
                <w:rFonts w:hint="eastAsia" w:cs="宋体" w:asciiTheme="minorEastAsia" w:hAnsiTheme="minorEastAsia" w:eastAsiaTheme="minorEastAsia"/>
                <w:color w:val="000000"/>
                <w:kern w:val="0"/>
                <w:sz w:val="21"/>
                <w:szCs w:val="21"/>
              </w:rPr>
              <w:t>张报表</w:t>
            </w:r>
            <w:r>
              <w:rPr>
                <w:rFonts w:hint="eastAsia"/>
                <w:color w:val="000000"/>
                <w:sz w:val="22"/>
              </w:rPr>
              <w:t>涉企采集表定制服务；涉企采集表元数据关系分析</w:t>
            </w:r>
            <w:r>
              <w:rPr>
                <w:rFonts w:hint="eastAsia" w:cs="宋体" w:asciiTheme="minorEastAsia" w:hAnsiTheme="minorEastAsia" w:eastAsiaTheme="minorEastAsia"/>
                <w:color w:val="000000"/>
                <w:kern w:val="0"/>
                <w:sz w:val="22"/>
                <w:szCs w:val="22"/>
              </w:rPr>
              <w:t xml:space="preserve"> </w:t>
            </w:r>
          </w:p>
        </w:tc>
      </w:tr>
      <w:tr w14:paraId="7F92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88" w:type="dxa"/>
            <w:vAlign w:val="center"/>
          </w:tcPr>
          <w:p w14:paraId="6D51DC41">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3</w:t>
            </w:r>
          </w:p>
        </w:tc>
        <w:tc>
          <w:tcPr>
            <w:tcW w:w="2806" w:type="dxa"/>
            <w:vAlign w:val="center"/>
          </w:tcPr>
          <w:p w14:paraId="787B9F8C">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1"/>
                <w:szCs w:val="21"/>
              </w:rPr>
              <w:t>数据标签服务</w:t>
            </w:r>
          </w:p>
        </w:tc>
        <w:tc>
          <w:tcPr>
            <w:tcW w:w="4565" w:type="dxa"/>
            <w:vAlign w:val="center"/>
          </w:tcPr>
          <w:p w14:paraId="39A4BA77">
            <w:pPr>
              <w:widowControl/>
              <w:spacing w:line="240" w:lineRule="auto"/>
              <w:ind w:firstLine="0" w:firstLineChars="0"/>
              <w:jc w:val="center"/>
              <w:rPr>
                <w:rFonts w:cs="宋体" w:asciiTheme="minorEastAsia" w:hAnsiTheme="minorEastAsia" w:eastAsiaTheme="minorEastAsia"/>
                <w:color w:val="000000"/>
                <w:kern w:val="0"/>
                <w:sz w:val="22"/>
                <w:szCs w:val="22"/>
              </w:rPr>
            </w:pPr>
            <w:r>
              <w:rPr>
                <w:rFonts w:hint="eastAsia"/>
                <w:color w:val="000000"/>
                <w:sz w:val="22"/>
              </w:rPr>
              <w:t>构建企业标签管理体系，形成不少于180</w:t>
            </w:r>
            <w:r>
              <w:rPr>
                <w:rFonts w:hint="eastAsia" w:cs="宋体" w:asciiTheme="minorEastAsia" w:hAnsiTheme="minorEastAsia" w:eastAsiaTheme="minorEastAsia"/>
                <w:color w:val="000000"/>
                <w:kern w:val="0"/>
                <w:sz w:val="21"/>
                <w:szCs w:val="21"/>
              </w:rPr>
              <w:t>个数据标签</w:t>
            </w:r>
          </w:p>
        </w:tc>
      </w:tr>
    </w:tbl>
    <w:p w14:paraId="0EB11188"/>
    <w:p w14:paraId="39FA3C6A">
      <w:pPr>
        <w:pStyle w:val="2"/>
      </w:pPr>
      <w:bookmarkStart w:id="17" w:name="_Toc63785502"/>
      <w:r>
        <w:rPr>
          <w:rFonts w:hint="eastAsia"/>
        </w:rPr>
        <w:t>电子政务云资源需求</w:t>
      </w:r>
      <w:bookmarkEnd w:id="17"/>
    </w:p>
    <w:p w14:paraId="700C3636">
      <w:pPr>
        <w:rPr>
          <w:bCs/>
        </w:rPr>
      </w:pPr>
      <w:r>
        <w:rPr>
          <w:rFonts w:hint="eastAsia"/>
          <w:bCs/>
        </w:rPr>
        <w:t>本项目利旧现有政务云资源。</w:t>
      </w:r>
    </w:p>
    <w:p w14:paraId="3A2707E2">
      <w:pPr>
        <w:pStyle w:val="2"/>
      </w:pPr>
      <w:r>
        <w:rPr>
          <w:rFonts w:hint="eastAsia"/>
        </w:rPr>
        <w:t>低代码建设要求</w:t>
      </w:r>
    </w:p>
    <w:p w14:paraId="11C744ED">
      <w:r>
        <w:rPr>
          <w:rFonts w:hint="eastAsia"/>
        </w:rPr>
        <w:t>供应商应针对采购方指定的功能模块使用自有低代码平台或第三方低代码平台（以下统称“该平台”）进行构建，快速响应业务流程变化和定制化需求。</w:t>
      </w:r>
    </w:p>
    <w:p w14:paraId="24AC0547">
      <w:pPr>
        <w:pStyle w:val="3"/>
      </w:pPr>
      <w:r>
        <w:rPr>
          <w:rFonts w:hint="eastAsia"/>
        </w:rPr>
        <w:t>应以低代码平台建设的功能</w:t>
      </w:r>
    </w:p>
    <w:tbl>
      <w:tblPr>
        <w:tblStyle w:val="35"/>
        <w:tblW w:w="8501" w:type="dxa"/>
        <w:tblInd w:w="113" w:type="dxa"/>
        <w:tblLayout w:type="autofit"/>
        <w:tblCellMar>
          <w:top w:w="0" w:type="dxa"/>
          <w:left w:w="108" w:type="dxa"/>
          <w:bottom w:w="0" w:type="dxa"/>
          <w:right w:w="108" w:type="dxa"/>
        </w:tblCellMar>
      </w:tblPr>
      <w:tblGrid>
        <w:gridCol w:w="704"/>
        <w:gridCol w:w="1843"/>
        <w:gridCol w:w="1843"/>
        <w:gridCol w:w="4111"/>
      </w:tblGrid>
      <w:tr w14:paraId="4F2AC728">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shd w:val="clear" w:color="000000" w:fill="F3F8FC"/>
            <w:noWrap/>
            <w:vAlign w:val="center"/>
          </w:tcPr>
          <w:p w14:paraId="12700F67">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序号</w:t>
            </w:r>
          </w:p>
        </w:tc>
        <w:tc>
          <w:tcPr>
            <w:tcW w:w="1843" w:type="dxa"/>
            <w:tcBorders>
              <w:top w:val="single" w:color="auto" w:sz="4" w:space="0"/>
              <w:left w:val="nil"/>
              <w:bottom w:val="single" w:color="auto" w:sz="4" w:space="0"/>
              <w:right w:val="single" w:color="auto" w:sz="4" w:space="0"/>
            </w:tcBorders>
            <w:shd w:val="clear" w:color="000000" w:fill="F3F8FC"/>
            <w:noWrap/>
            <w:vAlign w:val="center"/>
          </w:tcPr>
          <w:p w14:paraId="700BA9F9">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应用系统名称</w:t>
            </w:r>
          </w:p>
        </w:tc>
        <w:tc>
          <w:tcPr>
            <w:tcW w:w="1843" w:type="dxa"/>
            <w:tcBorders>
              <w:top w:val="single" w:color="auto" w:sz="4" w:space="0"/>
              <w:left w:val="nil"/>
              <w:bottom w:val="single" w:color="auto" w:sz="4" w:space="0"/>
              <w:right w:val="single" w:color="auto" w:sz="4" w:space="0"/>
            </w:tcBorders>
            <w:shd w:val="clear" w:color="000000" w:fill="F3F8FC"/>
            <w:noWrap/>
            <w:vAlign w:val="center"/>
          </w:tcPr>
          <w:p w14:paraId="0A84A135">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模块名称</w:t>
            </w:r>
          </w:p>
        </w:tc>
        <w:tc>
          <w:tcPr>
            <w:tcW w:w="4111" w:type="dxa"/>
            <w:tcBorders>
              <w:top w:val="single" w:color="auto" w:sz="4" w:space="0"/>
              <w:left w:val="nil"/>
              <w:bottom w:val="single" w:color="auto" w:sz="4" w:space="0"/>
              <w:right w:val="single" w:color="auto" w:sz="4" w:space="0"/>
            </w:tcBorders>
            <w:shd w:val="clear" w:color="000000" w:fill="F3F8FC"/>
            <w:vAlign w:val="center"/>
          </w:tcPr>
          <w:p w14:paraId="1D292986">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模块描述</w:t>
            </w:r>
          </w:p>
        </w:tc>
      </w:tr>
      <w:tr w14:paraId="3FEEA1F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41737C0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1843" w:type="dxa"/>
            <w:tcBorders>
              <w:top w:val="nil"/>
              <w:left w:val="nil"/>
              <w:bottom w:val="single" w:color="auto" w:sz="4" w:space="0"/>
              <w:right w:val="single" w:color="auto" w:sz="4" w:space="0"/>
            </w:tcBorders>
            <w:noWrap/>
            <w:vAlign w:val="center"/>
          </w:tcPr>
          <w:p w14:paraId="066AA1B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43CABCA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历史数据查询</w:t>
            </w:r>
          </w:p>
        </w:tc>
        <w:tc>
          <w:tcPr>
            <w:tcW w:w="4111" w:type="dxa"/>
            <w:tcBorders>
              <w:top w:val="nil"/>
              <w:left w:val="nil"/>
              <w:bottom w:val="single" w:color="auto" w:sz="4" w:space="0"/>
              <w:right w:val="single" w:color="auto" w:sz="4" w:space="0"/>
            </w:tcBorders>
            <w:vAlign w:val="center"/>
          </w:tcPr>
          <w:p w14:paraId="53B41DF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定制8个部门110张涉企报表的在企业专属空间的历史数据查询展示</w:t>
            </w:r>
          </w:p>
        </w:tc>
      </w:tr>
      <w:tr w14:paraId="6A5B2AE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1595765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1843" w:type="dxa"/>
            <w:tcBorders>
              <w:top w:val="nil"/>
              <w:left w:val="nil"/>
              <w:bottom w:val="single" w:color="auto" w:sz="4" w:space="0"/>
              <w:right w:val="single" w:color="auto" w:sz="4" w:space="0"/>
            </w:tcBorders>
            <w:noWrap/>
            <w:vAlign w:val="center"/>
          </w:tcPr>
          <w:p w14:paraId="21EA75C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3AB5ECC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企业报表采集系统-填报报表设计-报表管理</w:t>
            </w:r>
          </w:p>
        </w:tc>
        <w:tc>
          <w:tcPr>
            <w:tcW w:w="4111" w:type="dxa"/>
            <w:tcBorders>
              <w:top w:val="nil"/>
              <w:left w:val="nil"/>
              <w:bottom w:val="single" w:color="auto" w:sz="4" w:space="0"/>
              <w:right w:val="single" w:color="auto" w:sz="4" w:space="0"/>
            </w:tcBorders>
            <w:vAlign w:val="center"/>
          </w:tcPr>
          <w:p w14:paraId="704A383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实现对各部门报表设计需求的通用管理。</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用可视化编辑器拖拽指标；若需自定义指标，需填写名称、数据类型、业务含义，并设置校验规则和必填性。</w:t>
            </w:r>
          </w:p>
        </w:tc>
      </w:tr>
      <w:tr w14:paraId="23FD17D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4689140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w:t>
            </w:r>
          </w:p>
        </w:tc>
        <w:tc>
          <w:tcPr>
            <w:tcW w:w="1843" w:type="dxa"/>
            <w:tcBorders>
              <w:top w:val="nil"/>
              <w:left w:val="nil"/>
              <w:bottom w:val="single" w:color="auto" w:sz="4" w:space="0"/>
              <w:right w:val="single" w:color="auto" w:sz="4" w:space="0"/>
            </w:tcBorders>
            <w:noWrap/>
            <w:vAlign w:val="center"/>
          </w:tcPr>
          <w:p w14:paraId="13D1B738">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F6EAA0B">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企业报表采集系统-填报报表设计-填报规则</w:t>
            </w:r>
          </w:p>
        </w:tc>
        <w:tc>
          <w:tcPr>
            <w:tcW w:w="4111" w:type="dxa"/>
            <w:tcBorders>
              <w:top w:val="nil"/>
              <w:left w:val="nil"/>
              <w:bottom w:val="single" w:color="auto" w:sz="4" w:space="0"/>
              <w:right w:val="single" w:color="auto" w:sz="4" w:space="0"/>
            </w:tcBorders>
            <w:vAlign w:val="center"/>
          </w:tcPr>
          <w:p w14:paraId="037E6BE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设计在报表录入模块对报表录入功能的限定规则，包括录入字符控制、跳转控制、计算控制等，填报规则公式维护包括新建、修改、删除、导入导出、排序等操作。支持跨报告期、跨报表的填报规则。</w:t>
            </w:r>
          </w:p>
        </w:tc>
      </w:tr>
      <w:tr w14:paraId="0D4C6CC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3F89488F">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w:t>
            </w:r>
          </w:p>
        </w:tc>
        <w:tc>
          <w:tcPr>
            <w:tcW w:w="1843" w:type="dxa"/>
            <w:tcBorders>
              <w:top w:val="nil"/>
              <w:left w:val="nil"/>
              <w:bottom w:val="single" w:color="auto" w:sz="4" w:space="0"/>
              <w:right w:val="single" w:color="auto" w:sz="4" w:space="0"/>
            </w:tcBorders>
            <w:noWrap/>
            <w:vAlign w:val="center"/>
          </w:tcPr>
          <w:p w14:paraId="10B17689">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31D1E6B">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企业报表采集系统-采集任务管理-采集任务创建</w:t>
            </w:r>
            <w:r>
              <w:rPr>
                <w:rFonts w:ascii="Times New Roman" w:hAnsi="Times New Roman" w:eastAsiaTheme="minorEastAsia"/>
                <w:color w:val="000000"/>
                <w:kern w:val="0"/>
                <w:sz w:val="21"/>
                <w:szCs w:val="21"/>
              </w:rPr>
              <w:t>​</w:t>
            </w:r>
          </w:p>
        </w:tc>
        <w:tc>
          <w:tcPr>
            <w:tcW w:w="4111" w:type="dxa"/>
            <w:tcBorders>
              <w:top w:val="nil"/>
              <w:left w:val="nil"/>
              <w:bottom w:val="single" w:color="auto" w:sz="4" w:space="0"/>
              <w:right w:val="single" w:color="auto" w:sz="4" w:space="0"/>
            </w:tcBorders>
            <w:vAlign w:val="center"/>
          </w:tcPr>
          <w:p w14:paraId="0F24AEA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部门登录系统后，创建采集任务时需完成：包括任务名称、截止时间、负责部门、科室及联系人。</w:t>
            </w:r>
          </w:p>
        </w:tc>
      </w:tr>
      <w:tr w14:paraId="7AB9928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47F6A6D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5</w:t>
            </w:r>
          </w:p>
        </w:tc>
        <w:tc>
          <w:tcPr>
            <w:tcW w:w="1843" w:type="dxa"/>
            <w:tcBorders>
              <w:top w:val="nil"/>
              <w:left w:val="nil"/>
              <w:bottom w:val="single" w:color="auto" w:sz="4" w:space="0"/>
              <w:right w:val="single" w:color="auto" w:sz="4" w:space="0"/>
            </w:tcBorders>
            <w:noWrap/>
            <w:vAlign w:val="center"/>
          </w:tcPr>
          <w:p w14:paraId="5C6AC8E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7A99D50">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企业报表采集系统-采集任务管理-调查时间管理</w:t>
            </w:r>
          </w:p>
        </w:tc>
        <w:tc>
          <w:tcPr>
            <w:tcW w:w="4111" w:type="dxa"/>
            <w:tcBorders>
              <w:top w:val="nil"/>
              <w:left w:val="nil"/>
              <w:bottom w:val="single" w:color="auto" w:sz="4" w:space="0"/>
              <w:right w:val="single" w:color="auto" w:sz="4" w:space="0"/>
            </w:tcBorders>
            <w:vAlign w:val="center"/>
          </w:tcPr>
          <w:p w14:paraId="1104A84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调查时间管理功能模块主要提供两方面的业务服务：调查时间设置、调查时间查询。</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调查时间设置：依据调查制度、调查频度、采集时间要求等设置调查填报时间，包括填报开始时间、填报截止时间、补报截止时间、各级验收时间。</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调查时间查询：对各涉企数据采集任务设置的调查时间进行查询，为按时进行数据采集、处理提供依据。</w:t>
            </w:r>
          </w:p>
        </w:tc>
      </w:tr>
      <w:tr w14:paraId="7762F36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3C37F96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6</w:t>
            </w:r>
          </w:p>
        </w:tc>
        <w:tc>
          <w:tcPr>
            <w:tcW w:w="1843" w:type="dxa"/>
            <w:tcBorders>
              <w:top w:val="nil"/>
              <w:left w:val="nil"/>
              <w:bottom w:val="single" w:color="auto" w:sz="4" w:space="0"/>
              <w:right w:val="single" w:color="auto" w:sz="4" w:space="0"/>
            </w:tcBorders>
            <w:noWrap/>
            <w:vAlign w:val="center"/>
          </w:tcPr>
          <w:p w14:paraId="4A669CB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D97AF5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企业报表采集系统-采集任务管理-调查范围管理</w:t>
            </w:r>
          </w:p>
        </w:tc>
        <w:tc>
          <w:tcPr>
            <w:tcW w:w="4111" w:type="dxa"/>
            <w:tcBorders>
              <w:top w:val="nil"/>
              <w:left w:val="nil"/>
              <w:bottom w:val="single" w:color="auto" w:sz="4" w:space="0"/>
              <w:right w:val="single" w:color="auto" w:sz="4" w:space="0"/>
            </w:tcBorders>
            <w:vAlign w:val="center"/>
          </w:tcPr>
          <w:p w14:paraId="1F2F5F2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调查范围管理为各部门用户提供涉企数据采集调查范围设置管理服务。依据调查制度要求，为调查对象分配填报报表，生成调查任务的填报范围，填报范围可按需进行调整。</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通过勾选企业标签组合确定采集范围，支持 “与 / 或” 逻辑（如勾选 “制造业” 且 “规模以上”，则仅采集同时满足两个标签的企业；勾选 “服务业” 或 “小微企业”，则采集满足任一标签的企业）。</w:t>
            </w:r>
          </w:p>
        </w:tc>
      </w:tr>
      <w:tr w14:paraId="2DE2E95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2A2076C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7</w:t>
            </w:r>
          </w:p>
        </w:tc>
        <w:tc>
          <w:tcPr>
            <w:tcW w:w="1843" w:type="dxa"/>
            <w:tcBorders>
              <w:top w:val="nil"/>
              <w:left w:val="nil"/>
              <w:bottom w:val="single" w:color="auto" w:sz="4" w:space="0"/>
              <w:right w:val="single" w:color="auto" w:sz="4" w:space="0"/>
            </w:tcBorders>
            <w:noWrap/>
            <w:vAlign w:val="center"/>
          </w:tcPr>
          <w:p w14:paraId="3A79B1B2">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9A2C7B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企业报表采集系统-调查对象管理-设置调查单位</w:t>
            </w:r>
          </w:p>
        </w:tc>
        <w:tc>
          <w:tcPr>
            <w:tcW w:w="4111" w:type="dxa"/>
            <w:tcBorders>
              <w:top w:val="nil"/>
              <w:left w:val="nil"/>
              <w:bottom w:val="single" w:color="auto" w:sz="4" w:space="0"/>
              <w:right w:val="single" w:color="auto" w:sz="4" w:space="0"/>
            </w:tcBorders>
            <w:vAlign w:val="center"/>
          </w:tcPr>
          <w:p w14:paraId="24D581D7">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包括调查单位范围管理、调查单位信息导入、调查单位信息配置、调查单位信息查看、调查单位信息导出等</w:t>
            </w:r>
          </w:p>
        </w:tc>
      </w:tr>
      <w:tr w14:paraId="01001CD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51DF54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8</w:t>
            </w:r>
          </w:p>
        </w:tc>
        <w:tc>
          <w:tcPr>
            <w:tcW w:w="1843" w:type="dxa"/>
            <w:tcBorders>
              <w:top w:val="nil"/>
              <w:left w:val="nil"/>
              <w:bottom w:val="single" w:color="auto" w:sz="4" w:space="0"/>
              <w:right w:val="single" w:color="auto" w:sz="4" w:space="0"/>
            </w:tcBorders>
            <w:noWrap/>
            <w:vAlign w:val="center"/>
          </w:tcPr>
          <w:p w14:paraId="1957CD1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863774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企业报表采集系统-调查对象管理-设置调查单位级别管理</w:t>
            </w:r>
          </w:p>
        </w:tc>
        <w:tc>
          <w:tcPr>
            <w:tcW w:w="4111" w:type="dxa"/>
            <w:tcBorders>
              <w:top w:val="nil"/>
              <w:left w:val="nil"/>
              <w:bottom w:val="single" w:color="auto" w:sz="4" w:space="0"/>
              <w:right w:val="single" w:color="auto" w:sz="4" w:space="0"/>
            </w:tcBorders>
            <w:vAlign w:val="center"/>
          </w:tcPr>
          <w:p w14:paraId="7AE36755">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管理机构导入功能支持用户逐一填写或批量导入调查单位的直管机构、监管机构等。</w:t>
            </w:r>
            <w:r>
              <w:rPr>
                <w:rFonts w:hint="eastAsia"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机构级别配置功能支持用户对导入调查单位的直管机构、监管机构以及管理级别进行配置管理。</w:t>
            </w:r>
          </w:p>
        </w:tc>
      </w:tr>
      <w:tr w14:paraId="336993E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CF9BAC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9</w:t>
            </w:r>
          </w:p>
        </w:tc>
        <w:tc>
          <w:tcPr>
            <w:tcW w:w="1843" w:type="dxa"/>
            <w:tcBorders>
              <w:top w:val="nil"/>
              <w:left w:val="nil"/>
              <w:bottom w:val="single" w:color="auto" w:sz="4" w:space="0"/>
              <w:right w:val="single" w:color="auto" w:sz="4" w:space="0"/>
            </w:tcBorders>
            <w:noWrap/>
            <w:vAlign w:val="center"/>
          </w:tcPr>
          <w:p w14:paraId="637DFF76">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73BE360B">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企业报表采集系统-审核任务查看</w:t>
            </w:r>
          </w:p>
        </w:tc>
        <w:tc>
          <w:tcPr>
            <w:tcW w:w="4111" w:type="dxa"/>
            <w:tcBorders>
              <w:top w:val="nil"/>
              <w:left w:val="nil"/>
              <w:bottom w:val="single" w:color="auto" w:sz="4" w:space="0"/>
              <w:right w:val="single" w:color="auto" w:sz="4" w:space="0"/>
            </w:tcBorders>
            <w:vAlign w:val="center"/>
          </w:tcPr>
          <w:p w14:paraId="632C3E9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包括审核任务查询、审核任务详情查看、任务删除、任务中止等</w:t>
            </w:r>
          </w:p>
        </w:tc>
      </w:tr>
      <w:tr w14:paraId="0A8E43B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1094A4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10</w:t>
            </w:r>
          </w:p>
        </w:tc>
        <w:tc>
          <w:tcPr>
            <w:tcW w:w="1843" w:type="dxa"/>
            <w:tcBorders>
              <w:top w:val="nil"/>
              <w:left w:val="nil"/>
              <w:bottom w:val="single" w:color="auto" w:sz="4" w:space="0"/>
              <w:right w:val="single" w:color="auto" w:sz="4" w:space="0"/>
            </w:tcBorders>
            <w:noWrap/>
            <w:vAlign w:val="center"/>
          </w:tcPr>
          <w:p w14:paraId="5C7358E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5025E72A">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企业报表采集系统-修改痕迹管理</w:t>
            </w:r>
          </w:p>
        </w:tc>
        <w:tc>
          <w:tcPr>
            <w:tcW w:w="4111" w:type="dxa"/>
            <w:tcBorders>
              <w:top w:val="nil"/>
              <w:left w:val="nil"/>
              <w:bottom w:val="single" w:color="auto" w:sz="4" w:space="0"/>
              <w:right w:val="single" w:color="auto" w:sz="4" w:space="0"/>
            </w:tcBorders>
            <w:vAlign w:val="center"/>
          </w:tcPr>
          <w:p w14:paraId="59220E5F">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包括预警管理、修改痕迹区域分布统计等</w:t>
            </w:r>
          </w:p>
        </w:tc>
      </w:tr>
      <w:tr w14:paraId="475AA72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0EC9220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11</w:t>
            </w:r>
          </w:p>
        </w:tc>
        <w:tc>
          <w:tcPr>
            <w:tcW w:w="1843" w:type="dxa"/>
            <w:tcBorders>
              <w:top w:val="nil"/>
              <w:left w:val="nil"/>
              <w:bottom w:val="single" w:color="auto" w:sz="4" w:space="0"/>
              <w:right w:val="single" w:color="auto" w:sz="4" w:space="0"/>
            </w:tcBorders>
            <w:noWrap/>
            <w:vAlign w:val="center"/>
          </w:tcPr>
          <w:p w14:paraId="552ADF6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68CA289E">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企业报表采集系统-锁定数据管理</w:t>
            </w:r>
          </w:p>
        </w:tc>
        <w:tc>
          <w:tcPr>
            <w:tcW w:w="4111" w:type="dxa"/>
            <w:tcBorders>
              <w:top w:val="nil"/>
              <w:left w:val="nil"/>
              <w:bottom w:val="single" w:color="auto" w:sz="4" w:space="0"/>
              <w:right w:val="single" w:color="auto" w:sz="4" w:space="0"/>
            </w:tcBorders>
            <w:vAlign w:val="center"/>
          </w:tcPr>
          <w:p w14:paraId="2E85354D">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包括设置锁定状态、查看下级锁定状态等</w:t>
            </w:r>
          </w:p>
        </w:tc>
      </w:tr>
      <w:tr w14:paraId="171163A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noWrap/>
            <w:vAlign w:val="center"/>
          </w:tcPr>
          <w:p w14:paraId="7BCAAD3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12</w:t>
            </w:r>
          </w:p>
        </w:tc>
        <w:tc>
          <w:tcPr>
            <w:tcW w:w="1843" w:type="dxa"/>
            <w:tcBorders>
              <w:top w:val="nil"/>
              <w:left w:val="nil"/>
              <w:bottom w:val="single" w:color="auto" w:sz="4" w:space="0"/>
              <w:right w:val="single" w:color="auto" w:sz="4" w:space="0"/>
            </w:tcBorders>
            <w:noWrap/>
            <w:vAlign w:val="center"/>
          </w:tcPr>
          <w:p w14:paraId="296456CC">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上海市涉企数据综合管理（二期）子系统</w:t>
            </w:r>
          </w:p>
        </w:tc>
        <w:tc>
          <w:tcPr>
            <w:tcW w:w="1843" w:type="dxa"/>
            <w:tcBorders>
              <w:top w:val="nil"/>
              <w:left w:val="nil"/>
              <w:bottom w:val="single" w:color="auto" w:sz="4" w:space="0"/>
              <w:right w:val="single" w:color="auto" w:sz="4" w:space="0"/>
            </w:tcBorders>
            <w:vAlign w:val="center"/>
          </w:tcPr>
          <w:p w14:paraId="0962A9F4">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企业报表采集系统-验收截止时间管理</w:t>
            </w:r>
          </w:p>
        </w:tc>
        <w:tc>
          <w:tcPr>
            <w:tcW w:w="4111" w:type="dxa"/>
            <w:tcBorders>
              <w:top w:val="nil"/>
              <w:left w:val="nil"/>
              <w:bottom w:val="single" w:color="auto" w:sz="4" w:space="0"/>
              <w:right w:val="single" w:color="auto" w:sz="4" w:space="0"/>
            </w:tcBorders>
            <w:vAlign w:val="center"/>
          </w:tcPr>
          <w:p w14:paraId="291EA0F3">
            <w:pPr>
              <w:widowControl/>
              <w:spacing w:line="240" w:lineRule="auto"/>
              <w:ind w:firstLine="0" w:firstLineChars="0"/>
              <w:jc w:val="left"/>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包括下级验收截止时间设置、下级验收截止时间查看、本级验收截止时间查看、验收返回截止时间设置、验收返回截止时间查看、调查对象填报截止时间设置、调查对象填报截止时间查看等</w:t>
            </w:r>
          </w:p>
        </w:tc>
      </w:tr>
    </w:tbl>
    <w:p w14:paraId="7344596E">
      <w:pPr>
        <w:pStyle w:val="3"/>
        <w:numPr>
          <w:ilvl w:val="-1"/>
          <w:numId w:val="0"/>
        </w:numPr>
        <w:ind w:left="568" w:firstLine="0"/>
      </w:pPr>
      <w:r>
        <w:rPr>
          <w:rFonts w:hint="eastAsia"/>
          <w:lang w:val="en-US" w:eastAsia="zh-CN"/>
        </w:rPr>
        <w:t>5.2、</w:t>
      </w:r>
      <w:r>
        <w:rPr>
          <w:rFonts w:hint="eastAsia"/>
        </w:rPr>
        <w:t>具体要求</w:t>
      </w:r>
    </w:p>
    <w:p w14:paraId="2027CDF2">
      <w:r>
        <w:rPr>
          <w:rFonts w:hint="eastAsia"/>
        </w:rPr>
        <w:t>1、基本要求：</w:t>
      </w:r>
    </w:p>
    <w:p w14:paraId="32146F7E">
      <w:r>
        <w:rPr>
          <w:rFonts w:hint="eastAsia"/>
        </w:rPr>
        <w:t>（1）该平台能够支持以可视化的方式基于数据模型创建功能模块和业务流程，支持通过“拖、拉、拽”或配置化等方式，快速构建和修改表单、流程、报表、图表及核心业务功能；支持构建可复用的业务组件库和业务模板，提升同类功能的开发效率，保障用户体验的一致性；在业务需求发生变化时，大部分功能调整能通过平台配置方式完成，避免或减少底层代码的修改；</w:t>
      </w:r>
    </w:p>
    <w:p w14:paraId="5505FF8D">
      <w:r>
        <w:rPr>
          <w:rFonts w:hint="eastAsia"/>
        </w:rPr>
        <w:t>（2）该平台能够支持部署在上海电子政务云（电信）xc环境中，支持使用主流国产数据库，支持容器化部署，支持高可用和弹性伸缩方案；</w:t>
      </w:r>
    </w:p>
    <w:p w14:paraId="6229A8B3">
      <w:r>
        <w:rPr>
          <w:rFonts w:hint="eastAsia"/>
        </w:rPr>
        <w:t>（3）该平台能够支持使用java和javascript等语言通过自定义脚本、代码函数等方式进行功能增强和二次开发；支持与第三方统一身份认证集成，支持CAS，OAuth2等协议；</w:t>
      </w:r>
    </w:p>
    <w:p w14:paraId="7339CB1E">
      <w:r>
        <w:rPr>
          <w:rFonts w:hint="eastAsia"/>
        </w:rPr>
        <w:t>（4）如使用第三方平台，供应商应选择具备《软件著作权证书》或《软件产品证书》、等保三级备案证明、第三方安全测评报告及</w:t>
      </w:r>
      <w:r>
        <w:rPr>
          <w:rFonts w:hint="eastAsia"/>
          <w:lang w:eastAsia="zh-CN"/>
        </w:rPr>
        <w:t>XC</w:t>
      </w:r>
      <w:r>
        <w:rPr>
          <w:rFonts w:hint="eastAsia"/>
        </w:rPr>
        <w:t>认证相关证书（如</w:t>
      </w:r>
      <w:r>
        <w:rPr>
          <w:rFonts w:hint="eastAsia"/>
          <w:lang w:eastAsia="zh-CN"/>
        </w:rPr>
        <w:t>XC</w:t>
      </w:r>
      <w:r>
        <w:rPr>
          <w:rFonts w:hint="eastAsia"/>
        </w:rPr>
        <w:t>软件产品证书、</w:t>
      </w:r>
      <w:r>
        <w:rPr>
          <w:rFonts w:hint="eastAsia"/>
          <w:lang w:eastAsia="zh-CN"/>
        </w:rPr>
        <w:t>XC</w:t>
      </w:r>
      <w:r>
        <w:rPr>
          <w:rFonts w:hint="eastAsia"/>
        </w:rPr>
        <w:t>产品适配证书等）的平台产品；</w:t>
      </w:r>
    </w:p>
    <w:p w14:paraId="0B3233EA">
      <w:r>
        <w:rPr>
          <w:rFonts w:hint="eastAsia"/>
        </w:rPr>
        <w:t>（5）供应商应提供该平台完整的产品文档、开发手册和培训材料；供应商应提供该平台的7x24小时热线技术支持及5*8小时开发现场技术支持，明确技术支持联系方式及开发现场技术支持人员；</w:t>
      </w:r>
    </w:p>
    <w:p w14:paraId="1FFE4EC8">
      <w:r>
        <w:rPr>
          <w:rFonts w:hint="eastAsia"/>
        </w:rPr>
        <w:t>（6）供应商应提供该平台的正式许可，并承诺许可有效时间至少持续至本项目免维期结束；</w:t>
      </w:r>
    </w:p>
    <w:p w14:paraId="7A212006">
      <w:r>
        <w:rPr>
          <w:rFonts w:hint="eastAsia"/>
        </w:rPr>
        <w:t>（7）供应商应承诺对该平台版本的技术支持至少持续至2030年12月31日，如升级版本，需支持向下兼容；</w:t>
      </w:r>
    </w:p>
    <w:p w14:paraId="63D6906C">
      <w:r>
        <w:rPr>
          <w:rFonts w:hint="eastAsia"/>
        </w:rPr>
        <w:t>（8）供应商应承诺该平台未留有任何后门，并根据采购方安全管理要求及时响应并修补安全漏洞；</w:t>
      </w:r>
    </w:p>
    <w:p w14:paraId="396F5E05">
      <w:r>
        <w:rPr>
          <w:rFonts w:hint="eastAsia"/>
        </w:rPr>
        <w:t>（</w:t>
      </w:r>
      <w:r>
        <w:rPr>
          <w:rFonts w:hint="eastAsia"/>
          <w:lang w:val="en-US" w:eastAsia="zh-CN"/>
        </w:rPr>
        <w:t>9</w:t>
      </w:r>
      <w:r>
        <w:rPr>
          <w:rFonts w:hint="eastAsia"/>
        </w:rPr>
        <w:t>）供应商应承诺根据本项目要求提供系统集成所需接口，如根据当前登录用户获取用户已被授权的菜单数据等。</w:t>
      </w:r>
    </w:p>
    <w:p w14:paraId="0076B70B">
      <w:r>
        <w:rPr>
          <w:rFonts w:hint="eastAsia"/>
        </w:rPr>
        <w:t>2、扩展要求</w:t>
      </w:r>
    </w:p>
    <w:p w14:paraId="6558D093">
      <w:r>
        <w:rPr>
          <w:rFonts w:hint="eastAsia"/>
        </w:rPr>
        <w:t>（1）该平台能够提供平台本身的源代码或能够导出开发的应用程序的源代码（非配置文件），源代码应具有较好的可读性；</w:t>
      </w:r>
    </w:p>
    <w:p w14:paraId="1B467E5C">
      <w:r>
        <w:rPr>
          <w:rFonts w:hint="eastAsia"/>
        </w:rPr>
        <w:t>（2）该平台支持通过自然语言交互功能，快速生成和配置数据模型、业务表单及工作流程。</w:t>
      </w:r>
    </w:p>
    <w:p w14:paraId="1F889C45">
      <w:pPr>
        <w:pStyle w:val="2"/>
      </w:pPr>
      <w:bookmarkStart w:id="18" w:name="_Toc63785503"/>
      <w:r>
        <w:rPr>
          <w:rFonts w:hint="eastAsia"/>
        </w:rPr>
        <w:t>其他工作要求</w:t>
      </w:r>
      <w:bookmarkEnd w:id="18"/>
    </w:p>
    <w:p w14:paraId="65B1FCB8">
      <w:pPr>
        <w:keepNext/>
        <w:keepLines/>
        <w:numPr>
          <w:ilvl w:val="1"/>
          <w:numId w:val="4"/>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19" w:name="_Toc63762370"/>
      <w:bookmarkEnd w:id="19"/>
      <w:bookmarkStart w:id="20" w:name="_Toc62219358"/>
      <w:bookmarkEnd w:id="20"/>
      <w:bookmarkStart w:id="21" w:name="_Toc63785439"/>
      <w:bookmarkEnd w:id="21"/>
      <w:bookmarkStart w:id="22" w:name="_Toc63585480"/>
      <w:bookmarkEnd w:id="22"/>
      <w:bookmarkStart w:id="23" w:name="_Toc61968111"/>
      <w:bookmarkEnd w:id="23"/>
      <w:bookmarkStart w:id="24" w:name="_Toc62209488"/>
      <w:bookmarkEnd w:id="24"/>
      <w:bookmarkStart w:id="25" w:name="_Toc63151871"/>
      <w:bookmarkEnd w:id="25"/>
      <w:bookmarkStart w:id="26" w:name="_Toc63785504"/>
      <w:bookmarkEnd w:id="26"/>
    </w:p>
    <w:p w14:paraId="7839100F">
      <w:pPr>
        <w:pStyle w:val="3"/>
      </w:pPr>
      <w:bookmarkStart w:id="27" w:name="_Toc63785505"/>
      <w:r>
        <w:rPr>
          <w:rFonts w:hint="eastAsia"/>
        </w:rPr>
        <w:t>售后服务要求</w:t>
      </w:r>
      <w:bookmarkEnd w:id="27"/>
    </w:p>
    <w:p w14:paraId="4029FAE6">
      <w:pPr>
        <w:pStyle w:val="106"/>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258B0F51">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62D74E05">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在质量保证期内，供应商负责信息系统的运行维护工作，确保信息系统安全、稳定、可靠地运行。本项目涉及的运行维护工作范围为：系统定期巡检、系统安全补丁升级、系统和应用漏洞修复、</w:t>
      </w:r>
      <w:r>
        <w:rPr>
          <w:rFonts w:ascii="宋体" w:hAnsi="宋体"/>
          <w:sz w:val="24"/>
          <w:szCs w:val="24"/>
        </w:rPr>
        <w:t>Bug修复、功能优化</w:t>
      </w:r>
      <w:r>
        <w:rPr>
          <w:rFonts w:hint="eastAsia" w:ascii="宋体" w:hAnsi="宋体"/>
          <w:sz w:val="24"/>
          <w:szCs w:val="24"/>
        </w:rPr>
        <w:t>。</w:t>
      </w:r>
    </w:p>
    <w:p w14:paraId="78D90D79">
      <w:pPr>
        <w:pStyle w:val="3"/>
      </w:pPr>
      <w:bookmarkStart w:id="28" w:name="_Toc63785506"/>
      <w:r>
        <w:rPr>
          <w:rFonts w:hint="eastAsia"/>
        </w:rPr>
        <w:t>应急响应要求</w:t>
      </w:r>
      <w:bookmarkEnd w:id="28"/>
    </w:p>
    <w:p w14:paraId="39E6DE3B">
      <w:pPr>
        <w:pStyle w:val="106"/>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68E86043">
      <w:pPr>
        <w:pStyle w:val="106"/>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14:paraId="35C1DA95">
      <w:pPr>
        <w:pStyle w:val="106"/>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68EB63B6">
      <w:pPr>
        <w:pStyle w:val="106"/>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295D384D">
      <w:pPr>
        <w:pStyle w:val="106"/>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1D78D7C4">
      <w:pPr>
        <w:pStyle w:val="106"/>
        <w:snapToGrid w:val="0"/>
        <w:spacing w:line="360" w:lineRule="auto"/>
        <w:ind w:firstLine="480"/>
        <w:rPr>
          <w:rFonts w:ascii="宋体" w:hAnsi="宋体"/>
          <w:sz w:val="24"/>
          <w:szCs w:val="24"/>
        </w:rPr>
      </w:pPr>
      <w:r>
        <w:rPr>
          <w:rFonts w:hint="eastAsia" w:ascii="宋体" w:hAnsi="宋体"/>
          <w:sz w:val="24"/>
          <w:szCs w:val="24"/>
        </w:rPr>
        <w:t>依据故障时间及故障范围划分故障级别，故障级别分为四级，依次为Ⅰ级（紧急）、Ⅱ级（严重）、Ⅲ级（较大）和Ⅳ级（一般），分别定义如下：</w:t>
      </w:r>
    </w:p>
    <w:p w14:paraId="3FFA31BA">
      <w:pPr>
        <w:pStyle w:val="106"/>
        <w:snapToGrid w:val="0"/>
        <w:spacing w:line="360" w:lineRule="auto"/>
        <w:ind w:firstLine="480"/>
        <w:rPr>
          <w:rFonts w:ascii="宋体" w:hAnsi="宋体"/>
          <w:sz w:val="24"/>
          <w:szCs w:val="24"/>
        </w:rPr>
      </w:pPr>
      <w:r>
        <w:rPr>
          <w:rFonts w:hint="eastAsia" w:ascii="宋体" w:hAnsi="宋体"/>
          <w:sz w:val="24"/>
          <w:szCs w:val="24"/>
        </w:rPr>
        <w:t>Ⅰ级（紧急）故障为工作时间段（8:30——17:30）内大范围故障；</w:t>
      </w:r>
    </w:p>
    <w:p w14:paraId="7C5276E5">
      <w:pPr>
        <w:pStyle w:val="106"/>
        <w:snapToGrid w:val="0"/>
        <w:spacing w:line="360" w:lineRule="auto"/>
        <w:ind w:firstLine="480"/>
        <w:rPr>
          <w:rFonts w:ascii="宋体" w:hAnsi="宋体"/>
          <w:sz w:val="24"/>
          <w:szCs w:val="24"/>
        </w:rPr>
      </w:pPr>
      <w:r>
        <w:rPr>
          <w:rFonts w:hint="eastAsia" w:ascii="宋体" w:hAnsi="宋体"/>
          <w:sz w:val="24"/>
          <w:szCs w:val="24"/>
        </w:rPr>
        <w:t>Ⅱ级（严重）故障为非工作时间段（17:30——次日8:30）内大范围故障；</w:t>
      </w:r>
    </w:p>
    <w:p w14:paraId="02A83697">
      <w:pPr>
        <w:pStyle w:val="106"/>
        <w:snapToGrid w:val="0"/>
        <w:spacing w:line="360" w:lineRule="auto"/>
        <w:ind w:firstLine="480"/>
        <w:rPr>
          <w:rFonts w:ascii="宋体" w:hAnsi="宋体"/>
          <w:sz w:val="24"/>
          <w:szCs w:val="24"/>
        </w:rPr>
      </w:pPr>
      <w:r>
        <w:rPr>
          <w:rFonts w:hint="eastAsia" w:ascii="宋体" w:hAnsi="宋体"/>
          <w:sz w:val="24"/>
          <w:szCs w:val="24"/>
        </w:rPr>
        <w:t>Ⅲ级（较大）故障为工作时间段（8:30——17:30）内小范围故障；</w:t>
      </w:r>
    </w:p>
    <w:p w14:paraId="22E468DD">
      <w:pPr>
        <w:pStyle w:val="106"/>
        <w:snapToGrid w:val="0"/>
        <w:spacing w:line="360" w:lineRule="auto"/>
        <w:ind w:firstLine="480"/>
        <w:rPr>
          <w:rFonts w:ascii="宋体" w:hAnsi="宋体"/>
          <w:sz w:val="24"/>
          <w:szCs w:val="24"/>
        </w:rPr>
      </w:pPr>
      <w:r>
        <w:rPr>
          <w:rFonts w:hint="eastAsia" w:ascii="宋体" w:hAnsi="宋体"/>
          <w:sz w:val="24"/>
          <w:szCs w:val="24"/>
        </w:rPr>
        <w:t>Ⅳ级（一般）故障为非工作时间段（17:30——次日8:30）内小范围故障；</w:t>
      </w:r>
    </w:p>
    <w:p w14:paraId="6AA0EA91">
      <w:pPr>
        <w:pStyle w:val="3"/>
      </w:pPr>
      <w:bookmarkStart w:id="29" w:name="_Toc63785507"/>
      <w:r>
        <w:rPr>
          <w:rFonts w:hint="eastAsia"/>
        </w:rPr>
        <w:t>网络与数据安全</w:t>
      </w:r>
    </w:p>
    <w:p w14:paraId="04749D53">
      <w:pPr>
        <w:pStyle w:val="106"/>
        <w:snapToGrid w:val="0"/>
        <w:spacing w:line="360" w:lineRule="auto"/>
        <w:ind w:firstLine="480"/>
        <w:rPr>
          <w:rFonts w:ascii="宋体" w:hAnsi="宋体"/>
          <w:sz w:val="24"/>
          <w:szCs w:val="24"/>
        </w:rPr>
      </w:pPr>
      <w:r>
        <w:rPr>
          <w:rFonts w:hint="eastAsia" w:ascii="宋体" w:hAnsi="宋体"/>
          <w:sz w:val="24"/>
          <w:szCs w:val="24"/>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08C43CAB">
      <w:pPr>
        <w:pStyle w:val="106"/>
        <w:snapToGrid w:val="0"/>
        <w:spacing w:line="360" w:lineRule="auto"/>
        <w:ind w:firstLine="480"/>
        <w:rPr>
          <w:rFonts w:ascii="宋体" w:hAnsi="宋体"/>
          <w:sz w:val="24"/>
          <w:szCs w:val="24"/>
        </w:rPr>
      </w:pPr>
      <w:r>
        <w:rPr>
          <w:rFonts w:hint="eastAsia" w:ascii="宋体" w:hAnsi="宋体"/>
          <w:sz w:val="24"/>
          <w:szCs w:val="24"/>
        </w:rPr>
        <w:t>(2)供应商应配合采购人开展相关安全制度和规范的制定，并根据项目实际，制定项目实施过程安全管理方案。</w:t>
      </w:r>
    </w:p>
    <w:p w14:paraId="6B58297A">
      <w:pPr>
        <w:pStyle w:val="106"/>
        <w:snapToGrid w:val="0"/>
        <w:spacing w:line="360" w:lineRule="auto"/>
        <w:ind w:firstLine="480"/>
        <w:rPr>
          <w:rFonts w:ascii="宋体" w:hAnsi="宋体"/>
          <w:sz w:val="24"/>
          <w:szCs w:val="24"/>
        </w:rPr>
      </w:pPr>
      <w:r>
        <w:rPr>
          <w:rFonts w:hint="eastAsia" w:ascii="宋体" w:hAnsi="宋体"/>
          <w:sz w:val="24"/>
          <w:szCs w:val="24"/>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303C1533">
      <w:pPr>
        <w:pStyle w:val="106"/>
        <w:snapToGrid w:val="0"/>
        <w:spacing w:line="360" w:lineRule="auto"/>
        <w:ind w:firstLine="480"/>
        <w:rPr>
          <w:rFonts w:ascii="宋体" w:hAnsi="宋体"/>
          <w:sz w:val="24"/>
          <w:szCs w:val="24"/>
        </w:rPr>
      </w:pPr>
      <w:r>
        <w:rPr>
          <w:rFonts w:hint="eastAsia" w:ascii="宋体" w:hAnsi="宋体"/>
          <w:sz w:val="24"/>
          <w:szCs w:val="24"/>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0C061D6C">
      <w:pPr>
        <w:pStyle w:val="106"/>
        <w:snapToGrid w:val="0"/>
        <w:spacing w:line="360" w:lineRule="auto"/>
        <w:ind w:firstLine="480"/>
        <w:rPr>
          <w:rFonts w:ascii="宋体" w:hAnsi="宋体"/>
          <w:sz w:val="24"/>
          <w:szCs w:val="24"/>
        </w:rPr>
      </w:pPr>
      <w:r>
        <w:rPr>
          <w:rFonts w:hint="eastAsia" w:ascii="宋体" w:hAnsi="宋体"/>
          <w:sz w:val="24"/>
          <w:szCs w:val="24"/>
        </w:rPr>
        <w:t>(5)供应商应在项目实施过程中，按照数据差异化安全防护策略，根据系统需要采取数据加密、数据访问控制、日志记录、流转监测等防护能力及相关管理流程，切实保障数据安全。</w:t>
      </w:r>
    </w:p>
    <w:p w14:paraId="61A36E2E">
      <w:pPr>
        <w:pStyle w:val="106"/>
        <w:snapToGrid w:val="0"/>
        <w:spacing w:line="360" w:lineRule="auto"/>
        <w:ind w:firstLine="480"/>
        <w:rPr>
          <w:rFonts w:ascii="宋体" w:hAnsi="宋体"/>
          <w:sz w:val="24"/>
          <w:szCs w:val="24"/>
        </w:rPr>
      </w:pPr>
      <w:r>
        <w:rPr>
          <w:rFonts w:hint="eastAsia" w:ascii="宋体" w:hAnsi="宋体"/>
          <w:sz w:val="24"/>
          <w:szCs w:val="24"/>
        </w:rPr>
        <w:t>(6)供应商应按照采购人场地及人员安全管理制度，加强人员管理，配合采购人落实人员背调、入离场、终端管理、网络限制、数据权限最小化等管控措施。</w:t>
      </w:r>
    </w:p>
    <w:p w14:paraId="55C6D285">
      <w:pPr>
        <w:pStyle w:val="106"/>
        <w:snapToGrid w:val="0"/>
        <w:spacing w:line="360" w:lineRule="auto"/>
        <w:ind w:firstLine="480"/>
        <w:rPr>
          <w:rFonts w:ascii="宋体" w:hAnsi="宋体"/>
          <w:sz w:val="24"/>
          <w:szCs w:val="24"/>
        </w:rPr>
      </w:pPr>
      <w:r>
        <w:rPr>
          <w:rFonts w:hint="eastAsia" w:ascii="宋体" w:hAnsi="宋体"/>
          <w:sz w:val="24"/>
          <w:szCs w:val="24"/>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28AAE113">
      <w:pPr>
        <w:pStyle w:val="106"/>
        <w:snapToGrid w:val="0"/>
        <w:spacing w:line="360" w:lineRule="auto"/>
        <w:ind w:firstLine="480"/>
        <w:rPr>
          <w:rFonts w:ascii="宋体" w:hAnsi="宋体"/>
          <w:sz w:val="24"/>
          <w:szCs w:val="24"/>
        </w:rPr>
      </w:pPr>
      <w:r>
        <w:rPr>
          <w:rFonts w:hint="eastAsia" w:ascii="宋体" w:hAnsi="宋体"/>
          <w:sz w:val="24"/>
          <w:szCs w:val="24"/>
        </w:rPr>
        <w:t>(8)供应商应在系统免维期内承担系统安全运维管理责任，落实安全管理保障措施，包括但不限于制度修订、风险排查、应急响应、漏洞修复、重保等工作。</w:t>
      </w:r>
    </w:p>
    <w:p w14:paraId="7845AD1F">
      <w:pPr>
        <w:pStyle w:val="3"/>
      </w:pPr>
      <w:r>
        <w:rPr>
          <w:rFonts w:hint="eastAsia"/>
        </w:rPr>
        <w:t>培训要求</w:t>
      </w:r>
      <w:bookmarkEnd w:id="29"/>
    </w:p>
    <w:p w14:paraId="240F8596">
      <w:r>
        <w:rPr>
          <w:rFonts w:hint="eastAsia"/>
        </w:rPr>
        <w:t>对系统使用单位提供业务操作培训，应提供详细培训方案。</w:t>
      </w:r>
    </w:p>
    <w:p w14:paraId="028480C5">
      <w:r>
        <w:rPr>
          <w:rFonts w:hint="eastAsia"/>
        </w:rPr>
        <w:t>(1)在12个月的质量保证期内，提供2次与项目相关的必要培训。</w:t>
      </w:r>
    </w:p>
    <w:p w14:paraId="304CBEAA">
      <w:r>
        <w:rPr>
          <w:rFonts w:hint="eastAsia"/>
        </w:rPr>
        <w:t>(2)供应商需要开展分层次的人员培训工作，每次培训后应对参加培训人员进行测试，评估培训成果。培训应具有培训教材、培训环境和高水平的培训讲师。</w:t>
      </w:r>
    </w:p>
    <w:p w14:paraId="0B3B42F9">
      <w:r>
        <w:rPr>
          <w:rFonts w:hint="eastAsia"/>
        </w:rPr>
        <w:t>(3)供应商应提供一般用户的基础操作培训和部门信息管理员的日常应用维护的培训，确保用户对象能够掌握对应的操作技能。</w:t>
      </w:r>
    </w:p>
    <w:p w14:paraId="7B85124F">
      <w:pPr>
        <w:pStyle w:val="3"/>
      </w:pPr>
      <w:bookmarkStart w:id="30" w:name="_Toc63785508"/>
      <w:r>
        <w:rPr>
          <w:rFonts w:hint="eastAsia"/>
        </w:rPr>
        <w:t>验收要求</w:t>
      </w:r>
      <w:bookmarkEnd w:id="30"/>
    </w:p>
    <w:p w14:paraId="3B1C6852">
      <w:pPr>
        <w:rPr>
          <w:szCs w:val="21"/>
        </w:rPr>
      </w:pPr>
      <w:r>
        <w:rPr>
          <w:rFonts w:hint="eastAsia"/>
          <w:szCs w:val="21"/>
        </w:rPr>
        <w:t>本项目按下述方式开展验收。</w:t>
      </w:r>
    </w:p>
    <w:p w14:paraId="4BDAE2F0">
      <w:pPr>
        <w:rPr>
          <w:szCs w:val="21"/>
        </w:rPr>
      </w:pPr>
      <w:r>
        <w:rPr>
          <w:rFonts w:hint="eastAsia"/>
          <w:szCs w:val="21"/>
        </w:rPr>
        <w:t>（</w:t>
      </w:r>
      <w:r>
        <w:rPr>
          <w:szCs w:val="21"/>
        </w:rPr>
        <w:t>1）验收分初验和终验。</w:t>
      </w:r>
    </w:p>
    <w:p w14:paraId="2740E02A">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lang w:eastAsia="zh-CN"/>
        </w:rPr>
        <w:t>采购人</w:t>
      </w:r>
      <w:r>
        <w:rPr>
          <w:szCs w:val="21"/>
        </w:rPr>
        <w:t>递交初验通知书。</w:t>
      </w:r>
      <w:r>
        <w:rPr>
          <w:rFonts w:hint="eastAsia"/>
          <w:szCs w:val="21"/>
          <w:lang w:eastAsia="zh-CN"/>
        </w:rPr>
        <w:t>采购人</w:t>
      </w:r>
      <w:r>
        <w:rPr>
          <w:szCs w:val="21"/>
        </w:rPr>
        <w:t>应当在接到通知后的5个工作日内确定初验的具体日期，由双方按照本项目的约定完成本项目的初验。</w:t>
      </w:r>
      <w:r>
        <w:rPr>
          <w:rFonts w:hint="eastAsia"/>
          <w:szCs w:val="21"/>
          <w:lang w:eastAsia="zh-CN"/>
        </w:rPr>
        <w:t>采购人</w:t>
      </w:r>
      <w:r>
        <w:rPr>
          <w:szCs w:val="21"/>
        </w:rPr>
        <w:t>有权委托第三方检测机构进行验收，对此供应商应当配合。</w:t>
      </w:r>
    </w:p>
    <w:p w14:paraId="7EE46FF7">
      <w:pPr>
        <w:rPr>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lang w:eastAsia="zh-CN"/>
        </w:rPr>
        <w:t>采购人</w:t>
      </w:r>
      <w:r>
        <w:rPr>
          <w:szCs w:val="21"/>
        </w:rPr>
        <w:t>应向供应商出具书面报告，陈述需要改进的缺陷。供应商应立即严格依照</w:t>
      </w:r>
      <w:r>
        <w:rPr>
          <w:rFonts w:hint="eastAsia"/>
          <w:szCs w:val="21"/>
          <w:lang w:eastAsia="zh-CN"/>
        </w:rPr>
        <w:t>采购人</w:t>
      </w:r>
      <w:r>
        <w:rPr>
          <w:szCs w:val="21"/>
        </w:rPr>
        <w:t>的书面报告中的要求改进缺陷，并再次进行初验。</w:t>
      </w:r>
    </w:p>
    <w:p w14:paraId="1CA8463A">
      <w:pPr>
        <w:rPr>
          <w:szCs w:val="21"/>
        </w:rPr>
      </w:pPr>
      <w:r>
        <w:rPr>
          <w:rFonts w:hint="eastAsia"/>
          <w:szCs w:val="21"/>
        </w:rPr>
        <w:t>（</w:t>
      </w:r>
      <w:r>
        <w:rPr>
          <w:szCs w:val="21"/>
        </w:rPr>
        <w:t>4）自初验通过之日起，</w:t>
      </w:r>
      <w:r>
        <w:rPr>
          <w:rFonts w:hint="eastAsia"/>
          <w:szCs w:val="21"/>
          <w:lang w:eastAsia="zh-CN"/>
        </w:rPr>
        <w:t>采购人</w:t>
      </w:r>
      <w:r>
        <w:rPr>
          <w:szCs w:val="21"/>
        </w:rPr>
        <w:t>享有供应商免费提供的</w:t>
      </w:r>
      <w:r>
        <w:rPr>
          <w:rFonts w:hint="eastAsia"/>
          <w:szCs w:val="21"/>
          <w:lang w:val="en-US" w:eastAsia="zh-CN"/>
        </w:rPr>
        <w:t>15</w:t>
      </w:r>
      <w:r>
        <w:rPr>
          <w:szCs w:val="21"/>
        </w:rPr>
        <w:t>天的信息系统试运行现场驻场服务期。该期间内，供应商应当按照</w:t>
      </w:r>
      <w:r>
        <w:rPr>
          <w:rFonts w:hint="eastAsia"/>
          <w:szCs w:val="21"/>
          <w:lang w:eastAsia="zh-CN"/>
        </w:rPr>
        <w:t>采购人</w:t>
      </w:r>
      <w:r>
        <w:rPr>
          <w:szCs w:val="21"/>
        </w:rPr>
        <w:t>的要求提供现场技术支持服务，解决信息系统试运行期间可能出现的各类问题，或进一步提高与完善信息系统运行水平。</w:t>
      </w:r>
    </w:p>
    <w:p w14:paraId="7E9ADD55">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w:t>
      </w:r>
      <w:r>
        <w:rPr>
          <w:rFonts w:hint="eastAsia"/>
          <w:szCs w:val="21"/>
          <w:lang w:eastAsia="zh-CN"/>
        </w:rPr>
        <w:t>采购人</w:t>
      </w:r>
      <w:r>
        <w:rPr>
          <w:szCs w:val="21"/>
        </w:rPr>
        <w:t>信息系统已准备就绪等待终验。</w:t>
      </w:r>
      <w:r>
        <w:rPr>
          <w:rFonts w:hint="eastAsia"/>
          <w:szCs w:val="21"/>
          <w:lang w:eastAsia="zh-CN"/>
        </w:rPr>
        <w:t>采购人</w:t>
      </w:r>
      <w:r>
        <w:rPr>
          <w:szCs w:val="21"/>
        </w:rPr>
        <w:t>在收到终验通知后的</w:t>
      </w:r>
      <w:r>
        <w:rPr>
          <w:rFonts w:hint="eastAsia"/>
          <w:szCs w:val="21"/>
        </w:rPr>
        <w:t>20</w:t>
      </w:r>
      <w:r>
        <w:rPr>
          <w:szCs w:val="21"/>
        </w:rPr>
        <w:t>个工作日内发起组织专家验收会。</w:t>
      </w:r>
    </w:p>
    <w:p w14:paraId="162A03E9">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64E4C933">
      <w:pPr>
        <w:rPr>
          <w:szCs w:val="21"/>
        </w:rPr>
      </w:pPr>
      <w:r>
        <w:rPr>
          <w:rFonts w:hint="eastAsia"/>
          <w:szCs w:val="21"/>
        </w:rPr>
        <w:t>（7</w:t>
      </w:r>
      <w:r>
        <w:rPr>
          <w:szCs w:val="21"/>
        </w:rPr>
        <w:t>）如果由于</w:t>
      </w:r>
      <w:r>
        <w:rPr>
          <w:rFonts w:hint="eastAsia"/>
          <w:szCs w:val="21"/>
          <w:lang w:eastAsia="zh-CN"/>
        </w:rPr>
        <w:t>采购人</w:t>
      </w:r>
      <w:r>
        <w:rPr>
          <w:szCs w:val="21"/>
        </w:rPr>
        <w:t>原因导致本项目在终验通过前出现故障或问题，供应商应及时配合排除该方面的故障或问题。</w:t>
      </w:r>
    </w:p>
    <w:p w14:paraId="38079546">
      <w:pPr>
        <w:rPr>
          <w:szCs w:val="21"/>
        </w:rPr>
      </w:pPr>
      <w:r>
        <w:rPr>
          <w:rFonts w:hint="eastAsia"/>
          <w:szCs w:val="21"/>
        </w:rPr>
        <w:t>（8</w:t>
      </w:r>
      <w:r>
        <w:rPr>
          <w:szCs w:val="21"/>
        </w:rPr>
        <w:t>）如本项目连续3次验收未通过（含初验未通过或终验未通过），</w:t>
      </w:r>
      <w:r>
        <w:rPr>
          <w:rFonts w:hint="eastAsia"/>
          <w:szCs w:val="21"/>
          <w:lang w:eastAsia="zh-CN"/>
        </w:rPr>
        <w:t>采购人</w:t>
      </w:r>
      <w:r>
        <w:rPr>
          <w:szCs w:val="21"/>
        </w:rPr>
        <w:t>有权解除项目，并有权依照本项目约定的违约条款追究供应商的违约责任。</w:t>
      </w:r>
    </w:p>
    <w:p w14:paraId="15F67FEA">
      <w:pPr>
        <w:pStyle w:val="3"/>
      </w:pPr>
      <w:bookmarkStart w:id="31" w:name="_Toc63785509"/>
      <w:r>
        <w:rPr>
          <w:rFonts w:hint="eastAsia"/>
        </w:rPr>
        <w:t>进度要求</w:t>
      </w:r>
      <w:bookmarkEnd w:id="31"/>
    </w:p>
    <w:p w14:paraId="2C95F38C">
      <w:r>
        <w:rPr>
          <w:rFonts w:hint="eastAsia"/>
          <w:lang w:eastAsia="zh-CN"/>
        </w:rPr>
        <w:t>响应供应商</w:t>
      </w:r>
      <w:r>
        <w:rPr>
          <w:rFonts w:hint="eastAsia"/>
        </w:rPr>
        <w:t>应根据建设内容，分阶段制定合理的时间进度，并且应根据</w:t>
      </w:r>
      <w:r>
        <w:rPr>
          <w:rFonts w:hint="eastAsia"/>
          <w:szCs w:val="21"/>
          <w:lang w:eastAsia="zh-CN"/>
        </w:rPr>
        <w:t>采购人</w:t>
      </w:r>
      <w:r>
        <w:rPr>
          <w:rFonts w:hint="eastAsia"/>
        </w:rPr>
        <w:t>要求进行调整和细化。</w:t>
      </w:r>
    </w:p>
    <w:p w14:paraId="0FAD1CE7">
      <w:r>
        <w:rPr>
          <w:rFonts w:hint="eastAsia"/>
        </w:rPr>
        <w:t>总建设周期为6个月，分为5个阶段。</w:t>
      </w:r>
    </w:p>
    <w:p w14:paraId="7F3A71A0">
      <w:r>
        <w:rPr>
          <w:rFonts w:hint="eastAsia"/>
        </w:rPr>
        <w:t>第一阶段为1个月，完成规划设计。</w:t>
      </w:r>
    </w:p>
    <w:p w14:paraId="002611AC">
      <w:r>
        <w:rPr>
          <w:rFonts w:hint="eastAsia"/>
        </w:rPr>
        <w:t>第二阶段为3.5个月，完成开发测试。</w:t>
      </w:r>
    </w:p>
    <w:p w14:paraId="19CC95E2">
      <w:r>
        <w:rPr>
          <w:rFonts w:hint="eastAsia"/>
        </w:rPr>
        <w:t>第三个阶段为0.5个月，完成上线试运行。</w:t>
      </w:r>
    </w:p>
    <w:p w14:paraId="1D6A2E90">
      <w:r>
        <w:rPr>
          <w:rFonts w:hint="eastAsia"/>
        </w:rPr>
        <w:t>第四个阶段为0.5个月，完成迭代完善。</w:t>
      </w:r>
    </w:p>
    <w:p w14:paraId="61445F2B">
      <w:r>
        <w:rPr>
          <w:rFonts w:hint="eastAsia"/>
        </w:rPr>
        <w:t>第五个阶段为0.5个月，完成项目验收。</w:t>
      </w:r>
    </w:p>
    <w:p w14:paraId="4F80A16A">
      <w:pPr>
        <w:pStyle w:val="3"/>
      </w:pPr>
      <w:bookmarkStart w:id="32" w:name="_Toc63785510"/>
      <w:r>
        <w:rPr>
          <w:rFonts w:hint="eastAsia"/>
        </w:rPr>
        <w:t>项目团队及驻场人员要求</w:t>
      </w:r>
      <w:bookmarkEnd w:id="32"/>
    </w:p>
    <w:p w14:paraId="14BD469D">
      <w:r>
        <w:t>1）</w:t>
      </w:r>
      <w:r>
        <w:rPr>
          <w:rFonts w:hint="eastAsia"/>
          <w:lang w:eastAsia="zh-CN"/>
        </w:rPr>
        <w:t>响应供应商</w:t>
      </w:r>
      <w:r>
        <w:t>须具有稳定的在职技术保障力量，能够提供及时的技术支援或服务，应针对本项目提供不少于</w:t>
      </w:r>
      <w:r>
        <w:rPr>
          <w:rFonts w:hint="eastAsia"/>
        </w:rPr>
        <w:t>13</w:t>
      </w:r>
      <w:r>
        <w:t>人的项目服务团队（包括项目经理</w:t>
      </w:r>
      <w:r>
        <w:rPr>
          <w:rFonts w:hint="eastAsia"/>
        </w:rPr>
        <w:t>、研发及实施人员、数据加工人员、测试人员</w:t>
      </w:r>
      <w:r>
        <w:t>等），</w:t>
      </w:r>
      <w:r>
        <w:rPr>
          <w:rFonts w:hint="eastAsia"/>
          <w:lang w:eastAsia="zh-CN"/>
        </w:rPr>
        <w:t>响应供应商</w:t>
      </w:r>
      <w:r>
        <w:t>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123"/>
        <w:gridCol w:w="1180"/>
        <w:gridCol w:w="2222"/>
        <w:gridCol w:w="1180"/>
      </w:tblGrid>
      <w:tr w14:paraId="4B8B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45C82AF">
            <w:pPr>
              <w:widowControl/>
              <w:spacing w:line="240" w:lineRule="auto"/>
              <w:ind w:firstLine="0" w:firstLineChars="0"/>
              <w:jc w:val="center"/>
              <w:rPr>
                <w:b/>
              </w:rPr>
            </w:pPr>
            <w:bookmarkStart w:id="33" w:name="_Hlk187958969"/>
            <w:r>
              <w:rPr>
                <w:rFonts w:hint="eastAsia"/>
                <w:b/>
              </w:rPr>
              <w:t>角色</w:t>
            </w:r>
          </w:p>
        </w:tc>
        <w:tc>
          <w:tcPr>
            <w:tcW w:w="2123" w:type="dxa"/>
            <w:noWrap/>
            <w:vAlign w:val="center"/>
          </w:tcPr>
          <w:p w14:paraId="4C0E6491">
            <w:pPr>
              <w:widowControl/>
              <w:spacing w:line="240" w:lineRule="auto"/>
              <w:ind w:firstLine="0" w:firstLineChars="0"/>
              <w:jc w:val="center"/>
              <w:rPr>
                <w:b/>
              </w:rPr>
            </w:pPr>
            <w:r>
              <w:rPr>
                <w:rFonts w:hint="eastAsia"/>
                <w:b/>
              </w:rPr>
              <w:t>主要职责</w:t>
            </w:r>
          </w:p>
        </w:tc>
        <w:tc>
          <w:tcPr>
            <w:tcW w:w="1180" w:type="dxa"/>
            <w:noWrap/>
            <w:vAlign w:val="center"/>
          </w:tcPr>
          <w:p w14:paraId="5F34E537">
            <w:pPr>
              <w:widowControl/>
              <w:spacing w:line="240" w:lineRule="auto"/>
              <w:ind w:firstLine="0" w:firstLineChars="0"/>
              <w:jc w:val="center"/>
              <w:rPr>
                <w:b/>
              </w:rPr>
            </w:pPr>
            <w:r>
              <w:rPr>
                <w:rFonts w:hint="eastAsia"/>
                <w:b/>
              </w:rPr>
              <w:t>人员数量</w:t>
            </w:r>
          </w:p>
        </w:tc>
        <w:tc>
          <w:tcPr>
            <w:tcW w:w="2222" w:type="dxa"/>
            <w:vAlign w:val="center"/>
          </w:tcPr>
          <w:p w14:paraId="0B4A6752">
            <w:pPr>
              <w:widowControl/>
              <w:spacing w:line="240" w:lineRule="auto"/>
              <w:ind w:firstLine="0" w:firstLineChars="0"/>
              <w:jc w:val="center"/>
              <w:rPr>
                <w:b/>
              </w:rPr>
            </w:pPr>
            <w:r>
              <w:rPr>
                <w:rFonts w:hint="eastAsia"/>
                <w:b/>
              </w:rPr>
              <w:t>人员要求</w:t>
            </w:r>
          </w:p>
        </w:tc>
        <w:tc>
          <w:tcPr>
            <w:tcW w:w="1180" w:type="dxa"/>
            <w:noWrap/>
            <w:vAlign w:val="center"/>
          </w:tcPr>
          <w:p w14:paraId="406A5D53">
            <w:pPr>
              <w:widowControl/>
              <w:spacing w:line="240" w:lineRule="auto"/>
              <w:ind w:firstLine="0" w:firstLineChars="0"/>
              <w:jc w:val="center"/>
              <w:rPr>
                <w:b/>
              </w:rPr>
            </w:pPr>
            <w:r>
              <w:rPr>
                <w:rFonts w:hint="eastAsia"/>
                <w:b/>
              </w:rPr>
              <w:t>驻场要求</w:t>
            </w:r>
          </w:p>
        </w:tc>
      </w:tr>
      <w:tr w14:paraId="1E2D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32EE3A3B">
            <w:pPr>
              <w:widowControl/>
              <w:spacing w:line="240" w:lineRule="auto"/>
              <w:ind w:firstLine="0" w:firstLineChars="0"/>
              <w:jc w:val="center"/>
            </w:pPr>
            <w:r>
              <w:rPr>
                <w:rFonts w:hint="eastAsia"/>
              </w:rPr>
              <w:t>项目经理</w:t>
            </w:r>
          </w:p>
        </w:tc>
        <w:tc>
          <w:tcPr>
            <w:tcW w:w="2123" w:type="dxa"/>
            <w:vAlign w:val="center"/>
          </w:tcPr>
          <w:p w14:paraId="783CA752">
            <w:pPr>
              <w:widowControl/>
              <w:spacing w:line="240" w:lineRule="auto"/>
              <w:ind w:firstLine="0" w:firstLineChars="0"/>
              <w:jc w:val="center"/>
            </w:pPr>
            <w:r>
              <w:rPr>
                <w:rFonts w:hint="eastAsia"/>
              </w:rPr>
              <w:t>负责项目质量和进度控制</w:t>
            </w:r>
          </w:p>
        </w:tc>
        <w:tc>
          <w:tcPr>
            <w:tcW w:w="1180" w:type="dxa"/>
            <w:noWrap/>
            <w:vAlign w:val="center"/>
          </w:tcPr>
          <w:p w14:paraId="49EBF657">
            <w:pPr>
              <w:widowControl/>
              <w:spacing w:line="240" w:lineRule="auto"/>
              <w:ind w:firstLine="0" w:firstLineChars="0"/>
              <w:jc w:val="center"/>
            </w:pPr>
            <w:r>
              <w:rPr>
                <w:rFonts w:hint="eastAsia"/>
              </w:rPr>
              <w:t>1人</w:t>
            </w:r>
          </w:p>
        </w:tc>
        <w:tc>
          <w:tcPr>
            <w:tcW w:w="2222" w:type="dxa"/>
            <w:vAlign w:val="center"/>
          </w:tcPr>
          <w:p w14:paraId="7C5643B0">
            <w:pPr>
              <w:widowControl/>
              <w:spacing w:line="240" w:lineRule="auto"/>
              <w:ind w:firstLine="0" w:firstLineChars="0"/>
              <w:jc w:val="center"/>
            </w:pPr>
            <w:r>
              <w:rPr>
                <w:rFonts w:hint="eastAsia"/>
              </w:rPr>
              <w:t>本科及以上学历，具备信息系统项目管理师</w:t>
            </w:r>
            <w:r>
              <w:rPr>
                <w:rFonts w:hint="eastAsia"/>
                <w:lang w:eastAsia="zh-CN"/>
              </w:rPr>
              <w:t>（高级）</w:t>
            </w:r>
            <w:r>
              <w:rPr>
                <w:rFonts w:hint="eastAsia"/>
              </w:rPr>
              <w:t>证书</w:t>
            </w:r>
          </w:p>
        </w:tc>
        <w:tc>
          <w:tcPr>
            <w:tcW w:w="1180" w:type="dxa"/>
            <w:noWrap/>
            <w:vAlign w:val="center"/>
          </w:tcPr>
          <w:p w14:paraId="146FC036">
            <w:pPr>
              <w:widowControl/>
              <w:spacing w:line="240" w:lineRule="auto"/>
              <w:ind w:firstLine="0" w:firstLineChars="0"/>
              <w:jc w:val="center"/>
            </w:pPr>
            <w:r>
              <w:rPr>
                <w:rFonts w:hint="eastAsia"/>
              </w:rPr>
              <w:t>驻场</w:t>
            </w:r>
          </w:p>
        </w:tc>
      </w:tr>
      <w:tr w14:paraId="5107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52E4F8E9">
            <w:pPr>
              <w:widowControl/>
              <w:spacing w:line="240" w:lineRule="auto"/>
              <w:ind w:firstLine="0" w:firstLineChars="0"/>
              <w:jc w:val="center"/>
            </w:pPr>
            <w:r>
              <w:rPr>
                <w:rFonts w:hint="eastAsia"/>
              </w:rPr>
              <w:t>研发及实施</w:t>
            </w:r>
          </w:p>
        </w:tc>
        <w:tc>
          <w:tcPr>
            <w:tcW w:w="2123" w:type="dxa"/>
            <w:vAlign w:val="center"/>
          </w:tcPr>
          <w:p w14:paraId="352DD7D7">
            <w:pPr>
              <w:widowControl/>
              <w:spacing w:line="240" w:lineRule="auto"/>
              <w:ind w:firstLine="0" w:firstLineChars="0"/>
              <w:jc w:val="center"/>
            </w:pPr>
            <w:r>
              <w:rPr>
                <w:rFonts w:hint="eastAsia"/>
              </w:rPr>
              <w:t>负责项目具体开发、设计与实施</w:t>
            </w:r>
          </w:p>
        </w:tc>
        <w:tc>
          <w:tcPr>
            <w:tcW w:w="1180" w:type="dxa"/>
            <w:noWrap/>
            <w:vAlign w:val="center"/>
          </w:tcPr>
          <w:p w14:paraId="3ABE1ABD">
            <w:pPr>
              <w:widowControl/>
              <w:spacing w:line="240" w:lineRule="auto"/>
              <w:ind w:firstLine="0" w:firstLineChars="0"/>
              <w:jc w:val="center"/>
            </w:pPr>
            <w:r>
              <w:rPr>
                <w:rFonts w:hint="eastAsia"/>
              </w:rPr>
              <w:t>10人</w:t>
            </w:r>
          </w:p>
        </w:tc>
        <w:tc>
          <w:tcPr>
            <w:tcW w:w="2222" w:type="dxa"/>
            <w:vAlign w:val="center"/>
          </w:tcPr>
          <w:p w14:paraId="2A149104">
            <w:pPr>
              <w:widowControl/>
              <w:spacing w:line="240" w:lineRule="auto"/>
              <w:ind w:firstLine="0" w:firstLineChars="0"/>
              <w:jc w:val="center"/>
            </w:pPr>
            <w:r>
              <w:rPr>
                <w:rFonts w:hint="eastAsia"/>
              </w:rPr>
              <w:t>本科及以上学历且工作经验不少于3年</w:t>
            </w:r>
          </w:p>
        </w:tc>
        <w:tc>
          <w:tcPr>
            <w:tcW w:w="1180" w:type="dxa"/>
            <w:noWrap/>
            <w:vAlign w:val="center"/>
          </w:tcPr>
          <w:p w14:paraId="720BFD73">
            <w:pPr>
              <w:widowControl/>
              <w:spacing w:line="240" w:lineRule="auto"/>
              <w:ind w:firstLine="0" w:firstLineChars="0"/>
              <w:jc w:val="center"/>
            </w:pPr>
            <w:r>
              <w:rPr>
                <w:rFonts w:hint="eastAsia"/>
              </w:rPr>
              <w:t>不驻场</w:t>
            </w:r>
          </w:p>
        </w:tc>
      </w:tr>
      <w:tr w14:paraId="0C53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63FEFAE">
            <w:pPr>
              <w:widowControl/>
              <w:spacing w:line="240" w:lineRule="auto"/>
              <w:ind w:firstLine="0" w:firstLineChars="0"/>
              <w:jc w:val="center"/>
            </w:pPr>
            <w:r>
              <w:rPr>
                <w:rFonts w:hint="eastAsia"/>
              </w:rPr>
              <w:t>数据加工人员</w:t>
            </w:r>
          </w:p>
        </w:tc>
        <w:tc>
          <w:tcPr>
            <w:tcW w:w="2123" w:type="dxa"/>
            <w:vAlign w:val="center"/>
          </w:tcPr>
          <w:p w14:paraId="2DDAA6A7">
            <w:pPr>
              <w:widowControl/>
              <w:spacing w:line="240" w:lineRule="auto"/>
              <w:ind w:firstLine="0" w:firstLineChars="0"/>
              <w:jc w:val="center"/>
            </w:pPr>
            <w:r>
              <w:rPr>
                <w:rFonts w:hint="eastAsia"/>
              </w:rPr>
              <w:t>负责项目中数据加工的具体实施</w:t>
            </w:r>
          </w:p>
        </w:tc>
        <w:tc>
          <w:tcPr>
            <w:tcW w:w="1180" w:type="dxa"/>
            <w:noWrap/>
            <w:vAlign w:val="center"/>
          </w:tcPr>
          <w:p w14:paraId="3838103D">
            <w:pPr>
              <w:widowControl/>
              <w:spacing w:line="240" w:lineRule="auto"/>
              <w:ind w:firstLine="0" w:firstLineChars="0"/>
              <w:jc w:val="center"/>
            </w:pPr>
            <w:r>
              <w:rPr>
                <w:rFonts w:hint="eastAsia"/>
              </w:rPr>
              <w:t>1人</w:t>
            </w:r>
          </w:p>
        </w:tc>
        <w:tc>
          <w:tcPr>
            <w:tcW w:w="2222" w:type="dxa"/>
            <w:vAlign w:val="center"/>
          </w:tcPr>
          <w:p w14:paraId="59D3B725">
            <w:pPr>
              <w:widowControl/>
              <w:spacing w:line="240" w:lineRule="auto"/>
              <w:ind w:firstLine="0" w:firstLineChars="0"/>
              <w:jc w:val="center"/>
            </w:pPr>
            <w:r>
              <w:rPr>
                <w:rFonts w:hint="eastAsia"/>
              </w:rPr>
              <w:t>本科及以上学历，具备数据库系统工程师（中级）证书</w:t>
            </w:r>
            <w:r>
              <w:rPr>
                <w:rFonts w:hint="eastAsia"/>
                <w:lang w:eastAsia="zh-CN"/>
              </w:rPr>
              <w:t>，</w:t>
            </w:r>
            <w:r>
              <w:rPr>
                <w:rFonts w:hint="eastAsia"/>
              </w:rPr>
              <w:t>工作经验不少于3年</w:t>
            </w:r>
          </w:p>
        </w:tc>
        <w:tc>
          <w:tcPr>
            <w:tcW w:w="1180" w:type="dxa"/>
            <w:noWrap/>
            <w:vAlign w:val="center"/>
          </w:tcPr>
          <w:p w14:paraId="2A25EF1E">
            <w:pPr>
              <w:widowControl/>
              <w:spacing w:line="240" w:lineRule="auto"/>
              <w:ind w:firstLine="0" w:firstLineChars="0"/>
              <w:jc w:val="center"/>
            </w:pPr>
            <w:r>
              <w:rPr>
                <w:rFonts w:hint="eastAsia"/>
              </w:rPr>
              <w:t>驻场</w:t>
            </w:r>
          </w:p>
        </w:tc>
      </w:tr>
      <w:tr w14:paraId="3FFA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C54B3C1">
            <w:pPr>
              <w:widowControl/>
              <w:spacing w:line="240" w:lineRule="auto"/>
              <w:ind w:firstLine="0" w:firstLineChars="0"/>
              <w:jc w:val="center"/>
            </w:pPr>
            <w:r>
              <w:rPr>
                <w:rFonts w:hint="eastAsia"/>
              </w:rPr>
              <w:t>测试人员</w:t>
            </w:r>
          </w:p>
        </w:tc>
        <w:tc>
          <w:tcPr>
            <w:tcW w:w="2123" w:type="dxa"/>
            <w:noWrap/>
            <w:vAlign w:val="center"/>
          </w:tcPr>
          <w:p w14:paraId="0880E528">
            <w:pPr>
              <w:widowControl/>
              <w:spacing w:line="240" w:lineRule="auto"/>
              <w:ind w:firstLine="0" w:firstLineChars="0"/>
              <w:jc w:val="center"/>
            </w:pPr>
            <w:r>
              <w:rPr>
                <w:rFonts w:hint="eastAsia"/>
              </w:rPr>
              <w:t>负责项目测试工作</w:t>
            </w:r>
          </w:p>
        </w:tc>
        <w:tc>
          <w:tcPr>
            <w:tcW w:w="1180" w:type="dxa"/>
            <w:noWrap/>
            <w:vAlign w:val="center"/>
          </w:tcPr>
          <w:p w14:paraId="53E3F4B0">
            <w:pPr>
              <w:widowControl/>
              <w:spacing w:line="240" w:lineRule="auto"/>
              <w:ind w:firstLine="0" w:firstLineChars="0"/>
              <w:jc w:val="center"/>
            </w:pPr>
            <w:r>
              <w:rPr>
                <w:rFonts w:hint="eastAsia"/>
              </w:rPr>
              <w:t>1人</w:t>
            </w:r>
          </w:p>
        </w:tc>
        <w:tc>
          <w:tcPr>
            <w:tcW w:w="2222" w:type="dxa"/>
            <w:vAlign w:val="center"/>
          </w:tcPr>
          <w:p w14:paraId="6B2EF6E0">
            <w:pPr>
              <w:widowControl/>
              <w:spacing w:line="240" w:lineRule="auto"/>
              <w:ind w:firstLine="0" w:firstLineChars="0"/>
              <w:jc w:val="center"/>
            </w:pPr>
            <w:r>
              <w:rPr>
                <w:rFonts w:hint="eastAsia"/>
              </w:rPr>
              <w:t>本科及以上学历且工作经验不少于3年</w:t>
            </w:r>
          </w:p>
        </w:tc>
        <w:tc>
          <w:tcPr>
            <w:tcW w:w="1180" w:type="dxa"/>
            <w:noWrap/>
            <w:vAlign w:val="center"/>
          </w:tcPr>
          <w:p w14:paraId="03C1E1A5">
            <w:pPr>
              <w:widowControl/>
              <w:spacing w:line="240" w:lineRule="auto"/>
              <w:ind w:firstLine="0" w:firstLineChars="0"/>
              <w:jc w:val="center"/>
            </w:pPr>
            <w:r>
              <w:rPr>
                <w:rFonts w:hint="eastAsia"/>
              </w:rPr>
              <w:t>不驻场</w:t>
            </w:r>
          </w:p>
        </w:tc>
      </w:tr>
      <w:bookmarkEnd w:id="33"/>
    </w:tbl>
    <w:p w14:paraId="3C1D1B40">
      <w:r>
        <w:t>2）</w:t>
      </w:r>
      <w:r>
        <w:rPr>
          <w:rFonts w:hint="eastAsia"/>
          <w:lang w:eastAsia="zh-CN"/>
        </w:rPr>
        <w:t>响应供应商</w:t>
      </w:r>
      <w:r>
        <w:t>应针对本项目提供不少于</w:t>
      </w:r>
      <w:r>
        <w:rPr>
          <w:rFonts w:hint="eastAsia"/>
        </w:rPr>
        <w:t>2</w:t>
      </w:r>
      <w:r>
        <w:t>人的质保期间支撑团队（其中技术工程师不少于</w:t>
      </w:r>
      <w:r>
        <w:rPr>
          <w:rFonts w:hint="eastAsia"/>
        </w:rPr>
        <w:t>2</w:t>
      </w:r>
      <w:r>
        <w:t>人）；</w:t>
      </w:r>
      <w:r>
        <w:rPr>
          <w:rFonts w:hint="eastAsia"/>
          <w:lang w:eastAsia="zh-CN"/>
        </w:rPr>
        <w:t>响应供应商</w:t>
      </w:r>
      <w:r>
        <w:t>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781"/>
        <w:gridCol w:w="1180"/>
        <w:gridCol w:w="1745"/>
        <w:gridCol w:w="1180"/>
      </w:tblGrid>
      <w:tr w14:paraId="333E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40E50C01">
            <w:pPr>
              <w:widowControl/>
              <w:spacing w:line="240" w:lineRule="auto"/>
              <w:ind w:firstLine="0" w:firstLineChars="0"/>
              <w:jc w:val="center"/>
              <w:rPr>
                <w:b/>
              </w:rPr>
            </w:pPr>
            <w:bookmarkStart w:id="34" w:name="_Toc63785511"/>
            <w:r>
              <w:rPr>
                <w:rFonts w:hint="eastAsia"/>
                <w:b/>
              </w:rPr>
              <w:t>角色</w:t>
            </w:r>
          </w:p>
        </w:tc>
        <w:tc>
          <w:tcPr>
            <w:tcW w:w="2781" w:type="dxa"/>
            <w:noWrap/>
            <w:vAlign w:val="center"/>
          </w:tcPr>
          <w:p w14:paraId="2E0A6A24">
            <w:pPr>
              <w:widowControl/>
              <w:spacing w:line="240" w:lineRule="auto"/>
              <w:ind w:firstLine="0" w:firstLineChars="0"/>
              <w:jc w:val="center"/>
              <w:rPr>
                <w:b/>
              </w:rPr>
            </w:pPr>
            <w:r>
              <w:rPr>
                <w:rFonts w:hint="eastAsia"/>
                <w:b/>
              </w:rPr>
              <w:t>主要职责</w:t>
            </w:r>
          </w:p>
        </w:tc>
        <w:tc>
          <w:tcPr>
            <w:tcW w:w="1180" w:type="dxa"/>
            <w:noWrap/>
            <w:vAlign w:val="center"/>
          </w:tcPr>
          <w:p w14:paraId="6096B082">
            <w:pPr>
              <w:widowControl/>
              <w:spacing w:line="240" w:lineRule="auto"/>
              <w:ind w:firstLine="0" w:firstLineChars="0"/>
              <w:jc w:val="center"/>
              <w:rPr>
                <w:b/>
              </w:rPr>
            </w:pPr>
            <w:r>
              <w:rPr>
                <w:rFonts w:hint="eastAsia"/>
                <w:b/>
              </w:rPr>
              <w:t>人员数量</w:t>
            </w:r>
          </w:p>
        </w:tc>
        <w:tc>
          <w:tcPr>
            <w:tcW w:w="1745" w:type="dxa"/>
            <w:vAlign w:val="center"/>
          </w:tcPr>
          <w:p w14:paraId="0FFE455E">
            <w:pPr>
              <w:widowControl/>
              <w:spacing w:line="240" w:lineRule="auto"/>
              <w:ind w:firstLine="0" w:firstLineChars="0"/>
              <w:jc w:val="center"/>
              <w:rPr>
                <w:b/>
              </w:rPr>
            </w:pPr>
            <w:r>
              <w:rPr>
                <w:rFonts w:hint="eastAsia"/>
                <w:b/>
              </w:rPr>
              <w:t>人员要求</w:t>
            </w:r>
          </w:p>
        </w:tc>
        <w:tc>
          <w:tcPr>
            <w:tcW w:w="1180" w:type="dxa"/>
            <w:noWrap/>
            <w:vAlign w:val="center"/>
          </w:tcPr>
          <w:p w14:paraId="28B7EE55">
            <w:pPr>
              <w:widowControl/>
              <w:spacing w:line="240" w:lineRule="auto"/>
              <w:ind w:firstLine="0" w:firstLineChars="0"/>
              <w:jc w:val="center"/>
              <w:rPr>
                <w:b/>
              </w:rPr>
            </w:pPr>
            <w:r>
              <w:rPr>
                <w:rFonts w:hint="eastAsia"/>
                <w:b/>
              </w:rPr>
              <w:t>驻场要求</w:t>
            </w:r>
          </w:p>
        </w:tc>
      </w:tr>
      <w:tr w14:paraId="7A97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24E1DBF">
            <w:pPr>
              <w:widowControl/>
              <w:spacing w:line="240" w:lineRule="auto"/>
              <w:ind w:firstLine="0" w:firstLineChars="0"/>
              <w:jc w:val="center"/>
            </w:pPr>
            <w:r>
              <w:rPr>
                <w:rFonts w:hint="eastAsia"/>
              </w:rPr>
              <w:t>技术工程师</w:t>
            </w:r>
          </w:p>
        </w:tc>
        <w:tc>
          <w:tcPr>
            <w:tcW w:w="2781" w:type="dxa"/>
            <w:noWrap/>
            <w:vAlign w:val="center"/>
          </w:tcPr>
          <w:p w14:paraId="59D7E60D">
            <w:pPr>
              <w:widowControl/>
              <w:spacing w:line="240" w:lineRule="auto"/>
              <w:ind w:firstLine="0" w:firstLineChars="0"/>
              <w:jc w:val="center"/>
            </w:pPr>
            <w:r>
              <w:rPr>
                <w:rFonts w:hint="eastAsia"/>
              </w:rPr>
              <w:t>负责项目运行维护</w:t>
            </w:r>
          </w:p>
        </w:tc>
        <w:tc>
          <w:tcPr>
            <w:tcW w:w="1180" w:type="dxa"/>
            <w:noWrap/>
            <w:vAlign w:val="center"/>
          </w:tcPr>
          <w:p w14:paraId="4AA16D5E">
            <w:pPr>
              <w:widowControl/>
              <w:spacing w:line="240" w:lineRule="auto"/>
              <w:ind w:firstLine="0" w:firstLineChars="0"/>
              <w:jc w:val="center"/>
            </w:pPr>
            <w:r>
              <w:rPr>
                <w:rFonts w:hint="eastAsia"/>
              </w:rPr>
              <w:t>2人</w:t>
            </w:r>
          </w:p>
        </w:tc>
        <w:tc>
          <w:tcPr>
            <w:tcW w:w="1745" w:type="dxa"/>
          </w:tcPr>
          <w:p w14:paraId="2DED9786">
            <w:pPr>
              <w:widowControl/>
              <w:spacing w:line="240" w:lineRule="auto"/>
              <w:ind w:firstLine="0" w:firstLineChars="0"/>
              <w:jc w:val="center"/>
            </w:pPr>
            <w:r>
              <w:rPr>
                <w:rFonts w:hint="eastAsia"/>
              </w:rPr>
              <w:t>本科及以上学历</w:t>
            </w:r>
          </w:p>
        </w:tc>
        <w:tc>
          <w:tcPr>
            <w:tcW w:w="1180" w:type="dxa"/>
            <w:noWrap/>
            <w:vAlign w:val="center"/>
          </w:tcPr>
          <w:p w14:paraId="0EDACA7F">
            <w:pPr>
              <w:widowControl/>
              <w:spacing w:line="240" w:lineRule="auto"/>
              <w:ind w:firstLine="0" w:firstLineChars="0"/>
              <w:jc w:val="center"/>
            </w:pPr>
            <w:r>
              <w:rPr>
                <w:rFonts w:hint="eastAsia"/>
              </w:rPr>
              <w:t>1人驻场</w:t>
            </w:r>
          </w:p>
        </w:tc>
      </w:tr>
    </w:tbl>
    <w:p w14:paraId="59B4C446">
      <w:pPr>
        <w:pStyle w:val="3"/>
      </w:pPr>
      <w:r>
        <w:t>等级保护要求</w:t>
      </w:r>
      <w:bookmarkEnd w:id="34"/>
    </w:p>
    <w:p w14:paraId="7112E424">
      <w:r>
        <w:t>本项目等级保护要求： 参照</w:t>
      </w:r>
      <w:r>
        <w:rPr>
          <w:rFonts w:hint="eastAsia"/>
        </w:rPr>
        <w:t>等保三级</w:t>
      </w:r>
      <w:r>
        <w:t>要求建设。</w:t>
      </w:r>
    </w:p>
    <w:p w14:paraId="2E64C7F0">
      <w:pPr>
        <w:pStyle w:val="3"/>
      </w:pPr>
      <w:r>
        <w:rPr>
          <w:rFonts w:hint="eastAsia"/>
        </w:rPr>
        <w:t>商业密码应用需求</w:t>
      </w:r>
    </w:p>
    <w:p w14:paraId="05D89A44">
      <w:bookmarkStart w:id="35" w:name="_Toc63785512"/>
      <w:r>
        <w:rPr>
          <w:rFonts w:hint="eastAsia"/>
        </w:rPr>
        <w:t>满足商业密码应用建设要求，并通过商业密码应用安全测评。</w:t>
      </w:r>
    </w:p>
    <w:p w14:paraId="0853C4C9">
      <w:pPr>
        <w:pStyle w:val="3"/>
      </w:pPr>
      <w:r>
        <w:rPr>
          <w:rFonts w:hint="eastAsia"/>
        </w:rPr>
        <w:t>技术文件要求</w:t>
      </w:r>
    </w:p>
    <w:p w14:paraId="10B118C8">
      <w:r>
        <w:rPr>
          <w:rFonts w:hint="eastAsia"/>
          <w:lang w:eastAsia="zh-CN"/>
        </w:rPr>
        <w:t>响应供应商</w:t>
      </w:r>
      <w:r>
        <w:rPr>
          <w:rFonts w:hint="eastAsia"/>
        </w:rPr>
        <w:t>提供的书面技术资料应能确保系统正常运行所需的管理、运营及维护有关的全套文件。技术文件应该全面、完整、详细。</w:t>
      </w:r>
      <w:r>
        <w:rPr>
          <w:rFonts w:hint="eastAsia"/>
          <w:lang w:eastAsia="zh-CN"/>
        </w:rPr>
        <w:t>响应供应商</w:t>
      </w:r>
      <w:r>
        <w:rPr>
          <w:rFonts w:hint="eastAsia"/>
        </w:rPr>
        <w:t>提供的技术文件至少应包括：</w:t>
      </w:r>
    </w:p>
    <w:p w14:paraId="75106840">
      <w:r>
        <w:rPr>
          <w:rFonts w:hint="eastAsia"/>
        </w:rPr>
        <w:t>－</w:t>
      </w:r>
      <w:r>
        <w:t xml:space="preserve"> 系统说明文件； </w:t>
      </w:r>
    </w:p>
    <w:p w14:paraId="117C56EA">
      <w:r>
        <w:rPr>
          <w:rFonts w:hint="eastAsia"/>
        </w:rPr>
        <w:t>－</w:t>
      </w:r>
      <w:r>
        <w:t xml:space="preserve"> 技术手册(安装、测试、操作、维护、故障排除等)； </w:t>
      </w:r>
    </w:p>
    <w:p w14:paraId="6A1F05A1">
      <w:r>
        <w:rPr>
          <w:rFonts w:hint="eastAsia"/>
        </w:rPr>
        <w:t>－</w:t>
      </w:r>
      <w:r>
        <w:t xml:space="preserve"> 项目文档，应该包括：</w:t>
      </w:r>
    </w:p>
    <w:p w14:paraId="4327DB4A">
      <w:pPr>
        <w:ind w:left="360"/>
      </w:pPr>
      <w:r>
        <w:t>(1)软件需求说明书</w:t>
      </w:r>
    </w:p>
    <w:p w14:paraId="6B146BA4">
      <w:pPr>
        <w:ind w:left="360"/>
      </w:pPr>
      <w:r>
        <w:t>(2)</w:t>
      </w:r>
      <w:r>
        <w:tab/>
      </w:r>
      <w:r>
        <w:t>系统总体设计说明书</w:t>
      </w:r>
    </w:p>
    <w:p w14:paraId="0972508B">
      <w:pPr>
        <w:ind w:left="360"/>
      </w:pPr>
      <w:r>
        <w:t>(3)</w:t>
      </w:r>
      <w:r>
        <w:tab/>
      </w:r>
      <w:r>
        <w:t>应用软件功能清单</w:t>
      </w:r>
    </w:p>
    <w:p w14:paraId="01888F96">
      <w:r>
        <w:rPr>
          <w:rFonts w:hint="eastAsia"/>
        </w:rPr>
        <w:t>提供全套技术文件纸介质</w:t>
      </w:r>
      <w:r>
        <w:t>3套以及电子文件1套。</w:t>
      </w:r>
    </w:p>
    <w:p w14:paraId="6EF90B9C">
      <w:pPr>
        <w:pStyle w:val="2"/>
      </w:pPr>
      <w:r>
        <w:rPr>
          <w:rFonts w:hint="eastAsia"/>
        </w:rPr>
        <w:t>供应商资质要求</w:t>
      </w:r>
    </w:p>
    <w:p w14:paraId="44FCE29C">
      <w:r>
        <w:t>1、符合《中华人民共和国政府采购法》第二十二条规定的供应商。</w:t>
      </w:r>
    </w:p>
    <w:p w14:paraId="348E5A0E">
      <w:r>
        <w:t>2、根据《上海市政府采购供应商登记及诚信管理办法》已登记入库的供应商。</w:t>
      </w:r>
    </w:p>
    <w:p w14:paraId="5421ADB1">
      <w:r>
        <w:t>3、其他资格要求：</w:t>
      </w:r>
    </w:p>
    <w:p w14:paraId="2B113AA4">
      <w:r>
        <w:t>3.</w:t>
      </w:r>
      <w:r>
        <w:rPr>
          <w:rFonts w:hint="eastAsia"/>
        </w:rPr>
        <w:t>1</w:t>
      </w:r>
      <w:r>
        <w:t>本项目面向大、中、小、微型等各类供应商采购。</w:t>
      </w:r>
    </w:p>
    <w:p w14:paraId="4F03692A">
      <w:r>
        <w:t>3.</w:t>
      </w:r>
      <w:r>
        <w:rPr>
          <w:rFonts w:hint="eastAsia"/>
        </w:rPr>
        <w:t>2</w:t>
      </w:r>
      <w:r>
        <w:t>未被列入“信用中国”网站(www.creditchina.gov.cn)失信被执行人名单、重大税收违法案件当事人名单和中国政府采购网(www.ccgp.gov.cn)政府采购严重违法失信行为记录名单。</w:t>
      </w:r>
    </w:p>
    <w:p w14:paraId="50E643F4">
      <w:pPr>
        <w:pStyle w:val="2"/>
      </w:pPr>
      <w:r>
        <w:rPr>
          <w:rFonts w:hint="eastAsia"/>
        </w:rPr>
        <w:t>供应商管理要求</w:t>
      </w:r>
      <w:bookmarkEnd w:id="35"/>
    </w:p>
    <w:p w14:paraId="04B98577">
      <w:pPr>
        <w:pStyle w:val="80"/>
        <w:ind w:firstLine="480"/>
        <w:rPr>
          <w:sz w:val="24"/>
          <w:szCs w:val="24"/>
        </w:rPr>
      </w:pPr>
      <w:r>
        <w:rPr>
          <w:rFonts w:hint="eastAsia"/>
          <w:sz w:val="24"/>
          <w:szCs w:val="24"/>
        </w:rPr>
        <w:t>1、在项目实施期间，</w:t>
      </w:r>
      <w:r>
        <w:rPr>
          <w:rFonts w:hint="eastAsia"/>
          <w:sz w:val="24"/>
          <w:szCs w:val="24"/>
          <w:lang w:eastAsia="zh-CN"/>
        </w:rPr>
        <w:t>成交供应商</w:t>
      </w:r>
      <w:r>
        <w:rPr>
          <w:rFonts w:hint="eastAsia"/>
          <w:sz w:val="24"/>
          <w:szCs w:val="24"/>
        </w:rPr>
        <w:t>应严格执行国家、地方、行业有关本项目业务管理和安全作业的法律、法规和制度并按规定承担相应的费用。</w:t>
      </w:r>
      <w:r>
        <w:rPr>
          <w:rFonts w:hint="eastAsia"/>
          <w:sz w:val="24"/>
          <w:szCs w:val="24"/>
          <w:lang w:eastAsia="zh-CN"/>
        </w:rPr>
        <w:t>成交供应商</w:t>
      </w:r>
      <w:r>
        <w:rPr>
          <w:rFonts w:hint="eastAsia"/>
          <w:sz w:val="24"/>
          <w:szCs w:val="24"/>
        </w:rPr>
        <w:t>因违反规定等原因造成的一切损失和责任由</w:t>
      </w:r>
      <w:r>
        <w:rPr>
          <w:rFonts w:hint="eastAsia"/>
          <w:sz w:val="24"/>
          <w:szCs w:val="24"/>
          <w:lang w:eastAsia="zh-CN"/>
        </w:rPr>
        <w:t>成交供应商</w:t>
      </w:r>
      <w:r>
        <w:rPr>
          <w:rFonts w:hint="eastAsia"/>
          <w:sz w:val="24"/>
          <w:szCs w:val="24"/>
        </w:rPr>
        <w:t>自行承担。</w:t>
      </w:r>
    </w:p>
    <w:p w14:paraId="5C41DFD9">
      <w:pPr>
        <w:pStyle w:val="80"/>
        <w:ind w:firstLine="480"/>
        <w:rPr>
          <w:sz w:val="24"/>
          <w:szCs w:val="24"/>
        </w:rPr>
      </w:pPr>
      <w:r>
        <w:rPr>
          <w:rFonts w:hint="eastAsia"/>
          <w:sz w:val="24"/>
          <w:szCs w:val="24"/>
        </w:rPr>
        <w:t>2、</w:t>
      </w:r>
      <w:r>
        <w:rPr>
          <w:rFonts w:hint="eastAsia"/>
          <w:sz w:val="24"/>
          <w:szCs w:val="24"/>
          <w:lang w:eastAsia="zh-CN"/>
        </w:rPr>
        <w:t>成交供应商</w:t>
      </w:r>
      <w:r>
        <w:rPr>
          <w:rFonts w:hint="eastAsia"/>
          <w:sz w:val="24"/>
          <w:szCs w:val="24"/>
        </w:rPr>
        <w:t>在响应</w:t>
      </w:r>
      <w:r>
        <w:rPr>
          <w:rFonts w:hint="eastAsia"/>
          <w:sz w:val="24"/>
          <w:szCs w:val="24"/>
          <w:lang w:eastAsia="zh-CN"/>
        </w:rPr>
        <w:t>文件</w:t>
      </w:r>
      <w:r>
        <w:rPr>
          <w:rFonts w:hint="eastAsia"/>
          <w:sz w:val="24"/>
          <w:szCs w:val="24"/>
        </w:rPr>
        <w:t>中承诺并经采购人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sz w:val="24"/>
          <w:szCs w:val="24"/>
          <w:lang w:eastAsia="zh-CN"/>
        </w:rPr>
        <w:t>成交供应商</w:t>
      </w:r>
      <w:r>
        <w:rPr>
          <w:rFonts w:hint="eastAsia"/>
          <w:sz w:val="24"/>
          <w:szCs w:val="24"/>
        </w:rPr>
        <w:t>不得调换或撤离上述人员。如采购人认为有必要，可要求</w:t>
      </w:r>
      <w:r>
        <w:rPr>
          <w:rFonts w:hint="eastAsia"/>
          <w:sz w:val="24"/>
          <w:szCs w:val="24"/>
          <w:lang w:eastAsia="zh-CN"/>
        </w:rPr>
        <w:t>成交供应商</w:t>
      </w:r>
      <w:r>
        <w:rPr>
          <w:rFonts w:hint="eastAsia"/>
          <w:sz w:val="24"/>
          <w:szCs w:val="24"/>
        </w:rPr>
        <w:t>对上述人员中的部分人员作出更好的调整。</w:t>
      </w:r>
    </w:p>
    <w:p w14:paraId="66357BD2">
      <w:pPr>
        <w:pStyle w:val="80"/>
        <w:ind w:firstLine="480"/>
        <w:rPr>
          <w:sz w:val="24"/>
          <w:szCs w:val="24"/>
        </w:rPr>
      </w:pPr>
      <w:r>
        <w:rPr>
          <w:rFonts w:hint="eastAsia"/>
          <w:sz w:val="24"/>
          <w:szCs w:val="24"/>
        </w:rPr>
        <w:t>3、</w:t>
      </w:r>
      <w:r>
        <w:rPr>
          <w:rFonts w:hint="eastAsia"/>
          <w:sz w:val="24"/>
          <w:szCs w:val="24"/>
          <w:lang w:eastAsia="zh-CN"/>
        </w:rPr>
        <w:t>成交供应商</w:t>
      </w:r>
      <w:r>
        <w:rPr>
          <w:rFonts w:hint="eastAsia"/>
          <w:sz w:val="24"/>
          <w:szCs w:val="24"/>
        </w:rPr>
        <w:t>在项目实施期间，应按项目实际进度与环节落实所对应项目整体及各环节管理工作，按照规范做好项目实施期间相关管理与实施记录。</w:t>
      </w:r>
    </w:p>
    <w:p w14:paraId="2CDC0806">
      <w:pPr>
        <w:pStyle w:val="80"/>
        <w:ind w:firstLine="480"/>
        <w:rPr>
          <w:sz w:val="24"/>
          <w:szCs w:val="24"/>
        </w:rPr>
      </w:pPr>
      <w:r>
        <w:rPr>
          <w:rFonts w:hint="eastAsia"/>
          <w:sz w:val="24"/>
          <w:szCs w:val="24"/>
        </w:rPr>
        <w:t>4、参与本项目的工作人员应严格遵循采购人的安全制度，保障采购人资料和设备的安全。</w:t>
      </w:r>
      <w:r>
        <w:rPr>
          <w:rFonts w:hint="eastAsia"/>
          <w:sz w:val="24"/>
          <w:szCs w:val="24"/>
          <w:lang w:eastAsia="zh-CN"/>
        </w:rPr>
        <w:t>成交供应商</w:t>
      </w:r>
      <w:r>
        <w:rPr>
          <w:rFonts w:hint="eastAsia"/>
          <w:sz w:val="24"/>
          <w:szCs w:val="24"/>
        </w:rPr>
        <w:t>如需进入采购人机房工作，只能在采购人规定的工作区域内对项目涉及的设备进行操作，严禁触动与项目无关的任何设备（包括任何操作行为），如需跨区操作必须得到采购人项目联系人确认。</w:t>
      </w:r>
    </w:p>
    <w:p w14:paraId="102C94C4">
      <w:pPr>
        <w:pStyle w:val="80"/>
        <w:ind w:firstLine="480"/>
        <w:rPr>
          <w:sz w:val="24"/>
          <w:szCs w:val="24"/>
        </w:rPr>
      </w:pPr>
      <w:r>
        <w:rPr>
          <w:rFonts w:hint="eastAsia"/>
          <w:sz w:val="24"/>
          <w:szCs w:val="24"/>
        </w:rPr>
        <w:t>5、</w:t>
      </w:r>
      <w:r>
        <w:rPr>
          <w:rFonts w:hint="eastAsia"/>
          <w:sz w:val="24"/>
          <w:szCs w:val="24"/>
          <w:lang w:eastAsia="zh-CN"/>
        </w:rPr>
        <w:t>成交供应商</w:t>
      </w:r>
      <w:r>
        <w:rPr>
          <w:rFonts w:hint="eastAsia"/>
          <w:sz w:val="24"/>
          <w:szCs w:val="24"/>
        </w:rPr>
        <w:t>在项目实施期间必须遵守采购人的规章制度并提供实施人员名单。</w:t>
      </w:r>
    </w:p>
    <w:p w14:paraId="1953DABA">
      <w:pPr>
        <w:pStyle w:val="80"/>
        <w:ind w:firstLine="480"/>
        <w:rPr>
          <w:sz w:val="24"/>
          <w:szCs w:val="24"/>
        </w:rPr>
      </w:pPr>
      <w:r>
        <w:rPr>
          <w:rFonts w:hint="eastAsia"/>
          <w:sz w:val="24"/>
          <w:szCs w:val="24"/>
        </w:rPr>
        <w:t>6、各响应</w:t>
      </w:r>
      <w:r>
        <w:rPr>
          <w:rFonts w:hint="eastAsia"/>
          <w:sz w:val="24"/>
          <w:szCs w:val="24"/>
          <w:lang w:eastAsia="zh-CN"/>
        </w:rPr>
        <w:t>供应商</w:t>
      </w:r>
      <w:r>
        <w:rPr>
          <w:rFonts w:hint="eastAsia"/>
          <w:sz w:val="24"/>
          <w:szCs w:val="24"/>
        </w:rPr>
        <w:t>在</w:t>
      </w:r>
      <w:r>
        <w:rPr>
          <w:rFonts w:hint="eastAsia"/>
          <w:sz w:val="24"/>
          <w:szCs w:val="24"/>
          <w:lang w:eastAsia="zh-CN"/>
        </w:rPr>
        <w:t>响应</w:t>
      </w:r>
      <w:r>
        <w:rPr>
          <w:rFonts w:hint="eastAsia"/>
          <w:sz w:val="24"/>
          <w:szCs w:val="24"/>
        </w:rPr>
        <w:t>文件中要结合本项目的特点和采购人上述的具体要求制定相应的管理措施，并在报价中列支相应的费用清单，响应</w:t>
      </w:r>
      <w:r>
        <w:rPr>
          <w:rFonts w:hint="eastAsia"/>
          <w:sz w:val="24"/>
          <w:szCs w:val="24"/>
          <w:lang w:eastAsia="zh-CN"/>
        </w:rPr>
        <w:t>供应商</w:t>
      </w:r>
      <w:r>
        <w:rPr>
          <w:rFonts w:hint="eastAsia"/>
          <w:sz w:val="24"/>
          <w:szCs w:val="24"/>
        </w:rPr>
        <w:t>报价中未列支上述费用清单的，上述费用视为已包含在响应</w:t>
      </w:r>
      <w:r>
        <w:rPr>
          <w:rFonts w:hint="eastAsia"/>
          <w:sz w:val="24"/>
          <w:szCs w:val="24"/>
          <w:lang w:eastAsia="zh-CN"/>
        </w:rPr>
        <w:t>供应商</w:t>
      </w:r>
      <w:r>
        <w:rPr>
          <w:rFonts w:hint="eastAsia"/>
          <w:sz w:val="24"/>
          <w:szCs w:val="24"/>
        </w:rPr>
        <w:t>的响应总报价中。</w:t>
      </w:r>
    </w:p>
    <w:p w14:paraId="40FADBE6">
      <w:pPr>
        <w:pStyle w:val="80"/>
        <w:ind w:firstLine="480"/>
      </w:pPr>
      <w:r>
        <w:rPr>
          <w:rFonts w:hint="eastAsia"/>
          <w:sz w:val="24"/>
          <w:szCs w:val="24"/>
        </w:rPr>
        <w:t>7、本项目软件开发及调试将纳入采购人的管理范围，</w:t>
      </w:r>
      <w:r>
        <w:rPr>
          <w:rFonts w:hint="eastAsia"/>
          <w:sz w:val="24"/>
          <w:szCs w:val="24"/>
          <w:lang w:eastAsia="zh-CN"/>
        </w:rPr>
        <w:t>成交供应商</w:t>
      </w:r>
      <w:r>
        <w:rPr>
          <w:rFonts w:hint="eastAsia"/>
          <w:sz w:val="24"/>
          <w:szCs w:val="24"/>
        </w:rPr>
        <w:t>在此过程中须服从上述单位的管理协调。</w:t>
      </w:r>
    </w:p>
    <w:p w14:paraId="72D2E796">
      <w:pPr>
        <w:pStyle w:val="80"/>
        <w:ind w:firstLine="420"/>
      </w:pPr>
    </w:p>
    <w:p w14:paraId="200B47F3">
      <w:pPr>
        <w:pStyle w:val="2"/>
      </w:pPr>
      <w:bookmarkStart w:id="36" w:name="_Toc63785513"/>
      <w:r>
        <w:rPr>
          <w:rFonts w:hint="eastAsia"/>
        </w:rPr>
        <w:t>关于转让和分包的规定</w:t>
      </w:r>
    </w:p>
    <w:p w14:paraId="3E119F9E">
      <w:pPr>
        <w:pStyle w:val="80"/>
        <w:ind w:firstLine="480"/>
        <w:rPr>
          <w:sz w:val="24"/>
          <w:szCs w:val="24"/>
        </w:rPr>
      </w:pPr>
      <w:r>
        <w:rPr>
          <w:rFonts w:hint="eastAsia"/>
          <w:sz w:val="24"/>
          <w:szCs w:val="24"/>
        </w:rPr>
        <w:t>本项目不得转让不得分包。</w:t>
      </w:r>
    </w:p>
    <w:p w14:paraId="5ACC9374">
      <w:pPr>
        <w:pStyle w:val="2"/>
      </w:pPr>
      <w:r>
        <w:rPr>
          <w:rFonts w:hint="eastAsia"/>
        </w:rPr>
        <w:t>知识产权及保密要求</w:t>
      </w:r>
      <w:bookmarkEnd w:id="36"/>
    </w:p>
    <w:p w14:paraId="7AC16B5D">
      <w:pPr>
        <w:ind w:firstLine="482"/>
        <w:rPr>
          <w:b/>
        </w:rPr>
      </w:pPr>
      <w:r>
        <w:rPr>
          <w:b/>
        </w:rPr>
        <w:t>1、</w:t>
      </w:r>
      <w:r>
        <w:rPr>
          <w:rFonts w:hint="eastAsia"/>
          <w:sz w:val="24"/>
          <w:szCs w:val="24"/>
          <w:lang w:eastAsia="zh-CN"/>
        </w:rPr>
        <w:t>成交供应商</w:t>
      </w:r>
      <w:r>
        <w:rPr>
          <w:b/>
        </w:rPr>
        <w:t>数据、文件、资料知识产权</w:t>
      </w:r>
    </w:p>
    <w:p w14:paraId="6940BFB3">
      <w:r>
        <w:rPr>
          <w:rFonts w:hint="eastAsia"/>
          <w:sz w:val="24"/>
          <w:szCs w:val="24"/>
          <w:lang w:eastAsia="zh-CN"/>
        </w:rPr>
        <w:t>成交供应商</w:t>
      </w:r>
      <w:r>
        <w:rPr>
          <w:rFonts w:hint="eastAsia"/>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sz w:val="24"/>
          <w:szCs w:val="24"/>
          <w:lang w:eastAsia="zh-CN"/>
        </w:rPr>
        <w:t>成交供应商</w:t>
      </w:r>
      <w:r>
        <w:rPr>
          <w:rFonts w:hint="eastAsia"/>
        </w:rPr>
        <w:t>应负责与第三方解决纠纷，若因此导致采购人损失的，采购人有权要求</w:t>
      </w:r>
      <w:r>
        <w:rPr>
          <w:rFonts w:hint="eastAsia"/>
          <w:lang w:eastAsia="zh-CN"/>
        </w:rPr>
        <w:t>成交供应商</w:t>
      </w:r>
      <w:r>
        <w:rPr>
          <w:rFonts w:hint="eastAsia"/>
        </w:rPr>
        <w:t>赔偿采购人因此遭受的全部损失，包括但不限于直接损失、间接损失、诉讼费／仲裁费、律师费、公证费、鉴定费等。</w:t>
      </w:r>
    </w:p>
    <w:p w14:paraId="74072C09">
      <w:r>
        <w:rPr>
          <w:rFonts w:hint="eastAsia"/>
          <w:sz w:val="24"/>
          <w:szCs w:val="24"/>
          <w:lang w:eastAsia="zh-CN"/>
        </w:rPr>
        <w:t>成交供应商</w:t>
      </w:r>
      <w:r>
        <w:rPr>
          <w:rFonts w:hint="eastAsia"/>
        </w:rPr>
        <w:t>因履行本项目而产生的所有成果的知识产权等权利均归采购人所有，</w:t>
      </w:r>
      <w:r>
        <w:rPr>
          <w:rFonts w:hint="eastAsia"/>
          <w:sz w:val="24"/>
          <w:szCs w:val="24"/>
          <w:lang w:eastAsia="zh-CN"/>
        </w:rPr>
        <w:t>成交供应商</w:t>
      </w:r>
      <w:r>
        <w:rPr>
          <w:rFonts w:hint="eastAsia"/>
        </w:rPr>
        <w:t>应配合采购人进行相关权利登记或申请。未经采购人书面同意，</w:t>
      </w:r>
      <w:r>
        <w:rPr>
          <w:rFonts w:hint="eastAsia"/>
          <w:sz w:val="24"/>
          <w:szCs w:val="24"/>
          <w:lang w:eastAsia="zh-CN"/>
        </w:rPr>
        <w:t>成交供应商</w:t>
      </w:r>
      <w:r>
        <w:rPr>
          <w:rFonts w:hint="eastAsia"/>
        </w:rPr>
        <w:t>不得以任何形式使用或许可他人使用本项目成果的相关内容，不得擅自对外公开发表或向任何第三方透露。</w:t>
      </w:r>
    </w:p>
    <w:p w14:paraId="523158B1">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4A246F38">
      <w:pPr>
        <w:ind w:firstLine="482"/>
        <w:rPr>
          <w:b/>
        </w:rPr>
      </w:pPr>
      <w:r>
        <w:rPr>
          <w:b/>
        </w:rPr>
        <w:t>2、项目保密要求</w:t>
      </w:r>
    </w:p>
    <w:p w14:paraId="72CB86EA">
      <w:r>
        <w:rPr>
          <w:rFonts w:hint="eastAsia"/>
          <w:sz w:val="24"/>
          <w:szCs w:val="24"/>
          <w:lang w:eastAsia="zh-CN"/>
        </w:rPr>
        <w:t>成交供应商</w:t>
      </w:r>
      <w:r>
        <w:rPr>
          <w:rFonts w:hint="eastAsia"/>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sz w:val="24"/>
          <w:szCs w:val="24"/>
          <w:lang w:eastAsia="zh-CN"/>
        </w:rPr>
        <w:t>成交供应商</w:t>
      </w:r>
      <w:r>
        <w:rPr>
          <w:rFonts w:hint="eastAsia"/>
        </w:rPr>
        <w:t>不得对外泄露采购人要求保密的信息，不得用于其他用途，否则</w:t>
      </w:r>
      <w:r>
        <w:rPr>
          <w:rFonts w:hint="eastAsia"/>
          <w:lang w:eastAsia="zh-CN"/>
        </w:rPr>
        <w:t>成交供应商</w:t>
      </w:r>
      <w:r>
        <w:rPr>
          <w:rFonts w:hint="eastAsia"/>
        </w:rPr>
        <w:t>需承担由此引起的法律责任和经济责任，包括但不限于直接损失、间接损失、律师费、诉讼费/仲裁费、调查费、公证费等。</w:t>
      </w:r>
    </w:p>
    <w:p w14:paraId="0503BB78">
      <w:r>
        <w:rPr>
          <w:rFonts w:hint="eastAsia"/>
          <w:sz w:val="24"/>
          <w:szCs w:val="24"/>
          <w:lang w:eastAsia="zh-CN"/>
        </w:rPr>
        <w:t>成交供应商</w:t>
      </w:r>
      <w:r>
        <w:rPr>
          <w:rFonts w:hint="eastAsia"/>
        </w:rPr>
        <w:t>应采取必要的有效措施保证其参与本项目的人员（包括</w:t>
      </w:r>
      <w:r>
        <w:rPr>
          <w:rFonts w:hint="eastAsia"/>
          <w:sz w:val="24"/>
          <w:szCs w:val="24"/>
          <w:lang w:eastAsia="zh-CN"/>
        </w:rPr>
        <w:t>成交供应商</w:t>
      </w:r>
      <w:r>
        <w:rPr>
          <w:rFonts w:hint="eastAsia"/>
        </w:rPr>
        <w:t>聘用的人员、借调的人员、实习的人员）无论是在职或离职后，以及</w:t>
      </w:r>
      <w:r>
        <w:rPr>
          <w:rFonts w:hint="eastAsia"/>
          <w:sz w:val="24"/>
          <w:szCs w:val="24"/>
          <w:lang w:eastAsia="zh-CN"/>
        </w:rPr>
        <w:t>成交供应商</w:t>
      </w:r>
      <w:r>
        <w:rPr>
          <w:rFonts w:hint="eastAsia"/>
        </w:rPr>
        <w:t>的合作方无论是合作中或合作终止后，都能够履行本项目约定的保密义务。若</w:t>
      </w:r>
      <w:r>
        <w:rPr>
          <w:rFonts w:hint="eastAsia"/>
          <w:sz w:val="24"/>
          <w:szCs w:val="24"/>
          <w:lang w:eastAsia="zh-CN"/>
        </w:rPr>
        <w:t>成交供应商</w:t>
      </w:r>
      <w:r>
        <w:rPr>
          <w:rFonts w:hint="eastAsia"/>
        </w:rPr>
        <w:t>人员或</w:t>
      </w:r>
      <w:r>
        <w:rPr>
          <w:rFonts w:hint="eastAsia"/>
          <w:sz w:val="24"/>
          <w:szCs w:val="24"/>
          <w:lang w:eastAsia="zh-CN"/>
        </w:rPr>
        <w:t>成交供应商</w:t>
      </w:r>
      <w:r>
        <w:rPr>
          <w:rFonts w:hint="eastAsia"/>
        </w:rPr>
        <w:t>合作方违反保密规定，</w:t>
      </w:r>
      <w:r>
        <w:rPr>
          <w:rFonts w:hint="eastAsia"/>
          <w:lang w:eastAsia="zh-CN"/>
        </w:rPr>
        <w:t>成交供应商</w:t>
      </w:r>
      <w:r>
        <w:rPr>
          <w:rFonts w:hint="eastAsia"/>
        </w:rPr>
        <w:t>应承担连带责任。</w:t>
      </w:r>
    </w:p>
    <w:p w14:paraId="7B3B92D4">
      <w:r>
        <w:rPr>
          <w:rFonts w:hint="eastAsia"/>
          <w:sz w:val="24"/>
          <w:szCs w:val="24"/>
          <w:lang w:eastAsia="zh-CN"/>
        </w:rPr>
        <w:t>成交供应商</w:t>
      </w:r>
      <w:r>
        <w:rPr>
          <w:rFonts w:hint="eastAsia"/>
        </w:rPr>
        <w:t>（含</w:t>
      </w:r>
      <w:r>
        <w:rPr>
          <w:rFonts w:hint="eastAsia"/>
          <w:sz w:val="24"/>
          <w:szCs w:val="24"/>
          <w:lang w:eastAsia="zh-CN"/>
        </w:rPr>
        <w:t>成交供应商</w:t>
      </w:r>
      <w:r>
        <w:rPr>
          <w:rFonts w:hint="eastAsia"/>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377CBD9C">
      <w:r>
        <w:rPr>
          <w:rFonts w:hint="eastAsia"/>
        </w:rPr>
        <w:t>以上内容的保密期限自</w:t>
      </w:r>
      <w:r>
        <w:rPr>
          <w:rFonts w:hint="eastAsia"/>
          <w:sz w:val="24"/>
          <w:szCs w:val="24"/>
          <w:lang w:eastAsia="zh-CN"/>
        </w:rPr>
        <w:t>成交供应商</w:t>
      </w:r>
      <w:r>
        <w:rPr>
          <w:rFonts w:hint="eastAsia"/>
        </w:rPr>
        <w:t>知悉保密信息起始至保密信息被合法公开之日止。</w:t>
      </w:r>
    </w:p>
    <w:p w14:paraId="4782E768">
      <w:pPr>
        <w:ind w:firstLine="482"/>
        <w:rPr>
          <w:b/>
        </w:rPr>
      </w:pPr>
      <w:r>
        <w:rPr>
          <w:b/>
        </w:rPr>
        <w:t>3、临时账号等使用要求</w:t>
      </w:r>
    </w:p>
    <w:p w14:paraId="03F4638A">
      <w:r>
        <w:rPr>
          <w:rFonts w:hint="eastAsia"/>
          <w:sz w:val="24"/>
          <w:szCs w:val="24"/>
          <w:lang w:eastAsia="zh-CN"/>
        </w:rPr>
        <w:t>成交供应商</w:t>
      </w:r>
      <w:r>
        <w:rPr>
          <w:rFonts w:hint="eastAsia"/>
        </w:rPr>
        <w:t>对采购人提拱的临时使用账号要保密，不得公开，对组件开发的账号密码需进行加密，避免信息安全的泄露。未经采购人的同意不得利用采购人的网络及平台进行短信、彩信、微信发送</w:t>
      </w:r>
      <w:r>
        <w:t>,造成的一切后果由</w:t>
      </w:r>
      <w:r>
        <w:rPr>
          <w:rFonts w:hint="eastAsia"/>
          <w:sz w:val="24"/>
          <w:szCs w:val="24"/>
          <w:lang w:eastAsia="zh-CN"/>
        </w:rPr>
        <w:t>成交供应商</w:t>
      </w:r>
      <w:r>
        <w:t>负责。</w:t>
      </w:r>
    </w:p>
    <w:p w14:paraId="519B680B">
      <w:pPr>
        <w:pStyle w:val="2"/>
      </w:pPr>
      <w:bookmarkStart w:id="37" w:name="_Toc65170093"/>
      <w:r>
        <w:t>项目的变更、解除和终止</w:t>
      </w:r>
    </w:p>
    <w:p w14:paraId="4B6C606B">
      <w:r>
        <w:rPr>
          <w:rFonts w:hint="eastAsia"/>
        </w:rPr>
        <w:t>如果</w:t>
      </w:r>
      <w:r>
        <w:rPr>
          <w:rFonts w:hint="eastAsia"/>
          <w:sz w:val="24"/>
          <w:szCs w:val="24"/>
          <w:lang w:eastAsia="zh-CN"/>
        </w:rPr>
        <w:t>成交供应商</w:t>
      </w:r>
      <w:r>
        <w:rPr>
          <w:rFonts w:hint="eastAsia"/>
        </w:rPr>
        <w:t>丧失履约能力、发生资不抵债或进入破产程序，采购人可在任何时候以书面形式通知</w:t>
      </w:r>
      <w:r>
        <w:rPr>
          <w:rFonts w:hint="eastAsia"/>
          <w:sz w:val="24"/>
          <w:szCs w:val="24"/>
          <w:lang w:eastAsia="zh-CN"/>
        </w:rPr>
        <w:t>成交供应商</w:t>
      </w:r>
      <w:r>
        <w:rPr>
          <w:rFonts w:hint="eastAsia"/>
        </w:rPr>
        <w:t>终止本项目的执行而不给予</w:t>
      </w:r>
      <w:r>
        <w:rPr>
          <w:rFonts w:hint="eastAsia"/>
          <w:sz w:val="24"/>
          <w:szCs w:val="24"/>
          <w:lang w:eastAsia="zh-CN"/>
        </w:rPr>
        <w:t>成交供应商</w:t>
      </w:r>
      <w:r>
        <w:rPr>
          <w:rFonts w:hint="eastAsia"/>
        </w:rPr>
        <w:t>补偿。该终止本项目将不损害或影响采购人已经采取或将要采取任何行动或补救措施的权利。</w:t>
      </w:r>
    </w:p>
    <w:p w14:paraId="17BBB839">
      <w:r>
        <w:rPr>
          <w:rFonts w:hint="eastAsia"/>
        </w:rPr>
        <w:t>如遇国家、行业管理部门等机构的有关标准和规定调整的，导致本项目内容须做相应调整时，双方应按照公平、合理的原则共同协商修改本项目对应的合同的相关条款。</w:t>
      </w:r>
    </w:p>
    <w:p w14:paraId="179723E6">
      <w:pPr>
        <w:pStyle w:val="2"/>
      </w:pPr>
      <w:r>
        <w:rPr>
          <w:rFonts w:hint="eastAsia"/>
        </w:rPr>
        <w:t>违约责任</w:t>
      </w:r>
      <w:bookmarkEnd w:id="37"/>
    </w:p>
    <w:p w14:paraId="2DBFB7A0">
      <w:r>
        <w:t>1、如</w:t>
      </w:r>
      <w:r>
        <w:rPr>
          <w:rFonts w:hint="eastAsia"/>
          <w:sz w:val="24"/>
          <w:szCs w:val="24"/>
          <w:lang w:eastAsia="zh-CN"/>
        </w:rPr>
        <w:t>成交供应商</w:t>
      </w:r>
      <w:r>
        <w:t>未按约定的时间或服务标准完成建设工作，采购人可要求</w:t>
      </w:r>
      <w:r>
        <w:rPr>
          <w:rFonts w:hint="eastAsia"/>
          <w:sz w:val="24"/>
          <w:szCs w:val="24"/>
          <w:lang w:eastAsia="zh-CN"/>
        </w:rPr>
        <w:t>成交供应商</w:t>
      </w:r>
      <w:r>
        <w:t>在规定的时间内采取补救措施。</w:t>
      </w:r>
      <w:r>
        <w:rPr>
          <w:rFonts w:hint="eastAsia"/>
          <w:sz w:val="24"/>
          <w:szCs w:val="24"/>
          <w:lang w:eastAsia="zh-CN"/>
        </w:rPr>
        <w:t>成交供应商</w:t>
      </w:r>
      <w:r>
        <w:t>还应向采购人支付本项目费用总额30%的违约金，违约金不足以弥补采购人损失的，采购人有权要求</w:t>
      </w:r>
      <w:r>
        <w:rPr>
          <w:rFonts w:hint="eastAsia"/>
          <w:sz w:val="24"/>
          <w:szCs w:val="24"/>
          <w:lang w:eastAsia="zh-CN"/>
        </w:rPr>
        <w:t>成交供应商</w:t>
      </w:r>
      <w:r>
        <w:t>赔偿超过部分。</w:t>
      </w:r>
    </w:p>
    <w:p w14:paraId="2EF44899">
      <w:r>
        <w:t>2、因</w:t>
      </w:r>
      <w:r>
        <w:rPr>
          <w:rFonts w:hint="eastAsia"/>
          <w:sz w:val="24"/>
          <w:szCs w:val="24"/>
          <w:lang w:eastAsia="zh-CN"/>
        </w:rPr>
        <w:t>成交供应商</w:t>
      </w:r>
      <w:r>
        <w:t>违反保密义务或知识产权约定的，采购人有权要求</w:t>
      </w:r>
      <w:r>
        <w:rPr>
          <w:rFonts w:hint="eastAsia"/>
          <w:sz w:val="24"/>
          <w:szCs w:val="24"/>
          <w:lang w:eastAsia="zh-CN"/>
        </w:rPr>
        <w:t>成交供应商</w:t>
      </w:r>
      <w:r>
        <w:t>支付本项目费用总额30%的违约金，违约金不足以弥补采购人损失的，采购人有权要求</w:t>
      </w:r>
      <w:r>
        <w:rPr>
          <w:rFonts w:hint="eastAsia"/>
          <w:sz w:val="24"/>
          <w:szCs w:val="24"/>
          <w:lang w:eastAsia="zh-CN"/>
        </w:rPr>
        <w:t>成交供应商</w:t>
      </w:r>
      <w:r>
        <w:t>赔偿超过部分。若</w:t>
      </w:r>
      <w:r>
        <w:rPr>
          <w:rFonts w:hint="eastAsia"/>
          <w:sz w:val="24"/>
          <w:szCs w:val="24"/>
          <w:lang w:eastAsia="zh-CN"/>
        </w:rPr>
        <w:t>成交供应商</w:t>
      </w:r>
      <w:r>
        <w:t>违反保密义务，采购人还有权立即单方解除合同而不承担任何违约责任。</w:t>
      </w:r>
    </w:p>
    <w:p w14:paraId="6C91D665">
      <w:r>
        <w:t>3、</w:t>
      </w:r>
      <w:r>
        <w:rPr>
          <w:rFonts w:hint="eastAsia"/>
          <w:sz w:val="24"/>
          <w:szCs w:val="24"/>
          <w:lang w:eastAsia="zh-CN"/>
        </w:rPr>
        <w:t>成交供应商</w:t>
      </w:r>
      <w:r>
        <w:t>有其他违反本项目合同约定的行为，</w:t>
      </w:r>
      <w:r>
        <w:rPr>
          <w:rFonts w:hint="eastAsia"/>
          <w:sz w:val="24"/>
          <w:szCs w:val="24"/>
          <w:lang w:eastAsia="zh-CN"/>
        </w:rPr>
        <w:t>成交供应商</w:t>
      </w:r>
      <w:r>
        <w:t>应当支付本项目总价款金额的20%作为违约金，违约金不足以弥补采购人损失的，采购人有权要求</w:t>
      </w:r>
      <w:r>
        <w:rPr>
          <w:rFonts w:hint="eastAsia"/>
          <w:sz w:val="24"/>
          <w:szCs w:val="24"/>
          <w:lang w:eastAsia="zh-CN"/>
        </w:rPr>
        <w:t>成交供应商</w:t>
      </w:r>
      <w:r>
        <w:t>赔偿超过部分。</w:t>
      </w:r>
    </w:p>
    <w:p w14:paraId="31DABF1A">
      <w:r>
        <w:t>4、</w:t>
      </w:r>
      <w:r>
        <w:rPr>
          <w:rFonts w:hint="eastAsia"/>
          <w:sz w:val="24"/>
          <w:szCs w:val="24"/>
          <w:lang w:eastAsia="zh-CN"/>
        </w:rPr>
        <w:t>成交供应商</w:t>
      </w:r>
      <w:r>
        <w:t>有下列情形之一，采购人有</w:t>
      </w:r>
      <w:bookmarkStart w:id="40" w:name="_GoBack"/>
      <w:bookmarkEnd w:id="40"/>
      <w:r>
        <w:t>权解除合同：</w:t>
      </w:r>
    </w:p>
    <w:p w14:paraId="2FE21D31">
      <w:r>
        <w:rPr>
          <w:rFonts w:hint="eastAsia"/>
        </w:rPr>
        <w:t>（1</w:t>
      </w:r>
      <w:r>
        <w:t>）因</w:t>
      </w:r>
      <w:r>
        <w:rPr>
          <w:rFonts w:hint="eastAsia"/>
          <w:sz w:val="24"/>
          <w:szCs w:val="24"/>
          <w:lang w:eastAsia="zh-CN"/>
        </w:rPr>
        <w:t>成交供应商</w:t>
      </w:r>
      <w:r>
        <w:t>服务质量问题导致采购人无法实现目的；</w:t>
      </w:r>
    </w:p>
    <w:p w14:paraId="1086A4FD">
      <w:r>
        <w:rPr>
          <w:rFonts w:hint="eastAsia"/>
        </w:rPr>
        <w:t>（2</w:t>
      </w:r>
      <w:r>
        <w:t>）擅自转让或者分包其应履行的义务的；</w:t>
      </w:r>
    </w:p>
    <w:p w14:paraId="18743CA1">
      <w:r>
        <w:rPr>
          <w:rFonts w:hint="eastAsia"/>
        </w:rPr>
        <w:t>（3</w:t>
      </w:r>
      <w:r>
        <w:t>）违反或者未履行本项目合同约定的其他相关义务，且在采购人要求的合理时间内未能纠正的。</w:t>
      </w:r>
    </w:p>
    <w:p w14:paraId="3E46A13D">
      <w:pPr>
        <w:pStyle w:val="2"/>
      </w:pPr>
      <w:bookmarkStart w:id="38" w:name="_Toc63785514"/>
      <w:r>
        <w:rPr>
          <w:rFonts w:hint="eastAsia"/>
        </w:rPr>
        <w:t>付款</w:t>
      </w:r>
      <w:bookmarkEnd w:id="38"/>
      <w:r>
        <w:rPr>
          <w:rFonts w:hint="eastAsia"/>
        </w:rPr>
        <w:t>方式</w:t>
      </w:r>
    </w:p>
    <w:p w14:paraId="05787BB1">
      <w:pPr>
        <w:rPr>
          <w:bCs/>
        </w:rPr>
      </w:pPr>
      <w:r>
        <w:rPr>
          <w:rFonts w:hint="eastAsia"/>
          <w:bCs/>
        </w:rPr>
        <w:t>本项目采用两期分期付款：</w:t>
      </w:r>
    </w:p>
    <w:p w14:paraId="2D81D6EC">
      <w:pPr>
        <w:rPr>
          <w:bCs/>
        </w:rPr>
      </w:pPr>
      <w:r>
        <w:rPr>
          <w:rFonts w:hint="eastAsia"/>
          <w:bCs/>
        </w:rPr>
        <w:t>①按</w:t>
      </w:r>
      <w:r>
        <w:rPr>
          <w:rFonts w:hint="eastAsia"/>
          <w:bCs/>
          <w:lang w:eastAsia="zh-CN"/>
        </w:rPr>
        <w:t>成交</w:t>
      </w:r>
      <w:r>
        <w:rPr>
          <w:rFonts w:hint="eastAsia"/>
          <w:bCs/>
        </w:rPr>
        <w:t>金额签订合同，合同生效后支付合同金额的70%；</w:t>
      </w:r>
    </w:p>
    <w:p w14:paraId="7D973965">
      <w:pPr>
        <w:rPr>
          <w:bCs/>
        </w:rPr>
      </w:pPr>
      <w:r>
        <w:rPr>
          <w:rFonts w:hint="eastAsia"/>
          <w:bCs/>
        </w:rPr>
        <w:t>②本项目通过最终验收后且收到约定的项目工作成果，支付合同总价款的30%。</w:t>
      </w:r>
    </w:p>
    <w:p w14:paraId="1C620634">
      <w:r>
        <w:rPr>
          <w:rFonts w:hint="eastAsia"/>
        </w:rPr>
        <w:t>付款条件备注：服务提供方应当在采购方每次付款前提前至少10个工作</w:t>
      </w:r>
      <w:r>
        <w:t>日向采购方提供有效发票。</w:t>
      </w:r>
    </w:p>
    <w:p w14:paraId="20728001">
      <w:pPr>
        <w:pStyle w:val="2"/>
      </w:pPr>
      <w:bookmarkStart w:id="39" w:name="_Toc68798863"/>
      <w:r>
        <w:rPr>
          <w:rFonts w:hint="eastAsia"/>
        </w:rPr>
        <w:t>附录</w:t>
      </w:r>
      <w:bookmarkEnd w:id="39"/>
    </w:p>
    <w:p w14:paraId="5CDE3776">
      <w:pPr>
        <w:ind w:firstLine="482"/>
      </w:pPr>
      <w:r>
        <w:rPr>
          <w:rFonts w:hint="eastAsia"/>
          <w:b/>
        </w:rPr>
        <w:t>项目建设过程中需符合相关技术标准或规范文件的要求，参考如下：</w:t>
      </w:r>
    </w:p>
    <w:p w14:paraId="54029071">
      <w:pPr>
        <w:ind w:firstLine="0" w:firstLineChars="0"/>
      </w:pPr>
      <w:r>
        <w:rPr>
          <w:rFonts w:hint="eastAsia"/>
        </w:rPr>
        <w:t>1、</w:t>
      </w:r>
      <w:r>
        <w:t>《政务网络安全监测平台总体技术要求》</w:t>
      </w:r>
    </w:p>
    <w:p w14:paraId="016C3272">
      <w:pPr>
        <w:ind w:firstLine="0" w:firstLineChars="0"/>
      </w:pPr>
      <w:r>
        <w:object>
          <v:shape id="_x0000_i1025" o:spt="75" type="#_x0000_t75" style="height:55.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2ED7E867">
      <w:pPr>
        <w:ind w:firstLine="0" w:firstLineChars="0"/>
      </w:pPr>
    </w:p>
    <w:p w14:paraId="2BFB789C">
      <w:pPr>
        <w:ind w:firstLine="0" w:firstLineChars="0"/>
        <w:jc w:val="left"/>
      </w:pPr>
      <w:r>
        <w:rPr>
          <w:rFonts w:hint="eastAsia"/>
        </w:rPr>
        <w:t>2、《上海市电子政务外网建设和运行管理指南（试行）》</w:t>
      </w:r>
    </w:p>
    <w:p w14:paraId="694EB8B2">
      <w:pPr>
        <w:ind w:firstLine="0" w:firstLineChars="0"/>
        <w:jc w:val="left"/>
      </w:pPr>
      <w:r>
        <w:object>
          <v:shape id="_x0000_i1026" o:spt="75" type="#_x0000_t75" style="height:55.5pt;width:76.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0C1079D1">
      <w:pPr>
        <w:ind w:firstLine="0" w:firstLineChars="0"/>
        <w:jc w:val="left"/>
        <w:rPr>
          <w:b/>
          <w:bCs/>
        </w:rPr>
      </w:pPr>
      <w:r>
        <w:rPr>
          <w:rFonts w:hint="eastAsia"/>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国标宋体"/>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国标宋体">
    <w:panose1 w:val="02000500000000000000"/>
    <w:charset w:val="86"/>
    <w:family w:val="auto"/>
    <w:pitch w:val="default"/>
    <w:sig w:usb0="00000001" w:usb1="28000000" w:usb2="00000000" w:usb3="00000000" w:csb0="00060007"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DE166">
    <w:pPr>
      <w:ind w:firstLine="0" w:firstLineChars="0"/>
      <w:jc w:val="center"/>
    </w:pPr>
    <w:r>
      <w:fldChar w:fldCharType="begin"/>
    </w:r>
    <w:r>
      <w:instrText xml:space="preserve">PAGE   \* MERGEFORMAT</w:instrText>
    </w:r>
    <w:r>
      <w:fldChar w:fldCharType="separate"/>
    </w:r>
    <w:r>
      <w:rPr>
        <w:lang w:val="zh-CN"/>
      </w:rPr>
      <w:t>2</w:t>
    </w:r>
    <w:r>
      <w:rPr>
        <w:lang w:val="zh-CN"/>
      </w:rPr>
      <w:fldChar w:fldCharType="end"/>
    </w:r>
  </w:p>
  <w:p w14:paraId="217CE3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CE26B"/>
  <w:p w14:paraId="1996FFB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21742">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DBC8F">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73879B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F53C3">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168BA"/>
  <w:p w14:paraId="126B73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805C1">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D083D99"/>
    <w:multiLevelType w:val="singleLevel"/>
    <w:tmpl w:val="9D083D99"/>
    <w:lvl w:ilvl="0" w:tentative="0">
      <w:start w:val="1"/>
      <w:numFmt w:val="bullet"/>
      <w:lvlText w:val=""/>
      <w:lvlJc w:val="left"/>
      <w:pPr>
        <w:tabs>
          <w:tab w:val="left" w:pos="420"/>
        </w:tabs>
        <w:ind w:left="840" w:hanging="420"/>
      </w:pPr>
      <w:rPr>
        <w:rFonts w:hint="default" w:ascii="Wingdings" w:hAnsi="Wingdings"/>
      </w:rPr>
    </w:lvl>
  </w:abstractNum>
  <w:abstractNum w:abstractNumId="2">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0C0"/>
    <w:rsid w:val="0000005A"/>
    <w:rsid w:val="0000047B"/>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242F"/>
    <w:rsid w:val="000C3F3C"/>
    <w:rsid w:val="000C426D"/>
    <w:rsid w:val="000C5A75"/>
    <w:rsid w:val="000C75E9"/>
    <w:rsid w:val="000C75F7"/>
    <w:rsid w:val="000D0AB2"/>
    <w:rsid w:val="000D225C"/>
    <w:rsid w:val="000D36F2"/>
    <w:rsid w:val="000D4B26"/>
    <w:rsid w:val="000D578F"/>
    <w:rsid w:val="000D74DB"/>
    <w:rsid w:val="000E0948"/>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42"/>
    <w:rsid w:val="00123F98"/>
    <w:rsid w:val="001242A5"/>
    <w:rsid w:val="00124531"/>
    <w:rsid w:val="00126EDF"/>
    <w:rsid w:val="00127BBE"/>
    <w:rsid w:val="00131D52"/>
    <w:rsid w:val="001329C1"/>
    <w:rsid w:val="00132C16"/>
    <w:rsid w:val="00136320"/>
    <w:rsid w:val="00136FFA"/>
    <w:rsid w:val="00137AC6"/>
    <w:rsid w:val="00145512"/>
    <w:rsid w:val="001465BD"/>
    <w:rsid w:val="001478B2"/>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37E7"/>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0E8C"/>
    <w:rsid w:val="001A22A2"/>
    <w:rsid w:val="001A2971"/>
    <w:rsid w:val="001A3D52"/>
    <w:rsid w:val="001A460A"/>
    <w:rsid w:val="001A4A4C"/>
    <w:rsid w:val="001A57F8"/>
    <w:rsid w:val="001B0230"/>
    <w:rsid w:val="001B13AB"/>
    <w:rsid w:val="001B3907"/>
    <w:rsid w:val="001B3B49"/>
    <w:rsid w:val="001B4907"/>
    <w:rsid w:val="001B4DC5"/>
    <w:rsid w:val="001B5505"/>
    <w:rsid w:val="001C2180"/>
    <w:rsid w:val="001C29CC"/>
    <w:rsid w:val="001C3217"/>
    <w:rsid w:val="001C3B98"/>
    <w:rsid w:val="001C6028"/>
    <w:rsid w:val="001C6365"/>
    <w:rsid w:val="001C7B7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49DD"/>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7BB"/>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3EB"/>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D01"/>
    <w:rsid w:val="002E1FE6"/>
    <w:rsid w:val="002E2EA7"/>
    <w:rsid w:val="002E36D2"/>
    <w:rsid w:val="002E748B"/>
    <w:rsid w:val="002F2002"/>
    <w:rsid w:val="002F335D"/>
    <w:rsid w:val="002F43FC"/>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C0F"/>
    <w:rsid w:val="00317F49"/>
    <w:rsid w:val="0032089B"/>
    <w:rsid w:val="00323450"/>
    <w:rsid w:val="00323D93"/>
    <w:rsid w:val="0032489B"/>
    <w:rsid w:val="0032525B"/>
    <w:rsid w:val="00326A7A"/>
    <w:rsid w:val="00326FEE"/>
    <w:rsid w:val="003315D7"/>
    <w:rsid w:val="0033259D"/>
    <w:rsid w:val="00334DE6"/>
    <w:rsid w:val="0033507D"/>
    <w:rsid w:val="0033536D"/>
    <w:rsid w:val="003353FF"/>
    <w:rsid w:val="003366D2"/>
    <w:rsid w:val="00337683"/>
    <w:rsid w:val="00337C79"/>
    <w:rsid w:val="00337FEF"/>
    <w:rsid w:val="0034084C"/>
    <w:rsid w:val="00340D5E"/>
    <w:rsid w:val="003420B5"/>
    <w:rsid w:val="00343646"/>
    <w:rsid w:val="00344CCB"/>
    <w:rsid w:val="00345897"/>
    <w:rsid w:val="00346A0C"/>
    <w:rsid w:val="00351BFC"/>
    <w:rsid w:val="0035575E"/>
    <w:rsid w:val="003565B4"/>
    <w:rsid w:val="00362E75"/>
    <w:rsid w:val="003631AA"/>
    <w:rsid w:val="003632D5"/>
    <w:rsid w:val="00363575"/>
    <w:rsid w:val="00364EF9"/>
    <w:rsid w:val="00367579"/>
    <w:rsid w:val="0036795B"/>
    <w:rsid w:val="00370A29"/>
    <w:rsid w:val="003722F9"/>
    <w:rsid w:val="0037232D"/>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C5CD4"/>
    <w:rsid w:val="003D000A"/>
    <w:rsid w:val="003D31E9"/>
    <w:rsid w:val="003D544E"/>
    <w:rsid w:val="003D5980"/>
    <w:rsid w:val="003D7B5C"/>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1D87"/>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6D8"/>
    <w:rsid w:val="00450BA4"/>
    <w:rsid w:val="004511FC"/>
    <w:rsid w:val="00453A0A"/>
    <w:rsid w:val="004545F5"/>
    <w:rsid w:val="00456784"/>
    <w:rsid w:val="00456DCA"/>
    <w:rsid w:val="00461140"/>
    <w:rsid w:val="004611DB"/>
    <w:rsid w:val="004624A3"/>
    <w:rsid w:val="004658B0"/>
    <w:rsid w:val="0046614B"/>
    <w:rsid w:val="00467FD7"/>
    <w:rsid w:val="00470073"/>
    <w:rsid w:val="004730F8"/>
    <w:rsid w:val="00474353"/>
    <w:rsid w:val="00474555"/>
    <w:rsid w:val="004750F4"/>
    <w:rsid w:val="00476CB1"/>
    <w:rsid w:val="00480A48"/>
    <w:rsid w:val="00482501"/>
    <w:rsid w:val="00482E7D"/>
    <w:rsid w:val="004835F6"/>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000D"/>
    <w:rsid w:val="004D142C"/>
    <w:rsid w:val="004D199E"/>
    <w:rsid w:val="004D29F7"/>
    <w:rsid w:val="004D36D8"/>
    <w:rsid w:val="004D4C5C"/>
    <w:rsid w:val="004D5AB0"/>
    <w:rsid w:val="004D5EAE"/>
    <w:rsid w:val="004D7A0E"/>
    <w:rsid w:val="004E06E7"/>
    <w:rsid w:val="004E0AE3"/>
    <w:rsid w:val="004E20D3"/>
    <w:rsid w:val="004E2282"/>
    <w:rsid w:val="004E2C82"/>
    <w:rsid w:val="004E4FAE"/>
    <w:rsid w:val="004E62C7"/>
    <w:rsid w:val="004E68FF"/>
    <w:rsid w:val="004E7A1B"/>
    <w:rsid w:val="004F0B7F"/>
    <w:rsid w:val="004F1193"/>
    <w:rsid w:val="004F11DC"/>
    <w:rsid w:val="004F2124"/>
    <w:rsid w:val="004F271B"/>
    <w:rsid w:val="004F3A52"/>
    <w:rsid w:val="004F449F"/>
    <w:rsid w:val="004F4866"/>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1DED"/>
    <w:rsid w:val="00564B9A"/>
    <w:rsid w:val="00565694"/>
    <w:rsid w:val="00566DD6"/>
    <w:rsid w:val="00567420"/>
    <w:rsid w:val="005714EF"/>
    <w:rsid w:val="005717D9"/>
    <w:rsid w:val="00571CEC"/>
    <w:rsid w:val="00572FCE"/>
    <w:rsid w:val="00573AEB"/>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A5F08"/>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24"/>
    <w:rsid w:val="005C774A"/>
    <w:rsid w:val="005D3734"/>
    <w:rsid w:val="005D3B59"/>
    <w:rsid w:val="005D4F16"/>
    <w:rsid w:val="005D5A53"/>
    <w:rsid w:val="005D5DA0"/>
    <w:rsid w:val="005D7FBD"/>
    <w:rsid w:val="005E19B4"/>
    <w:rsid w:val="005E1D6B"/>
    <w:rsid w:val="005E227A"/>
    <w:rsid w:val="005E2CF8"/>
    <w:rsid w:val="005E3126"/>
    <w:rsid w:val="005E7075"/>
    <w:rsid w:val="005E75A7"/>
    <w:rsid w:val="005F0B4A"/>
    <w:rsid w:val="005F38E2"/>
    <w:rsid w:val="005F3EE6"/>
    <w:rsid w:val="005F6736"/>
    <w:rsid w:val="006006C6"/>
    <w:rsid w:val="00602C10"/>
    <w:rsid w:val="00602C97"/>
    <w:rsid w:val="00602EBD"/>
    <w:rsid w:val="00604CF2"/>
    <w:rsid w:val="0060696F"/>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4403"/>
    <w:rsid w:val="00626AC8"/>
    <w:rsid w:val="00627912"/>
    <w:rsid w:val="0063094E"/>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3FC5"/>
    <w:rsid w:val="006B41BD"/>
    <w:rsid w:val="006B5678"/>
    <w:rsid w:val="006B62B2"/>
    <w:rsid w:val="006B650B"/>
    <w:rsid w:val="006C01C7"/>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1D"/>
    <w:rsid w:val="00726543"/>
    <w:rsid w:val="0073353E"/>
    <w:rsid w:val="00736633"/>
    <w:rsid w:val="00741EE7"/>
    <w:rsid w:val="00742A99"/>
    <w:rsid w:val="00743A79"/>
    <w:rsid w:val="007444D4"/>
    <w:rsid w:val="0074594D"/>
    <w:rsid w:val="007459F3"/>
    <w:rsid w:val="00746E35"/>
    <w:rsid w:val="007470E2"/>
    <w:rsid w:val="007501E3"/>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1FFA"/>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E5F42"/>
    <w:rsid w:val="007F3B8C"/>
    <w:rsid w:val="007F41D0"/>
    <w:rsid w:val="007F4B8B"/>
    <w:rsid w:val="007F5957"/>
    <w:rsid w:val="007F70B6"/>
    <w:rsid w:val="007F74CA"/>
    <w:rsid w:val="00800F1E"/>
    <w:rsid w:val="0080195A"/>
    <w:rsid w:val="0080239C"/>
    <w:rsid w:val="00802841"/>
    <w:rsid w:val="008037D5"/>
    <w:rsid w:val="00805447"/>
    <w:rsid w:val="008054FA"/>
    <w:rsid w:val="00806CC3"/>
    <w:rsid w:val="0080717A"/>
    <w:rsid w:val="00807DFA"/>
    <w:rsid w:val="0081009F"/>
    <w:rsid w:val="00810152"/>
    <w:rsid w:val="008115AB"/>
    <w:rsid w:val="00812279"/>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3E61"/>
    <w:rsid w:val="008C5598"/>
    <w:rsid w:val="008C69EA"/>
    <w:rsid w:val="008C6F8B"/>
    <w:rsid w:val="008C7AB7"/>
    <w:rsid w:val="008C7FB4"/>
    <w:rsid w:val="008D010B"/>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2907"/>
    <w:rsid w:val="009234E7"/>
    <w:rsid w:val="00923A43"/>
    <w:rsid w:val="00923FF4"/>
    <w:rsid w:val="0092439C"/>
    <w:rsid w:val="0092498E"/>
    <w:rsid w:val="00925B91"/>
    <w:rsid w:val="00934461"/>
    <w:rsid w:val="00934F7E"/>
    <w:rsid w:val="00935462"/>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0DB5"/>
    <w:rsid w:val="00973B5D"/>
    <w:rsid w:val="0097755E"/>
    <w:rsid w:val="00981467"/>
    <w:rsid w:val="00981C24"/>
    <w:rsid w:val="00984DCA"/>
    <w:rsid w:val="009852F6"/>
    <w:rsid w:val="00985DE5"/>
    <w:rsid w:val="00986254"/>
    <w:rsid w:val="0098729E"/>
    <w:rsid w:val="00990067"/>
    <w:rsid w:val="00992977"/>
    <w:rsid w:val="009937D4"/>
    <w:rsid w:val="00993C78"/>
    <w:rsid w:val="009942C3"/>
    <w:rsid w:val="009948C7"/>
    <w:rsid w:val="00995742"/>
    <w:rsid w:val="00995850"/>
    <w:rsid w:val="00997518"/>
    <w:rsid w:val="0099796C"/>
    <w:rsid w:val="009A194E"/>
    <w:rsid w:val="009A1EA2"/>
    <w:rsid w:val="009A209E"/>
    <w:rsid w:val="009A3FD7"/>
    <w:rsid w:val="009A6652"/>
    <w:rsid w:val="009A7166"/>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06F3"/>
    <w:rsid w:val="00A01657"/>
    <w:rsid w:val="00A01C65"/>
    <w:rsid w:val="00A0213D"/>
    <w:rsid w:val="00A04C73"/>
    <w:rsid w:val="00A0679A"/>
    <w:rsid w:val="00A07A2B"/>
    <w:rsid w:val="00A12375"/>
    <w:rsid w:val="00A125B8"/>
    <w:rsid w:val="00A13124"/>
    <w:rsid w:val="00A1460D"/>
    <w:rsid w:val="00A15370"/>
    <w:rsid w:val="00A156AB"/>
    <w:rsid w:val="00A16B8D"/>
    <w:rsid w:val="00A170A5"/>
    <w:rsid w:val="00A21293"/>
    <w:rsid w:val="00A2134B"/>
    <w:rsid w:val="00A21623"/>
    <w:rsid w:val="00A220EB"/>
    <w:rsid w:val="00A22302"/>
    <w:rsid w:val="00A25F1B"/>
    <w:rsid w:val="00A325F3"/>
    <w:rsid w:val="00A33103"/>
    <w:rsid w:val="00A33294"/>
    <w:rsid w:val="00A35DCB"/>
    <w:rsid w:val="00A3690E"/>
    <w:rsid w:val="00A36E69"/>
    <w:rsid w:val="00A37751"/>
    <w:rsid w:val="00A403B9"/>
    <w:rsid w:val="00A406B1"/>
    <w:rsid w:val="00A4113E"/>
    <w:rsid w:val="00A42435"/>
    <w:rsid w:val="00A438BA"/>
    <w:rsid w:val="00A446FD"/>
    <w:rsid w:val="00A46F46"/>
    <w:rsid w:val="00A51CC6"/>
    <w:rsid w:val="00A52CB6"/>
    <w:rsid w:val="00A52F99"/>
    <w:rsid w:val="00A538BB"/>
    <w:rsid w:val="00A54164"/>
    <w:rsid w:val="00A56737"/>
    <w:rsid w:val="00A60002"/>
    <w:rsid w:val="00A603D8"/>
    <w:rsid w:val="00A60AE2"/>
    <w:rsid w:val="00A61834"/>
    <w:rsid w:val="00A618B0"/>
    <w:rsid w:val="00A61FC8"/>
    <w:rsid w:val="00A62790"/>
    <w:rsid w:val="00A6291F"/>
    <w:rsid w:val="00A63F53"/>
    <w:rsid w:val="00A7111E"/>
    <w:rsid w:val="00A74B92"/>
    <w:rsid w:val="00A755B6"/>
    <w:rsid w:val="00A75B1A"/>
    <w:rsid w:val="00A80ED4"/>
    <w:rsid w:val="00A816C4"/>
    <w:rsid w:val="00A82981"/>
    <w:rsid w:val="00A864BB"/>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DBA"/>
    <w:rsid w:val="00AE1EA2"/>
    <w:rsid w:val="00AE2874"/>
    <w:rsid w:val="00AE2BA2"/>
    <w:rsid w:val="00AE2F98"/>
    <w:rsid w:val="00AE3602"/>
    <w:rsid w:val="00AE4E9C"/>
    <w:rsid w:val="00AE5342"/>
    <w:rsid w:val="00AE5987"/>
    <w:rsid w:val="00AE6472"/>
    <w:rsid w:val="00AF01A2"/>
    <w:rsid w:val="00AF1345"/>
    <w:rsid w:val="00AF218D"/>
    <w:rsid w:val="00AF38A8"/>
    <w:rsid w:val="00AF63EB"/>
    <w:rsid w:val="00B016D2"/>
    <w:rsid w:val="00B018EC"/>
    <w:rsid w:val="00B060C7"/>
    <w:rsid w:val="00B064AA"/>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3B62"/>
    <w:rsid w:val="00B44784"/>
    <w:rsid w:val="00B449D0"/>
    <w:rsid w:val="00B456AB"/>
    <w:rsid w:val="00B46C2A"/>
    <w:rsid w:val="00B47E8B"/>
    <w:rsid w:val="00B51C67"/>
    <w:rsid w:val="00B53F86"/>
    <w:rsid w:val="00B53FDC"/>
    <w:rsid w:val="00B55431"/>
    <w:rsid w:val="00B55CAE"/>
    <w:rsid w:val="00B573A8"/>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2F9C"/>
    <w:rsid w:val="00BA0A14"/>
    <w:rsid w:val="00BA228D"/>
    <w:rsid w:val="00BA398D"/>
    <w:rsid w:val="00BA39D3"/>
    <w:rsid w:val="00BA5C56"/>
    <w:rsid w:val="00BA69D1"/>
    <w:rsid w:val="00BA776F"/>
    <w:rsid w:val="00BB0C0D"/>
    <w:rsid w:val="00BB0D69"/>
    <w:rsid w:val="00BB366E"/>
    <w:rsid w:val="00BB3AF0"/>
    <w:rsid w:val="00BB4F70"/>
    <w:rsid w:val="00BB5B9D"/>
    <w:rsid w:val="00BB67FF"/>
    <w:rsid w:val="00BC11B9"/>
    <w:rsid w:val="00BC138C"/>
    <w:rsid w:val="00BC14CF"/>
    <w:rsid w:val="00BC1659"/>
    <w:rsid w:val="00BC2225"/>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979"/>
    <w:rsid w:val="00C06F68"/>
    <w:rsid w:val="00C075BA"/>
    <w:rsid w:val="00C10A3A"/>
    <w:rsid w:val="00C11E20"/>
    <w:rsid w:val="00C15D16"/>
    <w:rsid w:val="00C1712B"/>
    <w:rsid w:val="00C20015"/>
    <w:rsid w:val="00C247DD"/>
    <w:rsid w:val="00C25B43"/>
    <w:rsid w:val="00C26A54"/>
    <w:rsid w:val="00C3261C"/>
    <w:rsid w:val="00C3318B"/>
    <w:rsid w:val="00C33C20"/>
    <w:rsid w:val="00C35362"/>
    <w:rsid w:val="00C357EA"/>
    <w:rsid w:val="00C379F8"/>
    <w:rsid w:val="00C37A1C"/>
    <w:rsid w:val="00C4037F"/>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5D6A"/>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93F19"/>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D5F80"/>
    <w:rsid w:val="00CD7765"/>
    <w:rsid w:val="00CE0DF1"/>
    <w:rsid w:val="00CE3786"/>
    <w:rsid w:val="00CE4027"/>
    <w:rsid w:val="00CE47CC"/>
    <w:rsid w:val="00CE68F6"/>
    <w:rsid w:val="00CE7E27"/>
    <w:rsid w:val="00CF22AC"/>
    <w:rsid w:val="00CF2F0A"/>
    <w:rsid w:val="00CF43A3"/>
    <w:rsid w:val="00CF79E8"/>
    <w:rsid w:val="00D00C32"/>
    <w:rsid w:val="00D015AA"/>
    <w:rsid w:val="00D020FE"/>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32D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655"/>
    <w:rsid w:val="00D80CE2"/>
    <w:rsid w:val="00D83080"/>
    <w:rsid w:val="00D83E66"/>
    <w:rsid w:val="00D84D5F"/>
    <w:rsid w:val="00D851E2"/>
    <w:rsid w:val="00D87FE2"/>
    <w:rsid w:val="00D87FFA"/>
    <w:rsid w:val="00D91419"/>
    <w:rsid w:val="00D922E4"/>
    <w:rsid w:val="00D92A09"/>
    <w:rsid w:val="00D92D2A"/>
    <w:rsid w:val="00D92EEC"/>
    <w:rsid w:val="00D93470"/>
    <w:rsid w:val="00D9395F"/>
    <w:rsid w:val="00D93D55"/>
    <w:rsid w:val="00D941FA"/>
    <w:rsid w:val="00D94B59"/>
    <w:rsid w:val="00D95315"/>
    <w:rsid w:val="00D95EAB"/>
    <w:rsid w:val="00DA0B39"/>
    <w:rsid w:val="00DA1203"/>
    <w:rsid w:val="00DA2316"/>
    <w:rsid w:val="00DA24D7"/>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54C8"/>
    <w:rsid w:val="00DC6BA9"/>
    <w:rsid w:val="00DC6F54"/>
    <w:rsid w:val="00DD0C00"/>
    <w:rsid w:val="00DD0F8C"/>
    <w:rsid w:val="00DD116C"/>
    <w:rsid w:val="00DD18A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DF66C9"/>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6940"/>
    <w:rsid w:val="00E57FAF"/>
    <w:rsid w:val="00E60BA9"/>
    <w:rsid w:val="00E63510"/>
    <w:rsid w:val="00E635EA"/>
    <w:rsid w:val="00E655E5"/>
    <w:rsid w:val="00E65F4E"/>
    <w:rsid w:val="00E662E0"/>
    <w:rsid w:val="00E67D5D"/>
    <w:rsid w:val="00E71C7A"/>
    <w:rsid w:val="00E73119"/>
    <w:rsid w:val="00E7322D"/>
    <w:rsid w:val="00E739AA"/>
    <w:rsid w:val="00E73E1E"/>
    <w:rsid w:val="00E767FF"/>
    <w:rsid w:val="00E821B4"/>
    <w:rsid w:val="00E84C91"/>
    <w:rsid w:val="00E84E60"/>
    <w:rsid w:val="00E8556E"/>
    <w:rsid w:val="00E86B2D"/>
    <w:rsid w:val="00E86F4D"/>
    <w:rsid w:val="00E87C47"/>
    <w:rsid w:val="00E87D08"/>
    <w:rsid w:val="00E90D0E"/>
    <w:rsid w:val="00E91B2D"/>
    <w:rsid w:val="00E92FCA"/>
    <w:rsid w:val="00E95803"/>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B7D3B"/>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192"/>
    <w:rsid w:val="00F167C5"/>
    <w:rsid w:val="00F20B5A"/>
    <w:rsid w:val="00F21F0B"/>
    <w:rsid w:val="00F236AB"/>
    <w:rsid w:val="00F23870"/>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682"/>
    <w:rsid w:val="00F42839"/>
    <w:rsid w:val="00F4441C"/>
    <w:rsid w:val="00F44CC0"/>
    <w:rsid w:val="00F450BA"/>
    <w:rsid w:val="00F4684B"/>
    <w:rsid w:val="00F46BE9"/>
    <w:rsid w:val="00F475C4"/>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5E84"/>
    <w:rsid w:val="00FE66C2"/>
    <w:rsid w:val="00FE684A"/>
    <w:rsid w:val="00FE6F23"/>
    <w:rsid w:val="00FF0F8C"/>
    <w:rsid w:val="00FF408B"/>
    <w:rsid w:val="00FF43E1"/>
    <w:rsid w:val="03430854"/>
    <w:rsid w:val="039F5FA6"/>
    <w:rsid w:val="09305ADA"/>
    <w:rsid w:val="0E8013B7"/>
    <w:rsid w:val="10D604C6"/>
    <w:rsid w:val="11B515E0"/>
    <w:rsid w:val="13A53267"/>
    <w:rsid w:val="13F970D2"/>
    <w:rsid w:val="14AA4136"/>
    <w:rsid w:val="163A420B"/>
    <w:rsid w:val="19413B26"/>
    <w:rsid w:val="1C6D3688"/>
    <w:rsid w:val="1C974DF7"/>
    <w:rsid w:val="1CC63D0A"/>
    <w:rsid w:val="1DC2081A"/>
    <w:rsid w:val="1DD94266"/>
    <w:rsid w:val="1F9D0947"/>
    <w:rsid w:val="1FFB29C6"/>
    <w:rsid w:val="22AF3620"/>
    <w:rsid w:val="22E70AD4"/>
    <w:rsid w:val="24F1508D"/>
    <w:rsid w:val="266F634F"/>
    <w:rsid w:val="291059EA"/>
    <w:rsid w:val="2BBF12EC"/>
    <w:rsid w:val="2BC649D9"/>
    <w:rsid w:val="3515160D"/>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4DD6417"/>
    <w:rsid w:val="66004745"/>
    <w:rsid w:val="6A567F20"/>
    <w:rsid w:val="6CD97953"/>
    <w:rsid w:val="6ED30FD7"/>
    <w:rsid w:val="6EFE0968"/>
    <w:rsid w:val="727D78FD"/>
    <w:rsid w:val="73CC655F"/>
    <w:rsid w:val="75957445"/>
    <w:rsid w:val="75D01AE1"/>
    <w:rsid w:val="77524363"/>
    <w:rsid w:val="77B917B5"/>
    <w:rsid w:val="78703975"/>
    <w:rsid w:val="7B7195AB"/>
    <w:rsid w:val="7BE420FD"/>
    <w:rsid w:val="7D0D296B"/>
    <w:rsid w:val="7D4E0B54"/>
    <w:rsid w:val="7D503E78"/>
    <w:rsid w:val="7E0160D4"/>
    <w:rsid w:val="BEE71925"/>
    <w:rsid w:val="E7FA9DEF"/>
    <w:rsid w:val="EEFF4B5E"/>
    <w:rsid w:val="F57384CC"/>
    <w:rsid w:val="FCDB50CA"/>
    <w:rsid w:val="FDF8D4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autoRedefine/>
    <w:qFormat/>
    <w:uiPriority w:val="34"/>
    <w:pPr>
      <w:spacing w:line="240" w:lineRule="auto"/>
      <w:ind w:firstLine="420"/>
    </w:pPr>
    <w:rPr>
      <w:rFonts w:ascii="Calibri" w:hAnsi="Calibri"/>
      <w:sz w:val="21"/>
      <w:szCs w:val="22"/>
    </w:rPr>
  </w:style>
  <w:style w:type="paragraph" w:customStyle="1" w:styleId="135">
    <w:name w:val="可研正文"/>
    <w:basedOn w:val="1"/>
    <w:link w:val="136"/>
    <w:qFormat/>
    <w:uiPriority w:val="0"/>
    <w:pPr>
      <w:ind w:firstLine="200"/>
    </w:pPr>
    <w:rPr>
      <w:rFonts w:ascii="仿宋" w:hAnsi="仿宋" w:eastAsia="仿宋" w:cstheme="minorBidi"/>
      <w:sz w:val="28"/>
      <w:szCs w:val="28"/>
    </w:rPr>
  </w:style>
  <w:style w:type="character" w:customStyle="1" w:styleId="136">
    <w:name w:val="可研正文 Char"/>
    <w:link w:val="135"/>
    <w:qFormat/>
    <w:uiPriority w:val="0"/>
    <w:rPr>
      <w:rFonts w:ascii="仿宋" w:hAnsi="仿宋" w:eastAsia="仿宋" w:cstheme="minorBidi"/>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210F804B-715E-4059-B363-ED46107B21B0}">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27</Pages>
  <Words>3327</Words>
  <Characters>18967</Characters>
  <Lines>158</Lines>
  <Paragraphs>44</Paragraphs>
  <TotalTime>1177</TotalTime>
  <ScaleCrop>false</ScaleCrop>
  <LinksUpToDate>false</LinksUpToDate>
  <CharactersWithSpaces>22250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2025-12-31T13:32:00Z</dcterms:created>
  <dc:creator>gtig_tzb</dc:creator>
  <cp:lastModifiedBy>王婉婷</cp:lastModifiedBy>
  <cp:lastPrinted>2020-08-07T20:08:00Z</cp:lastPrinted>
  <dcterms:modified xsi:type="dcterms:W3CDTF">2026-03-19T14:20:07Z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99078E94B8EC48E3A26F0151BF8A7C14_13</vt:lpwstr>
  </property>
</Properties>
</file>