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numPr>
          <w:ilvl w:val="0"/>
          <w:numId w:val="0"/>
        </w:numPr>
        <w:kinsoku/>
        <w:wordWrap/>
        <w:overflowPunct/>
        <w:topLinePunct w:val="0"/>
        <w:autoSpaceDE/>
        <w:autoSpaceDN/>
        <w:bidi w:val="0"/>
        <w:adjustRightInd/>
        <w:snapToGrid/>
        <w:spacing w:before="0" w:after="0" w:line="600" w:lineRule="exact"/>
        <w:jc w:val="both"/>
        <w:textAlignment w:val="auto"/>
        <w:rPr>
          <w:rFonts w:hint="eastAsia" w:ascii="黑体" w:hAnsi="黑体" w:eastAsia="黑体" w:cs="黑体"/>
          <w:b w:val="0"/>
          <w:bCs w:val="0"/>
          <w:sz w:val="32"/>
          <w:szCs w:val="32"/>
          <w:lang w:val="en-US" w:eastAsia="zh-CN"/>
        </w:rPr>
      </w:pPr>
      <w:bookmarkStart w:id="0" w:name="_Toc63785461"/>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pageBreakBefore w:val="0"/>
        <w:widowControl/>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val="en-US" w:eastAsia="zh-CN"/>
        </w:rPr>
      </w:pPr>
    </w:p>
    <w:p>
      <w:pPr>
        <w:pStyle w:val="2"/>
        <w:numPr>
          <w:ilvl w:val="0"/>
          <w:numId w:val="0"/>
        </w:numPr>
        <w:jc w:val="center"/>
        <w:rPr>
          <w:rFonts w:hint="eastAsia"/>
          <w:lang w:eastAsia="zh-CN"/>
        </w:rPr>
      </w:pPr>
      <w:r>
        <w:rPr>
          <w:rFonts w:hint="eastAsia"/>
          <w:lang w:eastAsia="zh-CN"/>
        </w:rPr>
        <w:t>“随申办·一码做志愿”数字化项目子系统建设项目</w:t>
      </w:r>
    </w:p>
    <w:p>
      <w:pPr>
        <w:pStyle w:val="2"/>
        <w:numPr>
          <w:ilvl w:val="0"/>
          <w:numId w:val="0"/>
        </w:numPr>
        <w:ind w:left="425"/>
        <w:jc w:val="center"/>
        <w:rPr>
          <w:rFonts w:hint="eastAsia"/>
        </w:rPr>
      </w:pPr>
      <w:r>
        <w:rPr>
          <w:rFonts w:hint="eastAsia"/>
        </w:rPr>
        <w:t>采购需求</w:t>
      </w:r>
    </w:p>
    <w:p>
      <w:pPr>
        <w:ind w:left="0" w:leftChars="0" w:firstLine="0" w:firstLineChars="0"/>
        <w:jc w:val="center"/>
        <w:rPr>
          <w:rFonts w:hint="eastAsia" w:ascii="楷体_GB2312" w:hAnsi="楷体_GB2312" w:eastAsia="楷体_GB2312" w:cs="楷体_GB2312"/>
          <w:sz w:val="30"/>
          <w:szCs w:val="30"/>
          <w:lang w:eastAsia="zh-CN"/>
        </w:rPr>
      </w:pPr>
      <w:bookmarkStart w:id="33" w:name="_GoBack"/>
      <w:bookmarkEnd w:id="33"/>
    </w:p>
    <w:p>
      <w:pPr>
        <w:pStyle w:val="2"/>
      </w:pPr>
      <w:r>
        <w:rPr>
          <w:rFonts w:hint="eastAsia"/>
        </w:rPr>
        <w:t>项目概况</w:t>
      </w:r>
      <w:bookmarkEnd w:id="0"/>
    </w:p>
    <w:p>
      <w:pPr>
        <w:ind w:firstLine="480"/>
        <w:rPr>
          <w:rFonts w:hint="eastAsia"/>
        </w:rPr>
      </w:pPr>
      <w:r>
        <w:rPr>
          <w:rFonts w:hint="eastAsia"/>
        </w:rPr>
        <w:t>为深入贯彻中共中央办公厅、国务院办公厅《关于健全新时代志愿服务体系的意见》以及国家“十五五”规划关于“加强志愿服务组织管理”的部署要求，落实市委社会工作会议关于“健全志愿服务制度和工作体系，依托‘随申办’打造‘一码做志愿’数字应用场景”的相关要求，市委社会工作部拟建设全市统一、便捷高效的“随申办·一码做志愿”信息化项目，通过加强信息化建设，健全志愿服务组织体系、规范志愿服务全过程管理、完善激励褒奖措施等，进一步健全完善本市志愿服务体系建设，推动志愿服务事业高质量发展。</w:t>
      </w:r>
    </w:p>
    <w:p>
      <w:pPr>
        <w:pStyle w:val="2"/>
      </w:pPr>
      <w:bookmarkStart w:id="1" w:name="_Toc47536272"/>
      <w:bookmarkEnd w:id="1"/>
      <w:bookmarkStart w:id="2" w:name="_Toc47532255"/>
      <w:bookmarkEnd w:id="2"/>
      <w:bookmarkStart w:id="3" w:name="_Toc47533256"/>
      <w:bookmarkEnd w:id="3"/>
      <w:bookmarkStart w:id="4" w:name="_Toc47531634"/>
      <w:bookmarkEnd w:id="4"/>
      <w:bookmarkStart w:id="5" w:name="_Toc47532891"/>
      <w:bookmarkEnd w:id="5"/>
      <w:bookmarkStart w:id="6" w:name="_Toc47537134"/>
      <w:bookmarkEnd w:id="6"/>
      <w:bookmarkStart w:id="7" w:name="_Toc47539070"/>
      <w:bookmarkEnd w:id="7"/>
      <w:bookmarkStart w:id="8" w:name="_Toc47536644"/>
      <w:bookmarkEnd w:id="8"/>
      <w:bookmarkStart w:id="9" w:name="_Toc48223882"/>
      <w:bookmarkStart w:id="10" w:name="_Toc63785463"/>
      <w:r>
        <w:rPr>
          <w:rFonts w:hint="eastAsia"/>
        </w:rPr>
        <w:t>建设目标</w:t>
      </w:r>
      <w:bookmarkEnd w:id="9"/>
      <w:bookmarkEnd w:id="10"/>
    </w:p>
    <w:p>
      <w:pPr>
        <w:ind w:firstLine="480"/>
      </w:pPr>
      <w:r>
        <w:rPr>
          <w:rFonts w:hint="eastAsia"/>
        </w:rPr>
        <w:t>该项目依托上海市政务服务“一网通办”，旨在为广大志愿者和志愿服务组织提供一站式便捷服务平台，通过随申办市民云门户（志愿者端、志愿服务组织端）、服务后台、管理后台、数据管理系统五大模块建设，打造全市统一、便捷高效的“随申办·一码做志愿”数字应用场景，实现志愿者</w:t>
      </w:r>
      <w:r>
        <w:rPr>
          <w:rFonts w:hint="eastAsia"/>
          <w:lang w:val="en-US" w:eastAsia="zh-CN"/>
        </w:rPr>
        <w:t>实名</w:t>
      </w:r>
      <w:r>
        <w:rPr>
          <w:rFonts w:hint="eastAsia"/>
        </w:rPr>
        <w:t>注册认证、项目管理、志愿者码亮码服务，组织审核管理，以及数据存储、治理、安全备份全流程一站式数字赋能，为数据智能互通、统一指挥调度、全程规范管理提供有力支撑。</w:t>
      </w:r>
    </w:p>
    <w:p>
      <w:pPr>
        <w:ind w:firstLine="480"/>
        <w:rPr>
          <w:bCs/>
        </w:rPr>
      </w:pPr>
      <w:r>
        <w:rPr>
          <w:rFonts w:hint="eastAsia"/>
          <w:bCs/>
        </w:rPr>
        <w:t>一、应用指标：实现志愿者快速</w:t>
      </w:r>
      <w:r>
        <w:rPr>
          <w:rFonts w:hint="eastAsia"/>
          <w:bCs/>
          <w:lang w:val="en-US" w:eastAsia="zh-CN"/>
        </w:rPr>
        <w:t>实名</w:t>
      </w:r>
      <w:r>
        <w:rPr>
          <w:rFonts w:hint="eastAsia"/>
          <w:bCs/>
        </w:rPr>
        <w:t>注册、电子志愿者证生成、项目浏览报名、扫码签到，组织认证、成员及项目全流程管理，后台审核、问卷管理，码场景管控、统一身份认证，以及元数据管理、备份恢复等全部建设内容，实现核心功能全覆盖、操作便捷化，达成志愿服务全流程线上闭环管理与可追溯。</w:t>
      </w:r>
    </w:p>
    <w:p>
      <w:pPr>
        <w:ind w:firstLine="480"/>
        <w:rPr>
          <w:bCs/>
        </w:rPr>
      </w:pPr>
      <w:r>
        <w:rPr>
          <w:rFonts w:hint="eastAsia"/>
          <w:bCs/>
        </w:rPr>
        <w:t>二、技术指标：保障系统与“随申办”移动端、“随申码”体系、市大数据管理系统无缝对接，实现数据互通顺畅，常规业务流程页面响应时间≤3秒，高频业务页面响应时间≤5秒</w:t>
      </w:r>
      <w:r>
        <w:rPr>
          <w:bCs/>
        </w:rPr>
        <w:t>；系统年可用率≥99.9%，数据备份成功率100%，落实加密防护、细粒度权限控制、日志审计等安全措施，满足政务系统安全与合规要求；支持多终端适配，响应流畅，适配各类主流浏览器及移动设备，实现主备数据中心实时同步、故障快速切换的高可用保障。</w:t>
      </w:r>
    </w:p>
    <w:p>
      <w:pPr>
        <w:ind w:firstLine="480"/>
        <w:rPr>
          <w:bCs/>
        </w:rPr>
      </w:pPr>
      <w:r>
        <w:rPr>
          <w:rFonts w:hint="eastAsia"/>
          <w:bCs/>
        </w:rPr>
        <w:t>三、绩效目标：建成全市统一的志愿服务信息化平台，简化志愿者注册审批、组织认证、项目发布及参与流程，提升市民参与志愿服务的便捷度；实现志愿服务数据本地化、规范化管理，打破数据壁垒，提升跨部门、各级志愿服务组织协同审核与管理效率；完善志愿服务全流程管理与激励褒奖支撑体系，强化数据安全保障，推动志愿服务常态化、规范化、智能化发展。</w:t>
      </w:r>
    </w:p>
    <w:p>
      <w:pPr>
        <w:pStyle w:val="2"/>
      </w:pPr>
      <w:bookmarkStart w:id="11" w:name="_Toc47539102"/>
      <w:bookmarkEnd w:id="11"/>
      <w:bookmarkStart w:id="12" w:name="_Toc47536676"/>
      <w:bookmarkEnd w:id="12"/>
      <w:bookmarkStart w:id="13" w:name="_Toc47536304"/>
      <w:bookmarkEnd w:id="13"/>
      <w:bookmarkStart w:id="14" w:name="_Toc47537166"/>
      <w:bookmarkEnd w:id="14"/>
      <w:bookmarkStart w:id="15" w:name="_Toc47532923"/>
      <w:bookmarkEnd w:id="15"/>
      <w:bookmarkStart w:id="16" w:name="_Toc47533288"/>
      <w:bookmarkEnd w:id="16"/>
      <w:r>
        <w:rPr>
          <w:rFonts w:hint="eastAsia"/>
        </w:rPr>
        <w:t>项目建设内容</w:t>
      </w:r>
    </w:p>
    <w:p>
      <w:pPr>
        <w:ind w:firstLine="480"/>
      </w:pPr>
      <w:r>
        <w:rPr>
          <w:rFonts w:hint="eastAsia"/>
        </w:rPr>
        <w:t>1、技术路线：本项目遵循“政务引领、安全合规、实用高效、可扩展、易维护”原则，贴合上海“一网通办”改革要求，采用成熟适配的政务级技术体系。总体以“数据本地化、服务一体化”为核心，依托市政务云、随申办用户体系，构建集约化、模块化技术架构。核心技术包括：后端采用微服务框架，前端适配移动端；完成数据本地化迁移，数据库实现分级存储；采用负载均衡、集群部署应对高并发，主备双活保障高可用；构建全层级安全防护体系，采用国密算法，符合等保及密码合规要求，优先选用国产软硬件，确保系统自主可控</w:t>
      </w:r>
      <w:r>
        <w:t>。</w:t>
      </w:r>
    </w:p>
    <w:p>
      <w:pPr>
        <w:ind w:firstLine="480"/>
      </w:pPr>
      <w:r>
        <w:rPr>
          <w:rFonts w:hint="eastAsia"/>
        </w:rPr>
        <w:t>2、系统架构：本项目采用分层模块化设计</w:t>
      </w:r>
      <w:r>
        <w:t>，配套安全保障层、</w:t>
      </w:r>
      <w:r>
        <w:rPr>
          <w:rFonts w:hint="eastAsia"/>
        </w:rPr>
        <w:t>运营</w:t>
      </w:r>
      <w:r>
        <w:t>管理层，各层独立部署、协同联动。自上而下依次为：前端展示层（依托随申办，含志愿者端、组织端，适配移动端）、接入网关层（部署网关，负责路由、限流等）、业务服务层（微服务架构，含五大核心模块，实现全业务逻辑）、数据服务层（含数据管理系统、数据库集群及标准化接口，负责数据归集与治理）、基础设施层（依托市政务云，提供计算、存储、网络、密码资源）。架构设计严格遵循政务规范，实现功能模块化、服务可扩展、管理可</w:t>
      </w:r>
      <w:r>
        <w:rPr>
          <w:rFonts w:hint="eastAsia"/>
        </w:rPr>
        <w:t>管控，确保系统稳定、易维护，满足志愿服务全流程数字化管理需求。</w:t>
      </w:r>
    </w:p>
    <w:p>
      <w:pPr>
        <w:ind w:firstLine="480"/>
      </w:pPr>
      <w:r>
        <w:rPr>
          <w:rFonts w:hint="eastAsia"/>
        </w:rPr>
        <w:t>3、部署环境：本项目依托上海市政务云部署，遵循合规、高可用、安全隔离等原则，分政务外网、互联网双区域部署，网闸实现双网隔离与联通。共部署</w:t>
      </w:r>
      <w:r>
        <w:t>19台虚拟机，政务外网部署Web应用、数据库等核心服务器，互联网部署前端代理及H5集群。硬件配置满足计算、存储需求，软件优先选用国产及开源成熟产品。部署要求核心服务集群部署，采用全量+日志备份策略，严格配置安全防护，完成与随申办等系统接口对接，部署后需通过全类型测试，确保安全合规、稳定运行。</w:t>
      </w:r>
    </w:p>
    <w:p>
      <w:pPr>
        <w:snapToGrid w:val="0"/>
        <w:spacing w:line="440" w:lineRule="exact"/>
        <w:ind w:firstLine="482"/>
        <w:jc w:val="left"/>
        <w:rPr>
          <w:b/>
        </w:rPr>
      </w:pPr>
      <w:r>
        <w:rPr>
          <w:rFonts w:hint="eastAsia"/>
          <w:b/>
        </w:rPr>
        <w:t>4、项目建设清单：</w:t>
      </w:r>
    </w:p>
    <w:tbl>
      <w:tblPr>
        <w:tblStyle w:val="16"/>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992"/>
        <w:gridCol w:w="5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000000" w:fill="F3F8FC"/>
            <w:tcMar>
              <w:left w:w="0" w:type="dxa"/>
              <w:right w:w="0" w:type="dxa"/>
            </w:tcMar>
            <w:vAlign w:val="center"/>
          </w:tcPr>
          <w:p>
            <w:pPr>
              <w:spacing w:line="240" w:lineRule="auto"/>
              <w:ind w:firstLine="0" w:firstLineChars="0"/>
              <w:jc w:val="center"/>
              <w:rPr>
                <w:rFonts w:cs="宋体"/>
                <w:b/>
                <w:color w:val="000000"/>
                <w:kern w:val="0"/>
                <w:sz w:val="18"/>
                <w:szCs w:val="18"/>
              </w:rPr>
            </w:pPr>
            <w:r>
              <w:rPr>
                <w:rFonts w:hint="eastAsia" w:cs="宋体"/>
                <w:b/>
                <w:color w:val="000000"/>
                <w:kern w:val="0"/>
                <w:sz w:val="18"/>
                <w:szCs w:val="18"/>
              </w:rPr>
              <w:t>序号</w:t>
            </w:r>
          </w:p>
        </w:tc>
        <w:tc>
          <w:tcPr>
            <w:tcW w:w="851" w:type="dxa"/>
            <w:shd w:val="clear" w:color="000000" w:fill="F3F8FC"/>
            <w:tcMar>
              <w:left w:w="0" w:type="dxa"/>
              <w:right w:w="0" w:type="dxa"/>
            </w:tcMar>
            <w:vAlign w:val="center"/>
          </w:tcPr>
          <w:p>
            <w:pPr>
              <w:spacing w:line="240" w:lineRule="auto"/>
              <w:ind w:firstLine="0" w:firstLineChars="0"/>
              <w:jc w:val="center"/>
              <w:rPr>
                <w:rFonts w:cs="宋体"/>
                <w:b/>
                <w:color w:val="000000"/>
                <w:kern w:val="0"/>
                <w:sz w:val="18"/>
                <w:szCs w:val="18"/>
              </w:rPr>
            </w:pPr>
            <w:r>
              <w:rPr>
                <w:rFonts w:hint="eastAsia" w:cs="宋体"/>
                <w:b/>
                <w:color w:val="000000"/>
                <w:kern w:val="0"/>
                <w:sz w:val="18"/>
                <w:szCs w:val="18"/>
              </w:rPr>
              <w:t>应用系统名称</w:t>
            </w:r>
          </w:p>
        </w:tc>
        <w:tc>
          <w:tcPr>
            <w:tcW w:w="992" w:type="dxa"/>
            <w:shd w:val="clear" w:color="000000" w:fill="F3F8FC"/>
            <w:noWrap/>
            <w:tcMar>
              <w:left w:w="0" w:type="dxa"/>
              <w:right w:w="0" w:type="dxa"/>
            </w:tcMar>
            <w:vAlign w:val="center"/>
          </w:tcPr>
          <w:p>
            <w:pPr>
              <w:spacing w:line="240" w:lineRule="auto"/>
              <w:ind w:firstLine="0" w:firstLineChars="0"/>
              <w:jc w:val="center"/>
              <w:rPr>
                <w:rFonts w:cs="宋体"/>
                <w:b/>
                <w:color w:val="000000"/>
                <w:kern w:val="0"/>
                <w:sz w:val="18"/>
                <w:szCs w:val="18"/>
              </w:rPr>
            </w:pPr>
            <w:r>
              <w:rPr>
                <w:rFonts w:hint="eastAsia" w:cs="宋体"/>
                <w:b/>
                <w:color w:val="000000"/>
                <w:kern w:val="0"/>
                <w:sz w:val="18"/>
                <w:szCs w:val="18"/>
              </w:rPr>
              <w:t>模块名称</w:t>
            </w:r>
          </w:p>
        </w:tc>
        <w:tc>
          <w:tcPr>
            <w:tcW w:w="5727" w:type="dxa"/>
            <w:shd w:val="clear" w:color="000000" w:fill="F3F8FC"/>
            <w:tcMar>
              <w:left w:w="0" w:type="dxa"/>
              <w:right w:w="0" w:type="dxa"/>
            </w:tcMar>
            <w:vAlign w:val="center"/>
          </w:tcPr>
          <w:p>
            <w:pPr>
              <w:spacing w:line="240" w:lineRule="auto"/>
              <w:ind w:firstLine="0" w:firstLineChars="0"/>
              <w:jc w:val="center"/>
              <w:rPr>
                <w:rFonts w:cs="宋体"/>
                <w:b/>
                <w:color w:val="000000"/>
                <w:kern w:val="0"/>
                <w:sz w:val="18"/>
                <w:szCs w:val="18"/>
              </w:rPr>
            </w:pPr>
            <w:r>
              <w:rPr>
                <w:rFonts w:hint="eastAsia" w:cs="宋体"/>
                <w:b/>
                <w:color w:val="000000"/>
                <w:kern w:val="0"/>
                <w:sz w:val="18"/>
                <w:szCs w:val="18"/>
              </w:rPr>
              <w:t>模块描述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p>
        </w:tc>
        <w:tc>
          <w:tcPr>
            <w:tcW w:w="851" w:type="dxa"/>
            <w:vMerge w:val="restart"/>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随申办市民云门户（志愿者端）</w:t>
            </w: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cs="宋体"/>
                <w:kern w:val="0"/>
                <w:sz w:val="18"/>
                <w:szCs w:val="18"/>
                <w:lang w:bidi="ar"/>
              </w:rPr>
              <w:t>志愿者注册</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志愿者依托随申办数据快速注册，自动比对身份证信息，复用已有账号数据避免重复填写。新用户补充政治面貌及服务类别后直接成为正式志愿者，无需审批。注册成功后自动生成符合市级电子证照标准的上海市志愿者证，含动态二维码及固定底板信息，与随申办账号绑定并同步至市电子证照库，支持通过“一网通办”平台查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cs="宋体"/>
                <w:kern w:val="0"/>
                <w:sz w:val="18"/>
                <w:szCs w:val="18"/>
                <w:lang w:bidi="ar"/>
              </w:rPr>
              <w:t>志愿者账号管理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实现志愿者账号与随申办账号授权关联，通过身份证信息匹配完成免注册认证及自动登录，再次访问直接进入关联账号。支持多账号集中管理，可展示并切换个人志愿者账号及所属志愿服务组织账号，切换后界面内容自动适配账号类型，实现跨角色服务无缝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3</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智能筛选列表及地图定位视图，展示所有运行中志愿服务项目，包含项目名称、状态、标签、时间、招募人数等关键信息及距离用户当前位置公里数。支持项目详情查看、未满岗位一键报名与取消、项目分享链接生成，他人点击链接可直接跳转查看详情及报名，方便志愿者快速筛选、定位并参与感兴趣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4</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需展示全部正式志愿服务组织列表，包含组织名称、成立日期、成员人数、项目数量、累计服务时长等信息，支持按成立日期、距离远近排序及按区域、服务类别等筛选。提供组织详情查看功能，包含组织</w:t>
            </w:r>
            <w:r>
              <w:rPr>
                <w:rFonts w:cs="宋体"/>
                <w:kern w:val="0"/>
                <w:sz w:val="18"/>
                <w:szCs w:val="18"/>
                <w:lang w:bidi="ar"/>
              </w:rPr>
              <w:t>logo、编码、地址、联系人信息等，支持志愿者一键申请加入或退出组织，实时管理申请状态，还可生成组织海报供分享推广。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5</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志愿者码亮码服务</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基于随申码体系构建身份认证入口，志愿者亮码后供志愿服务组织扫码完成身份核验，自动关联志愿者与项目岗位信息。扫码后触发服务签到及动态计时功能，精准记录服务时长，作为工作量核算与服务证明发放依据。项目结项时自动生成标准化服务记录，包含服务名称、岗位、起止时间及累计时长等关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6</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志愿者码快捷服务</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对接无犯罪记录证明开具功能，支持志愿者通过专区便捷申请，部门审核通过后可在线查看。志愿服务项目结项后，系统自动生成服务记录，志愿者可查看本人记录，并依据已完成的结项项目申请开具志愿服务证明，简化证明办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7</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扫码服务</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志愿者扫描“志愿服务组织码”直接跳转查看组织详细信息，包括名称、联系人、简介、注册状态、服务类别等。扫描“志愿服务项目码”可实现一键签到，系统自动比对岗位信息，再次扫描同一项目码时自动记录结束时间并计算服务时长，优化志愿服务现场签到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8</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志愿服务调查问卷</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涵盖志愿服务组织、项目、系统等多分类的调查问卷，不同分类对应不同填写内容。支持在线编辑，提交前可修改，设有暂存功能。提交后按问题种类流转至对应处理方，项目类问卷流转至相关组织，组织类问卷流转至上级组织及服务后台，便于快速收集反馈并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9</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志愿者用户中心</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集成个人管理与服务信息查看功能，支持查看累计服务时长、参与项目数量等基本信息，修改注册资料、可服务时间等内容，查看个人标签属性及守时程度、服务态度等平均分。提供志愿者证详情查看与下载、服务记录及证明查看与保存功能，还可查看已参加和申请报名的项目进度、正式加入及申请中的组织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p>
        </w:tc>
        <w:tc>
          <w:tcPr>
            <w:tcW w:w="851" w:type="dxa"/>
            <w:vMerge w:val="restart"/>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随申办市民云门户（志愿服务组织端）</w:t>
            </w: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志愿服务组织认证申请</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便捷的账号注册功能，组织负责人填写组织名称、主管单位、地址等信息完成注册，自动复用其随申办个人信息作为负责人信息。已注册组织的负责人授权后可通过随申办身份证号一键关联登录，支持在多个所属组织账号间快速切换。负责人可授权其他个人作为管理员并设置有效期，被授权管理员可在有效期内登录管理该组织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需支持管理员查看并筛选正式成员详细信息，通过身份证校验手动增删成员，集成短信推送与个性化标签管理功能。提供志愿者加入申请全生命周期管理，包括申请列表查看、审批通过</w:t>
            </w:r>
            <w:r>
              <w:rPr>
                <w:rFonts w:cs="宋体"/>
                <w:kern w:val="0"/>
                <w:sz w:val="18"/>
                <w:szCs w:val="18"/>
                <w:lang w:bidi="ar"/>
              </w:rPr>
              <w:t>/驳回及反馈。支持动态分组管理，可创建、编辑、删除分组，灵活调配成员至不同分组并查看服务数据，实现精准化人力资源配置。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3</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涵盖项目发布、申请审批和未结项管理全流程。发布前需阅读须知，填写项目基本信息、标注标签、设置岗位签到方式，支持历史项目信息复用。项目需经上级审批，审批前后可查看详情与进度，支持挂载地图。可统一查看待招募、招募中、进行中的未结项项目，项目完成后可手动结项，超期自动结项，确保项目规范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4</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cs="宋体"/>
                <w:kern w:val="0"/>
                <w:sz w:val="18"/>
                <w:szCs w:val="18"/>
                <w:lang w:bidi="ar"/>
              </w:rPr>
              <w:t>志愿者招募管理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志愿服务组织在项目招募阶段对志愿者申请进行审批，可同意或拒绝报名。允许管理者根据志愿者技能和项目需求调整岗位分配，可将正式成员录入项目岗位或将已录用志愿者移至待审核列表。支持向相关成员发送录用结果通知，可定制推送内容、选择推送范围及设置时间，确保信息及时传达，支持短信推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5</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sz w:val="18"/>
                <w:szCs w:val="18"/>
              </w:rPr>
              <w:t>志愿者码扫码签到</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为志愿服务组织管理者提供扫描志愿者个人二维码的功能，用于快速识别志愿者身份并记录参与情况。在志愿服务项目现场，管理者扫描志愿者码即可完成签到操作，同时对志愿者服务时长进行计时，确保服务时长准确性，为计算志愿者工作量和发放服务证明提供依据，简化现场管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6</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志愿服务项目码签到管理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运行中的志愿服务项目向市级随申码平台申请生成项目码，组织可下载或保存项目码并张贴于现场供志愿者扫码。提供志愿者扫码签到与结束记录列表，管理者可查看所有志愿者的扫码签到和结束时间，监控项目参与情况。支持对签到信息进行审核，还可手动录入志愿者服务时长，应对特殊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7</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已结项志愿服务项目管理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查看本组织所有结项项目列表，包括正式结项、上级审核不通过、组织主动撤销的项目。可查看项目详情信息，包括基本信息、岗位信息、联系人信息等。支持查看参与项目的正式录用志愿者名单及服务时长，还可对志愿者进行单个或批量评价，包括守时程度、服务态度、专业服务水平等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8</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下级志愿服务审核</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上级组织查看下级组织发布的新志愿服务项目基础信息与详情，对其进行审核。审核通过的项目可正常开展，志愿者可见；审核不通过则项目无法进行。可查看经本组织审核通过的下级志愿服务项目信息与详情，对于已结项项目，还可查看正式录用的志愿者名单及对应详情，实现对下级组织项目的全流程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9</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下级志愿服务组织管理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上级组织对下级组织进行全流程管理，包括待审组织的注册信息核验与准入审批、已审组织的资料动态维护（含信息编辑、标签标注及短信推送）、停用组织的激活与退出机制。提供已停用组织档案留存与启用通知功能，确保组织状态变更可追溯。支持智能分组管理，可创建、编辑、合并分组，实现下级组织多维度分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0</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服务证明开具管理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为管理者提供服务证明申请处理功能，可集中查看所有志愿者或组织提交的申请列表，包含申请日期、申请人、服务摘要等信息。支持进入详情页审核申请的详细信息，包括志愿者资料、服务项目内容、时长、成果及证明预览。管理者核验服务真实性与合规性后，系统正式开具服务证明，申请人可在线查看或一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cs="宋体"/>
                <w:kern w:val="0"/>
                <w:sz w:val="18"/>
                <w:szCs w:val="18"/>
                <w:lang w:bidi="ar"/>
              </w:rPr>
              <w:t>11</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志愿服务组织用户中心</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包含用户信息管理、授权管理员及标签管理功能。支持查看组织名称、成立日期等基本信息，修改组织简介、服务领域等资料。支持对授权通讯录进行人员增删，可选择通讯录人员授权或撤销授权，设有授权记录列表方便查看操作历史。支持查看组织自定及上级标注的标签，可对标签内容进行增删修改，保证标签准确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p>
        </w:tc>
        <w:tc>
          <w:tcPr>
            <w:tcW w:w="851" w:type="dxa"/>
            <w:vMerge w:val="restart"/>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服务后台</w:t>
            </w: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志愿者用户管理与档案管理功能。用户管理功能需展示所有注册志愿者基本信息，支持查看详细资料、关联项目信息、服务时长信息、所属组织信息及评分情况。档案管理功能需集中存储和管理志愿者的上海市志愿者证电子证照信息、服务证明记录，支持查看志愿者服务记录明细，包括项目名称、岗位、服务时间、时长等内容，实现志愿者信息系统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志愿服务组织审核管理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展示和处理所有待审核的下级志愿服务组织申请，列表包含组织名称、申请日期、申请状态等关键信息。管理者可查看并修改待审组织的基本信息、简介及联系人资料，根据审核结果决定是否通过申请，通过后成为正式组织，未通过需填写不通过原因，实现下级组织准入规范化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3</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志愿服务组织信息管理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涵盖组织层级架构、基本信息、关联信息、组织码及标签管理功能。层级架构功能可展示并管理不同层级组织及其关系；基本信息管理支持查看各层级组织列表与详情，修改本级组织信息，对正式组织进行停用与启用；关联信息管理可查看组织下志愿者情况及发布的项目清单与进展；组织码管理支持生成、保存和下载组织唯一识别码；标签管理支持添加、编辑和删除组织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4</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志愿服务组织用户管理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管理和监督志愿服务组织的负责人及关联管理员，支持查看和维护其基本信息、联系方式和职责描述。支持通过短信方式批量或单独向相关人员发送通知消息，便于及时传达重要信息，提升沟通与管理效率，确保组织管理顺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5</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志愿服务组织业务管理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包含服务证明开具记录和投诉举报管理功能。服务证明开具记录功能需记录和追踪已开具的服务证明，包括证明编号、服务内容、开具时间等信息。投诉举报管理功能需接收、处理和反馈针对志愿服务组织的投诉与举报，支持批量审核，便于管理者高效开展监督与管理工作，规范组织业务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6</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志愿服务项目审核管理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查看本部门下级组织申请发布的新项目信息，允许对项目各项内容进行修改。审核人员可对待审项目进行审批，决定是否通过审核。通过审核的项目正式上线并可供志愿者查看和参与，未通过审核的项目无法显示或开展，实现项目发布规范化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cs="宋体"/>
                <w:kern w:val="0"/>
                <w:sz w:val="18"/>
                <w:szCs w:val="18"/>
                <w:lang w:bidi="ar"/>
              </w:rPr>
              <w:t>7</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志愿服务项目信息管理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对已审核通过的项目进行全面信息维护与查看，展示项目基本信息（名称、时间、地点、招募情况等）、所属组织信息、岗位及志愿者关联信息。支持查看项目签到码，便于现场签到管理，还可对服务类别标签进行查看和管理，提升项目分类与管理效率，确保项目信息准确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8</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志愿者标签管理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通过标签分类优化志愿服务匹配效率，支持查看基于不同标签统计的志愿者分布情况。允许管理者根据志愿者特长、兴趣或服务表现手动添加或修改标签。提供申请流程，支持根据特定项目需求通过标签筛选推荐合适的志愿者，实现志愿者精准调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9</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志愿服务组织标签管理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对志愿服务组织进行分类标记与信息统计，支持查看基于标签统计的组织分布详情，包括负责人信息、成立日期等。允许管理者根据组织服务范围和专业领域手动添加或修改标签，提升组织资源配置效率和服务针对性，便于快速筛选合适的组织开展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0</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志愿服务项目标签管理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基于标签查看关联的项目分布情况，包括项目联系人、发布日期等信息。允许管理者依据项目性质、目标群体或服务内容手动添加或调整标签，实现更精准的服务定位和资源分配，提高项目与志愿者的匹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1</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志愿服务问卷调查管理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创建、发布和分析问卷以收集反馈信息，可查看问卷收集情况，分享链接供更多人填写或重新开启已暂停的问卷。支持查看每个人的具体答案及用户信息，提供基于问题内容的统计结果可视化展示（如饼图、柱状图等）。支持创建问卷模板，进行逻辑设置、外观设置和发布设置，灵活定制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角色权限管理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对使用服务后台的各级部门及其成员进行精细化管理，涵盖组织架构管理（维护部门层级结构）、用户管理（账号创建与角色分配）、权限管理配置（按角色设定系统操作权限，包括菜单查看与操作权限）、角色管理（角色新建、编辑、复用、停用、删除等），确保系统安全性和灵活性，满足不同层次用户管理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p>
        </w:tc>
        <w:tc>
          <w:tcPr>
            <w:tcW w:w="851" w:type="dxa"/>
            <w:vMerge w:val="restart"/>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管理后台</w:t>
            </w: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志愿服务码场景管理</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聚焦志愿服务场景中各类码的管理，支持根据志愿者活跃度自动触发志愿者码的激活与停用状态动态调控。完整记录志愿者亮码签到、扫码签到及组织扫码核验的操作轨迹，包含时间、项目信息、签到状态等细节。提供志愿服务项目码的生成记录查询（覆盖项目全状态）与扫码行为分析，实现志愿者、项目、组织三方签到数据闭环追踪与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志愿者码基础能力（人码动态码）</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以动态生成志愿者专属身份码为核心，通过后端接口研发实现与“随申码”系统技术对接，支持志愿者码在签到场景中的实时核验。提供全流程联调测试与环境验证服务，确保志愿者码从生成、展示到签到交互的业务逻辑准确运行，通过测试报告驱动问题优化，保障动态码服务高可用性与场景适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3</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志愿服务组织码基础能力（物码静态码）</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围绕志愿服务组织身份认证需求，通过后端接口开发实现组织码与“随申码”体系集成，支持组织码在志愿者招募、项目申请等场景中的权限核验。配套提供全链路联调测试与配置验证，确保组织码从申请、生成到使用的全流程稳定性，满足组织身份快速核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4</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志愿服务地图基础能力</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需提供坐标转换接口，支持上海城建</w:t>
            </w:r>
            <w:r>
              <w:rPr>
                <w:rFonts w:cs="宋体"/>
                <w:kern w:val="0"/>
                <w:sz w:val="18"/>
                <w:szCs w:val="18"/>
                <w:lang w:bidi="ar"/>
              </w:rPr>
              <w:t>2000坐标系与WGS84、CGCS2000坐标系之间的转换。支持通过单点抓取或批量匹配的方式，根据坐标或地址信息获取相应的行政区划和空间标识信息。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5</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统一身份认证管理能力</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实现随申办志愿者系统登录用户经统一身份认证系统进行身份核验，由统一身份认证系统提供接口供志愿者系统对接获取用户数据。确保登录用户身份真实有效，保障系统访问安全，实现用户身份统一管理与权限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p>
        </w:tc>
        <w:tc>
          <w:tcPr>
            <w:tcW w:w="851" w:type="dxa"/>
            <w:vMerge w:val="restart"/>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数据管理系统</w:t>
            </w: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数据源配置</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需支持多种数据源类型选择、链接参数配置、测试数据源有效性及策略配置等功能。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元数据收集和注册模块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需收集技术元数据（数据表结构、字段类型等）和业务元数据（数据所有权、业务含义等），支持注册新的元数据对象并记录其属性和关系。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3</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元数据存储和组织模块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需存储技术元数据、业务元数据、操作元数据等信息，建立元数据目录结构。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4</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元数据搜索和查询模块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需提供元数据搜索功能，支持用户通过关键词或属性查找元数据信息，同时支持根据特定条件过滤和检索元数据。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5</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元数据更新和维护模块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需支持元数据的更新和维护，确保元数据的准确性和时效性，同时跟踪元数据变更历史，记录修改和更新操作。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6</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数据安全和合规性支持模块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需记录数据访问权限和安全策略的元数据信息，支持数据安全管理和合规性监管，同时跟踪数据使用日志和审计信息，记录数据访问和使用的元数据信息。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7</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元数据导出和集成模块</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需支持将元数据导出到其他系统或工具中使用，同时与其他数据管理系统集成，支持元数据信息在整个数据管理生命周期中的流通和利用。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8</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任务调度中心</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需支持查看任务实例的执行情况，提供基于日志和任务关系的运维操作（如重做、重做后续等），同时允许对已上线程序的调度任务进行新增或批量删除等配置管理操作。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9</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数据备份与恢复</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需制定多样化备份策略（如每日凌晨全量备份、定期日志备份），支持自定义备份计划（全量</w:t>
            </w:r>
            <w:r>
              <w:rPr>
                <w:rFonts w:cs="宋体"/>
                <w:kern w:val="0"/>
                <w:sz w:val="18"/>
                <w:szCs w:val="18"/>
                <w:lang w:bidi="ar"/>
              </w:rPr>
              <w:t>/增量/差异备份），将数据存储于可靠介质并异地冗余存储。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0</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高可用与容灾</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需保障系统在遭遇故障时维持服务连续性，支持自动化故障切换至备份数据中心、硬件故障后的快速数据恢复以及主备数据中心间的实时数据同步。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1</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安全与合规管控</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需通过加密技术对数据存储与传输全程防护，结合细粒度权限控制机制防止数据泄露。全面管理平台运行、访问、操作等日志，通过审计确保日志完整可追溯。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shd w:val="clear" w:color="auto" w:fill="FFFFFF"/>
            <w:tcMar>
              <w:left w:w="0" w:type="dxa"/>
              <w:right w:w="0" w:type="dxa"/>
            </w:tcMar>
            <w:vAlign w:val="center"/>
          </w:tcPr>
          <w:p>
            <w:pPr>
              <w:spacing w:line="240" w:lineRule="auto"/>
              <w:ind w:firstLine="0" w:firstLineChars="0"/>
              <w:jc w:val="center"/>
              <w:textAlignment w:val="center"/>
              <w:rPr>
                <w:rFonts w:cs="宋体"/>
                <w:kern w:val="0"/>
                <w:sz w:val="18"/>
                <w:szCs w:val="18"/>
                <w:lang w:bidi="ar"/>
              </w:rPr>
            </w:pPr>
            <w:r>
              <w:rPr>
                <w:rFonts w:hint="eastAsia" w:cs="宋体"/>
                <w:kern w:val="0"/>
                <w:sz w:val="18"/>
                <w:szCs w:val="18"/>
                <w:lang w:bidi="ar"/>
              </w:rPr>
              <w:t>1</w:t>
            </w:r>
            <w:r>
              <w:rPr>
                <w:rFonts w:cs="宋体"/>
                <w:kern w:val="0"/>
                <w:sz w:val="18"/>
                <w:szCs w:val="18"/>
                <w:lang w:bidi="ar"/>
              </w:rPr>
              <w:t>2</w:t>
            </w:r>
          </w:p>
        </w:tc>
        <w:tc>
          <w:tcPr>
            <w:tcW w:w="851" w:type="dxa"/>
            <w:vMerge w:val="continue"/>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p>
        </w:tc>
        <w:tc>
          <w:tcPr>
            <w:tcW w:w="992"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监控与报警系统</w:t>
            </w:r>
          </w:p>
        </w:tc>
        <w:tc>
          <w:tcPr>
            <w:tcW w:w="5727" w:type="dxa"/>
            <w:shd w:val="clear" w:color="auto" w:fill="FFFFFF"/>
            <w:tcMar>
              <w:left w:w="0" w:type="dxa"/>
              <w:right w:w="0" w:type="dxa"/>
            </w:tcMar>
            <w:vAlign w:val="center"/>
          </w:tcPr>
          <w:p>
            <w:pPr>
              <w:spacing w:line="240" w:lineRule="auto"/>
              <w:ind w:firstLine="0" w:firstLineChars="0"/>
              <w:jc w:val="left"/>
              <w:textAlignment w:val="center"/>
              <w:rPr>
                <w:rFonts w:cs="宋体"/>
                <w:kern w:val="0"/>
                <w:sz w:val="18"/>
                <w:szCs w:val="18"/>
                <w:lang w:bidi="ar"/>
              </w:rPr>
            </w:pPr>
            <w:r>
              <w:rPr>
                <w:rFonts w:hint="eastAsia" w:cs="宋体"/>
                <w:kern w:val="0"/>
                <w:sz w:val="18"/>
                <w:szCs w:val="18"/>
                <w:lang w:bidi="ar"/>
              </w:rPr>
              <w:t>需建立全面的监控与报警系统，实时监测主数据中心和备份数据中心的运行状态。一旦发现异常情况或潜在风险，立即发出报警通知，并自动启动应急响应流程，保障系统安全稳定运行，及时防范和处置风险。</w:t>
            </w:r>
          </w:p>
        </w:tc>
      </w:tr>
    </w:tbl>
    <w:p>
      <w:pPr>
        <w:ind w:firstLine="360"/>
        <w:rPr>
          <w:sz w:val="18"/>
          <w:szCs w:val="18"/>
        </w:rPr>
      </w:pPr>
    </w:p>
    <w:p>
      <w:pPr>
        <w:ind w:firstLine="480"/>
      </w:pPr>
      <w:r>
        <w:rPr>
          <w:rFonts w:hint="eastAsia"/>
        </w:rPr>
        <w:t>5、技术指标：本项目技术指标可量化、可考核，作为验收核心依据。性能上，峰值</w:t>
      </w:r>
      <w:r>
        <w:t>QPS≥1000，核心接口响应≤500ms，年可用率≥99.9%，数据迁移率及准确率分别≥100%、99.99%；功能上，全模块功能完整，接口成功率≥99.9%；安全上，通过密码测评，敏感数据加密存储，日志保存≥1年；</w:t>
      </w:r>
      <w:r>
        <w:rPr>
          <w:rFonts w:hint="eastAsia"/>
        </w:rPr>
        <w:t>兼容性上，适配市政务云、主流移动端及浏览器；可扩展性上，支持功能、资源灵活扩展；可维护性上，模块化维护；合规上，符合网络安全法等法律法规及政务相关标准</w:t>
      </w:r>
      <w:r>
        <w:t>。</w:t>
      </w:r>
    </w:p>
    <w:p>
      <w:pPr>
        <w:pStyle w:val="2"/>
      </w:pPr>
      <w:bookmarkStart w:id="17" w:name="_Toc63785502"/>
      <w:r>
        <w:rPr>
          <w:rFonts w:hint="eastAsia"/>
        </w:rPr>
        <w:t>电子政务云资源需求</w:t>
      </w:r>
      <w:bookmarkEnd w:id="17"/>
    </w:p>
    <w:p>
      <w:pPr>
        <w:ind w:firstLine="480"/>
      </w:pPr>
      <w:r>
        <w:rPr>
          <w:rFonts w:hint="eastAsia"/>
        </w:rPr>
        <w:t>根据项目前期资源现状，本次建设根据估算拟向电子政务云申请</w:t>
      </w:r>
      <w:r>
        <w:t>19</w:t>
      </w:r>
      <w:r>
        <w:rPr>
          <w:rFonts w:hint="eastAsia"/>
        </w:rPr>
        <w:t>台服务器资源CPU</w:t>
      </w:r>
      <w:r>
        <w:t>140</w:t>
      </w:r>
      <w:r>
        <w:rPr>
          <w:rFonts w:hint="eastAsia"/>
        </w:rPr>
        <w:t>核、内存</w:t>
      </w:r>
      <w:r>
        <w:t>480</w:t>
      </w:r>
      <w:r>
        <w:rPr>
          <w:rFonts w:hint="eastAsia"/>
        </w:rPr>
        <w:t>G、存储</w:t>
      </w:r>
      <w:r>
        <w:t>7.6</w:t>
      </w:r>
      <w:r>
        <w:rPr>
          <w:rFonts w:hint="eastAsia"/>
        </w:rPr>
        <w:t>T，其中虚拟机</w:t>
      </w:r>
      <w:r>
        <w:t>19</w:t>
      </w:r>
      <w:r>
        <w:rPr>
          <w:rFonts w:hint="eastAsia"/>
        </w:rPr>
        <w:t>台。</w:t>
      </w:r>
    </w:p>
    <w:p>
      <w:pPr>
        <w:pStyle w:val="2"/>
      </w:pPr>
      <w:bookmarkStart w:id="18" w:name="_Toc63785503"/>
      <w:r>
        <w:rPr>
          <w:rFonts w:hint="eastAsia"/>
        </w:rPr>
        <w:t>其他工作要求</w:t>
      </w:r>
      <w:bookmarkEnd w:id="18"/>
    </w:p>
    <w:p>
      <w:pPr>
        <w:ind w:firstLine="480"/>
        <w:rPr>
          <w:bCs/>
        </w:rPr>
      </w:pPr>
      <w:r>
        <w:rPr>
          <w:rFonts w:hint="eastAsia"/>
          <w:bCs/>
        </w:rPr>
        <w:t>其他工作要求包含：售后服务、应急响应、培训、进度控制、项目团队及人员要求、等级保护要求、企业综合能力要求、商业密码应用需求、技术文件要求等其他要求。其中，售后服务要求需明确本项目质保期和免维期，以及在质保期内供应商的运行维护服务内容；应急响应要求需明确发生各类系统故障时的处置方式；培训要求需明确培训的内容和方式；进度控制要求需明确项目建设周期和试运行阶段；项目团队及人员要求需明确角色、主要职责、人数和人员要求；等级保护要求需明确本项目是否按照</w:t>
      </w:r>
      <w:r>
        <w:rPr>
          <w:rFonts w:hint="eastAsia"/>
        </w:rPr>
        <w:t>按政策标准要求进行建设</w:t>
      </w:r>
      <w:r>
        <w:rPr>
          <w:rFonts w:hint="eastAsia"/>
          <w:bCs/>
        </w:rPr>
        <w:t>；企业综合能力要求需明确</w:t>
      </w:r>
      <w:r>
        <w:rPr>
          <w:rFonts w:hint="eastAsia"/>
        </w:rPr>
        <w:t>履行本项目所必需的专业技术能力、质量管控能力及项目实施经验</w:t>
      </w:r>
      <w:r>
        <w:rPr>
          <w:rFonts w:hint="eastAsia"/>
          <w:bCs/>
        </w:rPr>
        <w:t>；商业密码应用需求需明确</w:t>
      </w:r>
      <w:r>
        <w:rPr>
          <w:rFonts w:hint="eastAsia"/>
        </w:rPr>
        <w:t>本项目</w:t>
      </w:r>
      <w:r>
        <w:rPr>
          <w:rFonts w:hint="eastAsia" w:cs="仿宋_GB2312" w:asciiTheme="minorEastAsia" w:hAnsiTheme="minorEastAsia" w:eastAsiaTheme="minorEastAsia"/>
          <w:szCs w:val="24"/>
        </w:rPr>
        <w:t>所需的密码资源、密码服务等配置</w:t>
      </w:r>
      <w:r>
        <w:rPr>
          <w:rFonts w:hint="eastAsia"/>
          <w:bCs/>
        </w:rPr>
        <w:t>；技术文件要求需明确供应商在建设和后续质保期内应提供的技术文件。</w:t>
      </w:r>
    </w:p>
    <w:p>
      <w:pPr>
        <w:pStyle w:val="3"/>
      </w:pPr>
      <w:bookmarkStart w:id="19" w:name="_Toc63785504"/>
      <w:bookmarkEnd w:id="19"/>
      <w:bookmarkStart w:id="20" w:name="_Toc62209488"/>
      <w:bookmarkEnd w:id="20"/>
      <w:bookmarkStart w:id="21" w:name="_Toc63585480"/>
      <w:bookmarkEnd w:id="21"/>
      <w:bookmarkStart w:id="22" w:name="_Toc61968111"/>
      <w:bookmarkEnd w:id="22"/>
      <w:bookmarkStart w:id="23" w:name="_Toc63762370"/>
      <w:bookmarkEnd w:id="23"/>
      <w:bookmarkStart w:id="24" w:name="_Toc62219358"/>
      <w:bookmarkEnd w:id="24"/>
      <w:bookmarkStart w:id="25" w:name="_Toc63785439"/>
      <w:bookmarkEnd w:id="25"/>
      <w:bookmarkStart w:id="26" w:name="_Toc63151871"/>
      <w:bookmarkEnd w:id="26"/>
      <w:bookmarkStart w:id="27" w:name="_Toc63785505"/>
      <w:r>
        <w:rPr>
          <w:rFonts w:hint="eastAsia"/>
        </w:rPr>
        <w:t>售后服务要求</w:t>
      </w:r>
      <w:bookmarkEnd w:id="27"/>
    </w:p>
    <w:p>
      <w:pPr>
        <w:ind w:firstLine="480"/>
        <w:rPr>
          <w:bCs/>
        </w:rPr>
      </w:pPr>
      <w:r>
        <w:rPr>
          <w:rFonts w:hint="eastAsia"/>
          <w:bCs/>
        </w:rPr>
        <w:t>本项目从系统验收通过之日起1年内提供</w:t>
      </w:r>
      <w:r>
        <w:rPr>
          <w:bCs/>
        </w:rPr>
        <w:t>7*24小时免费技术支持</w:t>
      </w:r>
      <w:r>
        <w:rPr>
          <w:rFonts w:hint="eastAsia"/>
          <w:bCs/>
        </w:rPr>
        <w:t>和售后服务，1年后进入有偿维护期。</w:t>
      </w:r>
    </w:p>
    <w:p>
      <w:pPr>
        <w:ind w:firstLine="480"/>
        <w:rPr>
          <w:bCs/>
        </w:rPr>
      </w:pPr>
      <w:r>
        <w:rPr>
          <w:rFonts w:hint="eastAsia"/>
          <w:bCs/>
        </w:rPr>
        <w:t>在质量保证期内，供应商将按照售后服务的承诺提供保修和运行维护服务，如果厂商对信息系统中软、硬件设备等产品中的部分保修期超过上述期限的，则按照厂商的规定进行免费保修。</w:t>
      </w:r>
    </w:p>
    <w:p>
      <w:pPr>
        <w:ind w:firstLine="480"/>
        <w:rPr>
          <w:bCs/>
        </w:rPr>
      </w:pPr>
      <w:r>
        <w:rPr>
          <w:rFonts w:hint="eastAsia"/>
          <w:bCs/>
        </w:rPr>
        <w:t>在质量保证期内，供应商负责信息系统的运行维护工作，确保信息系统安全、稳定、可靠地运行。</w:t>
      </w:r>
    </w:p>
    <w:p>
      <w:pPr>
        <w:pStyle w:val="3"/>
        <w:ind w:left="1134"/>
        <w:rPr>
          <w:color w:val="000000"/>
        </w:rPr>
      </w:pPr>
      <w:bookmarkStart w:id="28" w:name="_Toc63785507"/>
      <w:r>
        <w:rPr>
          <w:rFonts w:hint="eastAsia"/>
          <w:color w:val="000000"/>
        </w:rPr>
        <w:t>服务响应要求</w:t>
      </w:r>
    </w:p>
    <w:p>
      <w:pPr>
        <w:ind w:firstLine="480"/>
        <w:rPr>
          <w:bCs/>
        </w:rPr>
      </w:pPr>
      <w:r>
        <w:rPr>
          <w:rFonts w:hint="eastAsia"/>
          <w:bCs/>
        </w:rPr>
        <w:t>针对项目采购单位提出的相关工作需求，供应商应在5分钟内作出响应；针对在项目过程中出现的相关平台系统或服务功能问题，供应商应在15分钟内作出响应并安排相关专业的服务团队或技术团队人员，开展相关问题处置工作（简单问题要求2小时内解决，紧急问题要求30分钟内解决，无法立即解决的，要求在1小时内形成解决方案并在4小时内解决）。因成交供应商工作延误，造成采购人损失的，成交供应商应负赔偿责任，具体赔偿方案在签订合同时订立。在服务期内，成交供应商对平台出现的技术问题负责处理解决并承担一切费用。</w:t>
      </w:r>
    </w:p>
    <w:bookmarkEnd w:id="28"/>
    <w:p>
      <w:pPr>
        <w:pStyle w:val="3"/>
        <w:ind w:left="1134"/>
        <w:rPr>
          <w:color w:val="000000"/>
        </w:rPr>
      </w:pPr>
      <w:bookmarkStart w:id="29" w:name="_Toc63785509"/>
      <w:r>
        <w:rPr>
          <w:rFonts w:hint="eastAsia"/>
          <w:color w:val="000000"/>
        </w:rPr>
        <w:t>培训要求</w:t>
      </w:r>
    </w:p>
    <w:p>
      <w:pPr>
        <w:ind w:firstLine="480"/>
        <w:rPr>
          <w:bCs/>
        </w:rPr>
      </w:pPr>
      <w:r>
        <w:rPr>
          <w:rFonts w:hint="eastAsia"/>
          <w:bCs/>
        </w:rPr>
        <w:t>成交供应商须为采购人提供多方面、多层次的培训。培训内容包括：培训安排、多方人员培训、培训答疑、培训质量控制等。</w:t>
      </w:r>
    </w:p>
    <w:p>
      <w:pPr>
        <w:ind w:firstLine="480"/>
        <w:rPr>
          <w:bCs/>
        </w:rPr>
      </w:pPr>
      <w:r>
        <w:rPr>
          <w:rFonts w:hint="eastAsia"/>
          <w:bCs/>
        </w:rPr>
        <w:t>（1）供应商应详细制定人员培训方案，培训方案包括培训目的、培训时间安排、人员层次、人数、次数、培训课程、主要内容、培训组织形式等。</w:t>
      </w:r>
    </w:p>
    <w:p>
      <w:pPr>
        <w:ind w:firstLine="480"/>
        <w:rPr>
          <w:bCs/>
        </w:rPr>
      </w:pPr>
      <w:r>
        <w:rPr>
          <w:rFonts w:hint="eastAsia"/>
          <w:bCs/>
        </w:rPr>
        <w:t>（2）成交供应商应保证提供最有经验的培训人员，使采购人相关人员在培训后能对系统进行管理、使用、维护等基本操作。</w:t>
      </w:r>
    </w:p>
    <w:p>
      <w:pPr>
        <w:ind w:firstLine="480"/>
        <w:rPr>
          <w:bCs/>
        </w:rPr>
      </w:pPr>
      <w:r>
        <w:rPr>
          <w:rFonts w:hint="eastAsia"/>
          <w:bCs/>
        </w:rPr>
        <w:t>（3）培训内容应包括所提供产品的性能、使用、维护等各个方面，并提供全套培训教材和培训课程计划表。</w:t>
      </w:r>
    </w:p>
    <w:p>
      <w:pPr>
        <w:pStyle w:val="3"/>
      </w:pPr>
      <w:r>
        <w:rPr>
          <w:rFonts w:hint="eastAsia"/>
        </w:rPr>
        <w:t>进度要求</w:t>
      </w:r>
      <w:bookmarkEnd w:id="29"/>
    </w:p>
    <w:p>
      <w:pPr>
        <w:ind w:firstLine="480"/>
        <w:rPr>
          <w:bCs/>
        </w:rPr>
      </w:pPr>
      <w:r>
        <w:rPr>
          <w:rFonts w:hint="eastAsia"/>
          <w:bCs/>
        </w:rPr>
        <w:t>供应商应根据建设内容，分阶段制定合理的时间进度，并且应根据采购人要求进行调整和细化。</w:t>
      </w:r>
    </w:p>
    <w:p>
      <w:pPr>
        <w:ind w:firstLine="480"/>
        <w:rPr>
          <w:bCs/>
        </w:rPr>
      </w:pPr>
      <w:r>
        <w:rPr>
          <w:rFonts w:hint="eastAsia"/>
          <w:bCs/>
        </w:rPr>
        <w:t>总建设周期为</w:t>
      </w:r>
      <w:r>
        <w:rPr>
          <w:bCs/>
        </w:rPr>
        <w:t>6</w:t>
      </w:r>
      <w:r>
        <w:rPr>
          <w:rFonts w:hint="eastAsia"/>
          <w:bCs/>
        </w:rPr>
        <w:t>个月。</w:t>
      </w:r>
    </w:p>
    <w:p>
      <w:pPr>
        <w:pStyle w:val="3"/>
        <w:ind w:left="1134"/>
        <w:rPr>
          <w:color w:val="000000"/>
        </w:rPr>
      </w:pPr>
      <w:bookmarkStart w:id="30" w:name="_Toc63785511"/>
      <w:r>
        <w:rPr>
          <w:rFonts w:hint="eastAsia"/>
          <w:color w:val="000000"/>
        </w:rPr>
        <w:t>服务团队要求</w:t>
      </w:r>
    </w:p>
    <w:p>
      <w:pPr>
        <w:ind w:firstLine="480"/>
        <w:rPr>
          <w:bCs/>
        </w:rPr>
      </w:pPr>
      <w:r>
        <w:rPr>
          <w:rFonts w:hint="eastAsia"/>
          <w:bCs/>
        </w:rPr>
        <w:t>供应商应配备一支专业、稳定的服务团队，所有成员均为供应商正式在职员工，熟练掌握政务服务相关政策法规、“一网通办”建设标准及政务信息化系统开发、数字化运营流程。团队需具备远程技术支撑、多系统运行保障、场景化运营及应急处置等常态化服务能力，且能根据采购人要求，在接到现场服务通知后</w:t>
      </w:r>
      <w:r>
        <w:rPr>
          <w:bCs/>
        </w:rPr>
        <w:t>24小时内抵达指定地点开展沟通协调与问题处置工作。具体要求如下：</w:t>
      </w:r>
    </w:p>
    <w:p>
      <w:pPr>
        <w:ind w:firstLine="480"/>
        <w:rPr>
          <w:bCs/>
        </w:rPr>
      </w:pPr>
      <w:r>
        <w:rPr>
          <w:bCs/>
        </w:rPr>
        <w:t>1.项目经理</w:t>
      </w:r>
      <w:r>
        <w:rPr>
          <w:rFonts w:hint="eastAsia"/>
          <w:bCs/>
        </w:rPr>
        <w:t>：成交供应商应指定一名专职项目经理与甲方对口衔接，全面负责本项目的统筹管理工作，包括团队日常管理、项目进度管控、关键节点推进、服务质量监督、成本控制及与甲方、相关协作单位的全流程沟通协调，确保项目各项服务按标准落地。项目经理须具备大学本科及以上学历，计算机科学与技术、软件工程、信息管理与信息系统等计算机及政务信息化相关专业背景；拥有十年以上政务服务领域信息化项目或运营类项目管理经验，且持有信息系统项目管理师资质证书。具备应用类高级专业技术职务任职资格（如高级工程师）者优先，需提供对应任职资格证明。供应商须提交学历证书、资质证书、项目验收报告（佐证项目经验）及在职证明扫描件作为佐证材料。项目经理需工作严谨负责，具备较强的主动学习能力、语言表达与跨部门沟通能力、文字撰写能力及应急处置能力，电话须保持</w:t>
      </w:r>
      <w:r>
        <w:rPr>
          <w:bCs/>
        </w:rPr>
        <w:t>7×24小时畅通，遇特殊情况无法履职时，须提前书面通知甲方并指定临时负责人代行职责。</w:t>
      </w:r>
    </w:p>
    <w:p>
      <w:pPr>
        <w:ind w:firstLine="480"/>
        <w:rPr>
          <w:bCs/>
        </w:rPr>
      </w:pPr>
      <w:r>
        <w:rPr>
          <w:bCs/>
        </w:rPr>
        <w:t>2.技术负责人</w:t>
      </w:r>
      <w:r>
        <w:rPr>
          <w:rFonts w:hint="eastAsia"/>
          <w:bCs/>
        </w:rPr>
        <w:t>：供应商须配备一名专职技术负责人，为供应商正式在职员工，具备丰富的政务服务多系统开发、数字化项目技术管理及志愿服务场景技术支撑经验。重点负责</w:t>
      </w:r>
      <w:r>
        <w:rPr>
          <w:bCs/>
        </w:rPr>
        <w:t>“随申办”端门户、服务后台、管理后台、数据管理系统等全系统的技术支撑，牵头制定系统优化方案、技术发展规划，助力建立符合政务数据安全规范、等保要求及志愿服务数据管理规范的项目保障机制，对项目全流程信息安全、数据治理、技术风险及志愿服务码场景稳定运行进行统筹管控</w:t>
      </w:r>
      <w:r>
        <w:rPr>
          <w:rFonts w:hint="eastAsia"/>
          <w:bCs/>
        </w:rPr>
        <w:t>。该人员须持有有效的信息安全保障人员</w:t>
      </w:r>
      <w:r>
        <w:rPr>
          <w:bCs/>
        </w:rPr>
        <w:t>证书</w:t>
      </w:r>
      <w:r>
        <w:rPr>
          <w:rFonts w:hint="eastAsia"/>
          <w:bCs/>
        </w:rPr>
        <w:t>（CISAW）</w:t>
      </w:r>
      <w:r>
        <w:rPr>
          <w:bCs/>
        </w:rPr>
        <w:t>。</w:t>
      </w:r>
      <w:r>
        <w:rPr>
          <w:rFonts w:hint="eastAsia"/>
          <w:bCs/>
        </w:rPr>
        <w:t>供应商</w:t>
      </w:r>
      <w:r>
        <w:rPr>
          <w:bCs/>
        </w:rPr>
        <w:t>须提交资质证书及在职证明扫描件作为佐证材料，确保技术能力适配项目多系统</w:t>
      </w:r>
      <w:r>
        <w:rPr>
          <w:rFonts w:hint="eastAsia"/>
          <w:bCs/>
        </w:rPr>
        <w:t>运营</w:t>
      </w:r>
      <w:r>
        <w:rPr>
          <w:bCs/>
        </w:rPr>
        <w:t>、安全加固及智能化接入需求。</w:t>
      </w:r>
    </w:p>
    <w:p>
      <w:pPr>
        <w:ind w:firstLine="480"/>
        <w:rPr>
          <w:rFonts w:ascii="仿宋_GB2312" w:hAnsi="仿宋" w:eastAsia="仿宋_GB2312"/>
        </w:rPr>
      </w:pPr>
      <w:r>
        <w:rPr>
          <w:bCs/>
        </w:rPr>
        <w:t>3.服务实施人员</w:t>
      </w:r>
      <w:r>
        <w:rPr>
          <w:rFonts w:hint="eastAsia"/>
          <w:bCs/>
        </w:rPr>
        <w:t>：服务实施人员主要负责随申办市民云门户（志愿者端、志愿服务组织端）、服务后台、管理后台、数据管理系统等模块的功能开发、接口对接、系统联调等工作，覆盖志愿者服务、组织管理、后台管控、数据治理全流程开发需求，确保系统功能符合志愿服务业务规范及政务服务数字化标准。服务实施团队人员配置需满足以下要求：所有成员均具备一年以上政务服务信息化项目开发或数字化运营工作经验，熟悉政务数据治理、系统监控预警及“一网通办”相关操作规范；团队中须配备</w:t>
      </w:r>
      <w:r>
        <w:rPr>
          <w:bCs/>
        </w:rPr>
        <w:t>国家或地方人力资源社会保障局颁发的高级</w:t>
      </w:r>
      <w:r>
        <w:rPr>
          <w:rFonts w:hint="eastAsia"/>
          <w:bCs/>
          <w:lang w:eastAsia="zh-CN"/>
        </w:rPr>
        <w:t>职称</w:t>
      </w:r>
      <w:r>
        <w:rPr>
          <w:bCs/>
        </w:rPr>
        <w:t>证书人员，及不少于</w:t>
      </w:r>
      <w:r>
        <w:rPr>
          <w:rFonts w:hint="eastAsia"/>
          <w:bCs/>
          <w:lang w:val="en-US" w:eastAsia="zh-CN"/>
        </w:rPr>
        <w:t>3</w:t>
      </w:r>
      <w:r>
        <w:rPr>
          <w:bCs/>
        </w:rPr>
        <w:t>名中级</w:t>
      </w:r>
      <w:r>
        <w:rPr>
          <w:rFonts w:hint="eastAsia"/>
          <w:bCs/>
        </w:rPr>
        <w:t>职称</w:t>
      </w:r>
      <w:r>
        <w:rPr>
          <w:bCs/>
        </w:rPr>
        <w:t>人员。</w:t>
      </w:r>
      <w:r>
        <w:rPr>
          <w:rFonts w:hint="eastAsia"/>
          <w:bCs/>
        </w:rPr>
        <w:t>供应商</w:t>
      </w:r>
      <w:r>
        <w:rPr>
          <w:bCs/>
        </w:rPr>
        <w:t>须提交所有实施人员的资质证书</w:t>
      </w:r>
      <w:r>
        <w:rPr>
          <w:rFonts w:hint="eastAsia"/>
          <w:bCs/>
        </w:rPr>
        <w:t>及</w:t>
      </w:r>
      <w:r>
        <w:rPr>
          <w:bCs/>
        </w:rPr>
        <w:t>在职证明佐证材料扫描件，确保团队能力覆盖项目各服务模块需求</w:t>
      </w:r>
      <w:r>
        <w:rPr>
          <w:rFonts w:ascii="仿宋_GB2312" w:hAnsi="仿宋" w:eastAsia="仿宋_GB2312"/>
        </w:rPr>
        <w:t>。</w:t>
      </w:r>
    </w:p>
    <w:p>
      <w:pPr>
        <w:pStyle w:val="3"/>
        <w:rPr>
          <w:rFonts w:hint="eastAsia"/>
          <w:color w:val="000000"/>
        </w:rPr>
      </w:pPr>
      <w:r>
        <w:rPr>
          <w:rFonts w:hint="eastAsia"/>
          <w:color w:val="000000"/>
        </w:rPr>
        <w:t>等级保护要求</w:t>
      </w:r>
    </w:p>
    <w:p>
      <w:r>
        <w:rPr>
          <w:rFonts w:hint="default" w:ascii="宋体" w:hAnsi="宋体" w:eastAsia="宋体"/>
          <w:bCs/>
        </w:rPr>
        <w:t>本项目须严格按照国家及上海市网络安全、数据安全相关管理规范与《信息安全等级保护管理办法》等政策标准要求，规范开展信息系统安全等级保护测评、商用密码应用安全性评估等相关安全测评服务工作，形成完整、合规的测评及评估报告。针对测评发现的安全风险与问题，须完成全面整改修复与安全加固，并按要求组织复测，确保系统最终满足网络安全要求，测评结果符合采购单位相关标准。</w:t>
      </w:r>
    </w:p>
    <w:p>
      <w:pPr>
        <w:ind w:left="0" w:firstLine="0" w:firstLineChars="0"/>
      </w:pPr>
    </w:p>
    <w:bookmarkEnd w:id="30"/>
    <w:p>
      <w:pPr>
        <w:pStyle w:val="3"/>
        <w:ind w:left="1134"/>
        <w:rPr>
          <w:color w:val="000000"/>
        </w:rPr>
      </w:pPr>
      <w:r>
        <w:rPr>
          <w:rFonts w:hint="eastAsia"/>
          <w:color w:val="000000"/>
        </w:rPr>
        <w:t>企业综合能力要求</w:t>
      </w:r>
    </w:p>
    <w:p>
      <w:pPr>
        <w:ind w:firstLine="480"/>
      </w:pPr>
      <w:r>
        <w:t>承诺项目全生命周期按标准执行，拥有“随申码”建设运营经验，熟悉市级</w:t>
      </w:r>
      <w:r>
        <w:rPr>
          <w:rFonts w:hint="eastAsia"/>
        </w:rPr>
        <w:t>标准</w:t>
      </w:r>
      <w:r>
        <w:t>规范，能确保项目与现有平台衔接顺畅、落实信息共享要求</w:t>
      </w:r>
      <w:r>
        <w:rPr>
          <w:rFonts w:hint="eastAsia"/>
        </w:rPr>
        <w:t>。</w:t>
      </w:r>
    </w:p>
    <w:p>
      <w:pPr>
        <w:pStyle w:val="3"/>
      </w:pPr>
      <w:r>
        <w:rPr>
          <w:rFonts w:hint="eastAsia"/>
        </w:rPr>
        <w:t>商业密码应用需求</w:t>
      </w:r>
    </w:p>
    <w:p>
      <w:pPr>
        <w:ind w:firstLine="480"/>
        <w:rPr>
          <w:rFonts w:cs="仿宋_GB2312" w:asciiTheme="minorEastAsia" w:hAnsiTheme="minorEastAsia" w:eastAsiaTheme="minorEastAsia"/>
          <w:szCs w:val="24"/>
        </w:rPr>
      </w:pPr>
      <w:r>
        <w:rPr>
          <w:rFonts w:hint="eastAsia" w:cs="仿宋_GB2312" w:asciiTheme="minorEastAsia" w:hAnsiTheme="minorEastAsia" w:eastAsiaTheme="minorEastAsia"/>
          <w:szCs w:val="24"/>
        </w:rPr>
        <w:t>本系统所需密码资源、密码服务等配置下表所示。</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242"/>
        <w:gridCol w:w="727"/>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tcPr>
          <w:p>
            <w:pPr>
              <w:spacing w:line="240" w:lineRule="auto"/>
              <w:ind w:firstLine="0" w:firstLineChars="0"/>
              <w:jc w:val="center"/>
              <w:rPr>
                <w:rFonts w:cs="仿宋" w:asciiTheme="minorEastAsia" w:hAnsiTheme="minorEastAsia" w:eastAsiaTheme="minorEastAsia"/>
                <w:b/>
                <w:bCs/>
                <w:sz w:val="18"/>
                <w:szCs w:val="18"/>
              </w:rPr>
            </w:pPr>
            <w:r>
              <w:rPr>
                <w:rFonts w:hint="eastAsia" w:cs="仿宋_GB2312" w:asciiTheme="minorEastAsia" w:hAnsiTheme="minorEastAsia" w:eastAsiaTheme="minorEastAsia"/>
                <w:b/>
                <w:bCs/>
                <w:sz w:val="18"/>
                <w:szCs w:val="18"/>
              </w:rPr>
              <w:t>序号</w:t>
            </w:r>
          </w:p>
        </w:tc>
        <w:tc>
          <w:tcPr>
            <w:tcW w:w="1901" w:type="pct"/>
          </w:tcPr>
          <w:p>
            <w:pPr>
              <w:spacing w:line="240" w:lineRule="auto"/>
              <w:ind w:firstLine="0" w:firstLineChars="0"/>
              <w:jc w:val="center"/>
              <w:rPr>
                <w:rFonts w:cs="仿宋" w:asciiTheme="minorEastAsia" w:hAnsiTheme="minorEastAsia" w:eastAsiaTheme="minorEastAsia"/>
                <w:b/>
                <w:bCs/>
                <w:sz w:val="18"/>
                <w:szCs w:val="18"/>
              </w:rPr>
            </w:pPr>
            <w:r>
              <w:rPr>
                <w:rFonts w:hint="eastAsia" w:cs="仿宋_GB2312" w:asciiTheme="minorEastAsia" w:hAnsiTheme="minorEastAsia" w:eastAsiaTheme="minorEastAsia"/>
                <w:b/>
                <w:bCs/>
                <w:sz w:val="18"/>
                <w:szCs w:val="18"/>
              </w:rPr>
              <w:t>密码资源/服务类型</w:t>
            </w:r>
          </w:p>
        </w:tc>
        <w:tc>
          <w:tcPr>
            <w:tcW w:w="426" w:type="pct"/>
          </w:tcPr>
          <w:p>
            <w:pPr>
              <w:spacing w:line="240" w:lineRule="auto"/>
              <w:ind w:firstLine="0" w:firstLineChars="0"/>
              <w:jc w:val="center"/>
              <w:rPr>
                <w:rFonts w:cs="仿宋" w:asciiTheme="minorEastAsia" w:hAnsiTheme="minorEastAsia" w:eastAsiaTheme="minorEastAsia"/>
                <w:b/>
                <w:bCs/>
                <w:sz w:val="18"/>
                <w:szCs w:val="18"/>
              </w:rPr>
            </w:pPr>
            <w:r>
              <w:rPr>
                <w:rFonts w:hint="eastAsia" w:cs="仿宋_GB2312" w:asciiTheme="minorEastAsia" w:hAnsiTheme="minorEastAsia" w:eastAsiaTheme="minorEastAsia"/>
                <w:b/>
                <w:bCs/>
                <w:sz w:val="18"/>
                <w:szCs w:val="18"/>
              </w:rPr>
              <w:t>数量</w:t>
            </w:r>
          </w:p>
        </w:tc>
        <w:tc>
          <w:tcPr>
            <w:tcW w:w="2271" w:type="pct"/>
          </w:tcPr>
          <w:p>
            <w:pPr>
              <w:spacing w:line="240" w:lineRule="auto"/>
              <w:ind w:firstLine="0" w:firstLineChars="0"/>
              <w:jc w:val="center"/>
              <w:rPr>
                <w:rFonts w:cs="仿宋" w:asciiTheme="minorEastAsia" w:hAnsiTheme="minorEastAsia" w:eastAsiaTheme="minorEastAsia"/>
                <w:b/>
                <w:bCs/>
                <w:sz w:val="18"/>
                <w:szCs w:val="18"/>
              </w:rPr>
            </w:pPr>
            <w:r>
              <w:rPr>
                <w:rFonts w:hint="eastAsia" w:cs="仿宋_GB2312" w:asciiTheme="minorEastAsia" w:hAnsiTheme="minorEastAsia" w:eastAsiaTheme="minorEastAsia"/>
                <w:b/>
                <w:bCs/>
                <w:sz w:val="18"/>
                <w:szCs w:val="18"/>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highlight w:val="yellow"/>
              </w:rPr>
            </w:pPr>
            <w:r>
              <w:rPr>
                <w:rFonts w:hint="eastAsia" w:cs="仿宋_GB2312" w:asciiTheme="minorEastAsia" w:hAnsiTheme="minorEastAsia" w:eastAsiaTheme="minorEastAsia"/>
                <w:sz w:val="18"/>
                <w:szCs w:val="18"/>
              </w:rPr>
              <w:t>安全认证网关服务（含虚拟密码机）</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highlight w:val="yellow"/>
              </w:rPr>
            </w:pPr>
            <w:r>
              <w:rPr>
                <w:rFonts w:hint="eastAsia" w:cs="仿宋_GB2312" w:asciiTheme="minorEastAsia" w:hAnsiTheme="minorEastAsia" w:eastAsiaTheme="minorEastAsia"/>
                <w:sz w:val="18"/>
                <w:szCs w:val="18"/>
              </w:rPr>
              <w:t>1</w:t>
            </w:r>
          </w:p>
        </w:tc>
        <w:tc>
          <w:tcPr>
            <w:tcW w:w="2271" w:type="pct"/>
            <w:vAlign w:val="center"/>
          </w:tcPr>
          <w:p>
            <w:pPr>
              <w:spacing w:line="240" w:lineRule="auto"/>
              <w:ind w:firstLine="0" w:firstLineChars="0"/>
              <w:rPr>
                <w:rFonts w:cs="仿宋" w:asciiTheme="minorEastAsia" w:hAnsiTheme="minorEastAsia" w:eastAsiaTheme="minorEastAsia"/>
                <w:sz w:val="18"/>
                <w:szCs w:val="18"/>
                <w:highlight w:val="yellow"/>
              </w:rPr>
            </w:pPr>
            <w:r>
              <w:rPr>
                <w:rFonts w:hint="eastAsia" w:cs="仿宋_GB2312" w:asciiTheme="minorEastAsia" w:hAnsiTheme="minorEastAsia" w:eastAsiaTheme="minorEastAsia"/>
                <w:sz w:val="18"/>
                <w:szCs w:val="18"/>
              </w:rPr>
              <w:t>基于部署模式、业务性能、可用性（冗余备份）等情况按需申请，列明配置依据。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签名验签服务（含虚拟密码机）</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271" w:type="pct"/>
            <w:vAlign w:val="center"/>
          </w:tcPr>
          <w:p>
            <w:pPr>
              <w:spacing w:line="240" w:lineRule="auto"/>
              <w:ind w:firstLine="0" w:firstLineChars="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基于部署模式、业务性能、可用性（冗余备份）等情况按需申请。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数据库加密服务（含虚拟密码机）</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271" w:type="pct"/>
            <w:vAlign w:val="center"/>
          </w:tcPr>
          <w:p>
            <w:pPr>
              <w:spacing w:line="240" w:lineRule="auto"/>
              <w:ind w:firstLine="0" w:firstLineChars="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基于部署模式、业务性能、可用性（冗余备份）等情况按需申请。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4</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证书认证服务（站点证书）</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271" w:type="pct"/>
            <w:vAlign w:val="center"/>
          </w:tcPr>
          <w:p>
            <w:pPr>
              <w:spacing w:line="240" w:lineRule="auto"/>
              <w:ind w:firstLine="0" w:firstLineChars="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按需申请并列明配置依据。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5</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证书认证服务（设备证书）</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271" w:type="pct"/>
            <w:vAlign w:val="center"/>
          </w:tcPr>
          <w:p>
            <w:pPr>
              <w:spacing w:line="240" w:lineRule="auto"/>
              <w:ind w:firstLine="0" w:firstLineChars="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按需申请并列明配置依据。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1901" w:type="pct"/>
            <w:vAlign w:val="center"/>
          </w:tcPr>
          <w:p>
            <w:pPr>
              <w:spacing w:line="240" w:lineRule="auto"/>
              <w:ind w:firstLine="0" w:firstLineChars="0"/>
              <w:jc w:val="left"/>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软件密码模块</w:t>
            </w:r>
          </w:p>
        </w:tc>
        <w:tc>
          <w:tcPr>
            <w:tcW w:w="426" w:type="pct"/>
            <w:vAlign w:val="center"/>
          </w:tcPr>
          <w:p>
            <w:pPr>
              <w:spacing w:line="240" w:lineRule="auto"/>
              <w:ind w:firstLine="0" w:firstLineChars="0"/>
              <w:jc w:val="center"/>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271" w:type="pct"/>
            <w:vAlign w:val="center"/>
          </w:tcPr>
          <w:p>
            <w:pPr>
              <w:spacing w:line="240" w:lineRule="auto"/>
              <w:ind w:firstLine="0" w:firstLineChars="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按需配置并列明配置依据。</w:t>
            </w:r>
          </w:p>
        </w:tc>
      </w:tr>
    </w:tbl>
    <w:p>
      <w:pPr>
        <w:ind w:firstLine="480"/>
      </w:pPr>
    </w:p>
    <w:p>
      <w:pPr>
        <w:pStyle w:val="3"/>
      </w:pPr>
      <w:bookmarkStart w:id="31" w:name="_Toc63785512"/>
      <w:r>
        <w:rPr>
          <w:rFonts w:hint="eastAsia"/>
        </w:rPr>
        <w:t>技术文件要求</w:t>
      </w:r>
    </w:p>
    <w:p>
      <w:pPr>
        <w:ind w:firstLine="480"/>
      </w:pPr>
      <w:r>
        <w:rPr>
          <w:rFonts w:hint="eastAsia"/>
        </w:rPr>
        <w:t>供应商提供的书面技术资料应能确保系统正常运行所需的管理、运营及维护有关的全套文件。技术文件应该全面、完整、详细。供应商提供的技术文件至少应包括：</w:t>
      </w:r>
    </w:p>
    <w:p>
      <w:pPr>
        <w:ind w:firstLine="480"/>
      </w:pPr>
      <w:r>
        <w:t>系统说明文件；</w:t>
      </w:r>
    </w:p>
    <w:p>
      <w:pPr>
        <w:ind w:firstLine="480"/>
      </w:pPr>
      <w:r>
        <w:t>技术手册(安装、测试、操作、维护、故障排除等)；</w:t>
      </w:r>
    </w:p>
    <w:p>
      <w:pPr>
        <w:ind w:firstLine="480"/>
      </w:pPr>
      <w:r>
        <w:t>项目文档，应该包括：</w:t>
      </w:r>
    </w:p>
    <w:p>
      <w:pPr>
        <w:ind w:left="360" w:firstLine="480"/>
      </w:pPr>
      <w:r>
        <w:t>(1)软件需求说明书</w:t>
      </w:r>
    </w:p>
    <w:p>
      <w:pPr>
        <w:ind w:left="360" w:firstLine="480"/>
      </w:pPr>
      <w:r>
        <w:t>(2)</w:t>
      </w:r>
      <w:r>
        <w:tab/>
      </w:r>
      <w:r>
        <w:t>系统总体设计说明书</w:t>
      </w:r>
    </w:p>
    <w:p>
      <w:pPr>
        <w:ind w:left="360" w:firstLine="480"/>
      </w:pPr>
      <w:r>
        <w:t>(3)</w:t>
      </w:r>
      <w:r>
        <w:tab/>
      </w:r>
      <w:r>
        <w:t>应用软件功能清单</w:t>
      </w:r>
    </w:p>
    <w:p>
      <w:pPr>
        <w:ind w:firstLine="480"/>
      </w:pPr>
      <w:r>
        <w:rPr>
          <w:rFonts w:hint="eastAsia"/>
        </w:rPr>
        <w:t>提供全套技术文件纸介质</w:t>
      </w:r>
      <w:r>
        <w:t>3套以及电子文件1套。</w:t>
      </w:r>
      <w:bookmarkEnd w:id="31"/>
    </w:p>
    <w:p>
      <w:pPr>
        <w:ind w:firstLine="480"/>
        <w:rPr>
          <w:strike/>
        </w:rPr>
      </w:pPr>
    </w:p>
    <w:p>
      <w:pPr>
        <w:pStyle w:val="2"/>
      </w:pPr>
      <w:bookmarkStart w:id="32" w:name="_Toc68798863"/>
      <w:r>
        <w:rPr>
          <w:rFonts w:hint="eastAsia"/>
        </w:rPr>
        <w:t>附录</w:t>
      </w:r>
      <w:bookmarkEnd w:id="32"/>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3.8pt;width:76.15pt;" o:ole="t" filled="f" o:preferrelative="t" stroked="f" coordsize="21600,21600">
            <v:path/>
            <v:fill on="f" focussize="0,0"/>
            <v:stroke on="f" joinstyle="miter"/>
            <v:imagedata r:id="rId13" o:title=""/>
            <o:lock v:ext="edit" aspectratio="t"/>
            <w10:wrap type="none"/>
            <w10:anchorlock/>
          </v:shape>
          <o:OLEObject Type="Embed" ProgID="Package" ShapeID="_x0000_i1025" DrawAspect="Icon" ObjectID="_1468075725" r:id="rId12">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3.8pt;width:76.15pt;" o:ole="t" filled="f" o:preferrelative="t" stroked="f" coordsize="21600,21600">
            <v:path/>
            <v:fill on="f" focussize="0,0"/>
            <v:stroke on="f" joinstyle="miter"/>
            <v:imagedata r:id="rId15" o:title=""/>
            <o:lock v:ext="edit" aspectratio="t"/>
            <w10:wrap type="none"/>
            <w10:anchorlock/>
          </v:shape>
          <o:OLEObject Type="Embed" ProgID="Package" ShapeID="_x0000_i1026" DrawAspect="Icon" ObjectID="_1468075726" r:id="rId14">
            <o:LockedField>false</o:LockedField>
          </o:OLEObject>
        </w:object>
      </w:r>
    </w:p>
    <w:p>
      <w:pPr>
        <w:ind w:firstLine="0" w:firstLineChars="0"/>
        <w:jc w:val="left"/>
        <w:rPr>
          <w:b/>
          <w:bCs/>
        </w:rPr>
      </w:pPr>
      <w:r>
        <w:rPr>
          <w:rFonts w:hint="eastAsia"/>
        </w:rPr>
        <w:t>3、其他标准</w:t>
      </w:r>
    </w:p>
    <w:p>
      <w:pPr>
        <w:ind w:firstLine="480"/>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496" w:gutter="0"/>
      <w:pgNumType w:fmt="numberInDash"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ind w:firstLine="0" w:firstLineChars="0"/>
                      <w:jc w:val="cente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425" w:hanging="425"/>
      </w:pPr>
      <w:rPr>
        <w:rFonts w:hint="eastAsia" w:ascii="宋体" w:hAnsi="宋体" w:eastAsia="宋体"/>
        <w:b/>
        <w:i w:val="0"/>
        <w:sz w:val="32"/>
      </w:rPr>
    </w:lvl>
    <w:lvl w:ilvl="1" w:tentative="0">
      <w:start w:val="1"/>
      <w:numFmt w:val="decimal"/>
      <w:pStyle w:val="3"/>
      <w:isLgl/>
      <w:suff w:val="nothing"/>
      <w:lvlText w:val="%1.%2、"/>
      <w:lvlJc w:val="left"/>
      <w:pPr>
        <w:ind w:left="1134" w:hanging="567"/>
      </w:pPr>
      <w:rPr>
        <w:rFonts w:hint="eastAsia" w:ascii="宋体" w:hAnsi="宋体" w:eastAsia="宋体" w:cs="Times New Roman"/>
        <w:b/>
        <w:i w:val="0"/>
        <w:iCs w:val="0"/>
        <w:caps w:val="0"/>
        <w:smallCaps w:val="0"/>
        <w:strike w:val="0"/>
        <w:dstrike w:val="0"/>
        <w:vanish w:val="0"/>
        <w:color w:val="000000"/>
        <w:spacing w:val="0"/>
        <w:position w:val="0"/>
        <w:sz w:val="30"/>
        <w:u w:val="none"/>
        <w:vertAlign w:val="baseline"/>
        <w14:shadow w14:blurRad="0" w14:dist="0" w14:dir="0" w14:sx="0" w14:sy="0" w14:kx="0" w14:ky="0" w14:algn="none">
          <w14:srgbClr w14:val="000000"/>
        </w14:shadow>
      </w:rPr>
    </w:lvl>
    <w:lvl w:ilvl="2" w:tentative="0">
      <w:start w:val="1"/>
      <w:numFmt w:val="decimal"/>
      <w:pStyle w:val="4"/>
      <w:isLgl/>
      <w:suff w:val="nothing"/>
      <w:lvlText w:val="%1.%2.%3、"/>
      <w:lvlJc w:val="left"/>
      <w:pPr>
        <w:ind w:left="1069" w:hanging="1069"/>
      </w:pPr>
      <w:rPr>
        <w:rFonts w:hint="eastAsia" w:ascii="宋体" w:hAnsi="宋体" w:eastAsia="宋体" w:cs="Arial"/>
        <w:b/>
        <w:i w:val="0"/>
        <w:sz w:val="28"/>
      </w:rPr>
    </w:lvl>
    <w:lvl w:ilvl="3" w:tentative="0">
      <w:start w:val="1"/>
      <w:numFmt w:val="decimal"/>
      <w:pStyle w:val="5"/>
      <w:isLgl/>
      <w:suff w:val="nothing"/>
      <w:lvlText w:val="%1.%2.%3.%4、"/>
      <w:lvlJc w:val="left"/>
      <w:pPr>
        <w:ind w:left="851" w:hanging="851"/>
      </w:pPr>
      <w:rPr>
        <w:rFonts w:hint="eastAsia" w:ascii="宋体" w:hAnsi="宋体" w:eastAsia="宋体" w:cs="Arial"/>
        <w:b/>
        <w:i w:val="0"/>
        <w:sz w:val="24"/>
        <w:szCs w:val="24"/>
      </w:rPr>
    </w:lvl>
    <w:lvl w:ilvl="4" w:tentative="0">
      <w:start w:val="1"/>
      <w:numFmt w:val="decimal"/>
      <w:pStyle w:val="6"/>
      <w:isLgl/>
      <w:suff w:val="nothing"/>
      <w:lvlText w:val="%1.%2.%3.%4.%5、"/>
      <w:lvlJc w:val="left"/>
      <w:pPr>
        <w:ind w:left="992" w:hanging="992"/>
      </w:pPr>
      <w:rPr>
        <w:rFonts w:hint="eastAsia" w:ascii="宋体" w:hAnsi="宋体" w:eastAsia="宋体"/>
        <w:b/>
        <w:i w:val="0"/>
        <w:sz w:val="24"/>
      </w:rPr>
    </w:lvl>
    <w:lvl w:ilvl="5" w:tentative="0">
      <w:start w:val="1"/>
      <w:numFmt w:val="decimal"/>
      <w:pStyle w:val="7"/>
      <w:isLgl/>
      <w:suff w:val="nothing"/>
      <w:lvlText w:val="%1.%2.%3.%4.%5.%6、"/>
      <w:lvlJc w:val="left"/>
      <w:pPr>
        <w:ind w:left="1134" w:hanging="1134"/>
      </w:pPr>
      <w:rPr>
        <w:rFonts w:hint="eastAsia" w:ascii="宋体" w:hAnsi="宋体" w:eastAsia="宋体"/>
        <w:b/>
        <w:i w:val="0"/>
        <w:sz w:val="24"/>
      </w:rPr>
    </w:lvl>
    <w:lvl w:ilvl="6" w:tentative="0">
      <w:start w:val="1"/>
      <w:numFmt w:val="decimal"/>
      <w:pStyle w:val="8"/>
      <w:isLgl/>
      <w:suff w:val="nothing"/>
      <w:lvlText w:val="%1.%2.%3.%4.%5.%6.%7、"/>
      <w:lvlJc w:val="left"/>
      <w:pPr>
        <w:ind w:left="1276" w:hanging="1276"/>
      </w:pPr>
      <w:rPr>
        <w:rFonts w:hint="eastAsia" w:ascii="宋体" w:hAnsi="宋体" w:eastAsia="宋体"/>
        <w:b/>
        <w:bCs w:val="0"/>
        <w:i w:val="0"/>
        <w:iCs w:val="0"/>
        <w:caps w:val="0"/>
        <w:smallCaps w:val="0"/>
        <w:strike w:val="0"/>
        <w:dstrike w:val="0"/>
        <w:outline w:val="0"/>
        <w:shadow w:val="0"/>
        <w:emboss w:val="0"/>
        <w:imprint w:val="0"/>
        <w:vanish w:val="0"/>
        <w:spacing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7" w:tentative="0">
      <w:start w:val="1"/>
      <w:numFmt w:val="decimal"/>
      <w:pStyle w:val="9"/>
      <w:isLgl/>
      <w:suff w:val="nothing"/>
      <w:lvlText w:val="%1.%2.%3.%4.%5.%6.%7.%8、"/>
      <w:lvlJc w:val="left"/>
      <w:pPr>
        <w:ind w:left="1418" w:hanging="1418"/>
      </w:pPr>
      <w:rPr>
        <w:rFonts w:hint="eastAsia" w:ascii="宋体" w:hAnsi="宋体" w:eastAsia="宋体"/>
        <w:b/>
        <w:i w:val="0"/>
        <w:sz w:val="24"/>
      </w:rPr>
    </w:lvl>
    <w:lvl w:ilvl="8" w:tentative="0">
      <w:start w:val="1"/>
      <w:numFmt w:val="decimal"/>
      <w:pStyle w:val="10"/>
      <w:isLgl/>
      <w:suff w:val="nothing"/>
      <w:lvlText w:val="%1.%2.%3.%4.%5.%6.%7.%8.%9、"/>
      <w:lvlJc w:val="left"/>
      <w:pPr>
        <w:ind w:left="1559" w:hanging="1559"/>
      </w:pPr>
      <w:rPr>
        <w:rFonts w:hint="eastAsia" w:ascii="宋体" w:hAnsi="宋体" w:eastAsia="宋体" w:cs="Times New Roman"/>
        <w:b/>
        <w:i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TMyYmVkNDBiZGZjOTJjNzg0ZTljMGM2NGM1NWEifQ=="/>
  </w:docVars>
  <w:rsids>
    <w:rsidRoot w:val="00833E54"/>
    <w:rsid w:val="00083D5F"/>
    <w:rsid w:val="000B113B"/>
    <w:rsid w:val="000D08BC"/>
    <w:rsid w:val="001C3D2C"/>
    <w:rsid w:val="002422D2"/>
    <w:rsid w:val="0028613D"/>
    <w:rsid w:val="00296FD1"/>
    <w:rsid w:val="002D315E"/>
    <w:rsid w:val="002E6614"/>
    <w:rsid w:val="00366D32"/>
    <w:rsid w:val="003A6EF5"/>
    <w:rsid w:val="003F540F"/>
    <w:rsid w:val="00467378"/>
    <w:rsid w:val="004D2605"/>
    <w:rsid w:val="004D6F49"/>
    <w:rsid w:val="005A60D6"/>
    <w:rsid w:val="006039DB"/>
    <w:rsid w:val="00682CD3"/>
    <w:rsid w:val="00691D33"/>
    <w:rsid w:val="006C7EE2"/>
    <w:rsid w:val="006D2EE5"/>
    <w:rsid w:val="006D71D6"/>
    <w:rsid w:val="00737B11"/>
    <w:rsid w:val="00752064"/>
    <w:rsid w:val="00781923"/>
    <w:rsid w:val="00833E54"/>
    <w:rsid w:val="008416B0"/>
    <w:rsid w:val="008B1B98"/>
    <w:rsid w:val="008D3A08"/>
    <w:rsid w:val="008D4760"/>
    <w:rsid w:val="008E729A"/>
    <w:rsid w:val="00947AFA"/>
    <w:rsid w:val="0096619D"/>
    <w:rsid w:val="00973067"/>
    <w:rsid w:val="00973C67"/>
    <w:rsid w:val="009F42EA"/>
    <w:rsid w:val="00A563D5"/>
    <w:rsid w:val="00A572D8"/>
    <w:rsid w:val="00A70B34"/>
    <w:rsid w:val="00AD7C7B"/>
    <w:rsid w:val="00AE6017"/>
    <w:rsid w:val="00B31830"/>
    <w:rsid w:val="00B47238"/>
    <w:rsid w:val="00BB7D72"/>
    <w:rsid w:val="00BC4218"/>
    <w:rsid w:val="00BD40EA"/>
    <w:rsid w:val="00C8133C"/>
    <w:rsid w:val="00CA4151"/>
    <w:rsid w:val="00D222FD"/>
    <w:rsid w:val="00D73901"/>
    <w:rsid w:val="00DC4A0A"/>
    <w:rsid w:val="00E3504B"/>
    <w:rsid w:val="00E62242"/>
    <w:rsid w:val="00E64E47"/>
    <w:rsid w:val="00E76035"/>
    <w:rsid w:val="00EB6041"/>
    <w:rsid w:val="00F6544A"/>
    <w:rsid w:val="00FB14A0"/>
    <w:rsid w:val="00FE780E"/>
    <w:rsid w:val="17487240"/>
    <w:rsid w:val="1FAD463F"/>
    <w:rsid w:val="2A577951"/>
    <w:rsid w:val="34241EF2"/>
    <w:rsid w:val="39FFB250"/>
    <w:rsid w:val="3B5FBFD3"/>
    <w:rsid w:val="3B6F1F5C"/>
    <w:rsid w:val="5AECC66D"/>
    <w:rsid w:val="645D785C"/>
    <w:rsid w:val="6B1B1F6D"/>
    <w:rsid w:val="6FDD57B5"/>
    <w:rsid w:val="6FE77867"/>
    <w:rsid w:val="6FEB10F2"/>
    <w:rsid w:val="719A7014"/>
    <w:rsid w:val="729F3970"/>
    <w:rsid w:val="7C5EBB47"/>
    <w:rsid w:val="7DFF4DE4"/>
    <w:rsid w:val="7F7A3955"/>
    <w:rsid w:val="856F1451"/>
    <w:rsid w:val="96FFB11D"/>
    <w:rsid w:val="9FFEDAD3"/>
    <w:rsid w:val="AB6E1985"/>
    <w:rsid w:val="BEBFA3C5"/>
    <w:rsid w:val="D777EB8C"/>
    <w:rsid w:val="D7DB971B"/>
    <w:rsid w:val="DB9F6339"/>
    <w:rsid w:val="DBFD8972"/>
    <w:rsid w:val="EAA437BF"/>
    <w:rsid w:val="EFFD372F"/>
    <w:rsid w:val="F7C7A0F5"/>
    <w:rsid w:val="F7EF2085"/>
    <w:rsid w:val="F7FF40C0"/>
    <w:rsid w:val="FADF629A"/>
    <w:rsid w:val="FEED7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宋体" w:hAnsi="宋体" w:eastAsia="宋体" w:cstheme="minorBidi"/>
      <w:kern w:val="2"/>
      <w:sz w:val="24"/>
      <w:szCs w:val="21"/>
      <w:lang w:val="en-US" w:eastAsia="zh-CN" w:bidi="ar-SA"/>
    </w:rPr>
  </w:style>
  <w:style w:type="paragraph" w:styleId="2">
    <w:name w:val="heading 1"/>
    <w:next w:val="1"/>
    <w:link w:val="21"/>
    <w:qFormat/>
    <w:uiPriority w:val="0"/>
    <w:pPr>
      <w:keepNext/>
      <w:keepLines/>
      <w:numPr>
        <w:ilvl w:val="0"/>
        <w:numId w:val="1"/>
      </w:numPr>
      <w:spacing w:before="120" w:after="120" w:line="360" w:lineRule="auto"/>
      <w:outlineLvl w:val="0"/>
    </w:pPr>
    <w:rPr>
      <w:rFonts w:ascii="宋体" w:hAnsi="宋体" w:eastAsia="黑体" w:cstheme="minorBidi"/>
      <w:b/>
      <w:bCs/>
      <w:kern w:val="2"/>
      <w:sz w:val="32"/>
      <w:szCs w:val="28"/>
      <w:lang w:val="en-US" w:eastAsia="zh-CN" w:bidi="ar-SA"/>
    </w:rPr>
  </w:style>
  <w:style w:type="paragraph" w:styleId="3">
    <w:name w:val="heading 2"/>
    <w:next w:val="1"/>
    <w:link w:val="22"/>
    <w:qFormat/>
    <w:uiPriority w:val="0"/>
    <w:pPr>
      <w:keepNext/>
      <w:keepLines/>
      <w:numPr>
        <w:ilvl w:val="1"/>
        <w:numId w:val="1"/>
      </w:numPr>
      <w:spacing w:before="120" w:after="120" w:line="360" w:lineRule="auto"/>
      <w:ind w:left="567"/>
      <w:outlineLvl w:val="1"/>
    </w:pPr>
    <w:rPr>
      <w:rFonts w:ascii="宋体" w:hAnsi="宋体" w:eastAsia="黑体" w:cstheme="minorBidi"/>
      <w:b/>
      <w:bCs/>
      <w:kern w:val="2"/>
      <w:sz w:val="30"/>
      <w:szCs w:val="32"/>
      <w:lang w:val="en-US" w:eastAsia="zh-CN" w:bidi="ar-SA"/>
    </w:rPr>
  </w:style>
  <w:style w:type="paragraph" w:styleId="4">
    <w:name w:val="heading 3"/>
    <w:next w:val="1"/>
    <w:link w:val="23"/>
    <w:qFormat/>
    <w:uiPriority w:val="0"/>
    <w:pPr>
      <w:keepNext/>
      <w:keepLines/>
      <w:numPr>
        <w:ilvl w:val="2"/>
        <w:numId w:val="1"/>
      </w:numPr>
      <w:spacing w:before="120" w:after="120" w:line="360" w:lineRule="auto"/>
      <w:outlineLvl w:val="2"/>
    </w:pPr>
    <w:rPr>
      <w:rFonts w:ascii="宋体" w:hAnsi="宋体" w:eastAsia="黑体" w:cstheme="minorBidi"/>
      <w:b/>
      <w:bCs/>
      <w:kern w:val="2"/>
      <w:sz w:val="28"/>
      <w:szCs w:val="18"/>
      <w:lang w:val="en-US" w:eastAsia="zh-CN" w:bidi="ar-SA"/>
    </w:rPr>
  </w:style>
  <w:style w:type="paragraph" w:styleId="5">
    <w:name w:val="heading 4"/>
    <w:next w:val="1"/>
    <w:link w:val="24"/>
    <w:qFormat/>
    <w:uiPriority w:val="0"/>
    <w:pPr>
      <w:keepNext/>
      <w:keepLines/>
      <w:numPr>
        <w:ilvl w:val="3"/>
        <w:numId w:val="1"/>
      </w:numPr>
      <w:spacing w:before="120" w:after="120" w:line="360" w:lineRule="auto"/>
      <w:outlineLvl w:val="3"/>
    </w:pPr>
    <w:rPr>
      <w:rFonts w:ascii="宋体" w:hAnsi="宋体" w:eastAsia="宋体" w:cstheme="minorBidi"/>
      <w:b/>
      <w:bCs/>
      <w:kern w:val="2"/>
      <w:sz w:val="24"/>
      <w:szCs w:val="28"/>
      <w:lang w:val="en-US" w:eastAsia="zh-CN" w:bidi="ar-SA"/>
    </w:rPr>
  </w:style>
  <w:style w:type="paragraph" w:styleId="6">
    <w:name w:val="heading 5"/>
    <w:next w:val="1"/>
    <w:link w:val="25"/>
    <w:qFormat/>
    <w:uiPriority w:val="0"/>
    <w:pPr>
      <w:keepNext/>
      <w:keepLines/>
      <w:numPr>
        <w:ilvl w:val="4"/>
        <w:numId w:val="1"/>
      </w:numPr>
      <w:spacing w:before="120" w:after="120"/>
      <w:outlineLvl w:val="4"/>
    </w:pPr>
    <w:rPr>
      <w:rFonts w:ascii="宋体" w:hAnsi="宋体" w:eastAsia="宋体" w:cstheme="minorBidi"/>
      <w:b/>
      <w:bCs/>
      <w:kern w:val="2"/>
      <w:sz w:val="24"/>
      <w:szCs w:val="28"/>
      <w:lang w:val="en-US" w:eastAsia="zh-CN" w:bidi="ar-SA"/>
    </w:rPr>
  </w:style>
  <w:style w:type="paragraph" w:styleId="7">
    <w:name w:val="heading 6"/>
    <w:next w:val="1"/>
    <w:link w:val="26"/>
    <w:qFormat/>
    <w:uiPriority w:val="0"/>
    <w:pPr>
      <w:keepNext/>
      <w:keepLines/>
      <w:numPr>
        <w:ilvl w:val="5"/>
        <w:numId w:val="1"/>
      </w:numPr>
      <w:spacing w:before="120" w:after="120"/>
      <w:outlineLvl w:val="5"/>
    </w:pPr>
    <w:rPr>
      <w:rFonts w:ascii="宋体" w:hAnsi="宋体" w:eastAsia="宋体" w:cstheme="minorBidi"/>
      <w:b/>
      <w:bCs/>
      <w:kern w:val="2"/>
      <w:sz w:val="24"/>
      <w:szCs w:val="24"/>
      <w:lang w:val="en-US" w:eastAsia="zh-CN" w:bidi="ar-SA"/>
    </w:rPr>
  </w:style>
  <w:style w:type="paragraph" w:styleId="8">
    <w:name w:val="heading 7"/>
    <w:next w:val="1"/>
    <w:link w:val="27"/>
    <w:qFormat/>
    <w:uiPriority w:val="0"/>
    <w:pPr>
      <w:keepNext/>
      <w:numPr>
        <w:ilvl w:val="6"/>
        <w:numId w:val="1"/>
      </w:numPr>
      <w:spacing w:before="120" w:after="120"/>
      <w:outlineLvl w:val="6"/>
    </w:pPr>
    <w:rPr>
      <w:rFonts w:ascii="宋体" w:hAnsi="宋体" w:eastAsia="宋体" w:cstheme="minorBidi"/>
      <w:b/>
      <w:kern w:val="2"/>
      <w:sz w:val="24"/>
      <w:szCs w:val="21"/>
      <w:lang w:val="en-US" w:eastAsia="zh-CN" w:bidi="ar-SA"/>
    </w:rPr>
  </w:style>
  <w:style w:type="paragraph" w:styleId="9">
    <w:name w:val="heading 8"/>
    <w:next w:val="1"/>
    <w:link w:val="28"/>
    <w:qFormat/>
    <w:uiPriority w:val="0"/>
    <w:pPr>
      <w:keepNext/>
      <w:numPr>
        <w:ilvl w:val="7"/>
        <w:numId w:val="1"/>
      </w:numPr>
      <w:spacing w:before="120" w:after="120"/>
      <w:outlineLvl w:val="7"/>
    </w:pPr>
    <w:rPr>
      <w:rFonts w:ascii="宋体" w:hAnsi="宋体" w:eastAsia="宋体" w:cstheme="minorBidi"/>
      <w:b/>
      <w:iCs/>
      <w:kern w:val="2"/>
      <w:sz w:val="24"/>
      <w:szCs w:val="21"/>
      <w:lang w:val="en-US" w:eastAsia="zh-CN" w:bidi="ar-SA"/>
    </w:rPr>
  </w:style>
  <w:style w:type="paragraph" w:styleId="10">
    <w:name w:val="heading 9"/>
    <w:next w:val="1"/>
    <w:link w:val="29"/>
    <w:qFormat/>
    <w:uiPriority w:val="0"/>
    <w:pPr>
      <w:keepNext/>
      <w:keepLines/>
      <w:numPr>
        <w:ilvl w:val="8"/>
        <w:numId w:val="1"/>
      </w:numPr>
      <w:tabs>
        <w:tab w:val="left" w:pos="1584"/>
      </w:tabs>
      <w:spacing w:before="120" w:after="120"/>
      <w:outlineLvl w:val="8"/>
    </w:pPr>
    <w:rPr>
      <w:rFonts w:ascii="宋体" w:hAnsi="宋体" w:eastAsia="宋体" w:cstheme="minorBidi"/>
      <w:b/>
      <w:kern w:val="2"/>
      <w:sz w:val="24"/>
      <w:szCs w:val="21"/>
      <w:lang w:val="zh-CN"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alloon Text"/>
    <w:basedOn w:val="1"/>
    <w:link w:val="37"/>
    <w:qFormat/>
    <w:uiPriority w:val="0"/>
    <w:pPr>
      <w:spacing w:line="240" w:lineRule="auto"/>
    </w:pPr>
    <w:rPr>
      <w:sz w:val="18"/>
      <w:szCs w:val="18"/>
    </w:rPr>
  </w:style>
  <w:style w:type="paragraph" w:styleId="13">
    <w:name w:val="footer"/>
    <w:basedOn w:val="1"/>
    <w:link w:val="20"/>
    <w:qFormat/>
    <w:uiPriority w:val="0"/>
    <w:pPr>
      <w:tabs>
        <w:tab w:val="center" w:pos="4153"/>
        <w:tab w:val="right" w:pos="8306"/>
      </w:tabs>
      <w:snapToGrid w:val="0"/>
      <w:spacing w:line="240" w:lineRule="auto"/>
      <w:jc w:val="left"/>
    </w:pPr>
    <w:rPr>
      <w:sz w:val="18"/>
      <w:szCs w:val="18"/>
    </w:rPr>
  </w:style>
  <w:style w:type="paragraph" w:styleId="14">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15">
    <w:name w:val="Title"/>
    <w:next w:val="1"/>
    <w:link w:val="19"/>
    <w:qFormat/>
    <w:uiPriority w:val="0"/>
    <w:pPr>
      <w:spacing w:line="360" w:lineRule="auto"/>
      <w:jc w:val="center"/>
      <w:outlineLvl w:val="0"/>
    </w:pPr>
    <w:rPr>
      <w:rFonts w:ascii="宋体" w:hAnsi="宋体" w:eastAsia="黑体" w:cs="Arial"/>
      <w:b/>
      <w:bCs/>
      <w:kern w:val="2"/>
      <w:sz w:val="32"/>
      <w:szCs w:val="32"/>
      <w:lang w:val="en-US" w:eastAsia="zh-CN" w:bidi="ar-SA"/>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字符"/>
    <w:link w:val="15"/>
    <w:qFormat/>
    <w:uiPriority w:val="0"/>
    <w:rPr>
      <w:rFonts w:ascii="宋体" w:hAnsi="宋体" w:eastAsia="黑体" w:cs="Arial"/>
      <w:b/>
      <w:bCs/>
      <w:kern w:val="2"/>
      <w:sz w:val="32"/>
      <w:szCs w:val="32"/>
    </w:rPr>
  </w:style>
  <w:style w:type="character" w:customStyle="1" w:styleId="20">
    <w:name w:val="页脚 字符"/>
    <w:basedOn w:val="18"/>
    <w:link w:val="13"/>
    <w:qFormat/>
    <w:uiPriority w:val="0"/>
    <w:rPr>
      <w:rFonts w:ascii="宋体" w:hAnsi="宋体" w:eastAsia="宋体" w:cs="Times New Roman"/>
      <w:kern w:val="2"/>
      <w:sz w:val="18"/>
      <w:szCs w:val="18"/>
    </w:rPr>
  </w:style>
  <w:style w:type="character" w:customStyle="1" w:styleId="21">
    <w:name w:val="标题 1 字符"/>
    <w:link w:val="2"/>
    <w:qFormat/>
    <w:uiPriority w:val="0"/>
    <w:rPr>
      <w:rFonts w:ascii="宋体" w:hAnsi="宋体" w:eastAsia="黑体"/>
      <w:b/>
      <w:bCs/>
      <w:kern w:val="2"/>
      <w:sz w:val="32"/>
      <w:szCs w:val="28"/>
    </w:rPr>
  </w:style>
  <w:style w:type="character" w:customStyle="1" w:styleId="22">
    <w:name w:val="标题 2 字符"/>
    <w:link w:val="3"/>
    <w:qFormat/>
    <w:uiPriority w:val="0"/>
    <w:rPr>
      <w:rFonts w:ascii="宋体" w:hAnsi="宋体" w:eastAsia="黑体"/>
      <w:b/>
      <w:bCs/>
      <w:kern w:val="2"/>
      <w:sz w:val="30"/>
      <w:szCs w:val="32"/>
    </w:rPr>
  </w:style>
  <w:style w:type="character" w:customStyle="1" w:styleId="23">
    <w:name w:val="标题 3 字符"/>
    <w:link w:val="4"/>
    <w:qFormat/>
    <w:uiPriority w:val="0"/>
    <w:rPr>
      <w:rFonts w:ascii="宋体" w:hAnsi="宋体" w:eastAsia="黑体"/>
      <w:b/>
      <w:bCs/>
      <w:kern w:val="2"/>
      <w:sz w:val="28"/>
      <w:szCs w:val="18"/>
    </w:rPr>
  </w:style>
  <w:style w:type="character" w:customStyle="1" w:styleId="24">
    <w:name w:val="标题 4 字符"/>
    <w:link w:val="5"/>
    <w:qFormat/>
    <w:uiPriority w:val="0"/>
    <w:rPr>
      <w:rFonts w:ascii="宋体" w:hAnsi="宋体" w:eastAsia="宋体"/>
      <w:b/>
      <w:bCs/>
      <w:kern w:val="2"/>
      <w:sz w:val="24"/>
      <w:szCs w:val="28"/>
    </w:rPr>
  </w:style>
  <w:style w:type="character" w:customStyle="1" w:styleId="25">
    <w:name w:val="标题 5 字符"/>
    <w:link w:val="6"/>
    <w:qFormat/>
    <w:uiPriority w:val="0"/>
    <w:rPr>
      <w:rFonts w:ascii="宋体" w:hAnsi="宋体" w:eastAsia="宋体"/>
      <w:b/>
      <w:bCs/>
      <w:kern w:val="2"/>
      <w:sz w:val="24"/>
      <w:szCs w:val="28"/>
    </w:rPr>
  </w:style>
  <w:style w:type="character" w:customStyle="1" w:styleId="26">
    <w:name w:val="标题 6 字符"/>
    <w:link w:val="7"/>
    <w:qFormat/>
    <w:uiPriority w:val="0"/>
    <w:rPr>
      <w:rFonts w:ascii="宋体" w:hAnsi="宋体" w:eastAsia="宋体"/>
      <w:b/>
      <w:bCs/>
      <w:kern w:val="2"/>
      <w:sz w:val="24"/>
      <w:szCs w:val="24"/>
    </w:rPr>
  </w:style>
  <w:style w:type="character" w:customStyle="1" w:styleId="27">
    <w:name w:val="标题 7 字符"/>
    <w:link w:val="8"/>
    <w:qFormat/>
    <w:uiPriority w:val="0"/>
    <w:rPr>
      <w:rFonts w:ascii="宋体" w:hAnsi="宋体" w:eastAsia="宋体"/>
      <w:b/>
      <w:kern w:val="2"/>
      <w:sz w:val="24"/>
      <w:szCs w:val="21"/>
    </w:rPr>
  </w:style>
  <w:style w:type="character" w:customStyle="1" w:styleId="28">
    <w:name w:val="标题 8 字符"/>
    <w:link w:val="9"/>
    <w:qFormat/>
    <w:uiPriority w:val="0"/>
    <w:rPr>
      <w:rFonts w:ascii="宋体" w:hAnsi="宋体" w:eastAsia="宋体"/>
      <w:b/>
      <w:iCs/>
      <w:kern w:val="2"/>
      <w:sz w:val="24"/>
      <w:szCs w:val="21"/>
    </w:rPr>
  </w:style>
  <w:style w:type="character" w:customStyle="1" w:styleId="29">
    <w:name w:val="标题 9 字符"/>
    <w:link w:val="10"/>
    <w:qFormat/>
    <w:uiPriority w:val="0"/>
    <w:rPr>
      <w:rFonts w:ascii="宋体" w:hAnsi="宋体" w:eastAsia="宋体"/>
      <w:b/>
      <w:kern w:val="2"/>
      <w:sz w:val="24"/>
      <w:szCs w:val="21"/>
      <w:lang w:val="zh-CN"/>
    </w:rPr>
  </w:style>
  <w:style w:type="paragraph" w:customStyle="1" w:styleId="30">
    <w:name w:val="表格"/>
    <w:next w:val="1"/>
    <w:link w:val="31"/>
    <w:qFormat/>
    <w:uiPriority w:val="0"/>
    <w:pPr>
      <w:widowControl w:val="0"/>
      <w:contextualSpacing/>
    </w:pPr>
    <w:rPr>
      <w:rFonts w:ascii="宋体" w:hAnsi="宋体" w:eastAsia="宋体" w:cs="Times New Roman"/>
      <w:color w:val="000000" w:themeColor="text1"/>
      <w:kern w:val="2"/>
      <w:sz w:val="24"/>
      <w:szCs w:val="24"/>
      <w:lang w:val="en-US" w:eastAsia="zh-CN" w:bidi="ar-SA"/>
      <w14:textFill>
        <w14:solidFill>
          <w14:schemeClr w14:val="tx1"/>
        </w14:solidFill>
      </w14:textFill>
    </w:rPr>
  </w:style>
  <w:style w:type="character" w:customStyle="1" w:styleId="31">
    <w:name w:val="表格 字符"/>
    <w:basedOn w:val="18"/>
    <w:link w:val="30"/>
    <w:qFormat/>
    <w:uiPriority w:val="0"/>
    <w:rPr>
      <w:rFonts w:ascii="宋体" w:hAnsi="宋体" w:eastAsia="宋体" w:cs="Times New Roman"/>
      <w:color w:val="000000" w:themeColor="text1"/>
      <w:kern w:val="2"/>
      <w:sz w:val="24"/>
      <w:szCs w:val="24"/>
      <w14:textFill>
        <w14:solidFill>
          <w14:schemeClr w14:val="tx1"/>
        </w14:solidFill>
      </w14:textFill>
    </w:rPr>
  </w:style>
  <w:style w:type="paragraph" w:customStyle="1" w:styleId="32">
    <w:name w:val="居中"/>
    <w:next w:val="1"/>
    <w:link w:val="33"/>
    <w:qFormat/>
    <w:uiPriority w:val="0"/>
    <w:pPr>
      <w:jc w:val="center"/>
    </w:pPr>
    <w:rPr>
      <w:rFonts w:ascii="宋体" w:hAnsi="宋体" w:eastAsia="宋体" w:cstheme="minorBidi"/>
      <w:kern w:val="2"/>
      <w:sz w:val="24"/>
      <w:szCs w:val="21"/>
      <w:lang w:val="en-US" w:eastAsia="zh-CN" w:bidi="ar-SA"/>
    </w:rPr>
  </w:style>
  <w:style w:type="character" w:customStyle="1" w:styleId="33">
    <w:name w:val="居中 字符"/>
    <w:basedOn w:val="18"/>
    <w:link w:val="32"/>
    <w:qFormat/>
    <w:uiPriority w:val="0"/>
    <w:rPr>
      <w:rFonts w:ascii="宋体" w:hAnsi="宋体" w:eastAsia="宋体"/>
      <w:kern w:val="2"/>
      <w:sz w:val="24"/>
      <w:szCs w:val="21"/>
    </w:rPr>
  </w:style>
  <w:style w:type="paragraph" w:styleId="34">
    <w:name w:val="List Paragraph"/>
    <w:basedOn w:val="1"/>
    <w:qFormat/>
    <w:uiPriority w:val="99"/>
    <w:pPr>
      <w:ind w:firstLine="420"/>
    </w:pPr>
  </w:style>
  <w:style w:type="paragraph" w:customStyle="1" w:styleId="35">
    <w:name w:val="修订1"/>
    <w:hidden/>
    <w:semiHidden/>
    <w:qFormat/>
    <w:uiPriority w:val="99"/>
    <w:rPr>
      <w:rFonts w:ascii="宋体" w:hAnsi="宋体" w:eastAsia="宋体" w:cstheme="minorBidi"/>
      <w:kern w:val="2"/>
      <w:sz w:val="24"/>
      <w:szCs w:val="21"/>
      <w:lang w:val="en-US" w:eastAsia="zh-CN" w:bidi="ar-SA"/>
    </w:rPr>
  </w:style>
  <w:style w:type="paragraph" w:customStyle="1" w:styleId="36">
    <w:name w:val="正文缩进1"/>
    <w:basedOn w:val="1"/>
    <w:qFormat/>
    <w:uiPriority w:val="0"/>
    <w:pPr>
      <w:widowControl w:val="0"/>
      <w:spacing w:line="240" w:lineRule="auto"/>
      <w:ind w:firstLine="420"/>
    </w:pPr>
    <w:rPr>
      <w:rFonts w:ascii="Times New Roman" w:hAnsi="Times New Roman" w:cs="Times New Roman"/>
      <w:sz w:val="21"/>
      <w:szCs w:val="20"/>
    </w:rPr>
  </w:style>
  <w:style w:type="character" w:customStyle="1" w:styleId="37">
    <w:name w:val="批注框文本 字符"/>
    <w:basedOn w:val="18"/>
    <w:link w:val="12"/>
    <w:qFormat/>
    <w:uiPriority w:val="0"/>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12220</Words>
  <Characters>12341</Characters>
  <Lines>91</Lines>
  <Paragraphs>25</Paragraphs>
  <TotalTime>2</TotalTime>
  <ScaleCrop>false</ScaleCrop>
  <LinksUpToDate>false</LinksUpToDate>
  <CharactersWithSpaces>12344</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2024-05-16T15:04:00Z</dcterms:created>
  <dc:creator>user</dc:creator>
  <cp:lastModifiedBy>朱  晨</cp:lastModifiedBy>
  <dcterms:modified xsi:type="dcterms:W3CDTF">2026-03-31T09:26:47Z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75F8DC4DB05BA096D722CB69CF110F31_43</vt:lpwstr>
  </property>
  <property fmtid="{D5CDD505-2E9C-101B-9397-08002B2CF9AE}" pid="4" name="KSOTemplateDocerSaveRecord">
    <vt:lpwstr>eyJoZGlkIjoiZmIzMzUzZWRkMWE4NGVjZGNhMmY5NGZlZjY5MThmMWMiLCJ1c2VySWQiOiIxMTY1NjYwMDIyIn0=</vt:lpwstr>
  </property>
</Properties>
</file>