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sz w:val="48"/>
          <w:szCs w:val="48"/>
        </w:rPr>
      </w:pPr>
    </w:p>
    <w:p>
      <w:pPr>
        <w:ind w:firstLine="0" w:firstLineChars="0"/>
        <w:jc w:val="center"/>
        <w:rPr>
          <w:sz w:val="48"/>
          <w:szCs w:val="48"/>
        </w:rPr>
      </w:pPr>
    </w:p>
    <w:p>
      <w:pPr>
        <w:ind w:firstLine="0" w:firstLineChars="0"/>
        <w:jc w:val="center"/>
        <w:rPr>
          <w:sz w:val="52"/>
          <w:szCs w:val="52"/>
        </w:rPr>
      </w:pPr>
      <w:r>
        <w:rPr>
          <w:rFonts w:hint="eastAsia"/>
          <w:sz w:val="52"/>
          <w:szCs w:val="52"/>
        </w:rPr>
        <w:t>城管执法</w:t>
      </w:r>
      <w:r>
        <w:rPr>
          <w:sz w:val="52"/>
          <w:szCs w:val="52"/>
        </w:rPr>
        <w:t>法制</w:t>
      </w:r>
      <w:r>
        <w:rPr>
          <w:rFonts w:hint="eastAsia"/>
          <w:sz w:val="52"/>
          <w:szCs w:val="52"/>
        </w:rPr>
        <w:t>管理平台建设项目</w:t>
      </w:r>
      <w:r>
        <w:rPr>
          <w:sz w:val="52"/>
          <w:szCs w:val="52"/>
        </w:rPr>
        <w:t xml:space="preserve">(2026年升级改造) </w:t>
      </w:r>
    </w:p>
    <w:p>
      <w:pPr>
        <w:ind w:firstLine="0" w:firstLineChars="0"/>
        <w:jc w:val="center"/>
        <w:rPr>
          <w:sz w:val="52"/>
          <w:szCs w:val="52"/>
        </w:rPr>
      </w:pPr>
      <w:r>
        <w:rPr>
          <w:rFonts w:hint="eastAsia"/>
          <w:sz w:val="52"/>
          <w:szCs w:val="52"/>
        </w:rPr>
        <w:t>采购需求</w:t>
      </w:r>
    </w:p>
    <w:p>
      <w:pPr>
        <w:ind w:firstLine="0" w:firstLineChars="0"/>
        <w:jc w:val="center"/>
        <w:rPr>
          <w:sz w:val="72"/>
          <w:szCs w:val="72"/>
        </w:rPr>
      </w:pPr>
    </w:p>
    <w:p>
      <w:pPr>
        <w:ind w:firstLine="0" w:firstLineChars="0"/>
        <w:jc w:val="center"/>
        <w:rPr>
          <w:sz w:val="48"/>
          <w:szCs w:val="48"/>
        </w:rPr>
      </w:pPr>
    </w:p>
    <w:p>
      <w:pPr>
        <w:ind w:firstLine="0" w:firstLineChars="0"/>
        <w:jc w:val="center"/>
        <w:rPr>
          <w:sz w:val="52"/>
          <w:szCs w:val="52"/>
        </w:rPr>
      </w:pPr>
    </w:p>
    <w:p>
      <w:pPr>
        <w:ind w:firstLine="1040"/>
        <w:rPr>
          <w:sz w:val="52"/>
          <w:szCs w:val="52"/>
        </w:rPr>
      </w:pPr>
    </w:p>
    <w:p/>
    <w:p/>
    <w:p/>
    <w:p/>
    <w:p/>
    <w:p>
      <w:pPr>
        <w:ind w:firstLine="1040"/>
        <w:rPr>
          <w:sz w:val="52"/>
          <w:szCs w:val="52"/>
        </w:rPr>
      </w:pPr>
    </w:p>
    <w:p>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rFonts w:eastAsia="宋体"/>
        </w:rPr>
      </w:pPr>
      <w:bookmarkStart w:id="0" w:name="_Toc63785461"/>
      <w:r>
        <w:rPr>
          <w:rFonts w:hint="eastAsia" w:eastAsia="宋体"/>
        </w:rPr>
        <w:t>项目概况</w:t>
      </w:r>
      <w:bookmarkEnd w:id="0"/>
    </w:p>
    <w:p>
      <w:pPr>
        <w:spacing w:line="560" w:lineRule="exact"/>
      </w:pPr>
      <w:r>
        <w:rPr>
          <w:rFonts w:hint="eastAsia"/>
        </w:rPr>
        <w:t>项目背景及现状：</w:t>
      </w:r>
    </w:p>
    <w:p>
      <w:pPr>
        <w:spacing w:line="560" w:lineRule="exact"/>
      </w:pPr>
      <w:r>
        <w:rPr>
          <w:rFonts w:hint="eastAsia"/>
        </w:rPr>
        <w:t>上海市城管执法局已建“城管执法协同办公平台”、“城管执法法制管理平台”、“城管执法综合管理平台”、“城管指挥监管平台”</w:t>
      </w:r>
      <w:r>
        <w:t>4个专业“大系统”并均采用联通模式进行了整合，将市城管执法局上海市城管执法核心业务数据管理子系统、上海市城管执法网上办案系统整合为“城管执法法制管理平台”</w:t>
      </w:r>
      <w:r>
        <w:rPr>
          <w:rFonts w:hint="eastAsia"/>
        </w:rPr>
        <w:t>。</w:t>
      </w:r>
      <w:r>
        <w:t>上海城管执法网上办案系统，实现了全市城管执法的4个标准化（实现办案流程标准化、操作规范标准化、办案文书标准化、办案证据标准化），建立上海城管执法办案标准化程序，从而规范执法人员案件办理过程。上海市城管执法核心业务数据管理系统</w:t>
      </w:r>
      <w:r>
        <w:rPr>
          <w:rFonts w:hint="eastAsia"/>
        </w:rPr>
        <w:t>，</w:t>
      </w:r>
      <w:r>
        <w:t>主要依托市大数据中心的政务数据共享交换工作机制，通过自建数据和共享数据的方式，建设了城管执法核心业务数据管理。</w:t>
      </w:r>
    </w:p>
    <w:p>
      <w:pPr>
        <w:spacing w:line="560" w:lineRule="exact"/>
      </w:pPr>
      <w:r>
        <w:rPr>
          <w:rFonts w:hint="eastAsia"/>
        </w:rPr>
        <w:t>本次项目是对城管执法法制管理平台的升级改造，根据《行政执法质量提升三年行动方案》、《上海市聚焦提升企业感受持续打造国际一流营商环境行动方案》、《上海市城管执法系统数字化转型三年行动计划（</w:t>
      </w:r>
      <w:r>
        <w:t>2024-2026）》</w:t>
      </w:r>
      <w:r>
        <w:rPr>
          <w:rFonts w:hint="eastAsia"/>
        </w:rPr>
        <w:t>等文件要求，在网上办案子系统和核心业务数据管理子系统的原有业务功能基础上，升级改造核心业务数据管理子系统，新建城管执法业务中枢子系统，功能迭代网上办案子系统，功能主要涉及业务包括非现场执法、执法效能评估、“一张图”服务、行政处罚等。</w:t>
      </w:r>
    </w:p>
    <w:p>
      <w:pPr>
        <w:spacing w:line="560" w:lineRule="exact"/>
      </w:pPr>
      <w:r>
        <w:rPr>
          <w:rFonts w:hint="eastAsia"/>
        </w:rPr>
        <w:t>建设期限：自合同签订之日起至20</w:t>
      </w:r>
      <w:r>
        <w:t>26</w:t>
      </w:r>
      <w:r>
        <w:rPr>
          <w:rFonts w:hint="eastAsia"/>
        </w:rPr>
        <w:t>年</w:t>
      </w:r>
      <w:r>
        <w:t>11</w:t>
      </w:r>
      <w:r>
        <w:rPr>
          <w:rFonts w:hint="eastAsia"/>
        </w:rPr>
        <w:t>月</w:t>
      </w:r>
      <w:r>
        <w:t>30</w:t>
      </w:r>
      <w:r>
        <w:rPr>
          <w:rFonts w:hint="eastAsia"/>
        </w:rPr>
        <w:t>日</w:t>
      </w:r>
    </w:p>
    <w:p>
      <w:pPr>
        <w:spacing w:line="560" w:lineRule="exact"/>
      </w:pPr>
      <w:r>
        <w:rPr>
          <w:rFonts w:hint="eastAsia"/>
        </w:rPr>
        <w:t>建设地点：上海市城市管理行政执法局（上海市黄浦区徐家汇路</w:t>
      </w:r>
      <w:r>
        <w:t>579号6楼）</w:t>
      </w:r>
    </w:p>
    <w:p>
      <w:pPr>
        <w:spacing w:line="560" w:lineRule="exact"/>
      </w:pPr>
      <w:r>
        <w:rPr>
          <w:rFonts w:hint="eastAsia"/>
        </w:rPr>
        <w:t>预算金额：</w:t>
      </w:r>
      <w:r>
        <w:t>1737500</w:t>
      </w:r>
      <w:r>
        <w:rPr>
          <w:rFonts w:hint="eastAsia"/>
        </w:rPr>
        <w:t>元</w:t>
      </w:r>
    </w:p>
    <w:p>
      <w:pPr>
        <w:spacing w:line="560" w:lineRule="exact"/>
      </w:pPr>
      <w:r>
        <w:rPr>
          <w:rFonts w:hint="eastAsia"/>
        </w:rPr>
        <w:t>当年度预算金额：</w:t>
      </w:r>
      <w:r>
        <w:t>1737500</w:t>
      </w:r>
      <w:r>
        <w:rPr>
          <w:rFonts w:hint="eastAsia"/>
        </w:rPr>
        <w:t>元</w:t>
      </w:r>
    </w:p>
    <w:p>
      <w:pPr>
        <w:spacing w:line="560" w:lineRule="exact"/>
      </w:pPr>
      <w:r>
        <w:rPr>
          <w:rFonts w:hint="eastAsia"/>
        </w:rPr>
        <w:t>采购金额（最高限价）：</w:t>
      </w:r>
      <w:r>
        <w:t>1737500</w:t>
      </w:r>
      <w:r>
        <w:rPr>
          <w:rFonts w:hint="eastAsia"/>
        </w:rPr>
        <w:t>元</w:t>
      </w:r>
    </w:p>
    <w:p>
      <w:r>
        <w:rPr>
          <w:rFonts w:hint="eastAsia"/>
        </w:rPr>
        <w:t>组织形式：集中采购</w:t>
      </w:r>
    </w:p>
    <w:p>
      <w:r>
        <w:rPr>
          <w:rFonts w:hint="eastAsia"/>
        </w:rPr>
        <w:t>采购方式：竞争性磋商</w:t>
      </w:r>
    </w:p>
    <w:p>
      <w:r>
        <w:rPr>
          <w:rFonts w:hint="eastAsia"/>
        </w:rPr>
        <w:t>是否接受联合体投标：否</w:t>
      </w:r>
    </w:p>
    <w:p>
      <w:r>
        <w:t>是否按</w:t>
      </w:r>
      <w:r>
        <w:rPr>
          <w:rFonts w:hint="eastAsia"/>
          <w:lang w:eastAsia="zh-CN"/>
        </w:rPr>
        <w:t>XC</w:t>
      </w:r>
      <w:r>
        <w:t>要求建设：是</w:t>
      </w:r>
    </w:p>
    <w:p>
      <w:pPr>
        <w:tabs>
          <w:tab w:val="left" w:pos="3120"/>
        </w:tabs>
      </w:pPr>
      <w:r>
        <w:rPr>
          <w:rFonts w:hint="eastAsia"/>
        </w:rPr>
        <w:t>是否采用低代码建设：否</w:t>
      </w:r>
    </w:p>
    <w:p>
      <w:r>
        <w:rPr>
          <w:rFonts w:hint="eastAsia"/>
        </w:rPr>
        <w:t>运维后所属大系统：城管执法法制管理平台</w:t>
      </w:r>
    </w:p>
    <w:p>
      <w:pPr>
        <w:pStyle w:val="2"/>
        <w:rPr>
          <w:rFonts w:eastAsia="宋体"/>
        </w:rPr>
      </w:pPr>
      <w:bookmarkStart w:id="1" w:name="_Toc47536644"/>
      <w:bookmarkEnd w:id="1"/>
      <w:bookmarkStart w:id="2" w:name="_Toc47532255"/>
      <w:bookmarkEnd w:id="2"/>
      <w:bookmarkStart w:id="3" w:name="_Toc47531634"/>
      <w:bookmarkEnd w:id="3"/>
      <w:bookmarkStart w:id="4" w:name="_Toc47532891"/>
      <w:bookmarkEnd w:id="4"/>
      <w:bookmarkStart w:id="5" w:name="_Toc47536272"/>
      <w:bookmarkEnd w:id="5"/>
      <w:bookmarkStart w:id="6" w:name="_Toc47539070"/>
      <w:bookmarkEnd w:id="6"/>
      <w:bookmarkStart w:id="7" w:name="_Toc47533256"/>
      <w:bookmarkEnd w:id="7"/>
      <w:bookmarkStart w:id="8" w:name="_Toc47537134"/>
      <w:bookmarkEnd w:id="8"/>
      <w:bookmarkStart w:id="9" w:name="_Toc48223882"/>
      <w:bookmarkStart w:id="10" w:name="_Toc63785463"/>
      <w:r>
        <w:rPr>
          <w:rFonts w:hint="eastAsia" w:eastAsia="宋体"/>
        </w:rPr>
        <w:t>建设目标</w:t>
      </w:r>
      <w:bookmarkEnd w:id="9"/>
      <w:bookmarkEnd w:id="10"/>
    </w:p>
    <w:p>
      <w:r>
        <w:rPr>
          <w:rFonts w:hint="eastAsia"/>
        </w:rPr>
        <w:t>根据国家部委、市委市政府等系列文件要求，新建非现场的业务中枢，接入全市所有的非现场视频，实现智能识别，实现非现检查、非现排摸、非现发现业务全流程智能进行，减少现场检查频次；</w:t>
      </w:r>
      <w:r>
        <w:t>新建待办业务中心、接入管理、和运行分析管理，提升执法人员的及时性和工作效率；建设移动端的市、区、街镇三级数据驾驶舱，汇聚当日工作、月度工作、重点</w:t>
      </w:r>
      <w:r>
        <w:rPr>
          <w:rFonts w:hint="eastAsia"/>
        </w:rPr>
        <w:t>工作情况，为各级领导决策提供实时准确、直观可视的数据支撑；</w:t>
      </w:r>
      <w:r>
        <w:t>推动多场景应用，推动诉件、案件、监督等业务数据的融合碰撞，深化数据驱动监管能力，逐步形成“用</w:t>
      </w:r>
      <w:r>
        <w:rPr>
          <w:rFonts w:hint="eastAsia"/>
        </w:rPr>
        <w:t>数据对话、用数据决策、用数据服务、用数据创新”的业务模式；</w:t>
      </w:r>
      <w:r>
        <w:t>开展满足城管行政执法效能评估工作的数字化支撑需求的建设工作，实现评估数据自动抓取、评估结果自动计算、评估报告自动生成，有效提升执法效能评估工作的效率和效果</w:t>
      </w:r>
      <w:r>
        <w:rPr>
          <w:rFonts w:hint="eastAsia"/>
        </w:rPr>
        <w:t>；</w:t>
      </w:r>
      <w:r>
        <w:t>升级网上办案子系统，建设检测/恢复承重墙报告、吊销建筑垃圾运输许可证等相关功能，全面满足修订后的程序规定，提高执法办案质量。全面实施行政处罚决定书和信用修复提示函“两书同达”，在制作《行政处罚决定书》时，符合信用公示条件的案件同步制作《公共信用信息修复提示函》送达给当事人</w:t>
      </w:r>
      <w:r>
        <w:rPr>
          <w:rFonts w:hint="eastAsia"/>
        </w:rPr>
        <w:t>；</w:t>
      </w:r>
      <w:r>
        <w:t>建设裁量选择占比、办案指引等智能提醒功能，实现案件要素自动核查和预警，全面提升执法</w:t>
      </w:r>
      <w:r>
        <w:rPr>
          <w:rFonts w:hint="eastAsia"/>
        </w:rPr>
        <w:t>人员办案准确率，减少行政复议诉讼风险，提升法制管理现代化水平。</w:t>
      </w:r>
    </w:p>
    <w:p>
      <w:pPr>
        <w:rPr>
          <w:rFonts w:cs="宋体"/>
        </w:rPr>
      </w:pPr>
      <w:r>
        <w:rPr>
          <w:rFonts w:hint="eastAsia" w:cs="宋体"/>
        </w:rPr>
        <w:t>通过本项目的建设拟实现的各目标如下：</w:t>
      </w:r>
    </w:p>
    <w:p>
      <w:pPr>
        <w:numPr>
          <w:ilvl w:val="0"/>
          <w:numId w:val="3"/>
        </w:numPr>
        <w:ind w:firstLine="482" w:firstLineChars="0"/>
        <w:rPr>
          <w:b/>
        </w:rPr>
      </w:pPr>
      <w:r>
        <w:rPr>
          <w:rFonts w:hint="eastAsia"/>
          <w:b/>
        </w:rPr>
        <w:t>应用指标:</w:t>
      </w:r>
    </w:p>
    <w:p>
      <w:pPr>
        <w:pStyle w:val="61"/>
        <w:ind w:firstLine="480"/>
        <w:rPr>
          <w:rFonts w:cs="宋体"/>
        </w:rPr>
      </w:pPr>
      <w:r>
        <w:rPr>
          <w:rFonts w:hint="eastAsia" w:ascii="宋体" w:hAnsi="宋体" w:cs="宋体"/>
          <w:sz w:val="24"/>
        </w:rPr>
        <w:t>本次项目为原系统升级改造，要求与原系统实现功能衔接和数据兼容。采购人将在合同签订后向中标人提供原系统的接口规范文档、数据库结构文档及必要的技术说明。中标人可采用满足国产化要求的主流技术框架进行开发，但须确保与原系统的互联互通。</w:t>
      </w:r>
    </w:p>
    <w:p>
      <w:pPr>
        <w:rPr>
          <w:rFonts w:cs="宋体"/>
        </w:rPr>
      </w:pPr>
      <w:r>
        <w:rPr>
          <w:rFonts w:hint="eastAsia" w:cs="宋体"/>
        </w:rPr>
        <w:t>要求系统满足法制管理业务日常办理需要。</w:t>
      </w:r>
    </w:p>
    <w:p>
      <w:pPr>
        <w:numPr>
          <w:ilvl w:val="0"/>
          <w:numId w:val="3"/>
        </w:numPr>
        <w:ind w:firstLine="482" w:firstLineChars="0"/>
        <w:rPr>
          <w:b/>
        </w:rPr>
      </w:pPr>
      <w:r>
        <w:rPr>
          <w:rFonts w:hint="eastAsia"/>
          <w:b/>
        </w:rPr>
        <w:t>技术指标：</w:t>
      </w:r>
    </w:p>
    <w:p>
      <w:pPr>
        <w:rPr>
          <w:rFonts w:cs="宋体"/>
        </w:rPr>
      </w:pPr>
      <w:r>
        <w:rPr>
          <w:rFonts w:hint="eastAsia" w:cs="宋体"/>
        </w:rPr>
        <w:t>（1）国产化环境下系统并发量不低于50。</w:t>
      </w:r>
    </w:p>
    <w:p>
      <w:pPr>
        <w:rPr>
          <w:rFonts w:cs="宋体"/>
        </w:rPr>
      </w:pPr>
      <w:r>
        <w:rPr>
          <w:rFonts w:hint="eastAsia" w:cs="宋体"/>
        </w:rPr>
        <w:t>（2）用户登录账号操作响应时间应小于2秒；</w:t>
      </w:r>
    </w:p>
    <w:p>
      <w:pPr>
        <w:rPr>
          <w:rFonts w:cs="宋体"/>
        </w:rPr>
      </w:pPr>
      <w:r>
        <w:rPr>
          <w:rFonts w:hint="eastAsia" w:cs="宋体"/>
        </w:rPr>
        <w:t>（3）普通查询操作响应时间应小于5秒；</w:t>
      </w:r>
    </w:p>
    <w:p>
      <w:pPr>
        <w:rPr>
          <w:rFonts w:cs="宋体"/>
        </w:rPr>
      </w:pPr>
      <w:r>
        <w:rPr>
          <w:rFonts w:hint="eastAsia" w:cs="宋体"/>
        </w:rPr>
        <w:t>（4）综合查询统计操作应小于10秒。</w:t>
      </w:r>
    </w:p>
    <w:p>
      <w:pPr>
        <w:numPr>
          <w:ilvl w:val="0"/>
          <w:numId w:val="3"/>
        </w:numPr>
        <w:ind w:firstLine="482" w:firstLineChars="0"/>
        <w:rPr>
          <w:b/>
        </w:rPr>
      </w:pPr>
      <w:r>
        <w:rPr>
          <w:rFonts w:hint="eastAsia"/>
          <w:b/>
        </w:rPr>
        <w:t>绩效目标：</w:t>
      </w:r>
    </w:p>
    <w:p>
      <w:pPr>
        <w:rPr>
          <w:rFonts w:cs="宋体"/>
        </w:rPr>
      </w:pPr>
      <w:r>
        <w:rPr>
          <w:rFonts w:hint="eastAsia" w:cs="宋体"/>
        </w:rPr>
        <w:t>（1）时效考核目标：202</w:t>
      </w:r>
      <w:r>
        <w:rPr>
          <w:rFonts w:cs="宋体"/>
        </w:rPr>
        <w:t>6</w:t>
      </w:r>
      <w:r>
        <w:rPr>
          <w:rFonts w:hint="eastAsia" w:cs="宋体"/>
        </w:rPr>
        <w:t>年</w:t>
      </w:r>
      <w:r>
        <w:rPr>
          <w:rFonts w:cs="宋体"/>
        </w:rPr>
        <w:t>11</w:t>
      </w:r>
      <w:r>
        <w:rPr>
          <w:rFonts w:hint="eastAsia" w:cs="宋体"/>
        </w:rPr>
        <w:t>月3</w:t>
      </w:r>
      <w:r>
        <w:rPr>
          <w:rFonts w:cs="宋体"/>
        </w:rPr>
        <w:t>0</w:t>
      </w:r>
      <w:r>
        <w:rPr>
          <w:rFonts w:hint="eastAsia" w:cs="宋体"/>
        </w:rPr>
        <w:t>日前完成项目建设；</w:t>
      </w:r>
    </w:p>
    <w:p>
      <w:pPr>
        <w:rPr>
          <w:rFonts w:cs="宋体"/>
        </w:rPr>
      </w:pPr>
      <w:r>
        <w:rPr>
          <w:rFonts w:hint="eastAsia" w:cs="宋体"/>
        </w:rPr>
        <w:t>（2）业务考核目标：项目改造完成后，系统满足城管执法法制管理平台业务的工作要求，系统运行稳定高效、安全可靠；</w:t>
      </w:r>
    </w:p>
    <w:p>
      <w:pPr>
        <w:rPr>
          <w:rFonts w:cs="宋体"/>
        </w:rPr>
      </w:pPr>
      <w:r>
        <w:rPr>
          <w:rFonts w:hint="eastAsia" w:cs="宋体"/>
        </w:rPr>
        <w:t>（3）功能考核目标：项目改造完成后，本项目改造的各功能模块正常运行比例达到100%；</w:t>
      </w:r>
    </w:p>
    <w:p>
      <w:pPr>
        <w:rPr>
          <w:rFonts w:cs="宋体"/>
        </w:rPr>
      </w:pPr>
      <w:r>
        <w:rPr>
          <w:rFonts w:hint="eastAsia" w:cs="宋体"/>
        </w:rPr>
        <w:t>（4）安全考核目标：系统采用等保二级的安全体系，保证数据在处理和传输全过程的安全性；</w:t>
      </w:r>
    </w:p>
    <w:p>
      <w:pPr>
        <w:pStyle w:val="2"/>
        <w:rPr>
          <w:rFonts w:eastAsia="宋体"/>
        </w:rPr>
      </w:pPr>
      <w:bookmarkStart w:id="11" w:name="_Toc47537166"/>
      <w:bookmarkEnd w:id="11"/>
      <w:bookmarkStart w:id="12" w:name="_Toc47539102"/>
      <w:bookmarkEnd w:id="12"/>
      <w:bookmarkStart w:id="13" w:name="_Toc47536304"/>
      <w:bookmarkEnd w:id="13"/>
      <w:bookmarkStart w:id="14" w:name="_Toc47533288"/>
      <w:bookmarkEnd w:id="14"/>
      <w:bookmarkStart w:id="15" w:name="_Toc47532923"/>
      <w:bookmarkEnd w:id="15"/>
      <w:bookmarkStart w:id="16" w:name="_Toc47536676"/>
      <w:bookmarkEnd w:id="16"/>
      <w:r>
        <w:rPr>
          <w:rFonts w:hint="eastAsia" w:eastAsia="宋体"/>
        </w:rPr>
        <w:t>项目建设内容</w:t>
      </w:r>
    </w:p>
    <w:p>
      <w:pPr>
        <w:widowControl/>
        <w:snapToGrid w:val="0"/>
        <w:ind w:firstLine="482"/>
        <w:jc w:val="left"/>
        <w:rPr>
          <w:b/>
        </w:rPr>
      </w:pPr>
      <w:r>
        <w:rPr>
          <w:rFonts w:hint="eastAsia"/>
          <w:b/>
        </w:rPr>
        <w:t>1、技术路线：</w:t>
      </w:r>
    </w:p>
    <w:p>
      <w:pPr>
        <w:rPr>
          <w:rFonts w:cs="宋体"/>
        </w:rPr>
      </w:pPr>
      <w:r>
        <w:rPr>
          <w:rFonts w:hint="eastAsia" w:cs="宋体"/>
        </w:rPr>
        <w:t>（1）系统使用</w:t>
      </w:r>
      <w:r>
        <w:rPr>
          <w:rFonts w:cs="宋体"/>
        </w:rPr>
        <w:t>J</w:t>
      </w:r>
      <w:r>
        <w:rPr>
          <w:rFonts w:hint="eastAsia" w:cs="宋体"/>
        </w:rPr>
        <w:t>ava作为业务处理的开发语言；</w:t>
      </w:r>
    </w:p>
    <w:p>
      <w:pPr>
        <w:rPr>
          <w:rFonts w:cs="宋体"/>
        </w:rPr>
      </w:pPr>
      <w:r>
        <w:rPr>
          <w:rFonts w:hint="eastAsia" w:cs="宋体"/>
        </w:rPr>
        <w:t>（2）采用Java主流的技术应用框架；</w:t>
      </w:r>
    </w:p>
    <w:p>
      <w:pPr>
        <w:rPr>
          <w:rFonts w:cs="宋体"/>
        </w:rPr>
      </w:pPr>
      <w:r>
        <w:rPr>
          <w:rFonts w:hint="eastAsia" w:cs="宋体"/>
        </w:rPr>
        <w:t>（3）要求使用主流数据库，符合国产化的技术要求；</w:t>
      </w:r>
    </w:p>
    <w:p>
      <w:pPr>
        <w:rPr>
          <w:rFonts w:cs="宋体"/>
        </w:rPr>
      </w:pPr>
      <w:r>
        <w:rPr>
          <w:rFonts w:hint="eastAsia" w:cs="宋体"/>
        </w:rPr>
        <w:t>（4）要求提供表单引擎、流程引擎等工具满足系统业务扩展需求。</w:t>
      </w:r>
    </w:p>
    <w:p>
      <w:pPr>
        <w:widowControl/>
        <w:snapToGrid w:val="0"/>
        <w:ind w:firstLine="482"/>
        <w:jc w:val="left"/>
        <w:rPr>
          <w:b/>
        </w:rPr>
      </w:pPr>
      <w:r>
        <w:rPr>
          <w:rFonts w:hint="eastAsia"/>
          <w:b/>
        </w:rPr>
        <w:t>2、系统架构：</w:t>
      </w:r>
    </w:p>
    <w:p>
      <w:pPr>
        <w:widowControl/>
        <w:snapToGrid w:val="0"/>
        <w:spacing w:line="240" w:lineRule="auto"/>
        <w:ind w:firstLine="0" w:firstLineChars="0"/>
        <w:jc w:val="left"/>
        <w:rPr>
          <w:b/>
        </w:rPr>
      </w:pPr>
      <w:r>
        <w:rPr>
          <w:bCs/>
          <w:sz w:val="28"/>
          <w:szCs w:val="28"/>
        </w:rPr>
        <w:object>
          <v:shape id="_x0000_i1025" o:spt="75" type="#_x0000_t75" style="height:413.15pt;width:408.2pt;" o:ole="t" filled="f" o:preferrelative="t" stroked="f" coordsize="21600,21600">
            <v:path/>
            <v:fill on="f" focussize="0,0"/>
            <v:stroke on="f" joinstyle="miter"/>
            <v:imagedata r:id="rId14" o:title=""/>
            <o:lock v:ext="edit" aspectratio="f"/>
            <w10:wrap type="none"/>
            <w10:anchorlock/>
          </v:shape>
          <o:OLEObject Type="Embed" ProgID="Visio.Drawing.15" ShapeID="_x0000_i1025" DrawAspect="Content" ObjectID="_1468075725" r:id="rId13">
            <o:LockedField>false</o:LockedField>
          </o:OLEObject>
        </w:object>
      </w:r>
    </w:p>
    <w:p>
      <w:pPr>
        <w:widowControl/>
        <w:snapToGrid w:val="0"/>
        <w:spacing w:line="440" w:lineRule="exact"/>
        <w:ind w:firstLine="482"/>
        <w:jc w:val="left"/>
        <w:rPr>
          <w:b/>
        </w:rPr>
      </w:pPr>
      <w:r>
        <w:rPr>
          <w:rFonts w:hint="eastAsia"/>
          <w:b/>
        </w:rPr>
        <w:t>3、部署环境：</w:t>
      </w:r>
    </w:p>
    <w:p>
      <w:pPr>
        <w:widowControl/>
        <w:snapToGrid w:val="0"/>
        <w:jc w:val="left"/>
        <w:rPr>
          <w:bCs/>
        </w:rPr>
      </w:pPr>
      <w:r>
        <w:rPr>
          <w:rFonts w:hint="eastAsia"/>
          <w:bCs/>
        </w:rPr>
        <w:t>系统目前部署在上海市电子政务云，操作系统采用统信UOS/麒麟，数据库软件采用达梦/人大金仓，中间件采用东方通，部署网络为政务外网+互联网。</w:t>
      </w:r>
    </w:p>
    <w:p>
      <w:pPr>
        <w:widowControl/>
        <w:numPr>
          <w:ilvl w:val="0"/>
          <w:numId w:val="4"/>
        </w:numPr>
        <w:snapToGrid w:val="0"/>
        <w:spacing w:line="440" w:lineRule="exact"/>
        <w:ind w:firstLine="482" w:firstLineChars="0"/>
        <w:jc w:val="left"/>
        <w:rPr>
          <w:b/>
        </w:rPr>
      </w:pPr>
      <w:r>
        <w:rPr>
          <w:rFonts w:hint="eastAsia"/>
          <w:b/>
        </w:rPr>
        <w:t>软件开发清单：</w:t>
      </w:r>
    </w:p>
    <w:tbl>
      <w:tblPr>
        <w:tblStyle w:val="35"/>
        <w:tblW w:w="0" w:type="auto"/>
        <w:tblInd w:w="0" w:type="dxa"/>
        <w:tblLayout w:type="autofit"/>
        <w:tblCellMar>
          <w:top w:w="0" w:type="dxa"/>
          <w:left w:w="108" w:type="dxa"/>
          <w:bottom w:w="0" w:type="dxa"/>
          <w:right w:w="108" w:type="dxa"/>
        </w:tblCellMar>
      </w:tblPr>
      <w:tblGrid>
        <w:gridCol w:w="475"/>
        <w:gridCol w:w="1113"/>
        <w:gridCol w:w="2161"/>
        <w:gridCol w:w="4779"/>
      </w:tblGrid>
      <w:tr>
        <w:trPr>
          <w:trHeight w:val="575" w:hRule="atLeast"/>
        </w:trPr>
        <w:tc>
          <w:tcPr>
            <w:tcW w:w="0" w:type="auto"/>
            <w:tcBorders>
              <w:top w:val="single" w:color="000000" w:sz="8" w:space="0"/>
              <w:left w:val="single" w:color="000000" w:sz="8" w:space="0"/>
              <w:bottom w:val="single" w:color="000000" w:sz="8" w:space="0"/>
              <w:right w:val="single" w:color="000000" w:sz="8" w:space="0"/>
            </w:tcBorders>
            <w:shd w:val="clear" w:color="auto" w:fill="F3F8FC"/>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序号</w:t>
            </w:r>
          </w:p>
        </w:tc>
        <w:tc>
          <w:tcPr>
            <w:tcW w:w="0" w:type="auto"/>
            <w:tcBorders>
              <w:top w:val="single" w:color="000000" w:sz="8" w:space="0"/>
              <w:left w:val="nil"/>
              <w:bottom w:val="single" w:color="000000" w:sz="8" w:space="0"/>
              <w:right w:val="single" w:color="000000" w:sz="8" w:space="0"/>
            </w:tcBorders>
            <w:shd w:val="clear" w:color="auto" w:fill="F3F8FC"/>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应用系统名称</w:t>
            </w:r>
          </w:p>
        </w:tc>
        <w:tc>
          <w:tcPr>
            <w:tcW w:w="0" w:type="auto"/>
            <w:tcBorders>
              <w:top w:val="single" w:color="000000" w:sz="8" w:space="0"/>
              <w:left w:val="nil"/>
              <w:bottom w:val="single" w:color="000000" w:sz="8" w:space="0"/>
              <w:right w:val="single" w:color="000000" w:sz="8" w:space="0"/>
            </w:tcBorders>
            <w:shd w:val="clear" w:color="auto" w:fill="F3F8FC"/>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模块名称</w:t>
            </w:r>
          </w:p>
        </w:tc>
        <w:tc>
          <w:tcPr>
            <w:tcW w:w="0" w:type="auto"/>
            <w:tcBorders>
              <w:top w:val="single" w:color="000000" w:sz="8" w:space="0"/>
              <w:left w:val="nil"/>
              <w:bottom w:val="single" w:color="000000" w:sz="8" w:space="0"/>
              <w:right w:val="single" w:color="000000" w:sz="8" w:space="0"/>
            </w:tcBorders>
            <w:shd w:val="clear" w:color="auto" w:fill="F3F8FC"/>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模块描述</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核心业务数据管理子系统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执法监督综合场景（升级）-决策建议（升级）-终止调查、撤销决定及三超期趋势研判</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对终止调查、撤销决定及三超期的时间趋势进行分析和研判，支持用户在可视化图表上进行数据穿透。</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执法监督综合场景（升级）-决策建议（升级）-重大复杂案件趋势研判</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对重大复杂案件的数量、发生区域、发生领域等进行分析和研判，支持用户在图表上进行数据穿透。</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执法监督综合场景（升级）-决策建议（升级）-执法监督关联度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建立执法监督关联度分析模型。</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执法效能评估综合场景（新增）-执法事项频度全景洞察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建立执法事项频度分析研判模型。</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执法效能评估综合场景（新增）-投诉事项与执法事项关联度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构建投诉事项与执法事项关联分析模型。</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执法效能评估综合场景（新增）-轻微违法行为不予处罚案件全景洞察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构建轻微违法行为不予处罚案件分析研判模型。</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执法效能评估综合场景（新增）-行政相对人全景洞察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构建行政相对人分析研判模型。</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执法效能评估综合场景（新增）-法制审核与复议诉讼全景洞察-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构建法制审核与复议诉讼分析研判模型。</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执法效能评估综合场景（新增）-行政执法效能评估报告</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系统支持行政执法效能评估报告模版管理、报告生成、报告编辑修改、报告下载转发等功能，为各级执法部门和执法人员的执法工作提供指导和建议。</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住宅小区综合场景（新增）-住宅小区监管全景洞察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实现住宅小区相关事项诉件转案情况分析。</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建筑工地专项执法监管场景（升级）-建筑垃圾当事人全景洞察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建立建筑垃圾当事人全景洞察模型。</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诉件综合场景（新建）-中队诉转案全景洞察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构建中队诉转案全景模型。</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诉件综合场景（新建）-小区诉件处置全景洞察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构建小区诉件全景模型。</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诉件综合场景（新建）-诉件分类分级全景洞察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构建诉件分级分类全景模型。</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随申办政务云数据视窗（新建）-执法监督数据视窗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移动端建设穿透市、区、街镇三级的执法监督数据视窗，视窗内容围绕各级执法监督工作开展情况。</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随申办政务云数据视窗（新建）-执法机构数据视窗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移动端建设穿透市、区两级的执法机构数据视窗，视窗内容围绕各级执法机构情况展开。</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随申办政务云数据视窗（新建）-执法案件数据视窗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移动端建设穿透市、区两级的执法案件数据视窗，视窗内容围绕各级执法办案情况展开。</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随申办政务云数据视窗（新建）-综合执法数据视窗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移动端建设穿透市、区两级的综合执法数据视窗，视窗内容围绕各级综合执法情况展开。</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19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随申办政务云数据视窗（新建）-专项执法数据视窗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移动端建设穿透市、区两级的专项执法数据视窗，视窗内容围绕各级各执法单位各项专项执法情况展开。</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随申办政务云数据视窗（新建）-执法人才数据视窗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移动端建设穿透市、区、街镇三级的执法人才数据视窗，视窗内容围绕各级各执法单位各项专项执法情况展开。</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专题数据视窗（升级）-投诉处置专题数据视窗-投诉和便民服务视窗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基于诉件和便民服务历史数据，构建视窗模型。</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专题数据视窗（升级）-投诉处置专题数据视窗-诉件一本账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构建诉件一本账模型，形成诉件总体画像。</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专题数据视窗（升级）-沿街非现监管专题数据视窗-商铺非现巡检一本账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构建商铺非现巡检一本账模型，对其进行全方位多维度的研判和展示。</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专题数据视窗（升级）-沿街非现监管专题数据视窗-高风险商铺预警视窗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基于高风险商铺历史数据，构建其预警模型，从不同维度进行高风险预警。</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专题数据视窗（升级）-专题研判规则管理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系统支持研判指标项统计规则的配置定义、编辑、删除等功能。在可视化界面展示不同的指标统计规则描述。</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26</w:t>
            </w:r>
          </w:p>
        </w:tc>
        <w:tc>
          <w:tcPr>
            <w:tcW w:w="0" w:type="auto"/>
            <w:vMerge w:val="restart"/>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城管执法业务中枢子系统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业务待办中心-业务待办任务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建立业务待办中心，包括待办任务提醒、总数、进度和倒计时情况等。</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27</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业务待办中心-随申办政务云对接</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与随申办政务云对接，实现待办任务短信提醒执法人员。</w:t>
            </w:r>
          </w:p>
        </w:tc>
      </w:tr>
      <w:tr>
        <w:trPr>
          <w:trHeight w:val="28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28</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接入管理-模块及功能接入管理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提供应用模块及应用功能的注册、管理及维护。</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29</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接入管理-权限注册管理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提供功能权限注册、接入审批、权限规则配置。</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30</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接入管理-用户、数据接入管理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包括用户接入管理、数据接入管理。</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31</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接入管理-系统接口管理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包括接口申请管理、用户接口管理、身份接口管理、授权接口管理、业务接口管理、待办接口管理、应用接口管理、日志接口管理</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32</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运行分析管理-接入管理、用户数据分析</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包括接入管理数据分析、用户数据分析。</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33</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运行分析管理-系统安全分析、预警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包括系统安全分析、系统预警</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34</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“一张图”服务对接-“一张图”坐标转换服务对接-坐标转换接口对接</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进行上海2000转高德、高德转上海2000坐标转换；上海2000转百度，百度转上海2000坐标转换</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35</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“一张图”服务对接-“一张图”地名地址服务对接-地理、逆地理编码服务接口对接</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进行地理编码服务接口对接，提供社会化来源的地名信息查询可根据结构化地址信息，获取地理坐标信息。进行逆地理编码服务接口对接，提供基于社会化地理信息的査询，将坐标点转换为详细结构化的地址。</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36</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“一张图”服务对接-“一张图”地名地址服务对接-正地理编码融合地址服务接口对接</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进行正地理编码融合地址服务接口对接，根据地址获取上海2000的坐标和标准地址。</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37</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非现场执法业务中枢-非现视频平台-区非现业务相关视频接入</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通过定义标准接入通道，支持接入全市各区的非现场视频接入，建设视频智能解析平台。</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38</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非现场执法业务中枢-非现视频平台-视频资源目录管理-区域管理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支持按行政层级（市、区、街道）划分视频资源目录；支持点击区域直接调取关联视频；支持直属中队跨区域资源检索，支持通过区域名称、坐标范围（经纬度）快速定位视频资源。</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39</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非现场执法业务中枢-非现视频平台-视频资源目录管理-类型管理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支持对视频资源进行类型标签分类；支持智能识别视频资源分类；支持对类型的筛选、统计分析</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40</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非现场执法业务中枢-非现视频平台-视频资源目录管理-权限管理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支持对视频资源进行精细化权限控制，包括角色权限分离、分级授权</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41</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非现场执法业务中枢-非现视频平台-视频浏览</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支持对已接入视频进行视频浏览、切换等操作。</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42</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非现场执法业务中枢-非现视频平台-智能识别</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实时解析接入的的非现监控视频流，针对街面商户店招店牌识别、跨门经营、占道堆物的违法行为实现智能识别。</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43</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非现场执法业务中枢-非现对象智能排摸、巡检-对象智能排摸、巡检计划</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建立非现场业务智能排摸计划，对商户的变化情况进行排摸，按照该计划生成排摸任务；建立非现场业务智能巡检计划，对商户的违法行为进行巡查，按照该计划生成巡检任务。</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44</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非现场执法业务中枢-非现对象智能排摸、巡检-对象智能排摸、巡检任务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根据排摸计划，生成排摸任务，由对应的单位进行执行；根据巡检计划，生成巡检任务，由对应的单位进行执行。</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45</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非现场执法业务中枢-非现对象智能排摸、巡检-对象智能排摸商户</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实现非现排摸，智能识别店招店牌，明确沿街商铺情况。</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46</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非现场执法业务中枢-非现对象智能排摸、巡检-对象智能点位比对</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实现店招店铺与上报的点位进行智能比对。</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47</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非现场执法业务中枢-非现对象智能排摸、巡检-变更、异常预警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在智能排摸、点位比对后，针对发生变化、异常的店招店牌进行预警。</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48</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非现场执法业务中枢-非现对象智能排摸、巡检-排摸结果台账、智能巡检</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将非现场执法智能排摸结果进行汇总；将非现的跨门经营、占道堆物的违法行为智能识别结果和巡检主体进行关联，并形成巡检记录</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49</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非现场执法业务中枢-非现对象智能排摸、巡检-巡检结果及违法行为预警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针对非现巡检结果形成列表，支持对巡检结果的查询、查看、结果人工调整等；对智能识别到的违法行为进行预警。</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50</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非现场执法业务中枢-非现工单处置-预警生成非现工单</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根据非现巡检结果，将违法行为预警人工确认后生成工单。</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51</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非现场执法业务中枢-非现工单处置-非现通知随申办对接</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通过与随申办对接，实现非现的责令整改通知推到非现对象的随申办。</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52</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非现场执法业务中枢-非现工单处置-智能合规告知与处置反馈</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针对执法事件或潜在风险，系统可生成个性化告知书并通过多渠道精准推送。</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53</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非现场执法业务中枢-非现工单处置-合规指引服务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在随申办提供合规指引服务，为商铺提供法律法规、监管、行业标准等方面的指导。</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54</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非现场执法业务中枢-非现工单处置-非现工单派发</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区局根据违法行为相关视频管理的地址发给对应中队，由中队派发给执法人员进行处置。</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55</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非现场执法业务中枢-非现工单处置-非现工单处置</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执法人员在收到工单后，进行确认并处置，处置结果反馈给市局。</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56</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非现场执法业务中枢-非现工单处置-行为画像与风险预警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结合商铺历史行为、响应效率、合规主动性等数据，自动生成信用风险画像。</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57</w:t>
            </w:r>
          </w:p>
        </w:tc>
        <w:tc>
          <w:tcPr>
            <w:tcW w:w="0" w:type="auto"/>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非现场执法业务中枢-非现事件结果接口</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开发非现事件结果接口，支持各区对接接入。</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58</w:t>
            </w:r>
          </w:p>
        </w:tc>
        <w:tc>
          <w:tcPr>
            <w:tcW w:w="0" w:type="auto"/>
            <w:vMerge w:val="restart"/>
            <w:tcBorders>
              <w:top w:val="single" w:color="auto" w:sz="4" w:space="0"/>
              <w:left w:val="single" w:color="000000" w:sz="4" w:space="0"/>
              <w:right w:val="single" w:color="000000" w:sz="4" w:space="0"/>
            </w:tcBorders>
          </w:tcPr>
          <w:p>
            <w:pPr>
              <w:widowControl/>
              <w:spacing w:line="240" w:lineRule="auto"/>
              <w:ind w:right="28" w:rightChars="12" w:firstLine="0" w:firstLineChars="0"/>
              <w:rPr>
                <w:rFonts w:cs="宋体"/>
                <w:color w:val="000000"/>
                <w:kern w:val="0"/>
                <w:sz w:val="22"/>
                <w:szCs w:val="22"/>
              </w:rPr>
            </w:pPr>
          </w:p>
          <w:p>
            <w:pPr>
              <w:widowControl/>
              <w:spacing w:line="240" w:lineRule="auto"/>
              <w:ind w:right="28" w:rightChars="12" w:firstLine="0" w:firstLineChars="0"/>
              <w:rPr>
                <w:rFonts w:cs="宋体"/>
                <w:color w:val="000000"/>
                <w:kern w:val="0"/>
                <w:sz w:val="22"/>
                <w:szCs w:val="22"/>
              </w:rPr>
            </w:pPr>
            <w:r>
              <w:rPr>
                <w:rFonts w:hint="eastAsia" w:cs="宋体"/>
                <w:color w:val="000000"/>
                <w:kern w:val="0"/>
                <w:sz w:val="22"/>
                <w:szCs w:val="22"/>
              </w:rPr>
              <w:t>网上办案子系统（功能迭代）</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建筑垃圾运输许可证吊销子系统-建筑垃圾运输许可证吊销-吊证案件登记、处置</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对于渣土类案由，在案情调查阶段，需填写确认案件的违法行为实际发生时间。吊证规则调整。</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59</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建筑垃圾运输许可证吊销子系统-建筑垃圾运输许可证吊销-吊证前置预警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改造吊证预警，根据处罚决定日期，同一个自然月内运输单位被处罚达到2次立即预警。</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60</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行政处罚子系统-案件流程环节迭代</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对案件基本情况登记、案件调查、案件执行等环节进行功能迭代</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61</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行政处罚子系统-案件文书流程迭代</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对不予立案告知书、《公共信用信息修复提示函》等文书进行增加及流程进行迭代。</w:t>
            </w:r>
          </w:p>
        </w:tc>
      </w:tr>
      <w:tr>
        <w:tblPrEx>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62</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行政处罚子系统-承重墙鉴定报告管理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增加承重墙鉴定报告管理，包括鉴定报告登记、案件办理关联鉴定报告、鉴定报告扫码获取与接口对接等功能</w:t>
            </w:r>
          </w:p>
        </w:tc>
      </w:tr>
      <w:tr>
        <w:trPr>
          <w:trHeight w:val="168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63</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行政处罚子系统-施工噪声扰民提示告知</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包括告知单模版管理、告知单预警、告知单处置、《施工噪声扰民提示告知单》开具及打印、当事人签字等功能</w:t>
            </w:r>
          </w:p>
        </w:tc>
      </w:tr>
      <w:tr>
        <w:trPr>
          <w:trHeight w:val="28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64</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行政处罚子系统-历史案件提醒</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增加当事人曾被处罚的行政处罚决定书编号提醒，作为第二次及以上被发现的相关证据。</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65</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行政处罚子系统-裁量基准计算器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建立裁量基准计算器，执法队员按照实际情况选择了相关前置条件后，自动计算出该案件裁量。</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66</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行政处罚子系统-案由提醒</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执法人员选择案由时，针对存在减轻行政处罚清单的、免于行政处罚清单、裁量基准、历史案例、事项变更等，用标签提示。</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67</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网上办案系统移动端随申办政务云-案件基本情况登记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移动端登记，增加填写“是否非居”字段，增加填写“是否行刑衔接”字段，增加车牌号字段。</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68</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网上办案工作台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增加结案期限相关统计；支持数据穿透功能，展示对应案件列表；调整提醒规则。</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69</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行政强制（拆违）子系统-证据照片（图片）及说明</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增加“证据照片（图片）及说明”功能，执法人员根据上传的证据照片，分别提供对应的“证据内容”说明。</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70</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行政强制（拆违）子系统-行政强制（拆违）协查、在线产调</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向不动产登记部门申请查阅、认定文件记载和整改文件记载环节时，增加“委托书”和“执法证”材料。支持在线产调。</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71</w:t>
            </w:r>
          </w:p>
        </w:tc>
        <w:tc>
          <w:tcPr>
            <w:tcW w:w="0" w:type="auto"/>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行政强制（拆违）子系统-行政强制（拆违）文件记载</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包括文件记载发起、记载受理功能。</w:t>
            </w: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72</w:t>
            </w:r>
          </w:p>
        </w:tc>
        <w:tc>
          <w:tcPr>
            <w:tcW w:w="0" w:type="auto"/>
            <w:vMerge w:val="continue"/>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行政强制（拆违）子系统-行政强制（拆违）记载统计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增加对行政强制（拆违）记载的统计、导出</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73</w:t>
            </w:r>
          </w:p>
        </w:tc>
        <w:tc>
          <w:tcPr>
            <w:tcW w:w="0" w:type="auto"/>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宋体"/>
                <w:color w:val="000000"/>
                <w:kern w:val="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密码应用功能模块开发</w:t>
            </w:r>
            <w:r>
              <w:rPr>
                <w:rFonts w:cs="宋体"/>
                <w:color w:val="000000"/>
                <w:kern w:val="0"/>
                <w:sz w:val="22"/>
                <w:szCs w:val="22"/>
              </w:rPr>
              <w:tab/>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color w:val="000000"/>
                <w:kern w:val="0"/>
                <w:sz w:val="22"/>
                <w:szCs w:val="22"/>
              </w:rPr>
            </w:pPr>
            <w:r>
              <w:rPr>
                <w:rFonts w:hint="eastAsia" w:cs="宋体"/>
                <w:color w:val="000000"/>
                <w:kern w:val="0"/>
                <w:sz w:val="22"/>
                <w:szCs w:val="22"/>
              </w:rPr>
              <w:t>用户身份认证机制模块、业务重要数据安全传输模块、服务器虚拟机设备日志</w:t>
            </w:r>
            <w:r>
              <w:rPr>
                <w:rFonts w:cs="宋体"/>
                <w:color w:val="000000"/>
                <w:kern w:val="0"/>
                <w:sz w:val="22"/>
                <w:szCs w:val="22"/>
              </w:rPr>
              <w:t>/访问控制信息完整性模块、重要可执行程序签名验签模块、用户访问控制信息签名验签模块、应用系统重要数据加解密模块、应用系统重要数据签名验签模块</w:t>
            </w:r>
            <w:r>
              <w:rPr>
                <w:rFonts w:cs="宋体"/>
                <w:color w:val="000000"/>
                <w:kern w:val="0"/>
                <w:sz w:val="22"/>
                <w:szCs w:val="22"/>
              </w:rPr>
              <w:tab/>
            </w:r>
          </w:p>
        </w:tc>
      </w:tr>
    </w:tbl>
    <w:p>
      <w:pPr>
        <w:pStyle w:val="2"/>
        <w:rPr>
          <w:rFonts w:eastAsia="宋体"/>
        </w:rPr>
      </w:pPr>
      <w:bookmarkStart w:id="17" w:name="_Toc63785503"/>
      <w:r>
        <w:rPr>
          <w:rFonts w:hint="eastAsia" w:eastAsia="宋体"/>
        </w:rPr>
        <w:t>其他工作要求</w:t>
      </w:r>
      <w:bookmarkEnd w:id="17"/>
    </w:p>
    <w:p>
      <w:pPr>
        <w:pStyle w:val="3"/>
      </w:pPr>
      <w:bookmarkStart w:id="18" w:name="_Toc63151871"/>
      <w:bookmarkEnd w:id="18"/>
      <w:bookmarkStart w:id="19" w:name="_Toc62219358"/>
      <w:bookmarkEnd w:id="19"/>
      <w:bookmarkStart w:id="20" w:name="_Toc63762370"/>
      <w:bookmarkEnd w:id="20"/>
      <w:bookmarkStart w:id="21" w:name="_Toc63585480"/>
      <w:bookmarkEnd w:id="21"/>
      <w:bookmarkStart w:id="22" w:name="_Toc63785504"/>
      <w:bookmarkEnd w:id="22"/>
      <w:bookmarkStart w:id="23" w:name="_Toc61968111"/>
      <w:bookmarkEnd w:id="23"/>
      <w:bookmarkStart w:id="24" w:name="_Toc63785439"/>
      <w:bookmarkEnd w:id="24"/>
      <w:bookmarkStart w:id="25" w:name="_Toc62209488"/>
      <w:bookmarkEnd w:id="25"/>
      <w:bookmarkStart w:id="26" w:name="_Toc63785505"/>
      <w:r>
        <w:rPr>
          <w:rFonts w:hint="eastAsia"/>
        </w:rPr>
        <w:t>售后服务要求</w:t>
      </w:r>
      <w:bookmarkEnd w:id="26"/>
    </w:p>
    <w:p>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在质量保证期内，供应商负责信息系统的运行维护工作，确保信息系统安全、稳定、可靠地运行。本项目涉及的运行维护工作范围为：运维期限内针对本系统的免费技术支撑，故障响应及软件升级。</w:t>
      </w:r>
    </w:p>
    <w:p>
      <w:pPr>
        <w:pStyle w:val="3"/>
      </w:pPr>
      <w:bookmarkStart w:id="27" w:name="_Toc63785506"/>
      <w:r>
        <w:rPr>
          <w:rFonts w:hint="eastAsia"/>
        </w:rPr>
        <w:t>应急响应要求</w:t>
      </w:r>
      <w:bookmarkEnd w:id="27"/>
    </w:p>
    <w:p>
      <w:pPr>
        <w:spacing w:line="600" w:lineRule="exact"/>
      </w:pPr>
      <w:r>
        <w:rPr>
          <w:rFonts w:hint="eastAsia"/>
        </w:rPr>
        <w:t>供应商对系统故障应能够实时响应，若系统发生故障，接到通知后30分钟之内响应，专业工程师2小时内到达现场。特殊故障与采购人沟通协商后，按照协商的方式制定解决方案并进行处理。</w:t>
      </w:r>
    </w:p>
    <w:p>
      <w:pPr>
        <w:spacing w:line="600" w:lineRule="exact"/>
      </w:pPr>
      <w:r>
        <w:rPr>
          <w:rFonts w:hint="eastAsia"/>
        </w:rPr>
        <w:t>具体故障级别及对应的应急响应要求如下：</w:t>
      </w:r>
    </w:p>
    <w:p>
      <w:pPr>
        <w:spacing w:line="600" w:lineRule="exact"/>
      </w:pPr>
      <w:r>
        <w:rPr>
          <w:rFonts w:hint="eastAsia"/>
        </w:rPr>
        <w:t>一级故障：在1小时内确诊，总故障解决时间不超过4小时。</w:t>
      </w:r>
    </w:p>
    <w:p>
      <w:pPr>
        <w:spacing w:line="600" w:lineRule="exact"/>
      </w:pPr>
      <w:r>
        <w:rPr>
          <w:rFonts w:hint="eastAsia"/>
        </w:rPr>
        <w:t>二级故障：在2小时内确诊，并在4小时内由专家到达现场确诊并解决，总故障解决时间不超过8小时；</w:t>
      </w:r>
    </w:p>
    <w:p>
      <w:pPr>
        <w:spacing w:line="600" w:lineRule="exact"/>
      </w:pPr>
      <w:r>
        <w:rPr>
          <w:rFonts w:hint="eastAsia"/>
        </w:rPr>
        <w:t>三、四级故障：在4小时内确诊故障，总故障解决时间不超过16小时。</w:t>
      </w:r>
    </w:p>
    <w:p>
      <w:pPr>
        <w:spacing w:line="600" w:lineRule="exact"/>
      </w:pPr>
      <w:r>
        <w:rPr>
          <w:rFonts w:hint="eastAsia"/>
        </w:rPr>
        <w:t>依据故障时间及故障范围划分故障级别，故障级别分为四级，依次为Ⅰ级（紧急）、Ⅱ级（严重）、Ⅲ级（较大）和Ⅳ级（一般），分别定义如下：</w:t>
      </w:r>
    </w:p>
    <w:p>
      <w:pPr>
        <w:spacing w:line="600" w:lineRule="exact"/>
      </w:pPr>
      <w:r>
        <w:rPr>
          <w:rFonts w:hint="eastAsia"/>
        </w:rPr>
        <w:t>Ⅰ级（紧急）故障为工作时间段（8:30——17:30）内大范围故障；</w:t>
      </w:r>
    </w:p>
    <w:p>
      <w:pPr>
        <w:spacing w:line="600" w:lineRule="exact"/>
      </w:pPr>
      <w:r>
        <w:rPr>
          <w:rFonts w:hint="eastAsia"/>
        </w:rPr>
        <w:t>Ⅱ级（严重）故障为非工作时间段（17:30——次日8:30）内大范围故障；</w:t>
      </w:r>
    </w:p>
    <w:p>
      <w:pPr>
        <w:spacing w:line="600" w:lineRule="exact"/>
      </w:pPr>
      <w:r>
        <w:rPr>
          <w:rFonts w:hint="eastAsia"/>
        </w:rPr>
        <w:t>Ⅲ级（较大）故障为工作时间段（8:30——17:30）内小范围故障；</w:t>
      </w:r>
    </w:p>
    <w:p>
      <w:pPr>
        <w:spacing w:line="600" w:lineRule="exact"/>
      </w:pPr>
      <w:r>
        <w:rPr>
          <w:rFonts w:hint="eastAsia"/>
        </w:rPr>
        <w:t>Ⅳ级（一般）故障为非工作时间段（17:30——次日8:30）内小范围故障；</w:t>
      </w:r>
    </w:p>
    <w:p>
      <w:pPr>
        <w:pStyle w:val="3"/>
      </w:pPr>
      <w:r>
        <w:rPr>
          <w:rFonts w:hint="eastAsia"/>
        </w:rPr>
        <w:t>网络与数据安全</w:t>
      </w:r>
    </w:p>
    <w:p>
      <w:r>
        <w:rPr>
          <w:rFonts w:hint="eastAsia"/>
        </w:rPr>
        <w:t>(1)供应商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r>
        <w:rPr>
          <w:rFonts w:hint="eastAsia"/>
        </w:rPr>
        <w:t>(2)供应商应配合采购人开展相关安全制度和规范的制定，并根据项目实际，制定项目实施过程安全管理方案。</w:t>
      </w:r>
    </w:p>
    <w:p>
      <w:r>
        <w:rPr>
          <w:rFonts w:hint="eastAsia"/>
        </w:rPr>
        <w:t>(3)供应商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r>
        <w:rPr>
          <w:rFonts w:hint="eastAsia"/>
        </w:rPr>
        <w:t>(4)供应商应在项目实施过程中，推动安全开发控制工作的实施，按照安全设计方案和采购人安全开发要求，落实安全开发规范，确保代码质量和安全性。供应商应确保系统开发及生产环境安全，落实安全管理策略及安全配置。</w:t>
      </w:r>
    </w:p>
    <w:p>
      <w:r>
        <w:rPr>
          <w:rFonts w:hint="eastAsia"/>
        </w:rPr>
        <w:t>(5)供应商应在项目实施过程中，按照数据差异化安全防护策略，根据系统需要采取数据加密、数据访问控制、日志记录、流转监测等防护能力及相关管理流程，切实保障数据安全。</w:t>
      </w:r>
    </w:p>
    <w:p>
      <w:r>
        <w:rPr>
          <w:rFonts w:hint="eastAsia"/>
        </w:rPr>
        <w:t>(6)供应商应按照采购人场地及人员安全管理制度，加强人员管理，配合采购人落实人员背调、入离场、终端管理、网络限制、数据权限最小化等管控措施。</w:t>
      </w:r>
    </w:p>
    <w:p>
      <w:r>
        <w:rPr>
          <w:rFonts w:hint="eastAsia"/>
        </w:rPr>
        <w:t>(7)供应商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r>
        <w:rPr>
          <w:rFonts w:hint="eastAsia"/>
        </w:rPr>
        <w:t>(8)供应商应在系统免维期内承担系统安全运维管理责任，落实安全管理保障措施，包括但不限于制度修订、风险排查、应急响应、漏洞修复、重保等工作。</w:t>
      </w:r>
    </w:p>
    <w:p>
      <w:pPr>
        <w:pStyle w:val="3"/>
      </w:pPr>
      <w:bookmarkStart w:id="28" w:name="_Toc63785507"/>
      <w:r>
        <w:rPr>
          <w:rFonts w:hint="eastAsia"/>
        </w:rPr>
        <w:t>培训要求</w:t>
      </w:r>
      <w:bookmarkEnd w:id="28"/>
    </w:p>
    <w:p>
      <w:r>
        <w:rPr>
          <w:rFonts w:hint="eastAsia"/>
        </w:rPr>
        <w:t>对系统使用单位提供业务操作培训，应提供详细培训方案。</w:t>
      </w:r>
    </w:p>
    <w:p>
      <w:r>
        <w:rPr>
          <w:rFonts w:hint="eastAsia"/>
        </w:rPr>
        <w:t>(1)在12个月的质量保证期内，提供2次与项目相关的必要培训。</w:t>
      </w:r>
    </w:p>
    <w:p>
      <w:r>
        <w:rPr>
          <w:rFonts w:hint="eastAsia"/>
        </w:rPr>
        <w:t>(2)供应商需要开展分层次的人员培训工作，每次培训后应对参加培训人员进行测试，评估培训成果。培训应具有培训教材、培训环境和高水平的培训讲师。</w:t>
      </w:r>
    </w:p>
    <w:p>
      <w:r>
        <w:rPr>
          <w:rFonts w:hint="eastAsia"/>
        </w:rPr>
        <w:t>(3)供应商应提供一般用户的基础操作培训和部门信息管理员的日常应用维护的培训，确保用户对象能够掌握对应的操作技能。</w:t>
      </w:r>
    </w:p>
    <w:p>
      <w:pPr>
        <w:pStyle w:val="3"/>
      </w:pPr>
      <w:bookmarkStart w:id="29" w:name="_Toc63785508"/>
      <w:r>
        <w:rPr>
          <w:rFonts w:hint="eastAsia"/>
        </w:rPr>
        <w:t>验收要求</w:t>
      </w:r>
      <w:bookmarkEnd w:id="29"/>
    </w:p>
    <w:p>
      <w:pPr>
        <w:rPr>
          <w:szCs w:val="21"/>
        </w:rPr>
      </w:pPr>
      <w:r>
        <w:rPr>
          <w:rFonts w:hint="eastAsia"/>
          <w:szCs w:val="21"/>
        </w:rPr>
        <w:t>本项目按下述方式开展验收。</w:t>
      </w:r>
    </w:p>
    <w:p>
      <w:pPr>
        <w:rPr>
          <w:szCs w:val="21"/>
        </w:rPr>
      </w:pPr>
      <w:r>
        <w:rPr>
          <w:rFonts w:hint="eastAsia"/>
          <w:szCs w:val="21"/>
        </w:rPr>
        <w:t>（</w:t>
      </w:r>
      <w:r>
        <w:rPr>
          <w:szCs w:val="21"/>
        </w:rPr>
        <w:t>1）验收分初验和终验。</w:t>
      </w:r>
    </w:p>
    <w:p>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rPr>
          <w:szCs w:val="21"/>
        </w:rPr>
      </w:pPr>
      <w:r>
        <w:rPr>
          <w:rFonts w:hint="eastAsia"/>
          <w:szCs w:val="21"/>
        </w:rPr>
        <w:t>（</w:t>
      </w:r>
      <w:r>
        <w:rPr>
          <w:szCs w:val="21"/>
        </w:rPr>
        <w:t>4）自初验通过之日起，招标方享有供应商免费提供的30天的信息系统试运行现场驻场服务期。该期间内，供应商应当按照招标方的要求提供现场技术支持服务，解决信息系统试运行期间可能出现的各类问题，或进一步提高与完善信息系统运行水平。</w:t>
      </w:r>
    </w:p>
    <w:p>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10个工作日内发起组织专家验收会。</w:t>
      </w:r>
    </w:p>
    <w:p>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pPr>
        <w:rPr>
          <w:szCs w:val="21"/>
        </w:rPr>
      </w:pPr>
      <w:r>
        <w:rPr>
          <w:rFonts w:hint="eastAsia"/>
          <w:szCs w:val="21"/>
        </w:rPr>
        <w:t>（7</w:t>
      </w:r>
      <w:r>
        <w:rPr>
          <w:szCs w:val="21"/>
        </w:rPr>
        <w:t>）如果由于招标方原因导致本项目在终验通过前出现故障或问题，供应商应及时配合排除该方面的故障或问题。</w:t>
      </w:r>
    </w:p>
    <w:p>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pPr>
        <w:pStyle w:val="3"/>
      </w:pPr>
      <w:bookmarkStart w:id="30" w:name="_Toc63785509"/>
      <w:r>
        <w:rPr>
          <w:rFonts w:hint="eastAsia"/>
        </w:rPr>
        <w:t>进度要求</w:t>
      </w:r>
      <w:bookmarkEnd w:id="30"/>
    </w:p>
    <w:p>
      <w:r>
        <w:rPr>
          <w:rFonts w:hint="eastAsia"/>
        </w:rPr>
        <w:t>投标人应根据建设内容，分阶段制定合理的时间进度，并且应根据招标方要求进行调整和细化。</w:t>
      </w:r>
    </w:p>
    <w:p>
      <w:bookmarkStart w:id="31" w:name="_Toc63785510"/>
      <w:r>
        <w:rPr>
          <w:rFonts w:hint="eastAsia"/>
        </w:rPr>
        <w:t>自合同签订</w:t>
      </w:r>
      <w:r>
        <w:rPr>
          <w:rFonts w:hint="eastAsia" w:cs="宋体"/>
        </w:rPr>
        <w:t>之日起至202</w:t>
      </w:r>
      <w:r>
        <w:rPr>
          <w:rFonts w:cs="宋体"/>
        </w:rPr>
        <w:t>6</w:t>
      </w:r>
      <w:r>
        <w:rPr>
          <w:rFonts w:hint="eastAsia" w:cs="宋体"/>
        </w:rPr>
        <w:t>年11月30前完成</w:t>
      </w:r>
      <w:r>
        <w:rPr>
          <w:rFonts w:hint="eastAsia"/>
        </w:rPr>
        <w:t>软件开发、测试及投入试运行，并按照本年度内相关要求达到项目验收要求。分为3个阶段：</w:t>
      </w:r>
    </w:p>
    <w:p>
      <w:r>
        <w:rPr>
          <w:rFonts w:hint="eastAsia"/>
        </w:rPr>
        <w:t>第一阶段（</w:t>
      </w:r>
      <w:r>
        <w:t>2个月）：完成需求细化及系统详细设计；</w:t>
      </w:r>
    </w:p>
    <w:p>
      <w:r>
        <w:rPr>
          <w:rFonts w:hint="eastAsia"/>
        </w:rPr>
        <w:t>第二阶段（</w:t>
      </w:r>
      <w:r>
        <w:t>4个月）：完成系统功能的开发与测试；</w:t>
      </w:r>
    </w:p>
    <w:p>
      <w:r>
        <w:rPr>
          <w:rFonts w:hint="eastAsia"/>
        </w:rPr>
        <w:t>第三阶段（</w:t>
      </w:r>
      <w:r>
        <w:t>2个月）：系统上线试运行，完成验收。</w:t>
      </w:r>
    </w:p>
    <w:p>
      <w:pPr>
        <w:pStyle w:val="3"/>
      </w:pPr>
      <w:r>
        <w:rPr>
          <w:rFonts w:hint="eastAsia"/>
        </w:rPr>
        <w:t>项目团队及驻场人员要求</w:t>
      </w:r>
      <w:bookmarkEnd w:id="31"/>
    </w:p>
    <w:p>
      <w:bookmarkStart w:id="32" w:name="_Toc63785511"/>
      <w:r>
        <w:rPr>
          <w:rFonts w:hint="eastAsia"/>
        </w:rPr>
        <w:t>1）报价人必须具有稳定的在职技术保障力量，能够提供及时的技术支援或服务，应针对本项目提供不少于</w:t>
      </w:r>
      <w:r>
        <w:t>11</w:t>
      </w:r>
      <w:r>
        <w:rPr>
          <w:rFonts w:hint="eastAsia"/>
        </w:rPr>
        <w:t>人的项目服务团队（包括项目经理、产品经理、技术工程师等），报价人的相关服务人员需具备相应的服务能力，需提供相关证明</w:t>
      </w:r>
      <w:r>
        <w:t>。</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30"/>
        <w:gridCol w:w="1370"/>
        <w:gridCol w:w="271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6" w:type="dxa"/>
            <w:noWrap/>
            <w:vAlign w:val="center"/>
          </w:tcPr>
          <w:p>
            <w:pPr>
              <w:widowControl/>
              <w:ind w:firstLine="0" w:firstLineChars="0"/>
              <w:jc w:val="center"/>
              <w:rPr>
                <w:b/>
              </w:rPr>
            </w:pPr>
            <w:r>
              <w:rPr>
                <w:rFonts w:hint="eastAsia"/>
                <w:b/>
              </w:rPr>
              <w:t>角色</w:t>
            </w:r>
          </w:p>
        </w:tc>
        <w:tc>
          <w:tcPr>
            <w:tcW w:w="1730" w:type="dxa"/>
            <w:noWrap/>
            <w:vAlign w:val="center"/>
          </w:tcPr>
          <w:p>
            <w:pPr>
              <w:widowControl/>
              <w:ind w:firstLine="0" w:firstLineChars="0"/>
              <w:jc w:val="center"/>
              <w:rPr>
                <w:b/>
              </w:rPr>
            </w:pPr>
            <w:r>
              <w:rPr>
                <w:rFonts w:hint="eastAsia"/>
                <w:b/>
              </w:rPr>
              <w:t>主要职责</w:t>
            </w:r>
          </w:p>
        </w:tc>
        <w:tc>
          <w:tcPr>
            <w:tcW w:w="1370" w:type="dxa"/>
            <w:noWrap/>
            <w:vAlign w:val="center"/>
          </w:tcPr>
          <w:p>
            <w:pPr>
              <w:widowControl/>
              <w:ind w:firstLine="0" w:firstLineChars="0"/>
              <w:jc w:val="center"/>
              <w:rPr>
                <w:b/>
              </w:rPr>
            </w:pPr>
            <w:r>
              <w:rPr>
                <w:rFonts w:hint="eastAsia"/>
                <w:b/>
              </w:rPr>
              <w:t>人员数量</w:t>
            </w:r>
          </w:p>
        </w:tc>
        <w:tc>
          <w:tcPr>
            <w:tcW w:w="2716" w:type="dxa"/>
            <w:vAlign w:val="center"/>
          </w:tcPr>
          <w:p>
            <w:pPr>
              <w:widowControl/>
              <w:ind w:firstLine="0" w:firstLineChars="0"/>
              <w:jc w:val="center"/>
              <w:rPr>
                <w:b/>
              </w:rPr>
            </w:pPr>
            <w:r>
              <w:rPr>
                <w:rFonts w:hint="eastAsia"/>
                <w:b/>
              </w:rPr>
              <w:t>人员要求</w:t>
            </w:r>
          </w:p>
        </w:tc>
        <w:tc>
          <w:tcPr>
            <w:tcW w:w="1180" w:type="dxa"/>
            <w:noWrap/>
            <w:vAlign w:val="center"/>
          </w:tcPr>
          <w:p>
            <w:pPr>
              <w:widowControl/>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6" w:type="dxa"/>
            <w:noWrap/>
            <w:vAlign w:val="center"/>
          </w:tcPr>
          <w:p>
            <w:pPr>
              <w:widowControl/>
              <w:ind w:firstLine="0" w:firstLineChars="0"/>
              <w:jc w:val="center"/>
            </w:pPr>
            <w:r>
              <w:rPr>
                <w:rFonts w:hint="eastAsia"/>
              </w:rPr>
              <w:t>项目经理</w:t>
            </w:r>
          </w:p>
        </w:tc>
        <w:tc>
          <w:tcPr>
            <w:tcW w:w="1730" w:type="dxa"/>
            <w:vAlign w:val="center"/>
          </w:tcPr>
          <w:p>
            <w:pPr>
              <w:widowControl/>
              <w:ind w:firstLine="0" w:firstLineChars="0"/>
              <w:jc w:val="center"/>
            </w:pPr>
            <w:r>
              <w:rPr>
                <w:rFonts w:hint="eastAsia"/>
              </w:rPr>
              <w:t>负责项目质量和进度控制</w:t>
            </w:r>
          </w:p>
        </w:tc>
        <w:tc>
          <w:tcPr>
            <w:tcW w:w="1370" w:type="dxa"/>
            <w:noWrap/>
            <w:vAlign w:val="center"/>
          </w:tcPr>
          <w:p>
            <w:pPr>
              <w:widowControl/>
              <w:ind w:firstLine="0" w:firstLineChars="0"/>
              <w:jc w:val="center"/>
            </w:pPr>
            <w:r>
              <w:rPr>
                <w:rFonts w:hint="eastAsia"/>
              </w:rPr>
              <w:t>1人</w:t>
            </w:r>
          </w:p>
        </w:tc>
        <w:tc>
          <w:tcPr>
            <w:tcW w:w="2716" w:type="dxa"/>
            <w:vAlign w:val="center"/>
          </w:tcPr>
          <w:p>
            <w:pPr>
              <w:widowControl/>
              <w:numPr>
                <w:ilvl w:val="0"/>
                <w:numId w:val="5"/>
              </w:numPr>
              <w:spacing w:line="240" w:lineRule="auto"/>
              <w:ind w:firstLine="0" w:firstLineChars="0"/>
              <w:jc w:val="left"/>
            </w:pPr>
            <w:r>
              <w:rPr>
                <w:rFonts w:hint="eastAsia"/>
              </w:rPr>
              <w:t>硕士及以上学历；</w:t>
            </w:r>
          </w:p>
          <w:p>
            <w:pPr>
              <w:widowControl/>
              <w:numPr>
                <w:ilvl w:val="0"/>
                <w:numId w:val="5"/>
              </w:numPr>
              <w:spacing w:line="240" w:lineRule="auto"/>
              <w:ind w:firstLine="0" w:firstLineChars="0"/>
              <w:jc w:val="left"/>
            </w:pPr>
            <w:r>
              <w:rPr>
                <w:rFonts w:hint="eastAsia"/>
              </w:rPr>
              <w:t>具备计算机技术与软件专业技术资格(水平)高级证书或计算机类高级职称</w:t>
            </w:r>
          </w:p>
        </w:tc>
        <w:tc>
          <w:tcPr>
            <w:tcW w:w="1180" w:type="dxa"/>
            <w:noWrap/>
            <w:vAlign w:val="center"/>
          </w:tcPr>
          <w:p>
            <w:pPr>
              <w:widowControl/>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526" w:type="dxa"/>
            <w:noWrap/>
            <w:vAlign w:val="center"/>
          </w:tcPr>
          <w:p>
            <w:pPr>
              <w:widowControl/>
              <w:ind w:firstLine="0" w:firstLineChars="0"/>
              <w:jc w:val="center"/>
            </w:pPr>
            <w:r>
              <w:rPr>
                <w:rFonts w:hint="eastAsia"/>
              </w:rPr>
              <w:t>产品经理</w:t>
            </w:r>
          </w:p>
        </w:tc>
        <w:tc>
          <w:tcPr>
            <w:tcW w:w="1730" w:type="dxa"/>
            <w:vAlign w:val="center"/>
          </w:tcPr>
          <w:p>
            <w:pPr>
              <w:widowControl/>
              <w:ind w:firstLine="0" w:firstLineChars="0"/>
              <w:jc w:val="center"/>
            </w:pPr>
            <w:r>
              <w:rPr>
                <w:rFonts w:hint="eastAsia"/>
              </w:rPr>
              <w:t>负责项目需求评估与产品设计</w:t>
            </w:r>
          </w:p>
        </w:tc>
        <w:tc>
          <w:tcPr>
            <w:tcW w:w="1370" w:type="dxa"/>
            <w:noWrap/>
            <w:vAlign w:val="center"/>
          </w:tcPr>
          <w:p>
            <w:pPr>
              <w:widowControl/>
              <w:ind w:firstLine="0" w:firstLineChars="0"/>
              <w:jc w:val="center"/>
            </w:pPr>
            <w:r>
              <w:rPr>
                <w:rFonts w:hint="eastAsia"/>
              </w:rPr>
              <w:t>2人</w:t>
            </w:r>
          </w:p>
        </w:tc>
        <w:tc>
          <w:tcPr>
            <w:tcW w:w="2716" w:type="dxa"/>
            <w:vAlign w:val="center"/>
          </w:tcPr>
          <w:p>
            <w:pPr>
              <w:widowControl/>
              <w:ind w:firstLine="0" w:firstLineChars="0"/>
              <w:jc w:val="center"/>
            </w:pPr>
            <w:r>
              <w:rPr>
                <w:rFonts w:hint="eastAsia"/>
              </w:rPr>
              <w:t>/</w:t>
            </w:r>
          </w:p>
        </w:tc>
        <w:tc>
          <w:tcPr>
            <w:tcW w:w="1180" w:type="dxa"/>
            <w:noWrap/>
            <w:vAlign w:val="center"/>
          </w:tcPr>
          <w:p>
            <w:pPr>
              <w:widowControl/>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6" w:type="dxa"/>
            <w:noWrap/>
            <w:vAlign w:val="center"/>
          </w:tcPr>
          <w:p>
            <w:pPr>
              <w:widowControl/>
              <w:ind w:firstLine="0" w:firstLineChars="0"/>
              <w:jc w:val="center"/>
            </w:pPr>
            <w:r>
              <w:rPr>
                <w:rFonts w:hint="eastAsia"/>
              </w:rPr>
              <w:t>技术工程师</w:t>
            </w:r>
          </w:p>
        </w:tc>
        <w:tc>
          <w:tcPr>
            <w:tcW w:w="1730" w:type="dxa"/>
            <w:noWrap/>
            <w:vAlign w:val="center"/>
          </w:tcPr>
          <w:p>
            <w:pPr>
              <w:widowControl/>
              <w:ind w:firstLine="0" w:firstLineChars="0"/>
              <w:jc w:val="center"/>
            </w:pPr>
            <w:r>
              <w:rPr>
                <w:rFonts w:hint="eastAsia"/>
              </w:rPr>
              <w:t>负责项目具体开发与测试</w:t>
            </w:r>
          </w:p>
        </w:tc>
        <w:tc>
          <w:tcPr>
            <w:tcW w:w="1370" w:type="dxa"/>
            <w:noWrap/>
            <w:vAlign w:val="center"/>
          </w:tcPr>
          <w:p>
            <w:pPr>
              <w:widowControl/>
              <w:ind w:firstLine="0" w:firstLineChars="0"/>
              <w:jc w:val="center"/>
            </w:pPr>
            <w:r>
              <w:t>8</w:t>
            </w:r>
            <w:r>
              <w:rPr>
                <w:rFonts w:hint="eastAsia"/>
              </w:rPr>
              <w:t>人</w:t>
            </w:r>
          </w:p>
        </w:tc>
        <w:tc>
          <w:tcPr>
            <w:tcW w:w="2716" w:type="dxa"/>
            <w:vAlign w:val="center"/>
          </w:tcPr>
          <w:p>
            <w:pPr>
              <w:widowControl/>
              <w:tabs>
                <w:tab w:val="left" w:pos="402"/>
                <w:tab w:val="center" w:pos="983"/>
              </w:tabs>
              <w:ind w:firstLine="0" w:firstLineChars="0"/>
              <w:jc w:val="center"/>
            </w:pPr>
            <w:r>
              <w:rPr>
                <w:rFonts w:hint="eastAsia"/>
              </w:rPr>
              <w:t>/</w:t>
            </w:r>
          </w:p>
        </w:tc>
        <w:tc>
          <w:tcPr>
            <w:tcW w:w="1180" w:type="dxa"/>
            <w:noWrap/>
            <w:vAlign w:val="center"/>
          </w:tcPr>
          <w:p>
            <w:pPr>
              <w:widowControl/>
              <w:ind w:firstLine="0" w:firstLineChars="0"/>
              <w:jc w:val="center"/>
            </w:pPr>
            <w:r>
              <w:rPr>
                <w:rFonts w:hint="eastAsia"/>
              </w:rPr>
              <w:t>至少</w:t>
            </w:r>
            <w:r>
              <w:t>2</w:t>
            </w:r>
            <w:r>
              <w:rPr>
                <w:rFonts w:hint="eastAsia"/>
              </w:rPr>
              <w:t>人驻场</w:t>
            </w:r>
          </w:p>
        </w:tc>
      </w:tr>
    </w:tbl>
    <w:p>
      <w:r>
        <w:rPr>
          <w:rFonts w:hint="eastAsia"/>
        </w:rPr>
        <w:t>2）报价人应针对本项目提供不少于</w:t>
      </w:r>
      <w:r>
        <w:t>4</w:t>
      </w:r>
      <w:r>
        <w:rPr>
          <w:rFonts w:hint="eastAsia"/>
        </w:rPr>
        <w:t>人的质保期间支撑团队（其中项目经理1人，</w:t>
      </w:r>
      <w:r>
        <w:t>产品经理1人</w:t>
      </w:r>
      <w:r>
        <w:rPr>
          <w:rFonts w:hint="eastAsia"/>
        </w:rPr>
        <w:t>，技术工程师不少于2人）；报价人的相关服务人员需具备相应的服务能力，需提供相关证明（报价截止前三个月任意一个月依法缴纳社保的证明）</w:t>
      </w:r>
      <w: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578"/>
        <w:gridCol w:w="1390"/>
        <w:gridCol w:w="249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58" w:type="dxa"/>
            <w:noWrap/>
            <w:vAlign w:val="center"/>
          </w:tcPr>
          <w:p>
            <w:pPr>
              <w:widowControl/>
              <w:ind w:firstLine="0" w:firstLineChars="0"/>
              <w:jc w:val="center"/>
              <w:rPr>
                <w:b/>
              </w:rPr>
            </w:pPr>
            <w:r>
              <w:rPr>
                <w:rFonts w:hint="eastAsia"/>
                <w:b/>
              </w:rPr>
              <w:t>角色</w:t>
            </w:r>
          </w:p>
        </w:tc>
        <w:tc>
          <w:tcPr>
            <w:tcW w:w="1578" w:type="dxa"/>
            <w:noWrap/>
            <w:vAlign w:val="center"/>
          </w:tcPr>
          <w:p>
            <w:pPr>
              <w:widowControl/>
              <w:ind w:firstLine="0" w:firstLineChars="0"/>
              <w:jc w:val="center"/>
              <w:rPr>
                <w:b/>
              </w:rPr>
            </w:pPr>
            <w:r>
              <w:rPr>
                <w:rFonts w:hint="eastAsia"/>
                <w:b/>
              </w:rPr>
              <w:t>主要职责</w:t>
            </w:r>
          </w:p>
        </w:tc>
        <w:tc>
          <w:tcPr>
            <w:tcW w:w="1390" w:type="dxa"/>
            <w:noWrap/>
            <w:vAlign w:val="center"/>
          </w:tcPr>
          <w:p>
            <w:pPr>
              <w:widowControl/>
              <w:ind w:firstLine="0" w:firstLineChars="0"/>
              <w:jc w:val="center"/>
              <w:rPr>
                <w:b/>
              </w:rPr>
            </w:pPr>
            <w:r>
              <w:rPr>
                <w:rFonts w:hint="eastAsia"/>
                <w:b/>
              </w:rPr>
              <w:t>人员数量</w:t>
            </w:r>
          </w:p>
        </w:tc>
        <w:tc>
          <w:tcPr>
            <w:tcW w:w="2496" w:type="dxa"/>
            <w:vAlign w:val="center"/>
          </w:tcPr>
          <w:p>
            <w:pPr>
              <w:widowControl/>
              <w:ind w:firstLine="0" w:firstLineChars="0"/>
              <w:jc w:val="center"/>
              <w:rPr>
                <w:b/>
              </w:rPr>
            </w:pPr>
            <w:r>
              <w:rPr>
                <w:rFonts w:hint="eastAsia"/>
                <w:b/>
              </w:rPr>
              <w:t>人员要求</w:t>
            </w:r>
          </w:p>
        </w:tc>
        <w:tc>
          <w:tcPr>
            <w:tcW w:w="1180" w:type="dxa"/>
            <w:noWrap/>
            <w:vAlign w:val="center"/>
          </w:tcPr>
          <w:p>
            <w:pPr>
              <w:widowControl/>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458" w:type="dxa"/>
            <w:noWrap/>
            <w:vAlign w:val="center"/>
          </w:tcPr>
          <w:p>
            <w:pPr>
              <w:widowControl/>
              <w:ind w:firstLine="0" w:firstLineChars="0"/>
              <w:jc w:val="center"/>
            </w:pPr>
            <w:r>
              <w:rPr>
                <w:rFonts w:hint="eastAsia"/>
              </w:rPr>
              <w:t>项目经理</w:t>
            </w:r>
          </w:p>
        </w:tc>
        <w:tc>
          <w:tcPr>
            <w:tcW w:w="1578" w:type="dxa"/>
            <w:vAlign w:val="center"/>
          </w:tcPr>
          <w:p>
            <w:pPr>
              <w:widowControl/>
              <w:ind w:firstLine="0" w:firstLineChars="0"/>
              <w:jc w:val="center"/>
            </w:pPr>
            <w:r>
              <w:rPr>
                <w:rFonts w:hint="eastAsia"/>
              </w:rPr>
              <w:t>负责项目质量和进度控制</w:t>
            </w:r>
          </w:p>
        </w:tc>
        <w:tc>
          <w:tcPr>
            <w:tcW w:w="1390" w:type="dxa"/>
            <w:noWrap/>
            <w:vAlign w:val="center"/>
          </w:tcPr>
          <w:p>
            <w:pPr>
              <w:widowControl/>
              <w:ind w:firstLine="0" w:firstLineChars="0"/>
              <w:jc w:val="center"/>
            </w:pPr>
            <w:r>
              <w:rPr>
                <w:rFonts w:hint="eastAsia"/>
              </w:rPr>
              <w:t>1人</w:t>
            </w:r>
          </w:p>
        </w:tc>
        <w:tc>
          <w:tcPr>
            <w:tcW w:w="2496" w:type="dxa"/>
            <w:vAlign w:val="center"/>
          </w:tcPr>
          <w:p>
            <w:pPr>
              <w:widowControl/>
              <w:numPr>
                <w:ilvl w:val="0"/>
                <w:numId w:val="6"/>
              </w:numPr>
              <w:spacing w:line="240" w:lineRule="auto"/>
              <w:ind w:firstLine="0" w:firstLineChars="0"/>
              <w:jc w:val="left"/>
            </w:pPr>
            <w:r>
              <w:rPr>
                <w:rFonts w:hint="eastAsia"/>
              </w:rPr>
              <w:t>硕士及以上学历；</w:t>
            </w:r>
          </w:p>
          <w:p>
            <w:pPr>
              <w:widowControl/>
              <w:numPr>
                <w:ilvl w:val="0"/>
                <w:numId w:val="6"/>
              </w:numPr>
              <w:spacing w:line="240" w:lineRule="auto"/>
              <w:ind w:firstLine="0" w:firstLineChars="0"/>
              <w:jc w:val="left"/>
            </w:pPr>
            <w:r>
              <w:rPr>
                <w:rFonts w:hint="eastAsia"/>
              </w:rPr>
              <w:t>具备计算机技术与软件专业技术资格(水平)高级及以上证书或计算机类高级职称</w:t>
            </w:r>
          </w:p>
        </w:tc>
        <w:tc>
          <w:tcPr>
            <w:tcW w:w="1180" w:type="dxa"/>
            <w:noWrap/>
            <w:vAlign w:val="center"/>
          </w:tcPr>
          <w:p>
            <w:pPr>
              <w:widowControl/>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58" w:type="dxa"/>
            <w:noWrap/>
            <w:vAlign w:val="center"/>
          </w:tcPr>
          <w:p>
            <w:pPr>
              <w:widowControl/>
              <w:ind w:firstLine="0" w:firstLineChars="0"/>
              <w:jc w:val="center"/>
            </w:pPr>
            <w:r>
              <w:rPr>
                <w:rFonts w:hint="eastAsia"/>
              </w:rPr>
              <w:t>产品经理</w:t>
            </w:r>
          </w:p>
        </w:tc>
        <w:tc>
          <w:tcPr>
            <w:tcW w:w="1578" w:type="dxa"/>
            <w:vAlign w:val="center"/>
          </w:tcPr>
          <w:p>
            <w:pPr>
              <w:widowControl/>
              <w:ind w:firstLine="0" w:firstLineChars="0"/>
              <w:jc w:val="center"/>
            </w:pPr>
            <w:r>
              <w:rPr>
                <w:rFonts w:hint="eastAsia"/>
              </w:rPr>
              <w:t>负责项目需求评估与产品设计</w:t>
            </w:r>
          </w:p>
        </w:tc>
        <w:tc>
          <w:tcPr>
            <w:tcW w:w="1390" w:type="dxa"/>
            <w:noWrap/>
            <w:vAlign w:val="center"/>
          </w:tcPr>
          <w:p>
            <w:pPr>
              <w:widowControl/>
              <w:ind w:firstLine="0" w:firstLineChars="0"/>
              <w:jc w:val="center"/>
            </w:pPr>
            <w:r>
              <w:rPr>
                <w:rFonts w:hint="eastAsia"/>
              </w:rPr>
              <w:t>1人</w:t>
            </w:r>
          </w:p>
        </w:tc>
        <w:tc>
          <w:tcPr>
            <w:tcW w:w="2496" w:type="dxa"/>
            <w:vAlign w:val="center"/>
          </w:tcPr>
          <w:p>
            <w:pPr>
              <w:widowControl/>
              <w:ind w:firstLine="0" w:firstLineChars="0"/>
              <w:jc w:val="center"/>
            </w:pPr>
            <w:r>
              <w:rPr>
                <w:rFonts w:hint="eastAsia"/>
              </w:rPr>
              <w:t>/</w:t>
            </w:r>
          </w:p>
        </w:tc>
        <w:tc>
          <w:tcPr>
            <w:tcW w:w="1180" w:type="dxa"/>
            <w:noWrap/>
            <w:vAlign w:val="center"/>
          </w:tcPr>
          <w:p>
            <w:pPr>
              <w:widowControl/>
              <w:ind w:firstLine="0" w:firstLineChars="0"/>
              <w:jc w:val="cente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58" w:type="dxa"/>
            <w:noWrap/>
            <w:vAlign w:val="center"/>
          </w:tcPr>
          <w:p>
            <w:pPr>
              <w:widowControl/>
              <w:ind w:firstLine="0" w:firstLineChars="0"/>
              <w:jc w:val="center"/>
            </w:pPr>
            <w:r>
              <w:rPr>
                <w:rFonts w:hint="eastAsia"/>
              </w:rPr>
              <w:t>技术工程师</w:t>
            </w:r>
          </w:p>
        </w:tc>
        <w:tc>
          <w:tcPr>
            <w:tcW w:w="1578" w:type="dxa"/>
            <w:noWrap/>
            <w:vAlign w:val="center"/>
          </w:tcPr>
          <w:p>
            <w:pPr>
              <w:widowControl/>
              <w:ind w:firstLine="0" w:firstLineChars="0"/>
              <w:jc w:val="center"/>
            </w:pPr>
            <w:r>
              <w:rPr>
                <w:rFonts w:hint="eastAsia"/>
              </w:rPr>
              <w:t>负责项目运行维护</w:t>
            </w:r>
          </w:p>
        </w:tc>
        <w:tc>
          <w:tcPr>
            <w:tcW w:w="1390" w:type="dxa"/>
            <w:noWrap/>
            <w:vAlign w:val="center"/>
          </w:tcPr>
          <w:p>
            <w:pPr>
              <w:widowControl/>
              <w:ind w:firstLine="0" w:firstLineChars="0"/>
              <w:jc w:val="center"/>
            </w:pPr>
            <w:r>
              <w:t>2</w:t>
            </w:r>
            <w:r>
              <w:rPr>
                <w:rFonts w:hint="eastAsia"/>
              </w:rPr>
              <w:t>人</w:t>
            </w:r>
          </w:p>
        </w:tc>
        <w:tc>
          <w:tcPr>
            <w:tcW w:w="2496" w:type="dxa"/>
            <w:vAlign w:val="center"/>
          </w:tcPr>
          <w:p>
            <w:pPr>
              <w:widowControl/>
              <w:ind w:firstLine="0" w:firstLineChars="0"/>
              <w:jc w:val="center"/>
            </w:pPr>
            <w:r>
              <w:rPr>
                <w:rFonts w:hint="eastAsia"/>
              </w:rPr>
              <w:t>/</w:t>
            </w:r>
          </w:p>
        </w:tc>
        <w:tc>
          <w:tcPr>
            <w:tcW w:w="1180" w:type="dxa"/>
            <w:noWrap/>
            <w:vAlign w:val="center"/>
          </w:tcPr>
          <w:p>
            <w:pPr>
              <w:widowControl/>
              <w:ind w:firstLine="0" w:firstLineChars="0"/>
              <w:jc w:val="center"/>
            </w:pPr>
            <w:r>
              <w:rPr>
                <w:rFonts w:hint="eastAsia"/>
              </w:rPr>
              <w:t>驻场</w:t>
            </w:r>
          </w:p>
        </w:tc>
      </w:tr>
    </w:tbl>
    <w:p>
      <w:pPr>
        <w:pStyle w:val="3"/>
      </w:pPr>
      <w:r>
        <w:t>等级保护要求</w:t>
      </w:r>
      <w:bookmarkEnd w:id="32"/>
    </w:p>
    <w:p>
      <w:r>
        <w:t>本项目等级保护要求：</w:t>
      </w:r>
      <w:r>
        <w:rPr>
          <w:rFonts w:hint="eastAsia"/>
        </w:rPr>
        <w:t>参照等保二级要求建设。</w:t>
      </w:r>
    </w:p>
    <w:p>
      <w:pPr>
        <w:pStyle w:val="3"/>
      </w:pPr>
      <w:r>
        <w:rPr>
          <w:rFonts w:hint="eastAsia"/>
        </w:rPr>
        <w:t>商用密码应用需求</w:t>
      </w:r>
    </w:p>
    <w:p>
      <w:bookmarkStart w:id="33" w:name="_Toc63785512"/>
      <w:r>
        <w:rPr>
          <w:rFonts w:hint="eastAsia"/>
        </w:rPr>
        <w:t>本项目需要进行密码功能模块开发。具体包括开发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投标人须提供完整的密码应用方案。</w:t>
      </w:r>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0"/>
        <w:gridCol w:w="613"/>
        <w:gridCol w:w="1886"/>
        <w:gridCol w:w="4013"/>
        <w:gridCol w:w="1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270" w:type="dxa"/>
            <w:gridSpan w:val="2"/>
            <w:shd w:val="clear" w:color="auto" w:fill="FFFFFF"/>
            <w:vAlign w:val="center"/>
          </w:tcPr>
          <w:p>
            <w:pPr>
              <w:widowControl/>
              <w:wordWrap w:val="0"/>
              <w:adjustRightInd w:val="0"/>
              <w:snapToGrid w:val="0"/>
              <w:spacing w:line="240" w:lineRule="auto"/>
              <w:ind w:firstLine="0" w:firstLineChars="0"/>
              <w:jc w:val="center"/>
              <w:textAlignment w:val="center"/>
              <w:rPr>
                <w:rFonts w:cs="仿宋"/>
                <w:b/>
                <w:bCs/>
                <w:snapToGrid w:val="0"/>
                <w:color w:val="000000"/>
                <w:kern w:val="0"/>
                <w:sz w:val="22"/>
                <w:szCs w:val="22"/>
              </w:rPr>
            </w:pPr>
            <w:r>
              <w:rPr>
                <w:rFonts w:hint="eastAsia" w:cs="仿宋"/>
                <w:b/>
                <w:bCs/>
                <w:snapToGrid w:val="0"/>
                <w:color w:val="000000"/>
                <w:kern w:val="0"/>
                <w:sz w:val="22"/>
                <w:szCs w:val="22"/>
                <w:lang w:bidi="ar"/>
              </w:rPr>
              <w:t>安全层面</w:t>
            </w:r>
          </w:p>
        </w:tc>
        <w:tc>
          <w:tcPr>
            <w:tcW w:w="2078" w:type="dxa"/>
            <w:shd w:val="clear" w:color="auto" w:fill="FFFFFF"/>
            <w:vAlign w:val="center"/>
          </w:tcPr>
          <w:p>
            <w:pPr>
              <w:widowControl/>
              <w:wordWrap w:val="0"/>
              <w:adjustRightInd w:val="0"/>
              <w:snapToGrid w:val="0"/>
              <w:spacing w:line="240" w:lineRule="auto"/>
              <w:ind w:firstLine="0" w:firstLineChars="0"/>
              <w:jc w:val="center"/>
              <w:textAlignment w:val="center"/>
              <w:rPr>
                <w:rFonts w:cs="仿宋"/>
                <w:b/>
                <w:bCs/>
                <w:snapToGrid w:val="0"/>
                <w:color w:val="000000"/>
                <w:kern w:val="0"/>
                <w:sz w:val="22"/>
                <w:szCs w:val="22"/>
              </w:rPr>
            </w:pPr>
            <w:r>
              <w:rPr>
                <w:rFonts w:hint="eastAsia" w:cs="仿宋"/>
                <w:b/>
                <w:bCs/>
                <w:snapToGrid w:val="0"/>
                <w:color w:val="000000"/>
                <w:kern w:val="0"/>
                <w:sz w:val="22"/>
                <w:szCs w:val="22"/>
                <w:lang w:bidi="ar"/>
              </w:rPr>
              <w:t>指标要求</w:t>
            </w:r>
          </w:p>
        </w:tc>
        <w:tc>
          <w:tcPr>
            <w:tcW w:w="4428" w:type="dxa"/>
            <w:shd w:val="clear" w:color="auto" w:fill="FFFFFF"/>
            <w:vAlign w:val="center"/>
          </w:tcPr>
          <w:p>
            <w:pPr>
              <w:widowControl/>
              <w:wordWrap w:val="0"/>
              <w:adjustRightInd w:val="0"/>
              <w:snapToGrid w:val="0"/>
              <w:spacing w:line="240" w:lineRule="auto"/>
              <w:ind w:firstLine="0" w:firstLineChars="0"/>
              <w:jc w:val="center"/>
              <w:textAlignment w:val="center"/>
              <w:rPr>
                <w:rFonts w:cs="仿宋"/>
                <w:b/>
                <w:bCs/>
                <w:snapToGrid w:val="0"/>
                <w:color w:val="000000"/>
                <w:kern w:val="0"/>
                <w:sz w:val="22"/>
                <w:szCs w:val="22"/>
              </w:rPr>
            </w:pPr>
            <w:r>
              <w:rPr>
                <w:rFonts w:hint="eastAsia" w:cs="仿宋"/>
                <w:b/>
                <w:bCs/>
                <w:snapToGrid w:val="0"/>
                <w:color w:val="000000"/>
                <w:kern w:val="0"/>
                <w:sz w:val="22"/>
                <w:szCs w:val="22"/>
                <w:lang w:bidi="ar"/>
              </w:rPr>
              <w:t>系统密码应用需求</w:t>
            </w:r>
          </w:p>
        </w:tc>
        <w:tc>
          <w:tcPr>
            <w:tcW w:w="1505" w:type="dxa"/>
            <w:shd w:val="clear" w:color="auto" w:fill="FFFFFF"/>
            <w:vAlign w:val="center"/>
          </w:tcPr>
          <w:p>
            <w:pPr>
              <w:widowControl/>
              <w:wordWrap w:val="0"/>
              <w:adjustRightInd w:val="0"/>
              <w:snapToGrid w:val="0"/>
              <w:spacing w:line="240" w:lineRule="auto"/>
              <w:ind w:firstLine="0" w:firstLineChars="0"/>
              <w:jc w:val="center"/>
              <w:textAlignment w:val="center"/>
              <w:rPr>
                <w:rFonts w:cs="仿宋"/>
                <w:b/>
                <w:bCs/>
                <w:snapToGrid w:val="0"/>
                <w:color w:val="000000"/>
                <w:kern w:val="0"/>
                <w:sz w:val="22"/>
                <w:szCs w:val="22"/>
              </w:rPr>
            </w:pPr>
            <w:r>
              <w:rPr>
                <w:rFonts w:hint="eastAsia" w:cs="仿宋"/>
                <w:b/>
                <w:bCs/>
                <w:snapToGrid w:val="0"/>
                <w:color w:val="000000"/>
                <w:kern w:val="0"/>
                <w:sz w:val="22"/>
                <w:szCs w:val="22"/>
                <w:lang w:bidi="ar"/>
              </w:rPr>
              <w:t>不适用说明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restart"/>
            <w:shd w:val="clear" w:color="auto" w:fill="FFFFFF"/>
          </w:tcPr>
          <w:p>
            <w:pPr>
              <w:widowControl/>
              <w:wordWrap w:val="0"/>
              <w:adjustRightInd w:val="0"/>
              <w:snapToGrid w:val="0"/>
              <w:spacing w:line="240" w:lineRule="auto"/>
              <w:ind w:firstLine="0" w:firstLineChars="0"/>
              <w:jc w:val="center"/>
              <w:textAlignment w:val="center"/>
              <w:rPr>
                <w:rFonts w:cs="仿宋"/>
                <w:snapToGrid w:val="0"/>
                <w:color w:val="000000"/>
                <w:kern w:val="0"/>
                <w:sz w:val="22"/>
                <w:szCs w:val="22"/>
                <w:lang w:bidi="ar"/>
              </w:rPr>
            </w:pPr>
            <w:r>
              <w:rPr>
                <w:rFonts w:hint="eastAsia" w:cs="仿宋"/>
                <w:snapToGrid w:val="0"/>
                <w:color w:val="000000"/>
                <w:kern w:val="0"/>
                <w:sz w:val="22"/>
                <w:szCs w:val="22"/>
                <w:lang w:bidi="ar"/>
              </w:rPr>
              <w:t>计算平台安全</w:t>
            </w:r>
          </w:p>
        </w:tc>
        <w:tc>
          <w:tcPr>
            <w:tcW w:w="637" w:type="dxa"/>
            <w:vMerge w:val="restart"/>
            <w:shd w:val="clear" w:color="auto" w:fill="FFFFFF"/>
            <w:vAlign w:val="center"/>
          </w:tcPr>
          <w:p>
            <w:pPr>
              <w:widowControl/>
              <w:wordWrap w:val="0"/>
              <w:adjustRightInd w:val="0"/>
              <w:snapToGrid w:val="0"/>
              <w:spacing w:line="240" w:lineRule="auto"/>
              <w:ind w:firstLine="0" w:firstLineChars="0"/>
              <w:jc w:val="center"/>
              <w:textAlignment w:val="center"/>
              <w:rPr>
                <w:rFonts w:cs="仿宋"/>
                <w:snapToGrid w:val="0"/>
                <w:color w:val="000000"/>
                <w:kern w:val="0"/>
                <w:sz w:val="22"/>
                <w:szCs w:val="22"/>
              </w:rPr>
            </w:pPr>
            <w:r>
              <w:rPr>
                <w:rFonts w:hint="eastAsia" w:cs="仿宋"/>
                <w:snapToGrid w:val="0"/>
                <w:color w:val="000000"/>
                <w:kern w:val="0"/>
                <w:sz w:val="22"/>
                <w:szCs w:val="22"/>
                <w:lang w:bidi="ar"/>
              </w:rPr>
              <w:t>物理和环境安全</w:t>
            </w: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身份鉴别</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spacing w:val="21"/>
                <w:kern w:val="0"/>
                <w:sz w:val="22"/>
                <w:szCs w:val="22"/>
              </w:rPr>
              <w:t>确</w:t>
            </w:r>
            <w:r>
              <w:rPr>
                <w:rFonts w:hint="eastAsia" w:cs="仿宋"/>
                <w:snapToGrid w:val="0"/>
                <w:color w:val="000000"/>
                <w:spacing w:val="17"/>
                <w:kern w:val="0"/>
                <w:sz w:val="22"/>
                <w:szCs w:val="22"/>
              </w:rPr>
              <w:t>认进入机房人员身份的真实</w:t>
            </w:r>
            <w:r>
              <w:rPr>
                <w:rFonts w:hint="eastAsia" w:cs="仿宋"/>
                <w:snapToGrid w:val="0"/>
                <w:color w:val="000000"/>
                <w:spacing w:val="10"/>
                <w:kern w:val="0"/>
                <w:sz w:val="22"/>
                <w:szCs w:val="22"/>
              </w:rPr>
              <w:t>性</w:t>
            </w:r>
            <w:r>
              <w:rPr>
                <w:rFonts w:hint="eastAsia" w:cs="仿宋"/>
                <w:snapToGrid w:val="0"/>
                <w:color w:val="000000"/>
                <w:spacing w:val="7"/>
                <w:kern w:val="0"/>
                <w:sz w:val="22"/>
                <w:szCs w:val="22"/>
              </w:rPr>
              <w:t>，防止假冒人员进入。</w:t>
            </w:r>
          </w:p>
        </w:tc>
        <w:tc>
          <w:tcPr>
            <w:tcW w:w="1505" w:type="dxa"/>
            <w:vMerge w:val="restart"/>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系统的物理和环境安全由云平台提供安全保障</w:t>
            </w:r>
            <w:r>
              <w:rPr>
                <w:rFonts w:cs="仿宋"/>
                <w:snapToGrid w:val="0"/>
                <w:color w:val="000000"/>
                <w:kern w:val="0"/>
                <w:sz w:val="22"/>
                <w:szCs w:val="22"/>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电子门禁记录数据完整性</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r>
              <w:rPr>
                <w:rFonts w:hint="eastAsia" w:cs="仿宋"/>
                <w:snapToGrid w:val="0"/>
                <w:color w:val="000000"/>
                <w:spacing w:val="21"/>
                <w:kern w:val="0"/>
                <w:sz w:val="22"/>
                <w:szCs w:val="22"/>
              </w:rPr>
              <w:t>保</w:t>
            </w:r>
            <w:r>
              <w:rPr>
                <w:rFonts w:hint="eastAsia" w:cs="仿宋"/>
                <w:snapToGrid w:val="0"/>
                <w:color w:val="000000"/>
                <w:spacing w:val="17"/>
                <w:kern w:val="0"/>
                <w:sz w:val="22"/>
                <w:szCs w:val="22"/>
              </w:rPr>
              <w:t>护电子门禁系统进出记录的完整性，</w:t>
            </w:r>
            <w:r>
              <w:rPr>
                <w:rFonts w:hint="eastAsia" w:cs="仿宋"/>
                <w:snapToGrid w:val="0"/>
                <w:color w:val="000000"/>
                <w:spacing w:val="9"/>
                <w:kern w:val="0"/>
                <w:sz w:val="22"/>
                <w:szCs w:val="22"/>
              </w:rPr>
              <w:t>防</w:t>
            </w:r>
            <w:r>
              <w:rPr>
                <w:rFonts w:hint="eastAsia" w:cs="仿宋"/>
                <w:snapToGrid w:val="0"/>
                <w:color w:val="000000"/>
                <w:spacing w:val="7"/>
                <w:kern w:val="0"/>
                <w:sz w:val="22"/>
                <w:szCs w:val="22"/>
              </w:rPr>
              <w:t>止被非授权篡改。</w:t>
            </w:r>
          </w:p>
        </w:tc>
        <w:tc>
          <w:tcPr>
            <w:tcW w:w="1505"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密码服务</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spacing w:val="17"/>
                <w:kern w:val="0"/>
                <w:sz w:val="22"/>
                <w:szCs w:val="22"/>
              </w:rPr>
            </w:pPr>
            <w:r>
              <w:rPr>
                <w:rFonts w:hint="eastAsia" w:cs="仿宋"/>
                <w:snapToGrid w:val="0"/>
                <w:color w:val="000000"/>
                <w:spacing w:val="17"/>
                <w:kern w:val="0"/>
                <w:sz w:val="22"/>
                <w:szCs w:val="22"/>
              </w:rPr>
              <w:t>不适用</w:t>
            </w:r>
          </w:p>
        </w:tc>
        <w:tc>
          <w:tcPr>
            <w:tcW w:w="1505"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密码产品</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spacing w:val="17"/>
                <w:kern w:val="0"/>
                <w:sz w:val="22"/>
                <w:szCs w:val="22"/>
              </w:rPr>
            </w:pPr>
            <w:r>
              <w:rPr>
                <w:rFonts w:cs="仿宋"/>
                <w:snapToGrid w:val="0"/>
                <w:color w:val="000000"/>
                <w:spacing w:val="17"/>
                <w:kern w:val="0"/>
                <w:sz w:val="22"/>
                <w:szCs w:val="22"/>
              </w:rPr>
              <w:t>采用的密码产品应达到GB/T 37092-2018二级及以上安全要求。</w:t>
            </w:r>
          </w:p>
        </w:tc>
        <w:tc>
          <w:tcPr>
            <w:tcW w:w="1505"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center"/>
              <w:rPr>
                <w:rFonts w:cs="仿宋"/>
                <w:snapToGrid w:val="0"/>
                <w:color w:val="000000"/>
                <w:kern w:val="0"/>
                <w:sz w:val="22"/>
                <w:szCs w:val="22"/>
                <w:lang w:bidi="ar"/>
              </w:rPr>
            </w:pPr>
          </w:p>
        </w:tc>
        <w:tc>
          <w:tcPr>
            <w:tcW w:w="637" w:type="dxa"/>
            <w:vMerge w:val="restart"/>
            <w:shd w:val="clear" w:color="auto" w:fill="FFFFFF"/>
            <w:vAlign w:val="center"/>
          </w:tcPr>
          <w:p>
            <w:pPr>
              <w:widowControl/>
              <w:wordWrap w:val="0"/>
              <w:adjustRightInd w:val="0"/>
              <w:snapToGrid w:val="0"/>
              <w:spacing w:line="240" w:lineRule="auto"/>
              <w:ind w:firstLine="0" w:firstLineChars="0"/>
              <w:jc w:val="center"/>
              <w:textAlignment w:val="center"/>
              <w:rPr>
                <w:rFonts w:cs="仿宋"/>
                <w:snapToGrid w:val="0"/>
                <w:color w:val="000000"/>
                <w:kern w:val="0"/>
                <w:sz w:val="22"/>
                <w:szCs w:val="22"/>
              </w:rPr>
            </w:pPr>
            <w:r>
              <w:rPr>
                <w:rFonts w:hint="eastAsia" w:cs="仿宋"/>
                <w:snapToGrid w:val="0"/>
                <w:color w:val="000000"/>
                <w:kern w:val="0"/>
                <w:sz w:val="22"/>
                <w:szCs w:val="22"/>
                <w:lang w:bidi="ar"/>
              </w:rPr>
              <w:t>网络和通信安全</w:t>
            </w:r>
          </w:p>
        </w:tc>
        <w:tc>
          <w:tcPr>
            <w:tcW w:w="2078" w:type="dxa"/>
            <w:vMerge w:val="restart"/>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身份鉴别</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确保</w:t>
            </w:r>
            <w:r>
              <w:rPr>
                <w:rFonts w:hint="eastAsia" w:cs="仿宋"/>
                <w:i/>
                <w:iCs/>
                <w:snapToGrid w:val="0"/>
                <w:kern w:val="0"/>
                <w:sz w:val="22"/>
                <w:szCs w:val="22"/>
                <w:lang w:bidi="ar"/>
              </w:rPr>
              <w:t>PC端、移动端</w:t>
            </w:r>
            <w:r>
              <w:rPr>
                <w:rFonts w:hint="eastAsia" w:cs="仿宋"/>
                <w:snapToGrid w:val="0"/>
                <w:kern w:val="0"/>
                <w:sz w:val="22"/>
                <w:szCs w:val="22"/>
                <w:lang w:bidi="ar"/>
              </w:rPr>
              <w:t>和服务端通信实体身份的真实性，防止与假冒实体进行通信。</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管理端的身份鉴别由云平台提供安全保障。</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云平台通过密评，已被完全评估。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通信数据完整性</w:t>
            </w:r>
          </w:p>
        </w:tc>
        <w:tc>
          <w:tcPr>
            <w:tcW w:w="4428" w:type="dxa"/>
            <w:vMerge w:val="restart"/>
            <w:shd w:val="clear" w:color="auto" w:fill="FFFFFF"/>
            <w:vAlign w:val="center"/>
          </w:tcPr>
          <w:p>
            <w:pPr>
              <w:widowControl/>
              <w:spacing w:line="240" w:lineRule="auto"/>
              <w:ind w:firstLine="0" w:firstLineChars="0"/>
              <w:jc w:val="left"/>
              <w:rPr>
                <w:rFonts w:cs="宋体"/>
                <w:kern w:val="0"/>
                <w:sz w:val="22"/>
                <w:szCs w:val="22"/>
              </w:rPr>
            </w:pPr>
            <w:r>
              <w:rPr>
                <w:rFonts w:cs="Arial"/>
                <w:snapToGrid w:val="0"/>
                <w:color w:val="000000"/>
                <w:kern w:val="0"/>
                <w:sz w:val="22"/>
                <w:szCs w:val="22"/>
              </w:rPr>
              <w:t>保护通信过程中重要业务数据的完整性和机密性， 防止数据被非授权篡改， 防止重要数据泄露</w:t>
            </w:r>
            <w:r>
              <w:rPr>
                <w:rFonts w:hint="eastAsia" w:cs="宋体"/>
                <w:kern w:val="0"/>
                <w:sz w:val="22"/>
                <w:szCs w:val="22"/>
              </w:rPr>
              <w:t>。</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通信过程中重要数据的机密性</w:t>
            </w:r>
          </w:p>
        </w:tc>
        <w:tc>
          <w:tcPr>
            <w:tcW w:w="4428" w:type="dxa"/>
            <w:vMerge w:val="continue"/>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kern w:val="0"/>
                <w:sz w:val="22"/>
                <w:szCs w:val="22"/>
              </w:rPr>
            </w:pP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vMerge w:val="restart"/>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网络边界访问控制信息的完整性</w:t>
            </w:r>
          </w:p>
        </w:tc>
        <w:tc>
          <w:tcPr>
            <w:tcW w:w="4428" w:type="dxa"/>
            <w:shd w:val="clear" w:color="auto" w:fill="FFFFFF"/>
            <w:vAlign w:val="center"/>
          </w:tcPr>
          <w:p>
            <w:pPr>
              <w:widowControl/>
              <w:spacing w:line="240" w:lineRule="auto"/>
              <w:ind w:firstLine="0" w:firstLineChars="0"/>
              <w:jc w:val="left"/>
              <w:rPr>
                <w:rFonts w:cs="仿宋"/>
                <w:snapToGrid w:val="0"/>
                <w:kern w:val="0"/>
                <w:sz w:val="22"/>
                <w:szCs w:val="22"/>
                <w:lang w:bidi="ar"/>
              </w:rPr>
            </w:pPr>
            <w:r>
              <w:rPr>
                <w:rFonts w:hint="eastAsia" w:cs="仿宋"/>
                <w:snapToGrid w:val="0"/>
                <w:kern w:val="0"/>
                <w:sz w:val="22"/>
                <w:szCs w:val="22"/>
                <w:lang w:bidi="ar"/>
              </w:rPr>
              <w:t>保护PC端、移动端和服务端通信过程中网络边界访问控制信息的完整性，防止被非授权篡改。</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vMerge w:val="continue"/>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lang w:bidi="ar"/>
              </w:rPr>
            </w:pPr>
          </w:p>
        </w:tc>
        <w:tc>
          <w:tcPr>
            <w:tcW w:w="4428" w:type="dxa"/>
            <w:shd w:val="clear" w:color="auto" w:fill="FFFFFF"/>
            <w:vAlign w:val="center"/>
          </w:tcPr>
          <w:p>
            <w:pPr>
              <w:widowControl/>
              <w:spacing w:line="240" w:lineRule="auto"/>
              <w:ind w:firstLine="0" w:firstLineChars="0"/>
              <w:jc w:val="left"/>
              <w:rPr>
                <w:rFonts w:cs="仿宋"/>
                <w:snapToGrid w:val="0"/>
                <w:kern w:val="0"/>
                <w:sz w:val="22"/>
                <w:szCs w:val="22"/>
                <w:lang w:bidi="ar"/>
              </w:rPr>
            </w:pPr>
            <w:r>
              <w:rPr>
                <w:rFonts w:hint="eastAsia" w:cs="仿宋"/>
                <w:snapToGrid w:val="0"/>
                <w:kern w:val="0"/>
                <w:sz w:val="22"/>
                <w:szCs w:val="22"/>
                <w:lang w:bidi="ar"/>
              </w:rPr>
              <w:t>系统网络拓扑中不同区域网络边界访问控制信息的完整性保护由云平台提供。</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云平台通过密评，已被完全评估。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密码服务</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采用的数字证书由具备资质的电子认证服务机构签发。</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密码产品</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i/>
                <w:iCs/>
                <w:snapToGrid w:val="0"/>
                <w:color w:val="FF0000"/>
                <w:kern w:val="0"/>
                <w:sz w:val="22"/>
                <w:szCs w:val="22"/>
              </w:rPr>
            </w:pPr>
            <w:r>
              <w:rPr>
                <w:rFonts w:hint="eastAsia" w:cs="仿宋"/>
                <w:snapToGrid w:val="0"/>
                <w:color w:val="000000"/>
                <w:kern w:val="0"/>
                <w:sz w:val="22"/>
                <w:szCs w:val="22"/>
              </w:rPr>
              <w:t>客户端</w:t>
            </w:r>
            <w:r>
              <w:rPr>
                <w:rFonts w:cs="仿宋"/>
                <w:snapToGrid w:val="0"/>
                <w:color w:val="000000"/>
                <w:kern w:val="0"/>
                <w:sz w:val="22"/>
                <w:szCs w:val="22"/>
              </w:rPr>
              <w:t>采用的安全浏览器、密码模块</w:t>
            </w:r>
            <w:r>
              <w:rPr>
                <w:rFonts w:hint="eastAsia" w:cs="仿宋"/>
                <w:snapToGrid w:val="0"/>
                <w:color w:val="000000"/>
                <w:kern w:val="0"/>
                <w:sz w:val="22"/>
                <w:szCs w:val="22"/>
              </w:rPr>
              <w:t>（</w:t>
            </w:r>
            <w:r>
              <w:rPr>
                <w:rFonts w:cs="仿宋"/>
                <w:snapToGrid w:val="0"/>
                <w:color w:val="000000"/>
                <w:kern w:val="0"/>
                <w:sz w:val="22"/>
                <w:szCs w:val="22"/>
              </w:rPr>
              <w:t>二级</w:t>
            </w:r>
            <w:r>
              <w:rPr>
                <w:rFonts w:hint="eastAsia" w:cs="仿宋"/>
                <w:snapToGrid w:val="0"/>
                <w:color w:val="000000"/>
                <w:kern w:val="0"/>
                <w:sz w:val="22"/>
                <w:szCs w:val="22"/>
              </w:rPr>
              <w:t>）</w:t>
            </w:r>
            <w:r>
              <w:rPr>
                <w:rFonts w:cs="仿宋"/>
                <w:snapToGrid w:val="0"/>
                <w:color w:val="000000"/>
                <w:kern w:val="0"/>
                <w:sz w:val="22"/>
                <w:szCs w:val="22"/>
              </w:rPr>
              <w:t>、USBKey达到GB/T 37092二级安全要求。</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i/>
                <w:iCs/>
                <w:snapToGrid w:val="0"/>
                <w:color w:val="FF0000"/>
                <w:kern w:val="0"/>
                <w:sz w:val="22"/>
                <w:szCs w:val="22"/>
              </w:rPr>
            </w:pPr>
            <w:r>
              <w:rPr>
                <w:rFonts w:hint="eastAsia" w:cs="仿宋"/>
                <w:snapToGrid w:val="0"/>
                <w:color w:val="000000"/>
                <w:kern w:val="0"/>
                <w:sz w:val="22"/>
                <w:szCs w:val="22"/>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center"/>
              <w:rPr>
                <w:rFonts w:cs="仿宋"/>
                <w:snapToGrid w:val="0"/>
                <w:color w:val="000000"/>
                <w:kern w:val="0"/>
                <w:sz w:val="22"/>
                <w:szCs w:val="22"/>
                <w:lang w:bidi="ar"/>
              </w:rPr>
            </w:pPr>
          </w:p>
        </w:tc>
        <w:tc>
          <w:tcPr>
            <w:tcW w:w="637" w:type="dxa"/>
            <w:vMerge w:val="restart"/>
            <w:shd w:val="clear" w:color="auto" w:fill="FFFFFF"/>
            <w:vAlign w:val="center"/>
          </w:tcPr>
          <w:p>
            <w:pPr>
              <w:widowControl/>
              <w:wordWrap w:val="0"/>
              <w:adjustRightInd w:val="0"/>
              <w:snapToGrid w:val="0"/>
              <w:spacing w:line="240" w:lineRule="auto"/>
              <w:ind w:firstLine="0" w:firstLineChars="0"/>
              <w:jc w:val="center"/>
              <w:textAlignment w:val="center"/>
              <w:rPr>
                <w:rFonts w:cs="仿宋"/>
                <w:snapToGrid w:val="0"/>
                <w:color w:val="000000"/>
                <w:kern w:val="0"/>
                <w:sz w:val="22"/>
                <w:szCs w:val="22"/>
              </w:rPr>
            </w:pPr>
            <w:r>
              <w:rPr>
                <w:rFonts w:hint="eastAsia" w:cs="仿宋"/>
                <w:snapToGrid w:val="0"/>
                <w:color w:val="000000"/>
                <w:kern w:val="0"/>
                <w:sz w:val="22"/>
                <w:szCs w:val="22"/>
                <w:lang w:bidi="ar"/>
              </w:rPr>
              <w:t>设备和计算安全</w:t>
            </w: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身份鉴别</w:t>
            </w:r>
          </w:p>
        </w:tc>
        <w:tc>
          <w:tcPr>
            <w:tcW w:w="4428" w:type="dxa"/>
            <w:shd w:val="clear" w:color="auto" w:fill="FFFFFF"/>
            <w:vAlign w:val="center"/>
          </w:tcPr>
          <w:p>
            <w:pPr>
              <w:widowControl/>
              <w:spacing w:line="240" w:lineRule="auto"/>
              <w:ind w:firstLine="0" w:firstLineChars="0"/>
              <w:jc w:val="left"/>
              <w:rPr>
                <w:rFonts w:cs="宋体"/>
                <w:kern w:val="0"/>
                <w:sz w:val="22"/>
                <w:szCs w:val="22"/>
              </w:rPr>
            </w:pPr>
            <w:r>
              <w:rPr>
                <w:rFonts w:cs="Arial"/>
                <w:snapToGrid w:val="0"/>
                <w:color w:val="000000"/>
                <w:kern w:val="0"/>
                <w:sz w:val="22"/>
                <w:szCs w:val="22"/>
              </w:rPr>
              <w:t>管理员通过远程运维管理终端访问堡垒机、服务器虚拟机、数据库、密码服务时，对其身份真实性进行识别和确认， 防止假冒人员登录。</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系统资源访问控制信息完整性</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保护服务器虚拟机、数据库等设备访问控制信息的完整性，防止被非授权篡改。</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日志记录完整性</w:t>
            </w:r>
          </w:p>
        </w:tc>
        <w:tc>
          <w:tcPr>
            <w:tcW w:w="4428" w:type="dxa"/>
            <w:shd w:val="clear" w:color="auto" w:fill="FFFFFF"/>
            <w:vAlign w:val="center"/>
          </w:tcPr>
          <w:p>
            <w:pPr>
              <w:widowControl/>
              <w:spacing w:line="240" w:lineRule="auto"/>
              <w:ind w:firstLine="0" w:firstLineChars="0"/>
              <w:jc w:val="left"/>
              <w:rPr>
                <w:rFonts w:cs="宋体"/>
                <w:kern w:val="0"/>
                <w:sz w:val="22"/>
                <w:szCs w:val="22"/>
              </w:rPr>
            </w:pPr>
            <w:r>
              <w:rPr>
                <w:rFonts w:cs="Arial"/>
                <w:snapToGrid w:val="0"/>
                <w:color w:val="000000"/>
                <w:kern w:val="0"/>
                <w:sz w:val="22"/>
                <w:szCs w:val="22"/>
              </w:rPr>
              <w:t>保护系统中服务器虚拟机、数据库、密码服务的日志记录的完整性，防止被非授权篡改。</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密码服务</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采用的云密码服务由云平台提供。</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云平台通过密评，已被完全评估。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center"/>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密码产品</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i/>
                <w:iCs/>
                <w:snapToGrid w:val="0"/>
                <w:color w:val="FF0000"/>
                <w:kern w:val="0"/>
                <w:sz w:val="22"/>
                <w:szCs w:val="22"/>
              </w:rPr>
            </w:pPr>
            <w:r>
              <w:rPr>
                <w:rFonts w:hint="eastAsia" w:cs="仿宋"/>
                <w:snapToGrid w:val="0"/>
                <w:color w:val="000000"/>
                <w:kern w:val="0"/>
                <w:sz w:val="22"/>
                <w:szCs w:val="22"/>
                <w:lang w:bidi="ar"/>
              </w:rPr>
              <w:t>服务端相关的密码产品由云平台提供安全保障。</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i/>
                <w:iCs/>
                <w:snapToGrid w:val="0"/>
                <w:color w:val="FF0000"/>
                <w:kern w:val="0"/>
                <w:sz w:val="22"/>
                <w:szCs w:val="22"/>
              </w:rPr>
            </w:pPr>
            <w:r>
              <w:rPr>
                <w:rFonts w:hint="eastAsia" w:cs="仿宋"/>
                <w:snapToGrid w:val="0"/>
                <w:color w:val="000000"/>
                <w:kern w:val="0"/>
                <w:sz w:val="22"/>
                <w:szCs w:val="22"/>
                <w:lang w:bidi="ar"/>
              </w:rPr>
              <w:t>云平台通过密评，已被完全评估。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restart"/>
            <w:shd w:val="clear" w:color="auto" w:fill="FFFFFF"/>
          </w:tcPr>
          <w:p>
            <w:pPr>
              <w:widowControl/>
              <w:spacing w:line="240" w:lineRule="auto"/>
              <w:ind w:firstLine="0" w:firstLineChars="0"/>
              <w:jc w:val="center"/>
              <w:rPr>
                <w:rFonts w:cs="宋体"/>
                <w:kern w:val="0"/>
                <w:sz w:val="22"/>
                <w:szCs w:val="22"/>
              </w:rPr>
            </w:pPr>
            <w:r>
              <w:rPr>
                <w:rFonts w:cs="Arial"/>
                <w:snapToGrid w:val="0"/>
                <w:color w:val="000000"/>
                <w:kern w:val="0"/>
                <w:sz w:val="22"/>
                <w:szCs w:val="22"/>
              </w:rPr>
              <w:t>业 务应 用安全</w:t>
            </w:r>
          </w:p>
        </w:tc>
        <w:tc>
          <w:tcPr>
            <w:tcW w:w="637" w:type="dxa"/>
            <w:vMerge w:val="restart"/>
            <w:shd w:val="clear" w:color="auto" w:fill="FFFFFF"/>
            <w:vAlign w:val="center"/>
          </w:tcPr>
          <w:p>
            <w:pPr>
              <w:widowControl/>
              <w:wordWrap w:val="0"/>
              <w:adjustRightInd w:val="0"/>
              <w:snapToGrid w:val="0"/>
              <w:spacing w:line="240" w:lineRule="auto"/>
              <w:ind w:firstLine="0" w:firstLineChars="0"/>
              <w:jc w:val="center"/>
              <w:textAlignment w:val="center"/>
              <w:rPr>
                <w:rFonts w:cs="仿宋"/>
                <w:snapToGrid w:val="0"/>
                <w:color w:val="000000"/>
                <w:kern w:val="0"/>
                <w:sz w:val="22"/>
                <w:szCs w:val="22"/>
              </w:rPr>
            </w:pPr>
            <w:r>
              <w:rPr>
                <w:rFonts w:hint="eastAsia" w:cs="仿宋"/>
                <w:snapToGrid w:val="0"/>
                <w:color w:val="000000"/>
                <w:kern w:val="0"/>
                <w:sz w:val="22"/>
                <w:szCs w:val="22"/>
                <w:lang w:bidi="ar"/>
              </w:rPr>
              <w:t>应用和数据安全</w:t>
            </w: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身份鉴别</w:t>
            </w:r>
          </w:p>
        </w:tc>
        <w:tc>
          <w:tcPr>
            <w:tcW w:w="4428" w:type="dxa"/>
            <w:shd w:val="clear" w:color="auto" w:fill="FFFFFF"/>
            <w:vAlign w:val="center"/>
          </w:tcPr>
          <w:p>
            <w:pPr>
              <w:widowControl/>
              <w:spacing w:line="240" w:lineRule="auto"/>
              <w:ind w:firstLine="0" w:firstLineChars="0"/>
              <w:jc w:val="left"/>
              <w:rPr>
                <w:rFonts w:cs="宋体"/>
                <w:kern w:val="0"/>
                <w:sz w:val="22"/>
                <w:szCs w:val="22"/>
              </w:rPr>
            </w:pPr>
            <w:r>
              <w:rPr>
                <w:rFonts w:cs="Arial"/>
                <w:snapToGrid w:val="0"/>
                <w:color w:val="000000"/>
                <w:kern w:val="0"/>
                <w:sz w:val="22"/>
                <w:szCs w:val="22"/>
              </w:rPr>
              <w:t>确认应用系统用户身份的真实性，防止假冒人员登录。</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访问控制信息完整性</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kern w:val="0"/>
                <w:sz w:val="22"/>
                <w:szCs w:val="22"/>
              </w:rPr>
            </w:pPr>
            <w:r>
              <w:rPr>
                <w:rFonts w:hint="eastAsia" w:cs="仿宋"/>
                <w:snapToGrid w:val="0"/>
                <w:kern w:val="0"/>
                <w:sz w:val="22"/>
                <w:szCs w:val="22"/>
                <w:lang w:bidi="ar"/>
              </w:rPr>
              <w:t>对应用系统的访问权限控制列表进行完整性保护，防止被非授权篡改。</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重要信息资源安全标记完整性</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kern w:val="0"/>
                <w:sz w:val="22"/>
                <w:szCs w:val="22"/>
              </w:rPr>
            </w:pPr>
            <w:r>
              <w:rPr>
                <w:rFonts w:hint="eastAsia" w:cs="仿宋"/>
                <w:snapToGrid w:val="0"/>
                <w:kern w:val="0"/>
                <w:sz w:val="22"/>
                <w:szCs w:val="22"/>
                <w:lang w:bidi="ar"/>
              </w:rPr>
              <w:t>不适用。</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应用没有安全标记。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kern w:val="0"/>
                <w:sz w:val="22"/>
                <w:szCs w:val="22"/>
                <w:lang w:bidi="ar"/>
              </w:rPr>
              <w:t>重要</w:t>
            </w:r>
            <w:r>
              <w:rPr>
                <w:rFonts w:hint="eastAsia" w:cs="仿宋"/>
                <w:snapToGrid w:val="0"/>
                <w:color w:val="000000"/>
                <w:kern w:val="0"/>
                <w:sz w:val="22"/>
                <w:szCs w:val="22"/>
                <w:lang w:bidi="ar"/>
              </w:rPr>
              <w:t>数据传输机密性</w:t>
            </w:r>
          </w:p>
        </w:tc>
        <w:tc>
          <w:tcPr>
            <w:tcW w:w="4428" w:type="dxa"/>
            <w:vMerge w:val="restart"/>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kern w:val="0"/>
                <w:sz w:val="22"/>
                <w:szCs w:val="22"/>
              </w:rPr>
            </w:pPr>
            <w:r>
              <w:rPr>
                <w:rFonts w:hint="eastAsia" w:cs="仿宋"/>
                <w:snapToGrid w:val="0"/>
                <w:kern w:val="0"/>
                <w:sz w:val="22"/>
                <w:szCs w:val="22"/>
                <w:lang w:bidi="ar"/>
              </w:rPr>
              <w:t>保护</w:t>
            </w:r>
            <w:r>
              <w:rPr>
                <w:rFonts w:hint="eastAsia" w:cs="仿宋"/>
                <w:i/>
                <w:iCs/>
                <w:snapToGrid w:val="0"/>
                <w:kern w:val="0"/>
                <w:sz w:val="22"/>
                <w:szCs w:val="22"/>
                <w:lang w:bidi="ar"/>
              </w:rPr>
              <w:t>PC端、移动端</w:t>
            </w:r>
            <w:r>
              <w:rPr>
                <w:rFonts w:hint="eastAsia" w:cs="仿宋"/>
                <w:snapToGrid w:val="0"/>
                <w:kern w:val="0"/>
                <w:sz w:val="22"/>
                <w:szCs w:val="22"/>
                <w:lang w:bidi="ar"/>
              </w:rPr>
              <w:t>与服务端之间传输和存储的用户身份鉴别信息等重要数据的机密性和完整性，防止数据泄露给非授权的个人、进程等。保护系统业务日志数据的完整性，防止该数据被非授权篡改。</w:t>
            </w:r>
          </w:p>
        </w:tc>
        <w:tc>
          <w:tcPr>
            <w:tcW w:w="1505" w:type="dxa"/>
            <w:vMerge w:val="restart"/>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kern w:val="0"/>
                <w:sz w:val="22"/>
                <w:szCs w:val="22"/>
                <w:lang w:bidi="ar"/>
              </w:rPr>
              <w:t>重要</w:t>
            </w:r>
            <w:r>
              <w:rPr>
                <w:rFonts w:hint="eastAsia" w:cs="仿宋"/>
                <w:snapToGrid w:val="0"/>
                <w:color w:val="000000"/>
                <w:kern w:val="0"/>
                <w:sz w:val="22"/>
                <w:szCs w:val="22"/>
                <w:lang w:bidi="ar"/>
              </w:rPr>
              <w:t>数据存储机密性</w:t>
            </w:r>
          </w:p>
        </w:tc>
        <w:tc>
          <w:tcPr>
            <w:tcW w:w="4428"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1505"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kern w:val="0"/>
                <w:sz w:val="22"/>
                <w:szCs w:val="22"/>
                <w:lang w:bidi="ar"/>
              </w:rPr>
              <w:t>重要</w:t>
            </w:r>
            <w:r>
              <w:rPr>
                <w:rFonts w:hint="eastAsia" w:cs="仿宋"/>
                <w:snapToGrid w:val="0"/>
                <w:color w:val="000000"/>
                <w:kern w:val="0"/>
                <w:sz w:val="22"/>
                <w:szCs w:val="22"/>
                <w:lang w:bidi="ar"/>
              </w:rPr>
              <w:t>数据传输完整性</w:t>
            </w:r>
          </w:p>
        </w:tc>
        <w:tc>
          <w:tcPr>
            <w:tcW w:w="4428"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1505"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lang w:bidi="ar"/>
              </w:rPr>
            </w:pPr>
            <w:r>
              <w:rPr>
                <w:rFonts w:hint="eastAsia" w:cs="仿宋"/>
                <w:snapToGrid w:val="0"/>
                <w:kern w:val="0"/>
                <w:sz w:val="22"/>
                <w:szCs w:val="22"/>
                <w:lang w:bidi="ar"/>
              </w:rPr>
              <w:t>重要</w:t>
            </w:r>
            <w:r>
              <w:rPr>
                <w:rFonts w:hint="eastAsia" w:cs="仿宋"/>
                <w:snapToGrid w:val="0"/>
                <w:color w:val="000000"/>
                <w:kern w:val="0"/>
                <w:sz w:val="22"/>
                <w:szCs w:val="22"/>
                <w:lang w:bidi="ar"/>
              </w:rPr>
              <w:t>数据存储完整性</w:t>
            </w:r>
          </w:p>
        </w:tc>
        <w:tc>
          <w:tcPr>
            <w:tcW w:w="4428"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1505"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密码服务</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采用的数字证书由具备资质的电子认证服务机构签发。</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637" w:type="dxa"/>
            <w:vMerge w:val="continue"/>
            <w:shd w:val="clear" w:color="auto" w:fill="FFFFFF"/>
            <w:vAlign w:val="center"/>
          </w:tcPr>
          <w:p>
            <w:pPr>
              <w:widowControl/>
              <w:wordWrap w:val="0"/>
              <w:adjustRightInd w:val="0"/>
              <w:snapToGrid w:val="0"/>
              <w:spacing w:line="240" w:lineRule="auto"/>
              <w:ind w:firstLine="0" w:firstLineChars="0"/>
              <w:jc w:val="left"/>
              <w:textAlignment w:val="baseline"/>
              <w:rPr>
                <w:rFonts w:cs="仿宋"/>
                <w:snapToGrid w:val="0"/>
                <w:color w:val="000000"/>
                <w:kern w:val="0"/>
                <w:sz w:val="22"/>
                <w:szCs w:val="22"/>
              </w:rPr>
            </w:pPr>
          </w:p>
        </w:tc>
        <w:tc>
          <w:tcPr>
            <w:tcW w:w="207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snapToGrid w:val="0"/>
                <w:color w:val="000000"/>
                <w:kern w:val="0"/>
                <w:sz w:val="22"/>
                <w:szCs w:val="22"/>
              </w:rPr>
            </w:pPr>
            <w:r>
              <w:rPr>
                <w:rFonts w:hint="eastAsia" w:cs="仿宋"/>
                <w:snapToGrid w:val="0"/>
                <w:color w:val="000000"/>
                <w:kern w:val="0"/>
                <w:sz w:val="22"/>
                <w:szCs w:val="22"/>
                <w:lang w:bidi="ar"/>
              </w:rPr>
              <w:t>密码产品</w:t>
            </w:r>
          </w:p>
        </w:tc>
        <w:tc>
          <w:tcPr>
            <w:tcW w:w="4428"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i/>
                <w:iCs/>
                <w:snapToGrid w:val="0"/>
                <w:color w:val="FF0000"/>
                <w:kern w:val="0"/>
                <w:sz w:val="22"/>
                <w:szCs w:val="22"/>
              </w:rPr>
            </w:pPr>
            <w:r>
              <w:rPr>
                <w:rFonts w:hint="eastAsia" w:cs="仿宋"/>
                <w:snapToGrid w:val="0"/>
                <w:color w:val="000000"/>
                <w:kern w:val="0"/>
                <w:sz w:val="22"/>
                <w:szCs w:val="22"/>
                <w:lang w:bidi="ar"/>
              </w:rPr>
              <w:t>服务端相关的密码产品由云平台提供安全保障。</w:t>
            </w:r>
          </w:p>
        </w:tc>
        <w:tc>
          <w:tcPr>
            <w:tcW w:w="1505" w:type="dxa"/>
            <w:shd w:val="clear" w:color="auto" w:fill="FFFFFF"/>
            <w:vAlign w:val="center"/>
          </w:tcPr>
          <w:p>
            <w:pPr>
              <w:widowControl/>
              <w:wordWrap w:val="0"/>
              <w:adjustRightInd w:val="0"/>
              <w:snapToGrid w:val="0"/>
              <w:spacing w:line="240" w:lineRule="auto"/>
              <w:ind w:firstLine="0" w:firstLineChars="0"/>
              <w:jc w:val="left"/>
              <w:textAlignment w:val="center"/>
              <w:rPr>
                <w:rFonts w:cs="仿宋"/>
                <w:i/>
                <w:iCs/>
                <w:snapToGrid w:val="0"/>
                <w:color w:val="FF0000"/>
                <w:kern w:val="0"/>
                <w:sz w:val="22"/>
                <w:szCs w:val="22"/>
              </w:rPr>
            </w:pPr>
            <w:r>
              <w:rPr>
                <w:rFonts w:hint="eastAsia" w:cs="仿宋"/>
                <w:snapToGrid w:val="0"/>
                <w:color w:val="000000"/>
                <w:kern w:val="0"/>
                <w:sz w:val="22"/>
                <w:szCs w:val="22"/>
                <w:lang w:bidi="ar"/>
              </w:rPr>
              <w:t>云平台通过密评，已被完全评估。</w:t>
            </w:r>
          </w:p>
        </w:tc>
      </w:tr>
    </w:tbl>
    <w:p/>
    <w:p>
      <w:pPr>
        <w:pStyle w:val="3"/>
      </w:pPr>
      <w:r>
        <w:rPr>
          <w:rFonts w:hint="eastAsia"/>
        </w:rPr>
        <w:t>技术文件要求</w:t>
      </w:r>
    </w:p>
    <w:p>
      <w:r>
        <w:rPr>
          <w:rFonts w:hint="eastAsia"/>
        </w:rPr>
        <w:t>投标人提供的书面技术资料应能确保系统正常运行所需的管理、运营及维护有关的全套文件。技术文件应该全面、完整、详细。投标人提供的技术文件至少应包括：</w:t>
      </w:r>
    </w:p>
    <w:p>
      <w:r>
        <w:rPr>
          <w:rFonts w:hint="eastAsia"/>
        </w:rPr>
        <w:t>－</w:t>
      </w:r>
      <w:r>
        <w:t xml:space="preserve"> 系统说明文件； </w:t>
      </w:r>
    </w:p>
    <w:p>
      <w:r>
        <w:rPr>
          <w:rFonts w:hint="eastAsia"/>
        </w:rPr>
        <w:t>－</w:t>
      </w:r>
      <w:r>
        <w:t xml:space="preserve"> 技术手册(安装、测试、操作、维护、故障排除等)； </w:t>
      </w:r>
    </w:p>
    <w:p>
      <w:r>
        <w:rPr>
          <w:rFonts w:hint="eastAsia"/>
        </w:rPr>
        <w:t>－</w:t>
      </w:r>
      <w:r>
        <w:t xml:space="preserve"> 项目文档，应该包括：</w:t>
      </w:r>
    </w:p>
    <w:p>
      <w:pPr>
        <w:ind w:left="360"/>
      </w:pPr>
      <w:r>
        <w:t>(1)软件需求说明书</w:t>
      </w:r>
    </w:p>
    <w:p>
      <w:pPr>
        <w:ind w:left="360"/>
      </w:pPr>
      <w:r>
        <w:t>(2)</w:t>
      </w:r>
      <w:r>
        <w:tab/>
      </w:r>
      <w:r>
        <w:t>系统总体设计说明书</w:t>
      </w:r>
    </w:p>
    <w:p>
      <w:pPr>
        <w:ind w:left="360"/>
      </w:pPr>
      <w:r>
        <w:t>(3)</w:t>
      </w:r>
      <w:r>
        <w:tab/>
      </w:r>
      <w:r>
        <w:t>应用软件功能清单</w:t>
      </w:r>
    </w:p>
    <w:p>
      <w:r>
        <w:rPr>
          <w:rFonts w:hint="eastAsia"/>
        </w:rPr>
        <w:t>提供全套技术文件纸介质</w:t>
      </w:r>
      <w:r>
        <w:t>3套以及电子文件1套。</w:t>
      </w:r>
    </w:p>
    <w:p>
      <w:pPr>
        <w:pStyle w:val="3"/>
      </w:pPr>
      <w:r>
        <w:rPr>
          <w:rFonts w:hint="eastAsia"/>
        </w:rPr>
        <w:t>其他要求</w:t>
      </w:r>
    </w:p>
    <w:p>
      <w:pPr>
        <w:rPr>
          <w:rFonts w:hint="eastAsia"/>
        </w:rPr>
      </w:pPr>
      <w:r>
        <w:rPr>
          <w:rFonts w:hint="eastAsia"/>
        </w:rPr>
        <w:t>根据市大数据中心要求，做好系统数据库的管理规范化、数据标准化、完成数据编目和数据上链工作；按照中心的统一管理要求，做好城管执法法制管理平台相关前期系统的运维工作，确保系统安全、稳定运行，确保数据安全，满足业务部门需求。</w:t>
      </w:r>
    </w:p>
    <w:p>
      <w:pPr>
        <w:rPr>
          <w:rFonts w:hint="eastAsia" w:eastAsia="宋体"/>
          <w:lang w:eastAsia="zh-CN"/>
        </w:rPr>
      </w:pPr>
      <w:r>
        <w:rPr>
          <w:rFonts w:hint="eastAsia" w:cs="宋体"/>
          <w:color w:val="000000"/>
          <w:kern w:val="0"/>
          <w:sz w:val="22"/>
          <w:szCs w:val="22"/>
          <w:lang w:eastAsia="zh-CN"/>
        </w:rPr>
        <w:t>投标人具备行政执法类</w:t>
      </w:r>
      <w:r>
        <w:rPr>
          <w:rFonts w:hint="eastAsia" w:cs="宋体"/>
          <w:color w:val="000000"/>
          <w:kern w:val="0"/>
          <w:sz w:val="22"/>
          <w:szCs w:val="22"/>
        </w:rPr>
        <w:t>、数据可视化分析类软件著作权</w:t>
      </w:r>
      <w:r>
        <w:rPr>
          <w:rFonts w:hint="eastAsia" w:cs="宋体"/>
          <w:color w:val="000000"/>
          <w:kern w:val="0"/>
          <w:sz w:val="22"/>
          <w:szCs w:val="22"/>
          <w:lang w:eastAsia="zh-CN"/>
        </w:rPr>
        <w:t>证书的优先。</w:t>
      </w:r>
    </w:p>
    <w:bookmarkEnd w:id="33"/>
    <w:p>
      <w:pPr>
        <w:pStyle w:val="2"/>
        <w:rPr>
          <w:rFonts w:eastAsia="宋体"/>
        </w:rPr>
      </w:pPr>
      <w:bookmarkStart w:id="34" w:name="_Toc68798863"/>
      <w:r>
        <w:rPr>
          <w:rFonts w:hint="eastAsia" w:eastAsia="宋体"/>
        </w:rPr>
        <w:t>附录</w:t>
      </w:r>
      <w:bookmarkEnd w:id="34"/>
      <w:bookmarkStart w:id="35" w:name="_GoBack"/>
      <w:bookmarkEnd w:id="35"/>
    </w:p>
    <w:p>
      <w:pPr>
        <w:ind w:firstLine="0" w:firstLineChars="0"/>
        <w:jc w:val="left"/>
      </w:pPr>
    </w:p>
    <w:p>
      <w:pPr>
        <w:ind w:firstLine="0" w:firstLineChars="0"/>
        <w:jc w:val="left"/>
      </w:pPr>
      <w:r>
        <w:rPr>
          <w:rFonts w:hint="eastAsia"/>
        </w:rPr>
        <w:t>无</w:t>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华文中宋"/>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DejaVu Sans"/>
    <w:panose1 w:val="020B0604020202020204"/>
    <w:charset w:val="00"/>
    <w:family w:val="swiss"/>
    <w:pitch w:val="default"/>
    <w:sig w:usb0="00000000" w:usb1="00000000" w:usb2="00000029" w:usb3="00000000" w:csb0="200101FF" w:csb1="2028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87F40"/>
    <w:multiLevelType w:val="singleLevel"/>
    <w:tmpl w:val="E7F87F40"/>
    <w:lvl w:ilvl="0" w:tentative="0">
      <w:start w:val="1"/>
      <w:numFmt w:val="decimal"/>
      <w:lvlText w:val="%1."/>
      <w:lvlJc w:val="left"/>
      <w:pPr>
        <w:tabs>
          <w:tab w:val="left" w:pos="312"/>
        </w:tabs>
      </w:pPr>
    </w:lvl>
  </w:abstractNum>
  <w:abstractNum w:abstractNumId="1">
    <w:nsid w:val="FFB8C580"/>
    <w:multiLevelType w:val="singleLevel"/>
    <w:tmpl w:val="FFB8C580"/>
    <w:lvl w:ilvl="0" w:tentative="0">
      <w:start w:val="1"/>
      <w:numFmt w:val="decimal"/>
      <w:lvlText w:val="%1."/>
      <w:lvlJc w:val="left"/>
      <w:pPr>
        <w:tabs>
          <w:tab w:val="left" w:pos="312"/>
        </w:tabs>
      </w:pPr>
    </w:lvl>
  </w:abstractNum>
  <w:abstractNum w:abstractNumId="2">
    <w:nsid w:val="3CBC9044"/>
    <w:multiLevelType w:val="singleLevel"/>
    <w:tmpl w:val="3CBC9044"/>
    <w:lvl w:ilvl="0" w:tentative="0">
      <w:start w:val="1"/>
      <w:numFmt w:val="bullet"/>
      <w:lvlText w:val=""/>
      <w:lvlJc w:val="left"/>
      <w:pPr>
        <w:ind w:left="987" w:hanging="420"/>
      </w:pPr>
      <w:rPr>
        <w:rFonts w:hint="default" w:ascii="Wingdings" w:hAnsi="Wingdings"/>
      </w:rPr>
    </w:lvl>
  </w:abstractNum>
  <w:abstractNum w:abstractNumId="3">
    <w:nsid w:val="4EBBCE57"/>
    <w:multiLevelType w:val="singleLevel"/>
    <w:tmpl w:val="4EBBCE57"/>
    <w:lvl w:ilvl="0" w:tentative="0">
      <w:start w:val="4"/>
      <w:numFmt w:val="decimal"/>
      <w:suff w:val="nothing"/>
      <w:lvlText w:val="%1、"/>
      <w:lvlJc w:val="left"/>
    </w:lvl>
  </w:abstractNum>
  <w:abstractNum w:abstractNumId="4">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hZTM4MDQ0MjE0NzZkMDgxNGZjMjYxNzEzNTkwZWIifQ=="/>
  </w:docVars>
  <w:rsids>
    <w:rsidRoot w:val="006910C0"/>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28D"/>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104D"/>
    <w:rsid w:val="00083950"/>
    <w:rsid w:val="0008452F"/>
    <w:rsid w:val="00084E8E"/>
    <w:rsid w:val="00085A68"/>
    <w:rsid w:val="00090625"/>
    <w:rsid w:val="00090948"/>
    <w:rsid w:val="00091CD1"/>
    <w:rsid w:val="0009460E"/>
    <w:rsid w:val="000951D4"/>
    <w:rsid w:val="000A1AB6"/>
    <w:rsid w:val="000A2146"/>
    <w:rsid w:val="000A2930"/>
    <w:rsid w:val="000A3276"/>
    <w:rsid w:val="000A3C35"/>
    <w:rsid w:val="000A3E30"/>
    <w:rsid w:val="000A5876"/>
    <w:rsid w:val="000A61D0"/>
    <w:rsid w:val="000A6C67"/>
    <w:rsid w:val="000A6DB8"/>
    <w:rsid w:val="000A7596"/>
    <w:rsid w:val="000B056F"/>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4571"/>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2FA7"/>
    <w:rsid w:val="001833ED"/>
    <w:rsid w:val="00187031"/>
    <w:rsid w:val="00191EA4"/>
    <w:rsid w:val="00192B6C"/>
    <w:rsid w:val="00192C30"/>
    <w:rsid w:val="0019381E"/>
    <w:rsid w:val="00194CF5"/>
    <w:rsid w:val="0019503C"/>
    <w:rsid w:val="00195D94"/>
    <w:rsid w:val="00196F7B"/>
    <w:rsid w:val="001971CB"/>
    <w:rsid w:val="0019795C"/>
    <w:rsid w:val="001A053A"/>
    <w:rsid w:val="001A146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24E7"/>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6708"/>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0CEC"/>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6E9A"/>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70D"/>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2757"/>
    <w:rsid w:val="00343646"/>
    <w:rsid w:val="00344CCB"/>
    <w:rsid w:val="00345897"/>
    <w:rsid w:val="00351BFC"/>
    <w:rsid w:val="0035575E"/>
    <w:rsid w:val="003565B4"/>
    <w:rsid w:val="00356D6C"/>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05A"/>
    <w:rsid w:val="003967A4"/>
    <w:rsid w:val="00397FA3"/>
    <w:rsid w:val="003A1596"/>
    <w:rsid w:val="003A317E"/>
    <w:rsid w:val="003A345B"/>
    <w:rsid w:val="003A49EE"/>
    <w:rsid w:val="003A674D"/>
    <w:rsid w:val="003A7123"/>
    <w:rsid w:val="003B102E"/>
    <w:rsid w:val="003B2167"/>
    <w:rsid w:val="003B4529"/>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433"/>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17EC0"/>
    <w:rsid w:val="00420CDF"/>
    <w:rsid w:val="0042280B"/>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4D36"/>
    <w:rsid w:val="00456784"/>
    <w:rsid w:val="00456DCA"/>
    <w:rsid w:val="00461140"/>
    <w:rsid w:val="004611DB"/>
    <w:rsid w:val="004658B0"/>
    <w:rsid w:val="0046614B"/>
    <w:rsid w:val="00467FD7"/>
    <w:rsid w:val="00470073"/>
    <w:rsid w:val="004730F8"/>
    <w:rsid w:val="00474353"/>
    <w:rsid w:val="00474555"/>
    <w:rsid w:val="004750F4"/>
    <w:rsid w:val="00476A18"/>
    <w:rsid w:val="00476CB1"/>
    <w:rsid w:val="00480A48"/>
    <w:rsid w:val="00482501"/>
    <w:rsid w:val="00482E7D"/>
    <w:rsid w:val="00484395"/>
    <w:rsid w:val="004865FB"/>
    <w:rsid w:val="00486C03"/>
    <w:rsid w:val="00491AB3"/>
    <w:rsid w:val="00497717"/>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395"/>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36BC"/>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A9A"/>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686"/>
    <w:rsid w:val="005C0CD6"/>
    <w:rsid w:val="005C0CFD"/>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0C6D"/>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113"/>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3C08"/>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1C0C"/>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3137"/>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4054"/>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2D6"/>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1915"/>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97B"/>
    <w:rsid w:val="009F1E9F"/>
    <w:rsid w:val="009F3793"/>
    <w:rsid w:val="009F54F2"/>
    <w:rsid w:val="00A0056B"/>
    <w:rsid w:val="00A01657"/>
    <w:rsid w:val="00A01C65"/>
    <w:rsid w:val="00A0213D"/>
    <w:rsid w:val="00A022A2"/>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2ECA"/>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206"/>
    <w:rsid w:val="00A63F53"/>
    <w:rsid w:val="00A67D9B"/>
    <w:rsid w:val="00A7111E"/>
    <w:rsid w:val="00A72E70"/>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0D5"/>
    <w:rsid w:val="00AF63EB"/>
    <w:rsid w:val="00B016D2"/>
    <w:rsid w:val="00B018EC"/>
    <w:rsid w:val="00B0225B"/>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1DAD"/>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01F6"/>
    <w:rsid w:val="00B615F2"/>
    <w:rsid w:val="00B61A28"/>
    <w:rsid w:val="00B64B32"/>
    <w:rsid w:val="00B65C6D"/>
    <w:rsid w:val="00B66B06"/>
    <w:rsid w:val="00B67862"/>
    <w:rsid w:val="00B70634"/>
    <w:rsid w:val="00B707CE"/>
    <w:rsid w:val="00B70BE4"/>
    <w:rsid w:val="00B7173D"/>
    <w:rsid w:val="00B73880"/>
    <w:rsid w:val="00B73CF1"/>
    <w:rsid w:val="00B745B3"/>
    <w:rsid w:val="00B7599D"/>
    <w:rsid w:val="00B7648F"/>
    <w:rsid w:val="00B76E13"/>
    <w:rsid w:val="00B76EB8"/>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08C"/>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5CE"/>
    <w:rsid w:val="00BE2AE8"/>
    <w:rsid w:val="00BE2D55"/>
    <w:rsid w:val="00BE38DD"/>
    <w:rsid w:val="00BE4AB1"/>
    <w:rsid w:val="00BE5166"/>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3939"/>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874CB"/>
    <w:rsid w:val="00C91517"/>
    <w:rsid w:val="00C92095"/>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D7147"/>
    <w:rsid w:val="00CE0DF1"/>
    <w:rsid w:val="00CE3786"/>
    <w:rsid w:val="00CE4027"/>
    <w:rsid w:val="00CE47CC"/>
    <w:rsid w:val="00CE68F6"/>
    <w:rsid w:val="00CE75F6"/>
    <w:rsid w:val="00CE7E27"/>
    <w:rsid w:val="00CF22AC"/>
    <w:rsid w:val="00CF2F0A"/>
    <w:rsid w:val="00CF79E8"/>
    <w:rsid w:val="00D015AA"/>
    <w:rsid w:val="00D021B8"/>
    <w:rsid w:val="00D03D90"/>
    <w:rsid w:val="00D04024"/>
    <w:rsid w:val="00D043EB"/>
    <w:rsid w:val="00D05739"/>
    <w:rsid w:val="00D06705"/>
    <w:rsid w:val="00D06A9B"/>
    <w:rsid w:val="00D0750D"/>
    <w:rsid w:val="00D07DD8"/>
    <w:rsid w:val="00D10302"/>
    <w:rsid w:val="00D1038F"/>
    <w:rsid w:val="00D10BF7"/>
    <w:rsid w:val="00D10FEB"/>
    <w:rsid w:val="00D140A0"/>
    <w:rsid w:val="00D203D1"/>
    <w:rsid w:val="00D2057A"/>
    <w:rsid w:val="00D21D98"/>
    <w:rsid w:val="00D2317F"/>
    <w:rsid w:val="00D231A9"/>
    <w:rsid w:val="00D238DD"/>
    <w:rsid w:val="00D24391"/>
    <w:rsid w:val="00D2472B"/>
    <w:rsid w:val="00D253DD"/>
    <w:rsid w:val="00D26FFA"/>
    <w:rsid w:val="00D3198B"/>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1AC8"/>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E7CCC"/>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272D5"/>
    <w:rsid w:val="00E305F9"/>
    <w:rsid w:val="00E306AC"/>
    <w:rsid w:val="00E34446"/>
    <w:rsid w:val="00E3633B"/>
    <w:rsid w:val="00E36870"/>
    <w:rsid w:val="00E374E1"/>
    <w:rsid w:val="00E4113D"/>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266"/>
    <w:rsid w:val="00E92FCA"/>
    <w:rsid w:val="00E95CAA"/>
    <w:rsid w:val="00EA0A39"/>
    <w:rsid w:val="00EA0EB2"/>
    <w:rsid w:val="00EA236F"/>
    <w:rsid w:val="00EA3023"/>
    <w:rsid w:val="00EA37C9"/>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4EF9"/>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47C"/>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6BF7DC5"/>
    <w:rsid w:val="076F7635"/>
    <w:rsid w:val="085D1644"/>
    <w:rsid w:val="09305ADA"/>
    <w:rsid w:val="0CB654AD"/>
    <w:rsid w:val="0E8013B7"/>
    <w:rsid w:val="10D604C6"/>
    <w:rsid w:val="11B515E0"/>
    <w:rsid w:val="135F0966"/>
    <w:rsid w:val="13A53267"/>
    <w:rsid w:val="13F970D2"/>
    <w:rsid w:val="143A4F2F"/>
    <w:rsid w:val="14AA4136"/>
    <w:rsid w:val="1572463D"/>
    <w:rsid w:val="15D46CBD"/>
    <w:rsid w:val="163A420B"/>
    <w:rsid w:val="17FB2C27"/>
    <w:rsid w:val="190F0738"/>
    <w:rsid w:val="19413B26"/>
    <w:rsid w:val="199E7D0E"/>
    <w:rsid w:val="1B4F7512"/>
    <w:rsid w:val="1C6D3688"/>
    <w:rsid w:val="1C974DF7"/>
    <w:rsid w:val="1CC63D0A"/>
    <w:rsid w:val="1CD83537"/>
    <w:rsid w:val="1D557344"/>
    <w:rsid w:val="1DBE2D72"/>
    <w:rsid w:val="1DC2081A"/>
    <w:rsid w:val="1DD94266"/>
    <w:rsid w:val="1F9D0947"/>
    <w:rsid w:val="1FB7178C"/>
    <w:rsid w:val="1FC87893"/>
    <w:rsid w:val="1FFB29C6"/>
    <w:rsid w:val="22AF3620"/>
    <w:rsid w:val="22E70AD4"/>
    <w:rsid w:val="22F05B25"/>
    <w:rsid w:val="231A0405"/>
    <w:rsid w:val="24F1508D"/>
    <w:rsid w:val="266F634F"/>
    <w:rsid w:val="26ED7BDF"/>
    <w:rsid w:val="291059EA"/>
    <w:rsid w:val="2A720B27"/>
    <w:rsid w:val="2A952A67"/>
    <w:rsid w:val="2BBF12EC"/>
    <w:rsid w:val="2BC649D9"/>
    <w:rsid w:val="2C302A48"/>
    <w:rsid w:val="2C622E1D"/>
    <w:rsid w:val="2DFFE73E"/>
    <w:rsid w:val="2EBD433B"/>
    <w:rsid w:val="33DBD433"/>
    <w:rsid w:val="3515160D"/>
    <w:rsid w:val="35DC59EE"/>
    <w:rsid w:val="36CD91C7"/>
    <w:rsid w:val="39B50A30"/>
    <w:rsid w:val="3B673FAC"/>
    <w:rsid w:val="3B7807FE"/>
    <w:rsid w:val="3C7D00D8"/>
    <w:rsid w:val="3CA06C0C"/>
    <w:rsid w:val="3D404AB5"/>
    <w:rsid w:val="3EA25851"/>
    <w:rsid w:val="3F6C3757"/>
    <w:rsid w:val="3FC45529"/>
    <w:rsid w:val="405D6A10"/>
    <w:rsid w:val="41676AB4"/>
    <w:rsid w:val="41DA6594"/>
    <w:rsid w:val="444C1A75"/>
    <w:rsid w:val="44A3526F"/>
    <w:rsid w:val="44B032F4"/>
    <w:rsid w:val="457D25F7"/>
    <w:rsid w:val="460C7C2A"/>
    <w:rsid w:val="468341CD"/>
    <w:rsid w:val="46EC5E46"/>
    <w:rsid w:val="472C2589"/>
    <w:rsid w:val="47A85730"/>
    <w:rsid w:val="48B14AB8"/>
    <w:rsid w:val="4A760AEB"/>
    <w:rsid w:val="4C2A705C"/>
    <w:rsid w:val="4F3162CA"/>
    <w:rsid w:val="4F4E3061"/>
    <w:rsid w:val="50504BB7"/>
    <w:rsid w:val="50D95873"/>
    <w:rsid w:val="526102AF"/>
    <w:rsid w:val="528444DA"/>
    <w:rsid w:val="5345477B"/>
    <w:rsid w:val="537745D5"/>
    <w:rsid w:val="552306F6"/>
    <w:rsid w:val="563A7E9B"/>
    <w:rsid w:val="566E3FE9"/>
    <w:rsid w:val="56837A94"/>
    <w:rsid w:val="56E352D5"/>
    <w:rsid w:val="57E435FE"/>
    <w:rsid w:val="582D0655"/>
    <w:rsid w:val="5951205C"/>
    <w:rsid w:val="59D079E8"/>
    <w:rsid w:val="59D40847"/>
    <w:rsid w:val="5AE37F25"/>
    <w:rsid w:val="5BB90861"/>
    <w:rsid w:val="5C8A1451"/>
    <w:rsid w:val="5CB23D47"/>
    <w:rsid w:val="5ED05841"/>
    <w:rsid w:val="5FAF09C4"/>
    <w:rsid w:val="5FCB4D1D"/>
    <w:rsid w:val="608C4642"/>
    <w:rsid w:val="61047A23"/>
    <w:rsid w:val="616D55C9"/>
    <w:rsid w:val="62795572"/>
    <w:rsid w:val="64DD6417"/>
    <w:rsid w:val="66004745"/>
    <w:rsid w:val="677A0A3F"/>
    <w:rsid w:val="6917406C"/>
    <w:rsid w:val="6A567F20"/>
    <w:rsid w:val="6BE85984"/>
    <w:rsid w:val="6CD97953"/>
    <w:rsid w:val="6ED30FD7"/>
    <w:rsid w:val="6FC1B843"/>
    <w:rsid w:val="6FFF7BD7"/>
    <w:rsid w:val="70477E4B"/>
    <w:rsid w:val="727D78FD"/>
    <w:rsid w:val="73CC655F"/>
    <w:rsid w:val="73FA8648"/>
    <w:rsid w:val="75957445"/>
    <w:rsid w:val="75D01AE1"/>
    <w:rsid w:val="75F47C0F"/>
    <w:rsid w:val="76522B87"/>
    <w:rsid w:val="771340C5"/>
    <w:rsid w:val="77524363"/>
    <w:rsid w:val="77B917B5"/>
    <w:rsid w:val="77E12415"/>
    <w:rsid w:val="77F75380"/>
    <w:rsid w:val="78703975"/>
    <w:rsid w:val="7A4647B1"/>
    <w:rsid w:val="7BD717AA"/>
    <w:rsid w:val="7BDC08A0"/>
    <w:rsid w:val="7BE420FD"/>
    <w:rsid w:val="7D0D296B"/>
    <w:rsid w:val="7D417D69"/>
    <w:rsid w:val="7D4E0B54"/>
    <w:rsid w:val="7D503E78"/>
    <w:rsid w:val="7E0160D4"/>
    <w:rsid w:val="7EBE0DB0"/>
    <w:rsid w:val="7EE822DB"/>
    <w:rsid w:val="7F4D213E"/>
    <w:rsid w:val="8E3FA652"/>
    <w:rsid w:val="94EFC577"/>
    <w:rsid w:val="B6EF987A"/>
    <w:rsid w:val="B77ED8BE"/>
    <w:rsid w:val="B79A69B2"/>
    <w:rsid w:val="BF7F098D"/>
    <w:rsid w:val="CBBF5798"/>
    <w:rsid w:val="DAFF8EED"/>
    <w:rsid w:val="DFB20BDA"/>
    <w:rsid w:val="DFFE9E56"/>
    <w:rsid w:val="FCFD1710"/>
    <w:rsid w:val="FDDF48E4"/>
    <w:rsid w:val="FDFE0426"/>
    <w:rsid w:val="FDFF62B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0"/>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0"/>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spacing w:line="240" w:lineRule="auto"/>
      <w:ind w:firstLine="420"/>
    </w:pPr>
    <w:rPr>
      <w:rFonts w:ascii="Calibri" w:hAnsi="Calibri"/>
      <w:sz w:val="21"/>
      <w:szCs w:val="22"/>
    </w:rPr>
  </w:style>
  <w:style w:type="character" w:customStyle="1" w:styleId="135">
    <w:name w:val="font61"/>
    <w:basedOn w:val="37"/>
    <w:qFormat/>
    <w:uiPriority w:val="0"/>
    <w:rPr>
      <w:rFonts w:hint="eastAsia" w:ascii="宋体" w:hAnsi="宋体" w:eastAsia="宋体"/>
      <w:color w:val="000000"/>
      <w:sz w:val="22"/>
      <w:szCs w:val="22"/>
      <w:u w:val="none"/>
    </w:rPr>
  </w:style>
  <w:style w:type="paragraph" w:customStyle="1" w:styleId="136">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emf"/><Relationship Id="rId13" Type="http://schemas.openxmlformats.org/officeDocument/2006/relationships/package" Target="embeddings/Microsoft_Visio___1.vsdx"/><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511D0F15-B2E7-4516-98A7-B315ABC2121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2597</Words>
  <Characters>14806</Characters>
  <Lines>123</Lines>
  <Paragraphs>34</Paragraphs>
  <TotalTime>75</TotalTime>
  <ScaleCrop>false</ScaleCrop>
  <LinksUpToDate>false</LinksUpToDate>
  <CharactersWithSpaces>17369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2026-01-20T17:46:00Z</dcterms:created>
  <dcterms:modified xsi:type="dcterms:W3CDTF">2026-03-31T10:28:23Z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BBB038C182D34E968985F9B5F61252EB</vt:lpwstr>
  </property>
</Properties>
</file>