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B737E">
      <w:pPr>
        <w:pStyle w:val="13"/>
        <w:spacing w:before="312" w:after="312" w:line="360" w:lineRule="auto"/>
        <w:jc w:val="left"/>
        <w:rPr>
          <w:rFonts w:ascii="仿宋" w:hAnsi="仿宋" w:eastAsia="仿宋"/>
          <w:b w:val="0"/>
          <w:bCs/>
          <w:sz w:val="32"/>
          <w:szCs w:val="32"/>
        </w:rPr>
      </w:pPr>
      <w:bookmarkStart w:id="0" w:name="_Toc71239888"/>
      <w:bookmarkStart w:id="1" w:name="_Toc64642713"/>
    </w:p>
    <w:p w14:paraId="36036889">
      <w:pPr>
        <w:spacing w:line="276" w:lineRule="auto"/>
        <w:jc w:val="center"/>
        <w:rPr>
          <w:rFonts w:ascii="黑体" w:hAnsi="黑体" w:eastAsia="黑体"/>
          <w:sz w:val="48"/>
          <w:szCs w:val="48"/>
        </w:rPr>
      </w:pPr>
    </w:p>
    <w:p w14:paraId="181605C2">
      <w:pPr>
        <w:spacing w:line="276" w:lineRule="auto"/>
        <w:rPr>
          <w:rFonts w:ascii="黑体" w:hAnsi="黑体" w:eastAsia="黑体"/>
          <w:sz w:val="48"/>
          <w:szCs w:val="48"/>
        </w:rPr>
      </w:pPr>
    </w:p>
    <w:p w14:paraId="3B3C91C0">
      <w:pPr>
        <w:spacing w:line="276" w:lineRule="auto"/>
        <w:jc w:val="center"/>
        <w:rPr>
          <w:rFonts w:ascii="黑体" w:hAnsi="黑体" w:eastAsia="黑体"/>
          <w:sz w:val="52"/>
          <w:szCs w:val="52"/>
        </w:rPr>
      </w:pPr>
      <w:r>
        <w:rPr>
          <w:rFonts w:hint="eastAsia" w:ascii="黑体" w:hAnsi="黑体" w:eastAsia="黑体"/>
          <w:sz w:val="52"/>
          <w:szCs w:val="52"/>
        </w:rPr>
        <w:t>上海市政务云专业服务费</w:t>
      </w:r>
    </w:p>
    <w:p w14:paraId="3CA5285E">
      <w:pPr>
        <w:spacing w:line="276" w:lineRule="auto"/>
        <w:jc w:val="center"/>
        <w:rPr>
          <w:rFonts w:ascii="黑体" w:hAnsi="黑体" w:eastAsia="黑体"/>
          <w:sz w:val="52"/>
          <w:szCs w:val="52"/>
        </w:rPr>
      </w:pPr>
    </w:p>
    <w:p w14:paraId="51B58742">
      <w:pPr>
        <w:spacing w:line="276" w:lineRule="auto"/>
        <w:jc w:val="center"/>
        <w:rPr>
          <w:rFonts w:ascii="黑体" w:hAnsi="黑体" w:eastAsia="黑体"/>
          <w:sz w:val="52"/>
          <w:szCs w:val="52"/>
        </w:rPr>
      </w:pPr>
      <w:r>
        <w:rPr>
          <w:rFonts w:ascii="黑体" w:hAnsi="黑体" w:eastAsia="黑体"/>
          <w:sz w:val="52"/>
          <w:szCs w:val="52"/>
        </w:rPr>
        <w:t>招标技术需求书</w:t>
      </w:r>
    </w:p>
    <w:p w14:paraId="19FC75D0">
      <w:pPr>
        <w:spacing w:line="276" w:lineRule="auto"/>
        <w:jc w:val="center"/>
        <w:rPr>
          <w:rFonts w:ascii="黑体" w:hAnsi="黑体" w:eastAsia="黑体"/>
          <w:sz w:val="52"/>
          <w:szCs w:val="52"/>
        </w:rPr>
      </w:pPr>
    </w:p>
    <w:p w14:paraId="2DA7E391"/>
    <w:p w14:paraId="499BEFF7">
      <w:pPr>
        <w:pStyle w:val="3"/>
        <w:numPr>
          <w:ilvl w:val="0"/>
          <w:numId w:val="4"/>
        </w:numPr>
        <w:spacing w:line="276" w:lineRule="auto"/>
        <w:rPr>
          <w:rFonts w:hint="default" w:ascii="宋体" w:hAnsi="宋体"/>
        </w:rPr>
      </w:pPr>
      <w:r>
        <w:rPr>
          <w:rFonts w:ascii="宋体" w:hAnsi="宋体"/>
        </w:rPr>
        <w:t>项目总体要求</w:t>
      </w:r>
      <w:bookmarkEnd w:id="0"/>
      <w:bookmarkEnd w:id="1"/>
    </w:p>
    <w:p w14:paraId="560F7A28">
      <w:pPr>
        <w:spacing w:line="276" w:lineRule="auto"/>
        <w:ind w:left="420" w:firstLine="420"/>
      </w:pPr>
      <w:bookmarkStart w:id="2" w:name="_Toc62217698"/>
      <w:bookmarkStart w:id="3" w:name="_Toc2038844687"/>
      <w:r>
        <w:rPr>
          <w:rFonts w:hint="eastAsia"/>
        </w:rPr>
        <w:t>本项目旨在全面释放上海市级政务云平台服务潜力，显著提升基础设施效能水平，保障资源高效稳定运行。核心目标是推动市政府各部门实现基础设施共建共用、信息系统整体部署、数据资源汇聚共享、业务应用高效协同，深化政务大数据开发利用。通过上述举措，为政府管理和公共服务提供坚实支撑，持续优化为民服务水平，有力驱动政府数字化转型与现代治理能力提升。因本项目服务内容为针对上海市、区两级政务云云服务商的综合监管工作，故上海市、区两级政务云服务商及其关联企业不得参加本项目投标。</w:t>
      </w:r>
    </w:p>
    <w:p w14:paraId="45ECE763">
      <w:pPr>
        <w:pStyle w:val="4"/>
        <w:numPr>
          <w:ilvl w:val="1"/>
          <w:numId w:val="5"/>
        </w:numPr>
        <w:tabs>
          <w:tab w:val="left" w:pos="1260"/>
          <w:tab w:val="clear" w:pos="840"/>
        </w:tabs>
        <w:ind w:left="720" w:hanging="720" w:hangingChars="200"/>
        <w:rPr>
          <w:rFonts w:ascii="宋体" w:hAnsi="宋体"/>
          <w:lang w:eastAsia="zh-CN"/>
        </w:rPr>
      </w:pPr>
      <w:r>
        <w:rPr>
          <w:rFonts w:ascii="宋体" w:hAnsi="宋体"/>
          <w:lang w:eastAsia="zh-CN"/>
        </w:rPr>
        <w:t>项目总体服务要求</w:t>
      </w:r>
    </w:p>
    <w:p w14:paraId="4D57F334">
      <w:pPr>
        <w:widowControl/>
        <w:numPr>
          <w:ilvl w:val="0"/>
          <w:numId w:val="6"/>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的服务范围为</w:t>
      </w:r>
      <w:r>
        <w:rPr>
          <w:rFonts w:hint="eastAsia" w:ascii="宋体" w:hAnsi="宋体"/>
          <w:lang w:val="en-US" w:eastAsia="zh-CN"/>
        </w:rPr>
        <w:t>2026-2027服务年度</w:t>
      </w:r>
      <w:r>
        <w:rPr>
          <w:rFonts w:hint="eastAsia" w:ascii="宋体" w:hAnsi="宋体"/>
        </w:rPr>
        <w:t>上海市政务云基础设施服务</w:t>
      </w:r>
      <w:r>
        <w:rPr>
          <w:rFonts w:hint="eastAsia" w:ascii="宋体" w:hAnsi="宋体"/>
          <w:lang w:val="en-US" w:eastAsia="zh-CN"/>
        </w:rPr>
        <w:t>项目</w:t>
      </w:r>
      <w:r>
        <w:rPr>
          <w:rFonts w:hint="eastAsia" w:ascii="宋体" w:hAnsi="宋体"/>
        </w:rPr>
        <w:t>城市服务类</w:t>
      </w:r>
      <w:r>
        <w:rPr>
          <w:rFonts w:ascii="宋体" w:hAnsi="宋体"/>
        </w:rPr>
        <w:t>、民生经济类、</w:t>
      </w:r>
      <w:r>
        <w:rPr>
          <w:rFonts w:hint="eastAsia" w:ascii="宋体" w:hAnsi="宋体"/>
        </w:rPr>
        <w:t>创新能力类。</w:t>
      </w:r>
    </w:p>
    <w:p w14:paraId="1189AA7C">
      <w:pPr>
        <w:widowControl/>
        <w:numPr>
          <w:ilvl w:val="0"/>
          <w:numId w:val="6"/>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应通过技术或管理手段</w:t>
      </w:r>
      <w:r>
        <w:rPr>
          <w:rFonts w:ascii="宋体" w:hAnsi="宋体"/>
        </w:rPr>
        <w:t>，</w:t>
      </w:r>
      <w:r>
        <w:rPr>
          <w:rFonts w:hint="eastAsia" w:ascii="宋体" w:hAnsi="宋体"/>
        </w:rPr>
        <w:t>协助</w:t>
      </w:r>
      <w:r>
        <w:rPr>
          <w:rFonts w:ascii="宋体" w:hAnsi="宋体"/>
        </w:rPr>
        <w:t>采购人</w:t>
      </w:r>
      <w:r>
        <w:rPr>
          <w:rFonts w:hint="eastAsia" w:ascii="宋体" w:hAnsi="宋体"/>
        </w:rPr>
        <w:t>不断提升云平台的服务水平</w:t>
      </w:r>
      <w:r>
        <w:rPr>
          <w:rFonts w:ascii="宋体" w:hAnsi="宋体"/>
        </w:rPr>
        <w:t>，</w:t>
      </w:r>
      <w:r>
        <w:rPr>
          <w:rFonts w:hint="eastAsia" w:ascii="宋体" w:hAnsi="宋体"/>
        </w:rPr>
        <w:t>提升政务云使用单位的满意度。</w:t>
      </w:r>
    </w:p>
    <w:p w14:paraId="431AD6AC">
      <w:pPr>
        <w:widowControl/>
        <w:numPr>
          <w:ilvl w:val="0"/>
          <w:numId w:val="6"/>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应通过技术或管理手段</w:t>
      </w:r>
      <w:r>
        <w:rPr>
          <w:rFonts w:ascii="宋体" w:hAnsi="宋体"/>
        </w:rPr>
        <w:t>，</w:t>
      </w:r>
      <w:r>
        <w:rPr>
          <w:rFonts w:hint="eastAsia" w:ascii="宋体" w:hAnsi="宋体"/>
        </w:rPr>
        <w:t>协助</w:t>
      </w:r>
      <w:r>
        <w:rPr>
          <w:rFonts w:ascii="宋体" w:hAnsi="宋体"/>
        </w:rPr>
        <w:t>采购人</w:t>
      </w:r>
      <w:r>
        <w:rPr>
          <w:rFonts w:hint="eastAsia" w:ascii="宋体" w:hAnsi="宋体"/>
        </w:rPr>
        <w:t>确保政务云使用单位合理、合规、高效的利用政务云资源</w:t>
      </w:r>
      <w:r>
        <w:rPr>
          <w:rFonts w:ascii="宋体" w:hAnsi="宋体"/>
        </w:rPr>
        <w:t>。</w:t>
      </w:r>
    </w:p>
    <w:p w14:paraId="623CE072">
      <w:pPr>
        <w:widowControl/>
        <w:numPr>
          <w:ilvl w:val="0"/>
          <w:numId w:val="6"/>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应通过技术或管理手段</w:t>
      </w:r>
      <w:r>
        <w:rPr>
          <w:rFonts w:ascii="宋体" w:hAnsi="宋体"/>
        </w:rPr>
        <w:t>，</w:t>
      </w:r>
      <w:r>
        <w:rPr>
          <w:rFonts w:hint="eastAsia" w:ascii="宋体" w:hAnsi="宋体"/>
        </w:rPr>
        <w:t>协助</w:t>
      </w:r>
      <w:r>
        <w:rPr>
          <w:rFonts w:ascii="宋体" w:hAnsi="宋体"/>
        </w:rPr>
        <w:t>采购人</w:t>
      </w:r>
      <w:r>
        <w:rPr>
          <w:rFonts w:hint="eastAsia" w:ascii="宋体" w:hAnsi="宋体"/>
        </w:rPr>
        <w:t>确保</w:t>
      </w:r>
      <w:r>
        <w:rPr>
          <w:rFonts w:ascii="宋体" w:hAnsi="宋体"/>
        </w:rPr>
        <w:t>市</w:t>
      </w:r>
      <w:r>
        <w:rPr>
          <w:rFonts w:hint="eastAsia" w:ascii="宋体" w:hAnsi="宋体"/>
        </w:rPr>
        <w:t>政务云</w:t>
      </w:r>
      <w:r>
        <w:rPr>
          <w:rFonts w:ascii="宋体" w:hAnsi="宋体"/>
        </w:rPr>
        <w:t>服务能力和安全能力持续符合国家相关法律法规、行政命令、政策和标准，保障市</w:t>
      </w:r>
      <w:r>
        <w:rPr>
          <w:rFonts w:hint="eastAsia" w:ascii="宋体" w:hAnsi="宋体"/>
        </w:rPr>
        <w:t>政务云运营</w:t>
      </w:r>
      <w:r>
        <w:rPr>
          <w:rFonts w:ascii="宋体" w:hAnsi="宋体"/>
        </w:rPr>
        <w:t>合规性。</w:t>
      </w:r>
    </w:p>
    <w:p w14:paraId="2A414FEA">
      <w:pPr>
        <w:widowControl/>
        <w:numPr>
          <w:ilvl w:val="0"/>
          <w:numId w:val="6"/>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应协助</w:t>
      </w:r>
      <w:r>
        <w:rPr>
          <w:rFonts w:ascii="宋体" w:hAnsi="宋体"/>
        </w:rPr>
        <w:t>采购人</w:t>
      </w:r>
      <w:r>
        <w:rPr>
          <w:rFonts w:hint="eastAsia" w:ascii="宋体" w:hAnsi="宋体"/>
        </w:rPr>
        <w:t>确保政务云服务商的各项服务持续满足招标文件、投标文件、合同以及附件的各项要求。</w:t>
      </w:r>
    </w:p>
    <w:p w14:paraId="4488EBCC">
      <w:pPr>
        <w:widowControl/>
        <w:numPr>
          <w:ilvl w:val="0"/>
          <w:numId w:val="6"/>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应协助</w:t>
      </w:r>
      <w:r>
        <w:rPr>
          <w:rFonts w:ascii="宋体" w:hAnsi="宋体"/>
        </w:rPr>
        <w:t>采购人，</w:t>
      </w:r>
      <w:r>
        <w:rPr>
          <w:rFonts w:hint="eastAsia" w:ascii="宋体" w:hAnsi="宋体"/>
        </w:rPr>
        <w:t>监督政务云服务商符合财政预算执行与绩效目标实现“双监控”管理要求。</w:t>
      </w:r>
    </w:p>
    <w:p w14:paraId="1A55374A">
      <w:pPr>
        <w:widowControl/>
        <w:numPr>
          <w:ilvl w:val="0"/>
          <w:numId w:val="6"/>
        </w:numPr>
        <w:topLinePunct/>
        <w:adjustRightInd w:val="0"/>
        <w:snapToGrid w:val="0"/>
        <w:spacing w:before="100" w:after="100" w:line="300" w:lineRule="exact"/>
        <w:ind w:left="420" w:hangingChars="200"/>
        <w:jc w:val="left"/>
        <w:rPr>
          <w:rFonts w:ascii="宋体" w:hAnsi="宋体"/>
        </w:rPr>
      </w:pPr>
      <w:r>
        <w:rPr>
          <w:rFonts w:ascii="宋体" w:hAnsi="宋体"/>
        </w:rPr>
        <w:t>中标人提供的服务应符合《GBT 36326-2018 信息技术 云计算云服务运营通用要求》、《GBT 37735-2019 信息技术 云计算云服务计量指标》、《GBT 37736-2019 信息技术 云计算云资源监控通用要求》、《GBT 37738-2019 信息技术 云计算云服务质量评价指标》、《GBT 37972-2019 信息安全 技术云计算服务运行监管框架》及其他国家法律法规及强制性规范所规定的要求。</w:t>
      </w:r>
    </w:p>
    <w:p w14:paraId="0D8A32A5">
      <w:pPr>
        <w:widowControl/>
        <w:numPr>
          <w:ilvl w:val="0"/>
          <w:numId w:val="6"/>
        </w:numPr>
        <w:topLinePunct/>
        <w:adjustRightInd w:val="0"/>
        <w:snapToGrid w:val="0"/>
        <w:spacing w:before="100" w:after="100" w:line="300" w:lineRule="exact"/>
        <w:ind w:left="420" w:hangingChars="200"/>
        <w:jc w:val="left"/>
        <w:rPr>
          <w:rFonts w:ascii="宋体" w:hAnsi="宋体"/>
        </w:rPr>
      </w:pPr>
      <w:r>
        <w:rPr>
          <w:rFonts w:ascii="宋体" w:hAnsi="宋体"/>
        </w:rPr>
        <w:t>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6E8FB322">
      <w:pPr>
        <w:widowControl/>
        <w:numPr>
          <w:ilvl w:val="0"/>
          <w:numId w:val="6"/>
        </w:numPr>
        <w:topLinePunct/>
        <w:adjustRightInd w:val="0"/>
        <w:snapToGrid w:val="0"/>
        <w:spacing w:before="100" w:after="100" w:line="300" w:lineRule="exact"/>
        <w:ind w:left="420" w:hangingChars="200"/>
        <w:jc w:val="left"/>
        <w:rPr>
          <w:rFonts w:ascii="宋体" w:hAnsi="宋体"/>
        </w:rPr>
      </w:pPr>
      <w:r>
        <w:rPr>
          <w:rFonts w:ascii="宋体" w:hAnsi="宋体"/>
        </w:rPr>
        <w:t>中标人确认的项目团队人员及数量，必须与投标文件承诺一致，未经采购人书面批准不得随意调换或撤离，若自行更换或撤离，按照合同违约处理。</w:t>
      </w:r>
    </w:p>
    <w:p w14:paraId="31E008B6">
      <w:pPr>
        <w:widowControl/>
        <w:numPr>
          <w:ilvl w:val="0"/>
          <w:numId w:val="6"/>
        </w:numPr>
        <w:topLinePunct/>
        <w:adjustRightInd w:val="0"/>
        <w:snapToGrid w:val="0"/>
        <w:spacing w:before="100" w:after="100" w:line="300" w:lineRule="exact"/>
        <w:ind w:left="420" w:hangingChars="200"/>
        <w:jc w:val="left"/>
        <w:rPr>
          <w:rFonts w:ascii="宋体" w:hAnsi="宋体"/>
        </w:rPr>
      </w:pPr>
      <w:r>
        <w:rPr>
          <w:rFonts w:hint="eastAsia" w:ascii="宋体" w:hAnsi="宋体"/>
        </w:rPr>
        <w:t>验收要求：</w:t>
      </w:r>
      <w:r>
        <w:rPr>
          <w:rFonts w:ascii="宋体" w:hAnsi="宋体"/>
        </w:rPr>
        <w:t>中标人</w:t>
      </w:r>
      <w:r>
        <w:rPr>
          <w:rFonts w:hint="eastAsia" w:ascii="宋体" w:hAnsi="宋体"/>
        </w:rPr>
        <w:t>提供的</w:t>
      </w:r>
      <w:r>
        <w:rPr>
          <w:rFonts w:hint="eastAsia" w:ascii="宋体" w:hAnsi="宋体"/>
          <w:lang w:val="en-US" w:eastAsia="zh-CN"/>
        </w:rPr>
        <w:t>专业服务</w:t>
      </w:r>
      <w:r>
        <w:rPr>
          <w:rFonts w:hint="eastAsia" w:ascii="宋体" w:hAnsi="宋体"/>
        </w:rPr>
        <w:t>符合本次招标要求，应当市</w:t>
      </w:r>
      <w:r>
        <w:rPr>
          <w:rFonts w:hint="eastAsia" w:ascii="宋体" w:hAnsi="宋体"/>
          <w:lang w:val="en-US" w:eastAsia="zh-CN"/>
        </w:rPr>
        <w:t>按照采购人的</w:t>
      </w:r>
      <w:r>
        <w:rPr>
          <w:rFonts w:hint="eastAsia" w:ascii="宋体" w:hAnsi="宋体"/>
        </w:rPr>
        <w:t>验收要求提供相关材料并指派负责人协助验收。当</w:t>
      </w:r>
      <w:r>
        <w:rPr>
          <w:rFonts w:ascii="宋体" w:hAnsi="宋体"/>
        </w:rPr>
        <w:t>中标人</w:t>
      </w:r>
      <w:r>
        <w:rPr>
          <w:rFonts w:hint="eastAsia" w:ascii="宋体" w:hAnsi="宋体"/>
        </w:rPr>
        <w:t>完成了所有服务内容后以书面形式向采购人提交验收申请，经采购人审核同意后提供所有服务文档以及本项目总结报告。采购人在收到服务提供方提交材料后应尽快组织开展验收工作。中标人未能通过验收的应当在15个工作日内进行整改，并自行承担相关整改费用，再次接受采购人的验收，直至符合约定要求。采购人有权委托第三方机构进行验收，对此中标人应当配合。如本项目连续3次验收未通过，采购人有权解除项目，并追究中标人的违约责任。</w:t>
      </w:r>
    </w:p>
    <w:p w14:paraId="0DDF425D">
      <w:pPr>
        <w:widowControl/>
        <w:numPr>
          <w:ilvl w:val="0"/>
          <w:numId w:val="6"/>
        </w:numPr>
        <w:topLinePunct/>
        <w:adjustRightInd w:val="0"/>
        <w:snapToGrid w:val="0"/>
        <w:spacing w:before="100" w:after="100" w:line="300" w:lineRule="exact"/>
        <w:ind w:left="420" w:hangingChars="200"/>
        <w:jc w:val="left"/>
        <w:rPr>
          <w:rFonts w:ascii="宋体" w:hAnsi="宋体"/>
        </w:rPr>
      </w:pPr>
      <w:r>
        <w:rPr>
          <w:rFonts w:hint="eastAsia" w:ascii="宋体" w:hAnsi="宋体"/>
          <w:lang w:val="en-US" w:eastAsia="zh-CN"/>
        </w:rPr>
        <w:t>中标人应当</w:t>
      </w:r>
      <w:r>
        <w:rPr>
          <w:rFonts w:ascii="宋体" w:hAnsi="宋体"/>
        </w:rPr>
        <w:t>满足知识产权方面的有关规定和要求。</w:t>
      </w:r>
    </w:p>
    <w:p w14:paraId="7B67D700">
      <w:pPr>
        <w:rPr>
          <w:rFonts w:ascii="宋体" w:hAnsi="宋体"/>
        </w:rPr>
      </w:pPr>
      <w:r>
        <w:rPr>
          <w:rFonts w:ascii="宋体" w:hAnsi="宋体"/>
        </w:rPr>
        <w:br w:type="page"/>
      </w:r>
    </w:p>
    <w:p w14:paraId="2B0B91DD">
      <w:pPr>
        <w:pStyle w:val="4"/>
        <w:numPr>
          <w:ilvl w:val="1"/>
          <w:numId w:val="5"/>
        </w:numPr>
        <w:tabs>
          <w:tab w:val="left" w:pos="1260"/>
          <w:tab w:val="clear" w:pos="840"/>
        </w:tabs>
        <w:ind w:left="720" w:hanging="720" w:hangingChars="200"/>
        <w:rPr>
          <w:rFonts w:ascii="宋体" w:hAnsi="宋体"/>
          <w:lang w:eastAsia="zh-CN"/>
        </w:rPr>
      </w:pPr>
      <w:bookmarkStart w:id="4" w:name="_Toc71239905"/>
      <w:bookmarkStart w:id="5" w:name="_Toc64623486"/>
      <w:bookmarkStart w:id="6" w:name="_Toc1952508964"/>
      <w:bookmarkStart w:id="7" w:name="_Toc62932992"/>
      <w:bookmarkStart w:id="8" w:name="_Toc63098430"/>
      <w:r>
        <w:rPr>
          <w:rFonts w:hint="eastAsia" w:ascii="宋体" w:hAnsi="宋体"/>
          <w:lang w:eastAsia="zh-CN"/>
        </w:rPr>
        <w:t>违约责任</w:t>
      </w:r>
      <w:bookmarkEnd w:id="4"/>
      <w:bookmarkEnd w:id="5"/>
      <w:bookmarkEnd w:id="6"/>
      <w:bookmarkEnd w:id="7"/>
      <w:bookmarkEnd w:id="8"/>
    </w:p>
    <w:p w14:paraId="41C5B206">
      <w:pPr>
        <w:pStyle w:val="4"/>
        <w:numPr>
          <w:ilvl w:val="0"/>
          <w:numId w:val="0"/>
        </w:numPr>
        <w:rPr>
          <w:rFonts w:ascii="宋体" w:hAnsi="宋体" w:cs="Arial"/>
          <w:bCs w:val="0"/>
          <w:kern w:val="2"/>
          <w:sz w:val="21"/>
          <w:szCs w:val="21"/>
          <w:lang w:eastAsia="zh-CN"/>
        </w:rPr>
      </w:pPr>
      <w:r>
        <w:rPr>
          <w:rFonts w:ascii="宋体" w:hAnsi="宋体" w:cs="Arial"/>
          <w:bCs w:val="0"/>
          <w:kern w:val="2"/>
          <w:sz w:val="21"/>
          <w:szCs w:val="21"/>
          <w:lang w:eastAsia="zh-CN"/>
        </w:rPr>
        <w:t>★中标人</w:t>
      </w:r>
      <w:r>
        <w:rPr>
          <w:rFonts w:hint="eastAsia" w:ascii="宋体" w:hAnsi="宋体" w:cs="Arial"/>
          <w:bCs w:val="0"/>
          <w:kern w:val="2"/>
          <w:sz w:val="21"/>
          <w:szCs w:val="21"/>
          <w:lang w:eastAsia="zh-CN"/>
        </w:rPr>
        <w:t>应当对以下项目违约责任条款作出无条件响应承诺。</w:t>
      </w:r>
    </w:p>
    <w:p w14:paraId="0950D027">
      <w:pPr>
        <w:widowControl/>
        <w:numPr>
          <w:ilvl w:val="0"/>
          <w:numId w:val="7"/>
        </w:numPr>
        <w:topLinePunct/>
        <w:adjustRightInd w:val="0"/>
        <w:snapToGrid w:val="0"/>
        <w:spacing w:before="100" w:after="100" w:line="300" w:lineRule="exact"/>
        <w:ind w:left="420" w:hangingChars="200"/>
        <w:jc w:val="left"/>
        <w:rPr>
          <w:rFonts w:ascii="宋体" w:hAnsi="宋体"/>
        </w:rPr>
      </w:pPr>
      <w:r>
        <w:rPr>
          <w:rFonts w:hint="eastAsia" w:ascii="宋体" w:hAnsi="宋体"/>
        </w:rPr>
        <w:t>政务云</w:t>
      </w:r>
      <w:r>
        <w:rPr>
          <w:rFonts w:hint="eastAsia" w:ascii="宋体" w:hAnsi="宋体"/>
          <w:lang w:val="en-US" w:eastAsia="zh-CN"/>
        </w:rPr>
        <w:t>专业</w:t>
      </w:r>
      <w:r>
        <w:rPr>
          <w:rFonts w:hint="eastAsia" w:ascii="宋体" w:hAnsi="宋体"/>
        </w:rPr>
        <w:t>服务是为了保障云平台更高效地发挥效能，提高政务云的服务水平、服务质量、运维成效和安全指标。如果由于中标人职责未到位导致的各项问题，</w:t>
      </w:r>
      <w:r>
        <w:rPr>
          <w:rFonts w:ascii="宋体" w:hAnsi="宋体"/>
        </w:rPr>
        <w:t>采购人</w:t>
      </w:r>
      <w:r>
        <w:rPr>
          <w:rFonts w:hint="eastAsia" w:ascii="宋体" w:hAnsi="宋体"/>
        </w:rPr>
        <w:t>将根据问题严重程度进行相应违约处理</w:t>
      </w:r>
      <w:r>
        <w:rPr>
          <w:rFonts w:ascii="宋体" w:hAnsi="宋体"/>
        </w:rPr>
        <w:t>。</w:t>
      </w:r>
    </w:p>
    <w:p w14:paraId="31E496BF">
      <w:pPr>
        <w:widowControl/>
        <w:numPr>
          <w:ilvl w:val="0"/>
          <w:numId w:val="7"/>
        </w:numPr>
        <w:topLinePunct/>
        <w:adjustRightInd w:val="0"/>
        <w:snapToGrid w:val="0"/>
        <w:spacing w:before="100" w:after="100" w:line="300" w:lineRule="exact"/>
        <w:ind w:left="420" w:hangingChars="200"/>
        <w:jc w:val="left"/>
        <w:rPr>
          <w:rFonts w:ascii="宋体" w:hAnsi="宋体"/>
        </w:rPr>
      </w:pPr>
      <w:r>
        <w:rPr>
          <w:rFonts w:hint="eastAsia" w:ascii="宋体" w:hAnsi="宋体"/>
        </w:rPr>
        <w:t>出现相关问题时，由采购人或由采购人指定的第三方机构界定责任边界和严重程度，政务云管理单位将依据问题严重程度对服务方给予罚款、中止合同或将该云服务商报财政部门备案。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853"/>
        <w:gridCol w:w="2841"/>
      </w:tblGrid>
      <w:tr w14:paraId="48A8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shd w:val="clear" w:color="auto" w:fill="D9D9D9"/>
            <w:vAlign w:val="center"/>
          </w:tcPr>
          <w:p w14:paraId="25BB53B5">
            <w:pPr>
              <w:jc w:val="center"/>
              <w:rPr>
                <w:rFonts w:ascii="宋体" w:hAnsi="宋体" w:cs="Times New Roman"/>
                <w:sz w:val="20"/>
                <w:szCs w:val="22"/>
              </w:rPr>
            </w:pPr>
            <w:r>
              <w:rPr>
                <w:rFonts w:ascii="宋体" w:hAnsi="宋体" w:cs="Times New Roman"/>
                <w:sz w:val="20"/>
                <w:szCs w:val="22"/>
              </w:rPr>
              <w:t>序号</w:t>
            </w:r>
          </w:p>
        </w:tc>
        <w:tc>
          <w:tcPr>
            <w:tcW w:w="4853" w:type="dxa"/>
            <w:shd w:val="clear" w:color="auto" w:fill="D9D9D9"/>
            <w:vAlign w:val="center"/>
          </w:tcPr>
          <w:p w14:paraId="370C3539">
            <w:pPr>
              <w:jc w:val="center"/>
              <w:rPr>
                <w:rFonts w:ascii="宋体" w:hAnsi="宋体" w:cs="Times New Roman"/>
                <w:sz w:val="20"/>
                <w:szCs w:val="22"/>
              </w:rPr>
            </w:pPr>
            <w:r>
              <w:rPr>
                <w:rFonts w:ascii="宋体" w:hAnsi="宋体" w:cs="Times New Roman"/>
                <w:sz w:val="20"/>
                <w:szCs w:val="22"/>
              </w:rPr>
              <w:t>违约条件</w:t>
            </w:r>
          </w:p>
        </w:tc>
        <w:tc>
          <w:tcPr>
            <w:tcW w:w="2841" w:type="dxa"/>
            <w:shd w:val="clear" w:color="auto" w:fill="D9D9D9"/>
            <w:vAlign w:val="center"/>
          </w:tcPr>
          <w:p w14:paraId="1EEA1F7F">
            <w:pPr>
              <w:jc w:val="center"/>
              <w:rPr>
                <w:rFonts w:ascii="宋体" w:hAnsi="宋体" w:cs="Times New Roman"/>
                <w:sz w:val="20"/>
                <w:szCs w:val="22"/>
              </w:rPr>
            </w:pPr>
            <w:r>
              <w:rPr>
                <w:rFonts w:ascii="宋体" w:hAnsi="宋体" w:cs="Times New Roman"/>
                <w:sz w:val="20"/>
                <w:szCs w:val="22"/>
              </w:rPr>
              <w:t>违约金</w:t>
            </w:r>
          </w:p>
        </w:tc>
      </w:tr>
      <w:tr w14:paraId="5D51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816" w:type="dxa"/>
            <w:vAlign w:val="center"/>
          </w:tcPr>
          <w:p w14:paraId="675C0EE2">
            <w:pPr>
              <w:jc w:val="center"/>
              <w:rPr>
                <w:rFonts w:ascii="宋体" w:hAnsi="宋体" w:cs="Times New Roman"/>
                <w:sz w:val="20"/>
                <w:szCs w:val="22"/>
              </w:rPr>
            </w:pPr>
            <w:r>
              <w:rPr>
                <w:rFonts w:ascii="宋体" w:hAnsi="宋体" w:cs="Times New Roman"/>
                <w:sz w:val="20"/>
                <w:szCs w:val="22"/>
              </w:rPr>
              <w:t>1</w:t>
            </w:r>
          </w:p>
        </w:tc>
        <w:tc>
          <w:tcPr>
            <w:tcW w:w="4853" w:type="dxa"/>
            <w:vAlign w:val="center"/>
          </w:tcPr>
          <w:p w14:paraId="01E1C0F5">
            <w:pPr>
              <w:jc w:val="center"/>
              <w:rPr>
                <w:rFonts w:ascii="宋体" w:hAnsi="宋体" w:cs="Times New Roman"/>
                <w:sz w:val="20"/>
                <w:szCs w:val="22"/>
              </w:rPr>
            </w:pPr>
            <w:r>
              <w:rPr>
                <w:rFonts w:hint="eastAsia" w:ascii="宋体" w:hAnsi="宋体" w:cs="Times New Roman"/>
                <w:sz w:val="20"/>
                <w:szCs w:val="22"/>
              </w:rPr>
              <w:t>因</w:t>
            </w:r>
            <w:r>
              <w:rPr>
                <w:rFonts w:hint="eastAsia" w:ascii="宋体" w:hAnsi="宋体" w:cs="Times New Roman"/>
                <w:sz w:val="20"/>
                <w:szCs w:val="22"/>
                <w:lang w:val="en-US" w:eastAsia="zh-CN"/>
              </w:rPr>
              <w:t>中标人专业服务</w:t>
            </w:r>
            <w:r>
              <w:rPr>
                <w:rFonts w:hint="eastAsia" w:ascii="宋体" w:hAnsi="宋体" w:cs="Times New Roman"/>
                <w:sz w:val="20"/>
                <w:szCs w:val="22"/>
              </w:rPr>
              <w:t>工作不到位导致云资源分配不合理</w:t>
            </w:r>
          </w:p>
        </w:tc>
        <w:tc>
          <w:tcPr>
            <w:tcW w:w="2841" w:type="dxa"/>
            <w:vAlign w:val="center"/>
          </w:tcPr>
          <w:p w14:paraId="21352D6A">
            <w:pPr>
              <w:jc w:val="center"/>
              <w:rPr>
                <w:rFonts w:ascii="宋体" w:hAnsi="宋体" w:cs="Times New Roman"/>
                <w:sz w:val="20"/>
                <w:szCs w:val="22"/>
              </w:rPr>
            </w:pPr>
            <w:r>
              <w:rPr>
                <w:rFonts w:ascii="宋体" w:hAnsi="宋体" w:cs="Times New Roman"/>
                <w:sz w:val="20"/>
                <w:szCs w:val="22"/>
              </w:rPr>
              <w:t>2 万元</w:t>
            </w:r>
          </w:p>
        </w:tc>
      </w:tr>
      <w:tr w14:paraId="4F91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6" w:type="dxa"/>
            <w:vAlign w:val="center"/>
          </w:tcPr>
          <w:p w14:paraId="1A57D9C0">
            <w:pPr>
              <w:jc w:val="center"/>
              <w:rPr>
                <w:rFonts w:ascii="宋体" w:hAnsi="宋体" w:cs="Times New Roman"/>
                <w:sz w:val="20"/>
                <w:szCs w:val="22"/>
              </w:rPr>
            </w:pPr>
            <w:r>
              <w:rPr>
                <w:rFonts w:ascii="宋体" w:hAnsi="宋体" w:cs="Times New Roman"/>
                <w:sz w:val="20"/>
                <w:szCs w:val="22"/>
              </w:rPr>
              <w:t>2</w:t>
            </w:r>
          </w:p>
        </w:tc>
        <w:tc>
          <w:tcPr>
            <w:tcW w:w="4853" w:type="dxa"/>
            <w:vAlign w:val="center"/>
          </w:tcPr>
          <w:p w14:paraId="6AA4E789">
            <w:pPr>
              <w:jc w:val="center"/>
              <w:rPr>
                <w:rFonts w:ascii="宋体" w:hAnsi="宋体" w:cs="Times New Roman"/>
                <w:sz w:val="20"/>
                <w:szCs w:val="22"/>
              </w:rPr>
            </w:pPr>
            <w:r>
              <w:rPr>
                <w:rFonts w:ascii="宋体" w:hAnsi="宋体" w:cs="Times New Roman"/>
                <w:sz w:val="20"/>
                <w:szCs w:val="22"/>
              </w:rPr>
              <w:t>依据本招标要求未能履行的具体条款</w:t>
            </w:r>
          </w:p>
        </w:tc>
        <w:tc>
          <w:tcPr>
            <w:tcW w:w="2841" w:type="dxa"/>
            <w:vAlign w:val="center"/>
          </w:tcPr>
          <w:p w14:paraId="7FF87FBE">
            <w:pPr>
              <w:jc w:val="center"/>
              <w:rPr>
                <w:rFonts w:ascii="宋体" w:hAnsi="宋体" w:cs="Times New Roman"/>
                <w:sz w:val="20"/>
                <w:szCs w:val="22"/>
              </w:rPr>
            </w:pPr>
            <w:r>
              <w:rPr>
                <w:rFonts w:ascii="宋体" w:hAnsi="宋体" w:cs="Times New Roman"/>
                <w:sz w:val="20"/>
                <w:szCs w:val="22"/>
              </w:rPr>
              <w:t>2 万元</w:t>
            </w:r>
          </w:p>
        </w:tc>
      </w:tr>
      <w:tr w14:paraId="7446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816" w:type="dxa"/>
            <w:vAlign w:val="center"/>
          </w:tcPr>
          <w:p w14:paraId="4D80F407">
            <w:pPr>
              <w:jc w:val="center"/>
              <w:rPr>
                <w:rFonts w:ascii="宋体" w:hAnsi="宋体" w:cs="Times New Roman"/>
                <w:sz w:val="20"/>
                <w:szCs w:val="22"/>
              </w:rPr>
            </w:pPr>
            <w:r>
              <w:rPr>
                <w:rFonts w:ascii="宋体" w:hAnsi="宋体" w:cs="Times New Roman"/>
                <w:sz w:val="20"/>
                <w:szCs w:val="22"/>
              </w:rPr>
              <w:t>3</w:t>
            </w:r>
          </w:p>
        </w:tc>
        <w:tc>
          <w:tcPr>
            <w:tcW w:w="4853" w:type="dxa"/>
            <w:vAlign w:val="center"/>
          </w:tcPr>
          <w:p w14:paraId="6D4E6AE8">
            <w:pPr>
              <w:jc w:val="center"/>
              <w:rPr>
                <w:rFonts w:ascii="宋体" w:hAnsi="宋体" w:cs="Times New Roman"/>
                <w:sz w:val="20"/>
                <w:szCs w:val="22"/>
              </w:rPr>
            </w:pPr>
            <w:r>
              <w:rPr>
                <w:rFonts w:hint="eastAsia" w:ascii="宋体" w:hAnsi="宋体" w:cs="Times New Roman"/>
                <w:sz w:val="20"/>
                <w:szCs w:val="22"/>
              </w:rPr>
              <w:t>违反项目保密要求</w:t>
            </w:r>
          </w:p>
        </w:tc>
        <w:tc>
          <w:tcPr>
            <w:tcW w:w="2841" w:type="dxa"/>
            <w:vAlign w:val="center"/>
          </w:tcPr>
          <w:p w14:paraId="63770B6C">
            <w:pPr>
              <w:jc w:val="center"/>
              <w:rPr>
                <w:rFonts w:ascii="宋体" w:hAnsi="宋体" w:cs="Times New Roman"/>
                <w:sz w:val="20"/>
                <w:szCs w:val="22"/>
              </w:rPr>
            </w:pPr>
            <w:r>
              <w:rPr>
                <w:rFonts w:ascii="宋体" w:hAnsi="宋体" w:cs="Times New Roman"/>
                <w:sz w:val="20"/>
                <w:szCs w:val="22"/>
              </w:rPr>
              <w:t>2</w:t>
            </w:r>
            <w:r>
              <w:rPr>
                <w:rFonts w:hint="eastAsia" w:ascii="宋体" w:hAnsi="宋体" w:cs="Times New Roman"/>
                <w:sz w:val="20"/>
                <w:szCs w:val="22"/>
              </w:rPr>
              <w:t>万元/次（若该违约金不足以弥补</w:t>
            </w:r>
            <w:r>
              <w:rPr>
                <w:rFonts w:ascii="宋体" w:hAnsi="宋体" w:cs="Times New Roman"/>
                <w:sz w:val="20"/>
                <w:szCs w:val="22"/>
              </w:rPr>
              <w:t>采购人</w:t>
            </w:r>
            <w:r>
              <w:rPr>
                <w:rFonts w:hint="eastAsia" w:ascii="宋体" w:hAnsi="宋体" w:cs="Times New Roman"/>
                <w:sz w:val="20"/>
                <w:szCs w:val="22"/>
              </w:rPr>
              <w:t>因此遭受损失的，</w:t>
            </w:r>
            <w:r>
              <w:rPr>
                <w:rFonts w:ascii="宋体" w:hAnsi="宋体" w:cs="Times New Roman"/>
                <w:sz w:val="20"/>
                <w:szCs w:val="22"/>
              </w:rPr>
              <w:t>采购人</w:t>
            </w:r>
            <w:r>
              <w:rPr>
                <w:rFonts w:hint="eastAsia" w:ascii="宋体" w:hAnsi="宋体" w:cs="Times New Roman"/>
                <w:sz w:val="20"/>
                <w:szCs w:val="22"/>
              </w:rPr>
              <w:t>有权要求中标人补足）</w:t>
            </w:r>
          </w:p>
        </w:tc>
      </w:tr>
      <w:tr w14:paraId="2EEB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vAlign w:val="center"/>
          </w:tcPr>
          <w:p w14:paraId="679F1857">
            <w:pPr>
              <w:jc w:val="center"/>
              <w:rPr>
                <w:rFonts w:ascii="宋体" w:hAnsi="宋体" w:cs="Times New Roman"/>
                <w:sz w:val="20"/>
                <w:szCs w:val="22"/>
              </w:rPr>
            </w:pPr>
            <w:r>
              <w:rPr>
                <w:rFonts w:ascii="宋体" w:hAnsi="宋体" w:cs="Times New Roman"/>
                <w:sz w:val="20"/>
                <w:szCs w:val="22"/>
              </w:rPr>
              <w:t>4</w:t>
            </w:r>
          </w:p>
        </w:tc>
        <w:tc>
          <w:tcPr>
            <w:tcW w:w="4853" w:type="dxa"/>
            <w:vAlign w:val="center"/>
          </w:tcPr>
          <w:p w14:paraId="1DA7A3E7">
            <w:pPr>
              <w:jc w:val="center"/>
              <w:rPr>
                <w:rFonts w:ascii="宋体" w:hAnsi="宋体" w:cs="Times New Roman"/>
                <w:sz w:val="20"/>
                <w:szCs w:val="22"/>
              </w:rPr>
            </w:pPr>
            <w:r>
              <w:rPr>
                <w:rFonts w:hint="eastAsia" w:ascii="宋体" w:hAnsi="宋体" w:cs="Times New Roman"/>
                <w:sz w:val="20"/>
                <w:szCs w:val="22"/>
              </w:rPr>
              <w:t>违反项目知识产权要求</w:t>
            </w:r>
          </w:p>
        </w:tc>
        <w:tc>
          <w:tcPr>
            <w:tcW w:w="2841" w:type="dxa"/>
            <w:vAlign w:val="center"/>
          </w:tcPr>
          <w:p w14:paraId="021AA885">
            <w:pPr>
              <w:jc w:val="center"/>
              <w:rPr>
                <w:rFonts w:ascii="宋体" w:hAnsi="宋体" w:cs="Times New Roman"/>
                <w:sz w:val="20"/>
                <w:szCs w:val="22"/>
              </w:rPr>
            </w:pPr>
            <w:r>
              <w:rPr>
                <w:rFonts w:ascii="宋体" w:hAnsi="宋体" w:cs="Times New Roman"/>
                <w:sz w:val="20"/>
                <w:szCs w:val="22"/>
              </w:rPr>
              <w:t>2</w:t>
            </w:r>
            <w:r>
              <w:rPr>
                <w:rFonts w:hint="eastAsia" w:ascii="宋体" w:hAnsi="宋体" w:cs="Times New Roman"/>
                <w:sz w:val="20"/>
                <w:szCs w:val="22"/>
              </w:rPr>
              <w:t>万元/次（若该违约金不足以弥补</w:t>
            </w:r>
            <w:r>
              <w:rPr>
                <w:rFonts w:ascii="宋体" w:hAnsi="宋体" w:cs="Times New Roman"/>
                <w:sz w:val="20"/>
                <w:szCs w:val="22"/>
              </w:rPr>
              <w:t>采购人</w:t>
            </w:r>
            <w:r>
              <w:rPr>
                <w:rFonts w:hint="eastAsia" w:ascii="宋体" w:hAnsi="宋体" w:cs="Times New Roman"/>
                <w:sz w:val="20"/>
                <w:szCs w:val="22"/>
              </w:rPr>
              <w:t>因此遭受损失的，</w:t>
            </w:r>
            <w:r>
              <w:rPr>
                <w:rFonts w:ascii="宋体" w:hAnsi="宋体" w:cs="Times New Roman"/>
                <w:sz w:val="20"/>
                <w:szCs w:val="22"/>
              </w:rPr>
              <w:t>采购人</w:t>
            </w:r>
            <w:r>
              <w:rPr>
                <w:rFonts w:hint="eastAsia" w:ascii="宋体" w:hAnsi="宋体" w:cs="Times New Roman"/>
                <w:sz w:val="20"/>
                <w:szCs w:val="22"/>
              </w:rPr>
              <w:t>有权要求中标人补足）</w:t>
            </w:r>
          </w:p>
        </w:tc>
      </w:tr>
      <w:tr w14:paraId="73F7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816" w:type="dxa"/>
            <w:vAlign w:val="center"/>
          </w:tcPr>
          <w:p w14:paraId="4BBA1E48">
            <w:pPr>
              <w:jc w:val="center"/>
              <w:rPr>
                <w:rFonts w:ascii="宋体" w:hAnsi="宋体" w:cs="Times New Roman"/>
                <w:sz w:val="20"/>
                <w:szCs w:val="22"/>
              </w:rPr>
            </w:pPr>
            <w:r>
              <w:rPr>
                <w:rFonts w:ascii="宋体" w:hAnsi="宋体" w:cs="Times New Roman"/>
                <w:sz w:val="20"/>
                <w:szCs w:val="22"/>
              </w:rPr>
              <w:t>5</w:t>
            </w:r>
          </w:p>
        </w:tc>
        <w:tc>
          <w:tcPr>
            <w:tcW w:w="4853" w:type="dxa"/>
            <w:vAlign w:val="center"/>
          </w:tcPr>
          <w:p w14:paraId="3DC5A17D">
            <w:pPr>
              <w:jc w:val="center"/>
              <w:rPr>
                <w:rFonts w:ascii="宋体" w:hAnsi="宋体" w:cs="Times New Roman"/>
                <w:sz w:val="20"/>
                <w:szCs w:val="22"/>
              </w:rPr>
            </w:pPr>
            <w:r>
              <w:rPr>
                <w:rFonts w:ascii="宋体" w:hAnsi="宋体" w:cs="Times New Roman"/>
                <w:sz w:val="20"/>
                <w:szCs w:val="22"/>
              </w:rPr>
              <w:t>因</w:t>
            </w:r>
            <w:r>
              <w:rPr>
                <w:rFonts w:hint="eastAsia" w:ascii="宋体" w:hAnsi="宋体" w:cs="Times New Roman"/>
                <w:sz w:val="20"/>
                <w:szCs w:val="22"/>
                <w:lang w:val="en-US" w:eastAsia="zh-CN"/>
              </w:rPr>
              <w:t>中标人</w:t>
            </w:r>
            <w:r>
              <w:rPr>
                <w:rFonts w:hint="eastAsia" w:ascii="宋体" w:hAnsi="宋体" w:cs="Times New Roman"/>
                <w:sz w:val="20"/>
                <w:szCs w:val="22"/>
                <w:lang w:eastAsia="zh-CN"/>
              </w:rPr>
              <w:t>专业服务</w:t>
            </w:r>
            <w:r>
              <w:rPr>
                <w:rFonts w:hint="eastAsia" w:ascii="宋体" w:hAnsi="宋体" w:cs="Times New Roman"/>
                <w:sz w:val="20"/>
                <w:szCs w:val="22"/>
              </w:rPr>
              <w:t>工作不到位</w:t>
            </w:r>
            <w:r>
              <w:rPr>
                <w:rFonts w:ascii="宋体" w:hAnsi="宋体" w:cs="Times New Roman"/>
                <w:sz w:val="20"/>
                <w:szCs w:val="22"/>
              </w:rPr>
              <w:t>导致的业务瘫痪</w:t>
            </w:r>
          </w:p>
        </w:tc>
        <w:tc>
          <w:tcPr>
            <w:tcW w:w="2841" w:type="dxa"/>
            <w:vAlign w:val="center"/>
          </w:tcPr>
          <w:p w14:paraId="5B39313F">
            <w:pPr>
              <w:jc w:val="center"/>
              <w:rPr>
                <w:rFonts w:ascii="宋体" w:hAnsi="宋体" w:cs="Times New Roman"/>
                <w:sz w:val="20"/>
                <w:szCs w:val="22"/>
              </w:rPr>
            </w:pPr>
            <w:r>
              <w:rPr>
                <w:rFonts w:ascii="宋体" w:hAnsi="宋体" w:cs="Times New Roman"/>
                <w:sz w:val="20"/>
                <w:szCs w:val="22"/>
              </w:rPr>
              <w:t>5 万元</w:t>
            </w:r>
          </w:p>
        </w:tc>
      </w:tr>
      <w:tr w14:paraId="24D0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vAlign w:val="center"/>
          </w:tcPr>
          <w:p w14:paraId="1F8622A4">
            <w:pPr>
              <w:jc w:val="center"/>
              <w:rPr>
                <w:rFonts w:ascii="宋体" w:hAnsi="宋体" w:cs="Times New Roman"/>
                <w:sz w:val="20"/>
                <w:szCs w:val="22"/>
              </w:rPr>
            </w:pPr>
            <w:r>
              <w:rPr>
                <w:rFonts w:ascii="宋体" w:hAnsi="宋体" w:cs="Times New Roman"/>
                <w:sz w:val="20"/>
                <w:szCs w:val="22"/>
              </w:rPr>
              <w:t>6</w:t>
            </w:r>
          </w:p>
        </w:tc>
        <w:tc>
          <w:tcPr>
            <w:tcW w:w="4853" w:type="dxa"/>
            <w:vAlign w:val="center"/>
          </w:tcPr>
          <w:p w14:paraId="6A3A8D62">
            <w:pPr>
              <w:jc w:val="center"/>
              <w:rPr>
                <w:rFonts w:ascii="宋体" w:hAnsi="宋体" w:cs="Times New Roman"/>
                <w:sz w:val="20"/>
                <w:szCs w:val="22"/>
              </w:rPr>
            </w:pPr>
            <w:r>
              <w:rPr>
                <w:rFonts w:ascii="宋体" w:hAnsi="宋体" w:cs="Times New Roman"/>
                <w:sz w:val="20"/>
                <w:szCs w:val="22"/>
              </w:rPr>
              <w:t>当年采购人</w:t>
            </w:r>
            <w:r>
              <w:rPr>
                <w:rFonts w:hint="eastAsia" w:ascii="宋体" w:hAnsi="宋体" w:cs="Times New Roman"/>
                <w:sz w:val="20"/>
                <w:szCs w:val="22"/>
              </w:rPr>
              <w:t>服务满意度</w:t>
            </w:r>
            <w:r>
              <w:rPr>
                <w:rFonts w:ascii="宋体" w:hAnsi="宋体" w:cs="Times New Roman"/>
                <w:sz w:val="20"/>
                <w:szCs w:val="22"/>
              </w:rPr>
              <w:t>得分低于90分</w:t>
            </w:r>
          </w:p>
        </w:tc>
        <w:tc>
          <w:tcPr>
            <w:tcW w:w="2841" w:type="dxa"/>
            <w:vAlign w:val="center"/>
          </w:tcPr>
          <w:p w14:paraId="792F7655">
            <w:pPr>
              <w:jc w:val="center"/>
              <w:rPr>
                <w:rFonts w:ascii="宋体" w:hAnsi="宋体" w:cs="Times New Roman"/>
                <w:sz w:val="20"/>
                <w:szCs w:val="22"/>
              </w:rPr>
            </w:pPr>
            <w:r>
              <w:rPr>
                <w:rFonts w:ascii="宋体" w:hAnsi="宋体" w:cs="Times New Roman"/>
                <w:sz w:val="20"/>
                <w:szCs w:val="22"/>
              </w:rPr>
              <w:t>当年结算金额的</w:t>
            </w:r>
            <w:r>
              <w:rPr>
                <w:rFonts w:hint="eastAsia" w:ascii="宋体" w:hAnsi="宋体" w:cs="Times New Roman"/>
                <w:sz w:val="20"/>
                <w:szCs w:val="22"/>
                <w:lang w:val="en-US" w:eastAsia="zh-CN"/>
              </w:rPr>
              <w:t>1</w:t>
            </w:r>
            <w:r>
              <w:rPr>
                <w:rFonts w:ascii="宋体" w:hAnsi="宋体" w:cs="Times New Roman"/>
                <w:sz w:val="20"/>
                <w:szCs w:val="22"/>
              </w:rPr>
              <w:t>%</w:t>
            </w:r>
          </w:p>
        </w:tc>
      </w:tr>
      <w:tr w14:paraId="48E5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vAlign w:val="center"/>
          </w:tcPr>
          <w:p w14:paraId="74A0F2B2">
            <w:pPr>
              <w:jc w:val="center"/>
              <w:rPr>
                <w:rFonts w:ascii="宋体" w:hAnsi="宋体" w:cs="Times New Roman"/>
                <w:sz w:val="20"/>
                <w:szCs w:val="22"/>
              </w:rPr>
            </w:pPr>
            <w:r>
              <w:rPr>
                <w:rFonts w:ascii="宋体" w:hAnsi="宋体" w:cs="Times New Roman"/>
                <w:sz w:val="20"/>
                <w:szCs w:val="22"/>
              </w:rPr>
              <w:t>7</w:t>
            </w:r>
          </w:p>
        </w:tc>
        <w:tc>
          <w:tcPr>
            <w:tcW w:w="4853" w:type="dxa"/>
            <w:vAlign w:val="center"/>
          </w:tcPr>
          <w:p w14:paraId="0F691106">
            <w:pPr>
              <w:jc w:val="center"/>
              <w:rPr>
                <w:rFonts w:ascii="宋体" w:hAnsi="宋体" w:cs="Times New Roman"/>
                <w:sz w:val="20"/>
                <w:szCs w:val="22"/>
              </w:rPr>
            </w:pPr>
            <w:r>
              <w:rPr>
                <w:rFonts w:ascii="宋体" w:hAnsi="宋体" w:cs="Times New Roman"/>
                <w:sz w:val="20"/>
                <w:szCs w:val="22"/>
              </w:rPr>
              <w:t>当年采购人</w:t>
            </w:r>
            <w:r>
              <w:rPr>
                <w:rFonts w:hint="eastAsia" w:ascii="宋体" w:hAnsi="宋体" w:cs="Times New Roman"/>
                <w:sz w:val="20"/>
                <w:szCs w:val="22"/>
              </w:rPr>
              <w:t>服务满意度</w:t>
            </w:r>
            <w:r>
              <w:rPr>
                <w:rFonts w:ascii="宋体" w:hAnsi="宋体" w:cs="Times New Roman"/>
                <w:sz w:val="20"/>
                <w:szCs w:val="22"/>
              </w:rPr>
              <w:t>得分低于8</w:t>
            </w:r>
            <w:r>
              <w:rPr>
                <w:rFonts w:hint="eastAsia" w:ascii="宋体" w:hAnsi="宋体" w:cs="Times New Roman"/>
                <w:sz w:val="20"/>
                <w:szCs w:val="22"/>
                <w:lang w:val="en-US" w:eastAsia="zh-CN"/>
              </w:rPr>
              <w:t>5</w:t>
            </w:r>
            <w:r>
              <w:rPr>
                <w:rFonts w:ascii="宋体" w:hAnsi="宋体" w:cs="Times New Roman"/>
                <w:sz w:val="20"/>
                <w:szCs w:val="22"/>
              </w:rPr>
              <w:t>分</w:t>
            </w:r>
          </w:p>
        </w:tc>
        <w:tc>
          <w:tcPr>
            <w:tcW w:w="2841" w:type="dxa"/>
            <w:vAlign w:val="center"/>
          </w:tcPr>
          <w:p w14:paraId="5CD3CB7B">
            <w:pPr>
              <w:jc w:val="center"/>
              <w:rPr>
                <w:rFonts w:ascii="宋体" w:hAnsi="宋体" w:cs="Times New Roman"/>
                <w:sz w:val="20"/>
                <w:szCs w:val="22"/>
              </w:rPr>
            </w:pPr>
            <w:r>
              <w:rPr>
                <w:rFonts w:ascii="宋体" w:hAnsi="宋体" w:cs="Times New Roman"/>
                <w:sz w:val="20"/>
                <w:szCs w:val="22"/>
              </w:rPr>
              <w:t>当年结算金额的</w:t>
            </w:r>
            <w:r>
              <w:rPr>
                <w:rFonts w:hint="eastAsia" w:ascii="宋体" w:hAnsi="宋体" w:cs="Times New Roman"/>
                <w:sz w:val="20"/>
                <w:szCs w:val="22"/>
                <w:lang w:val="en-US" w:eastAsia="zh-CN"/>
              </w:rPr>
              <w:t>3</w:t>
            </w:r>
            <w:r>
              <w:rPr>
                <w:rFonts w:ascii="宋体" w:hAnsi="宋体" w:cs="Times New Roman"/>
                <w:sz w:val="20"/>
                <w:szCs w:val="22"/>
              </w:rPr>
              <w:t>%</w:t>
            </w:r>
          </w:p>
        </w:tc>
      </w:tr>
      <w:tr w14:paraId="0736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vAlign w:val="center"/>
          </w:tcPr>
          <w:p w14:paraId="0CA658AB">
            <w:pPr>
              <w:jc w:val="center"/>
              <w:rPr>
                <w:rFonts w:ascii="宋体" w:hAnsi="宋体" w:cs="Times New Roman"/>
                <w:sz w:val="20"/>
                <w:szCs w:val="22"/>
              </w:rPr>
            </w:pPr>
            <w:r>
              <w:rPr>
                <w:rFonts w:ascii="宋体" w:hAnsi="宋体" w:cs="Times New Roman"/>
                <w:sz w:val="20"/>
                <w:szCs w:val="22"/>
              </w:rPr>
              <w:t>8</w:t>
            </w:r>
          </w:p>
        </w:tc>
        <w:tc>
          <w:tcPr>
            <w:tcW w:w="4853" w:type="dxa"/>
            <w:vAlign w:val="center"/>
          </w:tcPr>
          <w:p w14:paraId="14AEE805">
            <w:pPr>
              <w:jc w:val="center"/>
              <w:rPr>
                <w:rFonts w:ascii="宋体" w:hAnsi="宋体" w:cs="Times New Roman"/>
                <w:sz w:val="20"/>
                <w:szCs w:val="22"/>
              </w:rPr>
            </w:pPr>
            <w:r>
              <w:rPr>
                <w:rFonts w:ascii="宋体" w:hAnsi="宋体" w:cs="Times New Roman"/>
                <w:sz w:val="20"/>
                <w:szCs w:val="22"/>
              </w:rPr>
              <w:t>当年采购人</w:t>
            </w:r>
            <w:r>
              <w:rPr>
                <w:rFonts w:hint="eastAsia" w:ascii="宋体" w:hAnsi="宋体" w:cs="Times New Roman"/>
                <w:sz w:val="20"/>
                <w:szCs w:val="22"/>
              </w:rPr>
              <w:t>服务满意度</w:t>
            </w:r>
            <w:r>
              <w:rPr>
                <w:rFonts w:ascii="宋体" w:hAnsi="宋体" w:cs="Times New Roman"/>
                <w:sz w:val="20"/>
                <w:szCs w:val="22"/>
              </w:rPr>
              <w:t>得分低于</w:t>
            </w:r>
            <w:r>
              <w:rPr>
                <w:rFonts w:hint="eastAsia" w:ascii="宋体" w:hAnsi="宋体" w:cs="Times New Roman"/>
                <w:sz w:val="20"/>
                <w:szCs w:val="22"/>
                <w:lang w:val="en-US" w:eastAsia="zh-CN"/>
              </w:rPr>
              <w:t>80</w:t>
            </w:r>
            <w:r>
              <w:rPr>
                <w:rFonts w:ascii="宋体" w:hAnsi="宋体" w:cs="Times New Roman"/>
                <w:sz w:val="20"/>
                <w:szCs w:val="22"/>
              </w:rPr>
              <w:t>分</w:t>
            </w:r>
          </w:p>
        </w:tc>
        <w:tc>
          <w:tcPr>
            <w:tcW w:w="2841" w:type="dxa"/>
            <w:vAlign w:val="center"/>
          </w:tcPr>
          <w:p w14:paraId="220BB064">
            <w:pPr>
              <w:jc w:val="center"/>
              <w:rPr>
                <w:rFonts w:ascii="宋体" w:hAnsi="宋体" w:cs="Times New Roman"/>
                <w:sz w:val="20"/>
                <w:szCs w:val="22"/>
              </w:rPr>
            </w:pPr>
            <w:r>
              <w:rPr>
                <w:rFonts w:ascii="宋体" w:hAnsi="宋体" w:cs="Times New Roman"/>
                <w:sz w:val="20"/>
                <w:szCs w:val="22"/>
              </w:rPr>
              <w:t>当年结算金额的</w:t>
            </w:r>
            <w:r>
              <w:rPr>
                <w:rFonts w:hint="eastAsia" w:ascii="宋体" w:hAnsi="宋体" w:cs="Times New Roman"/>
                <w:sz w:val="20"/>
                <w:szCs w:val="22"/>
                <w:lang w:val="en-US" w:eastAsia="zh-CN"/>
              </w:rPr>
              <w:t>5</w:t>
            </w:r>
            <w:r>
              <w:rPr>
                <w:rFonts w:ascii="宋体" w:hAnsi="宋体" w:cs="Times New Roman"/>
                <w:sz w:val="20"/>
                <w:szCs w:val="22"/>
              </w:rPr>
              <w:t>%</w:t>
            </w:r>
          </w:p>
        </w:tc>
      </w:tr>
    </w:tbl>
    <w:p w14:paraId="4E615C07">
      <w:pPr>
        <w:widowControl/>
        <w:topLinePunct/>
        <w:adjustRightInd w:val="0"/>
        <w:snapToGrid w:val="0"/>
        <w:spacing w:before="160" w:after="160" w:line="276" w:lineRule="auto"/>
        <w:jc w:val="left"/>
        <w:rPr>
          <w:rFonts w:ascii="宋体" w:hAnsi="宋体"/>
        </w:rPr>
      </w:pPr>
    </w:p>
    <w:bookmarkEnd w:id="2"/>
    <w:bookmarkEnd w:id="3"/>
    <w:p w14:paraId="135846C9">
      <w:pPr>
        <w:pStyle w:val="4"/>
        <w:numPr>
          <w:ilvl w:val="1"/>
          <w:numId w:val="5"/>
        </w:numPr>
        <w:tabs>
          <w:tab w:val="left" w:pos="1260"/>
          <w:tab w:val="clear" w:pos="840"/>
        </w:tabs>
        <w:ind w:left="720" w:hanging="720" w:hangingChars="200"/>
        <w:rPr>
          <w:rFonts w:ascii="宋体" w:hAnsi="宋体"/>
          <w:lang w:eastAsia="zh-CN"/>
        </w:rPr>
      </w:pPr>
      <w:bookmarkStart w:id="9" w:name="_Toc71239889"/>
      <w:bookmarkStart w:id="10" w:name="_Toc64642714"/>
      <w:r>
        <w:rPr>
          <w:rFonts w:hint="eastAsia"/>
        </w:rPr>
        <w:t>项目保密要求</w:t>
      </w:r>
    </w:p>
    <w:p w14:paraId="66C7626A">
      <w:pPr>
        <w:widowControl/>
        <w:numPr>
          <w:ilvl w:val="0"/>
          <w:numId w:val="8"/>
        </w:numPr>
        <w:topLinePunct/>
        <w:adjustRightInd w:val="0"/>
        <w:snapToGrid w:val="0"/>
        <w:spacing w:before="100" w:after="100" w:line="300" w:lineRule="exact"/>
        <w:ind w:left="420" w:hangingChars="200"/>
        <w:jc w:val="left"/>
        <w:rPr>
          <w:rFonts w:ascii="宋体" w:hAnsi="宋体"/>
        </w:rPr>
      </w:pPr>
      <w:r>
        <w:rPr>
          <w:rFonts w:ascii="宋体" w:hAnsi="宋体"/>
        </w:rPr>
        <w:t xml:space="preserve">投标人因履行本项目而知悉的所有数据、信息和资料（包括但不限于账号信息、图表、文字、计算过程、电子文件、访谈记录、现场实测数据、采购人相关工作程序等）以及因履行本项目而形成的数据、信息和任何形式的工作成果，均是采购人要求保密的信息。未经采购人书面同意，投标人不得对外泄露采购人要求保密的信息，不得用于其他用途，否则投标人需承担由此引起的法律责任和经济责任，包括但不限于直接损失、间接损失、律师费、诉讼费/仲裁费、调查费、公证费等。 </w:t>
      </w:r>
    </w:p>
    <w:p w14:paraId="2D299608">
      <w:pPr>
        <w:widowControl/>
        <w:numPr>
          <w:ilvl w:val="0"/>
          <w:numId w:val="8"/>
        </w:numPr>
        <w:topLinePunct/>
        <w:adjustRightInd w:val="0"/>
        <w:snapToGrid w:val="0"/>
        <w:spacing w:before="100" w:after="100" w:line="300" w:lineRule="exact"/>
        <w:ind w:left="420" w:hangingChars="200"/>
        <w:jc w:val="left"/>
        <w:rPr>
          <w:rFonts w:ascii="宋体" w:hAnsi="宋体"/>
        </w:rPr>
      </w:pPr>
      <w:r>
        <w:rPr>
          <w:rFonts w:ascii="宋体" w:hAnsi="宋体"/>
        </w:rPr>
        <w:t>构建于政务云平台上的各部门业务系统、所有数据的拥有权及使用权均属于政府。若发现中标人未经许可对业务系统和数据进行支配，采购人将对中标人采取违约处理并追究其法律责任。</w:t>
      </w:r>
    </w:p>
    <w:p w14:paraId="3E707E15">
      <w:pPr>
        <w:widowControl/>
        <w:numPr>
          <w:ilvl w:val="0"/>
          <w:numId w:val="8"/>
        </w:numPr>
        <w:topLinePunct/>
        <w:adjustRightInd w:val="0"/>
        <w:snapToGrid w:val="0"/>
        <w:spacing w:before="100" w:after="100" w:line="300" w:lineRule="exact"/>
        <w:ind w:left="420" w:hangingChars="200"/>
        <w:jc w:val="left"/>
        <w:rPr>
          <w:rFonts w:ascii="宋体" w:hAnsi="宋体"/>
        </w:rPr>
      </w:pPr>
      <w:r>
        <w:rPr>
          <w:rFonts w:ascii="宋体" w:hAnsi="宋体"/>
        </w:rPr>
        <w:t xml:space="preserve">投标人应采取必要的有效措施保证其参与本项目的人员（包括投标人聘用的人员、借调的人员、在投标人实习的人员）无论是在职或离职后，以及投标人的合作方无论是合作中或合作终止后，都能够履行本项目约定的保密义务。若投标人人员或投标人合作方违反本条规定，投标人应承担连带责任。 </w:t>
      </w:r>
    </w:p>
    <w:p w14:paraId="1C6824FC">
      <w:pPr>
        <w:widowControl/>
        <w:numPr>
          <w:ilvl w:val="0"/>
          <w:numId w:val="8"/>
        </w:numPr>
        <w:topLinePunct/>
        <w:adjustRightInd w:val="0"/>
        <w:snapToGrid w:val="0"/>
        <w:spacing w:before="100" w:after="100" w:line="300" w:lineRule="exact"/>
        <w:ind w:left="420" w:hangingChars="200"/>
        <w:jc w:val="left"/>
        <w:rPr>
          <w:rFonts w:ascii="宋体" w:hAnsi="宋体"/>
        </w:rPr>
      </w:pPr>
      <w:r>
        <w:rPr>
          <w:rFonts w:ascii="宋体" w:hAnsi="宋体"/>
        </w:rPr>
        <w:t xml:space="preserve">保密期限自投标人知悉保密信息起始至保密信息被合法公开之日止。 </w:t>
      </w:r>
    </w:p>
    <w:p w14:paraId="55550B5F">
      <w:pPr>
        <w:widowControl/>
        <w:numPr>
          <w:ilvl w:val="0"/>
          <w:numId w:val="8"/>
        </w:numPr>
        <w:topLinePunct/>
        <w:adjustRightInd w:val="0"/>
        <w:snapToGrid w:val="0"/>
        <w:spacing w:before="100" w:after="100" w:line="300" w:lineRule="exact"/>
        <w:ind w:left="420" w:hangingChars="200"/>
        <w:jc w:val="left"/>
        <w:rPr>
          <w:rFonts w:ascii="宋体" w:hAnsi="宋体"/>
        </w:rPr>
      </w:pPr>
      <w:r>
        <w:rPr>
          <w:rFonts w:ascii="宋体" w:hAnsi="宋体"/>
        </w:rPr>
        <w:t xml:space="preserve">投标人（含投标人参与本项目的人员）未经采购人书面许可，不得以任何形式自行使用或以任何方式向第三方披露、转让、授权、出售与本项目有关的技术成果、计算机软件、源代码、策划文档、技术诀窍、秘密信息、技术资料和其他文件。 </w:t>
      </w:r>
    </w:p>
    <w:p w14:paraId="1B1D7ADC">
      <w:pPr>
        <w:widowControl/>
        <w:numPr>
          <w:ilvl w:val="0"/>
          <w:numId w:val="8"/>
        </w:numPr>
        <w:topLinePunct/>
        <w:adjustRightInd w:val="0"/>
        <w:snapToGrid w:val="0"/>
        <w:spacing w:before="100" w:after="100" w:line="300" w:lineRule="exact"/>
        <w:ind w:left="420" w:hangingChars="200"/>
        <w:jc w:val="left"/>
        <w:rPr>
          <w:rFonts w:ascii="宋体" w:hAnsi="宋体"/>
        </w:rPr>
      </w:pPr>
      <w:r>
        <w:rPr>
          <w:rFonts w:ascii="宋体" w:hAnsi="宋体"/>
        </w:rPr>
        <w:t>在本项目终止或完成之后，项目各方在本项目中的保密义务并不随之终止，各方仍需依据本项目的保密规定履行保密义务。</w:t>
      </w:r>
    </w:p>
    <w:p w14:paraId="06E554EF">
      <w:pPr>
        <w:pStyle w:val="3"/>
        <w:numPr>
          <w:ilvl w:val="0"/>
          <w:numId w:val="4"/>
        </w:numPr>
        <w:spacing w:line="276" w:lineRule="auto"/>
        <w:rPr>
          <w:rFonts w:hint="default" w:ascii="宋体" w:hAnsi="宋体"/>
        </w:rPr>
      </w:pPr>
      <w:r>
        <w:rPr>
          <w:rFonts w:hint="eastAsia" w:ascii="宋体" w:hAnsi="宋体"/>
          <w:lang w:val="en-US" w:eastAsia="zh-CN"/>
        </w:rPr>
        <w:t>专业</w:t>
      </w:r>
      <w:r>
        <w:rPr>
          <w:rFonts w:ascii="宋体" w:hAnsi="宋体"/>
        </w:rPr>
        <w:t>服务要求</w:t>
      </w:r>
      <w:bookmarkEnd w:id="9"/>
      <w:bookmarkEnd w:id="10"/>
    </w:p>
    <w:p w14:paraId="024D8CFC">
      <w:pPr>
        <w:spacing w:line="276" w:lineRule="auto"/>
        <w:ind w:left="420" w:firstLine="420"/>
      </w:pPr>
      <w:r>
        <w:rPr>
          <w:rFonts w:hint="eastAsia"/>
        </w:rPr>
        <w:t>上海市政务云项目由市大数据中心通过向云服务商购买服务为云使用单位提供政务云服务，</w:t>
      </w:r>
      <w:r>
        <w:rPr>
          <w:rFonts w:hint="eastAsia"/>
          <w:lang w:val="en-US" w:eastAsia="zh-CN"/>
        </w:rPr>
        <w:t>中标人应</w:t>
      </w:r>
      <w:r>
        <w:rPr>
          <w:rFonts w:hint="eastAsia"/>
        </w:rPr>
        <w:t>协助</w:t>
      </w:r>
      <w:r>
        <w:rPr>
          <w:rFonts w:hint="eastAsia"/>
          <w:lang w:val="en-US" w:eastAsia="zh-CN"/>
        </w:rPr>
        <w:t>采购人</w:t>
      </w:r>
      <w:r>
        <w:rPr>
          <w:rFonts w:hint="eastAsia"/>
        </w:rPr>
        <w:t>对云服务商的服务过程与产出执行监管。政务云专业服务内容主要包括技术评估服务、规范性</w:t>
      </w:r>
      <w:r>
        <w:rPr>
          <w:rFonts w:hint="eastAsia"/>
          <w:lang w:eastAsia="zh-CN"/>
        </w:rPr>
        <w:t>专业服务</w:t>
      </w:r>
      <w:r>
        <w:rPr>
          <w:rFonts w:hint="eastAsia"/>
        </w:rPr>
        <w:t>、运营</w:t>
      </w:r>
      <w:r>
        <w:rPr>
          <w:rFonts w:hint="eastAsia"/>
          <w:lang w:val="en-US" w:eastAsia="zh-CN"/>
        </w:rPr>
        <w:t>专业</w:t>
      </w:r>
      <w:r>
        <w:rPr>
          <w:rFonts w:hint="eastAsia"/>
        </w:rPr>
        <w:t>服务、绩效评价服务</w:t>
      </w:r>
      <w:r>
        <w:rPr>
          <w:rFonts w:hint="eastAsia"/>
          <w:lang w:val="en-US" w:eastAsia="zh-CN"/>
        </w:rPr>
        <w:t>和云服务计量评估服务</w:t>
      </w:r>
      <w:r>
        <w:rPr>
          <w:rFonts w:hint="eastAsia"/>
        </w:rPr>
        <w:t>，确保政务云资源高效利用、服务规范运行、安全合规可控。</w:t>
      </w:r>
    </w:p>
    <w:p w14:paraId="25597884">
      <w:pPr>
        <w:pStyle w:val="4"/>
        <w:numPr>
          <w:ilvl w:val="0"/>
          <w:numId w:val="0"/>
        </w:numPr>
        <w:tabs>
          <w:tab w:val="left" w:pos="1260"/>
          <w:tab w:val="clear" w:pos="840"/>
        </w:tabs>
        <w:rPr>
          <w:rFonts w:ascii="宋体" w:hAnsi="宋体"/>
          <w:lang w:eastAsia="zh-CN"/>
        </w:rPr>
      </w:pPr>
      <w:r>
        <w:rPr>
          <w:rFonts w:ascii="宋体" w:hAnsi="宋体"/>
          <w:lang w:eastAsia="zh-CN"/>
        </w:rPr>
        <w:t>2</w:t>
      </w:r>
      <w:r>
        <w:rPr>
          <w:rFonts w:hint="eastAsia" w:ascii="宋体" w:hAnsi="宋体"/>
          <w:lang w:eastAsia="zh-CN"/>
        </w:rPr>
        <w:t>.</w:t>
      </w:r>
      <w:r>
        <w:rPr>
          <w:rFonts w:ascii="宋体" w:hAnsi="宋体"/>
          <w:lang w:eastAsia="zh-CN"/>
        </w:rPr>
        <w:t xml:space="preserve">1 </w:t>
      </w:r>
      <w:r>
        <w:rPr>
          <w:rFonts w:hint="eastAsia" w:ascii="宋体" w:hAnsi="宋体"/>
          <w:lang w:eastAsia="zh-CN"/>
        </w:rPr>
        <w:t>技术评估服务</w:t>
      </w:r>
    </w:p>
    <w:p w14:paraId="36F7A018">
      <w:pPr>
        <w:spacing w:line="276" w:lineRule="auto"/>
        <w:ind w:left="420" w:firstLine="420"/>
      </w:pPr>
      <w:r>
        <w:rPr>
          <w:rFonts w:hint="eastAsia"/>
        </w:rPr>
        <w:t>技术评估服务</w:t>
      </w:r>
      <w:r>
        <w:rPr>
          <w:rFonts w:hint="eastAsia"/>
          <w:lang w:val="en-US" w:eastAsia="zh-CN"/>
        </w:rPr>
        <w:t>聚焦于</w:t>
      </w:r>
      <w:r>
        <w:rPr>
          <w:rFonts w:hint="eastAsia"/>
        </w:rPr>
        <w:t>使用单位需求受理评估服务、云架构及需求的变更管理服务和云平台安全管理评估服务。</w:t>
      </w:r>
    </w:p>
    <w:p w14:paraId="31A16A83">
      <w:pPr>
        <w:pStyle w:val="5"/>
        <w:numPr>
          <w:ilvl w:val="2"/>
          <w:numId w:val="0"/>
        </w:numPr>
        <w:spacing w:before="160" w:line="300" w:lineRule="exact"/>
        <w:rPr>
          <w:rFonts w:ascii="宋体" w:hAnsi="宋体"/>
          <w:b/>
          <w:bCs/>
        </w:rPr>
      </w:pPr>
      <w:r>
        <w:rPr>
          <w:rFonts w:hint="eastAsia" w:ascii="宋体" w:hAnsi="宋体"/>
          <w:b/>
          <w:bCs/>
        </w:rPr>
        <w:t>2.1.</w:t>
      </w:r>
      <w:r>
        <w:rPr>
          <w:rFonts w:ascii="宋体" w:hAnsi="宋体"/>
          <w:b/>
          <w:bCs/>
        </w:rPr>
        <w:t xml:space="preserve">1 </w:t>
      </w:r>
      <w:r>
        <w:rPr>
          <w:rFonts w:hint="eastAsia" w:ascii="宋体" w:hAnsi="宋体"/>
          <w:b/>
          <w:bCs/>
        </w:rPr>
        <w:t>使用单位需求受理评估服务</w:t>
      </w:r>
    </w:p>
    <w:p w14:paraId="2490878C">
      <w:pPr>
        <w:widowControl/>
        <w:numPr>
          <w:ilvl w:val="0"/>
          <w:numId w:val="9"/>
        </w:numPr>
        <w:topLinePunct/>
        <w:adjustRightInd w:val="0"/>
        <w:snapToGrid w:val="0"/>
        <w:spacing w:before="100" w:after="100" w:line="300" w:lineRule="exact"/>
        <w:ind w:left="420" w:hangingChars="200"/>
        <w:jc w:val="left"/>
        <w:rPr>
          <w:rFonts w:ascii="宋体" w:hAnsi="宋体"/>
        </w:rPr>
      </w:pPr>
      <w:r>
        <w:rPr>
          <w:rFonts w:hint="eastAsia" w:ascii="宋体" w:hAnsi="宋体"/>
        </w:rPr>
        <w:t>中标人应根据</w:t>
      </w:r>
      <w:r>
        <w:rPr>
          <w:rFonts w:ascii="宋体" w:hAnsi="宋体"/>
        </w:rPr>
        <w:t>采购人</w:t>
      </w:r>
      <w:r>
        <w:rPr>
          <w:rFonts w:hint="eastAsia" w:ascii="宋体" w:hAnsi="宋体"/>
        </w:rPr>
        <w:t>要求协助</w:t>
      </w:r>
      <w:r>
        <w:rPr>
          <w:rFonts w:ascii="宋体" w:hAnsi="宋体"/>
        </w:rPr>
        <w:t>采购人</w:t>
      </w:r>
      <w:r>
        <w:rPr>
          <w:rFonts w:hint="eastAsia" w:ascii="宋体" w:hAnsi="宋体"/>
        </w:rPr>
        <w:t>开展使用单位需求受理评估服务内容工作，</w:t>
      </w:r>
      <w:r>
        <w:rPr>
          <w:rFonts w:ascii="宋体" w:hAnsi="宋体"/>
        </w:rPr>
        <w:t>中标人</w:t>
      </w:r>
      <w:r>
        <w:rPr>
          <w:rFonts w:hint="eastAsia" w:ascii="宋体" w:hAnsi="宋体"/>
        </w:rPr>
        <w:t>应核实和敦促云服务商严格按照核定的上云系统云资源要求提供相关资源并安排相关系统上云等事项。</w:t>
      </w:r>
    </w:p>
    <w:p w14:paraId="5EFAE443">
      <w:pPr>
        <w:widowControl/>
        <w:numPr>
          <w:ilvl w:val="0"/>
          <w:numId w:val="9"/>
        </w:numPr>
        <w:topLinePunct/>
        <w:adjustRightInd w:val="0"/>
        <w:snapToGrid w:val="0"/>
        <w:spacing w:before="100" w:after="100" w:line="300" w:lineRule="exact"/>
        <w:ind w:left="420" w:hangingChars="200"/>
        <w:jc w:val="left"/>
        <w:rPr>
          <w:rFonts w:ascii="宋体" w:hAnsi="宋体"/>
        </w:rPr>
      </w:pPr>
      <w:r>
        <w:rPr>
          <w:rFonts w:hint="eastAsia" w:ascii="宋体" w:hAnsi="宋体"/>
        </w:rPr>
        <w:t>中标人按</w:t>
      </w:r>
      <w:r>
        <w:rPr>
          <w:rFonts w:ascii="宋体" w:hAnsi="宋体"/>
        </w:rPr>
        <w:t>采购人</w:t>
      </w:r>
      <w:r>
        <w:rPr>
          <w:rFonts w:hint="eastAsia" w:ascii="宋体" w:hAnsi="宋体"/>
        </w:rPr>
        <w:t>要求</w:t>
      </w:r>
      <w:r>
        <w:rPr>
          <w:rFonts w:hint="eastAsia" w:ascii="宋体" w:hAnsi="宋体"/>
          <w:lang w:val="en-US" w:eastAsia="zh-CN"/>
        </w:rPr>
        <w:t>协助采购人</w:t>
      </w:r>
      <w:r>
        <w:rPr>
          <w:rFonts w:hint="eastAsia" w:ascii="宋体" w:hAnsi="宋体"/>
        </w:rPr>
        <w:t>对使用单位在市级政务云上进行信息系统迁移上云或部署新建信息系统时的</w:t>
      </w:r>
      <w:r>
        <w:rPr>
          <w:rFonts w:hint="eastAsia" w:ascii="宋体" w:hAnsi="宋体"/>
          <w:lang w:val="en-US" w:eastAsia="zh-CN"/>
        </w:rPr>
        <w:t>云管平台工单</w:t>
      </w:r>
      <w:r>
        <w:rPr>
          <w:rFonts w:hint="eastAsia" w:ascii="宋体" w:hAnsi="宋体"/>
        </w:rPr>
        <w:t>相关内容进行评估。主要依据系统业务特征、预估的负载情况、系统组件的规格、网络架构、备份方案等信息，其一评估是否符合市级政务云管理办法，需求是否明确具体，是否具备可实施性；其二评估申请的资源规格、架构设计、配置方案；其三评估新建信息系统初始申请的资源配置体量是否合理，提出阶段性发放控制的优化建议；其四对</w:t>
      </w:r>
      <w:r>
        <w:rPr>
          <w:rFonts w:hint="eastAsia" w:ascii="宋体" w:hAnsi="宋体"/>
          <w:lang w:val="en-US" w:eastAsia="zh-CN"/>
        </w:rPr>
        <w:t>主机状态</w:t>
      </w:r>
      <w:r>
        <w:rPr>
          <w:rFonts w:hint="eastAsia" w:ascii="宋体" w:hAnsi="宋体"/>
        </w:rPr>
        <w:t>异常情况开展专项分析与问题排查；其五评估项目或者部门现有已分配云资源的实际利用率情况，作为资源申请合理性的考虑因素；其六评估信息安全技术服务的选用是否合理。</w:t>
      </w:r>
    </w:p>
    <w:p w14:paraId="0F5A7D7A">
      <w:pPr>
        <w:widowControl/>
        <w:numPr>
          <w:ilvl w:val="0"/>
          <w:numId w:val="9"/>
        </w:numPr>
        <w:topLinePunct/>
        <w:adjustRightInd w:val="0"/>
        <w:snapToGrid w:val="0"/>
        <w:spacing w:before="100" w:after="100" w:line="300" w:lineRule="exact"/>
        <w:ind w:left="420" w:hangingChars="200"/>
        <w:jc w:val="left"/>
        <w:rPr>
          <w:rFonts w:ascii="宋体" w:hAnsi="宋体"/>
        </w:rPr>
      </w:pPr>
      <w:r>
        <w:rPr>
          <w:rFonts w:hint="eastAsia" w:ascii="宋体" w:hAnsi="宋体"/>
        </w:rPr>
        <w:t>针对重点上云项目（如市级重大信息系统、高风险系统）出具专项评估报告，明确评审结论及整改建议。</w:t>
      </w:r>
      <w:r>
        <w:rPr>
          <w:rFonts w:hint="eastAsia" w:ascii="宋体" w:hAnsi="宋体"/>
          <w:lang w:val="en-US" w:eastAsia="zh-CN"/>
        </w:rPr>
        <w:t>重点上云项目评估报告应包含技术方案评审结论、资源分配优化建议及安全合规性分析。</w:t>
      </w:r>
    </w:p>
    <w:p w14:paraId="5E48DB60">
      <w:pPr>
        <w:pStyle w:val="5"/>
        <w:numPr>
          <w:ilvl w:val="2"/>
          <w:numId w:val="0"/>
        </w:numPr>
        <w:spacing w:before="160" w:line="300" w:lineRule="exact"/>
        <w:rPr>
          <w:rFonts w:ascii="宋体" w:hAnsi="宋体"/>
          <w:b/>
          <w:bCs/>
        </w:rPr>
      </w:pPr>
      <w:r>
        <w:rPr>
          <w:rFonts w:hint="eastAsia" w:ascii="宋体" w:hAnsi="宋体"/>
          <w:b/>
          <w:bCs/>
        </w:rPr>
        <w:t>2.1.2云架构变更管理服务</w:t>
      </w:r>
    </w:p>
    <w:p w14:paraId="7C7B2221">
      <w:pPr>
        <w:widowControl/>
        <w:numPr>
          <w:ilvl w:val="0"/>
          <w:numId w:val="10"/>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应根据</w:t>
      </w:r>
      <w:r>
        <w:rPr>
          <w:rFonts w:ascii="宋体" w:hAnsi="宋体"/>
        </w:rPr>
        <w:t>采购人</w:t>
      </w:r>
      <w:r>
        <w:rPr>
          <w:rFonts w:hint="eastAsia" w:ascii="宋体" w:hAnsi="宋体"/>
        </w:rPr>
        <w:t>要求协助</w:t>
      </w:r>
      <w:r>
        <w:rPr>
          <w:rFonts w:ascii="宋体" w:hAnsi="宋体"/>
        </w:rPr>
        <w:t>采购人</w:t>
      </w:r>
      <w:r>
        <w:rPr>
          <w:rFonts w:hint="eastAsia" w:ascii="宋体" w:hAnsi="宋体"/>
        </w:rPr>
        <w:t>开展云服务商云架构的变更管理工作。</w:t>
      </w:r>
    </w:p>
    <w:p w14:paraId="08AFA4FB">
      <w:pPr>
        <w:widowControl/>
        <w:numPr>
          <w:ilvl w:val="0"/>
          <w:numId w:val="10"/>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对云服务商提出的平台变更方案（如架构调整、版本升级）进行合理性评估，分析变更对云上系统的影响（如性能、可用性、安全性）。对变更申请进行材料审核和技术问询，明确审批意见并归档记录。变更审核需覆盖技术可行性、资源适配性及安全合规性。</w:t>
      </w:r>
    </w:p>
    <w:p w14:paraId="73EA4900">
      <w:pPr>
        <w:widowControl/>
        <w:numPr>
          <w:ilvl w:val="0"/>
          <w:numId w:val="10"/>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应跟踪变更执行结果，若变更失败，需调查原因并提出整改建议，确保整改措施落实到位。</w:t>
      </w:r>
    </w:p>
    <w:p w14:paraId="23EB2F93">
      <w:pPr>
        <w:widowControl/>
        <w:numPr>
          <w:ilvl w:val="0"/>
          <w:numId w:val="10"/>
        </w:numPr>
        <w:topLinePunct/>
        <w:adjustRightInd w:val="0"/>
        <w:snapToGrid w:val="0"/>
        <w:spacing w:before="100" w:after="100" w:line="300" w:lineRule="exact"/>
        <w:ind w:left="420" w:hangingChars="200"/>
        <w:jc w:val="left"/>
        <w:rPr>
          <w:rFonts w:ascii="宋体" w:hAnsi="宋体"/>
        </w:rPr>
      </w:pPr>
      <w:r>
        <w:rPr>
          <w:rFonts w:hint="eastAsia" w:ascii="宋体" w:hAnsi="宋体"/>
        </w:rPr>
        <w:t>中标人应对用于项目的设备规格型号和数量开展符合性审查。</w:t>
      </w:r>
    </w:p>
    <w:p w14:paraId="176A1155">
      <w:pPr>
        <w:widowControl/>
        <w:numPr>
          <w:ilvl w:val="0"/>
          <w:numId w:val="10"/>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依申请出具变更评估意见，针对变更失败的应出具整改通知单和跟踪报告</w:t>
      </w:r>
      <w:r>
        <w:rPr>
          <w:rFonts w:hint="eastAsia" w:ascii="宋体" w:hAnsi="宋体"/>
          <w:lang w:eastAsia="zh-CN"/>
        </w:rPr>
        <w:t>，需形成闭环整改记录</w:t>
      </w:r>
      <w:r>
        <w:rPr>
          <w:rFonts w:hint="eastAsia" w:ascii="宋体" w:hAnsi="宋体"/>
        </w:rPr>
        <w:t>。</w:t>
      </w:r>
    </w:p>
    <w:p w14:paraId="570F8380">
      <w:pPr>
        <w:pStyle w:val="5"/>
        <w:numPr>
          <w:ilvl w:val="2"/>
          <w:numId w:val="0"/>
        </w:numPr>
        <w:spacing w:before="160" w:line="300" w:lineRule="exact"/>
        <w:rPr>
          <w:rFonts w:ascii="宋体" w:hAnsi="宋体"/>
          <w:b/>
          <w:bCs/>
        </w:rPr>
      </w:pPr>
      <w:r>
        <w:rPr>
          <w:rFonts w:hint="eastAsia" w:ascii="宋体" w:hAnsi="宋体"/>
          <w:b/>
          <w:bCs/>
        </w:rPr>
        <w:t>2.1.3 云平台安全管理评估服务</w:t>
      </w:r>
    </w:p>
    <w:p w14:paraId="33621940">
      <w:pPr>
        <w:widowControl/>
        <w:numPr>
          <w:ilvl w:val="0"/>
          <w:numId w:val="11"/>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应具备云平台安全管理经验，充分了解国家和相关部门对政务云安全的监管需求。</w:t>
      </w:r>
    </w:p>
    <w:p w14:paraId="53377B18">
      <w:pPr>
        <w:widowControl/>
        <w:numPr>
          <w:ilvl w:val="0"/>
          <w:numId w:val="11"/>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lang w:val="en-US" w:eastAsia="zh-CN"/>
        </w:rPr>
        <w:t>应</w:t>
      </w:r>
      <w:r>
        <w:rPr>
          <w:rFonts w:hint="eastAsia" w:ascii="宋体" w:hAnsi="宋体"/>
        </w:rPr>
        <w:t>协助</w:t>
      </w:r>
      <w:r>
        <w:rPr>
          <w:rFonts w:ascii="宋体" w:hAnsi="宋体"/>
        </w:rPr>
        <w:t>采购人</w:t>
      </w:r>
      <w:r>
        <w:rPr>
          <w:rFonts w:hint="eastAsia" w:ascii="宋体" w:hAnsi="宋体"/>
        </w:rPr>
        <w:t>统筹管理云服务商的平台安全工作。指导监督云服务商开展市级政务云平台的资产安全、物理环境安全、通信安全、云平台系统安全、访问控制安全、业务连续性保障等工作，并按季度开展抽查</w:t>
      </w:r>
      <w:r>
        <w:t>物理环境、设备运行状态及安全防护措施是否符合标准。</w:t>
      </w:r>
    </w:p>
    <w:p w14:paraId="15EEE439">
      <w:pPr>
        <w:widowControl/>
        <w:numPr>
          <w:ilvl w:val="0"/>
          <w:numId w:val="11"/>
        </w:numPr>
        <w:topLinePunct/>
        <w:adjustRightInd w:val="0"/>
        <w:snapToGrid w:val="0"/>
        <w:spacing w:before="100" w:after="100" w:line="300" w:lineRule="exact"/>
        <w:ind w:left="420" w:hangingChars="200"/>
        <w:jc w:val="left"/>
        <w:rPr>
          <w:rFonts w:ascii="宋体" w:hAnsi="宋体"/>
        </w:rPr>
      </w:pPr>
      <w:r>
        <w:rPr>
          <w:rFonts w:hint="eastAsia"/>
          <w:lang w:val="en-US" w:eastAsia="zh-CN"/>
        </w:rPr>
        <w:t>中标人应</w:t>
      </w:r>
      <w:r>
        <w:rPr>
          <w:rFonts w:hint="eastAsia" w:ascii="宋体" w:hAnsi="宋体"/>
        </w:rPr>
        <w:t>协助</w:t>
      </w:r>
      <w:r>
        <w:rPr>
          <w:rFonts w:ascii="宋体" w:hAnsi="宋体"/>
        </w:rPr>
        <w:t>采购人</w:t>
      </w:r>
      <w:r>
        <w:rPr>
          <w:rFonts w:hint="eastAsia" w:ascii="宋体" w:hAnsi="宋体"/>
        </w:rPr>
        <w:t>审核重大活动前的云服务商提供的安全保障方案，提出问题和建议，保障重保工作的有效开展；三是协助</w:t>
      </w:r>
      <w:r>
        <w:rPr>
          <w:rFonts w:ascii="宋体" w:hAnsi="宋体"/>
        </w:rPr>
        <w:t>采购人</w:t>
      </w:r>
      <w:r>
        <w:rPr>
          <w:rFonts w:hint="eastAsia" w:ascii="宋体" w:hAnsi="宋体"/>
        </w:rPr>
        <w:t>建立健全市级政务云总体应急预案，并及时按需进行预案修订，定期审核云服务商的安全应急预案和相关演练记录，确保云服务商进行应急演练（一年两次，至少一次网络安全应急演练），落实相互配合环节，以满足业务连续性的要求。</w:t>
      </w:r>
    </w:p>
    <w:p w14:paraId="242B5790">
      <w:pPr>
        <w:widowControl/>
        <w:numPr>
          <w:ilvl w:val="0"/>
          <w:numId w:val="11"/>
        </w:numPr>
        <w:topLinePunct/>
        <w:adjustRightInd w:val="0"/>
        <w:snapToGrid w:val="0"/>
        <w:spacing w:before="100" w:after="100" w:line="300" w:lineRule="exact"/>
        <w:ind w:left="420" w:hangingChars="200"/>
        <w:jc w:val="left"/>
        <w:rPr>
          <w:rFonts w:ascii="宋体" w:hAnsi="宋体"/>
        </w:rPr>
      </w:pPr>
      <w:r>
        <w:rPr>
          <w:rFonts w:hint="eastAsia" w:ascii="宋体" w:hAnsi="宋体"/>
          <w:lang w:val="en-US" w:eastAsia="zh-CN"/>
        </w:rPr>
        <w:t>中标人应协助采购人对云服务商的各项安全测评（如等保、密评等）报告的有效期进行管理。</w:t>
      </w:r>
      <w:r>
        <w:rPr>
          <w:rFonts w:hint="eastAsia" w:ascii="宋体" w:hAnsi="宋体"/>
        </w:rPr>
        <w:t>重大活动前需对云服务商提供的安全保障方案进行逐项审查，提出优化建议。</w:t>
      </w:r>
    </w:p>
    <w:p w14:paraId="6A67D336">
      <w:pPr>
        <w:widowControl/>
        <w:numPr>
          <w:ilvl w:val="0"/>
          <w:numId w:val="11"/>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应输出云服务商月度抽查报告、年度抽查总报告、安全证书审查报告、重保方案审查报告、市级政务云应急预案、应急演练评价报告。</w:t>
      </w:r>
    </w:p>
    <w:p w14:paraId="4C58BAC3">
      <w:pPr>
        <w:widowControl/>
        <w:numPr>
          <w:ilvl w:val="0"/>
          <w:numId w:val="11"/>
        </w:numPr>
        <w:topLinePunct/>
        <w:adjustRightInd w:val="0"/>
        <w:snapToGrid w:val="0"/>
        <w:spacing w:before="100" w:after="100" w:line="300" w:lineRule="exact"/>
        <w:ind w:left="420" w:hangingChars="200"/>
        <w:jc w:val="left"/>
        <w:rPr>
          <w:rFonts w:ascii="宋体" w:hAnsi="宋体"/>
        </w:rPr>
      </w:pPr>
      <w:r>
        <w:rPr>
          <w:rFonts w:hint="eastAsia" w:ascii="宋体" w:hAnsi="宋体"/>
          <w:lang w:val="en-US" w:eastAsia="zh-CN"/>
        </w:rPr>
        <w:t>中标人应按季度开展服务发现扫描，形成扫描报告，明确云平台对外暴露主机概况、梳理云平台暴露风险并给出解决办法。</w:t>
      </w:r>
    </w:p>
    <w:p w14:paraId="0AB02DB1">
      <w:pPr>
        <w:pStyle w:val="4"/>
        <w:numPr>
          <w:ilvl w:val="0"/>
          <w:numId w:val="0"/>
        </w:numPr>
        <w:tabs>
          <w:tab w:val="left" w:pos="1260"/>
          <w:tab w:val="clear" w:pos="840"/>
        </w:tabs>
        <w:rPr>
          <w:rFonts w:ascii="宋体" w:hAnsi="宋体"/>
          <w:lang w:eastAsia="zh-CN"/>
        </w:rPr>
      </w:pPr>
      <w:r>
        <w:rPr>
          <w:rFonts w:hint="eastAsia" w:ascii="宋体" w:hAnsi="宋体"/>
          <w:lang w:eastAsia="zh-CN"/>
        </w:rPr>
        <w:t>2.2</w:t>
      </w:r>
      <w:r>
        <w:rPr>
          <w:rFonts w:hint="eastAsia" w:ascii="宋体" w:hAnsi="宋体"/>
          <w:lang w:val="en-US" w:eastAsia="zh-CN"/>
        </w:rPr>
        <w:t>规范性监管</w:t>
      </w:r>
      <w:r>
        <w:rPr>
          <w:rFonts w:hint="eastAsia" w:ascii="宋体" w:hAnsi="宋体"/>
          <w:lang w:eastAsia="zh-CN"/>
        </w:rPr>
        <w:t>服务</w:t>
      </w:r>
    </w:p>
    <w:p w14:paraId="7A745BFE">
      <w:pPr>
        <w:pStyle w:val="5"/>
        <w:numPr>
          <w:ilvl w:val="2"/>
          <w:numId w:val="0"/>
        </w:numPr>
        <w:spacing w:before="160" w:line="300" w:lineRule="exact"/>
        <w:rPr>
          <w:rFonts w:ascii="宋体" w:hAnsi="宋体"/>
          <w:b/>
          <w:bCs/>
        </w:rPr>
      </w:pPr>
      <w:r>
        <w:rPr>
          <w:rFonts w:hint="eastAsia" w:ascii="宋体" w:hAnsi="宋体"/>
          <w:b/>
          <w:bCs/>
        </w:rPr>
        <w:t>2.2.1 云服务规范性服务</w:t>
      </w:r>
    </w:p>
    <w:p w14:paraId="318EB5DF">
      <w:pPr>
        <w:widowControl/>
        <w:numPr>
          <w:ilvl w:val="0"/>
          <w:numId w:val="12"/>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根据采购人提供的制度框架和政务云运营管理实际，提供云服务标准（如资源管理流程、服务级别协议SLA、故障响应机制等）的优化建议，协助采购人完善现有标准体系；协助采购人梳理云服务采购合同、服务协议、保密协议等文件中的条款，重点审查服务内容、服务质量、安全保障措施、责任划分等关键内容，提出合规性建议；针对现有管理制度的执行漏洞或不足，提供流程优化方案，辅助采购人提升管理效率和风险防控能力。</w:t>
      </w:r>
    </w:p>
    <w:p w14:paraId="2215D436">
      <w:pPr>
        <w:widowControl/>
        <w:numPr>
          <w:ilvl w:val="0"/>
          <w:numId w:val="12"/>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需从服务规范性涉及的多个层面，包括资源管理流程、服务水平、故障管理、安全保障等方面进行方案阐述。</w:t>
      </w:r>
    </w:p>
    <w:p w14:paraId="45DCD5E9">
      <w:pPr>
        <w:widowControl/>
        <w:numPr>
          <w:ilvl w:val="0"/>
          <w:numId w:val="12"/>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应建立日常规范性工作机制，定期检查与评估相关制度和规范的执行情况，对违反制度和规范的行为出具整改通知单，落实云服务商的违约处置</w:t>
      </w:r>
      <w:r>
        <w:rPr>
          <w:rFonts w:hint="eastAsia" w:ascii="宋体" w:hAnsi="宋体"/>
          <w:lang w:eastAsia="zh-CN"/>
        </w:rPr>
        <w:t>，形成《制度执行评估报告》</w:t>
      </w:r>
      <w:r>
        <w:rPr>
          <w:rFonts w:hint="eastAsia" w:ascii="宋体" w:hAnsi="宋体"/>
        </w:rPr>
        <w:t>。</w:t>
      </w:r>
    </w:p>
    <w:p w14:paraId="7C8E350C">
      <w:pPr>
        <w:widowControl/>
        <w:numPr>
          <w:ilvl w:val="0"/>
          <w:numId w:val="12"/>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按</w:t>
      </w:r>
      <w:r>
        <w:rPr>
          <w:rFonts w:ascii="宋体" w:hAnsi="宋体"/>
        </w:rPr>
        <w:t>采购人</w:t>
      </w:r>
      <w:r>
        <w:rPr>
          <w:rFonts w:hint="eastAsia" w:ascii="宋体" w:hAnsi="宋体"/>
        </w:rPr>
        <w:t>要求出具相关的规范和制度意见，出具制度执行评估报告、整改通知单以及</w:t>
      </w:r>
      <w:r>
        <w:rPr>
          <w:rFonts w:hint="eastAsia" w:ascii="宋体" w:hAnsi="宋体"/>
          <w:lang w:val="en-US" w:eastAsia="zh-CN"/>
        </w:rPr>
        <w:t>整改</w:t>
      </w:r>
      <w:r>
        <w:rPr>
          <w:rFonts w:hint="eastAsia" w:ascii="宋体" w:hAnsi="宋体"/>
        </w:rPr>
        <w:t>跟踪报告。</w:t>
      </w:r>
    </w:p>
    <w:p w14:paraId="140D095A">
      <w:pPr>
        <w:widowControl/>
        <w:numPr>
          <w:ilvl w:val="0"/>
          <w:numId w:val="12"/>
        </w:numPr>
        <w:topLinePunct/>
        <w:adjustRightInd w:val="0"/>
        <w:snapToGrid w:val="0"/>
        <w:spacing w:before="100" w:after="100" w:line="300" w:lineRule="exact"/>
        <w:ind w:left="420" w:hangingChars="200"/>
        <w:jc w:val="left"/>
        <w:rPr>
          <w:rFonts w:ascii="宋体" w:hAnsi="宋体"/>
        </w:rPr>
      </w:pPr>
      <w:r>
        <w:rPr>
          <w:rFonts w:hint="eastAsia" w:ascii="宋体" w:hAnsi="宋体"/>
        </w:rPr>
        <w:t>对使用单位在使用市级政务云资源的效能开展评估，按季度出具评估报告，包括使用单位使用政务云资源的规范性和CPU、内存、存储等的资源使用率，并针对资源利用率提出合理化建议。</w:t>
      </w:r>
    </w:p>
    <w:p w14:paraId="5CE15B3B">
      <w:pPr>
        <w:pStyle w:val="5"/>
        <w:numPr>
          <w:ilvl w:val="2"/>
          <w:numId w:val="0"/>
        </w:numPr>
        <w:spacing w:before="160" w:line="300" w:lineRule="exact"/>
        <w:rPr>
          <w:rFonts w:ascii="宋体" w:hAnsi="宋体"/>
          <w:b/>
          <w:bCs/>
        </w:rPr>
      </w:pPr>
      <w:r>
        <w:rPr>
          <w:rFonts w:hint="eastAsia" w:ascii="宋体" w:hAnsi="宋体"/>
          <w:b/>
          <w:bCs/>
        </w:rPr>
        <w:t>2.2.2 政务云验收服务</w:t>
      </w:r>
    </w:p>
    <w:p w14:paraId="0AE86C96">
      <w:pPr>
        <w:widowControl/>
        <w:numPr>
          <w:ilvl w:val="0"/>
          <w:numId w:val="13"/>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应根据</w:t>
      </w:r>
      <w:r>
        <w:rPr>
          <w:rFonts w:ascii="宋体" w:hAnsi="宋体"/>
        </w:rPr>
        <w:t>采购人</w:t>
      </w:r>
      <w:r>
        <w:rPr>
          <w:rFonts w:hint="eastAsia" w:ascii="宋体" w:hAnsi="宋体"/>
        </w:rPr>
        <w:t>提出的验收要求协助</w:t>
      </w:r>
      <w:r>
        <w:rPr>
          <w:rFonts w:ascii="宋体" w:hAnsi="宋体"/>
        </w:rPr>
        <w:t>采购人</w:t>
      </w:r>
      <w:r>
        <w:rPr>
          <w:rFonts w:hint="eastAsia" w:ascii="宋体" w:hAnsi="宋体"/>
        </w:rPr>
        <w:t>组织并开展政务云验收服务工作，包括但不限于组织云服务商准备验收材料、核对云服务商提供的验收材料的完整性、核对云服务商提供的验收材料与政务云验收标准的符合度等。</w:t>
      </w:r>
    </w:p>
    <w:p w14:paraId="1113F68B">
      <w:pPr>
        <w:widowControl/>
        <w:numPr>
          <w:ilvl w:val="0"/>
          <w:numId w:val="13"/>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w:t>
      </w:r>
      <w:r>
        <w:rPr>
          <w:rFonts w:hint="eastAsia" w:ascii="宋体" w:hAnsi="宋体"/>
          <w:lang w:val="en-US" w:eastAsia="zh-CN"/>
        </w:rPr>
        <w:t>修订</w:t>
      </w:r>
      <w:r>
        <w:rPr>
          <w:rFonts w:hint="eastAsia" w:ascii="宋体" w:hAnsi="宋体"/>
        </w:rPr>
        <w:t>合同履行审查方案，明确审查项和审查方式，记录审查结果，明确审查结论，确保履约结果有记录，可验证。</w:t>
      </w:r>
    </w:p>
    <w:p w14:paraId="036683CF">
      <w:pPr>
        <w:widowControl/>
        <w:numPr>
          <w:ilvl w:val="0"/>
          <w:numId w:val="13"/>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应出具合同履行审查报告明确履约结论和监理报告总结验收结果、改进建议及问题整改情况。</w:t>
      </w:r>
    </w:p>
    <w:p w14:paraId="6A9CA5C2">
      <w:pPr>
        <w:spacing w:line="276" w:lineRule="auto"/>
        <w:ind w:left="420" w:firstLine="420"/>
      </w:pPr>
    </w:p>
    <w:p w14:paraId="79F55158">
      <w:pPr>
        <w:pStyle w:val="4"/>
        <w:numPr>
          <w:ilvl w:val="0"/>
          <w:numId w:val="0"/>
        </w:numPr>
        <w:tabs>
          <w:tab w:val="left" w:pos="1260"/>
          <w:tab w:val="clear" w:pos="840"/>
        </w:tabs>
        <w:rPr>
          <w:rFonts w:ascii="宋体" w:hAnsi="宋体"/>
          <w:lang w:eastAsia="zh-CN"/>
        </w:rPr>
      </w:pPr>
      <w:r>
        <w:rPr>
          <w:rFonts w:hint="eastAsia" w:ascii="宋体" w:hAnsi="宋体"/>
          <w:lang w:eastAsia="zh-CN"/>
        </w:rPr>
        <w:t>2.3运营专业服务</w:t>
      </w:r>
    </w:p>
    <w:p w14:paraId="18080FF3">
      <w:pPr>
        <w:pStyle w:val="5"/>
        <w:numPr>
          <w:ilvl w:val="2"/>
          <w:numId w:val="0"/>
        </w:numPr>
        <w:spacing w:before="160" w:line="300" w:lineRule="exact"/>
        <w:rPr>
          <w:rFonts w:hint="eastAsia" w:ascii="宋体" w:hAnsi="宋体" w:eastAsia="宋体"/>
          <w:b/>
          <w:bCs/>
          <w:lang w:eastAsia="zh-CN"/>
        </w:rPr>
      </w:pPr>
      <w:r>
        <w:rPr>
          <w:rFonts w:hint="eastAsia" w:ascii="宋体" w:hAnsi="宋体"/>
          <w:b/>
          <w:bCs/>
        </w:rPr>
        <w:t>2.3.1云平台运营</w:t>
      </w:r>
      <w:r>
        <w:rPr>
          <w:rFonts w:hint="eastAsia" w:ascii="宋体" w:hAnsi="宋体"/>
          <w:b/>
          <w:bCs/>
          <w:lang w:eastAsia="zh-CN"/>
        </w:rPr>
        <w:t>专业服务</w:t>
      </w:r>
    </w:p>
    <w:p w14:paraId="390213EA">
      <w:pPr>
        <w:widowControl/>
        <w:numPr>
          <w:ilvl w:val="0"/>
          <w:numId w:val="14"/>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应提供政务云平台运营</w:t>
      </w:r>
      <w:r>
        <w:rPr>
          <w:rFonts w:hint="eastAsia" w:ascii="宋体" w:hAnsi="宋体"/>
          <w:lang w:eastAsia="zh-CN"/>
        </w:rPr>
        <w:t>专业服务</w:t>
      </w:r>
      <w:r>
        <w:rPr>
          <w:rFonts w:hint="eastAsia" w:ascii="宋体" w:hAnsi="宋体"/>
        </w:rPr>
        <w:t>应包括但不限于任务管理、事件（故障）管理、投诉管理、问题管理、知识管理和满意度管理等。</w:t>
      </w:r>
    </w:p>
    <w:p w14:paraId="2CFF8A70">
      <w:pPr>
        <w:widowControl/>
        <w:numPr>
          <w:ilvl w:val="0"/>
          <w:numId w:val="14"/>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为开展云平台运营</w:t>
      </w:r>
      <w:r>
        <w:rPr>
          <w:rFonts w:hint="eastAsia" w:ascii="宋体" w:hAnsi="宋体"/>
          <w:lang w:eastAsia="zh-CN"/>
        </w:rPr>
        <w:t>专业服务</w:t>
      </w:r>
      <w:r>
        <w:rPr>
          <w:rFonts w:hint="eastAsia" w:ascii="宋体" w:hAnsi="宋体"/>
        </w:rPr>
        <w:t>，应自带相关信息化系统管理软件。系统应至少包括变更工单创建、流转与归档，故障工单的录入、定级、扣分和归档，绩效考核的评分和展示，会议、任务、投诉、申诉和知识库的记录和管理等相关功能。</w:t>
      </w:r>
      <w:r>
        <w:rPr>
          <w:rFonts w:ascii="宋体" w:hAnsi="宋体"/>
        </w:rPr>
        <w:t>中标人</w:t>
      </w:r>
      <w:r>
        <w:rPr>
          <w:rFonts w:hint="eastAsia" w:ascii="宋体" w:hAnsi="宋体"/>
        </w:rPr>
        <w:t>应提供软件功能说明和截图。</w:t>
      </w:r>
    </w:p>
    <w:p w14:paraId="6A89F0AD">
      <w:pPr>
        <w:widowControl/>
        <w:numPr>
          <w:ilvl w:val="0"/>
          <w:numId w:val="14"/>
        </w:numPr>
        <w:topLinePunct/>
        <w:adjustRightInd w:val="0"/>
        <w:snapToGrid w:val="0"/>
        <w:spacing w:before="100" w:after="100" w:line="300" w:lineRule="exact"/>
        <w:ind w:left="420" w:hangingChars="200"/>
        <w:jc w:val="left"/>
        <w:rPr>
          <w:rFonts w:ascii="宋体" w:hAnsi="宋体"/>
        </w:rPr>
      </w:pPr>
      <w:r>
        <w:rPr>
          <w:rFonts w:hint="eastAsia" w:ascii="宋体" w:hAnsi="宋体"/>
          <w:lang w:val="en-US" w:eastAsia="zh-CN"/>
        </w:rPr>
        <w:t>中标人应</w:t>
      </w:r>
      <w:r>
        <w:rPr>
          <w:rFonts w:hint="eastAsia" w:ascii="宋体" w:hAnsi="宋体"/>
        </w:rPr>
        <w:t>建立政务云平台端到端全链路监控体系，提供并部署统一监控软件平台，实现链路运行状态实时监控、异常自动识别，并支持短信告警、告警分级、告警闭环处置等功能。</w:t>
      </w:r>
    </w:p>
    <w:p w14:paraId="61B3281B">
      <w:pPr>
        <w:widowControl/>
        <w:numPr>
          <w:ilvl w:val="0"/>
          <w:numId w:val="14"/>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应出具日常的任务跟踪、事件（故障）相关评估报告。在信息化系统管理软件中积累的数据亦作为</w:t>
      </w:r>
      <w:r>
        <w:rPr>
          <w:rFonts w:hint="eastAsia" w:ascii="宋体" w:hAnsi="宋体"/>
          <w:lang w:val="en-US" w:eastAsia="zh-CN"/>
        </w:rPr>
        <w:t>专业团队</w:t>
      </w:r>
      <w:r>
        <w:rPr>
          <w:rFonts w:hint="eastAsia" w:ascii="宋体" w:hAnsi="宋体"/>
        </w:rPr>
        <w:t>相关交付物。</w:t>
      </w:r>
    </w:p>
    <w:p w14:paraId="6835BFA7">
      <w:pPr>
        <w:pStyle w:val="5"/>
        <w:numPr>
          <w:ilvl w:val="2"/>
          <w:numId w:val="0"/>
        </w:numPr>
        <w:spacing w:before="160" w:line="300" w:lineRule="exact"/>
        <w:rPr>
          <w:rFonts w:hint="eastAsia" w:ascii="宋体" w:hAnsi="宋体" w:eastAsia="宋体"/>
          <w:b/>
          <w:bCs/>
          <w:lang w:val="en-US" w:eastAsia="zh-CN"/>
        </w:rPr>
      </w:pPr>
      <w:r>
        <w:rPr>
          <w:rFonts w:hint="eastAsia" w:ascii="宋体" w:hAnsi="宋体"/>
          <w:b/>
          <w:bCs/>
        </w:rPr>
        <w:t>2.3.2 闭环式管理</w:t>
      </w:r>
      <w:r>
        <w:rPr>
          <w:rFonts w:hint="eastAsia" w:ascii="宋体" w:hAnsi="宋体"/>
          <w:b/>
          <w:bCs/>
          <w:lang w:val="en-US" w:eastAsia="zh-CN"/>
        </w:rPr>
        <w:t>服务</w:t>
      </w:r>
    </w:p>
    <w:p w14:paraId="10C9EED1">
      <w:pPr>
        <w:widowControl/>
        <w:numPr>
          <w:ilvl w:val="0"/>
          <w:numId w:val="15"/>
        </w:numPr>
        <w:topLinePunct/>
        <w:adjustRightInd w:val="0"/>
        <w:snapToGrid w:val="0"/>
        <w:spacing w:before="100" w:after="100" w:line="300" w:lineRule="exact"/>
        <w:ind w:left="420" w:hangingChars="200"/>
        <w:jc w:val="left"/>
        <w:rPr>
          <w:rFonts w:ascii="宋体" w:hAnsi="宋体"/>
        </w:rPr>
      </w:pPr>
      <w:r>
        <w:rPr>
          <w:rFonts w:hint="eastAsia" w:ascii="宋体" w:hAnsi="宋体"/>
        </w:rPr>
        <w:t>PDCA闭环管理包括了计划(Plan)、实施(Do)、检查(Check)和处理(Action)，市政务云的PDCA管理既要覆盖</w:t>
      </w:r>
      <w:r>
        <w:rPr>
          <w:rFonts w:hint="eastAsia" w:ascii="宋体" w:hAnsi="宋体"/>
          <w:lang w:val="en-US" w:eastAsia="zh-CN"/>
        </w:rPr>
        <w:t>专业</w:t>
      </w:r>
      <w:r>
        <w:rPr>
          <w:rFonts w:hint="eastAsia" w:ascii="宋体" w:hAnsi="宋体"/>
        </w:rPr>
        <w:t>工作中所发现问题的闭环管理，也需要对市政务云团队内部自身发现的问题，以及外部其他监管部门发现的问题实现闭环管理，迭代提升。</w:t>
      </w:r>
    </w:p>
    <w:p w14:paraId="602DF2E1">
      <w:pPr>
        <w:widowControl/>
        <w:numPr>
          <w:ilvl w:val="0"/>
          <w:numId w:val="15"/>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应说明在市政务云项目各个不同的管理层级上如何实施PDCA管理，促进市政务云管理水平和服务能力的不断提升。</w:t>
      </w:r>
    </w:p>
    <w:p w14:paraId="1005EB06">
      <w:pPr>
        <w:widowControl/>
        <w:numPr>
          <w:ilvl w:val="0"/>
          <w:numId w:val="15"/>
        </w:numPr>
        <w:topLinePunct/>
        <w:adjustRightInd w:val="0"/>
        <w:snapToGrid w:val="0"/>
        <w:spacing w:before="100" w:after="100" w:line="300" w:lineRule="exact"/>
        <w:ind w:left="420" w:hangingChars="200"/>
        <w:jc w:val="left"/>
        <w:rPr>
          <w:rFonts w:ascii="宋体" w:hAnsi="宋体"/>
        </w:rPr>
      </w:pPr>
      <w:r>
        <w:rPr>
          <w:rFonts w:hint="eastAsia" w:ascii="宋体" w:hAnsi="宋体"/>
          <w:lang w:val="en-US" w:eastAsia="zh-CN"/>
        </w:rPr>
        <w:t>中标人应持续优化政务云管理水平和服务能力，按月提交PDCA管理报告，记录问题整改、流程优化及管理成效。</w:t>
      </w:r>
      <w:r>
        <w:rPr>
          <w:rFonts w:hint="eastAsia" w:ascii="宋体" w:hAnsi="宋体"/>
        </w:rPr>
        <w:t>PDCA管理需覆盖服务标准、资源配置、安全保障等关键环节。管理报告需包含整改闭环记录及优化措施效果分析。</w:t>
      </w:r>
    </w:p>
    <w:p w14:paraId="746030E6">
      <w:pPr>
        <w:widowControl/>
        <w:numPr>
          <w:ilvl w:val="0"/>
          <w:numId w:val="15"/>
        </w:numPr>
        <w:topLinePunct/>
        <w:adjustRightInd w:val="0"/>
        <w:snapToGrid w:val="0"/>
        <w:spacing w:before="100" w:after="100" w:line="300" w:lineRule="exact"/>
        <w:ind w:left="420" w:hangingChars="200"/>
        <w:jc w:val="left"/>
        <w:rPr>
          <w:rFonts w:ascii="宋体" w:hAnsi="宋体"/>
        </w:rPr>
      </w:pPr>
      <w:r>
        <w:rPr>
          <w:rFonts w:hint="eastAsia" w:ascii="宋体" w:hAnsi="宋体"/>
        </w:rPr>
        <w:t>PDCA闭环式管理工作贯穿市政务云运营的日常过程。</w:t>
      </w:r>
    </w:p>
    <w:p w14:paraId="23932646">
      <w:pPr>
        <w:widowControl/>
        <w:numPr>
          <w:ilvl w:val="0"/>
          <w:numId w:val="15"/>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应定期出具PDCA报告。</w:t>
      </w:r>
    </w:p>
    <w:p w14:paraId="42737759">
      <w:pPr>
        <w:pStyle w:val="4"/>
        <w:numPr>
          <w:ilvl w:val="0"/>
          <w:numId w:val="0"/>
        </w:numPr>
        <w:tabs>
          <w:tab w:val="left" w:pos="1260"/>
          <w:tab w:val="clear" w:pos="840"/>
        </w:tabs>
        <w:rPr>
          <w:rFonts w:hint="eastAsia" w:ascii="宋体" w:hAnsi="宋体"/>
          <w:lang w:val="en-US" w:eastAsia="zh-CN"/>
        </w:rPr>
      </w:pPr>
      <w:r>
        <w:rPr>
          <w:rFonts w:hint="eastAsia" w:ascii="宋体" w:hAnsi="宋体"/>
          <w:lang w:eastAsia="zh-CN"/>
        </w:rPr>
        <w:t>2.4</w:t>
      </w:r>
      <w:r>
        <w:rPr>
          <w:rFonts w:hint="eastAsia" w:ascii="宋体" w:hAnsi="宋体"/>
          <w:lang w:val="en-US" w:eastAsia="zh-CN"/>
        </w:rPr>
        <w:t>绩效评价服务</w:t>
      </w:r>
    </w:p>
    <w:p w14:paraId="2AD55E58">
      <w:pPr>
        <w:spacing w:line="276" w:lineRule="auto"/>
        <w:ind w:left="420" w:firstLine="420"/>
        <w:rPr>
          <w:rFonts w:hint="eastAsia"/>
          <w:lang w:val="en-US" w:eastAsia="zh-CN"/>
        </w:rPr>
      </w:pPr>
      <w:r>
        <w:rPr>
          <w:rFonts w:hint="eastAsia"/>
          <w:lang w:val="en-US" w:eastAsia="zh-CN"/>
        </w:rPr>
        <w:t>绩效评价服务以《上海市全面实施预算绩效管理实施意见》《上海市财政项目支出绩效管理办法》为依据，通过考核云服务商及满意度调查，评估服务效能与财政资金使用效益。</w:t>
      </w:r>
    </w:p>
    <w:p w14:paraId="6A1F656D">
      <w:pPr>
        <w:pStyle w:val="5"/>
        <w:numPr>
          <w:ilvl w:val="2"/>
          <w:numId w:val="0"/>
        </w:numPr>
        <w:spacing w:before="160" w:line="300" w:lineRule="exact"/>
        <w:rPr>
          <w:rFonts w:hint="eastAsia" w:ascii="宋体" w:hAnsi="宋体" w:eastAsia="宋体"/>
          <w:b/>
          <w:bCs/>
          <w:lang w:eastAsia="zh-CN"/>
        </w:rPr>
      </w:pPr>
      <w:r>
        <w:rPr>
          <w:rFonts w:hint="eastAsia" w:ascii="宋体" w:hAnsi="宋体" w:eastAsia="宋体"/>
          <w:b/>
          <w:bCs/>
          <w:lang w:eastAsia="zh-CN"/>
        </w:rPr>
        <w:t>2.</w:t>
      </w:r>
      <w:r>
        <w:rPr>
          <w:rFonts w:hint="eastAsia" w:ascii="宋体" w:hAnsi="宋体" w:eastAsia="宋体"/>
          <w:b/>
          <w:bCs/>
          <w:lang w:val="en-US" w:eastAsia="zh-CN"/>
        </w:rPr>
        <w:t xml:space="preserve">4.1 </w:t>
      </w:r>
      <w:r>
        <w:rPr>
          <w:rFonts w:hint="eastAsia" w:ascii="宋体" w:hAnsi="宋体" w:eastAsia="宋体"/>
          <w:b/>
          <w:bCs/>
          <w:lang w:eastAsia="zh-CN"/>
        </w:rPr>
        <w:t>云</w:t>
      </w:r>
      <w:r>
        <w:rPr>
          <w:rFonts w:hint="eastAsia" w:ascii="宋体" w:hAnsi="宋体" w:eastAsia="宋体"/>
          <w:b/>
          <w:bCs/>
          <w:lang w:val="en-US" w:eastAsia="zh-CN"/>
        </w:rPr>
        <w:t>服务商考核</w:t>
      </w:r>
      <w:r>
        <w:rPr>
          <w:rFonts w:hint="eastAsia" w:ascii="宋体" w:hAnsi="宋体" w:eastAsia="宋体"/>
          <w:b/>
          <w:bCs/>
          <w:lang w:eastAsia="zh-CN"/>
        </w:rPr>
        <w:t>服务</w:t>
      </w:r>
    </w:p>
    <w:p w14:paraId="6C8F17C2">
      <w:pPr>
        <w:widowControl/>
        <w:numPr>
          <w:ilvl w:val="0"/>
          <w:numId w:val="16"/>
        </w:numPr>
        <w:topLinePunct/>
        <w:adjustRightInd w:val="0"/>
        <w:snapToGrid w:val="0"/>
        <w:spacing w:before="100" w:after="100" w:line="300" w:lineRule="exact"/>
        <w:ind w:left="420" w:hangingChars="200"/>
        <w:jc w:val="left"/>
        <w:rPr>
          <w:rFonts w:ascii="宋体" w:hAnsi="宋体"/>
        </w:rPr>
      </w:pPr>
      <w:r>
        <w:rPr>
          <w:rFonts w:hint="eastAsia" w:ascii="宋体" w:hAnsi="宋体"/>
        </w:rPr>
        <w:t>在市政务云服务期间开展覆盖整个服务周期的绩效评估工作，通过快速迭代的方式来细化绩效目标，最终根据</w:t>
      </w:r>
      <w:r>
        <w:rPr>
          <w:rFonts w:ascii="宋体" w:hAnsi="宋体"/>
        </w:rPr>
        <w:t>采购人</w:t>
      </w:r>
      <w:r>
        <w:rPr>
          <w:rFonts w:hint="eastAsia" w:ascii="宋体" w:hAnsi="宋体"/>
        </w:rPr>
        <w:t>要求形成政务云绩效管理体系。结合本项目服务内容，构建覆盖“服务可用性、资源交付效率、故障响应时效、安全合规性、用户满意度”等维度的综合性考核指标体系，并经采购人审核确认后执行。</w:t>
      </w:r>
    </w:p>
    <w:p w14:paraId="083699DB">
      <w:pPr>
        <w:widowControl/>
        <w:numPr>
          <w:ilvl w:val="0"/>
          <w:numId w:val="16"/>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w:t>
      </w:r>
      <w:r>
        <w:rPr>
          <w:rFonts w:hint="eastAsia" w:ascii="宋体" w:hAnsi="宋体"/>
          <w:lang w:val="en-US" w:eastAsia="zh-CN"/>
        </w:rPr>
        <w:t>协助采购人不断完善</w:t>
      </w:r>
      <w:r>
        <w:rPr>
          <w:rFonts w:hint="eastAsia" w:ascii="宋体" w:hAnsi="宋体"/>
        </w:rPr>
        <w:t>面向云服务商的考核标准，并且按年、按月进行考核。</w:t>
      </w:r>
      <w:r>
        <w:rPr>
          <w:rFonts w:hint="default" w:ascii="宋体" w:hAnsi="宋体"/>
        </w:rPr>
        <w:t>形成《云服务商</w:t>
      </w:r>
      <w:r>
        <w:rPr>
          <w:rFonts w:hint="eastAsia" w:ascii="宋体" w:hAnsi="宋体"/>
          <w:lang w:val="en-US" w:eastAsia="zh-CN"/>
        </w:rPr>
        <w:t>月度</w:t>
      </w:r>
      <w:r>
        <w:rPr>
          <w:rFonts w:hint="default" w:ascii="宋体" w:hAnsi="宋体"/>
        </w:rPr>
        <w:t>考核报告》</w:t>
      </w:r>
      <w:r>
        <w:rPr>
          <w:rFonts w:hint="eastAsia" w:ascii="宋体" w:hAnsi="宋体"/>
          <w:lang w:val="en-US" w:eastAsia="zh-CN"/>
        </w:rPr>
        <w:t>和</w:t>
      </w:r>
      <w:r>
        <w:rPr>
          <w:rFonts w:hint="default" w:ascii="宋体" w:hAnsi="宋体"/>
        </w:rPr>
        <w:t>《云服务商</w:t>
      </w:r>
      <w:r>
        <w:rPr>
          <w:rFonts w:hint="eastAsia" w:ascii="宋体" w:hAnsi="宋体"/>
          <w:lang w:val="en-US" w:eastAsia="zh-CN"/>
        </w:rPr>
        <w:t>年度</w:t>
      </w:r>
      <w:r>
        <w:rPr>
          <w:rFonts w:hint="default" w:ascii="宋体" w:hAnsi="宋体"/>
        </w:rPr>
        <w:t>考核报告》，明确评分结果、扣分项、问题清单及改进建议。</w:t>
      </w:r>
    </w:p>
    <w:p w14:paraId="632E0A71">
      <w:pPr>
        <w:pStyle w:val="5"/>
        <w:widowControl/>
        <w:numPr>
          <w:ilvl w:val="2"/>
          <w:numId w:val="0"/>
        </w:numPr>
        <w:topLinePunct/>
        <w:adjustRightInd w:val="0"/>
        <w:snapToGrid w:val="0"/>
        <w:spacing w:before="160" w:after="100"/>
        <w:ind w:left="420" w:hangingChars="200"/>
        <w:jc w:val="left"/>
        <w:rPr>
          <w:rStyle w:val="12"/>
          <w:rFonts w:hint="eastAsia"/>
          <w:lang w:val="en-US" w:eastAsia="zh-CN"/>
        </w:rPr>
      </w:pPr>
      <w:r>
        <w:rPr>
          <w:rFonts w:hint="eastAsia" w:ascii="宋体" w:hAnsi="宋体" w:eastAsia="宋体"/>
          <w:b/>
          <w:bCs/>
          <w:lang w:val="en-US" w:eastAsia="zh-CN"/>
        </w:rPr>
        <w:t>2.4.2</w:t>
      </w:r>
      <w:r>
        <w:rPr>
          <w:rStyle w:val="12"/>
        </w:rPr>
        <w:t>使用单位满意度调查</w:t>
      </w:r>
      <w:r>
        <w:rPr>
          <w:rStyle w:val="12"/>
          <w:rFonts w:hint="eastAsia"/>
          <w:lang w:val="en-US" w:eastAsia="zh-CN"/>
        </w:rPr>
        <w:t>服务</w:t>
      </w:r>
    </w:p>
    <w:p w14:paraId="71256043">
      <w:pPr>
        <w:widowControl/>
        <w:numPr>
          <w:ilvl w:val="0"/>
          <w:numId w:val="17"/>
        </w:numPr>
        <w:topLinePunct/>
        <w:adjustRightInd w:val="0"/>
        <w:snapToGrid w:val="0"/>
        <w:ind w:left="420"/>
        <w:rPr>
          <w:rFonts w:hint="default" w:ascii="宋体" w:hAnsi="宋体"/>
        </w:rPr>
      </w:pPr>
      <w:r>
        <w:rPr>
          <w:rFonts w:hint="default" w:ascii="宋体" w:hAnsi="宋体"/>
        </w:rPr>
        <w:t>为真实、全面、客观地掌握政务云使用单位对平台服务的体验与评价，推动服务供给从“管理导向”向“用户导向”转型，</w:t>
      </w:r>
      <w:r>
        <w:rPr>
          <w:rFonts w:hint="eastAsia" w:ascii="宋体" w:hAnsi="宋体"/>
          <w:lang w:val="en-US" w:eastAsia="zh-CN"/>
        </w:rPr>
        <w:t>中标人应</w:t>
      </w:r>
      <w:r>
        <w:rPr>
          <w:rFonts w:hint="default" w:ascii="宋体" w:hAnsi="宋体"/>
        </w:rPr>
        <w:t>通过系统化、标准化的满意度调查机制，识别云服务商服务短板，提升</w:t>
      </w:r>
      <w:r>
        <w:rPr>
          <w:rFonts w:hint="eastAsia" w:ascii="宋体" w:hAnsi="宋体"/>
          <w:lang w:val="en-US" w:eastAsia="zh-CN"/>
        </w:rPr>
        <w:t>运营商</w:t>
      </w:r>
      <w:r>
        <w:rPr>
          <w:rFonts w:hint="default" w:ascii="宋体" w:hAnsi="宋体"/>
        </w:rPr>
        <w:t>响应能力与服务质量。</w:t>
      </w:r>
    </w:p>
    <w:p w14:paraId="59FBFBE7">
      <w:pPr>
        <w:widowControl/>
        <w:numPr>
          <w:ilvl w:val="0"/>
          <w:numId w:val="17"/>
        </w:numPr>
        <w:topLinePunct/>
        <w:adjustRightInd w:val="0"/>
        <w:snapToGrid w:val="0"/>
        <w:ind w:left="420"/>
        <w:rPr>
          <w:rFonts w:hint="default" w:ascii="宋体" w:hAnsi="宋体"/>
        </w:rPr>
      </w:pPr>
      <w:r>
        <w:rPr>
          <w:rFonts w:hint="eastAsia" w:ascii="宋体" w:hAnsi="宋体"/>
          <w:lang w:val="en-US" w:eastAsia="zh-CN"/>
        </w:rPr>
        <w:t>中标人应</w:t>
      </w:r>
      <w:r>
        <w:rPr>
          <w:rFonts w:hint="default" w:ascii="宋体" w:hAnsi="宋体"/>
        </w:rPr>
        <w:t xml:space="preserve">每年至少开展1次面向政务云使用单位的满意度调查，覆盖服务响应、资源分配、安全保障等方面。 </w:t>
      </w:r>
      <w:r>
        <w:rPr>
          <w:rFonts w:hint="eastAsia" w:ascii="宋体" w:hAnsi="宋体"/>
          <w:lang w:val="en-US" w:eastAsia="zh-CN"/>
        </w:rPr>
        <w:t>形成满意度调查报告，包含使用单位对服务响应、资源分配、安全保障的满意度评分及改进建议。</w:t>
      </w:r>
    </w:p>
    <w:p w14:paraId="2934F779">
      <w:pPr>
        <w:widowControl/>
        <w:numPr>
          <w:ilvl w:val="0"/>
          <w:numId w:val="17"/>
        </w:numPr>
        <w:topLinePunct/>
        <w:adjustRightInd w:val="0"/>
        <w:snapToGrid w:val="0"/>
        <w:ind w:left="420"/>
        <w:rPr>
          <w:rFonts w:hint="default" w:ascii="宋体" w:hAnsi="宋体"/>
        </w:rPr>
      </w:pPr>
      <w:r>
        <w:rPr>
          <w:rFonts w:hint="eastAsia" w:ascii="宋体" w:hAnsi="宋体"/>
          <w:lang w:val="en-US" w:eastAsia="zh-CN"/>
        </w:rPr>
        <w:t>中标人应</w:t>
      </w:r>
      <w:r>
        <w:rPr>
          <w:rFonts w:hint="default" w:ascii="宋体" w:hAnsi="宋体"/>
        </w:rPr>
        <w:t>对调查中发现的问题形成整改建议，并推动云服务商优化服务。</w:t>
      </w:r>
    </w:p>
    <w:p w14:paraId="554F1B06">
      <w:pPr>
        <w:pStyle w:val="4"/>
        <w:numPr>
          <w:ilvl w:val="0"/>
          <w:numId w:val="0"/>
        </w:numPr>
        <w:spacing w:before="160"/>
        <w:rPr>
          <w:rFonts w:hint="eastAsia" w:ascii="宋体" w:hAnsi="宋体" w:eastAsia="宋体"/>
          <w:b w:val="0"/>
          <w:bCs/>
          <w:lang w:eastAsia="zh-CN"/>
        </w:rPr>
      </w:pPr>
      <w:bookmarkStart w:id="11" w:name="_Toc62217741"/>
      <w:bookmarkStart w:id="12" w:name="_Toc308512349"/>
      <w:bookmarkStart w:id="13" w:name="_Toc64642727"/>
      <w:bookmarkStart w:id="14" w:name="_Toc71239894"/>
      <w:r>
        <w:rPr>
          <w:rFonts w:hint="eastAsia" w:ascii="宋体" w:hAnsi="宋体" w:eastAsia="宋体"/>
          <w:b w:val="0"/>
          <w:bCs/>
          <w:lang w:val="en-US" w:eastAsia="zh-CN"/>
        </w:rPr>
        <w:t xml:space="preserve">2.5 </w:t>
      </w:r>
      <w:r>
        <w:rPr>
          <w:rFonts w:hint="eastAsia" w:ascii="宋体" w:hAnsi="宋体" w:eastAsia="宋体"/>
          <w:b w:val="0"/>
          <w:bCs/>
          <w:lang w:eastAsia="zh-CN"/>
        </w:rPr>
        <w:t>云服务计量评估服务</w:t>
      </w:r>
    </w:p>
    <w:p w14:paraId="11295E96">
      <w:pPr>
        <w:widowControl/>
        <w:numPr>
          <w:ilvl w:val="0"/>
          <w:numId w:val="18"/>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协助</w:t>
      </w:r>
      <w:r>
        <w:rPr>
          <w:rFonts w:ascii="宋体" w:hAnsi="宋体"/>
        </w:rPr>
        <w:t>采购人</w:t>
      </w:r>
      <w:r>
        <w:rPr>
          <w:rFonts w:hint="eastAsia" w:ascii="宋体" w:hAnsi="宋体"/>
          <w:lang w:val="en-US" w:eastAsia="zh-CN"/>
        </w:rPr>
        <w:t>优化</w:t>
      </w:r>
      <w:r>
        <w:rPr>
          <w:rFonts w:hint="eastAsia" w:ascii="宋体" w:hAnsi="宋体"/>
        </w:rPr>
        <w:t>计量评估体系</w:t>
      </w:r>
      <w:r>
        <w:rPr>
          <w:rFonts w:hint="eastAsia" w:ascii="宋体" w:hAnsi="宋体"/>
          <w:lang w:eastAsia="zh-CN"/>
        </w:rPr>
        <w:t>，</w:t>
      </w:r>
      <w:r>
        <w:rPr>
          <w:rFonts w:hint="eastAsia" w:ascii="宋体" w:hAnsi="宋体"/>
        </w:rPr>
        <w:t>通过量化分析云服务商的提供的有效服务目录数量并按照经</w:t>
      </w:r>
      <w:r>
        <w:rPr>
          <w:rFonts w:ascii="宋体" w:hAnsi="宋体"/>
        </w:rPr>
        <w:t>采购人</w:t>
      </w:r>
      <w:r>
        <w:rPr>
          <w:rFonts w:hint="eastAsia" w:ascii="宋体" w:hAnsi="宋体"/>
        </w:rPr>
        <w:t>审核的云服务计量评估方案开展云计量评估服务，对云服务商的服务能力、服务时效、服务质量和SLA指标进行评估，为</w:t>
      </w:r>
      <w:r>
        <w:rPr>
          <w:rFonts w:ascii="宋体" w:hAnsi="宋体"/>
        </w:rPr>
        <w:t>采购人</w:t>
      </w:r>
      <w:r>
        <w:rPr>
          <w:rFonts w:hint="eastAsia" w:ascii="宋体" w:hAnsi="宋体"/>
        </w:rPr>
        <w:t>考核云服务商和支付云服务费提供计量依据参考。</w:t>
      </w:r>
    </w:p>
    <w:p w14:paraId="42E5832C">
      <w:pPr>
        <w:widowControl/>
        <w:numPr>
          <w:ilvl w:val="0"/>
          <w:numId w:val="18"/>
        </w:numPr>
        <w:topLinePunct/>
        <w:adjustRightInd w:val="0"/>
        <w:snapToGrid w:val="0"/>
        <w:spacing w:before="100" w:after="100" w:line="300" w:lineRule="exact"/>
        <w:ind w:left="420" w:hangingChars="200"/>
        <w:jc w:val="left"/>
        <w:rPr>
          <w:rFonts w:ascii="宋体" w:hAnsi="宋体"/>
        </w:rPr>
      </w:pPr>
      <w:r>
        <w:rPr>
          <w:rFonts w:hint="eastAsia" w:ascii="宋体" w:hAnsi="宋体"/>
          <w:lang w:val="en-US" w:eastAsia="zh-CN"/>
        </w:rPr>
        <w:t>中标人应基于政务云业务过程数据，输出计量评估报告，为服务费支付提供依据。</w:t>
      </w:r>
    </w:p>
    <w:p w14:paraId="38A482F7">
      <w:pPr>
        <w:widowControl/>
        <w:numPr>
          <w:ilvl w:val="0"/>
          <w:numId w:val="18"/>
        </w:numPr>
        <w:topLinePunct/>
        <w:adjustRightInd w:val="0"/>
        <w:snapToGrid w:val="0"/>
        <w:spacing w:before="100" w:after="100" w:line="300" w:lineRule="exact"/>
        <w:ind w:left="420" w:hangingChars="200"/>
        <w:jc w:val="left"/>
      </w:pPr>
      <w:r>
        <w:rPr>
          <w:rFonts w:ascii="宋体" w:hAnsi="宋体"/>
        </w:rPr>
        <w:t>中标人</w:t>
      </w:r>
      <w:r>
        <w:rPr>
          <w:rFonts w:hint="eastAsia" w:ascii="宋体" w:hAnsi="宋体"/>
        </w:rPr>
        <w:t>应提供政务云计量软件，应具备计量数据校验、计量表生成和对账等功能。</w:t>
      </w:r>
      <w:r>
        <w:rPr>
          <w:rFonts w:ascii="宋体" w:hAnsi="宋体"/>
        </w:rPr>
        <w:t>中标人</w:t>
      </w:r>
      <w:r>
        <w:rPr>
          <w:rFonts w:hint="eastAsia" w:ascii="宋体" w:hAnsi="宋体"/>
        </w:rPr>
        <w:t>应提供软件功能说明和截图。</w:t>
      </w:r>
    </w:p>
    <w:p w14:paraId="5B07103A">
      <w:pPr>
        <w:pStyle w:val="3"/>
        <w:numPr>
          <w:ilvl w:val="0"/>
          <w:numId w:val="4"/>
        </w:numPr>
        <w:spacing w:line="276" w:lineRule="auto"/>
        <w:rPr>
          <w:rFonts w:hint="default" w:ascii="宋体" w:hAnsi="宋体"/>
        </w:rPr>
      </w:pPr>
      <w:r>
        <w:rPr>
          <w:rFonts w:hint="eastAsia" w:ascii="宋体" w:hAnsi="宋体"/>
          <w:lang w:eastAsia="zh-CN"/>
        </w:rPr>
        <w:t>专业服务</w:t>
      </w:r>
      <w:r>
        <w:rPr>
          <w:rFonts w:ascii="宋体" w:hAnsi="宋体"/>
        </w:rPr>
        <w:t>支撑要求</w:t>
      </w:r>
      <w:bookmarkEnd w:id="11"/>
      <w:bookmarkEnd w:id="12"/>
      <w:bookmarkEnd w:id="13"/>
      <w:bookmarkEnd w:id="14"/>
    </w:p>
    <w:p w14:paraId="1ECFA8E2">
      <w:pPr>
        <w:pStyle w:val="4"/>
        <w:numPr>
          <w:ilvl w:val="0"/>
          <w:numId w:val="0"/>
        </w:numPr>
        <w:tabs>
          <w:tab w:val="left" w:pos="1260"/>
          <w:tab w:val="clear" w:pos="840"/>
        </w:tabs>
        <w:rPr>
          <w:rFonts w:ascii="宋体" w:hAnsi="宋体"/>
          <w:lang w:eastAsia="zh-CN"/>
        </w:rPr>
      </w:pPr>
      <w:bookmarkStart w:id="15" w:name="_Toc62217742"/>
      <w:bookmarkStart w:id="16" w:name="_Toc1141525785"/>
      <w:bookmarkStart w:id="17" w:name="_Toc71239895"/>
      <w:bookmarkStart w:id="18" w:name="_Toc64642728"/>
      <w:r>
        <w:rPr>
          <w:rFonts w:ascii="宋体" w:hAnsi="宋体"/>
          <w:lang w:eastAsia="zh-CN"/>
        </w:rPr>
        <w:t>3</w:t>
      </w:r>
      <w:r>
        <w:rPr>
          <w:rFonts w:hint="eastAsia" w:ascii="宋体" w:hAnsi="宋体"/>
        </w:rPr>
        <w:t>.</w:t>
      </w:r>
      <w:r>
        <w:rPr>
          <w:rFonts w:ascii="宋体" w:hAnsi="宋体"/>
        </w:rPr>
        <w:t xml:space="preserve">1 </w:t>
      </w:r>
      <w:r>
        <w:rPr>
          <w:rFonts w:hint="eastAsia" w:ascii="宋体" w:hAnsi="宋体"/>
          <w:lang w:eastAsia="zh-CN"/>
        </w:rPr>
        <w:t>支撑服务要求</w:t>
      </w:r>
      <w:bookmarkEnd w:id="15"/>
      <w:bookmarkEnd w:id="16"/>
      <w:bookmarkEnd w:id="17"/>
      <w:bookmarkEnd w:id="18"/>
    </w:p>
    <w:p w14:paraId="0FC2851B">
      <w:pPr>
        <w:widowControl/>
        <w:numPr>
          <w:ilvl w:val="0"/>
          <w:numId w:val="19"/>
        </w:numPr>
        <w:topLinePunct/>
        <w:adjustRightInd w:val="0"/>
        <w:snapToGrid w:val="0"/>
        <w:spacing w:before="100" w:after="100" w:line="300" w:lineRule="exact"/>
        <w:ind w:left="420" w:hangingChars="200"/>
        <w:jc w:val="left"/>
        <w:rPr>
          <w:rFonts w:ascii="宋体" w:hAnsi="宋体"/>
        </w:rPr>
      </w:pPr>
      <w:r>
        <w:rPr>
          <w:rFonts w:hint="eastAsia" w:ascii="宋体" w:hAnsi="宋体"/>
        </w:rPr>
        <w:t>中标人提供热线电话、电子邮件和在线网站等技术支持方式，提供 7*24 小时电话响应服务。中标人提供5*8小时的现场运维服务，重大节点强化保障，确保政务云平台整体服务水平。如果逾期未作出响应，承担由于工作延误所造成的全部损失。</w:t>
      </w:r>
    </w:p>
    <w:p w14:paraId="03354A48">
      <w:pPr>
        <w:widowControl/>
        <w:numPr>
          <w:ilvl w:val="0"/>
          <w:numId w:val="19"/>
        </w:numPr>
        <w:topLinePunct/>
        <w:adjustRightInd w:val="0"/>
        <w:snapToGrid w:val="0"/>
        <w:spacing w:before="100" w:after="100" w:line="300" w:lineRule="exact"/>
        <w:ind w:left="420" w:hangingChars="200"/>
        <w:jc w:val="left"/>
        <w:rPr>
          <w:rFonts w:ascii="宋体" w:hAnsi="宋体"/>
        </w:rPr>
      </w:pPr>
      <w:r>
        <w:rPr>
          <w:rFonts w:hint="eastAsia" w:ascii="宋体" w:hAnsi="宋体"/>
        </w:rPr>
        <w:t>重大节点保障：针对重大节点开展强化保障工作应由政务云服务商实施，</w:t>
      </w:r>
      <w:r>
        <w:rPr>
          <w:rFonts w:ascii="宋体" w:hAnsi="宋体"/>
        </w:rPr>
        <w:t>中标人</w:t>
      </w:r>
      <w:r>
        <w:rPr>
          <w:rFonts w:hint="eastAsia" w:ascii="宋体" w:hAnsi="宋体"/>
        </w:rPr>
        <w:t>需对整个过程起到监管作用。</w:t>
      </w:r>
    </w:p>
    <w:p w14:paraId="36C03679">
      <w:pPr>
        <w:widowControl/>
        <w:numPr>
          <w:ilvl w:val="0"/>
          <w:numId w:val="19"/>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应提供云服务专家关键节点咨询服务，包括服务项顶层设计、云知识授课、汇报、解答用户在云监管过程中遇到的问题等工作。</w:t>
      </w:r>
    </w:p>
    <w:p w14:paraId="7EF0F5EB">
      <w:pPr>
        <w:widowControl/>
        <w:numPr>
          <w:ilvl w:val="0"/>
          <w:numId w:val="19"/>
        </w:numPr>
        <w:topLinePunct/>
        <w:adjustRightInd w:val="0"/>
        <w:snapToGrid w:val="0"/>
        <w:spacing w:before="100" w:after="100" w:line="300" w:lineRule="exact"/>
        <w:ind w:left="420" w:hangingChars="200"/>
        <w:jc w:val="left"/>
        <w:rPr>
          <w:rFonts w:ascii="宋体" w:hAnsi="宋体"/>
        </w:rPr>
      </w:pPr>
      <w:r>
        <w:rPr>
          <w:rFonts w:hint="eastAsia" w:ascii="宋体" w:hAnsi="宋体" w:eastAsia="宋体" w:cs="宋体"/>
          <w:i w:val="0"/>
          <w:iCs w:val="0"/>
          <w:color w:val="000000"/>
          <w:kern w:val="0"/>
          <w:sz w:val="22"/>
          <w:szCs w:val="22"/>
          <w:u w:val="none"/>
          <w:lang w:val="en-US" w:eastAsia="zh-CN" w:bidi="ar"/>
        </w:rPr>
        <w:t>供应商应具有 IDC 建设和运维经验，需提供机房建设相关证明文件（自建数据中心提供机房产权证明或者租赁合同、对外提供建设和运维服务的提供合同关键页）。</w:t>
      </w:r>
    </w:p>
    <w:p w14:paraId="64EF278E">
      <w:pPr>
        <w:pStyle w:val="4"/>
        <w:numPr>
          <w:ilvl w:val="0"/>
          <w:numId w:val="0"/>
        </w:numPr>
        <w:tabs>
          <w:tab w:val="left" w:pos="1260"/>
          <w:tab w:val="clear" w:pos="840"/>
        </w:tabs>
        <w:rPr>
          <w:rFonts w:ascii="宋体" w:hAnsi="宋体"/>
          <w:lang w:eastAsia="zh-CN"/>
        </w:rPr>
      </w:pPr>
      <w:r>
        <w:rPr>
          <w:rFonts w:ascii="宋体" w:hAnsi="宋体"/>
          <w:lang w:eastAsia="zh-CN"/>
        </w:rPr>
        <w:t>3</w:t>
      </w:r>
      <w:r>
        <w:rPr>
          <w:rFonts w:hint="eastAsia" w:ascii="宋体" w:hAnsi="宋体"/>
        </w:rPr>
        <w:t>.</w:t>
      </w:r>
      <w:r>
        <w:rPr>
          <w:rFonts w:ascii="宋体" w:hAnsi="宋体"/>
        </w:rPr>
        <w:t xml:space="preserve">2 </w:t>
      </w:r>
      <w:r>
        <w:rPr>
          <w:rFonts w:hint="eastAsia" w:ascii="宋体" w:hAnsi="宋体"/>
          <w:lang w:eastAsia="zh-CN"/>
        </w:rPr>
        <w:t>驻场服务要求</w:t>
      </w:r>
    </w:p>
    <w:p w14:paraId="1E2D518D">
      <w:pPr>
        <w:widowControl/>
        <w:numPr>
          <w:ilvl w:val="0"/>
          <w:numId w:val="20"/>
        </w:numPr>
        <w:topLinePunct/>
        <w:adjustRightInd w:val="0"/>
        <w:snapToGrid w:val="0"/>
        <w:spacing w:before="100" w:after="100" w:line="300" w:lineRule="exact"/>
        <w:ind w:left="420" w:hangingChars="200"/>
        <w:jc w:val="left"/>
        <w:rPr>
          <w:rFonts w:ascii="宋体" w:hAnsi="宋体"/>
        </w:rPr>
      </w:pPr>
      <w:r>
        <w:rPr>
          <w:rFonts w:hint="eastAsia" w:ascii="宋体" w:hAnsi="宋体"/>
        </w:rPr>
        <w:t>中标人应为上海市电子政务云</w:t>
      </w:r>
      <w:r>
        <w:rPr>
          <w:rFonts w:hint="eastAsia" w:ascii="宋体" w:hAnsi="宋体"/>
          <w:lang w:val="en-US" w:eastAsia="zh-CN"/>
        </w:rPr>
        <w:t>专业团队</w:t>
      </w:r>
      <w:r>
        <w:rPr>
          <w:rFonts w:hint="eastAsia" w:ascii="宋体" w:hAnsi="宋体"/>
        </w:rPr>
        <w:t>单独建立管理组织，配置相应团队。</w:t>
      </w:r>
    </w:p>
    <w:p w14:paraId="25C0EEFF">
      <w:pPr>
        <w:widowControl/>
        <w:numPr>
          <w:ilvl w:val="0"/>
          <w:numId w:val="20"/>
        </w:numPr>
        <w:topLinePunct/>
        <w:adjustRightInd w:val="0"/>
        <w:snapToGrid w:val="0"/>
        <w:spacing w:before="100" w:after="100" w:line="300" w:lineRule="exact"/>
        <w:ind w:left="420" w:hangingChars="200"/>
        <w:jc w:val="left"/>
        <w:rPr>
          <w:rFonts w:ascii="宋体" w:hAnsi="宋体"/>
        </w:rPr>
      </w:pPr>
      <w:r>
        <w:rPr>
          <w:rFonts w:hint="eastAsia" w:ascii="宋体" w:hAnsi="宋体"/>
        </w:rPr>
        <w:t>中标人应按照招标人办公地点进出人员管理要求和工作环境管理要求驻场服务。</w:t>
      </w:r>
    </w:p>
    <w:p w14:paraId="3105E412">
      <w:pPr>
        <w:widowControl/>
        <w:numPr>
          <w:ilvl w:val="0"/>
          <w:numId w:val="20"/>
        </w:numPr>
        <w:topLinePunct/>
        <w:adjustRightInd w:val="0"/>
        <w:snapToGrid w:val="0"/>
        <w:spacing w:before="100" w:after="100" w:line="300" w:lineRule="exact"/>
        <w:ind w:left="420" w:hangingChars="200"/>
        <w:jc w:val="left"/>
        <w:rPr>
          <w:rFonts w:ascii="宋体" w:hAnsi="宋体"/>
        </w:rPr>
      </w:pPr>
      <w:r>
        <w:rPr>
          <w:rFonts w:hint="eastAsia" w:ascii="宋体" w:hAnsi="宋体"/>
        </w:rPr>
        <w:t>中标人提供的服务团队应不少于</w:t>
      </w:r>
      <w:r>
        <w:rPr>
          <w:rFonts w:hint="eastAsia" w:ascii="宋体" w:hAnsi="宋体"/>
          <w:lang w:val="en-US" w:eastAsia="zh-CN"/>
        </w:rPr>
        <w:t>35</w:t>
      </w:r>
      <w:r>
        <w:rPr>
          <w:rFonts w:hint="eastAsia" w:ascii="宋体" w:hAnsi="宋体"/>
        </w:rPr>
        <w:t>人，驻场人数不少于10人。投标人应按照服务项列明服务团队人员清单、分工。项目</w:t>
      </w:r>
      <w:r>
        <w:rPr>
          <w:rFonts w:hint="eastAsia" w:ascii="宋体" w:hAnsi="宋体"/>
          <w:lang w:eastAsia="zh-CN"/>
        </w:rPr>
        <w:t>负责人</w:t>
      </w:r>
      <w:r>
        <w:rPr>
          <w:rFonts w:hint="eastAsia" w:ascii="宋体" w:hAnsi="宋体"/>
        </w:rPr>
        <w:t>应具备信息系统项目管理师（高级）；对安全性评估服务拟投入的人员，应具备</w:t>
      </w:r>
      <w:r>
        <w:rPr>
          <w:rFonts w:hint="eastAsia" w:ascii="Calibri" w:hAnsi="Calibri"/>
          <w:color w:val="auto"/>
        </w:rPr>
        <w:t>私有云或政务云安全经验</w:t>
      </w:r>
      <w:r>
        <w:rPr>
          <w:rFonts w:hint="eastAsia" w:ascii="宋体" w:hAnsi="宋体"/>
        </w:rPr>
        <w:t>；绩效评估人员具备信息化项目绩效评价经验。具体人员要求如下表所示：</w:t>
      </w:r>
    </w:p>
    <w:tbl>
      <w:tblPr>
        <w:tblStyle w:val="10"/>
        <w:tblW w:w="0" w:type="auto"/>
        <w:tblInd w:w="261" w:type="dxa"/>
        <w:tblLayout w:type="autofit"/>
        <w:tblCellMar>
          <w:top w:w="0" w:type="dxa"/>
          <w:left w:w="108" w:type="dxa"/>
          <w:bottom w:w="0" w:type="dxa"/>
          <w:right w:w="108" w:type="dxa"/>
        </w:tblCellMar>
      </w:tblPr>
      <w:tblGrid>
        <w:gridCol w:w="2570"/>
        <w:gridCol w:w="3492"/>
        <w:gridCol w:w="2095"/>
      </w:tblGrid>
      <w:tr w14:paraId="5A13B897">
        <w:trPr>
          <w:trHeight w:val="567" w:hRule="atLeast"/>
          <w:tblHeader/>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63CC4E08">
            <w:pPr>
              <w:widowControl/>
              <w:jc w:val="center"/>
              <w:rPr>
                <w:rFonts w:ascii="宋体" w:hAnsi="宋体" w:cs="宋体"/>
                <w:b/>
                <w:bCs/>
                <w:color w:val="000000"/>
                <w:kern w:val="0"/>
                <w:szCs w:val="21"/>
              </w:rPr>
            </w:pPr>
            <w:r>
              <w:rPr>
                <w:rFonts w:hint="eastAsia" w:ascii="宋体" w:hAnsi="宋体" w:cs="宋体"/>
                <w:b/>
                <w:bCs/>
                <w:color w:val="000000"/>
                <w:kern w:val="0"/>
                <w:szCs w:val="21"/>
              </w:rPr>
              <w:t>角色</w:t>
            </w:r>
          </w:p>
        </w:tc>
        <w:tc>
          <w:tcPr>
            <w:tcW w:w="3492" w:type="dxa"/>
            <w:tcBorders>
              <w:top w:val="single" w:color="auto" w:sz="4" w:space="0"/>
              <w:left w:val="nil"/>
              <w:bottom w:val="single" w:color="auto" w:sz="4" w:space="0"/>
              <w:right w:val="single" w:color="auto" w:sz="4" w:space="0"/>
            </w:tcBorders>
            <w:shd w:val="clear" w:color="auto" w:fill="auto"/>
            <w:vAlign w:val="center"/>
          </w:tcPr>
          <w:p w14:paraId="686F1152">
            <w:pPr>
              <w:widowControl/>
              <w:jc w:val="center"/>
              <w:rPr>
                <w:rFonts w:ascii="宋体" w:hAnsi="宋体" w:cs="宋体"/>
                <w:b/>
                <w:bCs/>
                <w:color w:val="000000"/>
                <w:kern w:val="0"/>
                <w:szCs w:val="21"/>
              </w:rPr>
            </w:pPr>
            <w:r>
              <w:rPr>
                <w:rFonts w:hint="eastAsia" w:ascii="宋体" w:hAnsi="宋体" w:cs="宋体"/>
                <w:b/>
                <w:bCs/>
                <w:color w:val="000000"/>
                <w:kern w:val="0"/>
                <w:szCs w:val="21"/>
              </w:rPr>
              <w:t>人数</w:t>
            </w:r>
          </w:p>
        </w:tc>
        <w:tc>
          <w:tcPr>
            <w:tcW w:w="2095" w:type="dxa"/>
            <w:tcBorders>
              <w:top w:val="single" w:color="auto" w:sz="4" w:space="0"/>
              <w:left w:val="nil"/>
              <w:bottom w:val="single" w:color="auto" w:sz="4" w:space="0"/>
              <w:right w:val="single" w:color="auto" w:sz="4" w:space="0"/>
            </w:tcBorders>
            <w:shd w:val="clear" w:color="auto" w:fill="auto"/>
            <w:vAlign w:val="center"/>
          </w:tcPr>
          <w:p w14:paraId="6A9CAD7D">
            <w:pPr>
              <w:widowControl/>
              <w:jc w:val="center"/>
              <w:rPr>
                <w:rFonts w:ascii="宋体" w:hAnsi="宋体" w:cs="宋体"/>
                <w:b/>
                <w:bCs/>
                <w:color w:val="000000"/>
                <w:kern w:val="0"/>
                <w:szCs w:val="21"/>
              </w:rPr>
            </w:pPr>
            <w:r>
              <w:rPr>
                <w:rFonts w:hint="eastAsia" w:ascii="宋体" w:hAnsi="宋体" w:cs="宋体"/>
                <w:b/>
                <w:bCs/>
                <w:color w:val="000000"/>
                <w:kern w:val="0"/>
                <w:szCs w:val="21"/>
              </w:rPr>
              <w:t>驻场要求</w:t>
            </w:r>
          </w:p>
        </w:tc>
      </w:tr>
      <w:tr w14:paraId="1AA73134">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35E9B2DF">
            <w:pPr>
              <w:widowControl/>
              <w:jc w:val="center"/>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项目</w:t>
            </w:r>
            <w:r>
              <w:rPr>
                <w:rFonts w:hint="eastAsia" w:ascii="宋体" w:hAnsi="宋体" w:cs="宋体"/>
                <w:color w:val="000000"/>
                <w:kern w:val="0"/>
                <w:szCs w:val="21"/>
                <w:lang w:eastAsia="zh-CN"/>
              </w:rPr>
              <w:t>负责人</w:t>
            </w:r>
          </w:p>
        </w:tc>
        <w:tc>
          <w:tcPr>
            <w:tcW w:w="3492" w:type="dxa"/>
            <w:tcBorders>
              <w:top w:val="single" w:color="auto" w:sz="4" w:space="0"/>
              <w:left w:val="nil"/>
              <w:bottom w:val="single" w:color="auto" w:sz="4" w:space="0"/>
              <w:right w:val="single" w:color="auto" w:sz="4" w:space="0"/>
            </w:tcBorders>
            <w:shd w:val="clear" w:color="auto" w:fill="auto"/>
            <w:vAlign w:val="center"/>
          </w:tcPr>
          <w:p w14:paraId="1CE09E01">
            <w:pPr>
              <w:widowControl/>
              <w:jc w:val="center"/>
              <w:rPr>
                <w:rFonts w:ascii="宋体" w:hAnsi="宋体" w:cs="宋体"/>
                <w:color w:val="000000"/>
                <w:kern w:val="0"/>
                <w:szCs w:val="21"/>
              </w:rPr>
            </w:pPr>
            <w:r>
              <w:rPr>
                <w:rFonts w:hint="eastAsia" w:ascii="宋体" w:hAnsi="宋体" w:cs="宋体"/>
                <w:color w:val="000000"/>
                <w:kern w:val="0"/>
                <w:szCs w:val="21"/>
              </w:rPr>
              <w:t>1人</w:t>
            </w:r>
          </w:p>
        </w:tc>
        <w:tc>
          <w:tcPr>
            <w:tcW w:w="2095" w:type="dxa"/>
            <w:tcBorders>
              <w:top w:val="single" w:color="auto" w:sz="4" w:space="0"/>
              <w:left w:val="nil"/>
              <w:bottom w:val="single" w:color="auto" w:sz="4" w:space="0"/>
              <w:right w:val="single" w:color="auto" w:sz="4" w:space="0"/>
            </w:tcBorders>
            <w:shd w:val="clear" w:color="auto" w:fill="auto"/>
            <w:vAlign w:val="center"/>
          </w:tcPr>
          <w:p w14:paraId="778ACEBF">
            <w:pPr>
              <w:widowControl/>
              <w:jc w:val="center"/>
              <w:rPr>
                <w:rFonts w:ascii="宋体" w:hAnsi="宋体" w:cs="宋体"/>
                <w:color w:val="000000"/>
                <w:kern w:val="0"/>
                <w:szCs w:val="21"/>
              </w:rPr>
            </w:pPr>
            <w:r>
              <w:rPr>
                <w:rFonts w:hint="eastAsia" w:ascii="宋体" w:hAnsi="宋体" w:cs="宋体"/>
                <w:color w:val="000000"/>
                <w:kern w:val="0"/>
                <w:szCs w:val="21"/>
              </w:rPr>
              <w:t>按需</w:t>
            </w:r>
          </w:p>
        </w:tc>
      </w:tr>
      <w:tr w14:paraId="49D39A2C">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3B6E384A">
            <w:pPr>
              <w:widowControl/>
              <w:jc w:val="center"/>
              <w:rPr>
                <w:rFonts w:ascii="宋体" w:hAnsi="宋体" w:cs="宋体"/>
                <w:color w:val="000000"/>
                <w:kern w:val="0"/>
                <w:szCs w:val="21"/>
              </w:rPr>
            </w:pPr>
            <w:r>
              <w:rPr>
                <w:rFonts w:hint="eastAsia" w:ascii="宋体" w:hAnsi="宋体" w:cs="宋体"/>
                <w:color w:val="000000"/>
                <w:kern w:val="0"/>
                <w:szCs w:val="21"/>
              </w:rPr>
              <w:t>使用单位需求受理评估服务</w:t>
            </w:r>
          </w:p>
        </w:tc>
        <w:tc>
          <w:tcPr>
            <w:tcW w:w="3492" w:type="dxa"/>
            <w:tcBorders>
              <w:top w:val="single" w:color="auto" w:sz="4" w:space="0"/>
              <w:left w:val="nil"/>
              <w:bottom w:val="single" w:color="auto" w:sz="4" w:space="0"/>
              <w:right w:val="single" w:color="auto" w:sz="4" w:space="0"/>
            </w:tcBorders>
            <w:shd w:val="clear" w:color="auto" w:fill="auto"/>
            <w:vAlign w:val="center"/>
          </w:tcPr>
          <w:p w14:paraId="076854D5">
            <w:pPr>
              <w:widowControl/>
              <w:jc w:val="center"/>
              <w:rPr>
                <w:rFonts w:ascii="宋体" w:hAnsi="宋体" w:cs="宋体"/>
                <w:color w:val="000000"/>
                <w:kern w:val="0"/>
                <w:szCs w:val="21"/>
              </w:rPr>
            </w:pPr>
            <w:r>
              <w:rPr>
                <w:rFonts w:hint="eastAsia" w:ascii="宋体" w:hAnsi="宋体" w:cs="宋体"/>
                <w:color w:val="000000"/>
                <w:kern w:val="0"/>
                <w:szCs w:val="21"/>
              </w:rPr>
              <w:t>至少</w:t>
            </w:r>
            <w:r>
              <w:rPr>
                <w:rFonts w:hint="eastAsia" w:ascii="宋体" w:hAnsi="宋体" w:cs="宋体"/>
                <w:color w:val="000000"/>
                <w:kern w:val="0"/>
                <w:szCs w:val="21"/>
                <w:lang w:val="en-US" w:eastAsia="zh-CN"/>
              </w:rPr>
              <w:t>5</w:t>
            </w:r>
            <w:r>
              <w:rPr>
                <w:rFonts w:hint="eastAsia" w:ascii="宋体" w:hAnsi="宋体" w:cs="宋体"/>
                <w:color w:val="000000"/>
                <w:kern w:val="0"/>
                <w:szCs w:val="21"/>
              </w:rPr>
              <w:t>人</w:t>
            </w:r>
          </w:p>
        </w:tc>
        <w:tc>
          <w:tcPr>
            <w:tcW w:w="2095" w:type="dxa"/>
            <w:tcBorders>
              <w:top w:val="single" w:color="auto" w:sz="4" w:space="0"/>
              <w:left w:val="nil"/>
              <w:bottom w:val="single" w:color="auto" w:sz="4" w:space="0"/>
              <w:right w:val="single" w:color="auto" w:sz="4" w:space="0"/>
            </w:tcBorders>
            <w:shd w:val="clear" w:color="auto" w:fill="auto"/>
            <w:vAlign w:val="center"/>
          </w:tcPr>
          <w:p w14:paraId="30B7AEB7">
            <w:pPr>
              <w:widowControl/>
              <w:jc w:val="center"/>
              <w:rPr>
                <w:rFonts w:ascii="宋体" w:hAnsi="宋体" w:cs="宋体"/>
                <w:color w:val="000000"/>
                <w:kern w:val="0"/>
                <w:szCs w:val="21"/>
              </w:rPr>
            </w:pPr>
            <w:r>
              <w:rPr>
                <w:rFonts w:hint="eastAsia" w:ascii="宋体" w:hAnsi="宋体" w:cs="宋体"/>
                <w:color w:val="000000"/>
                <w:kern w:val="0"/>
                <w:szCs w:val="21"/>
              </w:rPr>
              <w:t>至少驻场2人</w:t>
            </w:r>
          </w:p>
        </w:tc>
      </w:tr>
      <w:tr w14:paraId="7D9EAE82">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1F6D4CB2">
            <w:pPr>
              <w:widowControl/>
              <w:jc w:val="center"/>
              <w:rPr>
                <w:rFonts w:ascii="宋体" w:hAnsi="宋体" w:cs="宋体"/>
                <w:color w:val="000000"/>
                <w:kern w:val="0"/>
                <w:szCs w:val="21"/>
              </w:rPr>
            </w:pPr>
            <w:r>
              <w:rPr>
                <w:rFonts w:hint="eastAsia" w:ascii="宋体" w:hAnsi="宋体" w:cs="宋体"/>
                <w:color w:val="000000"/>
                <w:kern w:val="0"/>
                <w:szCs w:val="21"/>
              </w:rPr>
              <w:t>云架构变更管理服务</w:t>
            </w:r>
          </w:p>
        </w:tc>
        <w:tc>
          <w:tcPr>
            <w:tcW w:w="3492" w:type="dxa"/>
            <w:tcBorders>
              <w:top w:val="single" w:color="auto" w:sz="4" w:space="0"/>
              <w:left w:val="nil"/>
              <w:bottom w:val="single" w:color="auto" w:sz="4" w:space="0"/>
              <w:right w:val="single" w:color="auto" w:sz="4" w:space="0"/>
            </w:tcBorders>
            <w:shd w:val="clear" w:color="auto" w:fill="auto"/>
            <w:vAlign w:val="center"/>
          </w:tcPr>
          <w:p w14:paraId="68FAA2A4">
            <w:pPr>
              <w:widowControl/>
              <w:jc w:val="center"/>
              <w:rPr>
                <w:rFonts w:ascii="宋体" w:hAnsi="宋体" w:cs="宋体"/>
                <w:color w:val="000000"/>
                <w:kern w:val="0"/>
                <w:szCs w:val="21"/>
              </w:rPr>
            </w:pPr>
            <w:r>
              <w:rPr>
                <w:rFonts w:hint="eastAsia" w:ascii="宋体" w:hAnsi="宋体" w:cs="宋体"/>
                <w:color w:val="000000"/>
                <w:kern w:val="0"/>
                <w:szCs w:val="21"/>
              </w:rPr>
              <w:t>至少</w:t>
            </w:r>
            <w:r>
              <w:rPr>
                <w:rFonts w:hint="eastAsia" w:ascii="宋体" w:hAnsi="宋体" w:cs="宋体"/>
                <w:color w:val="000000"/>
                <w:kern w:val="0"/>
                <w:szCs w:val="21"/>
                <w:lang w:val="en-US" w:eastAsia="zh-CN"/>
              </w:rPr>
              <w:t>4</w:t>
            </w:r>
            <w:r>
              <w:rPr>
                <w:rFonts w:hint="eastAsia" w:ascii="宋体" w:hAnsi="宋体" w:cs="宋体"/>
                <w:color w:val="000000"/>
                <w:kern w:val="0"/>
                <w:szCs w:val="21"/>
              </w:rPr>
              <w:t>人</w:t>
            </w:r>
          </w:p>
        </w:tc>
        <w:tc>
          <w:tcPr>
            <w:tcW w:w="2095" w:type="dxa"/>
            <w:tcBorders>
              <w:top w:val="single" w:color="auto" w:sz="4" w:space="0"/>
              <w:left w:val="nil"/>
              <w:bottom w:val="single" w:color="auto" w:sz="4" w:space="0"/>
              <w:right w:val="single" w:color="auto" w:sz="4" w:space="0"/>
            </w:tcBorders>
            <w:shd w:val="clear" w:color="auto" w:fill="auto"/>
            <w:vAlign w:val="center"/>
          </w:tcPr>
          <w:p w14:paraId="49F1086C">
            <w:pPr>
              <w:widowControl/>
              <w:jc w:val="center"/>
              <w:rPr>
                <w:rFonts w:ascii="宋体" w:hAnsi="宋体" w:cs="宋体"/>
                <w:color w:val="000000"/>
                <w:kern w:val="0"/>
                <w:szCs w:val="21"/>
              </w:rPr>
            </w:pPr>
            <w:r>
              <w:rPr>
                <w:rFonts w:hint="eastAsia" w:ascii="宋体" w:hAnsi="宋体" w:cs="宋体"/>
                <w:color w:val="000000"/>
                <w:kern w:val="0"/>
                <w:szCs w:val="21"/>
              </w:rPr>
              <w:t>至少驻场1人</w:t>
            </w:r>
          </w:p>
        </w:tc>
      </w:tr>
      <w:tr w14:paraId="06595EC9">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2FF3628B">
            <w:pPr>
              <w:widowControl/>
              <w:jc w:val="center"/>
              <w:rPr>
                <w:rFonts w:ascii="宋体" w:hAnsi="宋体" w:cs="宋体"/>
                <w:color w:val="000000"/>
                <w:kern w:val="0"/>
                <w:szCs w:val="21"/>
              </w:rPr>
            </w:pPr>
            <w:r>
              <w:rPr>
                <w:rFonts w:hint="eastAsia" w:ascii="宋体" w:hAnsi="宋体" w:cs="宋体"/>
                <w:color w:val="000000"/>
                <w:kern w:val="0"/>
                <w:szCs w:val="21"/>
              </w:rPr>
              <w:t>云平台安全管理评估服务</w:t>
            </w:r>
          </w:p>
        </w:tc>
        <w:tc>
          <w:tcPr>
            <w:tcW w:w="3492" w:type="dxa"/>
            <w:tcBorders>
              <w:top w:val="single" w:color="auto" w:sz="4" w:space="0"/>
              <w:left w:val="nil"/>
              <w:bottom w:val="single" w:color="auto" w:sz="4" w:space="0"/>
              <w:right w:val="single" w:color="auto" w:sz="4" w:space="0"/>
            </w:tcBorders>
            <w:shd w:val="clear" w:color="auto" w:fill="auto"/>
            <w:vAlign w:val="center"/>
          </w:tcPr>
          <w:p w14:paraId="7136C7D5">
            <w:pPr>
              <w:widowControl/>
              <w:jc w:val="center"/>
              <w:rPr>
                <w:rFonts w:ascii="宋体" w:hAnsi="宋体" w:cs="宋体"/>
                <w:color w:val="000000"/>
                <w:kern w:val="0"/>
                <w:szCs w:val="21"/>
              </w:rPr>
            </w:pPr>
            <w:r>
              <w:rPr>
                <w:rFonts w:hint="eastAsia" w:ascii="宋体" w:hAnsi="宋体" w:cs="宋体"/>
                <w:color w:val="000000"/>
                <w:kern w:val="0"/>
                <w:szCs w:val="21"/>
              </w:rPr>
              <w:t>至少</w:t>
            </w:r>
            <w:r>
              <w:rPr>
                <w:rFonts w:hint="eastAsia" w:ascii="宋体" w:hAnsi="宋体" w:cs="宋体"/>
                <w:color w:val="000000"/>
                <w:kern w:val="0"/>
                <w:szCs w:val="21"/>
                <w:lang w:val="en-US" w:eastAsia="zh-CN"/>
              </w:rPr>
              <w:t>2</w:t>
            </w:r>
            <w:r>
              <w:rPr>
                <w:rFonts w:hint="eastAsia" w:ascii="宋体" w:hAnsi="宋体" w:cs="宋体"/>
                <w:color w:val="000000"/>
                <w:kern w:val="0"/>
                <w:szCs w:val="21"/>
              </w:rPr>
              <w:t>人</w:t>
            </w:r>
          </w:p>
        </w:tc>
        <w:tc>
          <w:tcPr>
            <w:tcW w:w="2095" w:type="dxa"/>
            <w:tcBorders>
              <w:top w:val="single" w:color="auto" w:sz="4" w:space="0"/>
              <w:left w:val="nil"/>
              <w:bottom w:val="single" w:color="auto" w:sz="4" w:space="0"/>
              <w:right w:val="single" w:color="auto" w:sz="4" w:space="0"/>
            </w:tcBorders>
            <w:shd w:val="clear" w:color="auto" w:fill="auto"/>
            <w:vAlign w:val="center"/>
          </w:tcPr>
          <w:p w14:paraId="1DF78CD6">
            <w:pPr>
              <w:widowControl/>
              <w:jc w:val="center"/>
              <w:rPr>
                <w:rFonts w:ascii="宋体" w:hAnsi="宋体" w:cs="宋体"/>
                <w:color w:val="000000"/>
                <w:kern w:val="0"/>
                <w:szCs w:val="21"/>
              </w:rPr>
            </w:pPr>
            <w:r>
              <w:rPr>
                <w:rFonts w:hint="eastAsia" w:ascii="宋体" w:hAnsi="宋体" w:cs="宋体"/>
                <w:color w:val="000000"/>
                <w:kern w:val="0"/>
                <w:szCs w:val="21"/>
              </w:rPr>
              <w:t>至少驻场1人</w:t>
            </w:r>
          </w:p>
        </w:tc>
      </w:tr>
      <w:tr w14:paraId="4C3896DD">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7DAE4D17">
            <w:pPr>
              <w:widowControl/>
              <w:jc w:val="center"/>
              <w:rPr>
                <w:rFonts w:ascii="宋体" w:hAnsi="宋体" w:cs="宋体"/>
                <w:color w:val="000000"/>
                <w:kern w:val="0"/>
                <w:szCs w:val="21"/>
              </w:rPr>
            </w:pPr>
            <w:r>
              <w:rPr>
                <w:rFonts w:hint="eastAsia" w:ascii="宋体" w:hAnsi="宋体" w:cs="宋体"/>
                <w:color w:val="000000"/>
                <w:kern w:val="0"/>
                <w:szCs w:val="21"/>
              </w:rPr>
              <w:t>云服务规范性服务</w:t>
            </w:r>
          </w:p>
        </w:tc>
        <w:tc>
          <w:tcPr>
            <w:tcW w:w="3492" w:type="dxa"/>
            <w:tcBorders>
              <w:top w:val="single" w:color="auto" w:sz="4" w:space="0"/>
              <w:left w:val="nil"/>
              <w:bottom w:val="single" w:color="auto" w:sz="4" w:space="0"/>
              <w:right w:val="single" w:color="auto" w:sz="4" w:space="0"/>
            </w:tcBorders>
            <w:shd w:val="clear" w:color="auto" w:fill="auto"/>
            <w:vAlign w:val="center"/>
          </w:tcPr>
          <w:p w14:paraId="556EE37A">
            <w:pPr>
              <w:widowControl/>
              <w:jc w:val="center"/>
              <w:rPr>
                <w:rFonts w:ascii="宋体" w:hAnsi="宋体" w:cs="宋体"/>
                <w:color w:val="000000"/>
                <w:kern w:val="0"/>
                <w:szCs w:val="21"/>
              </w:rPr>
            </w:pPr>
            <w:r>
              <w:rPr>
                <w:rFonts w:hint="eastAsia" w:ascii="宋体" w:hAnsi="宋体" w:cs="宋体"/>
                <w:color w:val="000000"/>
                <w:kern w:val="0"/>
                <w:szCs w:val="21"/>
              </w:rPr>
              <w:t>至少</w:t>
            </w:r>
            <w:r>
              <w:rPr>
                <w:rFonts w:hint="eastAsia" w:ascii="宋体" w:hAnsi="宋体" w:cs="宋体"/>
                <w:color w:val="000000"/>
                <w:kern w:val="0"/>
                <w:szCs w:val="21"/>
                <w:lang w:val="en-US" w:eastAsia="zh-CN"/>
              </w:rPr>
              <w:t>3</w:t>
            </w:r>
            <w:r>
              <w:rPr>
                <w:rFonts w:hint="eastAsia" w:ascii="宋体" w:hAnsi="宋体" w:cs="宋体"/>
                <w:color w:val="000000"/>
                <w:kern w:val="0"/>
                <w:szCs w:val="21"/>
              </w:rPr>
              <w:t>人</w:t>
            </w:r>
          </w:p>
        </w:tc>
        <w:tc>
          <w:tcPr>
            <w:tcW w:w="2095" w:type="dxa"/>
            <w:tcBorders>
              <w:top w:val="single" w:color="auto" w:sz="4" w:space="0"/>
              <w:left w:val="nil"/>
              <w:bottom w:val="single" w:color="auto" w:sz="4" w:space="0"/>
              <w:right w:val="single" w:color="auto" w:sz="4" w:space="0"/>
            </w:tcBorders>
            <w:shd w:val="clear" w:color="auto" w:fill="auto"/>
            <w:vAlign w:val="center"/>
          </w:tcPr>
          <w:p w14:paraId="44AA4179">
            <w:pPr>
              <w:widowControl/>
              <w:jc w:val="center"/>
              <w:rPr>
                <w:rFonts w:ascii="宋体" w:hAnsi="宋体" w:cs="宋体"/>
                <w:color w:val="000000"/>
                <w:kern w:val="0"/>
                <w:szCs w:val="21"/>
              </w:rPr>
            </w:pPr>
            <w:r>
              <w:rPr>
                <w:rFonts w:hint="eastAsia" w:ascii="宋体" w:hAnsi="宋体" w:cs="宋体"/>
                <w:color w:val="000000"/>
                <w:kern w:val="0"/>
                <w:szCs w:val="21"/>
              </w:rPr>
              <w:t>至少驻场1人</w:t>
            </w:r>
          </w:p>
        </w:tc>
      </w:tr>
      <w:tr w14:paraId="242BD546">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28F33BF2">
            <w:pPr>
              <w:widowControl/>
              <w:jc w:val="center"/>
              <w:rPr>
                <w:rFonts w:ascii="宋体" w:hAnsi="宋体" w:cs="宋体"/>
                <w:color w:val="000000"/>
                <w:kern w:val="0"/>
                <w:szCs w:val="21"/>
              </w:rPr>
            </w:pPr>
            <w:r>
              <w:rPr>
                <w:rFonts w:hint="eastAsia" w:ascii="宋体" w:hAnsi="宋体" w:cs="宋体"/>
                <w:color w:val="000000"/>
                <w:kern w:val="0"/>
                <w:szCs w:val="21"/>
              </w:rPr>
              <w:t>政务云验收服务</w:t>
            </w:r>
          </w:p>
        </w:tc>
        <w:tc>
          <w:tcPr>
            <w:tcW w:w="3492" w:type="dxa"/>
            <w:tcBorders>
              <w:top w:val="single" w:color="auto" w:sz="4" w:space="0"/>
              <w:left w:val="nil"/>
              <w:bottom w:val="single" w:color="auto" w:sz="4" w:space="0"/>
              <w:right w:val="single" w:color="auto" w:sz="4" w:space="0"/>
            </w:tcBorders>
            <w:shd w:val="clear" w:color="auto" w:fill="auto"/>
            <w:vAlign w:val="center"/>
          </w:tcPr>
          <w:p w14:paraId="07E12168">
            <w:pPr>
              <w:widowControl/>
              <w:jc w:val="center"/>
              <w:rPr>
                <w:rFonts w:ascii="宋体" w:hAnsi="宋体" w:cs="宋体"/>
                <w:color w:val="000000"/>
                <w:kern w:val="0"/>
                <w:szCs w:val="21"/>
              </w:rPr>
            </w:pPr>
            <w:r>
              <w:rPr>
                <w:rFonts w:hint="eastAsia" w:ascii="宋体" w:hAnsi="宋体" w:cs="宋体"/>
                <w:color w:val="000000"/>
                <w:kern w:val="0"/>
                <w:szCs w:val="21"/>
              </w:rPr>
              <w:t>至少</w:t>
            </w:r>
            <w:r>
              <w:rPr>
                <w:rFonts w:hint="eastAsia" w:ascii="宋体" w:hAnsi="宋体" w:cs="宋体"/>
                <w:color w:val="000000"/>
                <w:kern w:val="0"/>
                <w:szCs w:val="21"/>
                <w:lang w:val="en-US" w:eastAsia="zh-CN"/>
              </w:rPr>
              <w:t>3</w:t>
            </w:r>
            <w:r>
              <w:rPr>
                <w:rFonts w:hint="eastAsia" w:ascii="宋体" w:hAnsi="宋体" w:cs="宋体"/>
                <w:color w:val="000000"/>
                <w:kern w:val="0"/>
                <w:szCs w:val="21"/>
              </w:rPr>
              <w:t>人</w:t>
            </w:r>
          </w:p>
        </w:tc>
        <w:tc>
          <w:tcPr>
            <w:tcW w:w="2095" w:type="dxa"/>
            <w:tcBorders>
              <w:top w:val="single" w:color="auto" w:sz="4" w:space="0"/>
              <w:left w:val="nil"/>
              <w:bottom w:val="single" w:color="auto" w:sz="4" w:space="0"/>
              <w:right w:val="single" w:color="auto" w:sz="4" w:space="0"/>
            </w:tcBorders>
            <w:shd w:val="clear" w:color="auto" w:fill="auto"/>
            <w:vAlign w:val="center"/>
          </w:tcPr>
          <w:p w14:paraId="12A0F2E1">
            <w:pPr>
              <w:widowControl/>
              <w:jc w:val="center"/>
              <w:rPr>
                <w:rFonts w:ascii="宋体" w:hAnsi="宋体" w:cs="宋体"/>
                <w:color w:val="000000"/>
                <w:kern w:val="0"/>
                <w:szCs w:val="21"/>
              </w:rPr>
            </w:pPr>
            <w:r>
              <w:rPr>
                <w:rFonts w:hint="eastAsia" w:ascii="宋体" w:hAnsi="宋体" w:cs="宋体"/>
                <w:color w:val="000000"/>
                <w:kern w:val="0"/>
                <w:szCs w:val="21"/>
              </w:rPr>
              <w:t>按需</w:t>
            </w:r>
          </w:p>
        </w:tc>
      </w:tr>
      <w:tr w14:paraId="5BD98472">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3B0E6D73">
            <w:pPr>
              <w:widowControl/>
              <w:jc w:val="center"/>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云平台运营</w:t>
            </w:r>
            <w:r>
              <w:rPr>
                <w:rFonts w:hint="eastAsia" w:ascii="宋体" w:hAnsi="宋体" w:cs="宋体"/>
                <w:color w:val="000000"/>
                <w:kern w:val="0"/>
                <w:szCs w:val="21"/>
                <w:lang w:eastAsia="zh-CN"/>
              </w:rPr>
              <w:t>专业服务</w:t>
            </w:r>
          </w:p>
        </w:tc>
        <w:tc>
          <w:tcPr>
            <w:tcW w:w="3492" w:type="dxa"/>
            <w:tcBorders>
              <w:top w:val="single" w:color="auto" w:sz="4" w:space="0"/>
              <w:left w:val="nil"/>
              <w:bottom w:val="single" w:color="auto" w:sz="4" w:space="0"/>
              <w:right w:val="single" w:color="auto" w:sz="4" w:space="0"/>
            </w:tcBorders>
            <w:shd w:val="clear" w:color="auto" w:fill="auto"/>
            <w:vAlign w:val="center"/>
          </w:tcPr>
          <w:p w14:paraId="7FB496D5">
            <w:pPr>
              <w:widowControl/>
              <w:jc w:val="center"/>
              <w:rPr>
                <w:rFonts w:ascii="宋体" w:hAnsi="宋体" w:cs="宋体"/>
                <w:color w:val="000000"/>
                <w:kern w:val="0"/>
                <w:szCs w:val="21"/>
              </w:rPr>
            </w:pPr>
            <w:r>
              <w:rPr>
                <w:rFonts w:hint="eastAsia" w:ascii="宋体" w:hAnsi="宋体" w:cs="宋体"/>
                <w:color w:val="000000"/>
                <w:kern w:val="0"/>
                <w:szCs w:val="21"/>
              </w:rPr>
              <w:t>至少</w:t>
            </w:r>
            <w:r>
              <w:rPr>
                <w:rFonts w:hint="eastAsia" w:ascii="宋体" w:hAnsi="宋体" w:cs="宋体"/>
                <w:color w:val="000000"/>
                <w:kern w:val="0"/>
                <w:szCs w:val="21"/>
                <w:lang w:val="en-US" w:eastAsia="zh-CN"/>
              </w:rPr>
              <w:t>4</w:t>
            </w:r>
            <w:r>
              <w:rPr>
                <w:rFonts w:hint="eastAsia" w:ascii="宋体" w:hAnsi="宋体" w:cs="宋体"/>
                <w:color w:val="000000"/>
                <w:kern w:val="0"/>
                <w:szCs w:val="21"/>
              </w:rPr>
              <w:t>人，包括</w:t>
            </w:r>
            <w:r>
              <w:rPr>
                <w:rFonts w:ascii="宋体" w:hAnsi="宋体" w:cs="宋体"/>
                <w:color w:val="000000"/>
                <w:kern w:val="0"/>
                <w:szCs w:val="21"/>
              </w:rPr>
              <w:t>1</w:t>
            </w:r>
            <w:r>
              <w:rPr>
                <w:rFonts w:hint="eastAsia" w:ascii="宋体" w:hAnsi="宋体" w:cs="宋体"/>
                <w:color w:val="000000"/>
                <w:kern w:val="0"/>
                <w:szCs w:val="21"/>
              </w:rPr>
              <w:t>名信息化工具服务人员</w:t>
            </w:r>
          </w:p>
        </w:tc>
        <w:tc>
          <w:tcPr>
            <w:tcW w:w="2095" w:type="dxa"/>
            <w:tcBorders>
              <w:top w:val="single" w:color="auto" w:sz="4" w:space="0"/>
              <w:left w:val="nil"/>
              <w:bottom w:val="single" w:color="auto" w:sz="4" w:space="0"/>
              <w:right w:val="single" w:color="auto" w:sz="4" w:space="0"/>
            </w:tcBorders>
            <w:shd w:val="clear" w:color="auto" w:fill="auto"/>
            <w:vAlign w:val="center"/>
          </w:tcPr>
          <w:p w14:paraId="1153B5D0">
            <w:pPr>
              <w:widowControl/>
              <w:jc w:val="center"/>
              <w:rPr>
                <w:rFonts w:ascii="宋体" w:hAnsi="宋体" w:cs="宋体"/>
                <w:color w:val="000000"/>
                <w:kern w:val="0"/>
                <w:szCs w:val="21"/>
              </w:rPr>
            </w:pPr>
            <w:r>
              <w:rPr>
                <w:rFonts w:hint="eastAsia" w:ascii="宋体" w:hAnsi="宋体" w:cs="宋体"/>
                <w:color w:val="000000"/>
                <w:kern w:val="0"/>
                <w:szCs w:val="21"/>
              </w:rPr>
              <w:t>至少驻场2人</w:t>
            </w:r>
          </w:p>
        </w:tc>
      </w:tr>
      <w:tr w14:paraId="0B61A87E">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38FECABC">
            <w:pPr>
              <w:widowControl/>
              <w:jc w:val="center"/>
              <w:rPr>
                <w:rFonts w:ascii="宋体" w:hAnsi="宋体" w:cs="宋体"/>
                <w:color w:val="000000"/>
                <w:kern w:val="0"/>
                <w:szCs w:val="21"/>
              </w:rPr>
            </w:pPr>
            <w:r>
              <w:rPr>
                <w:rFonts w:hint="eastAsia" w:ascii="宋体" w:hAnsi="宋体" w:cs="宋体"/>
                <w:color w:val="000000"/>
                <w:kern w:val="0"/>
                <w:szCs w:val="21"/>
              </w:rPr>
              <w:t>闭环式管理</w:t>
            </w:r>
          </w:p>
        </w:tc>
        <w:tc>
          <w:tcPr>
            <w:tcW w:w="3492" w:type="dxa"/>
            <w:tcBorders>
              <w:top w:val="single" w:color="auto" w:sz="4" w:space="0"/>
              <w:left w:val="nil"/>
              <w:bottom w:val="single" w:color="auto" w:sz="4" w:space="0"/>
              <w:right w:val="single" w:color="auto" w:sz="4" w:space="0"/>
            </w:tcBorders>
            <w:shd w:val="clear" w:color="auto" w:fill="auto"/>
            <w:vAlign w:val="center"/>
          </w:tcPr>
          <w:p w14:paraId="424CDABF">
            <w:pPr>
              <w:widowControl/>
              <w:jc w:val="center"/>
              <w:rPr>
                <w:rFonts w:ascii="宋体" w:hAnsi="宋体" w:cs="宋体"/>
                <w:color w:val="000000"/>
                <w:kern w:val="0"/>
                <w:szCs w:val="21"/>
              </w:rPr>
            </w:pPr>
            <w:r>
              <w:rPr>
                <w:rFonts w:hint="eastAsia" w:ascii="宋体" w:hAnsi="宋体" w:cs="宋体"/>
                <w:color w:val="000000"/>
                <w:kern w:val="0"/>
                <w:szCs w:val="21"/>
              </w:rPr>
              <w:t>至少</w:t>
            </w:r>
            <w:r>
              <w:rPr>
                <w:rFonts w:hint="eastAsia" w:ascii="宋体" w:hAnsi="宋体" w:cs="宋体"/>
                <w:color w:val="000000"/>
                <w:kern w:val="0"/>
                <w:szCs w:val="21"/>
                <w:lang w:val="en-US" w:eastAsia="zh-CN"/>
              </w:rPr>
              <w:t>3</w:t>
            </w:r>
            <w:r>
              <w:rPr>
                <w:rFonts w:hint="eastAsia" w:ascii="宋体" w:hAnsi="宋体" w:cs="宋体"/>
                <w:color w:val="000000"/>
                <w:kern w:val="0"/>
                <w:szCs w:val="21"/>
              </w:rPr>
              <w:t>人</w:t>
            </w:r>
          </w:p>
        </w:tc>
        <w:tc>
          <w:tcPr>
            <w:tcW w:w="2095" w:type="dxa"/>
            <w:tcBorders>
              <w:top w:val="single" w:color="auto" w:sz="4" w:space="0"/>
              <w:left w:val="nil"/>
              <w:bottom w:val="single" w:color="auto" w:sz="4" w:space="0"/>
              <w:right w:val="single" w:color="auto" w:sz="4" w:space="0"/>
            </w:tcBorders>
            <w:shd w:val="clear" w:color="auto" w:fill="auto"/>
            <w:vAlign w:val="center"/>
          </w:tcPr>
          <w:p w14:paraId="20F87ACC">
            <w:pPr>
              <w:widowControl/>
              <w:jc w:val="center"/>
              <w:rPr>
                <w:rFonts w:ascii="宋体" w:hAnsi="宋体" w:cs="宋体"/>
                <w:color w:val="000000"/>
                <w:kern w:val="0"/>
                <w:szCs w:val="21"/>
              </w:rPr>
            </w:pPr>
            <w:r>
              <w:rPr>
                <w:rFonts w:hint="eastAsia" w:ascii="宋体" w:hAnsi="宋体" w:cs="宋体"/>
                <w:color w:val="000000"/>
                <w:kern w:val="0"/>
                <w:szCs w:val="21"/>
              </w:rPr>
              <w:t>至少驻场1人</w:t>
            </w:r>
          </w:p>
        </w:tc>
      </w:tr>
      <w:tr w14:paraId="6F4F62AE">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3B7BB829">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Cs w:val="21"/>
              </w:rPr>
              <w:t xml:space="preserve">绩效评价服务 </w:t>
            </w:r>
          </w:p>
        </w:tc>
        <w:tc>
          <w:tcPr>
            <w:tcW w:w="3492" w:type="dxa"/>
            <w:tcBorders>
              <w:top w:val="single" w:color="auto" w:sz="4" w:space="0"/>
              <w:left w:val="nil"/>
              <w:bottom w:val="single" w:color="auto" w:sz="4" w:space="0"/>
              <w:right w:val="single" w:color="auto" w:sz="4" w:space="0"/>
            </w:tcBorders>
            <w:shd w:val="clear" w:color="auto" w:fill="auto"/>
            <w:vAlign w:val="center"/>
          </w:tcPr>
          <w:p w14:paraId="2CD719D6">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Cs w:val="21"/>
              </w:rPr>
              <w:t>至少2人</w:t>
            </w:r>
          </w:p>
        </w:tc>
        <w:tc>
          <w:tcPr>
            <w:tcW w:w="2095" w:type="dxa"/>
            <w:tcBorders>
              <w:top w:val="single" w:color="auto" w:sz="4" w:space="0"/>
              <w:left w:val="nil"/>
              <w:bottom w:val="single" w:color="auto" w:sz="4" w:space="0"/>
              <w:right w:val="single" w:color="auto" w:sz="4" w:space="0"/>
            </w:tcBorders>
            <w:shd w:val="clear" w:color="auto" w:fill="auto"/>
            <w:vAlign w:val="center"/>
          </w:tcPr>
          <w:p w14:paraId="22EF38D3">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Cs w:val="21"/>
              </w:rPr>
              <w:t>至少驻场1人</w:t>
            </w:r>
          </w:p>
        </w:tc>
      </w:tr>
      <w:tr w14:paraId="0D6C3071">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5FA32A5C">
            <w:pPr>
              <w:widowControl/>
              <w:jc w:val="center"/>
              <w:rPr>
                <w:rFonts w:ascii="宋体" w:hAnsi="宋体" w:cs="宋体"/>
                <w:color w:val="000000"/>
                <w:kern w:val="0"/>
                <w:szCs w:val="21"/>
              </w:rPr>
            </w:pPr>
            <w:r>
              <w:rPr>
                <w:rFonts w:hint="eastAsia" w:ascii="宋体" w:hAnsi="宋体" w:cs="宋体"/>
                <w:color w:val="000000"/>
                <w:kern w:val="0"/>
                <w:szCs w:val="21"/>
              </w:rPr>
              <w:t>云服务计量评估服务</w:t>
            </w:r>
          </w:p>
        </w:tc>
        <w:tc>
          <w:tcPr>
            <w:tcW w:w="3492" w:type="dxa"/>
            <w:tcBorders>
              <w:top w:val="single" w:color="auto" w:sz="4" w:space="0"/>
              <w:left w:val="nil"/>
              <w:bottom w:val="single" w:color="auto" w:sz="4" w:space="0"/>
              <w:right w:val="single" w:color="auto" w:sz="4" w:space="0"/>
            </w:tcBorders>
            <w:shd w:val="clear" w:color="auto" w:fill="auto"/>
            <w:vAlign w:val="center"/>
          </w:tcPr>
          <w:p w14:paraId="6BD84253">
            <w:pPr>
              <w:widowControl/>
              <w:jc w:val="center"/>
              <w:rPr>
                <w:rFonts w:ascii="宋体" w:hAnsi="宋体" w:cs="宋体"/>
                <w:color w:val="000000"/>
                <w:kern w:val="0"/>
                <w:szCs w:val="21"/>
              </w:rPr>
            </w:pPr>
            <w:r>
              <w:rPr>
                <w:rFonts w:hint="eastAsia" w:ascii="宋体" w:hAnsi="宋体" w:cs="宋体"/>
                <w:color w:val="000000"/>
                <w:kern w:val="0"/>
                <w:szCs w:val="21"/>
              </w:rPr>
              <w:t>至少</w:t>
            </w:r>
            <w:r>
              <w:rPr>
                <w:rFonts w:hint="eastAsia" w:ascii="宋体" w:hAnsi="宋体" w:cs="宋体"/>
                <w:color w:val="000000"/>
                <w:kern w:val="0"/>
                <w:szCs w:val="21"/>
                <w:lang w:val="en-US" w:eastAsia="zh-CN"/>
              </w:rPr>
              <w:t>4</w:t>
            </w:r>
            <w:r>
              <w:rPr>
                <w:rFonts w:hint="eastAsia" w:ascii="宋体" w:hAnsi="宋体" w:cs="宋体"/>
                <w:color w:val="000000"/>
                <w:kern w:val="0"/>
                <w:szCs w:val="21"/>
              </w:rPr>
              <w:t>人，包括</w:t>
            </w:r>
            <w:r>
              <w:rPr>
                <w:rFonts w:ascii="宋体" w:hAnsi="宋体" w:cs="宋体"/>
                <w:color w:val="000000"/>
                <w:kern w:val="0"/>
                <w:szCs w:val="21"/>
              </w:rPr>
              <w:t>1</w:t>
            </w:r>
            <w:r>
              <w:rPr>
                <w:rFonts w:hint="eastAsia" w:ascii="宋体" w:hAnsi="宋体" w:cs="宋体"/>
                <w:color w:val="000000"/>
                <w:kern w:val="0"/>
                <w:szCs w:val="21"/>
              </w:rPr>
              <w:t>名信息化工具服务人员</w:t>
            </w:r>
          </w:p>
        </w:tc>
        <w:tc>
          <w:tcPr>
            <w:tcW w:w="2095" w:type="dxa"/>
            <w:tcBorders>
              <w:top w:val="single" w:color="auto" w:sz="4" w:space="0"/>
              <w:left w:val="nil"/>
              <w:bottom w:val="single" w:color="auto" w:sz="4" w:space="0"/>
              <w:right w:val="single" w:color="auto" w:sz="4" w:space="0"/>
            </w:tcBorders>
            <w:shd w:val="clear" w:color="auto" w:fill="auto"/>
            <w:vAlign w:val="center"/>
          </w:tcPr>
          <w:p w14:paraId="361C7B52">
            <w:pPr>
              <w:widowControl/>
              <w:jc w:val="center"/>
              <w:rPr>
                <w:rFonts w:ascii="宋体" w:hAnsi="宋体" w:cs="宋体"/>
                <w:color w:val="000000"/>
                <w:kern w:val="0"/>
                <w:szCs w:val="21"/>
              </w:rPr>
            </w:pPr>
            <w:r>
              <w:rPr>
                <w:rFonts w:hint="eastAsia" w:ascii="宋体" w:hAnsi="宋体" w:cs="宋体"/>
                <w:color w:val="000000"/>
                <w:kern w:val="0"/>
                <w:szCs w:val="21"/>
              </w:rPr>
              <w:t>至少驻场1人</w:t>
            </w:r>
          </w:p>
        </w:tc>
      </w:tr>
      <w:tr w14:paraId="1246B644">
        <w:trPr>
          <w:trHeight w:val="567" w:hRule="atLeast"/>
        </w:trPr>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6FF94716">
            <w:pPr>
              <w:widowControl/>
              <w:jc w:val="cente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云平台技术专家</w:t>
            </w:r>
          </w:p>
        </w:tc>
        <w:tc>
          <w:tcPr>
            <w:tcW w:w="3492" w:type="dxa"/>
            <w:tcBorders>
              <w:top w:val="single" w:color="auto" w:sz="4" w:space="0"/>
              <w:left w:val="nil"/>
              <w:bottom w:val="single" w:color="auto" w:sz="4" w:space="0"/>
              <w:right w:val="single" w:color="auto" w:sz="4" w:space="0"/>
            </w:tcBorders>
            <w:shd w:val="clear" w:color="auto" w:fill="auto"/>
            <w:vAlign w:val="center"/>
          </w:tcPr>
          <w:p w14:paraId="1ECBF4A9">
            <w:pPr>
              <w:widowControl/>
              <w:jc w:val="cente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至少4人</w:t>
            </w:r>
          </w:p>
        </w:tc>
        <w:tc>
          <w:tcPr>
            <w:tcW w:w="2095" w:type="dxa"/>
            <w:tcBorders>
              <w:top w:val="single" w:color="auto" w:sz="4" w:space="0"/>
              <w:left w:val="nil"/>
              <w:bottom w:val="single" w:color="auto" w:sz="4" w:space="0"/>
              <w:right w:val="single" w:color="auto" w:sz="4" w:space="0"/>
            </w:tcBorders>
            <w:shd w:val="clear" w:color="auto" w:fill="auto"/>
            <w:vAlign w:val="center"/>
          </w:tcPr>
          <w:p w14:paraId="4BA16029">
            <w:pPr>
              <w:widowControl/>
              <w:jc w:val="center"/>
              <w:rPr>
                <w:rFonts w:hint="eastAsia"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按需</w:t>
            </w:r>
          </w:p>
        </w:tc>
      </w:tr>
    </w:tbl>
    <w:p w14:paraId="488D4B68">
      <w:pPr>
        <w:pStyle w:val="4"/>
        <w:numPr>
          <w:ilvl w:val="0"/>
          <w:numId w:val="0"/>
        </w:numPr>
        <w:tabs>
          <w:tab w:val="left" w:pos="1260"/>
          <w:tab w:val="clear" w:pos="840"/>
        </w:tabs>
        <w:rPr>
          <w:rFonts w:ascii="宋体" w:hAnsi="宋体"/>
          <w:lang w:eastAsia="zh-CN"/>
        </w:rPr>
      </w:pPr>
      <w:bookmarkStart w:id="19" w:name="_Toc64642731"/>
      <w:bookmarkStart w:id="20" w:name="_Toc1862494393"/>
      <w:bookmarkStart w:id="21" w:name="_Toc71239898"/>
      <w:bookmarkStart w:id="22" w:name="_Toc62217744"/>
      <w:bookmarkStart w:id="23" w:name="_Hlk63763599"/>
      <w:r>
        <w:rPr>
          <w:rFonts w:ascii="宋体" w:hAnsi="宋体"/>
          <w:lang w:eastAsia="zh-CN"/>
        </w:rPr>
        <w:t>3</w:t>
      </w:r>
      <w:r>
        <w:rPr>
          <w:rFonts w:hint="eastAsia" w:ascii="宋体" w:hAnsi="宋体"/>
        </w:rPr>
        <w:t>.</w:t>
      </w:r>
      <w:r>
        <w:rPr>
          <w:rFonts w:ascii="宋体" w:hAnsi="宋体"/>
        </w:rPr>
        <w:t xml:space="preserve">3 </w:t>
      </w:r>
      <w:r>
        <w:rPr>
          <w:rFonts w:hint="eastAsia" w:ascii="宋体" w:hAnsi="宋体"/>
          <w:lang w:eastAsia="zh-CN"/>
        </w:rPr>
        <w:t>能力建设要求</w:t>
      </w:r>
      <w:bookmarkEnd w:id="19"/>
      <w:bookmarkEnd w:id="20"/>
      <w:bookmarkEnd w:id="21"/>
      <w:bookmarkEnd w:id="22"/>
    </w:p>
    <w:p w14:paraId="50A62314">
      <w:pPr>
        <w:widowControl/>
        <w:numPr>
          <w:ilvl w:val="0"/>
          <w:numId w:val="21"/>
        </w:numPr>
        <w:topLinePunct/>
        <w:adjustRightInd w:val="0"/>
        <w:snapToGrid w:val="0"/>
        <w:spacing w:before="100" w:after="100" w:line="300" w:lineRule="exact"/>
        <w:ind w:left="420" w:hangingChars="200"/>
        <w:jc w:val="left"/>
        <w:rPr>
          <w:rFonts w:ascii="宋体" w:hAnsi="宋体"/>
        </w:rPr>
      </w:pPr>
      <w:r>
        <w:rPr>
          <w:rFonts w:ascii="宋体" w:hAnsi="宋体"/>
        </w:rPr>
        <w:t>中标人</w:t>
      </w:r>
      <w:r>
        <w:rPr>
          <w:rFonts w:hint="eastAsia" w:ascii="宋体" w:hAnsi="宋体"/>
        </w:rPr>
        <w:t>需提供一年不低于6次的政务云能力培训服务，培训对象为云服务商，包含但不限于政务云管理、技术、安全及业务能力培训，中标人负责安排专业培训讲师授课，并提供全套培训教材和培训课程计划表。</w:t>
      </w:r>
    </w:p>
    <w:p w14:paraId="1D60563A">
      <w:pPr>
        <w:widowControl/>
        <w:numPr>
          <w:ilvl w:val="0"/>
          <w:numId w:val="21"/>
        </w:numPr>
        <w:topLinePunct/>
        <w:adjustRightInd w:val="0"/>
        <w:snapToGrid w:val="0"/>
        <w:spacing w:before="100" w:after="100" w:line="300" w:lineRule="exact"/>
        <w:ind w:left="420" w:hangingChars="200"/>
        <w:jc w:val="left"/>
        <w:rPr>
          <w:rFonts w:ascii="宋体" w:hAnsi="宋体"/>
        </w:rPr>
      </w:pPr>
      <w:r>
        <w:rPr>
          <w:rFonts w:hint="eastAsia" w:ascii="宋体" w:hAnsi="宋体"/>
        </w:rPr>
        <w:t>投标方需将所有培训费用（含培训教材费）及各项支出计入总费用中，不单独报价。</w:t>
      </w:r>
      <w:bookmarkEnd w:id="23"/>
    </w:p>
    <w:p w14:paraId="57D1D495">
      <w:pPr>
        <w:widowControl/>
        <w:topLinePunct/>
        <w:adjustRightInd w:val="0"/>
        <w:snapToGrid w:val="0"/>
        <w:spacing w:before="160" w:after="160" w:line="276" w:lineRule="auto"/>
        <w:jc w:val="left"/>
        <w:rPr>
          <w:rFonts w:hint="default" w:eastAsiaTheme="minorEastAsia"/>
          <w:lang w:val="en-US" w:eastAsia="zh-CN"/>
        </w:rPr>
      </w:pPr>
    </w:p>
    <w:p w14:paraId="3893261C">
      <w:pPr>
        <w:widowControl/>
        <w:topLinePunct/>
        <w:adjustRightInd w:val="0"/>
        <w:snapToGrid w:val="0"/>
        <w:spacing w:before="100" w:after="100" w:line="300" w:lineRule="exact"/>
        <w:ind w:left="-420" w:leftChars="-200"/>
        <w:jc w:val="left"/>
        <w:rPr>
          <w:rFonts w:ascii="宋体" w:hAnsi="宋体"/>
        </w:rPr>
        <w:sectPr>
          <w:pgSz w:w="11906" w:h="16838"/>
          <w:pgMar w:top="1440" w:right="1800" w:bottom="1440" w:left="1800" w:header="851" w:footer="992" w:gutter="0"/>
          <w:cols w:space="425" w:num="1"/>
          <w:docGrid w:type="lines" w:linePitch="312" w:charSpace="0"/>
        </w:sectPr>
      </w:pPr>
    </w:p>
    <w:p w14:paraId="25EB9E12">
      <w:pPr>
        <w:pStyle w:val="3"/>
        <w:numPr>
          <w:ilvl w:val="0"/>
          <w:numId w:val="4"/>
        </w:numPr>
        <w:spacing w:line="276" w:lineRule="auto"/>
        <w:jc w:val="center"/>
        <w:rPr>
          <w:rFonts w:hint="eastAsia" w:ascii="宋体" w:hAnsi="宋体" w:eastAsia="宋体"/>
          <w:sz w:val="44"/>
          <w:szCs w:val="44"/>
          <w:lang w:val="en-US" w:eastAsia="zh-CN"/>
        </w:rPr>
      </w:pPr>
      <w:r>
        <w:rPr>
          <w:rFonts w:hint="eastAsia" w:ascii="宋体" w:hAnsi="宋体" w:eastAsia="宋体"/>
          <w:sz w:val="44"/>
          <w:szCs w:val="44"/>
          <w:lang w:val="en-US" w:eastAsia="zh-CN"/>
        </w:rPr>
        <w:t>报价限价</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868"/>
        <w:gridCol w:w="3186"/>
        <w:gridCol w:w="1355"/>
        <w:gridCol w:w="2457"/>
      </w:tblGrid>
      <w:tr w14:paraId="5BC9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D7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78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报价项</w:t>
            </w:r>
          </w:p>
        </w:tc>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C7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报价项说明</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EE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最高限价 </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D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r>
      <w:tr w14:paraId="1222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40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E4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技术评估服务</w:t>
            </w:r>
          </w:p>
        </w:tc>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FE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技术评估服务聚焦于使用单位需求审核、云架构变更管理及安全方案评估，确保资源配置合理、技术方案可行、安全措施合规。</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1D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3,200,000.00 </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3F9B">
            <w:pPr>
              <w:jc w:val="left"/>
              <w:rPr>
                <w:rFonts w:hint="eastAsia" w:ascii="宋体" w:hAnsi="宋体" w:eastAsia="宋体" w:cs="宋体"/>
                <w:i w:val="0"/>
                <w:iCs w:val="0"/>
                <w:color w:val="000000"/>
                <w:sz w:val="22"/>
                <w:szCs w:val="22"/>
                <w:u w:val="none"/>
              </w:rPr>
            </w:pPr>
          </w:p>
        </w:tc>
      </w:tr>
      <w:tr w14:paraId="4037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B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0C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规范性监管服务</w:t>
            </w:r>
          </w:p>
        </w:tc>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0A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规范性监管服务聚焦于云服务合规性审核、现场检查及制度执行监督，确保云服务商服务过程符合合同约定及政策要求。</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29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2,000,000.00 </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5F6B">
            <w:pPr>
              <w:jc w:val="left"/>
              <w:rPr>
                <w:rFonts w:hint="eastAsia" w:ascii="宋体" w:hAnsi="宋体" w:eastAsia="宋体" w:cs="宋体"/>
                <w:i w:val="0"/>
                <w:iCs w:val="0"/>
                <w:color w:val="000000"/>
                <w:sz w:val="22"/>
                <w:szCs w:val="22"/>
                <w:u w:val="none"/>
              </w:rPr>
            </w:pPr>
          </w:p>
        </w:tc>
      </w:tr>
      <w:tr w14:paraId="65AB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EF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2B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运营专业服务</w:t>
            </w:r>
          </w:p>
        </w:tc>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66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运营专业服务涵盖云平台日常管理、事件处理，确保云服务高效稳定运行。</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8F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3,000,000.00 </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4DED">
            <w:pPr>
              <w:jc w:val="left"/>
              <w:rPr>
                <w:rFonts w:hint="eastAsia" w:ascii="宋体" w:hAnsi="宋体" w:eastAsia="宋体" w:cs="宋体"/>
                <w:i w:val="0"/>
                <w:iCs w:val="0"/>
                <w:color w:val="000000"/>
                <w:sz w:val="22"/>
                <w:szCs w:val="22"/>
                <w:u w:val="none"/>
              </w:rPr>
            </w:pPr>
          </w:p>
        </w:tc>
      </w:tr>
      <w:tr w14:paraId="1D23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59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F3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绩效评价服务</w:t>
            </w:r>
          </w:p>
        </w:tc>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EB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绩效评价服务以《上海市全面实施预算绩效管理实施意见》《上海市财政项目支出绩效管理办法》为依据，通过考核云服务商及满意度调查，评估服务效能与财政资金使用效益。</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3E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800,000.00 </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47E1">
            <w:pPr>
              <w:jc w:val="left"/>
              <w:rPr>
                <w:rFonts w:hint="eastAsia" w:ascii="宋体" w:hAnsi="宋体" w:eastAsia="宋体" w:cs="宋体"/>
                <w:i w:val="0"/>
                <w:iCs w:val="0"/>
                <w:color w:val="000000"/>
                <w:sz w:val="22"/>
                <w:szCs w:val="22"/>
                <w:u w:val="none"/>
              </w:rPr>
            </w:pPr>
          </w:p>
        </w:tc>
      </w:tr>
      <w:tr w14:paraId="0C3B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6A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91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云服务计量评估服务</w:t>
            </w:r>
          </w:p>
        </w:tc>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67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云服务计量评估服务通过量化分析云服务商的提供的有效服务目录数量，为支付服务费提供依据。</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5F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1,500,000.00 </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CE2A">
            <w:pPr>
              <w:jc w:val="left"/>
              <w:rPr>
                <w:rFonts w:hint="eastAsia" w:ascii="宋体" w:hAnsi="宋体" w:eastAsia="宋体" w:cs="宋体"/>
                <w:i w:val="0"/>
                <w:iCs w:val="0"/>
                <w:color w:val="000000"/>
                <w:sz w:val="21"/>
                <w:szCs w:val="21"/>
                <w:u w:val="none"/>
              </w:rPr>
            </w:pPr>
          </w:p>
        </w:tc>
      </w:tr>
    </w:tbl>
    <w:p w14:paraId="2A67AD3B">
      <w:pPr>
        <w:pStyle w:val="2"/>
        <w:rPr>
          <w:lang w:val="en-US"/>
        </w:rPr>
      </w:pPr>
    </w:p>
    <w:p w14:paraId="12D38262">
      <w:pPr>
        <w:widowControl/>
        <w:topLinePunct/>
        <w:adjustRightInd w:val="0"/>
        <w:snapToGrid w:val="0"/>
        <w:spacing w:before="100" w:after="100" w:line="300" w:lineRule="exact"/>
        <w:ind w:left="-420" w:leftChars="-200"/>
        <w:jc w:val="left"/>
        <w:rPr>
          <w:rFonts w:hint="default" w:ascii="宋体" w:hAnsi="宋体" w:eastAsiaTheme="minorEastAsia"/>
          <w:lang w:val="en-US" w:eastAsia="zh-CN"/>
        </w:rPr>
      </w:pPr>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roman"/>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Book Antiqua">
    <w:altName w:val="Liberation Serif"/>
    <w:panose1 w:val="02040602050305030304"/>
    <w:charset w:val="00"/>
    <w:family w:val="roman"/>
    <w:pitch w:val="default"/>
    <w:sig w:usb0="00000000" w:usb1="00000000" w:usb2="00000000" w:usb3="00000000" w:csb0="0000009F"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7878E"/>
    <w:multiLevelType w:val="multilevel"/>
    <w:tmpl w:val="9D27878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F7E7F7B"/>
    <w:multiLevelType w:val="multilevel"/>
    <w:tmpl w:val="9F7E7F7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DBF6ECC9"/>
    <w:multiLevelType w:val="multilevel"/>
    <w:tmpl w:val="DBF6ECC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F2BF4CE3"/>
    <w:multiLevelType w:val="multilevel"/>
    <w:tmpl w:val="F2BF4CE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F6EFBFB6"/>
    <w:multiLevelType w:val="multilevel"/>
    <w:tmpl w:val="F6EFBFB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FAFCFFF8"/>
    <w:multiLevelType w:val="multilevel"/>
    <w:tmpl w:val="FAFCFFF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FE760DD5"/>
    <w:multiLevelType w:val="multilevel"/>
    <w:tmpl w:val="FE760DD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FFFE1404"/>
    <w:multiLevelType w:val="multilevel"/>
    <w:tmpl w:val="FFFE140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FFFFFF88"/>
    <w:multiLevelType w:val="singleLevel"/>
    <w:tmpl w:val="FFFFFF88"/>
    <w:lvl w:ilvl="0" w:tentative="0">
      <w:start w:val="1"/>
      <w:numFmt w:val="decimal"/>
      <w:pStyle w:val="3"/>
      <w:lvlText w:val="%1."/>
      <w:lvlJc w:val="left"/>
      <w:pPr>
        <w:tabs>
          <w:tab w:val="left" w:pos="360"/>
        </w:tabs>
        <w:ind w:left="360" w:hanging="360"/>
      </w:pPr>
    </w:lvl>
  </w:abstractNum>
  <w:abstractNum w:abstractNumId="9">
    <w:nsid w:val="0D540E02"/>
    <w:multiLevelType w:val="multilevel"/>
    <w:tmpl w:val="0D540E0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71657A1"/>
    <w:multiLevelType w:val="multilevel"/>
    <w:tmpl w:val="171657A1"/>
    <w:lvl w:ilvl="0" w:tentative="0">
      <w:start w:val="1"/>
      <w:numFmt w:val="decimal"/>
      <w:suff w:val="nothing"/>
      <w:lvlText w:val="%1 "/>
      <w:lvlJc w:val="left"/>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rPr>
        <w:rFonts w:hint="default" w:ascii="宋体" w:hAnsi="宋体" w:eastAsia="宋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lvlRestart w:val="1"/>
      <w:suff w:val="nothing"/>
      <w:lvlText w:val="%1.%2.%3.%4 "/>
      <w:lvlJc w:val="left"/>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lvlRestart w:val="1"/>
      <w:suff w:val="nothing"/>
      <w:lvlText w:val="%1.%2.%3.%4.%5 "/>
      <w:lvlJc w:val="left"/>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none"/>
      <w:suff w:val="nothing"/>
      <w:lvlText w:val=""/>
      <w:lvlJc w:val="left"/>
      <w:rPr>
        <w:rFonts w:hint="default" w:ascii="Arial" w:hAnsi="Arial" w:cs="Arial"/>
        <w:b/>
        <w:bCs/>
        <w:i w:val="0"/>
        <w:iCs w:val="0"/>
        <w:caps w:val="0"/>
        <w:strike w:val="0"/>
        <w:dstrike w:val="0"/>
        <w:vanish w:val="0"/>
        <w:color w:val="000000"/>
        <w:sz w:val="20"/>
        <w:szCs w:val="20"/>
        <w:vertAlign w:val="baseline"/>
      </w:rPr>
    </w:lvl>
    <w:lvl w:ilvl="6" w:tentative="0">
      <w:start w:val="1"/>
      <w:numFmt w:val="decimal"/>
      <w:lvlText w:val="步骤 %7"/>
      <w:lvlJc w:val="right"/>
      <w:pPr>
        <w:tabs>
          <w:tab w:val="left" w:pos="1701"/>
        </w:tabs>
        <w:ind w:left="1701" w:hanging="159"/>
      </w:pPr>
      <w:rPr>
        <w:rFonts w:hint="default" w:ascii="Book Antiqua" w:hAnsi="Book Antiqua" w:eastAsia="黑体" w:cs="Times New Roman"/>
        <w:b w:val="0"/>
        <w:bCs/>
        <w:i w:val="0"/>
        <w:iCs w:val="0"/>
        <w:color w:val="auto"/>
        <w:sz w:val="21"/>
        <w:szCs w:val="21"/>
      </w:rPr>
    </w:lvl>
    <w:lvl w:ilvl="7" w:tentative="0">
      <w:start w:val="1"/>
      <w:numFmt w:val="decimal"/>
      <w:lvlRestart w:val="1"/>
      <w:suff w:val="space"/>
      <w:lvlText w:val="图%1-%8"/>
      <w:lvlJc w:val="left"/>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11">
    <w:nsid w:val="18E12B15"/>
    <w:multiLevelType w:val="multilevel"/>
    <w:tmpl w:val="18E12B1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1EB0073E"/>
    <w:multiLevelType w:val="multilevel"/>
    <w:tmpl w:val="1EB0073E"/>
    <w:lvl w:ilvl="0" w:tentative="0">
      <w:start w:val="1"/>
      <w:numFmt w:val="decimal"/>
      <w:lvlText w:val="%1."/>
      <w:lvlJc w:val="left"/>
      <w:rPr>
        <w:rFonts w:hint="eastAsia" w:ascii="宋体" w:hAnsi="宋体" w:eastAsia="宋体"/>
        <w:caps w:val="0"/>
        <w:strike w:val="0"/>
        <w:dstrike w:val="0"/>
        <w:vanish w:val="0"/>
        <w:color w:val="000000"/>
        <w:sz w:val="44"/>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727B63"/>
    <w:multiLevelType w:val="multilevel"/>
    <w:tmpl w:val="27727B63"/>
    <w:lvl w:ilvl="0" w:tentative="0">
      <w:start w:val="1"/>
      <w:numFmt w:val="bullet"/>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3B7F1107"/>
    <w:multiLevelType w:val="multilevel"/>
    <w:tmpl w:val="3B7F11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3FFD11EC"/>
    <w:multiLevelType w:val="multilevel"/>
    <w:tmpl w:val="3FFD11E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45BF820B"/>
    <w:multiLevelType w:val="multilevel"/>
    <w:tmpl w:val="45BF820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4B24B54D"/>
    <w:multiLevelType w:val="multilevel"/>
    <w:tmpl w:val="4B24B54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3767B29"/>
    <w:multiLevelType w:val="multilevel"/>
    <w:tmpl w:val="53767B2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7AD7EF51"/>
    <w:multiLevelType w:val="multilevel"/>
    <w:tmpl w:val="7AD7EF5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7F773C35"/>
    <w:multiLevelType w:val="multilevel"/>
    <w:tmpl w:val="7F773C35"/>
    <w:lvl w:ilvl="0" w:tentative="0">
      <w:start w:val="1"/>
      <w:numFmt w:val="bullet"/>
      <w:pStyle w:val="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decimal"/>
      <w:lvlText w:val="%7."/>
      <w:lvlJc w:val="left"/>
      <w:pPr>
        <w:tabs>
          <w:tab w:val="left" w:pos="2126"/>
        </w:tabs>
        <w:ind w:left="2126" w:hanging="425"/>
      </w:pPr>
      <w:rPr>
        <w:rFonts w:hint="default" w:ascii="Times New Roman" w:hAnsi="Times New Roman" w:cs="Book Antiqua"/>
        <w:b w:val="0"/>
        <w:bCs/>
        <w:i w:val="0"/>
        <w:iCs w:val="0"/>
        <w:sz w:val="21"/>
        <w:szCs w:val="21"/>
        <w:u w:val="none"/>
      </w:rPr>
    </w:lvl>
    <w:lvl w:ilvl="7" w:tentative="0">
      <w:start w:val="1"/>
      <w:numFmt w:val="lowerLetter"/>
      <w:lvlText w:val="%8."/>
      <w:lvlJc w:val="left"/>
      <w:pPr>
        <w:tabs>
          <w:tab w:val="left" w:pos="2126"/>
        </w:tabs>
        <w:ind w:left="2526" w:hanging="425"/>
      </w:pPr>
      <w:rPr>
        <w:rFonts w:hint="default" w:ascii="Times New Roman" w:hAnsi="Times New Roman" w:cs="Book Antiqua"/>
        <w:b w:val="0"/>
        <w:bCs/>
        <w:i w:val="0"/>
        <w:iCs w:val="0"/>
        <w:sz w:val="21"/>
        <w:szCs w:val="21"/>
        <w:u w:val="none"/>
      </w:rPr>
    </w:lvl>
    <w:lvl w:ilvl="8" w:tentative="0">
      <w:start w:val="1"/>
      <w:numFmt w:val="decimal"/>
      <w:lvlRestart w:val="0"/>
      <w:lvlText w:val="%9."/>
      <w:lvlJc w:val="left"/>
      <w:pPr>
        <w:tabs>
          <w:tab w:val="left" w:pos="284"/>
        </w:tabs>
        <w:ind w:left="284" w:hanging="284"/>
      </w:pPr>
      <w:rPr>
        <w:rFonts w:hint="eastAsia"/>
      </w:rPr>
    </w:lvl>
  </w:abstractNum>
  <w:num w:numId="1">
    <w:abstractNumId w:val="8"/>
  </w:num>
  <w:num w:numId="2">
    <w:abstractNumId w:val="20"/>
  </w:num>
  <w:num w:numId="3">
    <w:abstractNumId w:val="13"/>
  </w:num>
  <w:num w:numId="4">
    <w:abstractNumId w:val="12"/>
  </w:num>
  <w:num w:numId="5">
    <w:abstractNumId w:val="10"/>
  </w:num>
  <w:num w:numId="6">
    <w:abstractNumId w:val="9"/>
  </w:num>
  <w:num w:numId="7">
    <w:abstractNumId w:val="19"/>
  </w:num>
  <w:num w:numId="8">
    <w:abstractNumId w:val="5"/>
  </w:num>
  <w:num w:numId="9">
    <w:abstractNumId w:val="3"/>
  </w:num>
  <w:num w:numId="10">
    <w:abstractNumId w:val="15"/>
  </w:num>
  <w:num w:numId="11">
    <w:abstractNumId w:val="11"/>
  </w:num>
  <w:num w:numId="12">
    <w:abstractNumId w:val="7"/>
  </w:num>
  <w:num w:numId="13">
    <w:abstractNumId w:val="16"/>
  </w:num>
  <w:num w:numId="14">
    <w:abstractNumId w:val="0"/>
  </w:num>
  <w:num w:numId="15">
    <w:abstractNumId w:val="18"/>
  </w:num>
  <w:num w:numId="16">
    <w:abstractNumId w:val="1"/>
  </w:num>
  <w:num w:numId="17">
    <w:abstractNumId w:val="6"/>
  </w:num>
  <w:num w:numId="18">
    <w:abstractNumId w:val="4"/>
  </w:num>
  <w:num w:numId="19">
    <w:abstractNumId w:val="14"/>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BA0CD"/>
    <w:rsid w:val="000B3BC5"/>
    <w:rsid w:val="000F7F77"/>
    <w:rsid w:val="001D0448"/>
    <w:rsid w:val="002959B2"/>
    <w:rsid w:val="002E5CCB"/>
    <w:rsid w:val="004A3C8A"/>
    <w:rsid w:val="008169EA"/>
    <w:rsid w:val="008932D8"/>
    <w:rsid w:val="008F1BA0"/>
    <w:rsid w:val="00AE5DFE"/>
    <w:rsid w:val="00B64393"/>
    <w:rsid w:val="00B94600"/>
    <w:rsid w:val="00BF024D"/>
    <w:rsid w:val="00FB4439"/>
    <w:rsid w:val="00FC2057"/>
    <w:rsid w:val="1EFFFDBF"/>
    <w:rsid w:val="1F3F68D3"/>
    <w:rsid w:val="24796295"/>
    <w:rsid w:val="2D5BA0CD"/>
    <w:rsid w:val="2FFF1651"/>
    <w:rsid w:val="37AF25CE"/>
    <w:rsid w:val="39FF3166"/>
    <w:rsid w:val="3E3FD4CE"/>
    <w:rsid w:val="3E5B103D"/>
    <w:rsid w:val="3EFF2CB1"/>
    <w:rsid w:val="4FCFF5B9"/>
    <w:rsid w:val="4FFF60D5"/>
    <w:rsid w:val="57BBE359"/>
    <w:rsid w:val="597AAA69"/>
    <w:rsid w:val="63E7F16A"/>
    <w:rsid w:val="6B7F7640"/>
    <w:rsid w:val="6F2FFB35"/>
    <w:rsid w:val="6F7B87C0"/>
    <w:rsid w:val="76F78A20"/>
    <w:rsid w:val="77BEDFAF"/>
    <w:rsid w:val="77DDA1B8"/>
    <w:rsid w:val="7AEF751A"/>
    <w:rsid w:val="7B7F3A31"/>
    <w:rsid w:val="7BB34780"/>
    <w:rsid w:val="7BD57957"/>
    <w:rsid w:val="7BD5F4E5"/>
    <w:rsid w:val="7BF89A8E"/>
    <w:rsid w:val="7BFF76FF"/>
    <w:rsid w:val="7CBBDB85"/>
    <w:rsid w:val="7DEE5C81"/>
    <w:rsid w:val="7FF78573"/>
    <w:rsid w:val="967B1E4E"/>
    <w:rsid w:val="AAFE8890"/>
    <w:rsid w:val="AB73F192"/>
    <w:rsid w:val="AFFC11BD"/>
    <w:rsid w:val="B7B72FEA"/>
    <w:rsid w:val="B7EF67FF"/>
    <w:rsid w:val="BF543468"/>
    <w:rsid w:val="D8FE3B09"/>
    <w:rsid w:val="D9FC7A78"/>
    <w:rsid w:val="DDEF1C0D"/>
    <w:rsid w:val="DFE5718C"/>
    <w:rsid w:val="E7D518DB"/>
    <w:rsid w:val="EEE74E22"/>
    <w:rsid w:val="EF7FC4F2"/>
    <w:rsid w:val="EF7FDBC3"/>
    <w:rsid w:val="F3FD60F6"/>
    <w:rsid w:val="F5D962B5"/>
    <w:rsid w:val="FB6F824B"/>
    <w:rsid w:val="FBBCF04E"/>
    <w:rsid w:val="FBF8828C"/>
    <w:rsid w:val="FBF9849B"/>
    <w:rsid w:val="FDD71CC5"/>
    <w:rsid w:val="FEB60B44"/>
    <w:rsid w:val="FEDB7445"/>
    <w:rsid w:val="FF729E0B"/>
    <w:rsid w:val="FFDAD75B"/>
    <w:rsid w:val="FFDF9949"/>
    <w:rsid w:val="FFF7A335"/>
    <w:rsid w:val="FFFDC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keepNext/>
      <w:pageBreakBefore/>
      <w:widowControl/>
      <w:numPr>
        <w:ilvl w:val="0"/>
        <w:numId w:val="1"/>
      </w:numPr>
      <w:topLinePunct/>
      <w:adjustRightInd w:val="0"/>
      <w:snapToGrid w:val="0"/>
      <w:spacing w:line="480" w:lineRule="auto"/>
      <w:jc w:val="left"/>
      <w:outlineLvl w:val="0"/>
    </w:pPr>
    <w:rPr>
      <w:rFonts w:hint="eastAsia" w:ascii="Book Antiqua" w:hAnsi="Book Antiqua" w:eastAsia="宋体" w:cs="Book Antiqua"/>
      <w:b/>
      <w:bCs/>
      <w:sz w:val="44"/>
      <w:szCs w:val="44"/>
    </w:rPr>
  </w:style>
  <w:style w:type="paragraph" w:styleId="4">
    <w:name w:val="heading 2"/>
    <w:basedOn w:val="1"/>
    <w:next w:val="5"/>
    <w:qFormat/>
    <w:uiPriority w:val="0"/>
    <w:pPr>
      <w:keepNext/>
      <w:keepLines/>
      <w:widowControl/>
      <w:numPr>
        <w:ilvl w:val="0"/>
        <w:numId w:val="2"/>
      </w:numPr>
      <w:topLinePunct/>
      <w:adjustRightInd w:val="0"/>
      <w:snapToGrid w:val="0"/>
      <w:spacing w:line="360" w:lineRule="auto"/>
      <w:jc w:val="left"/>
      <w:textAlignment w:val="center"/>
      <w:outlineLvl w:val="1"/>
    </w:pPr>
    <w:rPr>
      <w:rFonts w:ascii="Book Antiqua" w:hAnsi="Book Antiqua" w:eastAsia="宋体" w:cs="Times New Roman"/>
      <w:bCs/>
      <w:kern w:val="0"/>
      <w:sz w:val="36"/>
      <w:szCs w:val="36"/>
      <w:lang w:eastAsia="en-US"/>
    </w:rPr>
  </w:style>
  <w:style w:type="paragraph" w:styleId="5">
    <w:name w:val="heading 3"/>
    <w:basedOn w:val="1"/>
    <w:next w:val="1"/>
    <w:qFormat/>
    <w:uiPriority w:val="0"/>
    <w:pPr>
      <w:keepNext/>
      <w:keepLines/>
      <w:widowControl/>
      <w:numPr>
        <w:ilvl w:val="2"/>
        <w:numId w:val="3"/>
      </w:numPr>
      <w:topLinePunct/>
      <w:adjustRightInd w:val="0"/>
      <w:snapToGrid w:val="0"/>
      <w:spacing w:before="200" w:after="160" w:line="240" w:lineRule="atLeast"/>
      <w:jc w:val="left"/>
      <w:outlineLvl w:val="2"/>
    </w:pPr>
    <w:rPr>
      <w:rFonts w:ascii="Book Antiqua" w:hAnsi="Book Antiqua" w:eastAsia="宋体" w:cs="Times New Roman"/>
      <w:kern w:val="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6">
    <w:name w:val="annotation text"/>
    <w:basedOn w:val="1"/>
    <w:unhideWhenUsed/>
    <w:qFormat/>
    <w:uiPriority w:val="99"/>
  </w:style>
  <w:style w:type="paragraph" w:styleId="7">
    <w:name w:val="Balloon Text"/>
    <w:basedOn w:val="1"/>
    <w:link w:val="15"/>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0"/>
    <w:rPr>
      <w:b/>
    </w:rPr>
  </w:style>
  <w:style w:type="paragraph" w:customStyle="1" w:styleId="13">
    <w:name w:val="N"/>
    <w:basedOn w:val="1"/>
    <w:next w:val="1"/>
    <w:qFormat/>
    <w:uiPriority w:val="0"/>
    <w:pPr>
      <w:pageBreakBefore/>
      <w:spacing w:beforeLines="100" w:afterLines="100" w:line="720" w:lineRule="auto"/>
      <w:jc w:val="center"/>
      <w:outlineLvl w:val="0"/>
    </w:pPr>
    <w:rPr>
      <w:rFonts w:ascii="黑体" w:hAnsi="微软雅黑" w:eastAsia="微软雅黑" w:cs="Times New Roman"/>
      <w:b/>
      <w:sz w:val="44"/>
      <w:szCs w:val="44"/>
      <w:lang w:val="zh-CN"/>
    </w:rPr>
  </w:style>
  <w:style w:type="paragraph" w:styleId="14">
    <w:name w:val="List Paragraph"/>
    <w:basedOn w:val="1"/>
    <w:qFormat/>
    <w:uiPriority w:val="34"/>
    <w:pPr>
      <w:ind w:firstLine="420" w:firstLineChars="200"/>
    </w:pPr>
  </w:style>
  <w:style w:type="character" w:customStyle="1" w:styleId="15">
    <w:name w:val="批注框文本 Char"/>
    <w:basedOn w:val="11"/>
    <w:link w:val="7"/>
    <w:qFormat/>
    <w:uiPriority w:val="0"/>
    <w:rPr>
      <w:rFonts w:asciiTheme="minorHAnsi" w:hAnsiTheme="minorHAnsi" w:eastAsiaTheme="minorEastAsia" w:cstheme="minorBidi"/>
      <w:kern w:val="2"/>
      <w:sz w:val="18"/>
      <w:szCs w:val="18"/>
    </w:rPr>
  </w:style>
  <w:style w:type="character" w:customStyle="1" w:styleId="16">
    <w:name w:val="页眉 Char"/>
    <w:basedOn w:val="11"/>
    <w:link w:val="9"/>
    <w:qFormat/>
    <w:uiPriority w:val="0"/>
    <w:rPr>
      <w:rFonts w:asciiTheme="minorHAnsi" w:hAnsiTheme="minorHAnsi" w:eastAsiaTheme="minorEastAsia" w:cstheme="minorBidi"/>
      <w:kern w:val="2"/>
      <w:sz w:val="18"/>
      <w:szCs w:val="18"/>
    </w:rPr>
  </w:style>
  <w:style w:type="character" w:customStyle="1" w:styleId="17">
    <w:name w:val="页脚 Char"/>
    <w:basedOn w:val="11"/>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2891</Words>
  <Characters>3036</Characters>
  <Lines>189</Lines>
  <Paragraphs>155</Paragraphs>
  <TotalTime>10</TotalTime>
  <ScaleCrop>false</ScaleCrop>
  <LinksUpToDate>false</LinksUpToDate>
  <CharactersWithSpaces>5772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2023-03-15T22:29:00Z</dcterms:created>
  <dc:creator>administrator</dc:creator>
  <cp:lastModifiedBy>郭田恬</cp:lastModifiedBy>
  <dcterms:modified xsi:type="dcterms:W3CDTF">2026-03-27T09:05:29Z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B63CF18E7C76FEC7ECCDAE690335A0AE_43</vt:lpwstr>
  </property>
</Properties>
</file>