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A5A0C">
      <w:pPr>
        <w:ind w:firstLine="0" w:firstLineChars="0"/>
        <w:jc w:val="center"/>
        <w:rPr>
          <w:rFonts w:ascii="黑体" w:hAnsi="黑体" w:eastAsia="黑体"/>
          <w:sz w:val="48"/>
          <w:szCs w:val="48"/>
        </w:rPr>
      </w:pPr>
    </w:p>
    <w:p w14:paraId="7D4E8602">
      <w:pPr>
        <w:ind w:firstLine="0" w:firstLineChars="0"/>
        <w:jc w:val="center"/>
        <w:rPr>
          <w:rFonts w:ascii="黑体" w:hAnsi="黑体" w:eastAsia="黑体"/>
          <w:sz w:val="48"/>
          <w:szCs w:val="48"/>
        </w:rPr>
      </w:pPr>
    </w:p>
    <w:p w14:paraId="1BB7A3BC">
      <w:pPr>
        <w:ind w:firstLine="0" w:firstLineChars="0"/>
        <w:jc w:val="center"/>
        <w:rPr>
          <w:rFonts w:ascii="黑体" w:hAnsi="黑体" w:eastAsia="黑体"/>
          <w:sz w:val="52"/>
          <w:szCs w:val="52"/>
        </w:rPr>
      </w:pPr>
      <w:r>
        <w:rPr>
          <w:rFonts w:hint="eastAsia" w:ascii="黑体" w:hAnsi="黑体" w:eastAsia="黑体"/>
          <w:sz w:val="52"/>
          <w:szCs w:val="52"/>
        </w:rPr>
        <w:t>城管执法综合管理平台建设项目(2026年升级改造)</w:t>
      </w:r>
    </w:p>
    <w:p w14:paraId="47D225B4">
      <w:pPr>
        <w:ind w:firstLine="0" w:firstLineChars="0"/>
        <w:jc w:val="center"/>
        <w:rPr>
          <w:rFonts w:ascii="黑体" w:hAnsi="黑体" w:eastAsia="黑体"/>
          <w:sz w:val="72"/>
          <w:szCs w:val="72"/>
        </w:rPr>
      </w:pPr>
      <w:r>
        <w:rPr>
          <w:rFonts w:hint="eastAsia" w:ascii="黑体" w:hAnsi="黑体" w:eastAsia="黑体"/>
          <w:sz w:val="52"/>
          <w:szCs w:val="52"/>
        </w:rPr>
        <w:t>采购需求</w:t>
      </w:r>
    </w:p>
    <w:p w14:paraId="3E71B2D5">
      <w:pPr>
        <w:ind w:firstLine="0" w:firstLineChars="0"/>
        <w:jc w:val="center"/>
        <w:rPr>
          <w:rFonts w:ascii="黑体" w:hAnsi="黑体" w:eastAsia="黑体"/>
          <w:sz w:val="48"/>
          <w:szCs w:val="48"/>
        </w:rPr>
      </w:pPr>
    </w:p>
    <w:p w14:paraId="5A8E4D3B">
      <w:pPr>
        <w:ind w:firstLine="0" w:firstLineChars="0"/>
        <w:jc w:val="center"/>
        <w:rPr>
          <w:rFonts w:ascii="黑体" w:hAnsi="黑体" w:eastAsia="黑体"/>
          <w:sz w:val="52"/>
          <w:szCs w:val="52"/>
        </w:rPr>
      </w:pPr>
    </w:p>
    <w:p w14:paraId="79D012BC">
      <w:pPr>
        <w:ind w:firstLine="1040"/>
        <w:rPr>
          <w:rFonts w:ascii="黑体" w:hAnsi="黑体" w:eastAsia="黑体"/>
          <w:sz w:val="52"/>
          <w:szCs w:val="52"/>
        </w:rPr>
      </w:pPr>
    </w:p>
    <w:p w14:paraId="540C9B29"/>
    <w:p w14:paraId="6F039A82"/>
    <w:p w14:paraId="04170A40"/>
    <w:p w14:paraId="4667439F"/>
    <w:p w14:paraId="1BFFFB51"/>
    <w:p w14:paraId="3F996533">
      <w:pPr>
        <w:ind w:firstLine="1040"/>
        <w:rPr>
          <w:rFonts w:ascii="黑体" w:hAnsi="黑体" w:eastAsia="黑体"/>
          <w:sz w:val="52"/>
          <w:szCs w:val="52"/>
        </w:rPr>
      </w:pPr>
    </w:p>
    <w:p w14:paraId="4BB96BE6">
      <w:pPr>
        <w:jc w:val="cente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44C93F20">
      <w:pPr>
        <w:pStyle w:val="2"/>
      </w:pPr>
      <w:bookmarkStart w:id="0" w:name="_Toc63785461"/>
      <w:r>
        <w:rPr>
          <w:rFonts w:hint="eastAsia"/>
        </w:rPr>
        <w:t>项目概况</w:t>
      </w:r>
      <w:bookmarkEnd w:id="0"/>
    </w:p>
    <w:p w14:paraId="24918CF3">
      <w:pPr>
        <w:pStyle w:val="61"/>
        <w:numPr>
          <w:ilvl w:val="0"/>
          <w:numId w:val="3"/>
        </w:numPr>
        <w:spacing w:line="560" w:lineRule="exact"/>
        <w:ind w:firstLineChars="0"/>
        <w:rPr>
          <w:rFonts w:ascii="宋体" w:hAnsi="宋体"/>
          <w:sz w:val="24"/>
        </w:rPr>
      </w:pPr>
      <w:r>
        <w:rPr>
          <w:rFonts w:hint="eastAsia" w:ascii="宋体" w:hAnsi="宋体"/>
          <w:sz w:val="24"/>
        </w:rPr>
        <w:t>项目背景</w:t>
      </w:r>
    </w:p>
    <w:p w14:paraId="40BC1CBD">
      <w:pPr>
        <w:spacing w:line="560" w:lineRule="exact"/>
      </w:pPr>
      <w:r>
        <w:rPr>
          <w:rFonts w:hint="eastAsia"/>
        </w:rPr>
        <w:t>坚持以新时代中国特色社会主义思想为指导，全面贯彻落实党的二十大精神,深入贯彻总书记关于数字中国建设重要指示，加快落实市委、市政府关于全面数字化转型的战略部署,坚持“大平台、大数据、大系统”思维,综合运用新技术、新理念、新模式，加强数字政府建设,提升机关运行效能,形成 统一的政府办公基础平台和服务能力，支撑治理数字化转型及创新应用拓展。</w:t>
      </w:r>
    </w:p>
    <w:p w14:paraId="6E0804AA">
      <w:pPr>
        <w:spacing w:line="560" w:lineRule="exact"/>
      </w:pPr>
      <w:r>
        <w:rPr>
          <w:rFonts w:hint="eastAsia"/>
        </w:rPr>
        <w:t>为深入贯彻党的二十大会议精神，全面推进上海市城管执法系统数字化转型，推动执法能级跃升，提升法治化、智能化、标准化水平，根据中组部《行政执法类公务员培训办法（试行）》的要求，根据关于印发《上海市住房和城乡建设管理委员会2025年数字化转型工作要点》的通知、关于印发《上海市城管执法系统数字化转型三年行动计划（2024-2026）》的通知（沪城管执〔2024〕36 号）、关于印发《2025年上海市城管执法系统数字化转型工作要点》的通知（沪城管执〔2025〕34 号）、关于印发《2025年上海市城管执法系统教育培训工作方案》的通知（沪城管执〔2025〕17 号）等文件要求，结合上海市城管现状，进一步优化教育培训。</w:t>
      </w:r>
    </w:p>
    <w:p w14:paraId="1845FA0A">
      <w:pPr>
        <w:spacing w:line="560" w:lineRule="exact"/>
      </w:pPr>
      <w:r>
        <w:rPr>
          <w:rFonts w:hint="eastAsia"/>
        </w:rPr>
        <w:t>完善教育培训系统，优化资源库、培训、考试、队列训练等管理功能。构建移动应用，实现在线授课、在线考试、培训签到、初任培训、培训评价、问卷调查、日程调整等实务操作。完善队员培训档案管理，推进差异化职业能力培养规划。打造智慧教室管理模块，对接标准化教学点，实现多场点互动教学。增加网上办案系统的实战训练及考试，建设自动评分模型，在学员实操完成后，系统可自动判定正确答案并评分，全面提升学员的实战操作能力。</w:t>
      </w:r>
    </w:p>
    <w:p w14:paraId="6BD0847A">
      <w:pPr>
        <w:spacing w:line="560" w:lineRule="exact"/>
      </w:pPr>
      <w:r>
        <w:rPr>
          <w:rFonts w:hint="eastAsia"/>
        </w:rPr>
        <w:t>落实上海市人工智能大模型创新建设要求，积极探索通过政务云本地化部署方式接入人工智能大模型，实现人工智能对政务办公的赋能。以场景建设驱动构建“人工智能+”政务服务的新范式，将通用大模型转化为"政务业务专家"，打造轻量级的智能监管和辅助决策工具。</w:t>
      </w:r>
    </w:p>
    <w:p w14:paraId="33AB9FDC">
      <w:pPr>
        <w:spacing w:line="560" w:lineRule="exact"/>
        <w:ind w:firstLine="482"/>
      </w:pPr>
      <w:r>
        <w:rPr>
          <w:rFonts w:hint="eastAsia"/>
          <w:b/>
          <w:bCs/>
        </w:rPr>
        <w:t>城市执法精细化管理要求越来越高。</w:t>
      </w:r>
      <w:r>
        <w:rPr>
          <w:rFonts w:hint="eastAsia"/>
        </w:rPr>
        <w:t>主席在上海视察时强调，一流城市要有一流治理，要注重在科学化、精细化、智能化上下功夫。既要善于运用现代科技手段实现智能化，又要通过绣花般的细心、耐心、巧心提高精细化水平，绣出城市的品质品牌。上海要继续探索，走出一条中国特色超大城市管理新路子，不断提高城市管理水平。执法力量下沉之后城管的执法事项不断扩展，执法内容更加综合。城管执法力量下沉至街道乡镇后，队员的执法范围不断扩展，增加了对执法对象的行政检查、行政强制、行政征用、行政征收等执法事项。执法内容的更加综合全面要求基层对于执法对象的各类信息要掌握全面。</w:t>
      </w:r>
    </w:p>
    <w:p w14:paraId="599815F2">
      <w:pPr>
        <w:spacing w:line="560" w:lineRule="exact"/>
        <w:ind w:firstLine="482"/>
      </w:pPr>
      <w:r>
        <w:rPr>
          <w:rFonts w:hint="eastAsia"/>
          <w:b/>
          <w:bCs/>
        </w:rPr>
        <w:t>全社会服务优化营商环境的大局。</w:t>
      </w:r>
      <w:r>
        <w:rPr>
          <w:rFonts w:hint="eastAsia"/>
        </w:rPr>
        <w:t>近年来，我国高度重视优化营商环境工作，营商环境不断改善，但仍存在一些短板和薄弱环节。今年2月2日，李强总理主持召开国务院常务会议，研究进一步优化营商环境有关工作。会议指出，建设市场化、法治化、国际化一流营商环境，是应对经济下行压力、提振经营主体信心的重要举措。</w:t>
      </w:r>
    </w:p>
    <w:p w14:paraId="4AED4249">
      <w:pPr>
        <w:spacing w:line="560" w:lineRule="exact"/>
        <w:ind w:firstLine="482"/>
      </w:pPr>
      <w:r>
        <w:rPr>
          <w:rFonts w:hint="eastAsia"/>
          <w:b/>
          <w:bCs/>
        </w:rPr>
        <w:t>上海全面推进城市数字化转型，明确数字化转型年度重点工作方案。</w:t>
      </w:r>
      <w:r>
        <w:rPr>
          <w:rFonts w:hint="eastAsia"/>
        </w:rPr>
        <w:t>上海市委、市政府2020年年底公布《关于全面推进上海城市数字化转型的意见》，意见中明确要求深刻认识上海进入新发展阶段全面推进城市数字化转型的重大意义，明确城市数字化转型的总体要求。《意见》指出，要坚持整体性转变，推动“经济、生活、治理”全面数字化转型；坚持全方位赋能，构建数据驱动的数字城市基本框架；坚持革命性重塑，引导全社会共建共治共享数字城市；同时，创新工作推进机制，科学有序全面推进城市数字化转型。随后公布了《全面推进城市数字化转型年度重点工作方案（征求意见稿）》，在工作方案中对城市数字化转型工作进行了更详细的落实，明确了年度工作任务以及责任部门。</w:t>
      </w:r>
    </w:p>
    <w:p w14:paraId="35C0B0B2">
      <w:pPr>
        <w:pStyle w:val="61"/>
        <w:numPr>
          <w:ilvl w:val="0"/>
          <w:numId w:val="3"/>
        </w:numPr>
        <w:spacing w:line="560" w:lineRule="exact"/>
        <w:ind w:firstLineChars="0"/>
        <w:rPr>
          <w:rFonts w:ascii="宋体" w:hAnsi="宋体"/>
          <w:sz w:val="24"/>
        </w:rPr>
      </w:pPr>
      <w:r>
        <w:rPr>
          <w:rFonts w:hint="eastAsia" w:ascii="宋体" w:hAnsi="宋体"/>
          <w:sz w:val="24"/>
        </w:rPr>
        <w:t>项目现状</w:t>
      </w:r>
    </w:p>
    <w:p w14:paraId="5A1E9D74">
      <w:pPr>
        <w:spacing w:line="560" w:lineRule="exact"/>
        <w:rPr>
          <w:rFonts w:ascii="仿宋" w:hAnsi="仿宋" w:cs="仿宋GB2312"/>
        </w:rPr>
      </w:pPr>
      <w:r>
        <w:rPr>
          <w:rFonts w:hint="eastAsia" w:ascii="仿宋" w:hAnsi="仿宋" w:cs="仿宋GB2312"/>
        </w:rPr>
        <w:t>城管执法综合管理平台包括队伍管理子系统、教育培训子系统、服装管理子系统等内部管理系统，用户覆盖市局、总队、16个区局及236个城管执法中队，用户超过10000人，年产生数据量超过1T。</w:t>
      </w:r>
    </w:p>
    <w:p w14:paraId="23DF6EAC">
      <w:pPr>
        <w:spacing w:line="560" w:lineRule="exact"/>
      </w:pPr>
      <w:r>
        <w:rPr>
          <w:rFonts w:hint="eastAsia" w:ascii="仿宋" w:hAnsi="仿宋" w:cs="仿宋GB2312"/>
        </w:rPr>
        <w:t>本次改造主要针对执法人员教育培训子系统的升级改造，下图为教育培训子系统的现状功能架构图。</w:t>
      </w:r>
    </w:p>
    <w:p w14:paraId="4399833F">
      <w:pPr>
        <w:spacing w:line="240" w:lineRule="auto"/>
      </w:pPr>
      <w:r>
        <w:drawing>
          <wp:inline distT="0" distB="0" distL="0" distR="0">
            <wp:extent cx="5274310" cy="2870835"/>
            <wp:effectExtent l="0" t="0" r="2540" b="5715"/>
            <wp:docPr id="11258258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825898" name="图片 7"/>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2871301"/>
                    </a:xfrm>
                    <a:prstGeom prst="rect">
                      <a:avLst/>
                    </a:prstGeom>
                  </pic:spPr>
                </pic:pic>
              </a:graphicData>
            </a:graphic>
          </wp:inline>
        </w:drawing>
      </w:r>
    </w:p>
    <w:p w14:paraId="62A06E23">
      <w:pPr>
        <w:spacing w:line="560" w:lineRule="exact"/>
      </w:pPr>
    </w:p>
    <w:p w14:paraId="5D3B3071">
      <w:pPr>
        <w:spacing w:line="560" w:lineRule="exact"/>
      </w:pPr>
      <w:r>
        <w:rPr>
          <w:rFonts w:hint="eastAsia"/>
        </w:rPr>
        <w:t>建设期限:自合同签订之日起至2026年11月30日</w:t>
      </w:r>
    </w:p>
    <w:p w14:paraId="737AA978">
      <w:pPr>
        <w:spacing w:line="560" w:lineRule="exact"/>
      </w:pPr>
      <w:r>
        <w:rPr>
          <w:rFonts w:hint="eastAsia"/>
        </w:rPr>
        <w:t>建设地点:上海市城市管理行政执法局</w:t>
      </w:r>
    </w:p>
    <w:p w14:paraId="387A1EB6">
      <w:pPr>
        <w:spacing w:line="560" w:lineRule="exact"/>
      </w:pPr>
      <w:r>
        <w:rPr>
          <w:rFonts w:hint="eastAsia"/>
        </w:rPr>
        <w:t>预算金额:1125000元</w:t>
      </w:r>
    </w:p>
    <w:p w14:paraId="6909F798">
      <w:pPr>
        <w:spacing w:line="560" w:lineRule="exact"/>
      </w:pPr>
      <w:r>
        <w:rPr>
          <w:rFonts w:hint="eastAsia"/>
        </w:rPr>
        <w:t>采购金额（最高限价）：1125000元</w:t>
      </w:r>
    </w:p>
    <w:p w14:paraId="4C7C028F">
      <w:r>
        <w:rPr>
          <w:rFonts w:hint="eastAsia"/>
        </w:rPr>
        <w:t>组织形式：集中采购</w:t>
      </w:r>
    </w:p>
    <w:p w14:paraId="4E92F5D1">
      <w:r>
        <w:rPr>
          <w:rFonts w:hint="eastAsia"/>
        </w:rPr>
        <w:t>采购人式：竞争性磋商</w:t>
      </w:r>
    </w:p>
    <w:p w14:paraId="729251EB">
      <w:r>
        <w:rPr>
          <w:rFonts w:hint="eastAsia"/>
        </w:rPr>
        <w:t>是否接受联合体投标：否</w:t>
      </w:r>
    </w:p>
    <w:p w14:paraId="4B77F85E">
      <w:r>
        <w:t>是否按</w:t>
      </w:r>
      <w:r>
        <w:rPr>
          <w:rFonts w:hint="eastAsia"/>
          <w:lang w:eastAsia="zh-CN"/>
        </w:rPr>
        <w:t>XC</w:t>
      </w:r>
      <w:r>
        <w:t>要求建设：是</w:t>
      </w:r>
    </w:p>
    <w:p w14:paraId="75DB1FFE">
      <w:r>
        <w:rPr>
          <w:rFonts w:hint="eastAsia"/>
        </w:rPr>
        <w:t>是否采用低代码建设：否</w:t>
      </w:r>
    </w:p>
    <w:p w14:paraId="00F8C157">
      <w:r>
        <w:rPr>
          <w:rFonts w:hint="eastAsia"/>
        </w:rPr>
        <w:t>运维后所属大系统：城管执法综合管理平台</w:t>
      </w:r>
    </w:p>
    <w:p w14:paraId="73153597">
      <w:pPr>
        <w:pStyle w:val="2"/>
      </w:pPr>
      <w:bookmarkStart w:id="1" w:name="_Toc47533256"/>
      <w:bookmarkEnd w:id="1"/>
      <w:bookmarkStart w:id="2" w:name="_Toc47537134"/>
      <w:bookmarkEnd w:id="2"/>
      <w:bookmarkStart w:id="3" w:name="_Toc47532255"/>
      <w:bookmarkEnd w:id="3"/>
      <w:bookmarkStart w:id="4" w:name="_Toc47531634"/>
      <w:bookmarkEnd w:id="4"/>
      <w:bookmarkStart w:id="5" w:name="_Toc47532891"/>
      <w:bookmarkEnd w:id="5"/>
      <w:bookmarkStart w:id="6" w:name="_Toc47536272"/>
      <w:bookmarkEnd w:id="6"/>
      <w:bookmarkStart w:id="7" w:name="_Toc47539070"/>
      <w:bookmarkEnd w:id="7"/>
      <w:bookmarkStart w:id="8" w:name="_Toc47536644"/>
      <w:bookmarkEnd w:id="8"/>
      <w:bookmarkStart w:id="9" w:name="_Toc63785463"/>
      <w:bookmarkStart w:id="10" w:name="_Toc48223882"/>
      <w:r>
        <w:rPr>
          <w:rFonts w:hint="eastAsia"/>
        </w:rPr>
        <w:t>建设目标</w:t>
      </w:r>
      <w:bookmarkEnd w:id="9"/>
      <w:bookmarkEnd w:id="10"/>
    </w:p>
    <w:p w14:paraId="3CB47C43">
      <w:pPr>
        <w:rPr>
          <w:bCs/>
        </w:rPr>
      </w:pPr>
      <w:r>
        <w:rPr>
          <w:rFonts w:hint="eastAsia"/>
          <w:bCs/>
        </w:rPr>
        <w:t>依据上级文件精神、结合城管日常工作的实际需求，对城管执法教育培训子系统进行升级，从而达到赋能基层，提升业务效能的目标，具体如下：</w:t>
      </w:r>
    </w:p>
    <w:p w14:paraId="787A41A3">
      <w:pPr>
        <w:rPr>
          <w:bCs/>
        </w:rPr>
      </w:pPr>
      <w:r>
        <w:rPr>
          <w:rFonts w:hint="eastAsia"/>
          <w:bCs/>
        </w:rPr>
        <w:t>（一）落实中组部“加强行政执法类公务员培训工作统筹，严格落实公务员初任培训、任职培训、专门业务培训、在职培训有关规定，做好与行政执法资格培训的衔接”的要求</w:t>
      </w:r>
    </w:p>
    <w:p w14:paraId="50701BB7">
      <w:pPr>
        <w:rPr>
          <w:bCs/>
        </w:rPr>
      </w:pPr>
      <w:r>
        <w:rPr>
          <w:rFonts w:hint="eastAsia"/>
          <w:bCs/>
        </w:rPr>
        <w:t>改造优化教育培训初任上岗培训功能，针对初任上岗培训的特点增强学员管理、报名审核和快速分组管理的需求改造现有功能。</w:t>
      </w:r>
    </w:p>
    <w:p w14:paraId="1FA302F1">
      <w:pPr>
        <w:rPr>
          <w:bCs/>
        </w:rPr>
      </w:pPr>
      <w:r>
        <w:rPr>
          <w:rFonts w:hint="eastAsia"/>
          <w:bCs/>
        </w:rPr>
        <w:t>（二）持续强化教育培训基础要素建设</w:t>
      </w:r>
    </w:p>
    <w:p w14:paraId="37070C3D">
      <w:pPr>
        <w:rPr>
          <w:bCs/>
        </w:rPr>
      </w:pPr>
      <w:r>
        <w:rPr>
          <w:rFonts w:hint="eastAsia"/>
          <w:bCs/>
        </w:rPr>
        <w:t>加强实践教学基地的建设，增强标准、评价、实践教学课程、师资管理，实现数字化管理。</w:t>
      </w:r>
    </w:p>
    <w:p w14:paraId="7D8BD492">
      <w:pPr>
        <w:rPr>
          <w:bCs/>
        </w:rPr>
      </w:pPr>
      <w:r>
        <w:rPr>
          <w:rFonts w:hint="eastAsia"/>
          <w:bCs/>
        </w:rPr>
        <w:t>（三）进一步推动教育培训数字化转型</w:t>
      </w:r>
    </w:p>
    <w:p w14:paraId="6E4145A0">
      <w:pPr>
        <w:rPr>
          <w:bCs/>
        </w:rPr>
      </w:pPr>
      <w:r>
        <w:rPr>
          <w:rFonts w:hint="eastAsia"/>
          <w:bCs/>
        </w:rPr>
        <w:t>升级优化培训教育子系统的师资选聘、课程评定、人员考试、队列训练、竞赛比武、数据管理等应用场景；探索利用个人电脑手机实现非集中考试、远程考试的模式。</w:t>
      </w:r>
    </w:p>
    <w:p w14:paraId="533497A5">
      <w:pPr>
        <w:rPr>
          <w:bCs/>
        </w:rPr>
      </w:pPr>
      <w:r>
        <w:rPr>
          <w:rFonts w:hint="eastAsia"/>
          <w:bCs/>
        </w:rPr>
        <w:t>优化现有应用模块，完善要素管理、教学管理、培训管理等模块，新增申报审核、互动交流等功能，服务各类培训场景需要</w:t>
      </w:r>
    </w:p>
    <w:p w14:paraId="1D0FA1B6">
      <w:pPr>
        <w:rPr>
          <w:bCs/>
        </w:rPr>
      </w:pPr>
      <w:r>
        <w:rPr>
          <w:rFonts w:hint="eastAsia"/>
          <w:bCs/>
        </w:rPr>
        <w:t>（四）进一步扩展教育培训移动端功能</w:t>
      </w:r>
    </w:p>
    <w:p w14:paraId="7F75CE4C">
      <w:pPr>
        <w:rPr>
          <w:bCs/>
        </w:rPr>
      </w:pPr>
      <w:r>
        <w:rPr>
          <w:rFonts w:hint="eastAsia"/>
          <w:bCs/>
        </w:rPr>
        <w:t>在上一年度已经将部分功能接入随申办政务云的基础上，加快教育培训功能向移动端拓展，满足执法人员随时随地学习的需要。</w:t>
      </w:r>
    </w:p>
    <w:p w14:paraId="15F0E171">
      <w:pPr>
        <w:rPr>
          <w:bCs/>
        </w:rPr>
      </w:pPr>
      <w:r>
        <w:rPr>
          <w:rFonts w:hint="eastAsia"/>
          <w:bCs/>
        </w:rPr>
        <w:t>（五）搭建实训教学平台,探索新型培训方式</w:t>
      </w:r>
    </w:p>
    <w:p w14:paraId="01A2E826">
      <w:pPr>
        <w:rPr>
          <w:bCs/>
        </w:rPr>
      </w:pPr>
      <w:r>
        <w:rPr>
          <w:rFonts w:hint="eastAsia"/>
          <w:bCs/>
        </w:rPr>
        <w:t>按照数字化转型的显示情况，执法人员办案需要熟练使用系统进行案件处置，在培训中增加网上办案系统的实战训练及考试，建设自动评分模型，在学员实操完成后，系统可自动判定正确答案并评分，全面提升学员的实战操作能力。</w:t>
      </w:r>
    </w:p>
    <w:p w14:paraId="43B30FB0">
      <w:pPr>
        <w:pStyle w:val="61"/>
        <w:numPr>
          <w:ilvl w:val="0"/>
          <w:numId w:val="4"/>
        </w:numPr>
        <w:spacing w:line="560" w:lineRule="exact"/>
        <w:ind w:firstLineChars="0"/>
        <w:rPr>
          <w:rFonts w:ascii="宋体" w:hAnsi="宋体"/>
          <w:bCs/>
          <w:sz w:val="24"/>
        </w:rPr>
      </w:pPr>
      <w:r>
        <w:rPr>
          <w:rFonts w:hint="eastAsia" w:ascii="宋体" w:hAnsi="宋体"/>
          <w:bCs/>
          <w:sz w:val="24"/>
        </w:rPr>
        <w:t>业务绩效考核目标</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276"/>
        <w:gridCol w:w="1276"/>
        <w:gridCol w:w="2634"/>
        <w:gridCol w:w="2489"/>
      </w:tblGrid>
      <w:tr w14:paraId="30384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27975C93">
            <w:pPr>
              <w:pStyle w:val="16"/>
              <w:jc w:val="center"/>
              <w:rPr>
                <w:b/>
                <w:szCs w:val="21"/>
              </w:rPr>
            </w:pPr>
            <w:r>
              <w:rPr>
                <w:rFonts w:hint="eastAsia"/>
                <w:b/>
                <w:szCs w:val="21"/>
              </w:rPr>
              <w:t>类别</w:t>
            </w:r>
          </w:p>
        </w:tc>
        <w:tc>
          <w:tcPr>
            <w:tcW w:w="1276" w:type="dxa"/>
          </w:tcPr>
          <w:p w14:paraId="353E4B6A">
            <w:pPr>
              <w:pStyle w:val="16"/>
              <w:jc w:val="center"/>
              <w:rPr>
                <w:b/>
                <w:szCs w:val="21"/>
              </w:rPr>
            </w:pPr>
            <w:r>
              <w:rPr>
                <w:rFonts w:hint="eastAsia"/>
                <w:b/>
                <w:szCs w:val="21"/>
              </w:rPr>
              <w:t>一级指标</w:t>
            </w:r>
          </w:p>
        </w:tc>
        <w:tc>
          <w:tcPr>
            <w:tcW w:w="1276" w:type="dxa"/>
          </w:tcPr>
          <w:p w14:paraId="22DEC086">
            <w:pPr>
              <w:pStyle w:val="16"/>
              <w:jc w:val="center"/>
              <w:rPr>
                <w:b/>
                <w:szCs w:val="21"/>
              </w:rPr>
            </w:pPr>
            <w:r>
              <w:rPr>
                <w:rFonts w:hint="eastAsia"/>
                <w:b/>
                <w:szCs w:val="21"/>
              </w:rPr>
              <w:t>二级指标</w:t>
            </w:r>
          </w:p>
        </w:tc>
        <w:tc>
          <w:tcPr>
            <w:tcW w:w="2634" w:type="dxa"/>
          </w:tcPr>
          <w:p w14:paraId="5D8598C8">
            <w:pPr>
              <w:pStyle w:val="16"/>
              <w:jc w:val="center"/>
              <w:rPr>
                <w:b/>
                <w:szCs w:val="21"/>
              </w:rPr>
            </w:pPr>
            <w:r>
              <w:rPr>
                <w:rFonts w:hint="eastAsia"/>
                <w:b/>
                <w:szCs w:val="21"/>
              </w:rPr>
              <w:t>三级指标</w:t>
            </w:r>
          </w:p>
        </w:tc>
        <w:tc>
          <w:tcPr>
            <w:tcW w:w="2489" w:type="dxa"/>
          </w:tcPr>
          <w:p w14:paraId="0458F7ED">
            <w:pPr>
              <w:pStyle w:val="16"/>
              <w:jc w:val="center"/>
              <w:rPr>
                <w:b/>
                <w:szCs w:val="21"/>
              </w:rPr>
            </w:pPr>
            <w:r>
              <w:rPr>
                <w:rFonts w:hint="eastAsia"/>
                <w:b/>
                <w:szCs w:val="21"/>
              </w:rPr>
              <w:t>指标值</w:t>
            </w:r>
          </w:p>
        </w:tc>
      </w:tr>
      <w:tr w14:paraId="4B70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tcPr>
          <w:p w14:paraId="30333C14">
            <w:pPr>
              <w:pStyle w:val="16"/>
              <w:rPr>
                <w:rFonts w:cs="仿宋_GB2312"/>
                <w:szCs w:val="21"/>
              </w:rPr>
            </w:pPr>
            <w:r>
              <w:rPr>
                <w:rFonts w:hint="eastAsia" w:cs="仿宋_GB2312"/>
                <w:szCs w:val="21"/>
              </w:rPr>
              <w:t>业务考核目标</w:t>
            </w:r>
          </w:p>
        </w:tc>
        <w:tc>
          <w:tcPr>
            <w:tcW w:w="1276" w:type="dxa"/>
            <w:vMerge w:val="restart"/>
          </w:tcPr>
          <w:p w14:paraId="49FCEB25">
            <w:pPr>
              <w:pStyle w:val="16"/>
              <w:rPr>
                <w:rFonts w:cs="仿宋_GB2312"/>
                <w:szCs w:val="21"/>
              </w:rPr>
            </w:pPr>
            <w:r>
              <w:rPr>
                <w:rFonts w:hint="eastAsia" w:cs="仿宋_GB2312"/>
                <w:szCs w:val="21"/>
              </w:rPr>
              <w:t>产出指标</w:t>
            </w:r>
          </w:p>
        </w:tc>
        <w:tc>
          <w:tcPr>
            <w:tcW w:w="1276" w:type="dxa"/>
          </w:tcPr>
          <w:p w14:paraId="477D75D3">
            <w:pPr>
              <w:pStyle w:val="16"/>
              <w:rPr>
                <w:rFonts w:cs="仿宋_GB2312"/>
                <w:szCs w:val="21"/>
              </w:rPr>
            </w:pPr>
            <w:r>
              <w:rPr>
                <w:rFonts w:hint="eastAsia" w:cs="仿宋_GB2312"/>
                <w:szCs w:val="21"/>
              </w:rPr>
              <w:t>数量指标</w:t>
            </w:r>
          </w:p>
        </w:tc>
        <w:tc>
          <w:tcPr>
            <w:tcW w:w="2634" w:type="dxa"/>
          </w:tcPr>
          <w:p w14:paraId="0AA814D8">
            <w:pPr>
              <w:pStyle w:val="16"/>
              <w:rPr>
                <w:rFonts w:cs="仿宋_GB2312"/>
                <w:szCs w:val="21"/>
              </w:rPr>
            </w:pPr>
            <w:r>
              <w:rPr>
                <w:rFonts w:hint="eastAsia" w:cs="仿宋_GB2312"/>
                <w:szCs w:val="21"/>
              </w:rPr>
              <w:t>升级改造完成程度</w:t>
            </w:r>
          </w:p>
        </w:tc>
        <w:tc>
          <w:tcPr>
            <w:tcW w:w="2489" w:type="dxa"/>
          </w:tcPr>
          <w:p w14:paraId="51A8AD49">
            <w:pPr>
              <w:pStyle w:val="16"/>
              <w:rPr>
                <w:rFonts w:cs="仿宋_GB2312"/>
                <w:szCs w:val="21"/>
              </w:rPr>
            </w:pPr>
            <w:r>
              <w:rPr>
                <w:rFonts w:hint="eastAsia" w:cs="仿宋_GB2312"/>
                <w:szCs w:val="21"/>
              </w:rPr>
              <w:t>完成子系统及相关场景的应用升级改造或新建，并完成本次建设内容的密码应用改造，并通过相关测评</w:t>
            </w:r>
          </w:p>
        </w:tc>
      </w:tr>
      <w:tr w14:paraId="22275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7A25D3C5">
            <w:pPr>
              <w:pStyle w:val="16"/>
              <w:rPr>
                <w:rFonts w:cs="仿宋_GB2312"/>
                <w:szCs w:val="21"/>
              </w:rPr>
            </w:pPr>
          </w:p>
        </w:tc>
        <w:tc>
          <w:tcPr>
            <w:tcW w:w="1276" w:type="dxa"/>
            <w:vMerge w:val="continue"/>
          </w:tcPr>
          <w:p w14:paraId="3C024405">
            <w:pPr>
              <w:pStyle w:val="16"/>
              <w:rPr>
                <w:rFonts w:cs="仿宋_GB2312"/>
                <w:szCs w:val="21"/>
              </w:rPr>
            </w:pPr>
          </w:p>
        </w:tc>
        <w:tc>
          <w:tcPr>
            <w:tcW w:w="1276" w:type="dxa"/>
          </w:tcPr>
          <w:p w14:paraId="4A5C223D">
            <w:pPr>
              <w:pStyle w:val="16"/>
              <w:rPr>
                <w:rFonts w:cs="仿宋_GB2312"/>
                <w:szCs w:val="21"/>
              </w:rPr>
            </w:pPr>
            <w:r>
              <w:rPr>
                <w:rFonts w:hint="eastAsia" w:cs="仿宋_GB2312"/>
                <w:szCs w:val="21"/>
              </w:rPr>
              <w:t>质量指标</w:t>
            </w:r>
          </w:p>
        </w:tc>
        <w:tc>
          <w:tcPr>
            <w:tcW w:w="2634" w:type="dxa"/>
          </w:tcPr>
          <w:p w14:paraId="29BED9A7">
            <w:pPr>
              <w:pStyle w:val="16"/>
              <w:rPr>
                <w:rFonts w:cs="仿宋_GB2312"/>
                <w:szCs w:val="21"/>
              </w:rPr>
            </w:pPr>
            <w:r>
              <w:rPr>
                <w:rFonts w:hint="eastAsia" w:cs="仿宋_GB2312"/>
                <w:szCs w:val="21"/>
              </w:rPr>
              <w:t>建设规范符合度</w:t>
            </w:r>
          </w:p>
        </w:tc>
        <w:tc>
          <w:tcPr>
            <w:tcW w:w="2489" w:type="dxa"/>
          </w:tcPr>
          <w:p w14:paraId="4D37F5EC">
            <w:pPr>
              <w:pStyle w:val="16"/>
              <w:rPr>
                <w:rFonts w:cs="仿宋_GB2312"/>
                <w:szCs w:val="21"/>
              </w:rPr>
            </w:pPr>
            <w:r>
              <w:rPr>
                <w:rFonts w:hint="eastAsia" w:cs="仿宋_GB2312"/>
                <w:szCs w:val="21"/>
              </w:rPr>
              <w:t>100%符合《软件系统验收规范》（GB/T28035）、《系统与软件工程验证与确认》（GB/T32423）</w:t>
            </w:r>
          </w:p>
        </w:tc>
      </w:tr>
      <w:tr w14:paraId="14EC4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vMerge w:val="continue"/>
          </w:tcPr>
          <w:p w14:paraId="1337753F">
            <w:pPr>
              <w:pStyle w:val="16"/>
              <w:rPr>
                <w:rFonts w:cs="仿宋_GB2312"/>
                <w:szCs w:val="21"/>
              </w:rPr>
            </w:pPr>
          </w:p>
        </w:tc>
        <w:tc>
          <w:tcPr>
            <w:tcW w:w="1276" w:type="dxa"/>
            <w:vMerge w:val="continue"/>
          </w:tcPr>
          <w:p w14:paraId="6227CF33">
            <w:pPr>
              <w:pStyle w:val="16"/>
              <w:rPr>
                <w:rFonts w:cs="仿宋_GB2312"/>
                <w:szCs w:val="21"/>
              </w:rPr>
            </w:pPr>
          </w:p>
        </w:tc>
        <w:tc>
          <w:tcPr>
            <w:tcW w:w="1276" w:type="dxa"/>
          </w:tcPr>
          <w:p w14:paraId="79E38BE1">
            <w:pPr>
              <w:pStyle w:val="16"/>
              <w:rPr>
                <w:rFonts w:cs="仿宋_GB2312"/>
                <w:szCs w:val="21"/>
              </w:rPr>
            </w:pPr>
            <w:r>
              <w:rPr>
                <w:rFonts w:hint="eastAsia" w:cs="仿宋_GB2312"/>
                <w:szCs w:val="21"/>
              </w:rPr>
              <w:t>时效指标</w:t>
            </w:r>
          </w:p>
        </w:tc>
        <w:tc>
          <w:tcPr>
            <w:tcW w:w="2634" w:type="dxa"/>
          </w:tcPr>
          <w:p w14:paraId="1E2AECEE">
            <w:pPr>
              <w:pStyle w:val="16"/>
              <w:rPr>
                <w:rFonts w:cs="仿宋_GB2312"/>
                <w:szCs w:val="21"/>
              </w:rPr>
            </w:pPr>
            <w:r>
              <w:rPr>
                <w:rFonts w:hint="eastAsia" w:cs="仿宋_GB2312"/>
                <w:szCs w:val="21"/>
              </w:rPr>
              <w:t>按期完成</w:t>
            </w:r>
          </w:p>
        </w:tc>
        <w:tc>
          <w:tcPr>
            <w:tcW w:w="2489" w:type="dxa"/>
          </w:tcPr>
          <w:p w14:paraId="71CE2D6F">
            <w:pPr>
              <w:pStyle w:val="16"/>
              <w:rPr>
                <w:rFonts w:cs="仿宋_GB2312"/>
                <w:szCs w:val="21"/>
              </w:rPr>
            </w:pPr>
            <w:r>
              <w:rPr>
                <w:rFonts w:hint="eastAsia" w:cs="仿宋_GB2312"/>
                <w:szCs w:val="21"/>
              </w:rPr>
              <w:t>2026年12月底完成</w:t>
            </w:r>
          </w:p>
        </w:tc>
      </w:tr>
      <w:tr w14:paraId="069C0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68613601">
            <w:pPr>
              <w:pStyle w:val="16"/>
              <w:rPr>
                <w:rFonts w:cs="仿宋_GB2312"/>
                <w:szCs w:val="21"/>
              </w:rPr>
            </w:pPr>
          </w:p>
        </w:tc>
        <w:tc>
          <w:tcPr>
            <w:tcW w:w="1276" w:type="dxa"/>
            <w:vMerge w:val="restart"/>
          </w:tcPr>
          <w:p w14:paraId="3514E0AE">
            <w:pPr>
              <w:pStyle w:val="16"/>
              <w:rPr>
                <w:rFonts w:cs="仿宋_GB2312"/>
                <w:szCs w:val="21"/>
              </w:rPr>
            </w:pPr>
            <w:r>
              <w:rPr>
                <w:rFonts w:hint="eastAsia" w:cs="仿宋_GB2312"/>
                <w:szCs w:val="21"/>
              </w:rPr>
              <w:t>效益指标</w:t>
            </w:r>
          </w:p>
        </w:tc>
        <w:tc>
          <w:tcPr>
            <w:tcW w:w="1276" w:type="dxa"/>
          </w:tcPr>
          <w:p w14:paraId="71150240">
            <w:pPr>
              <w:pStyle w:val="16"/>
              <w:rPr>
                <w:rFonts w:cs="仿宋_GB2312"/>
                <w:szCs w:val="21"/>
              </w:rPr>
            </w:pPr>
            <w:r>
              <w:rPr>
                <w:rFonts w:hint="eastAsia" w:cs="仿宋_GB2312"/>
                <w:szCs w:val="21"/>
              </w:rPr>
              <w:t>经济效益指标</w:t>
            </w:r>
          </w:p>
        </w:tc>
        <w:tc>
          <w:tcPr>
            <w:tcW w:w="2634" w:type="dxa"/>
          </w:tcPr>
          <w:p w14:paraId="4DABBB05">
            <w:pPr>
              <w:pStyle w:val="16"/>
              <w:rPr>
                <w:rFonts w:cs="仿宋_GB2312"/>
                <w:szCs w:val="21"/>
              </w:rPr>
            </w:pPr>
            <w:r>
              <w:rPr>
                <w:rFonts w:hint="eastAsia" w:cs="仿宋_GB2312"/>
                <w:szCs w:val="21"/>
              </w:rPr>
              <w:t>上海市电子政务云平台资源利用程度</w:t>
            </w:r>
          </w:p>
        </w:tc>
        <w:tc>
          <w:tcPr>
            <w:tcW w:w="2489" w:type="dxa"/>
          </w:tcPr>
          <w:p w14:paraId="22E77563">
            <w:pPr>
              <w:pStyle w:val="16"/>
              <w:rPr>
                <w:rFonts w:cs="仿宋_GB2312"/>
                <w:szCs w:val="21"/>
              </w:rPr>
            </w:pPr>
            <w:r>
              <w:rPr>
                <w:rFonts w:hint="eastAsia" w:cs="仿宋_GB2312"/>
                <w:szCs w:val="21"/>
              </w:rPr>
              <w:t>充分利用上海市电子政务云平台资源，避免重复投资，较原来的分散建设模式大大节省了资金投入，通过对公共功能的统一建设、集约化投资，将大大降低对公共模块的重复投资程度，从而产生隐形的经济效益。</w:t>
            </w:r>
          </w:p>
        </w:tc>
      </w:tr>
      <w:tr w14:paraId="56E13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tcPr>
          <w:p w14:paraId="4B3AA70D">
            <w:pPr>
              <w:pStyle w:val="16"/>
              <w:rPr>
                <w:rFonts w:cs="仿宋_GB2312"/>
                <w:szCs w:val="21"/>
              </w:rPr>
            </w:pPr>
          </w:p>
        </w:tc>
        <w:tc>
          <w:tcPr>
            <w:tcW w:w="1276" w:type="dxa"/>
            <w:vMerge w:val="continue"/>
          </w:tcPr>
          <w:p w14:paraId="3931E9AF">
            <w:pPr>
              <w:pStyle w:val="16"/>
              <w:rPr>
                <w:rFonts w:cs="仿宋_GB2312"/>
                <w:szCs w:val="21"/>
              </w:rPr>
            </w:pPr>
          </w:p>
        </w:tc>
        <w:tc>
          <w:tcPr>
            <w:tcW w:w="1276" w:type="dxa"/>
          </w:tcPr>
          <w:p w14:paraId="0F2E5E77">
            <w:pPr>
              <w:pStyle w:val="16"/>
              <w:rPr>
                <w:rFonts w:cs="仿宋_GB2312"/>
                <w:szCs w:val="21"/>
              </w:rPr>
            </w:pPr>
            <w:r>
              <w:rPr>
                <w:rFonts w:hint="eastAsia" w:cs="仿宋_GB2312"/>
                <w:szCs w:val="21"/>
              </w:rPr>
              <w:t>社会效益指标</w:t>
            </w:r>
          </w:p>
        </w:tc>
        <w:tc>
          <w:tcPr>
            <w:tcW w:w="2634" w:type="dxa"/>
          </w:tcPr>
          <w:p w14:paraId="6FF0E87E">
            <w:pPr>
              <w:pStyle w:val="16"/>
              <w:rPr>
                <w:rFonts w:cs="仿宋_GB2312"/>
                <w:szCs w:val="21"/>
              </w:rPr>
            </w:pPr>
            <w:r>
              <w:rPr>
                <w:rFonts w:hint="eastAsia" w:cs="仿宋_GB2312"/>
                <w:szCs w:val="21"/>
              </w:rPr>
              <w:t>行政执法局行政办公效率提升</w:t>
            </w:r>
          </w:p>
          <w:p w14:paraId="4D64B35A">
            <w:pPr>
              <w:pStyle w:val="16"/>
              <w:rPr>
                <w:rFonts w:cs="仿宋_GB2312"/>
                <w:szCs w:val="21"/>
              </w:rPr>
            </w:pPr>
          </w:p>
        </w:tc>
        <w:tc>
          <w:tcPr>
            <w:tcW w:w="2489" w:type="dxa"/>
          </w:tcPr>
          <w:p w14:paraId="6B2C4720">
            <w:pPr>
              <w:pStyle w:val="16"/>
              <w:rPr>
                <w:rFonts w:cs="仿宋_GB2312"/>
                <w:szCs w:val="21"/>
              </w:rPr>
            </w:pPr>
            <w:r>
              <w:rPr>
                <w:rFonts w:hint="eastAsia" w:cs="仿宋_GB2312"/>
                <w:szCs w:val="21"/>
              </w:rPr>
              <w:t>提高行政执法局行政办公效率。数据遵从统一规范，从而使得业务开展更高效、更规范。内控系统加强内部风险控制，提升机关防范风险能力。</w:t>
            </w:r>
          </w:p>
        </w:tc>
      </w:tr>
    </w:tbl>
    <w:p w14:paraId="225A3A66">
      <w:pPr>
        <w:rPr>
          <w:bCs/>
        </w:rPr>
      </w:pPr>
    </w:p>
    <w:p w14:paraId="6070C69F">
      <w:pPr>
        <w:pStyle w:val="61"/>
        <w:numPr>
          <w:ilvl w:val="0"/>
          <w:numId w:val="4"/>
        </w:numPr>
        <w:spacing w:line="560" w:lineRule="exact"/>
        <w:ind w:firstLineChars="0"/>
        <w:rPr>
          <w:rFonts w:ascii="宋体" w:hAnsi="宋体"/>
          <w:bCs/>
          <w:sz w:val="24"/>
        </w:rPr>
      </w:pPr>
      <w:r>
        <w:rPr>
          <w:rFonts w:hint="eastAsia" w:ascii="宋体" w:hAnsi="宋体"/>
          <w:bCs/>
          <w:sz w:val="24"/>
        </w:rPr>
        <w:t>技术绩效考核目标</w:t>
      </w:r>
    </w:p>
    <w:tbl>
      <w:tblPr>
        <w:tblStyle w:val="35"/>
        <w:tblW w:w="83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38"/>
        <w:gridCol w:w="1134"/>
        <w:gridCol w:w="2693"/>
        <w:gridCol w:w="2637"/>
      </w:tblGrid>
      <w:tr w14:paraId="561F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tcPr>
          <w:p w14:paraId="3DC61520">
            <w:pPr>
              <w:pStyle w:val="16"/>
              <w:jc w:val="center"/>
              <w:rPr>
                <w:b/>
                <w:sz w:val="22"/>
              </w:rPr>
            </w:pPr>
            <w:r>
              <w:rPr>
                <w:rFonts w:hint="eastAsia"/>
                <w:b/>
                <w:sz w:val="22"/>
              </w:rPr>
              <w:t>类别</w:t>
            </w:r>
          </w:p>
        </w:tc>
        <w:tc>
          <w:tcPr>
            <w:tcW w:w="1138" w:type="dxa"/>
          </w:tcPr>
          <w:p w14:paraId="2F99C86B">
            <w:pPr>
              <w:pStyle w:val="16"/>
              <w:jc w:val="center"/>
              <w:rPr>
                <w:b/>
                <w:sz w:val="22"/>
              </w:rPr>
            </w:pPr>
            <w:r>
              <w:rPr>
                <w:rFonts w:hint="eastAsia"/>
                <w:b/>
                <w:sz w:val="22"/>
              </w:rPr>
              <w:t>一级指标</w:t>
            </w:r>
          </w:p>
        </w:tc>
        <w:tc>
          <w:tcPr>
            <w:tcW w:w="1134" w:type="dxa"/>
          </w:tcPr>
          <w:p w14:paraId="18D39655">
            <w:pPr>
              <w:pStyle w:val="16"/>
              <w:jc w:val="center"/>
              <w:rPr>
                <w:b/>
                <w:sz w:val="22"/>
              </w:rPr>
            </w:pPr>
            <w:r>
              <w:rPr>
                <w:rFonts w:hint="eastAsia"/>
                <w:b/>
                <w:sz w:val="22"/>
              </w:rPr>
              <w:t>二级指标</w:t>
            </w:r>
          </w:p>
        </w:tc>
        <w:tc>
          <w:tcPr>
            <w:tcW w:w="2693" w:type="dxa"/>
          </w:tcPr>
          <w:p w14:paraId="4AF33B7A">
            <w:pPr>
              <w:pStyle w:val="16"/>
              <w:jc w:val="center"/>
              <w:rPr>
                <w:b/>
                <w:sz w:val="22"/>
              </w:rPr>
            </w:pPr>
            <w:r>
              <w:rPr>
                <w:rFonts w:hint="eastAsia"/>
                <w:b/>
                <w:sz w:val="22"/>
              </w:rPr>
              <w:t>三级指标</w:t>
            </w:r>
          </w:p>
        </w:tc>
        <w:tc>
          <w:tcPr>
            <w:tcW w:w="2637" w:type="dxa"/>
          </w:tcPr>
          <w:p w14:paraId="49FC7CD3">
            <w:pPr>
              <w:pStyle w:val="16"/>
              <w:jc w:val="center"/>
              <w:rPr>
                <w:b/>
                <w:sz w:val="22"/>
              </w:rPr>
            </w:pPr>
            <w:r>
              <w:rPr>
                <w:rFonts w:hint="eastAsia"/>
                <w:b/>
                <w:sz w:val="22"/>
              </w:rPr>
              <w:t>指标值</w:t>
            </w:r>
          </w:p>
        </w:tc>
      </w:tr>
      <w:tr w14:paraId="4739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0" w:type="dxa"/>
            <w:vMerge w:val="restart"/>
          </w:tcPr>
          <w:p w14:paraId="43E2AE6D">
            <w:pPr>
              <w:pStyle w:val="16"/>
              <w:rPr>
                <w:rFonts w:cs="仿宋_GB2312"/>
                <w:sz w:val="22"/>
              </w:rPr>
            </w:pPr>
            <w:r>
              <w:rPr>
                <w:rFonts w:hint="eastAsia" w:cs="仿宋_GB2312"/>
                <w:sz w:val="22"/>
              </w:rPr>
              <w:t>技术考核目标</w:t>
            </w:r>
          </w:p>
        </w:tc>
        <w:tc>
          <w:tcPr>
            <w:tcW w:w="1138" w:type="dxa"/>
            <w:vMerge w:val="restart"/>
          </w:tcPr>
          <w:p w14:paraId="529994C6">
            <w:pPr>
              <w:pStyle w:val="16"/>
              <w:rPr>
                <w:rFonts w:cs="仿宋_GB2312"/>
                <w:sz w:val="22"/>
              </w:rPr>
            </w:pPr>
            <w:r>
              <w:rPr>
                <w:rFonts w:hint="eastAsia" w:cs="仿宋_GB2312"/>
                <w:sz w:val="22"/>
              </w:rPr>
              <w:t>产出指标</w:t>
            </w:r>
          </w:p>
        </w:tc>
        <w:tc>
          <w:tcPr>
            <w:tcW w:w="1134" w:type="dxa"/>
          </w:tcPr>
          <w:p w14:paraId="0E247737">
            <w:pPr>
              <w:pStyle w:val="16"/>
              <w:rPr>
                <w:rFonts w:cs="仿宋_GB2312"/>
                <w:sz w:val="22"/>
              </w:rPr>
            </w:pPr>
            <w:r>
              <w:rPr>
                <w:rFonts w:hint="eastAsia" w:cs="仿宋_GB2312"/>
                <w:sz w:val="22"/>
              </w:rPr>
              <w:t>质量指标</w:t>
            </w:r>
          </w:p>
        </w:tc>
        <w:tc>
          <w:tcPr>
            <w:tcW w:w="2693" w:type="dxa"/>
          </w:tcPr>
          <w:p w14:paraId="6302A926">
            <w:pPr>
              <w:pStyle w:val="16"/>
              <w:rPr>
                <w:rFonts w:cs="仿宋_GB2312"/>
                <w:sz w:val="22"/>
              </w:rPr>
            </w:pPr>
            <w:r>
              <w:rPr>
                <w:rFonts w:hint="eastAsia" w:cs="仿宋_GB2312"/>
                <w:sz w:val="22"/>
              </w:rPr>
              <w:t>性能规范</w:t>
            </w:r>
          </w:p>
        </w:tc>
        <w:tc>
          <w:tcPr>
            <w:tcW w:w="2637" w:type="dxa"/>
          </w:tcPr>
          <w:p w14:paraId="3AAE9D35">
            <w:pPr>
              <w:pStyle w:val="16"/>
              <w:rPr>
                <w:rFonts w:cs="仿宋_GB2312"/>
                <w:sz w:val="22"/>
              </w:rPr>
            </w:pPr>
            <w:r>
              <w:rPr>
                <w:rFonts w:hint="eastAsia" w:cs="仿宋_GB2312"/>
                <w:sz w:val="22"/>
              </w:rPr>
              <w:t>100%符合《软件系统验收规范》（GB/T28035）、《系统与软件工程验证与确认》（GB/T32423）</w:t>
            </w:r>
          </w:p>
        </w:tc>
      </w:tr>
      <w:tr w14:paraId="4E01A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700" w:type="dxa"/>
            <w:vMerge w:val="continue"/>
          </w:tcPr>
          <w:p w14:paraId="451DACA3">
            <w:pPr>
              <w:pStyle w:val="16"/>
              <w:rPr>
                <w:rFonts w:cs="仿宋_GB2312"/>
                <w:sz w:val="22"/>
              </w:rPr>
            </w:pPr>
          </w:p>
        </w:tc>
        <w:tc>
          <w:tcPr>
            <w:tcW w:w="1138" w:type="dxa"/>
            <w:vMerge w:val="continue"/>
          </w:tcPr>
          <w:p w14:paraId="64D96576">
            <w:pPr>
              <w:pStyle w:val="16"/>
              <w:rPr>
                <w:rFonts w:cs="仿宋_GB2312"/>
                <w:sz w:val="22"/>
              </w:rPr>
            </w:pPr>
          </w:p>
        </w:tc>
        <w:tc>
          <w:tcPr>
            <w:tcW w:w="1134" w:type="dxa"/>
            <w:vMerge w:val="restart"/>
          </w:tcPr>
          <w:p w14:paraId="377F21B2">
            <w:pPr>
              <w:pStyle w:val="16"/>
              <w:rPr>
                <w:rFonts w:cs="仿宋_GB2312"/>
                <w:sz w:val="22"/>
              </w:rPr>
            </w:pPr>
            <w:r>
              <w:rPr>
                <w:rFonts w:hint="eastAsia" w:cs="仿宋_GB2312"/>
                <w:sz w:val="22"/>
              </w:rPr>
              <w:t>性能指标</w:t>
            </w:r>
          </w:p>
        </w:tc>
        <w:tc>
          <w:tcPr>
            <w:tcW w:w="2693" w:type="dxa"/>
          </w:tcPr>
          <w:p w14:paraId="4A606ABF">
            <w:pPr>
              <w:pStyle w:val="16"/>
              <w:rPr>
                <w:rFonts w:cs="仿宋_GB2312"/>
                <w:sz w:val="22"/>
              </w:rPr>
            </w:pPr>
            <w:r>
              <w:rPr>
                <w:rFonts w:hint="eastAsia" w:cs="仿宋_GB2312"/>
                <w:sz w:val="22"/>
              </w:rPr>
              <w:t>系统响应速率</w:t>
            </w:r>
          </w:p>
        </w:tc>
        <w:tc>
          <w:tcPr>
            <w:tcW w:w="2637" w:type="dxa"/>
          </w:tcPr>
          <w:p w14:paraId="6C93BCA3">
            <w:pPr>
              <w:pStyle w:val="16"/>
              <w:rPr>
                <w:rFonts w:cs="仿宋_GB2312"/>
                <w:sz w:val="22"/>
              </w:rPr>
            </w:pPr>
            <w:r>
              <w:rPr>
                <w:rFonts w:hint="eastAsia" w:cs="仿宋_GB2312"/>
                <w:sz w:val="22"/>
              </w:rPr>
              <w:t>要求通过浏览器添加数据记录的系统响应时间小于2秒；通过浏览器进行一般查询的系统时间小于5秒；通过浏览器进行综合查询和分析的系统响应时间小于10秒</w:t>
            </w:r>
          </w:p>
        </w:tc>
      </w:tr>
      <w:tr w14:paraId="0AD6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700" w:type="dxa"/>
            <w:vMerge w:val="continue"/>
          </w:tcPr>
          <w:p w14:paraId="06818CD6">
            <w:pPr>
              <w:pStyle w:val="16"/>
              <w:rPr>
                <w:rFonts w:cs="仿宋_GB2312"/>
                <w:sz w:val="22"/>
              </w:rPr>
            </w:pPr>
          </w:p>
        </w:tc>
        <w:tc>
          <w:tcPr>
            <w:tcW w:w="1138" w:type="dxa"/>
            <w:vMerge w:val="continue"/>
          </w:tcPr>
          <w:p w14:paraId="1D49D2C7">
            <w:pPr>
              <w:pStyle w:val="16"/>
              <w:rPr>
                <w:rFonts w:cs="仿宋_GB2312"/>
                <w:sz w:val="22"/>
              </w:rPr>
            </w:pPr>
          </w:p>
        </w:tc>
        <w:tc>
          <w:tcPr>
            <w:tcW w:w="1134" w:type="dxa"/>
            <w:vMerge w:val="continue"/>
          </w:tcPr>
          <w:p w14:paraId="39BA06FE">
            <w:pPr>
              <w:pStyle w:val="16"/>
              <w:rPr>
                <w:rFonts w:cs="仿宋_GB2312"/>
                <w:sz w:val="22"/>
              </w:rPr>
            </w:pPr>
          </w:p>
        </w:tc>
        <w:tc>
          <w:tcPr>
            <w:tcW w:w="2693" w:type="dxa"/>
          </w:tcPr>
          <w:p w14:paraId="6F19B053">
            <w:pPr>
              <w:pStyle w:val="16"/>
              <w:rPr>
                <w:rFonts w:cs="仿宋_GB2312"/>
                <w:sz w:val="22"/>
              </w:rPr>
            </w:pPr>
            <w:r>
              <w:rPr>
                <w:rFonts w:hint="eastAsia" w:cs="仿宋_GB2312"/>
                <w:sz w:val="22"/>
              </w:rPr>
              <w:t>压力测试</w:t>
            </w:r>
          </w:p>
        </w:tc>
        <w:tc>
          <w:tcPr>
            <w:tcW w:w="2637" w:type="dxa"/>
          </w:tcPr>
          <w:p w14:paraId="7E4C971B">
            <w:pPr>
              <w:pStyle w:val="16"/>
              <w:rPr>
                <w:rFonts w:cs="仿宋_GB2312"/>
                <w:sz w:val="22"/>
              </w:rPr>
            </w:pPr>
            <w:r>
              <w:rPr>
                <w:rFonts w:hint="eastAsia" w:cs="仿宋_GB2312"/>
                <w:sz w:val="22"/>
              </w:rPr>
              <w:t>本期项目系统在验收前应进行系统压力测试，保证主要业务流程性能达到优化水平，在网络速度和终端配置有保证的前提下，最终用户操作不应该感觉明显时滞。当系统数据量增加和连接用户增加时，系统应具有良好的可伸缩性以满足对系统的功能、性能的要求</w:t>
            </w:r>
          </w:p>
        </w:tc>
      </w:tr>
      <w:tr w14:paraId="2B040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700" w:type="dxa"/>
            <w:vMerge w:val="continue"/>
          </w:tcPr>
          <w:p w14:paraId="55DE7956">
            <w:pPr>
              <w:pStyle w:val="16"/>
              <w:rPr>
                <w:rFonts w:cs="仿宋_GB2312"/>
                <w:sz w:val="22"/>
              </w:rPr>
            </w:pPr>
          </w:p>
        </w:tc>
        <w:tc>
          <w:tcPr>
            <w:tcW w:w="1138" w:type="dxa"/>
            <w:vMerge w:val="continue"/>
          </w:tcPr>
          <w:p w14:paraId="3E08467A">
            <w:pPr>
              <w:pStyle w:val="16"/>
              <w:rPr>
                <w:rFonts w:cs="仿宋_GB2312"/>
                <w:sz w:val="22"/>
              </w:rPr>
            </w:pPr>
          </w:p>
        </w:tc>
        <w:tc>
          <w:tcPr>
            <w:tcW w:w="1134" w:type="dxa"/>
            <w:vMerge w:val="restart"/>
          </w:tcPr>
          <w:p w14:paraId="187D5C01">
            <w:pPr>
              <w:pStyle w:val="16"/>
              <w:rPr>
                <w:rFonts w:cs="仿宋_GB2312"/>
                <w:sz w:val="22"/>
              </w:rPr>
            </w:pPr>
            <w:r>
              <w:rPr>
                <w:rFonts w:hint="eastAsia" w:cs="仿宋_GB2312"/>
                <w:sz w:val="22"/>
              </w:rPr>
              <w:t>安全考核指标</w:t>
            </w:r>
          </w:p>
        </w:tc>
        <w:tc>
          <w:tcPr>
            <w:tcW w:w="2693" w:type="dxa"/>
          </w:tcPr>
          <w:p w14:paraId="2748125C">
            <w:pPr>
              <w:pStyle w:val="16"/>
              <w:rPr>
                <w:rFonts w:cs="仿宋_GB2312"/>
                <w:sz w:val="22"/>
              </w:rPr>
            </w:pPr>
            <w:r>
              <w:rPr>
                <w:rFonts w:hint="eastAsia" w:cs="仿宋_GB2312"/>
                <w:sz w:val="22"/>
              </w:rPr>
              <w:t>信息安全性</w:t>
            </w:r>
          </w:p>
        </w:tc>
        <w:tc>
          <w:tcPr>
            <w:tcW w:w="2637" w:type="dxa"/>
          </w:tcPr>
          <w:p w14:paraId="73A96744">
            <w:pPr>
              <w:pStyle w:val="16"/>
              <w:rPr>
                <w:rFonts w:cs="仿宋_GB2312"/>
                <w:sz w:val="22"/>
              </w:rPr>
            </w:pPr>
            <w:r>
              <w:rPr>
                <w:rFonts w:hint="eastAsia" w:cs="仿宋_GB2312"/>
                <w:sz w:val="22"/>
              </w:rPr>
              <w:t>系统应保证信息的安全性，即保证此系统中的信息能够安全存储，并有良好的数据备份和快速恢复方案</w:t>
            </w:r>
          </w:p>
        </w:tc>
      </w:tr>
      <w:tr w14:paraId="36F7F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700" w:type="dxa"/>
            <w:vMerge w:val="continue"/>
          </w:tcPr>
          <w:p w14:paraId="43B6B523">
            <w:pPr>
              <w:pStyle w:val="16"/>
              <w:rPr>
                <w:rFonts w:cs="仿宋_GB2312"/>
                <w:sz w:val="22"/>
              </w:rPr>
            </w:pPr>
          </w:p>
        </w:tc>
        <w:tc>
          <w:tcPr>
            <w:tcW w:w="1138" w:type="dxa"/>
            <w:vMerge w:val="continue"/>
          </w:tcPr>
          <w:p w14:paraId="5ADDEC84">
            <w:pPr>
              <w:pStyle w:val="16"/>
              <w:rPr>
                <w:rFonts w:cs="仿宋_GB2312"/>
                <w:sz w:val="22"/>
              </w:rPr>
            </w:pPr>
          </w:p>
        </w:tc>
        <w:tc>
          <w:tcPr>
            <w:tcW w:w="1134" w:type="dxa"/>
            <w:vMerge w:val="continue"/>
          </w:tcPr>
          <w:p w14:paraId="3FB6D86E">
            <w:pPr>
              <w:pStyle w:val="16"/>
              <w:rPr>
                <w:rFonts w:cs="仿宋_GB2312"/>
                <w:sz w:val="22"/>
              </w:rPr>
            </w:pPr>
          </w:p>
        </w:tc>
        <w:tc>
          <w:tcPr>
            <w:tcW w:w="2693" w:type="dxa"/>
          </w:tcPr>
          <w:p w14:paraId="401E7E85">
            <w:pPr>
              <w:pStyle w:val="16"/>
              <w:rPr>
                <w:rFonts w:cs="仿宋_GB2312"/>
                <w:sz w:val="22"/>
              </w:rPr>
            </w:pPr>
            <w:r>
              <w:rPr>
                <w:rFonts w:hint="eastAsia" w:cs="仿宋_GB2312"/>
                <w:sz w:val="22"/>
              </w:rPr>
              <w:t>数据安全性</w:t>
            </w:r>
          </w:p>
        </w:tc>
        <w:tc>
          <w:tcPr>
            <w:tcW w:w="2637" w:type="dxa"/>
          </w:tcPr>
          <w:p w14:paraId="5C9A3A91">
            <w:pPr>
              <w:pStyle w:val="16"/>
              <w:rPr>
                <w:rFonts w:cs="仿宋_GB2312"/>
                <w:sz w:val="22"/>
              </w:rPr>
            </w:pPr>
            <w:r>
              <w:rPr>
                <w:rFonts w:hint="eastAsia" w:cs="仿宋_GB2312"/>
                <w:sz w:val="22"/>
              </w:rPr>
              <w:t>保证数据在处理和传输全过程的安全性。系统支持对关键的信息进行加密保存，同时支持对一些比较重要的业务数据在传送和存储过程中进行加密保护</w:t>
            </w:r>
          </w:p>
        </w:tc>
      </w:tr>
      <w:tr w14:paraId="5EDB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700" w:type="dxa"/>
            <w:vMerge w:val="continue"/>
          </w:tcPr>
          <w:p w14:paraId="663A7396">
            <w:pPr>
              <w:pStyle w:val="16"/>
              <w:rPr>
                <w:rFonts w:cs="仿宋_GB2312"/>
                <w:sz w:val="22"/>
              </w:rPr>
            </w:pPr>
          </w:p>
        </w:tc>
        <w:tc>
          <w:tcPr>
            <w:tcW w:w="1138" w:type="dxa"/>
            <w:vMerge w:val="continue"/>
          </w:tcPr>
          <w:p w14:paraId="0302C4E2">
            <w:pPr>
              <w:pStyle w:val="16"/>
              <w:rPr>
                <w:rFonts w:cs="仿宋_GB2312"/>
                <w:sz w:val="22"/>
              </w:rPr>
            </w:pPr>
          </w:p>
        </w:tc>
        <w:tc>
          <w:tcPr>
            <w:tcW w:w="1134" w:type="dxa"/>
            <w:vMerge w:val="continue"/>
          </w:tcPr>
          <w:p w14:paraId="4B0F81E4">
            <w:pPr>
              <w:pStyle w:val="16"/>
              <w:rPr>
                <w:rFonts w:cs="仿宋_GB2312"/>
                <w:sz w:val="22"/>
              </w:rPr>
            </w:pPr>
          </w:p>
        </w:tc>
        <w:tc>
          <w:tcPr>
            <w:tcW w:w="2693" w:type="dxa"/>
          </w:tcPr>
          <w:p w14:paraId="6884A262">
            <w:pPr>
              <w:pStyle w:val="16"/>
              <w:rPr>
                <w:rFonts w:cs="仿宋_GB2312"/>
                <w:sz w:val="22"/>
              </w:rPr>
            </w:pPr>
            <w:r>
              <w:rPr>
                <w:rFonts w:hint="eastAsia" w:cs="仿宋_GB2312"/>
                <w:sz w:val="22"/>
              </w:rPr>
              <w:t>访问授权</w:t>
            </w:r>
          </w:p>
        </w:tc>
        <w:tc>
          <w:tcPr>
            <w:tcW w:w="2637" w:type="dxa"/>
          </w:tcPr>
          <w:p w14:paraId="201840DF">
            <w:pPr>
              <w:pStyle w:val="16"/>
              <w:rPr>
                <w:rFonts w:cs="仿宋_GB2312"/>
                <w:sz w:val="22"/>
              </w:rPr>
            </w:pPr>
            <w:r>
              <w:rPr>
                <w:rFonts w:hint="eastAsia" w:cs="仿宋_GB2312"/>
                <w:sz w:val="22"/>
              </w:rPr>
              <w:t>保证系统中的信息不被非授权用户访问，按组织结构划分操作人员的操作权限，且各种使用权限所能调用的应用软件模块可按要求灵活配置</w:t>
            </w:r>
          </w:p>
        </w:tc>
      </w:tr>
    </w:tbl>
    <w:p w14:paraId="370533F0">
      <w:pPr>
        <w:spacing w:line="560" w:lineRule="exact"/>
        <w:ind w:firstLine="0" w:firstLineChars="0"/>
        <w:rPr>
          <w:bCs/>
        </w:rPr>
      </w:pPr>
    </w:p>
    <w:p w14:paraId="1207D2C6">
      <w:pPr>
        <w:rPr>
          <w:bCs/>
        </w:rPr>
      </w:pPr>
    </w:p>
    <w:p w14:paraId="1DD1784A">
      <w:pPr>
        <w:pStyle w:val="2"/>
      </w:pPr>
      <w:bookmarkStart w:id="11" w:name="_Toc47539102"/>
      <w:bookmarkEnd w:id="11"/>
      <w:bookmarkStart w:id="12" w:name="_Toc47536676"/>
      <w:bookmarkEnd w:id="12"/>
      <w:bookmarkStart w:id="13" w:name="_Toc47532923"/>
      <w:bookmarkEnd w:id="13"/>
      <w:bookmarkStart w:id="14" w:name="_Toc47537166"/>
      <w:bookmarkEnd w:id="14"/>
      <w:bookmarkStart w:id="15" w:name="_Toc47533288"/>
      <w:bookmarkEnd w:id="15"/>
      <w:bookmarkStart w:id="16" w:name="_Toc47536304"/>
      <w:bookmarkEnd w:id="16"/>
      <w:r>
        <w:rPr>
          <w:rFonts w:hint="eastAsia"/>
        </w:rPr>
        <w:t>项目建设内容</w:t>
      </w:r>
    </w:p>
    <w:p w14:paraId="4752E52A">
      <w:r>
        <w:rPr>
          <w:rFonts w:hint="eastAsia"/>
        </w:rPr>
        <w:t>（一）设计需求</w:t>
      </w:r>
    </w:p>
    <w:p w14:paraId="26D405BD">
      <w:pPr>
        <w:pStyle w:val="61"/>
        <w:numPr>
          <w:ilvl w:val="0"/>
          <w:numId w:val="5"/>
        </w:numPr>
        <w:ind w:firstLineChars="0"/>
        <w:rPr>
          <w:sz w:val="24"/>
          <w:szCs w:val="32"/>
        </w:rPr>
      </w:pPr>
      <w:r>
        <w:rPr>
          <w:rFonts w:hint="eastAsia"/>
          <w:sz w:val="24"/>
          <w:szCs w:val="32"/>
        </w:rPr>
        <w:t>技术路线</w:t>
      </w:r>
    </w:p>
    <w:p w14:paraId="7E18CB1B">
      <w:pPr>
        <w:rPr>
          <w:bCs/>
        </w:rPr>
      </w:pPr>
      <w:r>
        <w:rPr>
          <w:rFonts w:hint="eastAsia"/>
          <w:bCs/>
        </w:rPr>
        <w:t>本项目采取的技术路线依据前期所采取的技术路线，继续采用基于云计算的Web开发技术路线。</w:t>
      </w:r>
    </w:p>
    <w:p w14:paraId="41A2F32E">
      <w:pPr>
        <w:rPr>
          <w:bCs/>
        </w:rPr>
      </w:pPr>
      <w:r>
        <w:rPr>
          <w:rFonts w:hint="eastAsia"/>
          <w:bCs/>
        </w:rPr>
        <w:t>具体而言，按照以下步骤利用项目技术实现项目产品：</w:t>
      </w:r>
    </w:p>
    <w:p w14:paraId="20D2464F">
      <w:pPr>
        <w:pStyle w:val="135"/>
        <w:spacing w:line="240" w:lineRule="auto"/>
        <w:ind w:firstLine="0" w:firstLineChars="0"/>
        <w:rPr>
          <w:rFonts w:ascii="仿宋_GB2312" w:eastAsia="仿宋_GB2312"/>
          <w:sz w:val="28"/>
          <w:szCs w:val="28"/>
          <w:lang w:eastAsia="zh-CN"/>
        </w:rPr>
      </w:pPr>
      <w:r>
        <w:drawing>
          <wp:inline distT="0" distB="0" distL="0" distR="0">
            <wp:extent cx="5274310" cy="1840230"/>
            <wp:effectExtent l="0" t="0" r="2540" b="7620"/>
            <wp:docPr id="1709817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981775" name="图片 1"/>
                    <pic:cNvPicPr>
                      <a:picLocks noChangeAspect="1"/>
                    </pic:cNvPicPr>
                  </pic:nvPicPr>
                  <pic:blipFill>
                    <a:blip r:embed="rId14"/>
                    <a:stretch>
                      <a:fillRect/>
                    </a:stretch>
                  </pic:blipFill>
                  <pic:spPr>
                    <a:xfrm>
                      <a:off x="0" y="0"/>
                      <a:ext cx="5274310" cy="1840230"/>
                    </a:xfrm>
                    <a:prstGeom prst="rect">
                      <a:avLst/>
                    </a:prstGeom>
                  </pic:spPr>
                </pic:pic>
              </a:graphicData>
            </a:graphic>
          </wp:inline>
        </w:drawing>
      </w:r>
    </w:p>
    <w:p w14:paraId="3673AE77">
      <w:pPr>
        <w:rPr>
          <w:bCs/>
        </w:rPr>
      </w:pPr>
      <w:r>
        <w:rPr>
          <w:rFonts w:hint="eastAsia"/>
          <w:bCs/>
        </w:rPr>
        <w:t>如上图所示，针对城管执法综合管理平台升级改造，与完全新建应用系统有很大的不同，需要理解现有系统功能以及实现这些功能所使用的技术以及与外部系统的关系。</w:t>
      </w:r>
    </w:p>
    <w:p w14:paraId="737A5392">
      <w:pPr>
        <w:rPr>
          <w:bCs/>
        </w:rPr>
      </w:pPr>
      <w:r>
        <w:rPr>
          <w:rFonts w:hint="eastAsia"/>
          <w:bCs/>
        </w:rPr>
        <w:t>要得到符合需求方期望的项目产品，首先需要深刻理解现有系统功能、新的业务需求、限制条件等等，这个阶段，使用访谈、调研、以及对比分析技术，精准把握系统需求。</w:t>
      </w:r>
    </w:p>
    <w:p w14:paraId="3247FB8E">
      <w:pPr>
        <w:rPr>
          <w:bCs/>
        </w:rPr>
      </w:pPr>
      <w:r>
        <w:rPr>
          <w:rFonts w:hint="eastAsia"/>
          <w:bCs/>
        </w:rPr>
        <w:t>本项目系统是升级改造，原系统采用达梦数据库和统信操作系统，</w:t>
      </w:r>
      <w:r>
        <w:rPr>
          <w:rFonts w:hint="eastAsia"/>
          <w:bCs/>
          <w:lang w:eastAsia="zh-CN"/>
        </w:rPr>
        <w:t>供应商提供的升级改造方案应</w:t>
      </w:r>
      <w:r>
        <w:rPr>
          <w:rFonts w:hint="eastAsia"/>
          <w:bCs/>
        </w:rPr>
        <w:t>保证系统兼容性和数据延续性。</w:t>
      </w:r>
    </w:p>
    <w:p w14:paraId="581B1229">
      <w:pPr>
        <w:pStyle w:val="135"/>
        <w:spacing w:line="240" w:lineRule="auto"/>
        <w:ind w:firstLine="0" w:firstLineChars="0"/>
        <w:rPr>
          <w:rFonts w:ascii="仿宋_GB2312" w:eastAsia="仿宋_GB2312"/>
          <w:sz w:val="28"/>
          <w:szCs w:val="28"/>
          <w:lang w:eastAsia="zh-CN"/>
        </w:rPr>
      </w:pPr>
      <w:r>
        <w:drawing>
          <wp:inline distT="0" distB="0" distL="0" distR="0">
            <wp:extent cx="5274310" cy="567690"/>
            <wp:effectExtent l="0" t="0" r="2540" b="3810"/>
            <wp:docPr id="266811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11747" name="图片 1"/>
                    <pic:cNvPicPr>
                      <a:picLocks noChangeAspect="1"/>
                    </pic:cNvPicPr>
                  </pic:nvPicPr>
                  <pic:blipFill>
                    <a:blip r:embed="rId15"/>
                    <a:stretch>
                      <a:fillRect/>
                    </a:stretch>
                  </pic:blipFill>
                  <pic:spPr>
                    <a:xfrm>
                      <a:off x="0" y="0"/>
                      <a:ext cx="5274310" cy="567915"/>
                    </a:xfrm>
                    <a:prstGeom prst="rect">
                      <a:avLst/>
                    </a:prstGeom>
                  </pic:spPr>
                </pic:pic>
              </a:graphicData>
            </a:graphic>
          </wp:inline>
        </w:drawing>
      </w:r>
    </w:p>
    <w:p w14:paraId="4019DBC1">
      <w:pPr>
        <w:pStyle w:val="61"/>
        <w:ind w:left="920" w:firstLine="0" w:firstLineChars="0"/>
      </w:pPr>
    </w:p>
    <w:p w14:paraId="39E5DDDD">
      <w:pPr>
        <w:pStyle w:val="61"/>
        <w:numPr>
          <w:ilvl w:val="0"/>
          <w:numId w:val="5"/>
        </w:numPr>
        <w:ind w:firstLineChars="0"/>
        <w:rPr>
          <w:sz w:val="24"/>
          <w:szCs w:val="32"/>
        </w:rPr>
      </w:pPr>
      <w:r>
        <w:rPr>
          <w:rFonts w:hint="eastAsia"/>
          <w:sz w:val="24"/>
          <w:szCs w:val="32"/>
        </w:rPr>
        <w:t>系统架构</w:t>
      </w:r>
      <w:bookmarkStart w:id="34" w:name="_GoBack"/>
      <w:bookmarkEnd w:id="34"/>
    </w:p>
    <w:p w14:paraId="59AF99D5">
      <w:pPr>
        <w:pStyle w:val="61"/>
        <w:ind w:firstLine="0" w:firstLineChars="0"/>
      </w:pPr>
      <w:r>
        <w:rPr>
          <w:rFonts w:hint="eastAsia"/>
        </w:rPr>
        <w:drawing>
          <wp:inline distT="0" distB="0" distL="0" distR="0">
            <wp:extent cx="5278120" cy="46628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78120" cy="4662805"/>
                    </a:xfrm>
                    <a:prstGeom prst="rect">
                      <a:avLst/>
                    </a:prstGeom>
                    <a:noFill/>
                    <a:ln>
                      <a:noFill/>
                    </a:ln>
                  </pic:spPr>
                </pic:pic>
              </a:graphicData>
            </a:graphic>
          </wp:inline>
        </w:drawing>
      </w:r>
    </w:p>
    <w:p w14:paraId="25C13E9B">
      <w:pPr>
        <w:rPr>
          <w:bCs/>
        </w:rPr>
      </w:pPr>
      <w:r>
        <w:rPr>
          <w:rFonts w:hint="eastAsia"/>
          <w:bCs/>
        </w:rPr>
        <w:t>本期项目建设内容涉及执法教育培训子系统的升级改造。图中列出教育培训子系统模块为新增或改造；其他均利旧。</w:t>
      </w:r>
    </w:p>
    <w:p w14:paraId="0F3440CA">
      <w:pPr>
        <w:pStyle w:val="61"/>
        <w:numPr>
          <w:ilvl w:val="0"/>
          <w:numId w:val="5"/>
        </w:numPr>
        <w:ind w:firstLineChars="0"/>
        <w:rPr>
          <w:sz w:val="24"/>
          <w:szCs w:val="32"/>
        </w:rPr>
      </w:pPr>
      <w:r>
        <w:rPr>
          <w:rFonts w:hint="eastAsia"/>
          <w:sz w:val="24"/>
          <w:szCs w:val="32"/>
        </w:rPr>
        <w:t>部署环境</w:t>
      </w:r>
    </w:p>
    <w:p w14:paraId="63E577B0">
      <w:pPr>
        <w:ind w:firstLineChars="0"/>
        <w:rPr>
          <w:szCs w:val="32"/>
        </w:rPr>
      </w:pPr>
      <w:r>
        <w:rPr>
          <w:rFonts w:hint="eastAsia"/>
          <w:szCs w:val="32"/>
        </w:rPr>
        <w:t>本次项目部署在市电子政务云平台上，目前系统有服务器11台，本次未申请新的服务器，均利旧。</w:t>
      </w:r>
    </w:p>
    <w:p w14:paraId="0F6E1090">
      <w:pPr>
        <w:ind w:firstLine="0" w:firstLineChars="0"/>
        <w:rPr>
          <w:szCs w:val="32"/>
        </w:rPr>
      </w:pPr>
      <w:r>
        <w:rPr>
          <w:rFonts w:hint="eastAsia" w:ascii="仿宋" w:hAnsi="仿宋" w:eastAsia="仿宋"/>
          <w:sz w:val="32"/>
          <w:szCs w:val="32"/>
        </w:rPr>
        <w:drawing>
          <wp:inline distT="0" distB="0" distL="114300" distR="114300">
            <wp:extent cx="5270500" cy="3680460"/>
            <wp:effectExtent l="0" t="0" r="0" b="2540"/>
            <wp:docPr id="1706641738" name="图片 1706641738"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641738" name="图片 1706641738" descr="图片1"/>
                    <pic:cNvPicPr>
                      <a:picLocks noChangeAspect="1"/>
                    </pic:cNvPicPr>
                  </pic:nvPicPr>
                  <pic:blipFill>
                    <a:blip r:embed="rId17"/>
                    <a:stretch>
                      <a:fillRect/>
                    </a:stretch>
                  </pic:blipFill>
                  <pic:spPr>
                    <a:xfrm>
                      <a:off x="0" y="0"/>
                      <a:ext cx="5270500" cy="3680460"/>
                    </a:xfrm>
                    <a:prstGeom prst="rect">
                      <a:avLst/>
                    </a:prstGeom>
                  </pic:spPr>
                </pic:pic>
              </a:graphicData>
            </a:graphic>
          </wp:inline>
        </w:drawing>
      </w:r>
    </w:p>
    <w:p w14:paraId="4A7EEABC">
      <w:pPr>
        <w:rPr>
          <w:szCs w:val="32"/>
        </w:rPr>
      </w:pPr>
    </w:p>
    <w:p w14:paraId="26976285">
      <w:r>
        <w:rPr>
          <w:rFonts w:hint="eastAsia"/>
        </w:rPr>
        <w:t>（二）建设内容</w:t>
      </w:r>
    </w:p>
    <w:p w14:paraId="3A2DC1DB">
      <w:pPr>
        <w:ind w:firstLine="482"/>
        <w:rPr>
          <w:b/>
        </w:rPr>
      </w:pPr>
      <w:r>
        <w:rPr>
          <w:rFonts w:hint="eastAsia"/>
          <w:b/>
        </w:rPr>
        <w:t>1、软件开发清单</w:t>
      </w:r>
    </w:p>
    <w:tbl>
      <w:tblPr>
        <w:tblStyle w:val="35"/>
        <w:tblW w:w="8359" w:type="dxa"/>
        <w:tblInd w:w="113" w:type="dxa"/>
        <w:tblLayout w:type="autofit"/>
        <w:tblCellMar>
          <w:top w:w="0" w:type="dxa"/>
          <w:left w:w="108" w:type="dxa"/>
          <w:bottom w:w="0" w:type="dxa"/>
          <w:right w:w="108" w:type="dxa"/>
        </w:tblCellMar>
      </w:tblPr>
      <w:tblGrid>
        <w:gridCol w:w="704"/>
        <w:gridCol w:w="1418"/>
        <w:gridCol w:w="1417"/>
        <w:gridCol w:w="4820"/>
      </w:tblGrid>
      <w:tr w14:paraId="032A5F15">
        <w:tblPrEx>
          <w:tblCellMar>
            <w:top w:w="0" w:type="dxa"/>
            <w:left w:w="108" w:type="dxa"/>
            <w:bottom w:w="0" w:type="dxa"/>
            <w:right w:w="108" w:type="dxa"/>
          </w:tblCellMar>
        </w:tblPrEx>
        <w:trPr>
          <w:trHeight w:val="280" w:hRule="atLeast"/>
          <w:tblHeader/>
        </w:trPr>
        <w:tc>
          <w:tcPr>
            <w:tcW w:w="704"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14:paraId="57ED6410">
            <w:pPr>
              <w:widowControl/>
              <w:spacing w:line="240" w:lineRule="auto"/>
              <w:ind w:firstLine="0" w:firstLineChars="0"/>
              <w:jc w:val="center"/>
              <w:rPr>
                <w:rFonts w:cs="宋体"/>
                <w:b/>
                <w:color w:val="000000"/>
                <w:kern w:val="0"/>
                <w:sz w:val="18"/>
                <w:szCs w:val="18"/>
              </w:rPr>
            </w:pPr>
            <w:r>
              <w:rPr>
                <w:rFonts w:hint="eastAsia" w:cs="宋体"/>
                <w:b/>
                <w:color w:val="000000"/>
                <w:kern w:val="0"/>
                <w:sz w:val="18"/>
                <w:szCs w:val="18"/>
              </w:rPr>
              <w:t>序号</w:t>
            </w:r>
          </w:p>
        </w:tc>
        <w:tc>
          <w:tcPr>
            <w:tcW w:w="1418" w:type="dxa"/>
            <w:tcBorders>
              <w:top w:val="single" w:color="auto" w:sz="4" w:space="0"/>
              <w:left w:val="nil"/>
              <w:bottom w:val="single" w:color="auto" w:sz="4" w:space="0"/>
              <w:right w:val="single" w:color="auto" w:sz="4" w:space="0"/>
            </w:tcBorders>
            <w:shd w:val="clear" w:color="auto" w:fill="DBE5F1" w:themeFill="accent1" w:themeFillTint="33"/>
            <w:vAlign w:val="center"/>
          </w:tcPr>
          <w:p w14:paraId="1565B6B7">
            <w:pPr>
              <w:widowControl/>
              <w:spacing w:line="240" w:lineRule="auto"/>
              <w:ind w:firstLine="0" w:firstLineChars="0"/>
              <w:jc w:val="center"/>
              <w:rPr>
                <w:rFonts w:cs="宋体"/>
                <w:b/>
                <w:color w:val="000000"/>
                <w:kern w:val="0"/>
                <w:sz w:val="18"/>
                <w:szCs w:val="18"/>
              </w:rPr>
            </w:pPr>
            <w:r>
              <w:rPr>
                <w:rFonts w:hint="eastAsia" w:cs="宋体"/>
                <w:b/>
                <w:color w:val="000000"/>
                <w:kern w:val="0"/>
                <w:sz w:val="18"/>
                <w:szCs w:val="18"/>
              </w:rPr>
              <w:t>应用系统名称</w:t>
            </w:r>
          </w:p>
        </w:tc>
        <w:tc>
          <w:tcPr>
            <w:tcW w:w="1417" w:type="dxa"/>
            <w:tcBorders>
              <w:top w:val="single" w:color="auto" w:sz="4" w:space="0"/>
              <w:left w:val="nil"/>
              <w:bottom w:val="single" w:color="auto" w:sz="4" w:space="0"/>
              <w:right w:val="single" w:color="auto" w:sz="4" w:space="0"/>
            </w:tcBorders>
            <w:shd w:val="clear" w:color="auto" w:fill="DBE5F1" w:themeFill="accent1" w:themeFillTint="33"/>
            <w:vAlign w:val="center"/>
          </w:tcPr>
          <w:p w14:paraId="747802FB">
            <w:pPr>
              <w:widowControl/>
              <w:spacing w:line="240" w:lineRule="auto"/>
              <w:ind w:firstLine="0" w:firstLineChars="0"/>
              <w:jc w:val="center"/>
              <w:rPr>
                <w:rFonts w:cs="宋体"/>
                <w:b/>
                <w:color w:val="000000"/>
                <w:kern w:val="0"/>
                <w:sz w:val="18"/>
                <w:szCs w:val="18"/>
              </w:rPr>
            </w:pPr>
            <w:r>
              <w:rPr>
                <w:rFonts w:hint="eastAsia" w:cs="宋体"/>
                <w:b/>
                <w:color w:val="000000"/>
                <w:kern w:val="0"/>
                <w:sz w:val="18"/>
                <w:szCs w:val="18"/>
              </w:rPr>
              <w:t>模块名称</w:t>
            </w:r>
          </w:p>
        </w:tc>
        <w:tc>
          <w:tcPr>
            <w:tcW w:w="4820" w:type="dxa"/>
            <w:tcBorders>
              <w:top w:val="single" w:color="auto" w:sz="4" w:space="0"/>
              <w:left w:val="nil"/>
              <w:bottom w:val="single" w:color="auto" w:sz="4" w:space="0"/>
              <w:right w:val="single" w:color="auto" w:sz="4" w:space="0"/>
            </w:tcBorders>
            <w:shd w:val="clear" w:color="auto" w:fill="DBE5F1" w:themeFill="accent1" w:themeFillTint="33"/>
            <w:vAlign w:val="center"/>
          </w:tcPr>
          <w:p w14:paraId="64C32A5D">
            <w:pPr>
              <w:widowControl/>
              <w:spacing w:line="240" w:lineRule="auto"/>
              <w:ind w:firstLine="0" w:firstLineChars="0"/>
              <w:jc w:val="center"/>
              <w:rPr>
                <w:rFonts w:cs="宋体"/>
                <w:b/>
                <w:color w:val="000000"/>
                <w:kern w:val="0"/>
                <w:sz w:val="18"/>
                <w:szCs w:val="18"/>
              </w:rPr>
            </w:pPr>
            <w:r>
              <w:rPr>
                <w:rFonts w:hint="eastAsia" w:cs="宋体"/>
                <w:b/>
                <w:color w:val="000000"/>
                <w:kern w:val="0"/>
                <w:sz w:val="18"/>
                <w:szCs w:val="18"/>
              </w:rPr>
              <w:t>模块描述</w:t>
            </w:r>
          </w:p>
        </w:tc>
      </w:tr>
      <w:tr w14:paraId="1A222E80">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7E68CF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w:t>
            </w:r>
          </w:p>
        </w:tc>
        <w:tc>
          <w:tcPr>
            <w:tcW w:w="1418" w:type="dxa"/>
            <w:tcBorders>
              <w:top w:val="nil"/>
              <w:left w:val="nil"/>
              <w:bottom w:val="single" w:color="auto" w:sz="4" w:space="0"/>
              <w:right w:val="single" w:color="auto" w:sz="4" w:space="0"/>
            </w:tcBorders>
            <w:vAlign w:val="center"/>
          </w:tcPr>
          <w:p w14:paraId="634562D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F4D869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培训管理升级-课程交流答疑</w:t>
            </w:r>
          </w:p>
        </w:tc>
        <w:tc>
          <w:tcPr>
            <w:tcW w:w="4820" w:type="dxa"/>
            <w:tcBorders>
              <w:top w:val="nil"/>
              <w:left w:val="nil"/>
              <w:bottom w:val="single" w:color="auto" w:sz="4" w:space="0"/>
              <w:right w:val="single" w:color="auto" w:sz="4" w:space="0"/>
            </w:tcBorders>
            <w:vAlign w:val="center"/>
          </w:tcPr>
          <w:p w14:paraId="50921DD9">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为某一门课程开启在线交流答疑功能，并可供所有该课程的学员查阅，形成知识积累和共享，有助于提升整个班级的学习氛围。</w:t>
            </w:r>
          </w:p>
        </w:tc>
      </w:tr>
      <w:tr w14:paraId="4A8EC134">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7AB43F1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w:t>
            </w:r>
          </w:p>
        </w:tc>
        <w:tc>
          <w:tcPr>
            <w:tcW w:w="1418" w:type="dxa"/>
            <w:tcBorders>
              <w:top w:val="nil"/>
              <w:left w:val="nil"/>
              <w:bottom w:val="single" w:color="auto" w:sz="4" w:space="0"/>
              <w:right w:val="single" w:color="auto" w:sz="4" w:space="0"/>
            </w:tcBorders>
          </w:tcPr>
          <w:p w14:paraId="01244D3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615E7B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培训管理升级-培训纪律管理</w:t>
            </w:r>
          </w:p>
        </w:tc>
        <w:tc>
          <w:tcPr>
            <w:tcW w:w="4820" w:type="dxa"/>
            <w:tcBorders>
              <w:top w:val="nil"/>
              <w:left w:val="nil"/>
              <w:bottom w:val="single" w:color="auto" w:sz="4" w:space="0"/>
              <w:right w:val="single" w:color="auto" w:sz="4" w:space="0"/>
            </w:tcBorders>
            <w:vAlign w:val="center"/>
          </w:tcPr>
          <w:p w14:paraId="5C7E740D">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在正常培训考勤之外的时间，针对学员进行非预先通知的、即兴的检查或记录</w:t>
            </w:r>
          </w:p>
        </w:tc>
      </w:tr>
      <w:tr w14:paraId="4B2A19C2">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4BD2E0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w:t>
            </w:r>
          </w:p>
        </w:tc>
        <w:tc>
          <w:tcPr>
            <w:tcW w:w="1418" w:type="dxa"/>
            <w:tcBorders>
              <w:top w:val="nil"/>
              <w:left w:val="nil"/>
              <w:bottom w:val="single" w:color="auto" w:sz="4" w:space="0"/>
              <w:right w:val="single" w:color="auto" w:sz="4" w:space="0"/>
            </w:tcBorders>
          </w:tcPr>
          <w:p w14:paraId="0C66D0A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23B662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培训管理升级-普训补训</w:t>
            </w:r>
          </w:p>
        </w:tc>
        <w:tc>
          <w:tcPr>
            <w:tcW w:w="4820" w:type="dxa"/>
            <w:tcBorders>
              <w:top w:val="nil"/>
              <w:left w:val="nil"/>
              <w:bottom w:val="single" w:color="auto" w:sz="4" w:space="0"/>
              <w:right w:val="single" w:color="auto" w:sz="4" w:space="0"/>
            </w:tcBorders>
            <w:vAlign w:val="center"/>
          </w:tcPr>
          <w:p w14:paraId="2D02C0FD">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开启全员普训补训后，区局在培训立项时，可选全员普训补训。</w:t>
            </w:r>
          </w:p>
        </w:tc>
      </w:tr>
      <w:tr w14:paraId="5724AC11">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4205D90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w:t>
            </w:r>
          </w:p>
        </w:tc>
        <w:tc>
          <w:tcPr>
            <w:tcW w:w="1418" w:type="dxa"/>
            <w:tcBorders>
              <w:top w:val="nil"/>
              <w:left w:val="nil"/>
              <w:bottom w:val="single" w:color="auto" w:sz="4" w:space="0"/>
              <w:right w:val="single" w:color="auto" w:sz="4" w:space="0"/>
            </w:tcBorders>
          </w:tcPr>
          <w:p w14:paraId="1DB951E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8898BF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培训管理升级-封闭式培训管理</w:t>
            </w:r>
          </w:p>
        </w:tc>
        <w:tc>
          <w:tcPr>
            <w:tcW w:w="4820" w:type="dxa"/>
            <w:tcBorders>
              <w:top w:val="nil"/>
              <w:left w:val="nil"/>
              <w:bottom w:val="single" w:color="auto" w:sz="4" w:space="0"/>
              <w:right w:val="single" w:color="auto" w:sz="4" w:space="0"/>
            </w:tcBorders>
            <w:vAlign w:val="center"/>
          </w:tcPr>
          <w:p w14:paraId="1F17F5DF">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封闭式培训宿舍的填写和导入通过手动填写或批量导入的方式，快速、准确地录入学员的住宿信息（如个人信息、房间分配、住宿时间等。</w:t>
            </w:r>
          </w:p>
        </w:tc>
      </w:tr>
      <w:tr w14:paraId="3CB608FF">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1448B47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w:t>
            </w:r>
          </w:p>
        </w:tc>
        <w:tc>
          <w:tcPr>
            <w:tcW w:w="1418" w:type="dxa"/>
            <w:tcBorders>
              <w:top w:val="nil"/>
              <w:left w:val="nil"/>
              <w:bottom w:val="single" w:color="auto" w:sz="4" w:space="0"/>
              <w:right w:val="single" w:color="auto" w:sz="4" w:space="0"/>
            </w:tcBorders>
          </w:tcPr>
          <w:p w14:paraId="189230D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81F8DA2">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培训管理升级-立项自动处理</w:t>
            </w:r>
          </w:p>
        </w:tc>
        <w:tc>
          <w:tcPr>
            <w:tcW w:w="4820" w:type="dxa"/>
            <w:tcBorders>
              <w:top w:val="nil"/>
              <w:left w:val="nil"/>
              <w:bottom w:val="single" w:color="auto" w:sz="4" w:space="0"/>
              <w:right w:val="single" w:color="auto" w:sz="4" w:space="0"/>
            </w:tcBorders>
            <w:vAlign w:val="center"/>
          </w:tcPr>
          <w:p w14:paraId="2CDCDB96">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凡属于区局及以下单位发起的培训立项申请，系统将自动跳过人工审核流程，直接标记为“审核通过”，无需市局层级逐一审批，自动通过区局及以下单位的立项申请。</w:t>
            </w:r>
          </w:p>
        </w:tc>
      </w:tr>
      <w:tr w14:paraId="0CA4C20D">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21BC87A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6</w:t>
            </w:r>
          </w:p>
        </w:tc>
        <w:tc>
          <w:tcPr>
            <w:tcW w:w="1418" w:type="dxa"/>
            <w:tcBorders>
              <w:top w:val="nil"/>
              <w:left w:val="nil"/>
              <w:bottom w:val="single" w:color="auto" w:sz="4" w:space="0"/>
              <w:right w:val="single" w:color="auto" w:sz="4" w:space="0"/>
            </w:tcBorders>
          </w:tcPr>
          <w:p w14:paraId="70EBA52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16976C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培训管理升级-自助报名</w:t>
            </w:r>
          </w:p>
        </w:tc>
        <w:tc>
          <w:tcPr>
            <w:tcW w:w="4820" w:type="dxa"/>
            <w:tcBorders>
              <w:top w:val="nil"/>
              <w:left w:val="nil"/>
              <w:bottom w:val="single" w:color="auto" w:sz="4" w:space="0"/>
              <w:right w:val="single" w:color="auto" w:sz="4" w:space="0"/>
            </w:tcBorders>
            <w:vAlign w:val="center"/>
          </w:tcPr>
          <w:p w14:paraId="32AB9E1A">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系统支持开放培训项目的在线报名入口，学员可通过个人账户自行提交报名申请。</w:t>
            </w:r>
          </w:p>
        </w:tc>
      </w:tr>
      <w:tr w14:paraId="107F473B">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64BECB6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7</w:t>
            </w:r>
          </w:p>
        </w:tc>
        <w:tc>
          <w:tcPr>
            <w:tcW w:w="1418" w:type="dxa"/>
            <w:tcBorders>
              <w:top w:val="nil"/>
              <w:left w:val="nil"/>
              <w:bottom w:val="single" w:color="auto" w:sz="4" w:space="0"/>
              <w:right w:val="single" w:color="auto" w:sz="4" w:space="0"/>
            </w:tcBorders>
          </w:tcPr>
          <w:p w14:paraId="64F0D59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5B16B51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培训管理升级-结训管理</w:t>
            </w:r>
          </w:p>
        </w:tc>
        <w:tc>
          <w:tcPr>
            <w:tcW w:w="4820" w:type="dxa"/>
            <w:tcBorders>
              <w:top w:val="nil"/>
              <w:left w:val="nil"/>
              <w:bottom w:val="single" w:color="auto" w:sz="4" w:space="0"/>
              <w:right w:val="single" w:color="auto" w:sz="4" w:space="0"/>
            </w:tcBorders>
            <w:vAlign w:val="center"/>
          </w:tcPr>
          <w:p w14:paraId="77394932">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培训学员在完成培训和考核后提交的学习总结、心得体会，管理员可设置时间限制和字数限制</w:t>
            </w:r>
          </w:p>
        </w:tc>
      </w:tr>
      <w:tr w14:paraId="1ABB8E52">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4ACFD39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8</w:t>
            </w:r>
          </w:p>
        </w:tc>
        <w:tc>
          <w:tcPr>
            <w:tcW w:w="1418" w:type="dxa"/>
            <w:tcBorders>
              <w:top w:val="nil"/>
              <w:left w:val="nil"/>
              <w:bottom w:val="single" w:color="auto" w:sz="4" w:space="0"/>
              <w:right w:val="single" w:color="auto" w:sz="4" w:space="0"/>
            </w:tcBorders>
          </w:tcPr>
          <w:p w14:paraId="76DD692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3C9E8A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培训管理升级-限额管理</w:t>
            </w:r>
          </w:p>
        </w:tc>
        <w:tc>
          <w:tcPr>
            <w:tcW w:w="4820" w:type="dxa"/>
            <w:tcBorders>
              <w:top w:val="nil"/>
              <w:left w:val="nil"/>
              <w:bottom w:val="single" w:color="auto" w:sz="4" w:space="0"/>
              <w:right w:val="single" w:color="auto" w:sz="4" w:space="0"/>
            </w:tcBorders>
            <w:vAlign w:val="center"/>
          </w:tcPr>
          <w:p w14:paraId="23A14BAC">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增加参训人数限制，不应超过单位60%，否则需要额外审核。</w:t>
            </w:r>
          </w:p>
        </w:tc>
      </w:tr>
      <w:tr w14:paraId="453D6A59">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BC06E4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9</w:t>
            </w:r>
          </w:p>
        </w:tc>
        <w:tc>
          <w:tcPr>
            <w:tcW w:w="1418" w:type="dxa"/>
            <w:tcBorders>
              <w:top w:val="nil"/>
              <w:left w:val="nil"/>
              <w:bottom w:val="single" w:color="auto" w:sz="4" w:space="0"/>
              <w:right w:val="single" w:color="auto" w:sz="4" w:space="0"/>
            </w:tcBorders>
          </w:tcPr>
          <w:p w14:paraId="559FD38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FF7F1E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培训管理升级-普训线下考试管理</w:t>
            </w:r>
          </w:p>
        </w:tc>
        <w:tc>
          <w:tcPr>
            <w:tcW w:w="4820" w:type="dxa"/>
            <w:tcBorders>
              <w:top w:val="nil"/>
              <w:left w:val="nil"/>
              <w:bottom w:val="single" w:color="auto" w:sz="4" w:space="0"/>
              <w:right w:val="single" w:color="auto" w:sz="4" w:space="0"/>
            </w:tcBorders>
            <w:vAlign w:val="center"/>
          </w:tcPr>
          <w:p w14:paraId="0685FF32">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普训通常不设线下考试，普训课程默认标记为“无需线下考试”。需要进行线下考试，在线上进行申请并通过审核，课程管理或考试设置模块中，提供“申请线下考试”功能入口。</w:t>
            </w:r>
          </w:p>
        </w:tc>
      </w:tr>
      <w:tr w14:paraId="6EAEA6A8">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D87477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10</w:t>
            </w:r>
          </w:p>
        </w:tc>
        <w:tc>
          <w:tcPr>
            <w:tcW w:w="1418" w:type="dxa"/>
            <w:tcBorders>
              <w:top w:val="nil"/>
              <w:left w:val="nil"/>
              <w:bottom w:val="single" w:color="auto" w:sz="4" w:space="0"/>
              <w:right w:val="single" w:color="auto" w:sz="4" w:space="0"/>
            </w:tcBorders>
          </w:tcPr>
          <w:p w14:paraId="4D2B5C1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A442AC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培训管理升级-培训评价模板管理</w:t>
            </w:r>
          </w:p>
        </w:tc>
        <w:tc>
          <w:tcPr>
            <w:tcW w:w="4820" w:type="dxa"/>
            <w:tcBorders>
              <w:top w:val="nil"/>
              <w:left w:val="nil"/>
              <w:bottom w:val="single" w:color="auto" w:sz="4" w:space="0"/>
              <w:right w:val="single" w:color="auto" w:sz="4" w:space="0"/>
            </w:tcBorders>
            <w:vAlign w:val="center"/>
          </w:tcPr>
          <w:p w14:paraId="67B08D82">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实现功能支持按培训类型分类模板，系统预设常用分类模板，每个模板包含多个评价维度。</w:t>
            </w:r>
          </w:p>
        </w:tc>
      </w:tr>
      <w:tr w14:paraId="54A7344F">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5B2069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11</w:t>
            </w:r>
          </w:p>
        </w:tc>
        <w:tc>
          <w:tcPr>
            <w:tcW w:w="1418" w:type="dxa"/>
            <w:tcBorders>
              <w:top w:val="nil"/>
              <w:left w:val="nil"/>
              <w:bottom w:val="single" w:color="auto" w:sz="4" w:space="0"/>
              <w:right w:val="single" w:color="auto" w:sz="4" w:space="0"/>
            </w:tcBorders>
          </w:tcPr>
          <w:p w14:paraId="172ADE2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5E3A90C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培训管理升级-初任培训学员管理</w:t>
            </w:r>
          </w:p>
        </w:tc>
        <w:tc>
          <w:tcPr>
            <w:tcW w:w="4820" w:type="dxa"/>
            <w:tcBorders>
              <w:top w:val="nil"/>
              <w:left w:val="nil"/>
              <w:bottom w:val="single" w:color="auto" w:sz="4" w:space="0"/>
              <w:right w:val="single" w:color="auto" w:sz="4" w:space="0"/>
            </w:tcBorders>
            <w:vAlign w:val="center"/>
          </w:tcPr>
          <w:p w14:paraId="5DCCE1B5">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由区局填报参训学员信息，提交时，根据招录途径、是否通过司法考试等选项，自动设置学员参训参考默认值。</w:t>
            </w:r>
          </w:p>
        </w:tc>
      </w:tr>
      <w:tr w14:paraId="55E4AECB">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1B43841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12</w:t>
            </w:r>
          </w:p>
        </w:tc>
        <w:tc>
          <w:tcPr>
            <w:tcW w:w="1418" w:type="dxa"/>
            <w:tcBorders>
              <w:top w:val="nil"/>
              <w:left w:val="nil"/>
              <w:bottom w:val="single" w:color="auto" w:sz="4" w:space="0"/>
              <w:right w:val="single" w:color="auto" w:sz="4" w:space="0"/>
            </w:tcBorders>
          </w:tcPr>
          <w:p w14:paraId="75DD738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9E995C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培训资源共享管理-师资共享</w:t>
            </w:r>
          </w:p>
        </w:tc>
        <w:tc>
          <w:tcPr>
            <w:tcW w:w="4820" w:type="dxa"/>
            <w:tcBorders>
              <w:top w:val="nil"/>
              <w:left w:val="nil"/>
              <w:bottom w:val="single" w:color="auto" w:sz="4" w:space="0"/>
              <w:right w:val="single" w:color="auto" w:sz="4" w:space="0"/>
            </w:tcBorders>
            <w:vAlign w:val="center"/>
          </w:tcPr>
          <w:p w14:paraId="3C1BB85A">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区级师资选聘和市级师资选聘，区级师资可以由中队推荐，也可以区局管理员填报，支持批量导入，市级师资由区局向市局推荐。</w:t>
            </w:r>
          </w:p>
        </w:tc>
      </w:tr>
      <w:tr w14:paraId="141D8D2C">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8A2F7F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13</w:t>
            </w:r>
          </w:p>
        </w:tc>
        <w:tc>
          <w:tcPr>
            <w:tcW w:w="1418" w:type="dxa"/>
            <w:tcBorders>
              <w:top w:val="nil"/>
              <w:left w:val="nil"/>
              <w:bottom w:val="single" w:color="auto" w:sz="4" w:space="0"/>
              <w:right w:val="single" w:color="auto" w:sz="4" w:space="0"/>
            </w:tcBorders>
          </w:tcPr>
          <w:p w14:paraId="0D1731D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84921C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培训资源共享管理-课程共享与推荐</w:t>
            </w:r>
          </w:p>
        </w:tc>
        <w:tc>
          <w:tcPr>
            <w:tcW w:w="4820" w:type="dxa"/>
            <w:tcBorders>
              <w:top w:val="nil"/>
              <w:left w:val="nil"/>
              <w:bottom w:val="single" w:color="auto" w:sz="4" w:space="0"/>
              <w:right w:val="single" w:color="auto" w:sz="4" w:space="0"/>
            </w:tcBorders>
            <w:vAlign w:val="center"/>
          </w:tcPr>
          <w:p w14:paraId="1D6EDA3B">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增加区局向市局推荐课程功能，市局对推荐课程进行审核。</w:t>
            </w:r>
          </w:p>
        </w:tc>
      </w:tr>
      <w:tr w14:paraId="4F449656">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27D4A3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14</w:t>
            </w:r>
          </w:p>
        </w:tc>
        <w:tc>
          <w:tcPr>
            <w:tcW w:w="1418" w:type="dxa"/>
            <w:tcBorders>
              <w:top w:val="nil"/>
              <w:left w:val="nil"/>
              <w:bottom w:val="single" w:color="auto" w:sz="4" w:space="0"/>
              <w:right w:val="single" w:color="auto" w:sz="4" w:space="0"/>
            </w:tcBorders>
          </w:tcPr>
          <w:p w14:paraId="51D29BC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530B7C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考试模块优化-远程考试</w:t>
            </w:r>
          </w:p>
        </w:tc>
        <w:tc>
          <w:tcPr>
            <w:tcW w:w="4820" w:type="dxa"/>
            <w:tcBorders>
              <w:top w:val="nil"/>
              <w:left w:val="nil"/>
              <w:bottom w:val="single" w:color="auto" w:sz="4" w:space="0"/>
              <w:right w:val="single" w:color="auto" w:sz="4" w:space="0"/>
            </w:tcBorders>
            <w:vAlign w:val="center"/>
          </w:tcPr>
          <w:p w14:paraId="08187947">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利用移动设备的摄像头接入系统进行辅助监控。</w:t>
            </w:r>
          </w:p>
        </w:tc>
      </w:tr>
      <w:tr w14:paraId="2D478F05">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C9AAF9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15</w:t>
            </w:r>
          </w:p>
        </w:tc>
        <w:tc>
          <w:tcPr>
            <w:tcW w:w="1418" w:type="dxa"/>
            <w:tcBorders>
              <w:top w:val="nil"/>
              <w:left w:val="nil"/>
              <w:bottom w:val="single" w:color="auto" w:sz="4" w:space="0"/>
              <w:right w:val="single" w:color="auto" w:sz="4" w:space="0"/>
            </w:tcBorders>
          </w:tcPr>
          <w:p w14:paraId="6B9E27D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39777B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考试模块优化-免考管理</w:t>
            </w:r>
          </w:p>
        </w:tc>
        <w:tc>
          <w:tcPr>
            <w:tcW w:w="4820" w:type="dxa"/>
            <w:tcBorders>
              <w:top w:val="nil"/>
              <w:left w:val="nil"/>
              <w:bottom w:val="single" w:color="auto" w:sz="4" w:space="0"/>
              <w:right w:val="single" w:color="auto" w:sz="4" w:space="0"/>
            </w:tcBorders>
            <w:vAlign w:val="center"/>
          </w:tcPr>
          <w:p w14:paraId="528D9640">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考试前系统开启“免考名单调整”窗口，具备权限的管理员可进入考试管理模块，按考试场次选择需调整的免考名单。</w:t>
            </w:r>
          </w:p>
        </w:tc>
      </w:tr>
      <w:tr w14:paraId="48E9EEF8">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A87C45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16</w:t>
            </w:r>
          </w:p>
        </w:tc>
        <w:tc>
          <w:tcPr>
            <w:tcW w:w="1418" w:type="dxa"/>
            <w:tcBorders>
              <w:top w:val="nil"/>
              <w:left w:val="nil"/>
              <w:bottom w:val="single" w:color="auto" w:sz="4" w:space="0"/>
              <w:right w:val="single" w:color="auto" w:sz="4" w:space="0"/>
            </w:tcBorders>
          </w:tcPr>
          <w:p w14:paraId="732A3AA2">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4FE6EF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考试模块优化-授权考试</w:t>
            </w:r>
          </w:p>
        </w:tc>
        <w:tc>
          <w:tcPr>
            <w:tcW w:w="4820" w:type="dxa"/>
            <w:tcBorders>
              <w:top w:val="nil"/>
              <w:left w:val="nil"/>
              <w:bottom w:val="single" w:color="auto" w:sz="4" w:space="0"/>
              <w:right w:val="single" w:color="auto" w:sz="4" w:space="0"/>
            </w:tcBorders>
            <w:vAlign w:val="center"/>
          </w:tcPr>
          <w:p w14:paraId="18D75F24">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系统新增“市局授权区局创建考试”功能模块。</w:t>
            </w:r>
          </w:p>
        </w:tc>
      </w:tr>
      <w:tr w14:paraId="499B5AF6">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2DD9C6E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17</w:t>
            </w:r>
          </w:p>
        </w:tc>
        <w:tc>
          <w:tcPr>
            <w:tcW w:w="1418" w:type="dxa"/>
            <w:tcBorders>
              <w:top w:val="nil"/>
              <w:left w:val="nil"/>
              <w:bottom w:val="single" w:color="auto" w:sz="4" w:space="0"/>
              <w:right w:val="single" w:color="auto" w:sz="4" w:space="0"/>
            </w:tcBorders>
          </w:tcPr>
          <w:p w14:paraId="4DE8F90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6F83049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考试模块优化-考生坐席安排</w:t>
            </w:r>
          </w:p>
        </w:tc>
        <w:tc>
          <w:tcPr>
            <w:tcW w:w="4820" w:type="dxa"/>
            <w:tcBorders>
              <w:top w:val="nil"/>
              <w:left w:val="nil"/>
              <w:bottom w:val="single" w:color="auto" w:sz="4" w:space="0"/>
              <w:right w:val="single" w:color="auto" w:sz="4" w:space="0"/>
            </w:tcBorders>
            <w:vAlign w:val="center"/>
          </w:tcPr>
          <w:p w14:paraId="53389699">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系统新增“插花排序座位安排”功能。</w:t>
            </w:r>
          </w:p>
        </w:tc>
      </w:tr>
      <w:tr w14:paraId="39670562">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450432D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18</w:t>
            </w:r>
          </w:p>
        </w:tc>
        <w:tc>
          <w:tcPr>
            <w:tcW w:w="1418" w:type="dxa"/>
            <w:tcBorders>
              <w:top w:val="nil"/>
              <w:left w:val="nil"/>
              <w:bottom w:val="single" w:color="auto" w:sz="4" w:space="0"/>
              <w:right w:val="single" w:color="auto" w:sz="4" w:space="0"/>
            </w:tcBorders>
          </w:tcPr>
          <w:p w14:paraId="1FC840F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87B335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队列训练监管-训练抽查</w:t>
            </w:r>
          </w:p>
        </w:tc>
        <w:tc>
          <w:tcPr>
            <w:tcW w:w="4820" w:type="dxa"/>
            <w:tcBorders>
              <w:top w:val="nil"/>
              <w:left w:val="nil"/>
              <w:bottom w:val="single" w:color="auto" w:sz="4" w:space="0"/>
              <w:right w:val="single" w:color="auto" w:sz="4" w:space="0"/>
            </w:tcBorders>
            <w:vAlign w:val="center"/>
          </w:tcPr>
          <w:p w14:paraId="2DD3EB45">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增加每月自动抽取1/6中队训练数据功能；</w:t>
            </w:r>
          </w:p>
        </w:tc>
      </w:tr>
      <w:tr w14:paraId="2431BBC8">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236FE1F2">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19</w:t>
            </w:r>
          </w:p>
        </w:tc>
        <w:tc>
          <w:tcPr>
            <w:tcW w:w="1418" w:type="dxa"/>
            <w:tcBorders>
              <w:top w:val="nil"/>
              <w:left w:val="nil"/>
              <w:bottom w:val="single" w:color="auto" w:sz="4" w:space="0"/>
              <w:right w:val="single" w:color="auto" w:sz="4" w:space="0"/>
            </w:tcBorders>
          </w:tcPr>
          <w:p w14:paraId="440E59D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C03D4C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队列训练监管-训练审核</w:t>
            </w:r>
          </w:p>
        </w:tc>
        <w:tc>
          <w:tcPr>
            <w:tcW w:w="4820" w:type="dxa"/>
            <w:tcBorders>
              <w:top w:val="nil"/>
              <w:left w:val="nil"/>
              <w:bottom w:val="single" w:color="auto" w:sz="4" w:space="0"/>
              <w:right w:val="single" w:color="auto" w:sz="4" w:space="0"/>
            </w:tcBorders>
            <w:vAlign w:val="center"/>
          </w:tcPr>
          <w:p w14:paraId="2C2942C1">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新增“抽查结果不达标补充说明”功能，支持对标记为“不达标”的训练数据进行详细补充说明。</w:t>
            </w:r>
          </w:p>
        </w:tc>
      </w:tr>
      <w:tr w14:paraId="2FCA0CDF">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11F8676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20</w:t>
            </w:r>
          </w:p>
        </w:tc>
        <w:tc>
          <w:tcPr>
            <w:tcW w:w="1418" w:type="dxa"/>
            <w:tcBorders>
              <w:top w:val="nil"/>
              <w:left w:val="nil"/>
              <w:bottom w:val="single" w:color="auto" w:sz="4" w:space="0"/>
              <w:right w:val="single" w:color="auto" w:sz="4" w:space="0"/>
            </w:tcBorders>
          </w:tcPr>
          <w:p w14:paraId="69EE286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F857DB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实践教学基地-实践教学基地创建</w:t>
            </w:r>
          </w:p>
        </w:tc>
        <w:tc>
          <w:tcPr>
            <w:tcW w:w="4820" w:type="dxa"/>
            <w:tcBorders>
              <w:top w:val="nil"/>
              <w:left w:val="nil"/>
              <w:bottom w:val="single" w:color="auto" w:sz="4" w:space="0"/>
              <w:right w:val="single" w:color="auto" w:sz="4" w:space="0"/>
            </w:tcBorders>
            <w:vAlign w:val="center"/>
          </w:tcPr>
          <w:p w14:paraId="5A1BCBB9">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各区可通过系统进入“实践教学基地申报”模块，点击“新增申报”发起申请申报自己的实践教学基地。</w:t>
            </w:r>
          </w:p>
        </w:tc>
      </w:tr>
      <w:tr w14:paraId="6B63884E">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F3D8E1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21</w:t>
            </w:r>
          </w:p>
        </w:tc>
        <w:tc>
          <w:tcPr>
            <w:tcW w:w="1418" w:type="dxa"/>
            <w:tcBorders>
              <w:top w:val="nil"/>
              <w:left w:val="nil"/>
              <w:bottom w:val="single" w:color="auto" w:sz="4" w:space="0"/>
              <w:right w:val="single" w:color="auto" w:sz="4" w:space="0"/>
            </w:tcBorders>
          </w:tcPr>
          <w:p w14:paraId="3E89AFC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CD316F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实践教学基地-教学基地师资管理</w:t>
            </w:r>
          </w:p>
        </w:tc>
        <w:tc>
          <w:tcPr>
            <w:tcW w:w="4820" w:type="dxa"/>
            <w:tcBorders>
              <w:top w:val="nil"/>
              <w:left w:val="nil"/>
              <w:bottom w:val="single" w:color="auto" w:sz="4" w:space="0"/>
              <w:right w:val="single" w:color="auto" w:sz="4" w:space="0"/>
            </w:tcBorders>
            <w:vAlign w:val="center"/>
          </w:tcPr>
          <w:p w14:paraId="03EA6AC9">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各中队按照市局制定的教员标准，在线申报本队实践教员人选，提交相关信息和材料，审核通过后进入安排试听环节。</w:t>
            </w:r>
          </w:p>
        </w:tc>
      </w:tr>
      <w:tr w14:paraId="018A09EE">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23C336A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22</w:t>
            </w:r>
          </w:p>
        </w:tc>
        <w:tc>
          <w:tcPr>
            <w:tcW w:w="1418" w:type="dxa"/>
            <w:tcBorders>
              <w:top w:val="nil"/>
              <w:left w:val="nil"/>
              <w:bottom w:val="single" w:color="auto" w:sz="4" w:space="0"/>
              <w:right w:val="single" w:color="auto" w:sz="4" w:space="0"/>
            </w:tcBorders>
          </w:tcPr>
          <w:p w14:paraId="366E840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81A485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实践教学基地-实践课程管理</w:t>
            </w:r>
          </w:p>
        </w:tc>
        <w:tc>
          <w:tcPr>
            <w:tcW w:w="4820" w:type="dxa"/>
            <w:tcBorders>
              <w:top w:val="nil"/>
              <w:left w:val="nil"/>
              <w:bottom w:val="single" w:color="auto" w:sz="4" w:space="0"/>
              <w:right w:val="single" w:color="auto" w:sz="4" w:space="0"/>
            </w:tcBorders>
            <w:vAlign w:val="center"/>
          </w:tcPr>
          <w:p w14:paraId="594ED46A">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新增“区局上报实践课程、市局审核”功能模块。</w:t>
            </w:r>
          </w:p>
        </w:tc>
      </w:tr>
      <w:tr w14:paraId="4F977D54">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7B21B8E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23</w:t>
            </w:r>
          </w:p>
        </w:tc>
        <w:tc>
          <w:tcPr>
            <w:tcW w:w="1418" w:type="dxa"/>
            <w:tcBorders>
              <w:top w:val="nil"/>
              <w:left w:val="nil"/>
              <w:bottom w:val="single" w:color="auto" w:sz="4" w:space="0"/>
              <w:right w:val="single" w:color="auto" w:sz="4" w:space="0"/>
            </w:tcBorders>
          </w:tcPr>
          <w:p w14:paraId="468EDBB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7021DE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移动端-实训移动端</w:t>
            </w:r>
          </w:p>
        </w:tc>
        <w:tc>
          <w:tcPr>
            <w:tcW w:w="4820" w:type="dxa"/>
            <w:tcBorders>
              <w:top w:val="nil"/>
              <w:left w:val="nil"/>
              <w:bottom w:val="single" w:color="auto" w:sz="4" w:space="0"/>
              <w:right w:val="single" w:color="auto" w:sz="4" w:space="0"/>
            </w:tcBorders>
            <w:vAlign w:val="center"/>
          </w:tcPr>
          <w:p w14:paraId="54931DF4">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学员可在手机端查看课程安排。</w:t>
            </w:r>
          </w:p>
        </w:tc>
      </w:tr>
      <w:tr w14:paraId="5284DE44">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2516CA2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24</w:t>
            </w:r>
          </w:p>
        </w:tc>
        <w:tc>
          <w:tcPr>
            <w:tcW w:w="1418" w:type="dxa"/>
            <w:tcBorders>
              <w:top w:val="nil"/>
              <w:left w:val="nil"/>
              <w:bottom w:val="single" w:color="auto" w:sz="4" w:space="0"/>
              <w:right w:val="single" w:color="auto" w:sz="4" w:space="0"/>
            </w:tcBorders>
          </w:tcPr>
          <w:p w14:paraId="500BCCC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21D7AB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移动端-师资选聘打分</w:t>
            </w:r>
          </w:p>
        </w:tc>
        <w:tc>
          <w:tcPr>
            <w:tcW w:w="4820" w:type="dxa"/>
            <w:tcBorders>
              <w:top w:val="nil"/>
              <w:left w:val="nil"/>
              <w:bottom w:val="single" w:color="auto" w:sz="4" w:space="0"/>
              <w:right w:val="single" w:color="auto" w:sz="4" w:space="0"/>
            </w:tcBorders>
            <w:vAlign w:val="center"/>
          </w:tcPr>
          <w:p w14:paraId="4AEDFF8D">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打分人可通过移动端观看试讲视频，视频下方直接显示评分表单。</w:t>
            </w:r>
          </w:p>
        </w:tc>
      </w:tr>
      <w:tr w14:paraId="03FF7166">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2F4736E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25</w:t>
            </w:r>
          </w:p>
        </w:tc>
        <w:tc>
          <w:tcPr>
            <w:tcW w:w="1418" w:type="dxa"/>
            <w:tcBorders>
              <w:top w:val="nil"/>
              <w:left w:val="nil"/>
              <w:bottom w:val="single" w:color="auto" w:sz="4" w:space="0"/>
              <w:right w:val="single" w:color="auto" w:sz="4" w:space="0"/>
            </w:tcBorders>
          </w:tcPr>
          <w:p w14:paraId="676CE59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966B54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移动端-课程试听打分</w:t>
            </w:r>
          </w:p>
        </w:tc>
        <w:tc>
          <w:tcPr>
            <w:tcW w:w="4820" w:type="dxa"/>
            <w:tcBorders>
              <w:top w:val="nil"/>
              <w:left w:val="nil"/>
              <w:bottom w:val="single" w:color="auto" w:sz="4" w:space="0"/>
              <w:right w:val="single" w:color="auto" w:sz="4" w:space="0"/>
            </w:tcBorders>
            <w:vAlign w:val="center"/>
          </w:tcPr>
          <w:p w14:paraId="0AA2A705">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通过手机端对已课程和实训课程进行打分评价。</w:t>
            </w:r>
          </w:p>
        </w:tc>
      </w:tr>
      <w:tr w14:paraId="11320505">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247689E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26</w:t>
            </w:r>
          </w:p>
        </w:tc>
        <w:tc>
          <w:tcPr>
            <w:tcW w:w="1418" w:type="dxa"/>
            <w:tcBorders>
              <w:top w:val="nil"/>
              <w:left w:val="nil"/>
              <w:bottom w:val="single" w:color="auto" w:sz="4" w:space="0"/>
              <w:right w:val="single" w:color="auto" w:sz="4" w:space="0"/>
            </w:tcBorders>
          </w:tcPr>
          <w:p w14:paraId="721DF42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138990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移动端-培训请假移动端</w:t>
            </w:r>
          </w:p>
        </w:tc>
        <w:tc>
          <w:tcPr>
            <w:tcW w:w="4820" w:type="dxa"/>
            <w:tcBorders>
              <w:top w:val="nil"/>
              <w:left w:val="nil"/>
              <w:bottom w:val="single" w:color="auto" w:sz="4" w:space="0"/>
              <w:right w:val="single" w:color="auto" w:sz="4" w:space="0"/>
            </w:tcBorders>
            <w:vAlign w:val="center"/>
          </w:tcPr>
          <w:p w14:paraId="2F0EDC3E">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将培训请假接入随申办政务云，参训人员可以通过随申办政务云进行请假操作。</w:t>
            </w:r>
          </w:p>
        </w:tc>
      </w:tr>
      <w:tr w14:paraId="0E628CEF">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6F45795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27</w:t>
            </w:r>
          </w:p>
        </w:tc>
        <w:tc>
          <w:tcPr>
            <w:tcW w:w="1418" w:type="dxa"/>
            <w:tcBorders>
              <w:top w:val="nil"/>
              <w:left w:val="nil"/>
              <w:bottom w:val="single" w:color="auto" w:sz="4" w:space="0"/>
              <w:right w:val="single" w:color="auto" w:sz="4" w:space="0"/>
            </w:tcBorders>
          </w:tcPr>
          <w:p w14:paraId="517BA1F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AC0149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移动端-培训审核移动端</w:t>
            </w:r>
          </w:p>
        </w:tc>
        <w:tc>
          <w:tcPr>
            <w:tcW w:w="4820" w:type="dxa"/>
            <w:tcBorders>
              <w:top w:val="nil"/>
              <w:left w:val="nil"/>
              <w:bottom w:val="single" w:color="auto" w:sz="4" w:space="0"/>
              <w:right w:val="single" w:color="auto" w:sz="4" w:space="0"/>
            </w:tcBorders>
            <w:vAlign w:val="center"/>
          </w:tcPr>
          <w:p w14:paraId="5906C52B">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实现移动端功能，接入随申办政务云，管理员可在移动端发起或审核人员调整。</w:t>
            </w:r>
          </w:p>
        </w:tc>
      </w:tr>
      <w:tr w14:paraId="308CECD6">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5463831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28</w:t>
            </w:r>
          </w:p>
        </w:tc>
        <w:tc>
          <w:tcPr>
            <w:tcW w:w="1418" w:type="dxa"/>
            <w:tcBorders>
              <w:top w:val="nil"/>
              <w:left w:val="nil"/>
              <w:bottom w:val="single" w:color="auto" w:sz="4" w:space="0"/>
              <w:right w:val="single" w:color="auto" w:sz="4" w:space="0"/>
            </w:tcBorders>
          </w:tcPr>
          <w:p w14:paraId="41B335B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E39770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移动端-在线监考</w:t>
            </w:r>
          </w:p>
        </w:tc>
        <w:tc>
          <w:tcPr>
            <w:tcW w:w="4820" w:type="dxa"/>
            <w:tcBorders>
              <w:top w:val="nil"/>
              <w:left w:val="nil"/>
              <w:bottom w:val="single" w:color="auto" w:sz="4" w:space="0"/>
              <w:right w:val="single" w:color="auto" w:sz="4" w:space="0"/>
            </w:tcBorders>
            <w:vAlign w:val="center"/>
          </w:tcPr>
          <w:p w14:paraId="2CCA4C34">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领导可通过手机端，接入考场监控查看考场现场情况，并对考场提出批示意见。</w:t>
            </w:r>
          </w:p>
        </w:tc>
      </w:tr>
      <w:tr w14:paraId="68878C77">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2A615B1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29</w:t>
            </w:r>
          </w:p>
        </w:tc>
        <w:tc>
          <w:tcPr>
            <w:tcW w:w="1418" w:type="dxa"/>
            <w:tcBorders>
              <w:top w:val="nil"/>
              <w:left w:val="nil"/>
              <w:bottom w:val="single" w:color="auto" w:sz="4" w:space="0"/>
              <w:right w:val="single" w:color="auto" w:sz="4" w:space="0"/>
            </w:tcBorders>
          </w:tcPr>
          <w:p w14:paraId="4B6357F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5FF4073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移动端-队列会操</w:t>
            </w:r>
          </w:p>
        </w:tc>
        <w:tc>
          <w:tcPr>
            <w:tcW w:w="4820" w:type="dxa"/>
            <w:tcBorders>
              <w:top w:val="nil"/>
              <w:left w:val="nil"/>
              <w:bottom w:val="single" w:color="auto" w:sz="4" w:space="0"/>
              <w:right w:val="single" w:color="auto" w:sz="4" w:space="0"/>
            </w:tcBorders>
            <w:vAlign w:val="center"/>
          </w:tcPr>
          <w:p w14:paraId="084EAD73">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外部裁判管理功能接入移动端。</w:t>
            </w:r>
          </w:p>
        </w:tc>
      </w:tr>
      <w:tr w14:paraId="3A2E150D">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90BABD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30</w:t>
            </w:r>
          </w:p>
        </w:tc>
        <w:tc>
          <w:tcPr>
            <w:tcW w:w="1418" w:type="dxa"/>
            <w:tcBorders>
              <w:top w:val="nil"/>
              <w:left w:val="nil"/>
              <w:bottom w:val="single" w:color="auto" w:sz="4" w:space="0"/>
              <w:right w:val="single" w:color="auto" w:sz="4" w:space="0"/>
            </w:tcBorders>
          </w:tcPr>
          <w:p w14:paraId="48FC299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244570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移动端-移动端交流答疑</w:t>
            </w:r>
          </w:p>
        </w:tc>
        <w:tc>
          <w:tcPr>
            <w:tcW w:w="4820" w:type="dxa"/>
            <w:tcBorders>
              <w:top w:val="nil"/>
              <w:left w:val="nil"/>
              <w:bottom w:val="single" w:color="auto" w:sz="4" w:space="0"/>
              <w:right w:val="single" w:color="auto" w:sz="4" w:space="0"/>
            </w:tcBorders>
            <w:vAlign w:val="center"/>
          </w:tcPr>
          <w:p w14:paraId="3BBD7765">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向老师和培训班学员提供留言及反馈的功能，对外部老师提供独立入口，使用临时账号进入答疑，并对老师和管理人员提供与PC端相同的答疑模块管理功能。</w:t>
            </w:r>
          </w:p>
        </w:tc>
      </w:tr>
      <w:tr w14:paraId="7EC6A3E9">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602679C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31</w:t>
            </w:r>
          </w:p>
        </w:tc>
        <w:tc>
          <w:tcPr>
            <w:tcW w:w="1418" w:type="dxa"/>
            <w:tcBorders>
              <w:top w:val="nil"/>
              <w:left w:val="nil"/>
              <w:bottom w:val="single" w:color="auto" w:sz="4" w:space="0"/>
              <w:right w:val="single" w:color="auto" w:sz="4" w:space="0"/>
            </w:tcBorders>
          </w:tcPr>
          <w:p w14:paraId="4389184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60E1C37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移动端-整卷答题</w:t>
            </w:r>
          </w:p>
        </w:tc>
        <w:tc>
          <w:tcPr>
            <w:tcW w:w="4820" w:type="dxa"/>
            <w:tcBorders>
              <w:top w:val="nil"/>
              <w:left w:val="nil"/>
              <w:bottom w:val="single" w:color="auto" w:sz="4" w:space="0"/>
              <w:right w:val="single" w:color="auto" w:sz="4" w:space="0"/>
            </w:tcBorders>
            <w:vAlign w:val="center"/>
          </w:tcPr>
          <w:p w14:paraId="44BB18E1">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移动端考试模块中新增“整卷答题模式”。</w:t>
            </w:r>
          </w:p>
        </w:tc>
      </w:tr>
      <w:tr w14:paraId="0FE242F5">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7103AE1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32</w:t>
            </w:r>
          </w:p>
        </w:tc>
        <w:tc>
          <w:tcPr>
            <w:tcW w:w="1418" w:type="dxa"/>
            <w:tcBorders>
              <w:top w:val="nil"/>
              <w:left w:val="nil"/>
              <w:bottom w:val="single" w:color="auto" w:sz="4" w:space="0"/>
              <w:right w:val="single" w:color="auto" w:sz="4" w:space="0"/>
            </w:tcBorders>
          </w:tcPr>
          <w:p w14:paraId="01CF387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1680A1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实训实战-实训项目管理</w:t>
            </w:r>
          </w:p>
        </w:tc>
        <w:tc>
          <w:tcPr>
            <w:tcW w:w="4820" w:type="dxa"/>
            <w:tcBorders>
              <w:top w:val="nil"/>
              <w:left w:val="nil"/>
              <w:bottom w:val="single" w:color="auto" w:sz="4" w:space="0"/>
              <w:right w:val="single" w:color="auto" w:sz="4" w:space="0"/>
            </w:tcBorders>
            <w:vAlign w:val="center"/>
          </w:tcPr>
          <w:p w14:paraId="3C017290">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市局管理员可在“实训管理”模块中创建新项目</w:t>
            </w:r>
          </w:p>
        </w:tc>
      </w:tr>
      <w:tr w14:paraId="79A94C46">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5F73BCF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33</w:t>
            </w:r>
          </w:p>
        </w:tc>
        <w:tc>
          <w:tcPr>
            <w:tcW w:w="1418" w:type="dxa"/>
            <w:tcBorders>
              <w:top w:val="nil"/>
              <w:left w:val="nil"/>
              <w:bottom w:val="single" w:color="auto" w:sz="4" w:space="0"/>
              <w:right w:val="single" w:color="auto" w:sz="4" w:space="0"/>
            </w:tcBorders>
          </w:tcPr>
          <w:p w14:paraId="144B506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2535200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实训实战-实训计划管理</w:t>
            </w:r>
          </w:p>
        </w:tc>
        <w:tc>
          <w:tcPr>
            <w:tcW w:w="4820" w:type="dxa"/>
            <w:tcBorders>
              <w:top w:val="nil"/>
              <w:left w:val="nil"/>
              <w:bottom w:val="single" w:color="auto" w:sz="4" w:space="0"/>
              <w:right w:val="single" w:color="auto" w:sz="4" w:space="0"/>
            </w:tcBorders>
            <w:vAlign w:val="center"/>
          </w:tcPr>
          <w:p w14:paraId="22B9F2BF">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区局收到市局实训计划之后，区局需完善计划信息，提交市局审核。</w:t>
            </w:r>
          </w:p>
        </w:tc>
      </w:tr>
      <w:tr w14:paraId="4253A625">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2DAF3B5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34</w:t>
            </w:r>
          </w:p>
        </w:tc>
        <w:tc>
          <w:tcPr>
            <w:tcW w:w="1418" w:type="dxa"/>
            <w:tcBorders>
              <w:top w:val="nil"/>
              <w:left w:val="nil"/>
              <w:bottom w:val="single" w:color="auto" w:sz="4" w:space="0"/>
              <w:right w:val="single" w:color="auto" w:sz="4" w:space="0"/>
            </w:tcBorders>
          </w:tcPr>
          <w:p w14:paraId="30BF1D7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7E106C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实训实战-实训执行</w:t>
            </w:r>
          </w:p>
        </w:tc>
        <w:tc>
          <w:tcPr>
            <w:tcW w:w="4820" w:type="dxa"/>
            <w:tcBorders>
              <w:top w:val="nil"/>
              <w:left w:val="nil"/>
              <w:bottom w:val="single" w:color="auto" w:sz="4" w:space="0"/>
              <w:right w:val="single" w:color="auto" w:sz="4" w:space="0"/>
            </w:tcBorders>
            <w:vAlign w:val="center"/>
          </w:tcPr>
          <w:p w14:paraId="2261F794">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执行阶段，区局可在系统中导入或分配实训学员，建立本区实训学员名单，设置学员所属班组、实训时间段；</w:t>
            </w:r>
          </w:p>
        </w:tc>
      </w:tr>
      <w:tr w14:paraId="34BCCB27">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A8979B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35</w:t>
            </w:r>
          </w:p>
        </w:tc>
        <w:tc>
          <w:tcPr>
            <w:tcW w:w="1418" w:type="dxa"/>
            <w:tcBorders>
              <w:top w:val="nil"/>
              <w:left w:val="nil"/>
              <w:bottom w:val="single" w:color="auto" w:sz="4" w:space="0"/>
              <w:right w:val="single" w:color="auto" w:sz="4" w:space="0"/>
            </w:tcBorders>
          </w:tcPr>
          <w:p w14:paraId="576308E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C78F9D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实训实战-实训评价标准管理</w:t>
            </w:r>
          </w:p>
        </w:tc>
        <w:tc>
          <w:tcPr>
            <w:tcW w:w="4820" w:type="dxa"/>
            <w:tcBorders>
              <w:top w:val="nil"/>
              <w:left w:val="nil"/>
              <w:bottom w:val="single" w:color="auto" w:sz="4" w:space="0"/>
              <w:right w:val="single" w:color="auto" w:sz="4" w:space="0"/>
            </w:tcBorders>
            <w:vAlign w:val="center"/>
          </w:tcPr>
          <w:p w14:paraId="7A104CDD">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新增“区局自定义评价细则”功能模块。</w:t>
            </w:r>
          </w:p>
        </w:tc>
      </w:tr>
      <w:tr w14:paraId="7B281775">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6E5BFEB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36</w:t>
            </w:r>
          </w:p>
        </w:tc>
        <w:tc>
          <w:tcPr>
            <w:tcW w:w="1418" w:type="dxa"/>
            <w:tcBorders>
              <w:top w:val="nil"/>
              <w:left w:val="nil"/>
              <w:bottom w:val="single" w:color="auto" w:sz="4" w:space="0"/>
              <w:right w:val="single" w:color="auto" w:sz="4" w:space="0"/>
            </w:tcBorders>
          </w:tcPr>
          <w:p w14:paraId="46CB9E6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78A5DF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实训实战-实训课程安排</w:t>
            </w:r>
          </w:p>
        </w:tc>
        <w:tc>
          <w:tcPr>
            <w:tcW w:w="4820" w:type="dxa"/>
            <w:tcBorders>
              <w:top w:val="nil"/>
              <w:left w:val="nil"/>
              <w:bottom w:val="single" w:color="auto" w:sz="4" w:space="0"/>
              <w:right w:val="single" w:color="auto" w:sz="4" w:space="0"/>
            </w:tcBorders>
            <w:vAlign w:val="center"/>
          </w:tcPr>
          <w:p w14:paraId="7D07ED8A">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区局可以选择将师资课程填报下放给中队填报。</w:t>
            </w:r>
          </w:p>
        </w:tc>
      </w:tr>
      <w:tr w14:paraId="78999AAB">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69D29C6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37</w:t>
            </w:r>
          </w:p>
        </w:tc>
        <w:tc>
          <w:tcPr>
            <w:tcW w:w="1418" w:type="dxa"/>
            <w:tcBorders>
              <w:top w:val="nil"/>
              <w:left w:val="nil"/>
              <w:bottom w:val="single" w:color="auto" w:sz="4" w:space="0"/>
              <w:right w:val="single" w:color="auto" w:sz="4" w:space="0"/>
            </w:tcBorders>
          </w:tcPr>
          <w:p w14:paraId="7B39D45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BF4B48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实训实战-实训日常考核</w:t>
            </w:r>
          </w:p>
        </w:tc>
        <w:tc>
          <w:tcPr>
            <w:tcW w:w="4820" w:type="dxa"/>
            <w:tcBorders>
              <w:top w:val="nil"/>
              <w:left w:val="nil"/>
              <w:bottom w:val="single" w:color="auto" w:sz="4" w:space="0"/>
              <w:right w:val="single" w:color="auto" w:sz="4" w:space="0"/>
            </w:tcBorders>
            <w:vAlign w:val="center"/>
          </w:tcPr>
          <w:p w14:paraId="6B2E0818">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所有的实训项目都完成后，中队管理员为每位学员填写日常表现情况。</w:t>
            </w:r>
          </w:p>
        </w:tc>
      </w:tr>
      <w:tr w14:paraId="0946BA73">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63D7E16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38</w:t>
            </w:r>
          </w:p>
        </w:tc>
        <w:tc>
          <w:tcPr>
            <w:tcW w:w="1418" w:type="dxa"/>
            <w:tcBorders>
              <w:top w:val="nil"/>
              <w:left w:val="nil"/>
              <w:bottom w:val="single" w:color="auto" w:sz="4" w:space="0"/>
              <w:right w:val="single" w:color="auto" w:sz="4" w:space="0"/>
            </w:tcBorders>
          </w:tcPr>
          <w:p w14:paraId="05FB0DF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01D9B4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实训实战-实战现场检查（勘验）记录自动评分</w:t>
            </w:r>
          </w:p>
        </w:tc>
        <w:tc>
          <w:tcPr>
            <w:tcW w:w="4820" w:type="dxa"/>
            <w:tcBorders>
              <w:top w:val="nil"/>
              <w:left w:val="nil"/>
              <w:bottom w:val="single" w:color="auto" w:sz="4" w:space="0"/>
              <w:right w:val="single" w:color="auto" w:sz="4" w:space="0"/>
            </w:tcBorders>
            <w:vAlign w:val="center"/>
          </w:tcPr>
          <w:p w14:paraId="3CE96BD3">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根据执法文书要求设置评分项，包括是否注明实施检查的具体地址等，并根据设置的分值自动评分。</w:t>
            </w:r>
          </w:p>
        </w:tc>
      </w:tr>
      <w:tr w14:paraId="2B30AD8B">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752CC2C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39</w:t>
            </w:r>
          </w:p>
        </w:tc>
        <w:tc>
          <w:tcPr>
            <w:tcW w:w="1418" w:type="dxa"/>
            <w:tcBorders>
              <w:top w:val="nil"/>
              <w:left w:val="nil"/>
              <w:bottom w:val="single" w:color="auto" w:sz="4" w:space="0"/>
              <w:right w:val="single" w:color="auto" w:sz="4" w:space="0"/>
            </w:tcBorders>
          </w:tcPr>
          <w:p w14:paraId="1D9C62A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1FF2026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实训实战-实战证据照片（图片）及说明自动评分</w:t>
            </w:r>
          </w:p>
        </w:tc>
        <w:tc>
          <w:tcPr>
            <w:tcW w:w="4820" w:type="dxa"/>
            <w:tcBorders>
              <w:top w:val="nil"/>
              <w:left w:val="nil"/>
              <w:bottom w:val="single" w:color="auto" w:sz="4" w:space="0"/>
              <w:right w:val="single" w:color="auto" w:sz="4" w:space="0"/>
            </w:tcBorders>
            <w:vAlign w:val="center"/>
          </w:tcPr>
          <w:p w14:paraId="3C34CACC">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根据执法文书要求设置评分项，包括是否写明收集时间，收集地点，收集方式等，并根据设置的分值自动评分。</w:t>
            </w:r>
          </w:p>
        </w:tc>
      </w:tr>
      <w:tr w14:paraId="6ABD148B">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3DAA4BDD">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40</w:t>
            </w:r>
          </w:p>
        </w:tc>
        <w:tc>
          <w:tcPr>
            <w:tcW w:w="1418" w:type="dxa"/>
            <w:tcBorders>
              <w:top w:val="nil"/>
              <w:left w:val="nil"/>
              <w:bottom w:val="single" w:color="auto" w:sz="4" w:space="0"/>
              <w:right w:val="single" w:color="auto" w:sz="4" w:space="0"/>
            </w:tcBorders>
          </w:tcPr>
          <w:p w14:paraId="1AC3354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77DD6F1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实训实战-实战立案审批表制作自动评分</w:t>
            </w:r>
          </w:p>
        </w:tc>
        <w:tc>
          <w:tcPr>
            <w:tcW w:w="4820" w:type="dxa"/>
            <w:tcBorders>
              <w:top w:val="nil"/>
              <w:left w:val="nil"/>
              <w:bottom w:val="single" w:color="auto" w:sz="4" w:space="0"/>
              <w:right w:val="single" w:color="auto" w:sz="4" w:space="0"/>
            </w:tcBorders>
            <w:vAlign w:val="center"/>
          </w:tcPr>
          <w:p w14:paraId="6DA76D55">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根据执法文书要求设置评分项，包括案由格式是否正确，是否缺少违法行为发现时间等，并根据设置的分值自动评分。</w:t>
            </w:r>
          </w:p>
        </w:tc>
      </w:tr>
      <w:tr w14:paraId="2999FB62">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7322E3C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41</w:t>
            </w:r>
          </w:p>
        </w:tc>
        <w:tc>
          <w:tcPr>
            <w:tcW w:w="1418" w:type="dxa"/>
            <w:tcBorders>
              <w:top w:val="nil"/>
              <w:left w:val="nil"/>
              <w:bottom w:val="single" w:color="auto" w:sz="4" w:space="0"/>
              <w:right w:val="single" w:color="auto" w:sz="4" w:space="0"/>
            </w:tcBorders>
          </w:tcPr>
          <w:p w14:paraId="4FABD21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695EF10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实训实战-实战调查（询问）笔录自动评分</w:t>
            </w:r>
          </w:p>
        </w:tc>
        <w:tc>
          <w:tcPr>
            <w:tcW w:w="4820" w:type="dxa"/>
            <w:tcBorders>
              <w:top w:val="nil"/>
              <w:left w:val="nil"/>
              <w:bottom w:val="single" w:color="auto" w:sz="4" w:space="0"/>
              <w:right w:val="single" w:color="auto" w:sz="4" w:space="0"/>
            </w:tcBorders>
            <w:vAlign w:val="center"/>
          </w:tcPr>
          <w:p w14:paraId="39544B58">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根据执法文书要求设置评分项，包括是否写明调查询问的起止时间（具体到分钟），多次询问是否注明询问次数等，并根据设置的分值自动评分。</w:t>
            </w:r>
          </w:p>
        </w:tc>
      </w:tr>
      <w:tr w14:paraId="5C7AF05F">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2E54FA0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42</w:t>
            </w:r>
          </w:p>
        </w:tc>
        <w:tc>
          <w:tcPr>
            <w:tcW w:w="1418" w:type="dxa"/>
            <w:tcBorders>
              <w:top w:val="nil"/>
              <w:left w:val="nil"/>
              <w:bottom w:val="single" w:color="auto" w:sz="4" w:space="0"/>
              <w:right w:val="single" w:color="auto" w:sz="4" w:space="0"/>
            </w:tcBorders>
          </w:tcPr>
          <w:p w14:paraId="5D29D70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E68070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实训实战-实战案件调查终结审批表制作自动评分</w:t>
            </w:r>
          </w:p>
        </w:tc>
        <w:tc>
          <w:tcPr>
            <w:tcW w:w="4820" w:type="dxa"/>
            <w:tcBorders>
              <w:top w:val="nil"/>
              <w:left w:val="nil"/>
              <w:bottom w:val="single" w:color="auto" w:sz="4" w:space="0"/>
              <w:right w:val="single" w:color="auto" w:sz="4" w:space="0"/>
            </w:tcBorders>
            <w:vAlign w:val="center"/>
          </w:tcPr>
          <w:p w14:paraId="216C2320">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根据执法文书要求设置评分项，包括是否正确填写案由，是否写明当事人信息等，并根据设置的分值自动评分。</w:t>
            </w:r>
          </w:p>
        </w:tc>
      </w:tr>
      <w:tr w14:paraId="7B9D45C9">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6454740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43</w:t>
            </w:r>
          </w:p>
        </w:tc>
        <w:tc>
          <w:tcPr>
            <w:tcW w:w="1418" w:type="dxa"/>
            <w:tcBorders>
              <w:top w:val="nil"/>
              <w:left w:val="nil"/>
              <w:bottom w:val="single" w:color="auto" w:sz="4" w:space="0"/>
              <w:right w:val="single" w:color="auto" w:sz="4" w:space="0"/>
            </w:tcBorders>
          </w:tcPr>
          <w:p w14:paraId="76C8B0B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1A70488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实训实战-实战告知书制作自动评分</w:t>
            </w:r>
          </w:p>
        </w:tc>
        <w:tc>
          <w:tcPr>
            <w:tcW w:w="4820" w:type="dxa"/>
            <w:tcBorders>
              <w:top w:val="nil"/>
              <w:left w:val="nil"/>
              <w:bottom w:val="single" w:color="auto" w:sz="4" w:space="0"/>
              <w:right w:val="single" w:color="auto" w:sz="4" w:space="0"/>
            </w:tcBorders>
            <w:vAlign w:val="center"/>
          </w:tcPr>
          <w:p w14:paraId="551B08DB">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根据执法文书要求设置评分项，包括是否写明当事人全称，是否写明违法事实等，并根据设置的分值自动评分。</w:t>
            </w:r>
          </w:p>
        </w:tc>
      </w:tr>
      <w:tr w14:paraId="7A917630">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4836F45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44</w:t>
            </w:r>
          </w:p>
        </w:tc>
        <w:tc>
          <w:tcPr>
            <w:tcW w:w="1418" w:type="dxa"/>
            <w:tcBorders>
              <w:top w:val="nil"/>
              <w:left w:val="nil"/>
              <w:bottom w:val="single" w:color="auto" w:sz="4" w:space="0"/>
              <w:right w:val="single" w:color="auto" w:sz="4" w:space="0"/>
            </w:tcBorders>
          </w:tcPr>
          <w:p w14:paraId="5C33E65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5F1A2CC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实训实战-实战行政处罚决定书制作自动评分</w:t>
            </w:r>
          </w:p>
        </w:tc>
        <w:tc>
          <w:tcPr>
            <w:tcW w:w="4820" w:type="dxa"/>
            <w:tcBorders>
              <w:top w:val="nil"/>
              <w:left w:val="nil"/>
              <w:bottom w:val="single" w:color="auto" w:sz="4" w:space="0"/>
              <w:right w:val="single" w:color="auto" w:sz="4" w:space="0"/>
            </w:tcBorders>
            <w:vAlign w:val="center"/>
          </w:tcPr>
          <w:p w14:paraId="6B5276E0">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根据执法文书要求设置评分项，包括是否写明机构代码，是否写明决定书编号等，并根据设置的分值自动评分。</w:t>
            </w:r>
          </w:p>
        </w:tc>
      </w:tr>
      <w:tr w14:paraId="54D73162">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4A8D545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45</w:t>
            </w:r>
          </w:p>
        </w:tc>
        <w:tc>
          <w:tcPr>
            <w:tcW w:w="1418" w:type="dxa"/>
            <w:tcBorders>
              <w:top w:val="nil"/>
              <w:left w:val="nil"/>
              <w:bottom w:val="single" w:color="auto" w:sz="4" w:space="0"/>
              <w:right w:val="single" w:color="auto" w:sz="4" w:space="0"/>
            </w:tcBorders>
          </w:tcPr>
          <w:p w14:paraId="08BCEBD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6A6AE042">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实训实战-实战送达回证制作自动评分</w:t>
            </w:r>
          </w:p>
        </w:tc>
        <w:tc>
          <w:tcPr>
            <w:tcW w:w="4820" w:type="dxa"/>
            <w:tcBorders>
              <w:top w:val="nil"/>
              <w:left w:val="nil"/>
              <w:bottom w:val="single" w:color="auto" w:sz="4" w:space="0"/>
              <w:right w:val="single" w:color="auto" w:sz="4" w:space="0"/>
            </w:tcBorders>
            <w:vAlign w:val="center"/>
          </w:tcPr>
          <w:p w14:paraId="1E646262">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根据执法文书要求设置评分项，包括是否写明送达文书名称和编号，是否写明受送达人等，并根据设置的分值自动评分。</w:t>
            </w:r>
          </w:p>
        </w:tc>
      </w:tr>
      <w:tr w14:paraId="067DDFDE">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05AE1ED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46</w:t>
            </w:r>
          </w:p>
        </w:tc>
        <w:tc>
          <w:tcPr>
            <w:tcW w:w="1418" w:type="dxa"/>
            <w:tcBorders>
              <w:top w:val="nil"/>
              <w:left w:val="nil"/>
              <w:bottom w:val="single" w:color="auto" w:sz="4" w:space="0"/>
              <w:right w:val="single" w:color="auto" w:sz="4" w:space="0"/>
            </w:tcBorders>
          </w:tcPr>
          <w:p w14:paraId="71BBD94A">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B0BF7A5">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实训实战-实战结案审批表制作自动评分</w:t>
            </w:r>
          </w:p>
        </w:tc>
        <w:tc>
          <w:tcPr>
            <w:tcW w:w="4820" w:type="dxa"/>
            <w:tcBorders>
              <w:top w:val="nil"/>
              <w:left w:val="nil"/>
              <w:bottom w:val="single" w:color="auto" w:sz="4" w:space="0"/>
              <w:right w:val="single" w:color="auto" w:sz="4" w:space="0"/>
            </w:tcBorders>
            <w:vAlign w:val="center"/>
          </w:tcPr>
          <w:p w14:paraId="1FBCBBE5">
            <w:pPr>
              <w:widowControl/>
              <w:spacing w:line="240" w:lineRule="auto"/>
              <w:ind w:firstLine="0" w:firstLineChars="0"/>
              <w:jc w:val="left"/>
              <w:rPr>
                <w:rFonts w:cs="宋体"/>
                <w:color w:val="000000"/>
                <w:kern w:val="0"/>
                <w:sz w:val="18"/>
                <w:szCs w:val="18"/>
              </w:rPr>
            </w:pPr>
            <w:r>
              <w:rPr>
                <w:rFonts w:hint="eastAsia"/>
                <w:color w:val="000000"/>
                <w:sz w:val="18"/>
                <w:szCs w:val="18"/>
              </w:rPr>
              <w:t>根据执法文书要求设置评分项，包括是否写明案由，是否案由和案调终结审批表的案由一致等，并根据设置的分值自动评分。</w:t>
            </w:r>
          </w:p>
        </w:tc>
      </w:tr>
      <w:tr w14:paraId="76EF977B">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5CD54C6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47</w:t>
            </w:r>
          </w:p>
        </w:tc>
        <w:tc>
          <w:tcPr>
            <w:tcW w:w="1418" w:type="dxa"/>
            <w:tcBorders>
              <w:top w:val="nil"/>
              <w:left w:val="nil"/>
              <w:bottom w:val="single" w:color="auto" w:sz="4" w:space="0"/>
              <w:right w:val="single" w:color="auto" w:sz="4" w:space="0"/>
            </w:tcBorders>
          </w:tcPr>
          <w:p w14:paraId="77C1D9B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FB392B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实训实战-实战练习</w:t>
            </w:r>
          </w:p>
        </w:tc>
        <w:tc>
          <w:tcPr>
            <w:tcW w:w="4820" w:type="dxa"/>
            <w:tcBorders>
              <w:top w:val="nil"/>
              <w:left w:val="nil"/>
              <w:bottom w:val="single" w:color="auto" w:sz="4" w:space="0"/>
              <w:right w:val="single" w:color="auto" w:sz="4" w:space="0"/>
            </w:tcBorders>
            <w:vAlign w:val="center"/>
          </w:tcPr>
          <w:p w14:paraId="199C075F">
            <w:pPr>
              <w:widowControl/>
              <w:spacing w:line="240" w:lineRule="auto"/>
              <w:ind w:firstLine="0" w:firstLineChars="0"/>
              <w:jc w:val="left"/>
              <w:rPr>
                <w:rFonts w:cs="宋体"/>
                <w:color w:val="000000"/>
                <w:kern w:val="0"/>
                <w:sz w:val="18"/>
                <w:szCs w:val="18"/>
              </w:rPr>
            </w:pPr>
            <w:r>
              <w:rPr>
                <w:rFonts w:hint="eastAsia"/>
                <w:color w:val="000000"/>
                <w:sz w:val="18"/>
                <w:szCs w:val="18"/>
              </w:rPr>
              <w:t>新建实战任务并发布给对应学员，支持对实战任务的增加，删除，修改，查询并将编辑后的实战任务同步给学员。抽取题库中的练习题，进行实战模拟练习。</w:t>
            </w:r>
          </w:p>
        </w:tc>
      </w:tr>
      <w:tr w14:paraId="75B84AA4">
        <w:tblPrEx>
          <w:tblCellMar>
            <w:top w:w="0" w:type="dxa"/>
            <w:left w:w="108" w:type="dxa"/>
            <w:bottom w:w="0" w:type="dxa"/>
            <w:right w:w="108" w:type="dxa"/>
          </w:tblCellMar>
        </w:tblPrEx>
        <w:trPr>
          <w:trHeight w:val="840" w:hRule="atLeast"/>
        </w:trPr>
        <w:tc>
          <w:tcPr>
            <w:tcW w:w="704" w:type="dxa"/>
            <w:tcBorders>
              <w:top w:val="nil"/>
              <w:left w:val="single" w:color="auto" w:sz="4" w:space="0"/>
              <w:bottom w:val="single" w:color="auto" w:sz="4" w:space="0"/>
              <w:right w:val="single" w:color="auto" w:sz="4" w:space="0"/>
            </w:tcBorders>
            <w:vAlign w:val="center"/>
          </w:tcPr>
          <w:p w14:paraId="05A2099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48</w:t>
            </w:r>
          </w:p>
        </w:tc>
        <w:tc>
          <w:tcPr>
            <w:tcW w:w="1418" w:type="dxa"/>
            <w:tcBorders>
              <w:top w:val="nil"/>
              <w:left w:val="nil"/>
              <w:bottom w:val="single" w:color="auto" w:sz="4" w:space="0"/>
              <w:right w:val="single" w:color="auto" w:sz="4" w:space="0"/>
            </w:tcBorders>
          </w:tcPr>
          <w:p w14:paraId="1FA3626B">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48069E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实训实战-实战考试</w:t>
            </w:r>
          </w:p>
        </w:tc>
        <w:tc>
          <w:tcPr>
            <w:tcW w:w="4820" w:type="dxa"/>
            <w:tcBorders>
              <w:top w:val="nil"/>
              <w:left w:val="nil"/>
              <w:bottom w:val="single" w:color="auto" w:sz="4" w:space="0"/>
              <w:right w:val="single" w:color="auto" w:sz="4" w:space="0"/>
            </w:tcBorders>
            <w:vAlign w:val="center"/>
          </w:tcPr>
          <w:p w14:paraId="561E1166">
            <w:pPr>
              <w:widowControl/>
              <w:spacing w:line="240" w:lineRule="auto"/>
              <w:ind w:firstLine="0" w:firstLineChars="0"/>
              <w:jc w:val="left"/>
              <w:rPr>
                <w:rFonts w:cs="宋体"/>
                <w:color w:val="000000"/>
                <w:kern w:val="0"/>
                <w:sz w:val="18"/>
                <w:szCs w:val="18"/>
              </w:rPr>
            </w:pPr>
            <w:r>
              <w:rPr>
                <w:rFonts w:hint="eastAsia"/>
                <w:color w:val="000000"/>
                <w:sz w:val="18"/>
                <w:szCs w:val="18"/>
              </w:rPr>
              <w:t>提供学员在规定时间内进行在线考试的功能，记录学员的答题情况、考试时长、考试过程的操作日志等；提供考官对学员的考试结果的人工打分调整功能。</w:t>
            </w:r>
          </w:p>
        </w:tc>
      </w:tr>
      <w:tr w14:paraId="6B525B1A">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1010319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49</w:t>
            </w:r>
          </w:p>
        </w:tc>
        <w:tc>
          <w:tcPr>
            <w:tcW w:w="1418" w:type="dxa"/>
            <w:tcBorders>
              <w:top w:val="nil"/>
              <w:left w:val="nil"/>
              <w:bottom w:val="single" w:color="auto" w:sz="4" w:space="0"/>
              <w:right w:val="single" w:color="auto" w:sz="4" w:space="0"/>
            </w:tcBorders>
          </w:tcPr>
          <w:p w14:paraId="1931ED8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AD6FB91">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实训实战-实战案例学习设置</w:t>
            </w:r>
          </w:p>
        </w:tc>
        <w:tc>
          <w:tcPr>
            <w:tcW w:w="4820" w:type="dxa"/>
            <w:tcBorders>
              <w:top w:val="nil"/>
              <w:left w:val="nil"/>
              <w:bottom w:val="single" w:color="auto" w:sz="4" w:space="0"/>
              <w:right w:val="single" w:color="auto" w:sz="4" w:space="0"/>
            </w:tcBorders>
            <w:vAlign w:val="center"/>
          </w:tcPr>
          <w:p w14:paraId="14777D07">
            <w:pPr>
              <w:widowControl/>
              <w:spacing w:line="240" w:lineRule="auto"/>
              <w:ind w:firstLine="0" w:firstLineChars="0"/>
              <w:jc w:val="left"/>
              <w:rPr>
                <w:rFonts w:cs="宋体"/>
                <w:color w:val="000000"/>
                <w:kern w:val="0"/>
                <w:sz w:val="18"/>
                <w:szCs w:val="18"/>
              </w:rPr>
            </w:pPr>
            <w:r>
              <w:rPr>
                <w:rFonts w:hint="eastAsia"/>
                <w:color w:val="000000"/>
                <w:sz w:val="18"/>
                <w:szCs w:val="18"/>
              </w:rPr>
              <w:t>提供案例学习设置，包括案例的案情说明、案件文书以及办案流程，以及流程的评分结果和案例得分，供学员参考借鉴。</w:t>
            </w:r>
          </w:p>
        </w:tc>
      </w:tr>
      <w:tr w14:paraId="4CBD07CD">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1FAD187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50</w:t>
            </w:r>
          </w:p>
        </w:tc>
        <w:tc>
          <w:tcPr>
            <w:tcW w:w="1418" w:type="dxa"/>
            <w:tcBorders>
              <w:top w:val="nil"/>
              <w:left w:val="nil"/>
              <w:bottom w:val="single" w:color="auto" w:sz="4" w:space="0"/>
              <w:right w:val="single" w:color="auto" w:sz="4" w:space="0"/>
            </w:tcBorders>
          </w:tcPr>
          <w:p w14:paraId="3F8A9FB2">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40C4A594">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实训实战-实战考试设置</w:t>
            </w:r>
          </w:p>
        </w:tc>
        <w:tc>
          <w:tcPr>
            <w:tcW w:w="4820" w:type="dxa"/>
            <w:tcBorders>
              <w:top w:val="nil"/>
              <w:left w:val="nil"/>
              <w:bottom w:val="single" w:color="auto" w:sz="4" w:space="0"/>
              <w:right w:val="single" w:color="auto" w:sz="4" w:space="0"/>
            </w:tcBorders>
            <w:vAlign w:val="center"/>
          </w:tcPr>
          <w:p w14:paraId="2CA82B21">
            <w:pPr>
              <w:widowControl/>
              <w:spacing w:line="240" w:lineRule="auto"/>
              <w:ind w:firstLine="0" w:firstLineChars="0"/>
              <w:jc w:val="left"/>
              <w:rPr>
                <w:rFonts w:cs="宋体"/>
                <w:color w:val="000000"/>
                <w:kern w:val="0"/>
                <w:sz w:val="18"/>
                <w:szCs w:val="18"/>
              </w:rPr>
            </w:pPr>
            <w:r>
              <w:rPr>
                <w:rFonts w:hint="eastAsia"/>
                <w:color w:val="000000"/>
                <w:sz w:val="18"/>
                <w:szCs w:val="18"/>
              </w:rPr>
              <w:t>提供实战考试设置功能，提供试卷的考试内容自动或手动抽取考试题目形成考试试卷的功能。</w:t>
            </w:r>
          </w:p>
        </w:tc>
      </w:tr>
      <w:tr w14:paraId="175A14B8">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4FD06728">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51</w:t>
            </w:r>
          </w:p>
        </w:tc>
        <w:tc>
          <w:tcPr>
            <w:tcW w:w="1418" w:type="dxa"/>
            <w:tcBorders>
              <w:top w:val="nil"/>
              <w:left w:val="nil"/>
              <w:bottom w:val="single" w:color="auto" w:sz="4" w:space="0"/>
              <w:right w:val="single" w:color="auto" w:sz="4" w:space="0"/>
            </w:tcBorders>
          </w:tcPr>
          <w:p w14:paraId="694352B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5248E7B3">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实训实战-实战题库管理</w:t>
            </w:r>
          </w:p>
        </w:tc>
        <w:tc>
          <w:tcPr>
            <w:tcW w:w="4820" w:type="dxa"/>
            <w:tcBorders>
              <w:top w:val="nil"/>
              <w:left w:val="nil"/>
              <w:bottom w:val="single" w:color="auto" w:sz="4" w:space="0"/>
              <w:right w:val="single" w:color="auto" w:sz="4" w:space="0"/>
            </w:tcBorders>
            <w:vAlign w:val="center"/>
          </w:tcPr>
          <w:p w14:paraId="34A67A5F">
            <w:pPr>
              <w:widowControl/>
              <w:spacing w:line="240" w:lineRule="auto"/>
              <w:ind w:firstLine="0" w:firstLineChars="0"/>
              <w:jc w:val="left"/>
              <w:rPr>
                <w:rFonts w:cs="宋体"/>
                <w:color w:val="000000"/>
                <w:kern w:val="0"/>
                <w:sz w:val="18"/>
                <w:szCs w:val="18"/>
              </w:rPr>
            </w:pPr>
            <w:r>
              <w:rPr>
                <w:rFonts w:hint="eastAsia"/>
                <w:color w:val="000000"/>
                <w:sz w:val="18"/>
                <w:szCs w:val="18"/>
              </w:rPr>
              <w:t>提供题库管理功能，包括题目新建，编辑，可按照题目分类，题库名称进行搜索。</w:t>
            </w:r>
          </w:p>
        </w:tc>
      </w:tr>
      <w:tr w14:paraId="1B3D35B5">
        <w:tblPrEx>
          <w:tblCellMar>
            <w:top w:w="0" w:type="dxa"/>
            <w:left w:w="108" w:type="dxa"/>
            <w:bottom w:w="0" w:type="dxa"/>
            <w:right w:w="108" w:type="dxa"/>
          </w:tblCellMar>
        </w:tblPrEx>
        <w:trPr>
          <w:trHeight w:val="560" w:hRule="atLeast"/>
        </w:trPr>
        <w:tc>
          <w:tcPr>
            <w:tcW w:w="704" w:type="dxa"/>
            <w:tcBorders>
              <w:top w:val="nil"/>
              <w:left w:val="single" w:color="auto" w:sz="4" w:space="0"/>
              <w:bottom w:val="single" w:color="auto" w:sz="4" w:space="0"/>
              <w:right w:val="single" w:color="auto" w:sz="4" w:space="0"/>
            </w:tcBorders>
            <w:vAlign w:val="center"/>
          </w:tcPr>
          <w:p w14:paraId="035C75A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52</w:t>
            </w:r>
          </w:p>
        </w:tc>
        <w:tc>
          <w:tcPr>
            <w:tcW w:w="1418" w:type="dxa"/>
            <w:tcBorders>
              <w:top w:val="nil"/>
              <w:left w:val="nil"/>
              <w:bottom w:val="single" w:color="auto" w:sz="4" w:space="0"/>
              <w:right w:val="single" w:color="auto" w:sz="4" w:space="0"/>
            </w:tcBorders>
          </w:tcPr>
          <w:p w14:paraId="36893E5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19CBED46">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实训实战-学员实战情况统计</w:t>
            </w:r>
          </w:p>
        </w:tc>
        <w:tc>
          <w:tcPr>
            <w:tcW w:w="4820" w:type="dxa"/>
            <w:tcBorders>
              <w:top w:val="nil"/>
              <w:left w:val="nil"/>
              <w:bottom w:val="single" w:color="auto" w:sz="4" w:space="0"/>
              <w:right w:val="single" w:color="auto" w:sz="4" w:space="0"/>
            </w:tcBorders>
            <w:vAlign w:val="center"/>
          </w:tcPr>
          <w:p w14:paraId="3B81886A">
            <w:pPr>
              <w:widowControl/>
              <w:spacing w:line="240" w:lineRule="auto"/>
              <w:ind w:firstLine="0" w:firstLineChars="0"/>
              <w:jc w:val="left"/>
              <w:rPr>
                <w:rFonts w:cs="宋体"/>
                <w:color w:val="000000"/>
                <w:kern w:val="0"/>
                <w:sz w:val="18"/>
                <w:szCs w:val="18"/>
              </w:rPr>
            </w:pPr>
            <w:r>
              <w:rPr>
                <w:rFonts w:hint="eastAsia"/>
                <w:color w:val="000000"/>
                <w:sz w:val="18"/>
                <w:szCs w:val="18"/>
              </w:rPr>
              <w:t>提供学员实战情况统计功能，支持按年度、月度、部门统计学员情况，并提供多维度的查询、统计、导出功能。</w:t>
            </w:r>
          </w:p>
        </w:tc>
      </w:tr>
      <w:tr w14:paraId="5C923A67">
        <w:tblPrEx>
          <w:tblCellMar>
            <w:top w:w="0" w:type="dxa"/>
            <w:left w:w="108" w:type="dxa"/>
            <w:bottom w:w="0" w:type="dxa"/>
            <w:right w:w="108" w:type="dxa"/>
          </w:tblCellMar>
        </w:tblPrEx>
        <w:trPr>
          <w:trHeight w:val="1120" w:hRule="atLeast"/>
        </w:trPr>
        <w:tc>
          <w:tcPr>
            <w:tcW w:w="704" w:type="dxa"/>
            <w:tcBorders>
              <w:top w:val="nil"/>
              <w:left w:val="single" w:color="auto" w:sz="4" w:space="0"/>
              <w:bottom w:val="single" w:color="auto" w:sz="4" w:space="0"/>
              <w:right w:val="single" w:color="auto" w:sz="4" w:space="0"/>
            </w:tcBorders>
            <w:vAlign w:val="center"/>
          </w:tcPr>
          <w:p w14:paraId="41398BDE">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53</w:t>
            </w:r>
          </w:p>
        </w:tc>
        <w:tc>
          <w:tcPr>
            <w:tcW w:w="1418" w:type="dxa"/>
            <w:tcBorders>
              <w:top w:val="nil"/>
              <w:left w:val="nil"/>
              <w:bottom w:val="single" w:color="auto" w:sz="4" w:space="0"/>
              <w:right w:val="single" w:color="auto" w:sz="4" w:space="0"/>
            </w:tcBorders>
          </w:tcPr>
          <w:p w14:paraId="7441D7E9">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0D66EC3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实训实战-个人实战中心</w:t>
            </w:r>
          </w:p>
        </w:tc>
        <w:tc>
          <w:tcPr>
            <w:tcW w:w="4820" w:type="dxa"/>
            <w:tcBorders>
              <w:top w:val="nil"/>
              <w:left w:val="nil"/>
              <w:bottom w:val="single" w:color="auto" w:sz="4" w:space="0"/>
              <w:right w:val="single" w:color="auto" w:sz="4" w:space="0"/>
            </w:tcBorders>
            <w:vAlign w:val="center"/>
          </w:tcPr>
          <w:p w14:paraId="3DD4566E">
            <w:pPr>
              <w:widowControl/>
              <w:spacing w:line="240" w:lineRule="auto"/>
              <w:ind w:firstLine="0" w:firstLineChars="0"/>
              <w:jc w:val="left"/>
              <w:rPr>
                <w:rFonts w:cs="宋体"/>
                <w:color w:val="000000"/>
                <w:kern w:val="0"/>
                <w:sz w:val="18"/>
                <w:szCs w:val="18"/>
              </w:rPr>
            </w:pPr>
            <w:r>
              <w:rPr>
                <w:rFonts w:hint="eastAsia"/>
                <w:color w:val="000000"/>
                <w:sz w:val="18"/>
                <w:szCs w:val="18"/>
              </w:rPr>
              <w:t>包括实战任务及进度、在学课程、合格课程、个人习题四个模块展现个人实战情况</w:t>
            </w:r>
          </w:p>
        </w:tc>
      </w:tr>
      <w:tr w14:paraId="08B0D8F2">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754AB6CC">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54</w:t>
            </w:r>
          </w:p>
        </w:tc>
        <w:tc>
          <w:tcPr>
            <w:tcW w:w="1418" w:type="dxa"/>
            <w:tcBorders>
              <w:top w:val="nil"/>
              <w:left w:val="nil"/>
              <w:bottom w:val="single" w:color="auto" w:sz="4" w:space="0"/>
              <w:right w:val="single" w:color="auto" w:sz="4" w:space="0"/>
            </w:tcBorders>
          </w:tcPr>
          <w:p w14:paraId="5F3A638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6DCAE7B7">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密码改造-签名验签</w:t>
            </w:r>
          </w:p>
        </w:tc>
        <w:tc>
          <w:tcPr>
            <w:tcW w:w="4820" w:type="dxa"/>
            <w:tcBorders>
              <w:top w:val="nil"/>
              <w:left w:val="nil"/>
              <w:bottom w:val="single" w:color="auto" w:sz="4" w:space="0"/>
              <w:right w:val="single" w:color="auto" w:sz="4" w:space="0"/>
            </w:tcBorders>
            <w:vAlign w:val="center"/>
          </w:tcPr>
          <w:p w14:paraId="7C033CAD">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用户访问控制信息签名验签模块、应用系统重要数据签名验签模块、重要可执行程序签名验签模块等功能。</w:t>
            </w:r>
          </w:p>
        </w:tc>
      </w:tr>
      <w:tr w14:paraId="04FDD512">
        <w:tblPrEx>
          <w:tblCellMar>
            <w:top w:w="0" w:type="dxa"/>
            <w:left w:w="108" w:type="dxa"/>
            <w:bottom w:w="0" w:type="dxa"/>
            <w:right w:w="108" w:type="dxa"/>
          </w:tblCellMar>
        </w:tblPrEx>
        <w:trPr>
          <w:trHeight w:val="280" w:hRule="atLeast"/>
        </w:trPr>
        <w:tc>
          <w:tcPr>
            <w:tcW w:w="704" w:type="dxa"/>
            <w:tcBorders>
              <w:top w:val="nil"/>
              <w:left w:val="single" w:color="auto" w:sz="4" w:space="0"/>
              <w:bottom w:val="single" w:color="auto" w:sz="4" w:space="0"/>
              <w:right w:val="single" w:color="auto" w:sz="4" w:space="0"/>
            </w:tcBorders>
            <w:vAlign w:val="center"/>
          </w:tcPr>
          <w:p w14:paraId="1CFE332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55</w:t>
            </w:r>
          </w:p>
        </w:tc>
        <w:tc>
          <w:tcPr>
            <w:tcW w:w="1418" w:type="dxa"/>
            <w:tcBorders>
              <w:top w:val="nil"/>
              <w:left w:val="nil"/>
              <w:bottom w:val="single" w:color="auto" w:sz="4" w:space="0"/>
              <w:right w:val="single" w:color="auto" w:sz="4" w:space="0"/>
            </w:tcBorders>
          </w:tcPr>
          <w:p w14:paraId="5BBD448F">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城管执法人员教育培训子系统（升级改造）</w:t>
            </w:r>
          </w:p>
        </w:tc>
        <w:tc>
          <w:tcPr>
            <w:tcW w:w="1417" w:type="dxa"/>
            <w:tcBorders>
              <w:top w:val="nil"/>
              <w:left w:val="nil"/>
              <w:bottom w:val="single" w:color="auto" w:sz="4" w:space="0"/>
              <w:right w:val="single" w:color="auto" w:sz="4" w:space="0"/>
            </w:tcBorders>
            <w:vAlign w:val="center"/>
          </w:tcPr>
          <w:p w14:paraId="38A018D0">
            <w:pPr>
              <w:widowControl/>
              <w:spacing w:line="240" w:lineRule="auto"/>
              <w:ind w:firstLine="0" w:firstLineChars="0"/>
              <w:jc w:val="center"/>
              <w:rPr>
                <w:rFonts w:cs="宋体"/>
                <w:color w:val="000000"/>
                <w:kern w:val="0"/>
                <w:sz w:val="18"/>
                <w:szCs w:val="18"/>
              </w:rPr>
            </w:pPr>
            <w:r>
              <w:rPr>
                <w:rFonts w:hint="eastAsia" w:cs="宋体"/>
                <w:color w:val="000000"/>
                <w:kern w:val="0"/>
                <w:sz w:val="18"/>
                <w:szCs w:val="18"/>
              </w:rPr>
              <w:t>密码改造-安全传输</w:t>
            </w:r>
          </w:p>
        </w:tc>
        <w:tc>
          <w:tcPr>
            <w:tcW w:w="4820" w:type="dxa"/>
            <w:tcBorders>
              <w:top w:val="nil"/>
              <w:left w:val="nil"/>
              <w:bottom w:val="single" w:color="auto" w:sz="4" w:space="0"/>
              <w:right w:val="single" w:color="auto" w:sz="4" w:space="0"/>
            </w:tcBorders>
            <w:vAlign w:val="center"/>
          </w:tcPr>
          <w:p w14:paraId="5D05F755">
            <w:pPr>
              <w:widowControl/>
              <w:spacing w:line="240" w:lineRule="auto"/>
              <w:ind w:firstLine="0" w:firstLineChars="0"/>
              <w:jc w:val="left"/>
              <w:rPr>
                <w:rFonts w:cs="宋体"/>
                <w:color w:val="000000"/>
                <w:kern w:val="0"/>
                <w:sz w:val="18"/>
                <w:szCs w:val="18"/>
              </w:rPr>
            </w:pPr>
            <w:r>
              <w:rPr>
                <w:rFonts w:hint="eastAsia" w:cs="宋体"/>
                <w:color w:val="000000"/>
                <w:kern w:val="0"/>
                <w:sz w:val="18"/>
                <w:szCs w:val="18"/>
              </w:rPr>
              <w:t>服务器虚拟机设备日志/访问、重要数据安全传输模块</w:t>
            </w:r>
          </w:p>
        </w:tc>
      </w:tr>
    </w:tbl>
    <w:p w14:paraId="6B0F1030">
      <w:pPr>
        <w:ind w:firstLine="482"/>
        <w:rPr>
          <w:b/>
        </w:rPr>
      </w:pPr>
    </w:p>
    <w:p w14:paraId="1D3FB937">
      <w:pPr>
        <w:pStyle w:val="2"/>
      </w:pPr>
      <w:bookmarkStart w:id="17" w:name="_Toc63785503"/>
      <w:r>
        <w:rPr>
          <w:rFonts w:hint="eastAsia"/>
        </w:rPr>
        <w:t>其他工作要求</w:t>
      </w:r>
      <w:bookmarkEnd w:id="17"/>
    </w:p>
    <w:p w14:paraId="0049DF7E">
      <w:pPr>
        <w:pStyle w:val="3"/>
      </w:pPr>
      <w:bookmarkStart w:id="18" w:name="_Toc63785504"/>
      <w:bookmarkEnd w:id="18"/>
      <w:bookmarkStart w:id="19" w:name="_Toc61968111"/>
      <w:bookmarkEnd w:id="19"/>
      <w:bookmarkStart w:id="20" w:name="_Toc62209488"/>
      <w:bookmarkEnd w:id="20"/>
      <w:bookmarkStart w:id="21" w:name="_Toc62219358"/>
      <w:bookmarkEnd w:id="21"/>
      <w:bookmarkStart w:id="22" w:name="_Toc63585480"/>
      <w:bookmarkEnd w:id="22"/>
      <w:bookmarkStart w:id="23" w:name="_Toc63785439"/>
      <w:bookmarkEnd w:id="23"/>
      <w:bookmarkStart w:id="24" w:name="_Toc63762370"/>
      <w:bookmarkEnd w:id="24"/>
      <w:bookmarkStart w:id="25" w:name="_Toc63151871"/>
      <w:bookmarkEnd w:id="25"/>
      <w:bookmarkStart w:id="26" w:name="_Toc63785505"/>
      <w:r>
        <w:rPr>
          <w:rFonts w:hint="eastAsia"/>
        </w:rPr>
        <w:t>售后服务要求</w:t>
      </w:r>
      <w:bookmarkEnd w:id="26"/>
    </w:p>
    <w:p w14:paraId="25EE1771">
      <w:pPr>
        <w:pStyle w:val="106"/>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3C9DD3B9">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1B5C91E4">
      <w:pPr>
        <w:pStyle w:val="106"/>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在质量保证期内，供应商负责信息系统的运行维护工作，确保信息系统安全、稳定、可靠地运行。本项目涉及的运行维护工作范围为：软件开发清单中的内容。</w:t>
      </w:r>
    </w:p>
    <w:p w14:paraId="367C58EC">
      <w:pPr>
        <w:pStyle w:val="3"/>
      </w:pPr>
      <w:bookmarkStart w:id="27" w:name="_Toc63785506"/>
      <w:r>
        <w:rPr>
          <w:rFonts w:hint="eastAsia"/>
        </w:rPr>
        <w:t>应急响应要求</w:t>
      </w:r>
      <w:bookmarkEnd w:id="27"/>
    </w:p>
    <w:p w14:paraId="2FD48F08">
      <w:pPr>
        <w:spacing w:line="600" w:lineRule="exact"/>
      </w:pPr>
      <w:r>
        <w:rPr>
          <w:rFonts w:hint="eastAsia"/>
        </w:rPr>
        <w:t>供应商对系统故障应能够实时响应，若系统发生故障，接到通知后30分钟之内响应，专业工程师2小时内到达现场。特殊故障与采购人沟通协商后，按照协商的方式制定解决方案并进行处理。</w:t>
      </w:r>
    </w:p>
    <w:p w14:paraId="2105BE95">
      <w:pPr>
        <w:spacing w:line="600" w:lineRule="exact"/>
      </w:pPr>
      <w:r>
        <w:rPr>
          <w:rFonts w:hint="eastAsia"/>
        </w:rPr>
        <w:t>具体故障级别及对应的应急响应要求如下：</w:t>
      </w:r>
    </w:p>
    <w:p w14:paraId="6F149B11">
      <w:pPr>
        <w:spacing w:line="600" w:lineRule="exact"/>
      </w:pPr>
      <w:r>
        <w:rPr>
          <w:rFonts w:hint="eastAsia"/>
        </w:rPr>
        <w:t>一级故障：在1小时内确诊，总故障解决时间不超过4小时。</w:t>
      </w:r>
    </w:p>
    <w:p w14:paraId="194A7E47">
      <w:pPr>
        <w:spacing w:line="600" w:lineRule="exact"/>
      </w:pPr>
      <w:r>
        <w:rPr>
          <w:rFonts w:hint="eastAsia"/>
        </w:rPr>
        <w:t>二级故障：在2小时内确诊，并在4小时内由专家到达现场确诊并解决，总故障解决时间不超过8小时；</w:t>
      </w:r>
    </w:p>
    <w:p w14:paraId="6A305DC1">
      <w:pPr>
        <w:spacing w:line="600" w:lineRule="exact"/>
      </w:pPr>
      <w:r>
        <w:rPr>
          <w:rFonts w:hint="eastAsia"/>
        </w:rPr>
        <w:t>三、四级故障：在4小时内确诊故障，总故障解决时间不超过16小时。</w:t>
      </w:r>
    </w:p>
    <w:p w14:paraId="61AA232D">
      <w:pPr>
        <w:spacing w:line="600" w:lineRule="exact"/>
      </w:pPr>
      <w:r>
        <w:rPr>
          <w:rFonts w:hint="eastAsia"/>
        </w:rPr>
        <w:t>依据故障时间及故障范围划分故障级别，故障级别分为四级，依次为Ⅰ级（紧急）、Ⅱ级（严重）、Ⅲ级（较大）和Ⅳ级（一般），分别定义如下：</w:t>
      </w:r>
    </w:p>
    <w:p w14:paraId="2AC9627C">
      <w:pPr>
        <w:spacing w:line="600" w:lineRule="exact"/>
      </w:pPr>
      <w:r>
        <w:rPr>
          <w:rFonts w:hint="eastAsia"/>
        </w:rPr>
        <w:t>Ⅰ级（紧急）故障为工作时间段（8:30——17:30）内大范围故障；</w:t>
      </w:r>
    </w:p>
    <w:p w14:paraId="5EA3F261">
      <w:pPr>
        <w:spacing w:line="600" w:lineRule="exact"/>
      </w:pPr>
      <w:r>
        <w:rPr>
          <w:rFonts w:hint="eastAsia"/>
        </w:rPr>
        <w:t>Ⅱ级（严重）故障为非工作时间段（17:30——次日8:30）内大范围故障；</w:t>
      </w:r>
    </w:p>
    <w:p w14:paraId="6D000F72">
      <w:pPr>
        <w:spacing w:line="600" w:lineRule="exact"/>
      </w:pPr>
      <w:r>
        <w:rPr>
          <w:rFonts w:hint="eastAsia"/>
        </w:rPr>
        <w:t>Ⅲ级（较大）故障为工作时间段（8:30——17:30）内小范围故障；</w:t>
      </w:r>
    </w:p>
    <w:p w14:paraId="24A409A7">
      <w:pPr>
        <w:spacing w:line="600" w:lineRule="exact"/>
      </w:pPr>
      <w:r>
        <w:rPr>
          <w:rFonts w:hint="eastAsia"/>
        </w:rPr>
        <w:t>Ⅳ级（一般）故障为非工作时间段（17:30——次日8:30）内小范围故障；</w:t>
      </w:r>
    </w:p>
    <w:p w14:paraId="40D964CA">
      <w:pPr>
        <w:pStyle w:val="3"/>
      </w:pPr>
      <w:r>
        <w:rPr>
          <w:rFonts w:hint="eastAsia"/>
        </w:rPr>
        <w:t>网络与数据安全</w:t>
      </w:r>
    </w:p>
    <w:p w14:paraId="33082EF3">
      <w:r>
        <w:rPr>
          <w:rFonts w:hint="eastAsia"/>
        </w:rPr>
        <w:t>(1)供应商应在项目深化设计阶段，应开展安全需求调研和数据分类分级工作，制定网络和数据安全设计方案，制定总体安全技术架构，明确边界防护、访问控制、权限管理、系统安全配置、身份鉴别、入侵防范等系统安全防护措施，制定差异化的数据安全防护手段，确保数据全生命周期安全。</w:t>
      </w:r>
    </w:p>
    <w:p w14:paraId="6A424A9A">
      <w:r>
        <w:rPr>
          <w:rFonts w:hint="eastAsia"/>
        </w:rPr>
        <w:t>(2)供应商应配合采购人开展相关安全制度和规范的制定，并根据项目实际，制定项目实施过程安全管理方案。</w:t>
      </w:r>
    </w:p>
    <w:p w14:paraId="21F705DC">
      <w:r>
        <w:rPr>
          <w:rFonts w:hint="eastAsia"/>
        </w:rPr>
        <w:t>(3)供应商应确保所提供的软件产品和定制开发内容所涉及的供应链满足采购人的管理要求，提供供应链物料清单，落实供应链安全控制措施，包括代码安全检测和质量评估、漏洞扫描、第三方组件评估等工作，并于系统上线前，完成信息化资产的梳理。</w:t>
      </w:r>
    </w:p>
    <w:p w14:paraId="64FF58D2">
      <w:r>
        <w:rPr>
          <w:rFonts w:hint="eastAsia"/>
        </w:rPr>
        <w:t>(4)供应商应在项目实施过程中，推动安全开发控制工作的实施，按照安全设计方案和采购人安全开发要求，落实安全开发规范，确保代码质量和安全性。供应商应确保系统开发及生产环境安全，落实安全管理策略及安全配置。</w:t>
      </w:r>
    </w:p>
    <w:p w14:paraId="3645F565">
      <w:r>
        <w:rPr>
          <w:rFonts w:hint="eastAsia"/>
        </w:rPr>
        <w:t>(5)供应商应在项目实施过程中，按照数据差异化安全防护策略，根据系统需要采取数据加密、数据访问控制、日志记录、流转监测等防护能力及相关管理流程，切实保障数据安全。</w:t>
      </w:r>
    </w:p>
    <w:p w14:paraId="79D1C9E9">
      <w:r>
        <w:rPr>
          <w:rFonts w:hint="eastAsia"/>
        </w:rPr>
        <w:t>(6)供应商应按照采购人场地及人员安全管理制度，加强人员管理，配合采购人落实人员背调、入离场、终端管理、网络限制、数据权限最小化等管控措施。</w:t>
      </w:r>
    </w:p>
    <w:p w14:paraId="480FE999">
      <w:r>
        <w:rPr>
          <w:rFonts w:hint="eastAsia"/>
        </w:rPr>
        <w:t>(7)供应商应于系统上线部署前对系统运行环境、应用软件等开展安全自查，并于项目初验及系统试运行阶段，配合采购人开展安测、密测、等保、密评、数据安全风险评估等系列安全测试、评估工作，针对发现的问题及时完成整改，确保系统上线安全。</w:t>
      </w:r>
    </w:p>
    <w:p w14:paraId="532B1971">
      <w:r>
        <w:rPr>
          <w:rFonts w:hint="eastAsia"/>
        </w:rPr>
        <w:t>(8)供应商应在系统免维期内承担系统安全运维管理责任，落实安全管理保障措施，包括但不限于制度修订、风险排查、应急响应、漏洞修复、重保等工作。</w:t>
      </w:r>
    </w:p>
    <w:p w14:paraId="7850D189">
      <w:pPr>
        <w:pStyle w:val="3"/>
      </w:pPr>
      <w:bookmarkStart w:id="28" w:name="_Toc63785507"/>
      <w:r>
        <w:rPr>
          <w:rFonts w:hint="eastAsia"/>
        </w:rPr>
        <w:t>培训要求</w:t>
      </w:r>
      <w:bookmarkEnd w:id="28"/>
    </w:p>
    <w:p w14:paraId="095277BC">
      <w:r>
        <w:rPr>
          <w:rFonts w:hint="eastAsia"/>
        </w:rPr>
        <w:t>对系统使用单位提供业务操作培训，应提供详细培训方案。</w:t>
      </w:r>
    </w:p>
    <w:p w14:paraId="019DB5E8">
      <w:r>
        <w:rPr>
          <w:rFonts w:hint="eastAsia"/>
        </w:rPr>
        <w:t>(1)在12个月的质量保证期内，提供2次与项目相关的必要培训。</w:t>
      </w:r>
    </w:p>
    <w:p w14:paraId="41BAE76D">
      <w:r>
        <w:rPr>
          <w:rFonts w:hint="eastAsia"/>
        </w:rPr>
        <w:t>(2)供应商需要开展分层次的人员培训工作，每次培训后应对参加培训人员进行测试，评估培训成果。培训应具有培训教材、培训环境和高水平的培训讲师。</w:t>
      </w:r>
    </w:p>
    <w:p w14:paraId="58B9B525">
      <w:r>
        <w:rPr>
          <w:rFonts w:hint="eastAsia"/>
        </w:rPr>
        <w:t>(3)供应商应提供一般用户的基础操作培训和部门信息管理员的日常应用维护的培训，确保用户对象能够掌握对应的操作技能。</w:t>
      </w:r>
    </w:p>
    <w:p w14:paraId="690C37E8">
      <w:pPr>
        <w:pStyle w:val="3"/>
      </w:pPr>
      <w:bookmarkStart w:id="29" w:name="_Toc63785508"/>
      <w:r>
        <w:rPr>
          <w:rFonts w:hint="eastAsia"/>
        </w:rPr>
        <w:t>验收要求</w:t>
      </w:r>
      <w:bookmarkEnd w:id="29"/>
    </w:p>
    <w:p w14:paraId="53511C01">
      <w:pPr>
        <w:rPr>
          <w:szCs w:val="21"/>
        </w:rPr>
      </w:pPr>
      <w:r>
        <w:rPr>
          <w:rFonts w:hint="eastAsia"/>
          <w:szCs w:val="21"/>
        </w:rPr>
        <w:t>本项目按下述方式开展验收。</w:t>
      </w:r>
    </w:p>
    <w:p w14:paraId="4826AA97">
      <w:pPr>
        <w:rPr>
          <w:szCs w:val="21"/>
        </w:rPr>
      </w:pPr>
      <w:r>
        <w:rPr>
          <w:rFonts w:hint="eastAsia"/>
          <w:szCs w:val="21"/>
        </w:rPr>
        <w:t>（</w:t>
      </w:r>
      <w:r>
        <w:rPr>
          <w:szCs w:val="21"/>
        </w:rPr>
        <w:t>1）验收分初验和终验。</w:t>
      </w:r>
    </w:p>
    <w:p w14:paraId="33D3528A">
      <w:pPr>
        <w:rPr>
          <w:szCs w:val="21"/>
        </w:rPr>
      </w:pPr>
      <w:r>
        <w:rPr>
          <w:rFonts w:hint="eastAsia"/>
          <w:szCs w:val="21"/>
        </w:rPr>
        <w:t>（</w:t>
      </w:r>
      <w:r>
        <w:rPr>
          <w:szCs w:val="21"/>
        </w:rPr>
        <w:t>2）初验前，供应商须完成软件开发、软硬件安装和信息系统的调试等，并对本项目进行功能和运行检测，确保所有信息系统功能模块能够正常运行且已达到本项目约定的各类标准要求。供应商应以书面形式向招标方递交初验通知书。招标方应当在接到通知后的5个工作日内确定初验的具体日期，由双方按照本项目的约定完成本项目的初验。招标方有权委托第三方检测机构进行验收，对此供应商应当配合。</w:t>
      </w:r>
    </w:p>
    <w:p w14:paraId="1EC242B8">
      <w:pPr>
        <w:rPr>
          <w:szCs w:val="21"/>
        </w:rPr>
      </w:pPr>
      <w:r>
        <w:rPr>
          <w:rFonts w:hint="eastAsia"/>
          <w:szCs w:val="21"/>
        </w:rPr>
        <w:t>（</w:t>
      </w:r>
      <w:r>
        <w:rPr>
          <w:szCs w:val="21"/>
        </w:rPr>
        <w:t>3）初验时，供应商须提供软件文档包括《用户需求说明书》、《系统概要设计说明书》、《系统详细设计说明书》、</w:t>
      </w:r>
      <w:r>
        <w:rPr>
          <w:rFonts w:hint="eastAsia"/>
          <w:szCs w:val="21"/>
        </w:rPr>
        <w:t>《三方功能需求确认单》、</w:t>
      </w:r>
      <w:r>
        <w:rPr>
          <w:szCs w:val="21"/>
        </w:rPr>
        <w:t>《测试报告》、《用户使用手册》、《系统部署文档》等）及可安装的程序运行文件。所交付的文档与文件应当是可供自然人阅读的书面和电子文档。软件文档及可安装的程序运行文件验收通过后，视为初验通过。如有缺陷，招标方应向供应商出具书面报告，陈述需要改进的缺陷。供应商应立即严格依照招标方的书面报告中的要求改进缺陷，并再次进行初验。</w:t>
      </w:r>
    </w:p>
    <w:p w14:paraId="1B8BB78B">
      <w:pPr>
        <w:rPr>
          <w:szCs w:val="21"/>
        </w:rPr>
      </w:pPr>
      <w:r>
        <w:rPr>
          <w:rFonts w:hint="eastAsia"/>
          <w:szCs w:val="21"/>
        </w:rPr>
        <w:t>（</w:t>
      </w:r>
      <w:r>
        <w:rPr>
          <w:szCs w:val="21"/>
        </w:rPr>
        <w:t>4）自初验通过之日起，招标方享有供应商免费提供的</w:t>
      </w:r>
      <w:r>
        <w:rPr>
          <w:rFonts w:hint="eastAsia"/>
          <w:szCs w:val="21"/>
        </w:rPr>
        <w:t>30</w:t>
      </w:r>
      <w:r>
        <w:rPr>
          <w:szCs w:val="21"/>
        </w:rPr>
        <w:t>天的信息系统试运行现场驻场服务期。该期间内，供应商应当按照招标方的要求提供现场技术支持服务，解决信息系统试运行期间可能出现的各类问题，或进一步提高与完善信息系统运行水平。</w:t>
      </w:r>
    </w:p>
    <w:p w14:paraId="17F9358B">
      <w:pPr>
        <w:rPr>
          <w:szCs w:val="21"/>
        </w:rPr>
      </w:pPr>
      <w:r>
        <w:rPr>
          <w:rFonts w:hint="eastAsia"/>
          <w:szCs w:val="21"/>
        </w:rPr>
        <w:t>（</w:t>
      </w:r>
      <w:r>
        <w:rPr>
          <w:szCs w:val="21"/>
        </w:rPr>
        <w:t>5）初验通过且信息系统试运行期已经达到本项目约定的时间，经供应商确认信息系统具备正常运行条件，且信息系统通过运行测试，供应商应以书面形式通知招标方信息系统已准备就绪等待终验。招标方在收到终验通知后的</w:t>
      </w:r>
      <w:r>
        <w:rPr>
          <w:rFonts w:hint="eastAsia"/>
          <w:szCs w:val="21"/>
        </w:rPr>
        <w:t>10</w:t>
      </w:r>
      <w:r>
        <w:rPr>
          <w:szCs w:val="21"/>
        </w:rPr>
        <w:t>个工作日内发起组织专家验收会。</w:t>
      </w:r>
    </w:p>
    <w:p w14:paraId="45CFE14A">
      <w:pPr>
        <w:rPr>
          <w:szCs w:val="21"/>
        </w:rPr>
      </w:pPr>
      <w:r>
        <w:rPr>
          <w:rFonts w:hint="eastAsia"/>
          <w:szCs w:val="21"/>
        </w:rPr>
        <w:t>（6</w:t>
      </w:r>
      <w:r>
        <w:rPr>
          <w:szCs w:val="21"/>
        </w:rPr>
        <w:t>）如果属于供应商原因致使本项目未能通过终验，供应商应当排除缺陷，直至本项目完全符合验收标准，由上述情形而产生的相关费用应由供应商自行承担。</w:t>
      </w:r>
    </w:p>
    <w:p w14:paraId="38483032">
      <w:pPr>
        <w:rPr>
          <w:szCs w:val="21"/>
        </w:rPr>
      </w:pPr>
      <w:r>
        <w:rPr>
          <w:rFonts w:hint="eastAsia"/>
          <w:szCs w:val="21"/>
        </w:rPr>
        <w:t>（7</w:t>
      </w:r>
      <w:r>
        <w:rPr>
          <w:szCs w:val="21"/>
        </w:rPr>
        <w:t>）如果由于招标方原因导致本项目在终验通过前出现故障或问题，供应商应及时配合排除该方面的故障或问题。</w:t>
      </w:r>
    </w:p>
    <w:p w14:paraId="200347A7">
      <w:pPr>
        <w:rPr>
          <w:szCs w:val="21"/>
        </w:rPr>
      </w:pPr>
      <w:r>
        <w:rPr>
          <w:rFonts w:hint="eastAsia"/>
          <w:szCs w:val="21"/>
        </w:rPr>
        <w:t>（8</w:t>
      </w:r>
      <w:r>
        <w:rPr>
          <w:szCs w:val="21"/>
        </w:rPr>
        <w:t>）如本项目连续3次验收未通过（含初验未通过或终验未通过），招标方有权解除项目，并有权依照本项目约定的违约条款追究供应商的违约责任。</w:t>
      </w:r>
    </w:p>
    <w:p w14:paraId="523ED5A1">
      <w:pPr>
        <w:pStyle w:val="3"/>
      </w:pPr>
      <w:bookmarkStart w:id="30" w:name="_Toc63785509"/>
      <w:r>
        <w:rPr>
          <w:rFonts w:hint="eastAsia"/>
        </w:rPr>
        <w:t>进度要求</w:t>
      </w:r>
      <w:bookmarkEnd w:id="30"/>
    </w:p>
    <w:p w14:paraId="04E67905">
      <w:r>
        <w:rPr>
          <w:rFonts w:hint="eastAsia"/>
        </w:rPr>
        <w:t>投标人应根据建设内容，分阶段制定合理的时间进度，并且应根据招标方要求进行调整和细化。</w:t>
      </w:r>
    </w:p>
    <w:p w14:paraId="0EEDD2CD">
      <w:pPr>
        <w:spacing w:line="560" w:lineRule="exact"/>
      </w:pPr>
      <w:bookmarkStart w:id="31" w:name="_Toc63785510"/>
      <w:r>
        <w:rPr>
          <w:rFonts w:hint="eastAsia"/>
        </w:rPr>
        <w:t>总建设周期为合同签订之日起至2026年11月30日，分为</w:t>
      </w:r>
      <w:r>
        <w:t>3</w:t>
      </w:r>
      <w:r>
        <w:rPr>
          <w:rFonts w:hint="eastAsia"/>
        </w:rPr>
        <w:t>个阶段。</w:t>
      </w:r>
    </w:p>
    <w:p w14:paraId="67CD0877">
      <w:r>
        <w:rPr>
          <w:rFonts w:hint="eastAsia"/>
        </w:rPr>
        <w:t>第一阶段为2个月：完成需求细化及系统详细设计；</w:t>
      </w:r>
    </w:p>
    <w:p w14:paraId="783799FC">
      <w:r>
        <w:rPr>
          <w:rFonts w:hint="eastAsia"/>
        </w:rPr>
        <w:t>第二阶段为</w:t>
      </w:r>
      <w:r>
        <w:t>6</w:t>
      </w:r>
      <w:r>
        <w:rPr>
          <w:rFonts w:hint="eastAsia"/>
        </w:rPr>
        <w:t>个月：完成系统功能的开发与测试；</w:t>
      </w:r>
    </w:p>
    <w:p w14:paraId="7947FCED">
      <w:pPr>
        <w:spacing w:line="560" w:lineRule="exact"/>
      </w:pPr>
      <w:r>
        <w:rPr>
          <w:rFonts w:hint="eastAsia"/>
        </w:rPr>
        <w:t>第三阶段为完成系统测试至2026年11月30日：系统上线试运行，完成验收。</w:t>
      </w:r>
    </w:p>
    <w:p w14:paraId="12F03932">
      <w:pPr>
        <w:pStyle w:val="3"/>
      </w:pPr>
      <w:r>
        <w:rPr>
          <w:rFonts w:hint="eastAsia"/>
        </w:rPr>
        <w:t>项目团队及驻场人员要求</w:t>
      </w:r>
      <w:bookmarkEnd w:id="31"/>
    </w:p>
    <w:p w14:paraId="1455CAB6">
      <w:r>
        <w:t>1）投标人须具有稳定的在职技术保障力量，能够提供及时的技术支援或服务，应针对本项目提供不少于</w:t>
      </w:r>
      <w:r>
        <w:rPr>
          <w:rFonts w:hint="eastAsia"/>
        </w:rPr>
        <w:t>7</w:t>
      </w:r>
      <w:r>
        <w:t>人的项目服务团队（包括项目经理、产品经理、技术负责人、研发等），投标单位的相关服务人员需具备相应的服务能力，需提供相关证明。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6"/>
        <w:gridCol w:w="1961"/>
        <w:gridCol w:w="992"/>
        <w:gridCol w:w="3129"/>
        <w:gridCol w:w="1180"/>
      </w:tblGrid>
      <w:tr w14:paraId="38E0E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1E36929">
            <w:pPr>
              <w:widowControl/>
              <w:spacing w:line="240" w:lineRule="auto"/>
              <w:ind w:firstLine="0" w:firstLineChars="0"/>
              <w:jc w:val="center"/>
              <w:rPr>
                <w:b/>
              </w:rPr>
            </w:pPr>
            <w:r>
              <w:rPr>
                <w:rFonts w:hint="eastAsia"/>
                <w:b/>
              </w:rPr>
              <w:t>角色</w:t>
            </w:r>
          </w:p>
        </w:tc>
        <w:tc>
          <w:tcPr>
            <w:tcW w:w="1961" w:type="dxa"/>
            <w:noWrap/>
            <w:vAlign w:val="center"/>
          </w:tcPr>
          <w:p w14:paraId="36785E39">
            <w:pPr>
              <w:widowControl/>
              <w:spacing w:line="240" w:lineRule="auto"/>
              <w:ind w:firstLine="0" w:firstLineChars="0"/>
              <w:jc w:val="center"/>
              <w:rPr>
                <w:b/>
              </w:rPr>
            </w:pPr>
            <w:r>
              <w:rPr>
                <w:rFonts w:hint="eastAsia"/>
                <w:b/>
              </w:rPr>
              <w:t>主要职责</w:t>
            </w:r>
          </w:p>
        </w:tc>
        <w:tc>
          <w:tcPr>
            <w:tcW w:w="992" w:type="dxa"/>
            <w:noWrap/>
            <w:vAlign w:val="center"/>
          </w:tcPr>
          <w:p w14:paraId="7FCD27F6">
            <w:pPr>
              <w:widowControl/>
              <w:spacing w:line="240" w:lineRule="auto"/>
              <w:ind w:firstLine="0" w:firstLineChars="0"/>
              <w:jc w:val="center"/>
              <w:rPr>
                <w:b/>
              </w:rPr>
            </w:pPr>
            <w:r>
              <w:rPr>
                <w:rFonts w:hint="eastAsia"/>
                <w:b/>
              </w:rPr>
              <w:t>人员数量</w:t>
            </w:r>
          </w:p>
        </w:tc>
        <w:tc>
          <w:tcPr>
            <w:tcW w:w="3129" w:type="dxa"/>
            <w:vAlign w:val="center"/>
          </w:tcPr>
          <w:p w14:paraId="213D3861">
            <w:pPr>
              <w:widowControl/>
              <w:spacing w:line="240" w:lineRule="auto"/>
              <w:ind w:firstLine="0" w:firstLineChars="0"/>
              <w:jc w:val="center"/>
              <w:rPr>
                <w:b/>
              </w:rPr>
            </w:pPr>
            <w:r>
              <w:rPr>
                <w:rFonts w:hint="eastAsia"/>
                <w:b/>
              </w:rPr>
              <w:t>人员要求</w:t>
            </w:r>
          </w:p>
        </w:tc>
        <w:tc>
          <w:tcPr>
            <w:tcW w:w="0" w:type="auto"/>
            <w:noWrap/>
            <w:vAlign w:val="center"/>
          </w:tcPr>
          <w:p w14:paraId="757E230A">
            <w:pPr>
              <w:widowControl/>
              <w:spacing w:line="240" w:lineRule="auto"/>
              <w:ind w:firstLine="0" w:firstLineChars="0"/>
              <w:jc w:val="center"/>
              <w:rPr>
                <w:b/>
              </w:rPr>
            </w:pPr>
            <w:r>
              <w:rPr>
                <w:rFonts w:hint="eastAsia"/>
                <w:b/>
              </w:rPr>
              <w:t>驻场要求</w:t>
            </w:r>
          </w:p>
        </w:tc>
      </w:tr>
      <w:tr w14:paraId="27A73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C1095B2">
            <w:pPr>
              <w:widowControl/>
              <w:spacing w:line="240" w:lineRule="auto"/>
              <w:ind w:firstLine="0" w:firstLineChars="0"/>
              <w:jc w:val="center"/>
            </w:pPr>
            <w:r>
              <w:rPr>
                <w:rFonts w:hint="eastAsia"/>
              </w:rPr>
              <w:t>项目经理</w:t>
            </w:r>
          </w:p>
        </w:tc>
        <w:tc>
          <w:tcPr>
            <w:tcW w:w="1961" w:type="dxa"/>
            <w:vAlign w:val="center"/>
          </w:tcPr>
          <w:p w14:paraId="5CF46184">
            <w:pPr>
              <w:widowControl/>
              <w:spacing w:line="240" w:lineRule="auto"/>
              <w:ind w:firstLine="0" w:firstLineChars="0"/>
              <w:jc w:val="center"/>
            </w:pPr>
            <w:r>
              <w:rPr>
                <w:rFonts w:hint="eastAsia"/>
              </w:rPr>
              <w:t>负责项目质量和进度控制</w:t>
            </w:r>
          </w:p>
        </w:tc>
        <w:tc>
          <w:tcPr>
            <w:tcW w:w="992" w:type="dxa"/>
            <w:noWrap/>
            <w:vAlign w:val="center"/>
          </w:tcPr>
          <w:p w14:paraId="37731A5B">
            <w:pPr>
              <w:widowControl/>
              <w:spacing w:line="240" w:lineRule="auto"/>
              <w:ind w:firstLine="0" w:firstLineChars="0"/>
              <w:jc w:val="center"/>
            </w:pPr>
            <w:r>
              <w:t>1</w:t>
            </w:r>
            <w:r>
              <w:rPr>
                <w:rFonts w:hint="eastAsia"/>
              </w:rPr>
              <w:t>人</w:t>
            </w:r>
          </w:p>
        </w:tc>
        <w:tc>
          <w:tcPr>
            <w:tcW w:w="3129" w:type="dxa"/>
            <w:vAlign w:val="center"/>
          </w:tcPr>
          <w:p w14:paraId="3D5CDFE5">
            <w:pPr>
              <w:widowControl/>
              <w:numPr>
                <w:ilvl w:val="0"/>
                <w:numId w:val="6"/>
              </w:numPr>
              <w:spacing w:line="240" w:lineRule="auto"/>
              <w:ind w:firstLine="0" w:firstLineChars="0"/>
              <w:jc w:val="left"/>
            </w:pPr>
            <w:r>
              <w:rPr>
                <w:rFonts w:hint="eastAsia"/>
              </w:rPr>
              <w:t>计算机类或电子信息类全日制大学本科以上学历；</w:t>
            </w:r>
          </w:p>
          <w:p w14:paraId="62704944">
            <w:pPr>
              <w:widowControl/>
              <w:numPr>
                <w:ilvl w:val="0"/>
                <w:numId w:val="6"/>
              </w:numPr>
              <w:spacing w:line="240" w:lineRule="auto"/>
              <w:ind w:firstLine="0" w:firstLineChars="0"/>
              <w:jc w:val="left"/>
            </w:pPr>
            <w:r>
              <w:t>10年以上</w:t>
            </w:r>
            <w:r>
              <w:rPr>
                <w:rFonts w:hint="eastAsia"/>
              </w:rPr>
              <w:t>类似项目</w:t>
            </w:r>
            <w:r>
              <w:t>管理经验</w:t>
            </w:r>
            <w:r>
              <w:rPr>
                <w:rFonts w:hint="eastAsia"/>
              </w:rPr>
              <w:t>。</w:t>
            </w:r>
          </w:p>
        </w:tc>
        <w:tc>
          <w:tcPr>
            <w:tcW w:w="0" w:type="auto"/>
            <w:noWrap/>
            <w:vAlign w:val="center"/>
          </w:tcPr>
          <w:p w14:paraId="611E84D9">
            <w:pPr>
              <w:widowControl/>
              <w:spacing w:line="240" w:lineRule="auto"/>
              <w:ind w:firstLine="0" w:firstLineChars="0"/>
              <w:jc w:val="center"/>
            </w:pPr>
            <w:r>
              <w:rPr>
                <w:rFonts w:hint="eastAsia"/>
                <w:sz w:val="21"/>
                <w:szCs w:val="21"/>
              </w:rPr>
              <w:t>不驻场</w:t>
            </w:r>
          </w:p>
        </w:tc>
      </w:tr>
      <w:tr w14:paraId="6C68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22F7F19F">
            <w:pPr>
              <w:widowControl/>
              <w:spacing w:line="240" w:lineRule="auto"/>
              <w:ind w:firstLine="0" w:firstLineChars="0"/>
              <w:jc w:val="center"/>
            </w:pPr>
            <w:r>
              <w:rPr>
                <w:rFonts w:hint="eastAsia"/>
                <w:sz w:val="21"/>
                <w:szCs w:val="21"/>
              </w:rPr>
              <w:t>技术负责人</w:t>
            </w:r>
          </w:p>
        </w:tc>
        <w:tc>
          <w:tcPr>
            <w:tcW w:w="1961" w:type="dxa"/>
            <w:vAlign w:val="center"/>
          </w:tcPr>
          <w:p w14:paraId="2D520327">
            <w:pPr>
              <w:widowControl/>
              <w:spacing w:line="240" w:lineRule="auto"/>
              <w:ind w:firstLine="0" w:firstLineChars="0"/>
              <w:jc w:val="center"/>
            </w:pPr>
            <w:r>
              <w:rPr>
                <w:rFonts w:hint="eastAsia"/>
                <w:sz w:val="21"/>
                <w:szCs w:val="21"/>
              </w:rPr>
              <w:t>负责项目软件开发</w:t>
            </w:r>
          </w:p>
        </w:tc>
        <w:tc>
          <w:tcPr>
            <w:tcW w:w="992" w:type="dxa"/>
            <w:noWrap/>
            <w:vAlign w:val="center"/>
          </w:tcPr>
          <w:p w14:paraId="7F535D34">
            <w:pPr>
              <w:widowControl/>
              <w:spacing w:line="240" w:lineRule="auto"/>
              <w:ind w:firstLine="0" w:firstLineChars="0"/>
              <w:jc w:val="center"/>
            </w:pPr>
            <w:r>
              <w:rPr>
                <w:rFonts w:hint="eastAsia"/>
                <w:sz w:val="21"/>
                <w:szCs w:val="21"/>
              </w:rPr>
              <w:t>1人</w:t>
            </w:r>
          </w:p>
        </w:tc>
        <w:tc>
          <w:tcPr>
            <w:tcW w:w="3129" w:type="dxa"/>
            <w:vAlign w:val="center"/>
          </w:tcPr>
          <w:p w14:paraId="33FB69E6">
            <w:pPr>
              <w:widowControl/>
              <w:spacing w:line="240" w:lineRule="auto"/>
              <w:ind w:firstLine="0" w:firstLineChars="0"/>
              <w:jc w:val="center"/>
              <w:rPr>
                <w:rFonts w:hint="eastAsia"/>
                <w:sz w:val="21"/>
                <w:szCs w:val="21"/>
              </w:rPr>
            </w:pPr>
            <w:r>
              <w:rPr>
                <w:rFonts w:hint="eastAsia"/>
                <w:sz w:val="21"/>
                <w:szCs w:val="21"/>
              </w:rPr>
              <w:t>计算机相关专业</w:t>
            </w:r>
            <w:r>
              <w:rPr>
                <w:rFonts w:hint="eastAsia"/>
                <w:sz w:val="21"/>
                <w:szCs w:val="21"/>
                <w:lang w:eastAsia="zh-CN"/>
              </w:rPr>
              <w:t>本科以上学历</w:t>
            </w:r>
          </w:p>
          <w:p w14:paraId="710302A9">
            <w:pPr>
              <w:widowControl/>
              <w:spacing w:line="240" w:lineRule="auto"/>
              <w:ind w:firstLine="0" w:firstLineChars="0"/>
              <w:jc w:val="center"/>
            </w:pPr>
            <w:r>
              <w:rPr>
                <w:sz w:val="21"/>
                <w:szCs w:val="21"/>
              </w:rPr>
              <w:t>5年以上工作经验，熟悉</w:t>
            </w:r>
            <w:r>
              <w:rPr>
                <w:rFonts w:hint="eastAsia"/>
                <w:sz w:val="21"/>
                <w:szCs w:val="21"/>
              </w:rPr>
              <w:t>国产</w:t>
            </w:r>
            <w:r>
              <w:rPr>
                <w:sz w:val="21"/>
                <w:szCs w:val="21"/>
              </w:rPr>
              <w:t>数据库</w:t>
            </w:r>
            <w:r>
              <w:rPr>
                <w:rFonts w:hint="eastAsia"/>
                <w:sz w:val="21"/>
                <w:szCs w:val="21"/>
              </w:rPr>
              <w:t>，有类似项目开发经验</w:t>
            </w:r>
          </w:p>
        </w:tc>
        <w:tc>
          <w:tcPr>
            <w:tcW w:w="0" w:type="auto"/>
            <w:noWrap/>
            <w:vAlign w:val="center"/>
          </w:tcPr>
          <w:p w14:paraId="2092702A">
            <w:pPr>
              <w:widowControl/>
              <w:spacing w:line="240" w:lineRule="auto"/>
              <w:ind w:firstLine="0" w:firstLineChars="0"/>
              <w:jc w:val="center"/>
            </w:pPr>
            <w:r>
              <w:rPr>
                <w:rFonts w:hint="eastAsia"/>
                <w:sz w:val="21"/>
                <w:szCs w:val="21"/>
              </w:rPr>
              <w:t>不驻场</w:t>
            </w:r>
          </w:p>
        </w:tc>
      </w:tr>
      <w:tr w14:paraId="0EA70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C37570F">
            <w:pPr>
              <w:widowControl/>
              <w:spacing w:line="240" w:lineRule="auto"/>
              <w:ind w:firstLine="0" w:firstLineChars="0"/>
              <w:jc w:val="center"/>
            </w:pPr>
            <w:r>
              <w:rPr>
                <w:rFonts w:hint="eastAsia"/>
                <w:sz w:val="21"/>
                <w:szCs w:val="21"/>
              </w:rPr>
              <w:t>产品经理</w:t>
            </w:r>
          </w:p>
        </w:tc>
        <w:tc>
          <w:tcPr>
            <w:tcW w:w="1961" w:type="dxa"/>
            <w:noWrap/>
            <w:vAlign w:val="center"/>
          </w:tcPr>
          <w:p w14:paraId="1F354766">
            <w:pPr>
              <w:widowControl/>
              <w:spacing w:line="240" w:lineRule="auto"/>
              <w:ind w:firstLine="0" w:firstLineChars="0"/>
              <w:jc w:val="center"/>
            </w:pPr>
            <w:r>
              <w:rPr>
                <w:rFonts w:hint="eastAsia"/>
                <w:sz w:val="21"/>
                <w:szCs w:val="21"/>
              </w:rPr>
              <w:t>负责项目需求评估与产品设计</w:t>
            </w:r>
          </w:p>
        </w:tc>
        <w:tc>
          <w:tcPr>
            <w:tcW w:w="992" w:type="dxa"/>
            <w:noWrap/>
            <w:vAlign w:val="center"/>
          </w:tcPr>
          <w:p w14:paraId="7A54C874">
            <w:pPr>
              <w:widowControl/>
              <w:spacing w:line="240" w:lineRule="auto"/>
              <w:ind w:firstLine="0" w:firstLineChars="0"/>
              <w:jc w:val="center"/>
            </w:pPr>
            <w:r>
              <w:rPr>
                <w:rFonts w:hint="eastAsia"/>
                <w:sz w:val="21"/>
                <w:szCs w:val="21"/>
              </w:rPr>
              <w:t>2人</w:t>
            </w:r>
          </w:p>
        </w:tc>
        <w:tc>
          <w:tcPr>
            <w:tcW w:w="3129" w:type="dxa"/>
            <w:vAlign w:val="center"/>
          </w:tcPr>
          <w:p w14:paraId="3292B237">
            <w:pPr>
              <w:widowControl/>
              <w:spacing w:line="240" w:lineRule="auto"/>
              <w:ind w:firstLine="0" w:firstLineChars="0"/>
              <w:jc w:val="center"/>
              <w:rPr>
                <w:rFonts w:hint="eastAsia"/>
                <w:sz w:val="21"/>
                <w:szCs w:val="21"/>
              </w:rPr>
            </w:pPr>
            <w:r>
              <w:rPr>
                <w:rFonts w:hint="eastAsia"/>
                <w:sz w:val="21"/>
                <w:szCs w:val="21"/>
              </w:rPr>
              <w:t>计算机相关专业</w:t>
            </w:r>
            <w:r>
              <w:rPr>
                <w:rFonts w:hint="eastAsia"/>
                <w:sz w:val="21"/>
                <w:szCs w:val="21"/>
                <w:lang w:eastAsia="zh-CN"/>
              </w:rPr>
              <w:t>本科以上学历</w:t>
            </w:r>
          </w:p>
          <w:p w14:paraId="114AC7F7">
            <w:pPr>
              <w:widowControl/>
              <w:spacing w:line="240" w:lineRule="auto"/>
              <w:ind w:firstLine="0" w:firstLineChars="0"/>
              <w:jc w:val="center"/>
            </w:pPr>
            <w:r>
              <w:rPr>
                <w:rFonts w:hint="eastAsia"/>
                <w:sz w:val="21"/>
                <w:szCs w:val="21"/>
              </w:rPr>
              <w:t>1</w:t>
            </w:r>
            <w:r>
              <w:rPr>
                <w:sz w:val="21"/>
                <w:szCs w:val="21"/>
              </w:rPr>
              <w:t>0年以上工作经验</w:t>
            </w:r>
          </w:p>
        </w:tc>
        <w:tc>
          <w:tcPr>
            <w:tcW w:w="0" w:type="auto"/>
            <w:noWrap/>
            <w:vAlign w:val="center"/>
          </w:tcPr>
          <w:p w14:paraId="2713C267">
            <w:pPr>
              <w:widowControl/>
              <w:spacing w:line="240" w:lineRule="auto"/>
              <w:ind w:firstLine="0" w:firstLineChars="0"/>
              <w:jc w:val="center"/>
            </w:pPr>
            <w:r>
              <w:rPr>
                <w:rFonts w:hint="eastAsia"/>
                <w:sz w:val="21"/>
                <w:szCs w:val="21"/>
              </w:rPr>
              <w:t>不驻场</w:t>
            </w:r>
          </w:p>
        </w:tc>
      </w:tr>
      <w:tr w14:paraId="7E70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603D67D0">
            <w:pPr>
              <w:widowControl/>
              <w:spacing w:line="240" w:lineRule="auto"/>
              <w:ind w:firstLine="0" w:firstLineChars="0"/>
              <w:jc w:val="center"/>
            </w:pPr>
            <w:r>
              <w:rPr>
                <w:rFonts w:hint="eastAsia"/>
                <w:sz w:val="21"/>
                <w:szCs w:val="21"/>
              </w:rPr>
              <w:t>研发</w:t>
            </w:r>
          </w:p>
        </w:tc>
        <w:tc>
          <w:tcPr>
            <w:tcW w:w="1961" w:type="dxa"/>
            <w:noWrap/>
            <w:vAlign w:val="center"/>
          </w:tcPr>
          <w:p w14:paraId="12F0D7F0">
            <w:pPr>
              <w:widowControl/>
              <w:spacing w:line="240" w:lineRule="auto"/>
              <w:ind w:firstLine="0" w:firstLineChars="0"/>
              <w:jc w:val="center"/>
            </w:pPr>
            <w:r>
              <w:rPr>
                <w:rFonts w:hint="eastAsia"/>
                <w:sz w:val="21"/>
                <w:szCs w:val="21"/>
              </w:rPr>
              <w:t>负责项目具体开发与实施</w:t>
            </w:r>
          </w:p>
        </w:tc>
        <w:tc>
          <w:tcPr>
            <w:tcW w:w="992" w:type="dxa"/>
            <w:noWrap/>
            <w:vAlign w:val="center"/>
          </w:tcPr>
          <w:p w14:paraId="10E13C79">
            <w:pPr>
              <w:widowControl/>
              <w:spacing w:line="240" w:lineRule="auto"/>
              <w:ind w:firstLine="0" w:firstLineChars="0"/>
              <w:jc w:val="center"/>
            </w:pPr>
            <w:r>
              <w:rPr>
                <w:rFonts w:hint="eastAsia"/>
                <w:sz w:val="21"/>
                <w:szCs w:val="21"/>
              </w:rPr>
              <w:t>至少3人</w:t>
            </w:r>
          </w:p>
        </w:tc>
        <w:tc>
          <w:tcPr>
            <w:tcW w:w="3129" w:type="dxa"/>
            <w:vAlign w:val="center"/>
          </w:tcPr>
          <w:p w14:paraId="1DA05976">
            <w:pPr>
              <w:widowControl/>
              <w:spacing w:line="240" w:lineRule="auto"/>
              <w:ind w:firstLine="0" w:firstLineChars="0"/>
              <w:jc w:val="center"/>
            </w:pPr>
          </w:p>
        </w:tc>
        <w:tc>
          <w:tcPr>
            <w:tcW w:w="0" w:type="auto"/>
            <w:noWrap/>
            <w:vAlign w:val="center"/>
          </w:tcPr>
          <w:p w14:paraId="55B6DD8D">
            <w:pPr>
              <w:widowControl/>
              <w:spacing w:line="240" w:lineRule="auto"/>
              <w:ind w:firstLine="0" w:firstLineChars="0"/>
              <w:jc w:val="center"/>
            </w:pPr>
            <w:r>
              <w:rPr>
                <w:rFonts w:hint="eastAsia"/>
                <w:sz w:val="21"/>
                <w:szCs w:val="21"/>
              </w:rPr>
              <w:t>不驻场</w:t>
            </w:r>
          </w:p>
        </w:tc>
      </w:tr>
    </w:tbl>
    <w:p w14:paraId="1BB0C6B7">
      <w:r>
        <w:t>2）投标人应针对本项目提供不少于</w:t>
      </w:r>
      <w:r>
        <w:rPr>
          <w:rFonts w:hint="eastAsia"/>
        </w:rPr>
        <w:t>4</w:t>
      </w:r>
      <w:r>
        <w:t>人的质保期间支撑团队（其中技术经理</w:t>
      </w:r>
      <w:r>
        <w:rPr>
          <w:rFonts w:hint="eastAsia"/>
        </w:rPr>
        <w:t>1</w:t>
      </w:r>
      <w:r>
        <w:t>人，产品经理</w:t>
      </w:r>
      <w:r>
        <w:rPr>
          <w:rFonts w:hint="eastAsia"/>
        </w:rPr>
        <w:t>1</w:t>
      </w:r>
      <w:r>
        <w:t>人，技术工程师不少于</w:t>
      </w:r>
      <w:r>
        <w:rPr>
          <w:rFonts w:hint="eastAsia"/>
        </w:rPr>
        <w:t>2</w:t>
      </w:r>
      <w:r>
        <w:t>人）；投标人的相关服务人员需具备相应的服务能力，需提供相关证明（最近一个季度依法缴纳社保费的证明）</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2130"/>
        <w:gridCol w:w="1180"/>
        <w:gridCol w:w="2622"/>
        <w:gridCol w:w="1180"/>
      </w:tblGrid>
      <w:tr w14:paraId="5E38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58FCCD1D">
            <w:pPr>
              <w:widowControl/>
              <w:spacing w:line="240" w:lineRule="auto"/>
              <w:ind w:firstLine="0" w:firstLineChars="0"/>
              <w:jc w:val="center"/>
              <w:rPr>
                <w:b/>
              </w:rPr>
            </w:pPr>
            <w:r>
              <w:rPr>
                <w:rFonts w:hint="eastAsia"/>
                <w:b/>
              </w:rPr>
              <w:t>角色</w:t>
            </w:r>
          </w:p>
        </w:tc>
        <w:tc>
          <w:tcPr>
            <w:tcW w:w="0" w:type="auto"/>
            <w:noWrap/>
            <w:vAlign w:val="center"/>
          </w:tcPr>
          <w:p w14:paraId="1D04E041">
            <w:pPr>
              <w:widowControl/>
              <w:spacing w:line="240" w:lineRule="auto"/>
              <w:ind w:firstLine="0" w:firstLineChars="0"/>
              <w:jc w:val="center"/>
              <w:rPr>
                <w:b/>
              </w:rPr>
            </w:pPr>
            <w:r>
              <w:rPr>
                <w:rFonts w:hint="eastAsia"/>
                <w:b/>
              </w:rPr>
              <w:t>主要职责</w:t>
            </w:r>
          </w:p>
        </w:tc>
        <w:tc>
          <w:tcPr>
            <w:tcW w:w="0" w:type="auto"/>
            <w:noWrap/>
            <w:vAlign w:val="center"/>
          </w:tcPr>
          <w:p w14:paraId="4771E868">
            <w:pPr>
              <w:widowControl/>
              <w:spacing w:line="240" w:lineRule="auto"/>
              <w:ind w:firstLine="0" w:firstLineChars="0"/>
              <w:jc w:val="center"/>
              <w:rPr>
                <w:b/>
              </w:rPr>
            </w:pPr>
            <w:r>
              <w:rPr>
                <w:rFonts w:hint="eastAsia"/>
                <w:b/>
              </w:rPr>
              <w:t>人员数量</w:t>
            </w:r>
          </w:p>
        </w:tc>
        <w:tc>
          <w:tcPr>
            <w:tcW w:w="0" w:type="auto"/>
            <w:vAlign w:val="center"/>
          </w:tcPr>
          <w:p w14:paraId="672E96C7">
            <w:pPr>
              <w:widowControl/>
              <w:spacing w:line="240" w:lineRule="auto"/>
              <w:ind w:firstLine="0" w:firstLineChars="0"/>
              <w:jc w:val="center"/>
              <w:rPr>
                <w:b/>
              </w:rPr>
            </w:pPr>
            <w:r>
              <w:rPr>
                <w:rFonts w:hint="eastAsia"/>
                <w:b/>
              </w:rPr>
              <w:t>人员要求</w:t>
            </w:r>
          </w:p>
        </w:tc>
        <w:tc>
          <w:tcPr>
            <w:tcW w:w="0" w:type="auto"/>
            <w:noWrap/>
            <w:vAlign w:val="center"/>
          </w:tcPr>
          <w:p w14:paraId="04F5358C">
            <w:pPr>
              <w:widowControl/>
              <w:spacing w:line="240" w:lineRule="auto"/>
              <w:ind w:firstLine="0" w:firstLineChars="0"/>
              <w:jc w:val="center"/>
              <w:rPr>
                <w:b/>
              </w:rPr>
            </w:pPr>
            <w:r>
              <w:rPr>
                <w:rFonts w:hint="eastAsia"/>
                <w:b/>
              </w:rPr>
              <w:t>驻场要求</w:t>
            </w:r>
          </w:p>
        </w:tc>
      </w:tr>
      <w:tr w14:paraId="1B05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1564A532">
            <w:pPr>
              <w:widowControl/>
              <w:spacing w:line="240" w:lineRule="auto"/>
              <w:ind w:firstLine="0" w:firstLineChars="0"/>
              <w:jc w:val="center"/>
            </w:pPr>
            <w:r>
              <w:rPr>
                <w:rFonts w:hint="eastAsia"/>
              </w:rPr>
              <w:t>项目经理</w:t>
            </w:r>
          </w:p>
        </w:tc>
        <w:tc>
          <w:tcPr>
            <w:tcW w:w="2130" w:type="dxa"/>
            <w:vAlign w:val="center"/>
          </w:tcPr>
          <w:p w14:paraId="523A24EA">
            <w:pPr>
              <w:widowControl/>
              <w:spacing w:line="240" w:lineRule="auto"/>
              <w:ind w:firstLine="0" w:firstLineChars="0"/>
              <w:jc w:val="center"/>
            </w:pPr>
            <w:r>
              <w:rPr>
                <w:rFonts w:hint="eastAsia"/>
              </w:rPr>
              <w:t>负责项目质量和进度控制</w:t>
            </w:r>
          </w:p>
        </w:tc>
        <w:tc>
          <w:tcPr>
            <w:tcW w:w="957" w:type="dxa"/>
            <w:noWrap/>
            <w:vAlign w:val="center"/>
          </w:tcPr>
          <w:p w14:paraId="26A29C05">
            <w:pPr>
              <w:widowControl/>
              <w:spacing w:line="240" w:lineRule="auto"/>
              <w:ind w:firstLine="0" w:firstLineChars="0"/>
              <w:jc w:val="center"/>
            </w:pPr>
            <w:r>
              <w:t>1</w:t>
            </w:r>
            <w:r>
              <w:rPr>
                <w:rFonts w:hint="eastAsia"/>
              </w:rPr>
              <w:t>人</w:t>
            </w:r>
          </w:p>
        </w:tc>
        <w:tc>
          <w:tcPr>
            <w:tcW w:w="2845" w:type="dxa"/>
            <w:vAlign w:val="center"/>
          </w:tcPr>
          <w:p w14:paraId="24923F6E">
            <w:pPr>
              <w:widowControl/>
              <w:numPr>
                <w:ilvl w:val="0"/>
                <w:numId w:val="7"/>
              </w:numPr>
              <w:spacing w:line="240" w:lineRule="auto"/>
              <w:ind w:firstLine="0" w:firstLineChars="0"/>
            </w:pPr>
            <w:r>
              <w:rPr>
                <w:rFonts w:hint="eastAsia"/>
              </w:rPr>
              <w:t>计算机类或电子信息类全日制大学本科以上学历；</w:t>
            </w:r>
          </w:p>
          <w:p w14:paraId="477BF634">
            <w:pPr>
              <w:widowControl/>
              <w:spacing w:line="240" w:lineRule="auto"/>
              <w:ind w:firstLine="0" w:firstLineChars="0"/>
              <w:jc w:val="center"/>
            </w:pPr>
            <w:r>
              <w:t>10年以上</w:t>
            </w:r>
            <w:r>
              <w:rPr>
                <w:rFonts w:hint="eastAsia"/>
              </w:rPr>
              <w:t>类似项目</w:t>
            </w:r>
            <w:r>
              <w:t>管理经验</w:t>
            </w:r>
          </w:p>
        </w:tc>
        <w:tc>
          <w:tcPr>
            <w:tcW w:w="0" w:type="auto"/>
            <w:noWrap/>
            <w:vAlign w:val="center"/>
          </w:tcPr>
          <w:p w14:paraId="1C50E1E0">
            <w:pPr>
              <w:widowControl/>
              <w:spacing w:line="240" w:lineRule="auto"/>
              <w:ind w:firstLine="0" w:firstLineChars="0"/>
              <w:jc w:val="center"/>
            </w:pPr>
            <w:r>
              <w:rPr>
                <w:rFonts w:hint="eastAsia"/>
                <w:sz w:val="21"/>
                <w:szCs w:val="21"/>
              </w:rPr>
              <w:t>不驻场</w:t>
            </w:r>
          </w:p>
        </w:tc>
      </w:tr>
      <w:tr w14:paraId="389F9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458E7DB5">
            <w:pPr>
              <w:widowControl/>
              <w:spacing w:line="240" w:lineRule="auto"/>
              <w:ind w:firstLine="0" w:firstLineChars="0"/>
              <w:jc w:val="center"/>
            </w:pPr>
            <w:r>
              <w:rPr>
                <w:rFonts w:hint="eastAsia"/>
              </w:rPr>
              <w:t>产品经理</w:t>
            </w:r>
          </w:p>
        </w:tc>
        <w:tc>
          <w:tcPr>
            <w:tcW w:w="2130" w:type="dxa"/>
            <w:vAlign w:val="center"/>
          </w:tcPr>
          <w:p w14:paraId="117785EC">
            <w:pPr>
              <w:widowControl/>
              <w:spacing w:line="240" w:lineRule="auto"/>
              <w:ind w:firstLine="0" w:firstLineChars="0"/>
              <w:jc w:val="center"/>
            </w:pPr>
            <w:r>
              <w:rPr>
                <w:rFonts w:hint="eastAsia"/>
              </w:rPr>
              <w:t>负责项目需求评估与产品设计</w:t>
            </w:r>
          </w:p>
        </w:tc>
        <w:tc>
          <w:tcPr>
            <w:tcW w:w="957" w:type="dxa"/>
            <w:noWrap/>
            <w:vAlign w:val="center"/>
          </w:tcPr>
          <w:p w14:paraId="3DCEEC82">
            <w:pPr>
              <w:widowControl/>
              <w:spacing w:line="240" w:lineRule="auto"/>
              <w:ind w:firstLine="0" w:firstLineChars="0"/>
              <w:jc w:val="center"/>
            </w:pPr>
            <w:r>
              <w:t>1</w:t>
            </w:r>
            <w:r>
              <w:rPr>
                <w:rFonts w:hint="eastAsia"/>
              </w:rPr>
              <w:t>人</w:t>
            </w:r>
          </w:p>
        </w:tc>
        <w:tc>
          <w:tcPr>
            <w:tcW w:w="2845" w:type="dxa"/>
            <w:vAlign w:val="center"/>
          </w:tcPr>
          <w:p w14:paraId="1DA5C13D">
            <w:pPr>
              <w:widowControl/>
              <w:spacing w:line="240" w:lineRule="auto"/>
              <w:ind w:firstLine="0" w:firstLineChars="0"/>
              <w:jc w:val="center"/>
            </w:pPr>
            <w:r>
              <w:rPr>
                <w:rFonts w:hint="eastAsia"/>
                <w:sz w:val="21"/>
                <w:szCs w:val="21"/>
              </w:rPr>
              <w:t>计算机相关专业</w:t>
            </w:r>
            <w:r>
              <w:rPr>
                <w:rFonts w:hint="eastAsia"/>
                <w:sz w:val="21"/>
                <w:szCs w:val="21"/>
                <w:lang w:eastAsia="zh-CN"/>
              </w:rPr>
              <w:t>本科</w:t>
            </w:r>
            <w:r>
              <w:rPr>
                <w:rFonts w:hint="eastAsia"/>
                <w:sz w:val="21"/>
                <w:szCs w:val="21"/>
              </w:rPr>
              <w:t>毕业</w:t>
            </w:r>
            <w:r>
              <w:rPr>
                <w:sz w:val="21"/>
                <w:szCs w:val="21"/>
              </w:rPr>
              <w:t>10年以上工作经验</w:t>
            </w:r>
          </w:p>
        </w:tc>
        <w:tc>
          <w:tcPr>
            <w:tcW w:w="0" w:type="auto"/>
            <w:noWrap/>
            <w:vAlign w:val="center"/>
          </w:tcPr>
          <w:p w14:paraId="419525ED">
            <w:pPr>
              <w:widowControl/>
              <w:spacing w:line="240" w:lineRule="auto"/>
              <w:ind w:firstLine="0" w:firstLineChars="0"/>
              <w:jc w:val="center"/>
            </w:pPr>
            <w:r>
              <w:rPr>
                <w:rFonts w:hint="eastAsia"/>
                <w:sz w:val="21"/>
                <w:szCs w:val="21"/>
              </w:rPr>
              <w:t>不驻场</w:t>
            </w:r>
          </w:p>
        </w:tc>
      </w:tr>
      <w:tr w14:paraId="7C8A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noWrap/>
            <w:vAlign w:val="center"/>
          </w:tcPr>
          <w:p w14:paraId="39AC5D7E">
            <w:pPr>
              <w:widowControl/>
              <w:spacing w:line="240" w:lineRule="auto"/>
              <w:ind w:firstLine="0" w:firstLineChars="0"/>
              <w:jc w:val="center"/>
            </w:pPr>
            <w:r>
              <w:rPr>
                <w:rFonts w:hint="eastAsia"/>
              </w:rPr>
              <w:t>技术工程师</w:t>
            </w:r>
          </w:p>
        </w:tc>
        <w:tc>
          <w:tcPr>
            <w:tcW w:w="2130" w:type="dxa"/>
            <w:noWrap/>
            <w:vAlign w:val="center"/>
          </w:tcPr>
          <w:p w14:paraId="1DEF6C63">
            <w:pPr>
              <w:widowControl/>
              <w:spacing w:line="240" w:lineRule="auto"/>
              <w:ind w:firstLine="0" w:firstLineChars="0"/>
              <w:jc w:val="center"/>
            </w:pPr>
            <w:r>
              <w:rPr>
                <w:rFonts w:hint="eastAsia"/>
              </w:rPr>
              <w:t>负责项目运行维护</w:t>
            </w:r>
          </w:p>
        </w:tc>
        <w:tc>
          <w:tcPr>
            <w:tcW w:w="957" w:type="dxa"/>
            <w:noWrap/>
            <w:vAlign w:val="center"/>
          </w:tcPr>
          <w:p w14:paraId="1C440AC9">
            <w:pPr>
              <w:widowControl/>
              <w:spacing w:line="240" w:lineRule="auto"/>
              <w:ind w:firstLine="0" w:firstLineChars="0"/>
              <w:jc w:val="center"/>
            </w:pPr>
            <w:r>
              <w:t>2</w:t>
            </w:r>
            <w:r>
              <w:rPr>
                <w:rFonts w:hint="eastAsia"/>
              </w:rPr>
              <w:t>人</w:t>
            </w:r>
          </w:p>
        </w:tc>
        <w:tc>
          <w:tcPr>
            <w:tcW w:w="2845" w:type="dxa"/>
            <w:vAlign w:val="center"/>
          </w:tcPr>
          <w:p w14:paraId="2DFFAA18">
            <w:pPr>
              <w:widowControl/>
              <w:spacing w:line="240" w:lineRule="auto"/>
              <w:ind w:firstLine="0" w:firstLineChars="0"/>
              <w:jc w:val="center"/>
            </w:pPr>
          </w:p>
        </w:tc>
        <w:tc>
          <w:tcPr>
            <w:tcW w:w="0" w:type="auto"/>
            <w:noWrap/>
            <w:vAlign w:val="center"/>
          </w:tcPr>
          <w:p w14:paraId="4A7EAC4E">
            <w:pPr>
              <w:widowControl/>
              <w:spacing w:line="240" w:lineRule="auto"/>
              <w:ind w:firstLine="0" w:firstLineChars="0"/>
              <w:jc w:val="center"/>
            </w:pPr>
            <w:r>
              <w:rPr>
                <w:rFonts w:hint="eastAsia"/>
                <w:sz w:val="21"/>
                <w:szCs w:val="21"/>
              </w:rPr>
              <w:t>不驻场</w:t>
            </w:r>
          </w:p>
        </w:tc>
      </w:tr>
    </w:tbl>
    <w:p w14:paraId="36A750CE">
      <w:pPr>
        <w:pStyle w:val="3"/>
      </w:pPr>
      <w:bookmarkStart w:id="32" w:name="_Toc63785511"/>
      <w:r>
        <w:t>等级保护要求</w:t>
      </w:r>
      <w:bookmarkEnd w:id="32"/>
    </w:p>
    <w:p w14:paraId="604B5C96">
      <w:r>
        <w:t>本项目等级保护要求：参照等保</w:t>
      </w:r>
      <w:r>
        <w:rPr>
          <w:rFonts w:hint="eastAsia"/>
        </w:rPr>
        <w:t>二</w:t>
      </w:r>
      <w:r>
        <w:t>级要求建设。</w:t>
      </w:r>
    </w:p>
    <w:p w14:paraId="3C894305">
      <w:pPr>
        <w:pStyle w:val="3"/>
      </w:pPr>
      <w:r>
        <w:rPr>
          <w:rFonts w:hint="eastAsia"/>
        </w:rPr>
        <w:t>商用密码应用需求</w:t>
      </w:r>
    </w:p>
    <w:p w14:paraId="5C299ABA">
      <w:r>
        <w:t>根据《密码应用基本要求》《密码应用设计指南》，结合系统密码应用现状，从计算平台、业务应用、安全管理等层面，围绕重要数据、系统角色、关键软硬件设备、关键业务环节、关键操作行为等重点对象,对本系统进行风险分析。</w:t>
      </w:r>
    </w:p>
    <w:tbl>
      <w:tblPr>
        <w:tblStyle w:val="3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08"/>
        <w:gridCol w:w="611"/>
        <w:gridCol w:w="1878"/>
        <w:gridCol w:w="4033"/>
        <w:gridCol w:w="1398"/>
      </w:tblGrid>
      <w:tr w14:paraId="19851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1257" w:type="dxa"/>
            <w:gridSpan w:val="2"/>
            <w:shd w:val="clear" w:color="auto" w:fill="FFFFFF"/>
            <w:vAlign w:val="center"/>
          </w:tcPr>
          <w:p w14:paraId="27B1B9B3">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安全层面</w:t>
            </w:r>
          </w:p>
        </w:tc>
        <w:tc>
          <w:tcPr>
            <w:tcW w:w="2026" w:type="dxa"/>
            <w:shd w:val="clear" w:color="auto" w:fill="FFFFFF"/>
            <w:vAlign w:val="center"/>
          </w:tcPr>
          <w:p w14:paraId="2D4D9E7E">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指标要求</w:t>
            </w:r>
          </w:p>
        </w:tc>
        <w:tc>
          <w:tcPr>
            <w:tcW w:w="4297" w:type="dxa"/>
            <w:shd w:val="clear" w:color="auto" w:fill="FFFFFF"/>
            <w:vAlign w:val="center"/>
          </w:tcPr>
          <w:p w14:paraId="3E2CB300">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系统密码应用需求</w:t>
            </w:r>
          </w:p>
        </w:tc>
        <w:tc>
          <w:tcPr>
            <w:tcW w:w="1475" w:type="dxa"/>
            <w:shd w:val="clear" w:color="auto" w:fill="FFFFFF"/>
            <w:vAlign w:val="center"/>
          </w:tcPr>
          <w:p w14:paraId="17E5E92E">
            <w:pPr>
              <w:spacing w:line="240" w:lineRule="auto"/>
              <w:ind w:firstLine="0" w:firstLineChars="0"/>
              <w:jc w:val="center"/>
              <w:textAlignment w:val="center"/>
              <w:rPr>
                <w:rFonts w:cs="仿宋" w:asciiTheme="minorEastAsia" w:hAnsiTheme="minorEastAsia" w:eastAsiaTheme="minorEastAsia"/>
                <w:b/>
                <w:bCs/>
                <w:sz w:val="21"/>
                <w:szCs w:val="21"/>
              </w:rPr>
            </w:pPr>
            <w:r>
              <w:rPr>
                <w:rFonts w:hint="eastAsia" w:cs="仿宋" w:asciiTheme="minorEastAsia" w:hAnsiTheme="minorEastAsia" w:eastAsiaTheme="minorEastAsia"/>
                <w:b/>
                <w:bCs/>
                <w:sz w:val="21"/>
                <w:szCs w:val="21"/>
                <w:lang w:bidi="ar"/>
              </w:rPr>
              <w:t>不适用说明</w:t>
            </w:r>
          </w:p>
        </w:tc>
      </w:tr>
      <w:tr w14:paraId="59E95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restart"/>
            <w:shd w:val="clear" w:color="auto" w:fill="FFFFFF"/>
          </w:tcPr>
          <w:p w14:paraId="658F0027">
            <w:pPr>
              <w:spacing w:line="240" w:lineRule="auto"/>
              <w:ind w:firstLine="0" w:firstLineChars="0"/>
              <w:jc w:val="center"/>
              <w:textAlignment w:val="center"/>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计算平台安全</w:t>
            </w:r>
          </w:p>
        </w:tc>
        <w:tc>
          <w:tcPr>
            <w:tcW w:w="630" w:type="dxa"/>
            <w:vMerge w:val="restart"/>
            <w:shd w:val="clear" w:color="auto" w:fill="FFFFFF"/>
            <w:vAlign w:val="center"/>
          </w:tcPr>
          <w:p w14:paraId="134C6A96">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物理和环境安全</w:t>
            </w:r>
          </w:p>
        </w:tc>
        <w:tc>
          <w:tcPr>
            <w:tcW w:w="2026" w:type="dxa"/>
            <w:shd w:val="clear" w:color="auto" w:fill="FFFFFF"/>
            <w:vAlign w:val="center"/>
          </w:tcPr>
          <w:p w14:paraId="046201E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297" w:type="dxa"/>
            <w:shd w:val="clear" w:color="auto" w:fill="FFFFFF"/>
            <w:vAlign w:val="center"/>
          </w:tcPr>
          <w:p w14:paraId="1F1EDA7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pacing w:val="21"/>
                <w:sz w:val="21"/>
                <w:szCs w:val="21"/>
              </w:rPr>
              <w:t>确</w:t>
            </w:r>
            <w:r>
              <w:rPr>
                <w:rFonts w:hint="eastAsia" w:cs="仿宋" w:asciiTheme="minorEastAsia" w:hAnsiTheme="minorEastAsia" w:eastAsiaTheme="minorEastAsia"/>
                <w:spacing w:val="17"/>
                <w:sz w:val="21"/>
                <w:szCs w:val="21"/>
              </w:rPr>
              <w:t>认进入机房人员身份的真实</w:t>
            </w:r>
            <w:r>
              <w:rPr>
                <w:rFonts w:hint="eastAsia" w:cs="仿宋" w:asciiTheme="minorEastAsia" w:hAnsiTheme="minorEastAsia" w:eastAsiaTheme="minorEastAsia"/>
                <w:spacing w:val="10"/>
                <w:sz w:val="21"/>
                <w:szCs w:val="21"/>
              </w:rPr>
              <w:t>性</w:t>
            </w:r>
            <w:r>
              <w:rPr>
                <w:rFonts w:hint="eastAsia" w:cs="仿宋" w:asciiTheme="minorEastAsia" w:hAnsiTheme="minorEastAsia" w:eastAsiaTheme="minorEastAsia"/>
                <w:spacing w:val="7"/>
                <w:sz w:val="21"/>
                <w:szCs w:val="21"/>
              </w:rPr>
              <w:t>，防止假冒人员进入。</w:t>
            </w:r>
          </w:p>
        </w:tc>
        <w:tc>
          <w:tcPr>
            <w:tcW w:w="1475" w:type="dxa"/>
            <w:vMerge w:val="restart"/>
            <w:shd w:val="clear" w:color="auto" w:fill="FFFFFF"/>
            <w:vAlign w:val="center"/>
          </w:tcPr>
          <w:p w14:paraId="49B8B0E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系统的物理和环境安全由云平台提供安全保障</w:t>
            </w:r>
            <w:r>
              <w:rPr>
                <w:rFonts w:cs="仿宋" w:asciiTheme="minorEastAsia" w:hAnsiTheme="minorEastAsia" w:eastAsiaTheme="minorEastAsia"/>
                <w:sz w:val="21"/>
                <w:szCs w:val="21"/>
                <w:lang w:bidi="ar"/>
              </w:rPr>
              <w:t>。</w:t>
            </w:r>
          </w:p>
        </w:tc>
      </w:tr>
      <w:tr w14:paraId="58439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2BD7D144">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44B1C971">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29A9F972">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电子门禁记录数据完整性</w:t>
            </w:r>
          </w:p>
        </w:tc>
        <w:tc>
          <w:tcPr>
            <w:tcW w:w="4297" w:type="dxa"/>
            <w:shd w:val="clear" w:color="auto" w:fill="FFFFFF"/>
            <w:vAlign w:val="center"/>
          </w:tcPr>
          <w:p w14:paraId="3751C5D8">
            <w:pPr>
              <w:spacing w:line="240" w:lineRule="auto"/>
              <w:ind w:firstLine="0" w:firstLineChars="0"/>
              <w:rPr>
                <w:rFonts w:cs="仿宋" w:asciiTheme="minorEastAsia" w:hAnsiTheme="minorEastAsia" w:eastAsiaTheme="minorEastAsia"/>
                <w:sz w:val="21"/>
                <w:szCs w:val="21"/>
              </w:rPr>
            </w:pPr>
            <w:r>
              <w:rPr>
                <w:rFonts w:hint="eastAsia" w:cs="仿宋" w:asciiTheme="minorEastAsia" w:hAnsiTheme="minorEastAsia" w:eastAsiaTheme="minorEastAsia"/>
                <w:spacing w:val="21"/>
                <w:sz w:val="21"/>
                <w:szCs w:val="21"/>
              </w:rPr>
              <w:t>保</w:t>
            </w:r>
            <w:r>
              <w:rPr>
                <w:rFonts w:hint="eastAsia" w:cs="仿宋" w:asciiTheme="minorEastAsia" w:hAnsiTheme="minorEastAsia" w:eastAsiaTheme="minorEastAsia"/>
                <w:spacing w:val="17"/>
                <w:sz w:val="21"/>
                <w:szCs w:val="21"/>
              </w:rPr>
              <w:t>护电子门禁系统进出记录的完整性，</w:t>
            </w:r>
            <w:r>
              <w:rPr>
                <w:rFonts w:hint="eastAsia" w:cs="仿宋" w:asciiTheme="minorEastAsia" w:hAnsiTheme="minorEastAsia" w:eastAsiaTheme="minorEastAsia"/>
                <w:spacing w:val="9"/>
                <w:sz w:val="21"/>
                <w:szCs w:val="21"/>
              </w:rPr>
              <w:t>防</w:t>
            </w:r>
            <w:r>
              <w:rPr>
                <w:rFonts w:hint="eastAsia" w:cs="仿宋" w:asciiTheme="minorEastAsia" w:hAnsiTheme="minorEastAsia" w:eastAsiaTheme="minorEastAsia"/>
                <w:spacing w:val="7"/>
                <w:sz w:val="21"/>
                <w:szCs w:val="21"/>
              </w:rPr>
              <w:t>止被非授权篡改。</w:t>
            </w:r>
          </w:p>
        </w:tc>
        <w:tc>
          <w:tcPr>
            <w:tcW w:w="1475" w:type="dxa"/>
            <w:vMerge w:val="continue"/>
            <w:shd w:val="clear" w:color="auto" w:fill="FFFFFF"/>
            <w:vAlign w:val="center"/>
          </w:tcPr>
          <w:p w14:paraId="6B44C936">
            <w:pPr>
              <w:spacing w:line="240" w:lineRule="auto"/>
              <w:ind w:firstLine="0" w:firstLineChars="0"/>
              <w:rPr>
                <w:rFonts w:cs="仿宋" w:asciiTheme="minorEastAsia" w:hAnsiTheme="minorEastAsia" w:eastAsiaTheme="minorEastAsia"/>
                <w:sz w:val="21"/>
                <w:szCs w:val="21"/>
              </w:rPr>
            </w:pPr>
          </w:p>
        </w:tc>
      </w:tr>
      <w:tr w14:paraId="3137A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23092D0D">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004FF92D">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40423DE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297" w:type="dxa"/>
            <w:shd w:val="clear" w:color="auto" w:fill="FFFFFF"/>
            <w:vAlign w:val="center"/>
          </w:tcPr>
          <w:p w14:paraId="5B3917FD">
            <w:pPr>
              <w:spacing w:line="240" w:lineRule="auto"/>
              <w:ind w:firstLine="0" w:firstLineChars="0"/>
              <w:rPr>
                <w:rFonts w:cs="仿宋" w:asciiTheme="minorEastAsia" w:hAnsiTheme="minorEastAsia" w:eastAsiaTheme="minorEastAsia"/>
                <w:spacing w:val="17"/>
                <w:sz w:val="21"/>
                <w:szCs w:val="21"/>
              </w:rPr>
            </w:pPr>
            <w:r>
              <w:rPr>
                <w:rFonts w:hint="eastAsia" w:cs="仿宋" w:asciiTheme="minorEastAsia" w:hAnsiTheme="minorEastAsia" w:eastAsiaTheme="minorEastAsia"/>
                <w:spacing w:val="17"/>
                <w:sz w:val="21"/>
                <w:szCs w:val="21"/>
              </w:rPr>
              <w:t>不适用</w:t>
            </w:r>
          </w:p>
        </w:tc>
        <w:tc>
          <w:tcPr>
            <w:tcW w:w="1475" w:type="dxa"/>
            <w:vMerge w:val="continue"/>
            <w:shd w:val="clear" w:color="auto" w:fill="FFFFFF"/>
            <w:vAlign w:val="center"/>
          </w:tcPr>
          <w:p w14:paraId="745CDC66">
            <w:pPr>
              <w:spacing w:line="240" w:lineRule="auto"/>
              <w:ind w:firstLine="0" w:firstLineChars="0"/>
              <w:rPr>
                <w:rFonts w:cs="仿宋" w:asciiTheme="minorEastAsia" w:hAnsiTheme="minorEastAsia" w:eastAsiaTheme="minorEastAsia"/>
                <w:sz w:val="21"/>
                <w:szCs w:val="21"/>
              </w:rPr>
            </w:pPr>
          </w:p>
        </w:tc>
      </w:tr>
      <w:tr w14:paraId="065C3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5D91E357">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11B0D1C0">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67E76DD1">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297" w:type="dxa"/>
            <w:shd w:val="clear" w:color="auto" w:fill="FFFFFF"/>
            <w:vAlign w:val="center"/>
          </w:tcPr>
          <w:p w14:paraId="4F1B3850">
            <w:pPr>
              <w:spacing w:line="240" w:lineRule="auto"/>
              <w:ind w:firstLine="0" w:firstLineChars="0"/>
              <w:rPr>
                <w:rFonts w:cs="仿宋" w:asciiTheme="minorEastAsia" w:hAnsiTheme="minorEastAsia" w:eastAsiaTheme="minorEastAsia"/>
                <w:spacing w:val="17"/>
                <w:sz w:val="21"/>
                <w:szCs w:val="21"/>
              </w:rPr>
            </w:pPr>
            <w:r>
              <w:rPr>
                <w:rFonts w:cs="仿宋" w:asciiTheme="minorEastAsia" w:hAnsiTheme="minorEastAsia" w:eastAsiaTheme="minorEastAsia"/>
                <w:spacing w:val="17"/>
                <w:sz w:val="21"/>
                <w:szCs w:val="21"/>
              </w:rPr>
              <w:t>采用的密码产品应达到GB/T 37092-2018二级及以上安全要求。</w:t>
            </w:r>
          </w:p>
        </w:tc>
        <w:tc>
          <w:tcPr>
            <w:tcW w:w="1475" w:type="dxa"/>
            <w:vMerge w:val="continue"/>
            <w:shd w:val="clear" w:color="auto" w:fill="FFFFFF"/>
            <w:vAlign w:val="center"/>
          </w:tcPr>
          <w:p w14:paraId="2DA40662">
            <w:pPr>
              <w:spacing w:line="240" w:lineRule="auto"/>
              <w:ind w:firstLine="0" w:firstLineChars="0"/>
              <w:rPr>
                <w:rFonts w:cs="仿宋" w:asciiTheme="minorEastAsia" w:hAnsiTheme="minorEastAsia" w:eastAsiaTheme="minorEastAsia"/>
                <w:sz w:val="21"/>
                <w:szCs w:val="21"/>
              </w:rPr>
            </w:pPr>
          </w:p>
        </w:tc>
      </w:tr>
      <w:tr w14:paraId="70B7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0B5EF2DD">
            <w:pPr>
              <w:spacing w:line="240" w:lineRule="auto"/>
              <w:ind w:firstLine="0" w:firstLineChars="0"/>
              <w:jc w:val="center"/>
              <w:textAlignment w:val="center"/>
              <w:rPr>
                <w:rFonts w:cs="仿宋" w:asciiTheme="minorEastAsia" w:hAnsiTheme="minorEastAsia" w:eastAsiaTheme="minorEastAsia"/>
                <w:sz w:val="21"/>
                <w:szCs w:val="21"/>
                <w:lang w:bidi="ar"/>
              </w:rPr>
            </w:pPr>
          </w:p>
        </w:tc>
        <w:tc>
          <w:tcPr>
            <w:tcW w:w="630" w:type="dxa"/>
            <w:vMerge w:val="restart"/>
            <w:shd w:val="clear" w:color="auto" w:fill="FFFFFF"/>
            <w:vAlign w:val="center"/>
          </w:tcPr>
          <w:p w14:paraId="3886FE93">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网络和通信安全</w:t>
            </w:r>
          </w:p>
        </w:tc>
        <w:tc>
          <w:tcPr>
            <w:tcW w:w="2026" w:type="dxa"/>
            <w:vMerge w:val="restart"/>
            <w:shd w:val="clear" w:color="auto" w:fill="FFFFFF"/>
            <w:vAlign w:val="center"/>
          </w:tcPr>
          <w:p w14:paraId="4B3D513E">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297" w:type="dxa"/>
            <w:shd w:val="clear" w:color="auto" w:fill="FFFFFF"/>
            <w:vAlign w:val="center"/>
          </w:tcPr>
          <w:p w14:paraId="2A7AE4DC">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确保</w:t>
            </w:r>
            <w:r>
              <w:rPr>
                <w:rFonts w:hint="eastAsia" w:cs="仿宋" w:asciiTheme="minorEastAsia" w:hAnsiTheme="minorEastAsia" w:eastAsiaTheme="minorEastAsia"/>
                <w:i/>
                <w:iCs/>
                <w:sz w:val="21"/>
                <w:szCs w:val="21"/>
                <w:lang w:bidi="ar"/>
              </w:rPr>
              <w:t>PC端、移动端</w:t>
            </w:r>
            <w:r>
              <w:rPr>
                <w:rFonts w:hint="eastAsia" w:cs="仿宋" w:asciiTheme="minorEastAsia" w:hAnsiTheme="minorEastAsia" w:eastAsiaTheme="minorEastAsia"/>
                <w:sz w:val="21"/>
                <w:szCs w:val="21"/>
                <w:lang w:bidi="ar"/>
              </w:rPr>
              <w:t>和服务端通信实体身份的真实性，防止与假冒实体进行通信。</w:t>
            </w:r>
          </w:p>
        </w:tc>
        <w:tc>
          <w:tcPr>
            <w:tcW w:w="1475" w:type="dxa"/>
            <w:shd w:val="clear" w:color="auto" w:fill="FFFFFF"/>
            <w:vAlign w:val="center"/>
          </w:tcPr>
          <w:p w14:paraId="166A0141">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604B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90A797F">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6BCE3570">
            <w:pPr>
              <w:spacing w:line="240" w:lineRule="auto"/>
              <w:ind w:firstLine="0" w:firstLineChars="0"/>
              <w:jc w:val="center"/>
              <w:rPr>
                <w:rFonts w:cs="仿宋" w:asciiTheme="minorEastAsia" w:hAnsiTheme="minorEastAsia" w:eastAsiaTheme="minorEastAsia"/>
                <w:sz w:val="21"/>
                <w:szCs w:val="21"/>
              </w:rPr>
            </w:pPr>
          </w:p>
        </w:tc>
        <w:tc>
          <w:tcPr>
            <w:tcW w:w="2026" w:type="dxa"/>
            <w:vMerge w:val="continue"/>
            <w:shd w:val="clear" w:color="auto" w:fill="FFFFFF"/>
            <w:vAlign w:val="center"/>
          </w:tcPr>
          <w:p w14:paraId="37647F31">
            <w:pPr>
              <w:spacing w:line="240" w:lineRule="auto"/>
              <w:ind w:firstLine="0" w:firstLineChars="0"/>
              <w:rPr>
                <w:rFonts w:cs="仿宋" w:asciiTheme="minorEastAsia" w:hAnsiTheme="minorEastAsia" w:eastAsiaTheme="minorEastAsia"/>
                <w:sz w:val="21"/>
                <w:szCs w:val="21"/>
              </w:rPr>
            </w:pPr>
          </w:p>
        </w:tc>
        <w:tc>
          <w:tcPr>
            <w:tcW w:w="4297" w:type="dxa"/>
            <w:shd w:val="clear" w:color="auto" w:fill="FFFFFF"/>
            <w:vAlign w:val="center"/>
          </w:tcPr>
          <w:p w14:paraId="41D41998">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管理端的身份鉴别由云平台提供安全保障。</w:t>
            </w:r>
          </w:p>
        </w:tc>
        <w:tc>
          <w:tcPr>
            <w:tcW w:w="1475" w:type="dxa"/>
            <w:shd w:val="clear" w:color="auto" w:fill="FFFFFF"/>
            <w:vAlign w:val="center"/>
          </w:tcPr>
          <w:p w14:paraId="4CEFC38E">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14:paraId="1ED73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79FD30A6">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3782384B">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6F4335A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通信数据完整性</w:t>
            </w:r>
          </w:p>
        </w:tc>
        <w:tc>
          <w:tcPr>
            <w:tcW w:w="4297" w:type="dxa"/>
            <w:vMerge w:val="restart"/>
            <w:shd w:val="clear" w:color="auto" w:fill="FFFFFF"/>
            <w:vAlign w:val="center"/>
          </w:tcPr>
          <w:p w14:paraId="67C774EA">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保护通信过程中重要业务数据的完整性和机密性， 防止数据被非授权篡改， 防止重要数据泄露</w:t>
            </w:r>
            <w:r>
              <w:rPr>
                <w:rFonts w:hint="eastAsia" w:cs="宋体" w:asciiTheme="minorEastAsia" w:hAnsiTheme="minorEastAsia" w:eastAsiaTheme="minorEastAsia"/>
                <w:sz w:val="21"/>
                <w:szCs w:val="21"/>
              </w:rPr>
              <w:t>。</w:t>
            </w:r>
          </w:p>
        </w:tc>
        <w:tc>
          <w:tcPr>
            <w:tcW w:w="1475" w:type="dxa"/>
            <w:shd w:val="clear" w:color="auto" w:fill="FFFFFF"/>
            <w:vAlign w:val="center"/>
          </w:tcPr>
          <w:p w14:paraId="32AC020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32D9A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4709796">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5E566CD1">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65B68842">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通信过程中重要数据的机密性</w:t>
            </w:r>
          </w:p>
        </w:tc>
        <w:tc>
          <w:tcPr>
            <w:tcW w:w="4297" w:type="dxa"/>
            <w:vMerge w:val="continue"/>
            <w:shd w:val="clear" w:color="auto" w:fill="FFFFFF"/>
            <w:vAlign w:val="center"/>
          </w:tcPr>
          <w:p w14:paraId="34826F30">
            <w:pPr>
              <w:spacing w:line="240" w:lineRule="auto"/>
              <w:ind w:firstLine="0" w:firstLineChars="0"/>
              <w:textAlignment w:val="center"/>
              <w:rPr>
                <w:rFonts w:cs="仿宋" w:asciiTheme="minorEastAsia" w:hAnsiTheme="minorEastAsia" w:eastAsiaTheme="minorEastAsia"/>
                <w:sz w:val="21"/>
                <w:szCs w:val="21"/>
              </w:rPr>
            </w:pPr>
          </w:p>
        </w:tc>
        <w:tc>
          <w:tcPr>
            <w:tcW w:w="1475" w:type="dxa"/>
            <w:shd w:val="clear" w:color="auto" w:fill="FFFFFF"/>
            <w:vAlign w:val="center"/>
          </w:tcPr>
          <w:p w14:paraId="5DAFE780">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08335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3CE3A37">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662A21FE">
            <w:pPr>
              <w:spacing w:line="240" w:lineRule="auto"/>
              <w:ind w:firstLine="0" w:firstLineChars="0"/>
              <w:jc w:val="center"/>
              <w:rPr>
                <w:rFonts w:cs="仿宋" w:asciiTheme="minorEastAsia" w:hAnsiTheme="minorEastAsia" w:eastAsiaTheme="minorEastAsia"/>
                <w:sz w:val="21"/>
                <w:szCs w:val="21"/>
              </w:rPr>
            </w:pPr>
          </w:p>
        </w:tc>
        <w:tc>
          <w:tcPr>
            <w:tcW w:w="2026" w:type="dxa"/>
            <w:vMerge w:val="restart"/>
            <w:shd w:val="clear" w:color="auto" w:fill="FFFFFF"/>
            <w:vAlign w:val="center"/>
          </w:tcPr>
          <w:p w14:paraId="6E2B48D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网络边界访问控制信息的完整性</w:t>
            </w:r>
          </w:p>
        </w:tc>
        <w:tc>
          <w:tcPr>
            <w:tcW w:w="4297" w:type="dxa"/>
            <w:shd w:val="clear" w:color="auto" w:fill="FFFFFF"/>
            <w:vAlign w:val="center"/>
          </w:tcPr>
          <w:p w14:paraId="02C25A66">
            <w:pPr>
              <w:spacing w:line="240" w:lineRule="auto"/>
              <w:ind w:firstLine="0" w:firstLineChars="0"/>
              <w:rPr>
                <w:rFonts w:cs="宋体"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w:t>
            </w:r>
            <w:r>
              <w:rPr>
                <w:rFonts w:hint="eastAsia" w:cs="仿宋" w:asciiTheme="minorEastAsia" w:hAnsiTheme="minorEastAsia" w:eastAsiaTheme="minorEastAsia"/>
                <w:i/>
                <w:iCs/>
                <w:sz w:val="21"/>
                <w:szCs w:val="21"/>
                <w:lang w:bidi="ar"/>
              </w:rPr>
              <w:t>PC端、移动端</w:t>
            </w:r>
            <w:r>
              <w:rPr>
                <w:rFonts w:hint="eastAsia" w:cs="仿宋" w:asciiTheme="minorEastAsia" w:hAnsiTheme="minorEastAsia" w:eastAsiaTheme="minorEastAsia"/>
                <w:sz w:val="21"/>
                <w:szCs w:val="21"/>
                <w:lang w:bidi="ar"/>
              </w:rPr>
              <w:t>和服务端通信过程中网络边界访问控制信息的完整性，防止被非授权篡改。</w:t>
            </w:r>
          </w:p>
        </w:tc>
        <w:tc>
          <w:tcPr>
            <w:tcW w:w="1475" w:type="dxa"/>
            <w:shd w:val="clear" w:color="auto" w:fill="FFFFFF"/>
            <w:vAlign w:val="center"/>
          </w:tcPr>
          <w:p w14:paraId="31702FE2">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无</w:t>
            </w:r>
          </w:p>
        </w:tc>
      </w:tr>
      <w:tr w14:paraId="3DD52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6E2FC12">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74AEEBD4">
            <w:pPr>
              <w:spacing w:line="240" w:lineRule="auto"/>
              <w:ind w:firstLine="0" w:firstLineChars="0"/>
              <w:jc w:val="center"/>
              <w:rPr>
                <w:rFonts w:cs="仿宋" w:asciiTheme="minorEastAsia" w:hAnsiTheme="minorEastAsia" w:eastAsiaTheme="minorEastAsia"/>
                <w:sz w:val="21"/>
                <w:szCs w:val="21"/>
              </w:rPr>
            </w:pPr>
          </w:p>
        </w:tc>
        <w:tc>
          <w:tcPr>
            <w:tcW w:w="2026" w:type="dxa"/>
            <w:vMerge w:val="continue"/>
            <w:shd w:val="clear" w:color="auto" w:fill="FFFFFF"/>
            <w:vAlign w:val="center"/>
          </w:tcPr>
          <w:p w14:paraId="1C907A91">
            <w:pPr>
              <w:spacing w:line="240" w:lineRule="auto"/>
              <w:ind w:firstLine="0" w:firstLineChars="0"/>
              <w:textAlignment w:val="center"/>
              <w:rPr>
                <w:rFonts w:cs="仿宋" w:asciiTheme="minorEastAsia" w:hAnsiTheme="minorEastAsia" w:eastAsiaTheme="minorEastAsia"/>
                <w:sz w:val="21"/>
                <w:szCs w:val="21"/>
                <w:lang w:bidi="ar"/>
              </w:rPr>
            </w:pPr>
          </w:p>
        </w:tc>
        <w:tc>
          <w:tcPr>
            <w:tcW w:w="4297" w:type="dxa"/>
            <w:shd w:val="clear" w:color="auto" w:fill="FFFFFF"/>
            <w:vAlign w:val="center"/>
          </w:tcPr>
          <w:p w14:paraId="26EB9D44">
            <w:pPr>
              <w:spacing w:line="240" w:lineRule="auto"/>
              <w:ind w:firstLine="0" w:firstLineChars="0"/>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系统网络拓扑中不同区域网络边界访问控制信息的完整性保护由云平台提供。</w:t>
            </w:r>
          </w:p>
        </w:tc>
        <w:tc>
          <w:tcPr>
            <w:tcW w:w="1475" w:type="dxa"/>
            <w:shd w:val="clear" w:color="auto" w:fill="FFFFFF"/>
            <w:vAlign w:val="center"/>
          </w:tcPr>
          <w:p w14:paraId="24E9DED1">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14:paraId="03092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FDF02A5">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1C5C6021">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4BA23D91">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297" w:type="dxa"/>
            <w:shd w:val="clear" w:color="auto" w:fill="FFFFFF"/>
            <w:vAlign w:val="center"/>
          </w:tcPr>
          <w:p w14:paraId="706DE54C">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采用的数字证书由具备资质的电子认证服务机构签发。</w:t>
            </w:r>
          </w:p>
        </w:tc>
        <w:tc>
          <w:tcPr>
            <w:tcW w:w="1475" w:type="dxa"/>
            <w:shd w:val="clear" w:color="auto" w:fill="FFFFFF"/>
            <w:vAlign w:val="center"/>
          </w:tcPr>
          <w:p w14:paraId="7E776703">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0137D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7964F1CE">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5E2F73D8">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1EEE558B">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297" w:type="dxa"/>
            <w:shd w:val="clear" w:color="auto" w:fill="FFFFFF"/>
            <w:vAlign w:val="center"/>
          </w:tcPr>
          <w:p w14:paraId="5680AD8C">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rPr>
              <w:t>客户端</w:t>
            </w:r>
            <w:r>
              <w:rPr>
                <w:rFonts w:cs="仿宋" w:asciiTheme="minorEastAsia" w:hAnsiTheme="minorEastAsia" w:eastAsiaTheme="minorEastAsia"/>
                <w:sz w:val="21"/>
                <w:szCs w:val="21"/>
              </w:rPr>
              <w:t>采用的安全浏览器、密码模块</w:t>
            </w: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二级</w:t>
            </w:r>
            <w:r>
              <w:rPr>
                <w:rFonts w:hint="eastAsia" w:cs="仿宋" w:asciiTheme="minorEastAsia" w:hAnsiTheme="minorEastAsia" w:eastAsiaTheme="minorEastAsia"/>
                <w:sz w:val="21"/>
                <w:szCs w:val="21"/>
              </w:rPr>
              <w:t>）</w:t>
            </w:r>
            <w:r>
              <w:rPr>
                <w:rFonts w:cs="仿宋" w:asciiTheme="minorEastAsia" w:hAnsiTheme="minorEastAsia" w:eastAsiaTheme="minorEastAsia"/>
                <w:sz w:val="21"/>
                <w:szCs w:val="21"/>
              </w:rPr>
              <w:t>、USBKey达到GB/T 37092二级安全要求。</w:t>
            </w:r>
          </w:p>
        </w:tc>
        <w:tc>
          <w:tcPr>
            <w:tcW w:w="1475" w:type="dxa"/>
            <w:shd w:val="clear" w:color="auto" w:fill="FFFFFF"/>
            <w:vAlign w:val="center"/>
          </w:tcPr>
          <w:p w14:paraId="0C86E875">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rPr>
              <w:t>无</w:t>
            </w:r>
          </w:p>
        </w:tc>
      </w:tr>
      <w:tr w14:paraId="5654D7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09F5E102">
            <w:pPr>
              <w:spacing w:line="240" w:lineRule="auto"/>
              <w:ind w:firstLine="0" w:firstLineChars="0"/>
              <w:jc w:val="center"/>
              <w:textAlignment w:val="center"/>
              <w:rPr>
                <w:rFonts w:cs="仿宋" w:asciiTheme="minorEastAsia" w:hAnsiTheme="minorEastAsia" w:eastAsiaTheme="minorEastAsia"/>
                <w:sz w:val="21"/>
                <w:szCs w:val="21"/>
                <w:lang w:bidi="ar"/>
              </w:rPr>
            </w:pPr>
          </w:p>
        </w:tc>
        <w:tc>
          <w:tcPr>
            <w:tcW w:w="630" w:type="dxa"/>
            <w:vMerge w:val="restart"/>
            <w:shd w:val="clear" w:color="auto" w:fill="FFFFFF"/>
            <w:vAlign w:val="center"/>
          </w:tcPr>
          <w:p w14:paraId="50E351E0">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设备和计算安全</w:t>
            </w:r>
          </w:p>
        </w:tc>
        <w:tc>
          <w:tcPr>
            <w:tcW w:w="2026" w:type="dxa"/>
            <w:shd w:val="clear" w:color="auto" w:fill="FFFFFF"/>
            <w:vAlign w:val="center"/>
          </w:tcPr>
          <w:p w14:paraId="3446091E">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297" w:type="dxa"/>
            <w:shd w:val="clear" w:color="auto" w:fill="FFFFFF"/>
            <w:vAlign w:val="center"/>
          </w:tcPr>
          <w:p w14:paraId="5D70848E">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管理员通过远程运维管理终端访问堡垒机、服务器虚拟机、数据库、密码服务时，对其身份真实性进行识别和确认， 防止假冒人员登录。</w:t>
            </w:r>
          </w:p>
        </w:tc>
        <w:tc>
          <w:tcPr>
            <w:tcW w:w="1475" w:type="dxa"/>
            <w:shd w:val="clear" w:color="auto" w:fill="FFFFFF"/>
            <w:vAlign w:val="center"/>
          </w:tcPr>
          <w:p w14:paraId="2341C673">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40447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0D2BBB0B">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542750F4">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4BBD7E19">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系统资源访问控制信息完整性</w:t>
            </w:r>
          </w:p>
        </w:tc>
        <w:tc>
          <w:tcPr>
            <w:tcW w:w="4297" w:type="dxa"/>
            <w:shd w:val="clear" w:color="auto" w:fill="FFFFFF"/>
            <w:vAlign w:val="center"/>
          </w:tcPr>
          <w:p w14:paraId="71AAFCB0">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保护服务器虚拟机、数据库等设备访问控制信息的完整性，防止被非授权篡改。</w:t>
            </w:r>
          </w:p>
        </w:tc>
        <w:tc>
          <w:tcPr>
            <w:tcW w:w="1475" w:type="dxa"/>
            <w:shd w:val="clear" w:color="auto" w:fill="FFFFFF"/>
            <w:vAlign w:val="center"/>
          </w:tcPr>
          <w:p w14:paraId="75CA0E19">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0ACC9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6E0E7CE">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78474BAA">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34C14D7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日志记录完整性</w:t>
            </w:r>
          </w:p>
        </w:tc>
        <w:tc>
          <w:tcPr>
            <w:tcW w:w="4297" w:type="dxa"/>
            <w:shd w:val="clear" w:color="auto" w:fill="FFFFFF"/>
            <w:vAlign w:val="center"/>
          </w:tcPr>
          <w:p w14:paraId="1CE7C74B">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保护系统中服务器虚拟机、数据库、密码服务的日志记录的完整性，防止被非授权篡改。</w:t>
            </w:r>
          </w:p>
        </w:tc>
        <w:tc>
          <w:tcPr>
            <w:tcW w:w="1475" w:type="dxa"/>
            <w:shd w:val="clear" w:color="auto" w:fill="FFFFFF"/>
            <w:vAlign w:val="center"/>
          </w:tcPr>
          <w:p w14:paraId="043873CD">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35341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7702D304">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13C1DD5D">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345737E9">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297" w:type="dxa"/>
            <w:shd w:val="clear" w:color="auto" w:fill="FFFFFF"/>
            <w:vAlign w:val="center"/>
          </w:tcPr>
          <w:p w14:paraId="2A445A82">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采用的云密码服务由云平台提供。</w:t>
            </w:r>
          </w:p>
        </w:tc>
        <w:tc>
          <w:tcPr>
            <w:tcW w:w="1475" w:type="dxa"/>
            <w:shd w:val="clear" w:color="auto" w:fill="FFFFFF"/>
            <w:vAlign w:val="center"/>
          </w:tcPr>
          <w:p w14:paraId="21A6E46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云平台通过密评，已被完全评估。</w:t>
            </w:r>
          </w:p>
        </w:tc>
      </w:tr>
      <w:tr w14:paraId="5B86A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7362DB78">
            <w:pPr>
              <w:spacing w:line="240" w:lineRule="auto"/>
              <w:ind w:firstLine="0" w:firstLineChars="0"/>
              <w:jc w:val="center"/>
              <w:rPr>
                <w:rFonts w:cs="仿宋" w:asciiTheme="minorEastAsia" w:hAnsiTheme="minorEastAsia" w:eastAsiaTheme="minorEastAsia"/>
                <w:sz w:val="21"/>
                <w:szCs w:val="21"/>
              </w:rPr>
            </w:pPr>
          </w:p>
        </w:tc>
        <w:tc>
          <w:tcPr>
            <w:tcW w:w="630" w:type="dxa"/>
            <w:vMerge w:val="continue"/>
            <w:shd w:val="clear" w:color="auto" w:fill="FFFFFF"/>
            <w:vAlign w:val="center"/>
          </w:tcPr>
          <w:p w14:paraId="0503833E">
            <w:pPr>
              <w:spacing w:line="240" w:lineRule="auto"/>
              <w:ind w:firstLine="0" w:firstLineChars="0"/>
              <w:jc w:val="center"/>
              <w:rPr>
                <w:rFonts w:cs="仿宋" w:asciiTheme="minorEastAsia" w:hAnsiTheme="minorEastAsia" w:eastAsiaTheme="minorEastAsia"/>
                <w:sz w:val="21"/>
                <w:szCs w:val="21"/>
              </w:rPr>
            </w:pPr>
          </w:p>
        </w:tc>
        <w:tc>
          <w:tcPr>
            <w:tcW w:w="2026" w:type="dxa"/>
            <w:shd w:val="clear" w:color="auto" w:fill="FFFFFF"/>
            <w:vAlign w:val="center"/>
          </w:tcPr>
          <w:p w14:paraId="11F90E72">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297" w:type="dxa"/>
            <w:shd w:val="clear" w:color="auto" w:fill="FFFFFF"/>
            <w:vAlign w:val="center"/>
          </w:tcPr>
          <w:p w14:paraId="32F666EC">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lang w:bidi="ar"/>
              </w:rPr>
              <w:t>服务端相关的密码产品由云平台提供安全保障。</w:t>
            </w:r>
          </w:p>
        </w:tc>
        <w:tc>
          <w:tcPr>
            <w:tcW w:w="1475" w:type="dxa"/>
            <w:shd w:val="clear" w:color="auto" w:fill="FFFFFF"/>
            <w:vAlign w:val="center"/>
          </w:tcPr>
          <w:p w14:paraId="3AE996D6">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lang w:bidi="ar"/>
              </w:rPr>
              <w:t>云平台通过密评，已被完全评估。</w:t>
            </w:r>
          </w:p>
        </w:tc>
      </w:tr>
      <w:tr w14:paraId="42D65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restart"/>
            <w:shd w:val="clear" w:color="auto" w:fill="FFFFFF"/>
          </w:tcPr>
          <w:p w14:paraId="71D10AE2">
            <w:pPr>
              <w:spacing w:line="240" w:lineRule="auto"/>
              <w:ind w:firstLine="0" w:firstLineChars="0"/>
              <w:jc w:val="center"/>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业 务应 用安全</w:t>
            </w:r>
          </w:p>
        </w:tc>
        <w:tc>
          <w:tcPr>
            <w:tcW w:w="630" w:type="dxa"/>
            <w:vMerge w:val="restart"/>
            <w:shd w:val="clear" w:color="auto" w:fill="FFFFFF"/>
            <w:vAlign w:val="center"/>
          </w:tcPr>
          <w:p w14:paraId="03EF28EA">
            <w:pPr>
              <w:spacing w:line="240" w:lineRule="auto"/>
              <w:ind w:firstLine="0" w:firstLineChars="0"/>
              <w:jc w:val="center"/>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应用和数据安全</w:t>
            </w:r>
          </w:p>
        </w:tc>
        <w:tc>
          <w:tcPr>
            <w:tcW w:w="2026" w:type="dxa"/>
            <w:shd w:val="clear" w:color="auto" w:fill="FFFFFF"/>
            <w:vAlign w:val="center"/>
          </w:tcPr>
          <w:p w14:paraId="43E6701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身份鉴别</w:t>
            </w:r>
          </w:p>
        </w:tc>
        <w:tc>
          <w:tcPr>
            <w:tcW w:w="4297" w:type="dxa"/>
            <w:shd w:val="clear" w:color="auto" w:fill="FFFFFF"/>
            <w:vAlign w:val="center"/>
          </w:tcPr>
          <w:p w14:paraId="1C461168">
            <w:pPr>
              <w:spacing w:line="240" w:lineRule="auto"/>
              <w:ind w:firstLine="0" w:firstLineChars="0"/>
              <w:rPr>
                <w:rFonts w:cs="宋体" w:asciiTheme="minorEastAsia" w:hAnsiTheme="minorEastAsia" w:eastAsiaTheme="minorEastAsia"/>
                <w:sz w:val="21"/>
                <w:szCs w:val="21"/>
              </w:rPr>
            </w:pPr>
            <w:r>
              <w:rPr>
                <w:rStyle w:val="137"/>
                <w:rFonts w:hint="default" w:asciiTheme="minorEastAsia" w:hAnsiTheme="minorEastAsia" w:eastAsiaTheme="minorEastAsia"/>
                <w:sz w:val="21"/>
                <w:szCs w:val="21"/>
              </w:rPr>
              <w:t>确认应用系统用户身份的真实性，防止假冒人员登录。</w:t>
            </w:r>
          </w:p>
        </w:tc>
        <w:tc>
          <w:tcPr>
            <w:tcW w:w="1475" w:type="dxa"/>
            <w:shd w:val="clear" w:color="auto" w:fill="FFFFFF"/>
            <w:vAlign w:val="center"/>
          </w:tcPr>
          <w:p w14:paraId="0FEDF2CD">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39DBB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561EF12D">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35B0F3E4">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0EA83426">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访问控制信息完整性</w:t>
            </w:r>
          </w:p>
        </w:tc>
        <w:tc>
          <w:tcPr>
            <w:tcW w:w="4297" w:type="dxa"/>
            <w:shd w:val="clear" w:color="auto" w:fill="FFFFFF"/>
            <w:vAlign w:val="center"/>
          </w:tcPr>
          <w:p w14:paraId="59A18863">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对应用系统的访问权限控制列表进行完整性保护，防止被非授权篡改。</w:t>
            </w:r>
          </w:p>
        </w:tc>
        <w:tc>
          <w:tcPr>
            <w:tcW w:w="1475" w:type="dxa"/>
            <w:shd w:val="clear" w:color="auto" w:fill="FFFFFF"/>
            <w:vAlign w:val="center"/>
          </w:tcPr>
          <w:p w14:paraId="77E4BE21">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6682A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58DF259E">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5ED98A04">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1242C06A">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重要信息资源安全标记完整性</w:t>
            </w:r>
          </w:p>
        </w:tc>
        <w:tc>
          <w:tcPr>
            <w:tcW w:w="4297" w:type="dxa"/>
            <w:shd w:val="clear" w:color="auto" w:fill="FFFFFF"/>
            <w:vAlign w:val="center"/>
          </w:tcPr>
          <w:p w14:paraId="5B018D70">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不适用。</w:t>
            </w:r>
          </w:p>
        </w:tc>
        <w:tc>
          <w:tcPr>
            <w:tcW w:w="1475" w:type="dxa"/>
            <w:shd w:val="clear" w:color="auto" w:fill="FFFFFF"/>
            <w:vAlign w:val="center"/>
          </w:tcPr>
          <w:p w14:paraId="6F03E69D">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应用没有安全标记。</w:t>
            </w:r>
          </w:p>
        </w:tc>
      </w:tr>
      <w:tr w14:paraId="02207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5A9D97B6">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416B3467">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01239715">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重要数据传输机密性</w:t>
            </w:r>
          </w:p>
        </w:tc>
        <w:tc>
          <w:tcPr>
            <w:tcW w:w="4297" w:type="dxa"/>
            <w:vMerge w:val="restart"/>
            <w:shd w:val="clear" w:color="auto" w:fill="FFFFFF"/>
            <w:vAlign w:val="center"/>
          </w:tcPr>
          <w:p w14:paraId="6974F61A">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保护</w:t>
            </w:r>
            <w:r>
              <w:rPr>
                <w:rFonts w:hint="eastAsia" w:cs="仿宋" w:asciiTheme="minorEastAsia" w:hAnsiTheme="minorEastAsia" w:eastAsiaTheme="minorEastAsia"/>
                <w:i/>
                <w:iCs/>
                <w:sz w:val="21"/>
                <w:szCs w:val="21"/>
                <w:lang w:bidi="ar"/>
              </w:rPr>
              <w:t>PC端、移动端</w:t>
            </w:r>
            <w:r>
              <w:rPr>
                <w:rFonts w:hint="eastAsia" w:cs="仿宋" w:asciiTheme="minorEastAsia" w:hAnsiTheme="minorEastAsia" w:eastAsiaTheme="minorEastAsia"/>
                <w:sz w:val="21"/>
                <w:szCs w:val="21"/>
                <w:lang w:bidi="ar"/>
              </w:rPr>
              <w:t>与服务端之间传输和存储的用户身份鉴别信息等重要数据的机密性和完整性，防止数据泄露给非授权的个人、进程等。保护系统业务日志数据的完整性，防止该数据被非授权篡改。</w:t>
            </w:r>
          </w:p>
        </w:tc>
        <w:tc>
          <w:tcPr>
            <w:tcW w:w="1475" w:type="dxa"/>
            <w:vMerge w:val="restart"/>
            <w:shd w:val="clear" w:color="auto" w:fill="FFFFFF"/>
            <w:vAlign w:val="center"/>
          </w:tcPr>
          <w:p w14:paraId="3CD4F368">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4A25D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2CD2F5BF">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1460A0C3">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21FDF6C9">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重要数据存储机密性</w:t>
            </w:r>
          </w:p>
        </w:tc>
        <w:tc>
          <w:tcPr>
            <w:tcW w:w="4297" w:type="dxa"/>
            <w:vMerge w:val="continue"/>
            <w:shd w:val="clear" w:color="auto" w:fill="FFFFFF"/>
            <w:vAlign w:val="center"/>
          </w:tcPr>
          <w:p w14:paraId="30A5B558">
            <w:pPr>
              <w:spacing w:line="240" w:lineRule="auto"/>
              <w:ind w:firstLine="0" w:firstLineChars="0"/>
              <w:rPr>
                <w:rFonts w:cs="仿宋" w:asciiTheme="minorEastAsia" w:hAnsiTheme="minorEastAsia" w:eastAsiaTheme="minorEastAsia"/>
                <w:sz w:val="21"/>
                <w:szCs w:val="21"/>
              </w:rPr>
            </w:pPr>
          </w:p>
        </w:tc>
        <w:tc>
          <w:tcPr>
            <w:tcW w:w="1475" w:type="dxa"/>
            <w:vMerge w:val="continue"/>
            <w:shd w:val="clear" w:color="auto" w:fill="FFFFFF"/>
            <w:vAlign w:val="center"/>
          </w:tcPr>
          <w:p w14:paraId="013EE364">
            <w:pPr>
              <w:spacing w:line="240" w:lineRule="auto"/>
              <w:ind w:firstLine="0" w:firstLineChars="0"/>
              <w:rPr>
                <w:rFonts w:cs="仿宋" w:asciiTheme="minorEastAsia" w:hAnsiTheme="minorEastAsia" w:eastAsiaTheme="minorEastAsia"/>
                <w:sz w:val="21"/>
                <w:szCs w:val="21"/>
              </w:rPr>
            </w:pPr>
          </w:p>
        </w:tc>
      </w:tr>
      <w:tr w14:paraId="24853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542F8806">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31AE39B7">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42BA967C">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重要数据传输完整性</w:t>
            </w:r>
          </w:p>
        </w:tc>
        <w:tc>
          <w:tcPr>
            <w:tcW w:w="4297" w:type="dxa"/>
            <w:vMerge w:val="continue"/>
            <w:shd w:val="clear" w:color="auto" w:fill="FFFFFF"/>
            <w:vAlign w:val="center"/>
          </w:tcPr>
          <w:p w14:paraId="3402735A">
            <w:pPr>
              <w:spacing w:line="240" w:lineRule="auto"/>
              <w:ind w:firstLine="0" w:firstLineChars="0"/>
              <w:rPr>
                <w:rFonts w:cs="仿宋" w:asciiTheme="minorEastAsia" w:hAnsiTheme="minorEastAsia" w:eastAsiaTheme="minorEastAsia"/>
                <w:sz w:val="21"/>
                <w:szCs w:val="21"/>
              </w:rPr>
            </w:pPr>
          </w:p>
        </w:tc>
        <w:tc>
          <w:tcPr>
            <w:tcW w:w="1475" w:type="dxa"/>
            <w:vMerge w:val="continue"/>
            <w:shd w:val="clear" w:color="auto" w:fill="FFFFFF"/>
            <w:vAlign w:val="center"/>
          </w:tcPr>
          <w:p w14:paraId="216BBD9F">
            <w:pPr>
              <w:spacing w:line="240" w:lineRule="auto"/>
              <w:ind w:firstLine="0" w:firstLineChars="0"/>
              <w:rPr>
                <w:rFonts w:cs="仿宋" w:asciiTheme="minorEastAsia" w:hAnsiTheme="minorEastAsia" w:eastAsiaTheme="minorEastAsia"/>
                <w:sz w:val="21"/>
                <w:szCs w:val="21"/>
              </w:rPr>
            </w:pPr>
          </w:p>
        </w:tc>
      </w:tr>
      <w:tr w14:paraId="01E54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41590152">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05629E4F">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4C36CD18">
            <w:pPr>
              <w:spacing w:line="240" w:lineRule="auto"/>
              <w:ind w:firstLine="0" w:firstLineChars="0"/>
              <w:textAlignment w:val="center"/>
              <w:rPr>
                <w:rFonts w:cs="仿宋" w:asciiTheme="minorEastAsia" w:hAnsiTheme="minorEastAsia" w:eastAsiaTheme="minorEastAsia"/>
                <w:sz w:val="21"/>
                <w:szCs w:val="21"/>
                <w:lang w:bidi="ar"/>
              </w:rPr>
            </w:pPr>
            <w:r>
              <w:rPr>
                <w:rFonts w:hint="eastAsia" w:cs="仿宋" w:asciiTheme="minorEastAsia" w:hAnsiTheme="minorEastAsia" w:eastAsiaTheme="minorEastAsia"/>
                <w:sz w:val="21"/>
                <w:szCs w:val="21"/>
                <w:lang w:bidi="ar"/>
              </w:rPr>
              <w:t>重要数据存储完整性</w:t>
            </w:r>
          </w:p>
        </w:tc>
        <w:tc>
          <w:tcPr>
            <w:tcW w:w="4297" w:type="dxa"/>
            <w:vMerge w:val="continue"/>
            <w:shd w:val="clear" w:color="auto" w:fill="FFFFFF"/>
            <w:vAlign w:val="center"/>
          </w:tcPr>
          <w:p w14:paraId="414143BF">
            <w:pPr>
              <w:spacing w:line="240" w:lineRule="auto"/>
              <w:ind w:firstLine="0" w:firstLineChars="0"/>
              <w:rPr>
                <w:rFonts w:cs="仿宋" w:asciiTheme="minorEastAsia" w:hAnsiTheme="minorEastAsia" w:eastAsiaTheme="minorEastAsia"/>
                <w:sz w:val="21"/>
                <w:szCs w:val="21"/>
              </w:rPr>
            </w:pPr>
          </w:p>
        </w:tc>
        <w:tc>
          <w:tcPr>
            <w:tcW w:w="1475" w:type="dxa"/>
            <w:vMerge w:val="continue"/>
            <w:shd w:val="clear" w:color="auto" w:fill="FFFFFF"/>
            <w:vAlign w:val="center"/>
          </w:tcPr>
          <w:p w14:paraId="76983B19">
            <w:pPr>
              <w:spacing w:line="240" w:lineRule="auto"/>
              <w:ind w:firstLine="0" w:firstLineChars="0"/>
              <w:rPr>
                <w:rFonts w:cs="仿宋" w:asciiTheme="minorEastAsia" w:hAnsiTheme="minorEastAsia" w:eastAsiaTheme="minorEastAsia"/>
                <w:sz w:val="21"/>
                <w:szCs w:val="21"/>
              </w:rPr>
            </w:pPr>
          </w:p>
        </w:tc>
      </w:tr>
      <w:tr w14:paraId="233E2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40DDC802">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46F7CCAB">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2B406737">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密码服务</w:t>
            </w:r>
          </w:p>
        </w:tc>
        <w:tc>
          <w:tcPr>
            <w:tcW w:w="4297" w:type="dxa"/>
            <w:shd w:val="clear" w:color="auto" w:fill="FFFFFF"/>
            <w:vAlign w:val="center"/>
          </w:tcPr>
          <w:p w14:paraId="306BAAD5">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采用的数字证书由具备资质的电子认证服务机构签发。</w:t>
            </w:r>
          </w:p>
        </w:tc>
        <w:tc>
          <w:tcPr>
            <w:tcW w:w="1475" w:type="dxa"/>
            <w:shd w:val="clear" w:color="auto" w:fill="FFFFFF"/>
            <w:vAlign w:val="center"/>
          </w:tcPr>
          <w:p w14:paraId="2CC544EF">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无</w:t>
            </w:r>
          </w:p>
        </w:tc>
      </w:tr>
      <w:tr w14:paraId="7013E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27" w:type="dxa"/>
            <w:vMerge w:val="continue"/>
            <w:shd w:val="clear" w:color="auto" w:fill="FFFFFF"/>
          </w:tcPr>
          <w:p w14:paraId="35250EDF">
            <w:pPr>
              <w:spacing w:line="240" w:lineRule="auto"/>
              <w:ind w:firstLine="0" w:firstLineChars="0"/>
              <w:rPr>
                <w:rFonts w:cs="仿宋" w:asciiTheme="minorEastAsia" w:hAnsiTheme="minorEastAsia" w:eastAsiaTheme="minorEastAsia"/>
                <w:sz w:val="21"/>
                <w:szCs w:val="21"/>
              </w:rPr>
            </w:pPr>
          </w:p>
        </w:tc>
        <w:tc>
          <w:tcPr>
            <w:tcW w:w="630" w:type="dxa"/>
            <w:vMerge w:val="continue"/>
            <w:shd w:val="clear" w:color="auto" w:fill="FFFFFF"/>
            <w:vAlign w:val="center"/>
          </w:tcPr>
          <w:p w14:paraId="5AE928E6">
            <w:pPr>
              <w:spacing w:line="240" w:lineRule="auto"/>
              <w:ind w:firstLine="0" w:firstLineChars="0"/>
              <w:rPr>
                <w:rFonts w:cs="仿宋" w:asciiTheme="minorEastAsia" w:hAnsiTheme="minorEastAsia" w:eastAsiaTheme="minorEastAsia"/>
                <w:sz w:val="21"/>
                <w:szCs w:val="21"/>
              </w:rPr>
            </w:pPr>
          </w:p>
        </w:tc>
        <w:tc>
          <w:tcPr>
            <w:tcW w:w="2026" w:type="dxa"/>
            <w:shd w:val="clear" w:color="auto" w:fill="FFFFFF"/>
            <w:vAlign w:val="center"/>
          </w:tcPr>
          <w:p w14:paraId="421BC1A3">
            <w:pPr>
              <w:spacing w:line="240" w:lineRule="auto"/>
              <w:ind w:firstLine="0" w:firstLineChars="0"/>
              <w:textAlignment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lang w:bidi="ar"/>
              </w:rPr>
              <w:t>密码产品</w:t>
            </w:r>
          </w:p>
        </w:tc>
        <w:tc>
          <w:tcPr>
            <w:tcW w:w="4297" w:type="dxa"/>
            <w:shd w:val="clear" w:color="auto" w:fill="FFFFFF"/>
            <w:vAlign w:val="center"/>
          </w:tcPr>
          <w:p w14:paraId="7E7A93E7">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lang w:bidi="ar"/>
              </w:rPr>
              <w:t>服务端相关的密码产品由云平台提供安全保障。</w:t>
            </w:r>
          </w:p>
        </w:tc>
        <w:tc>
          <w:tcPr>
            <w:tcW w:w="1475" w:type="dxa"/>
            <w:shd w:val="clear" w:color="auto" w:fill="FFFFFF"/>
            <w:vAlign w:val="center"/>
          </w:tcPr>
          <w:p w14:paraId="564B69AF">
            <w:pPr>
              <w:spacing w:line="240" w:lineRule="auto"/>
              <w:ind w:firstLine="0" w:firstLineChars="0"/>
              <w:textAlignment w:val="center"/>
              <w:rPr>
                <w:rFonts w:cs="仿宋" w:asciiTheme="minorEastAsia" w:hAnsiTheme="minorEastAsia" w:eastAsiaTheme="minorEastAsia"/>
                <w:i/>
                <w:iCs/>
                <w:color w:val="FF0000"/>
                <w:sz w:val="21"/>
                <w:szCs w:val="21"/>
              </w:rPr>
            </w:pPr>
            <w:r>
              <w:rPr>
                <w:rFonts w:hint="eastAsia" w:cs="仿宋" w:asciiTheme="minorEastAsia" w:hAnsiTheme="minorEastAsia" w:eastAsiaTheme="minorEastAsia"/>
                <w:sz w:val="21"/>
                <w:szCs w:val="21"/>
                <w:lang w:bidi="ar"/>
              </w:rPr>
              <w:t>云平台通过密评，已被完全评估。</w:t>
            </w:r>
          </w:p>
        </w:tc>
      </w:tr>
    </w:tbl>
    <w:p w14:paraId="709D5605">
      <w:pPr>
        <w:ind w:firstLine="0" w:firstLineChars="0"/>
      </w:pPr>
    </w:p>
    <w:p w14:paraId="48DEE908"/>
    <w:p w14:paraId="73338962">
      <w:pPr>
        <w:ind w:firstLine="0" w:firstLineChars="0"/>
      </w:pPr>
    </w:p>
    <w:p w14:paraId="4599136F">
      <w:pPr>
        <w:pStyle w:val="3"/>
      </w:pPr>
      <w:bookmarkStart w:id="33" w:name="_Toc63785512"/>
      <w:r>
        <w:rPr>
          <w:rFonts w:hint="eastAsia"/>
        </w:rPr>
        <w:t>技术文件要求</w:t>
      </w:r>
    </w:p>
    <w:p w14:paraId="1160D1D2">
      <w:r>
        <w:rPr>
          <w:rFonts w:hint="eastAsia"/>
        </w:rPr>
        <w:t>投标人提供的书面技术资料应能确保系统正常运行所需的管理、运营及维护有关的全套文件。技术文件应该全面、完整、详细。投标人提供的技术文件至少应包括：</w:t>
      </w:r>
    </w:p>
    <w:p w14:paraId="16CAB2EC">
      <w:r>
        <w:rPr>
          <w:rFonts w:hint="eastAsia"/>
        </w:rPr>
        <w:t>－</w:t>
      </w:r>
      <w:r>
        <w:t xml:space="preserve"> 系统说明文件； </w:t>
      </w:r>
    </w:p>
    <w:p w14:paraId="6F3AA6ED">
      <w:r>
        <w:rPr>
          <w:rFonts w:hint="eastAsia"/>
        </w:rPr>
        <w:t>－</w:t>
      </w:r>
      <w:r>
        <w:t xml:space="preserve"> 技术手册(安装、测试、操作、维护、故障排除等)； </w:t>
      </w:r>
    </w:p>
    <w:p w14:paraId="05B1D911">
      <w:r>
        <w:rPr>
          <w:rFonts w:hint="eastAsia"/>
        </w:rPr>
        <w:t>－</w:t>
      </w:r>
      <w:r>
        <w:t xml:space="preserve"> 项目文档，应该包括：</w:t>
      </w:r>
    </w:p>
    <w:p w14:paraId="0D599FF9">
      <w:pPr>
        <w:ind w:left="360"/>
      </w:pPr>
      <w:r>
        <w:t>(1)软件需求说明书</w:t>
      </w:r>
    </w:p>
    <w:p w14:paraId="1D72E1E5">
      <w:pPr>
        <w:ind w:left="360"/>
      </w:pPr>
      <w:r>
        <w:t>(2)</w:t>
      </w:r>
      <w:r>
        <w:tab/>
      </w:r>
      <w:r>
        <w:t>系统总体设计说明书</w:t>
      </w:r>
    </w:p>
    <w:p w14:paraId="471B93D2">
      <w:pPr>
        <w:ind w:left="360"/>
      </w:pPr>
      <w:r>
        <w:t>(3)</w:t>
      </w:r>
      <w:r>
        <w:tab/>
      </w:r>
      <w:r>
        <w:t>应用软件功能清单</w:t>
      </w:r>
    </w:p>
    <w:p w14:paraId="3FF19004">
      <w:r>
        <w:rPr>
          <w:rFonts w:hint="eastAsia"/>
        </w:rPr>
        <w:t>提供全套技术文件纸介质</w:t>
      </w:r>
      <w:r>
        <w:t>3套以及电子文件1套。</w:t>
      </w:r>
    </w:p>
    <w:p w14:paraId="2907DF51">
      <w:pPr>
        <w:pStyle w:val="3"/>
      </w:pPr>
      <w:r>
        <w:rPr>
          <w:rFonts w:hint="eastAsia"/>
        </w:rPr>
        <w:t>其他要求</w:t>
      </w:r>
    </w:p>
    <w:p w14:paraId="27360A88">
      <w:r>
        <w:rPr>
          <w:rFonts w:hint="eastAsia"/>
        </w:rPr>
        <w:t>根据市大数据中心要求，做好系统数据库的管理规范化、数据标准化、完成数据编目和数据上链工作；按照中心的统一管理要求，做好城管执法综合管理平台相关前期系统的运维工作，确保系统安全、稳定运行，确保数据安全，满足业务部门需求。</w:t>
      </w:r>
    </w:p>
    <w:p w14:paraId="4D7C15B5"/>
    <w:bookmarkEnd w:id="33"/>
    <w:p w14:paraId="58FD4790"/>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文泉驿微米黑"/>
    <w:panose1 w:val="00000000000000000000"/>
    <w:charset w:val="00"/>
    <w:family w:val="roman"/>
    <w:pitch w:val="default"/>
    <w:sig w:usb0="00000000" w:usb1="00000000" w:usb2="00000000" w:usb3="00000000" w:csb0="00040001" w:csb1="00000000"/>
  </w:font>
  <w:font w:name="文泉驿微米黑">
    <w:panose1 w:val="020B0606030804020204"/>
    <w:charset w:val="86"/>
    <w:family w:val="auto"/>
    <w:pitch w:val="default"/>
    <w:sig w:usb0="E10002EF" w:usb1="6BDFFCFB" w:usb2="00800036" w:usb3="00000000" w:csb0="603E019F" w:csb1="DFD70000"/>
  </w:font>
  <w:font w:name="Microsoft YaHei UI">
    <w:altName w:val="文泉驿微米黑"/>
    <w:panose1 w:val="020B0503020204020204"/>
    <w:charset w:val="86"/>
    <w:family w:val="swiss"/>
    <w:pitch w:val="default"/>
    <w:sig w:usb0="00000000" w:usb1="00000000" w:usb2="00000016" w:usb3="00000000" w:csb0="0004001F" w:csb1="00000000"/>
  </w:font>
  <w:font w:name="Microsoft Sans Serif">
    <w:altName w:val="DejaVu Sans"/>
    <w:panose1 w:val="020B0604020202020204"/>
    <w:charset w:val="00"/>
    <w:family w:val="swiss"/>
    <w:pitch w:val="default"/>
    <w:sig w:usb0="00000000" w:usb1="00000000" w:usb2="00000029" w:usb3="00000000" w:csb0="200101FF" w:csb1="2028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10" w:usb3="00000000" w:csb0="00040001" w:csb1="00000000"/>
  </w:font>
  <w:font w:name="仿宋GB2312">
    <w:altName w:val="方正仿宋_GBK"/>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DA150">
    <w:pPr>
      <w:ind w:firstLine="0" w:firstLineChars="0"/>
      <w:jc w:val="center"/>
    </w:pPr>
    <w:r>
      <w:fldChar w:fldCharType="begin"/>
    </w:r>
    <w:r>
      <w:instrText xml:space="preserve">PAGE   \* MERGEFORMAT</w:instrText>
    </w:r>
    <w:r>
      <w:fldChar w:fldCharType="separate"/>
    </w:r>
    <w:r>
      <w:rPr>
        <w:lang w:val="zh-CN"/>
      </w:rPr>
      <w:t>11</w:t>
    </w:r>
    <w:r>
      <w:rPr>
        <w:lang w:val="zh-CN"/>
      </w:rPr>
      <w:fldChar w:fldCharType="end"/>
    </w:r>
  </w:p>
  <w:p w14:paraId="28C5E64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FA16F2"/>
  <w:p w14:paraId="24AE2C6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7207F">
    <w:pPr>
      <w:ind w:firstLine="0" w:firstLineChars="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88D05">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62889DB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7702E">
    <w:pPr>
      <w:pStyle w:val="2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0D4123"/>
  <w:p w14:paraId="0758E10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039DF">
    <w:pPr>
      <w:pStyle w:val="25"/>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709A4C"/>
    <w:multiLevelType w:val="singleLevel"/>
    <w:tmpl w:val="E4709A4C"/>
    <w:lvl w:ilvl="0" w:tentative="0">
      <w:start w:val="1"/>
      <w:numFmt w:val="decimal"/>
      <w:lvlText w:val="%1."/>
      <w:lvlJc w:val="left"/>
      <w:pPr>
        <w:tabs>
          <w:tab w:val="left" w:pos="312"/>
        </w:tabs>
      </w:pPr>
    </w:lvl>
  </w:abstractNum>
  <w:abstractNum w:abstractNumId="1">
    <w:nsid w:val="FBF848EE"/>
    <w:multiLevelType w:val="singleLevel"/>
    <w:tmpl w:val="FBF848EE"/>
    <w:lvl w:ilvl="0" w:tentative="0">
      <w:start w:val="1"/>
      <w:numFmt w:val="decimal"/>
      <w:lvlText w:val="%1."/>
      <w:lvlJc w:val="left"/>
      <w:pPr>
        <w:tabs>
          <w:tab w:val="left" w:pos="312"/>
        </w:tabs>
      </w:pPr>
    </w:lvl>
  </w:abstractNum>
  <w:abstractNum w:abstractNumId="2">
    <w:nsid w:val="535D682D"/>
    <w:multiLevelType w:val="multilevel"/>
    <w:tmpl w:val="535D682D"/>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551308B8"/>
    <w:multiLevelType w:val="multilevel"/>
    <w:tmpl w:val="551308B8"/>
    <w:lvl w:ilvl="0" w:tentative="0">
      <w:start w:val="1"/>
      <w:numFmt w:val="decimal"/>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6350366A"/>
    <w:multiLevelType w:val="multilevel"/>
    <w:tmpl w:val="6350366A"/>
    <w:lvl w:ilvl="0" w:tentative="0">
      <w:start w:val="1"/>
      <w:numFmt w:val="none"/>
      <w:pStyle w:val="112"/>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pStyle w:val="4"/>
      <w:isLgl/>
      <w:suff w:val="nothing"/>
      <w:lvlText w:val="%1.%2.%3、"/>
      <w:lvlJc w:val="left"/>
      <w:pPr>
        <w:ind w:left="1069" w:hanging="1069"/>
      </w:pPr>
      <w:rPr>
        <w:rFonts w:hint="default" w:ascii="宋体" w:hAnsi="宋体" w:eastAsia="宋体" w:cs="Arial"/>
      </w:rPr>
    </w:lvl>
    <w:lvl w:ilvl="3" w:tentative="0">
      <w:start w:val="1"/>
      <w:numFmt w:val="decimal"/>
      <w:pStyle w:val="5"/>
      <w:isLgl/>
      <w:suff w:val="nothing"/>
      <w:lvlText w:val="%1.%2.%3.%4、"/>
      <w:lvlJc w:val="left"/>
      <w:pPr>
        <w:ind w:left="3403" w:hanging="851"/>
      </w:p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6">
    <w:nsid w:val="7E19655C"/>
    <w:multiLevelType w:val="multilevel"/>
    <w:tmpl w:val="7E19655C"/>
    <w:lvl w:ilvl="0" w:tentative="0">
      <w:start w:val="1"/>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4"/>
  </w:num>
  <w:num w:numId="3">
    <w:abstractNumId w:val="2"/>
  </w:num>
  <w:num w:numId="4">
    <w:abstractNumId w:val="6"/>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lMzJiYTgyNTJkM2E5NzA5NDNiNGU0YmVkYTRiODEifQ=="/>
  </w:docVars>
  <w:rsids>
    <w:rsidRoot w:val="006910C0"/>
    <w:rsid w:val="0000005A"/>
    <w:rsid w:val="00000AED"/>
    <w:rsid w:val="00002DBA"/>
    <w:rsid w:val="00003516"/>
    <w:rsid w:val="0000380E"/>
    <w:rsid w:val="00005AFD"/>
    <w:rsid w:val="00006563"/>
    <w:rsid w:val="000074F1"/>
    <w:rsid w:val="00007A41"/>
    <w:rsid w:val="00007DA7"/>
    <w:rsid w:val="00012EF0"/>
    <w:rsid w:val="000156DE"/>
    <w:rsid w:val="000165AD"/>
    <w:rsid w:val="000179E9"/>
    <w:rsid w:val="00020C18"/>
    <w:rsid w:val="00021EE6"/>
    <w:rsid w:val="0002280E"/>
    <w:rsid w:val="00022C74"/>
    <w:rsid w:val="00025122"/>
    <w:rsid w:val="000252D5"/>
    <w:rsid w:val="00026997"/>
    <w:rsid w:val="00027A64"/>
    <w:rsid w:val="00032D27"/>
    <w:rsid w:val="00035325"/>
    <w:rsid w:val="00035D5B"/>
    <w:rsid w:val="000378D0"/>
    <w:rsid w:val="00037F2C"/>
    <w:rsid w:val="00042C2A"/>
    <w:rsid w:val="000430EC"/>
    <w:rsid w:val="000447CB"/>
    <w:rsid w:val="00047915"/>
    <w:rsid w:val="00047D06"/>
    <w:rsid w:val="00050FBD"/>
    <w:rsid w:val="0005107A"/>
    <w:rsid w:val="0005192C"/>
    <w:rsid w:val="00052929"/>
    <w:rsid w:val="0005299F"/>
    <w:rsid w:val="000541D7"/>
    <w:rsid w:val="000545C0"/>
    <w:rsid w:val="0005586D"/>
    <w:rsid w:val="00056C0E"/>
    <w:rsid w:val="000574A8"/>
    <w:rsid w:val="000574F8"/>
    <w:rsid w:val="00057A49"/>
    <w:rsid w:val="0006231F"/>
    <w:rsid w:val="00062A05"/>
    <w:rsid w:val="00062EE6"/>
    <w:rsid w:val="0006344E"/>
    <w:rsid w:val="00063D46"/>
    <w:rsid w:val="000649E6"/>
    <w:rsid w:val="00067702"/>
    <w:rsid w:val="0006794B"/>
    <w:rsid w:val="00067DCA"/>
    <w:rsid w:val="00070063"/>
    <w:rsid w:val="0007087A"/>
    <w:rsid w:val="000710EC"/>
    <w:rsid w:val="00072237"/>
    <w:rsid w:val="00072ABE"/>
    <w:rsid w:val="00077692"/>
    <w:rsid w:val="00080B39"/>
    <w:rsid w:val="00083950"/>
    <w:rsid w:val="0008452F"/>
    <w:rsid w:val="00084E8E"/>
    <w:rsid w:val="00085A68"/>
    <w:rsid w:val="00087D78"/>
    <w:rsid w:val="00090625"/>
    <w:rsid w:val="00090948"/>
    <w:rsid w:val="00091CD1"/>
    <w:rsid w:val="00093951"/>
    <w:rsid w:val="0009460E"/>
    <w:rsid w:val="000951D4"/>
    <w:rsid w:val="000A2146"/>
    <w:rsid w:val="000A2930"/>
    <w:rsid w:val="000A3276"/>
    <w:rsid w:val="000A3C35"/>
    <w:rsid w:val="000A3E30"/>
    <w:rsid w:val="000A5876"/>
    <w:rsid w:val="000A61D0"/>
    <w:rsid w:val="000A6C67"/>
    <w:rsid w:val="000A6DB8"/>
    <w:rsid w:val="000A7596"/>
    <w:rsid w:val="000B11A8"/>
    <w:rsid w:val="000B1959"/>
    <w:rsid w:val="000B2E1C"/>
    <w:rsid w:val="000B4459"/>
    <w:rsid w:val="000B4B46"/>
    <w:rsid w:val="000B5363"/>
    <w:rsid w:val="000B53BA"/>
    <w:rsid w:val="000B642F"/>
    <w:rsid w:val="000B6C99"/>
    <w:rsid w:val="000C3F3C"/>
    <w:rsid w:val="000C5A75"/>
    <w:rsid w:val="000C75E9"/>
    <w:rsid w:val="000C75F7"/>
    <w:rsid w:val="000D0AB2"/>
    <w:rsid w:val="000D225C"/>
    <w:rsid w:val="000D36F2"/>
    <w:rsid w:val="000D4B26"/>
    <w:rsid w:val="000D74DB"/>
    <w:rsid w:val="000E24D6"/>
    <w:rsid w:val="000E6072"/>
    <w:rsid w:val="000E6D61"/>
    <w:rsid w:val="000E7A23"/>
    <w:rsid w:val="000F1C29"/>
    <w:rsid w:val="000F1E9E"/>
    <w:rsid w:val="000F2B10"/>
    <w:rsid w:val="000F3F72"/>
    <w:rsid w:val="000F5751"/>
    <w:rsid w:val="001055B2"/>
    <w:rsid w:val="001068F0"/>
    <w:rsid w:val="00106AB8"/>
    <w:rsid w:val="00106C9E"/>
    <w:rsid w:val="00106E16"/>
    <w:rsid w:val="0010768B"/>
    <w:rsid w:val="00111701"/>
    <w:rsid w:val="00112A29"/>
    <w:rsid w:val="001167F6"/>
    <w:rsid w:val="00116C86"/>
    <w:rsid w:val="00121ACF"/>
    <w:rsid w:val="00121D8F"/>
    <w:rsid w:val="00122037"/>
    <w:rsid w:val="0012210C"/>
    <w:rsid w:val="00122A7F"/>
    <w:rsid w:val="00123F98"/>
    <w:rsid w:val="001242A5"/>
    <w:rsid w:val="00124531"/>
    <w:rsid w:val="00126EDF"/>
    <w:rsid w:val="00127BBE"/>
    <w:rsid w:val="00131D52"/>
    <w:rsid w:val="001329C1"/>
    <w:rsid w:val="00132C16"/>
    <w:rsid w:val="00136320"/>
    <w:rsid w:val="00136FFA"/>
    <w:rsid w:val="00137AC6"/>
    <w:rsid w:val="00145512"/>
    <w:rsid w:val="001465BD"/>
    <w:rsid w:val="00147B45"/>
    <w:rsid w:val="00150803"/>
    <w:rsid w:val="00151D83"/>
    <w:rsid w:val="001546C9"/>
    <w:rsid w:val="00154FAE"/>
    <w:rsid w:val="00155E77"/>
    <w:rsid w:val="00156A70"/>
    <w:rsid w:val="00156C66"/>
    <w:rsid w:val="00160A61"/>
    <w:rsid w:val="00160FC0"/>
    <w:rsid w:val="0016429B"/>
    <w:rsid w:val="00164525"/>
    <w:rsid w:val="00164C50"/>
    <w:rsid w:val="00165CB2"/>
    <w:rsid w:val="00166203"/>
    <w:rsid w:val="00166767"/>
    <w:rsid w:val="001707CB"/>
    <w:rsid w:val="00170C54"/>
    <w:rsid w:val="00171477"/>
    <w:rsid w:val="00172A1A"/>
    <w:rsid w:val="00172DA8"/>
    <w:rsid w:val="00173251"/>
    <w:rsid w:val="001763DB"/>
    <w:rsid w:val="00176BED"/>
    <w:rsid w:val="0017759D"/>
    <w:rsid w:val="001804A5"/>
    <w:rsid w:val="00181C94"/>
    <w:rsid w:val="00182C84"/>
    <w:rsid w:val="00187031"/>
    <w:rsid w:val="00191EA4"/>
    <w:rsid w:val="00192B6C"/>
    <w:rsid w:val="00192C30"/>
    <w:rsid w:val="0019381E"/>
    <w:rsid w:val="00194CF5"/>
    <w:rsid w:val="0019503C"/>
    <w:rsid w:val="00195D94"/>
    <w:rsid w:val="00196F7B"/>
    <w:rsid w:val="001971CB"/>
    <w:rsid w:val="0019795C"/>
    <w:rsid w:val="001A053A"/>
    <w:rsid w:val="001A22A2"/>
    <w:rsid w:val="001A2971"/>
    <w:rsid w:val="001A3D52"/>
    <w:rsid w:val="001A460A"/>
    <w:rsid w:val="001A4A4C"/>
    <w:rsid w:val="001B0230"/>
    <w:rsid w:val="001B13AB"/>
    <w:rsid w:val="001B3907"/>
    <w:rsid w:val="001B3B49"/>
    <w:rsid w:val="001B4907"/>
    <w:rsid w:val="001B4DC5"/>
    <w:rsid w:val="001B5505"/>
    <w:rsid w:val="001C2180"/>
    <w:rsid w:val="001C29CC"/>
    <w:rsid w:val="001C3217"/>
    <w:rsid w:val="001C3B98"/>
    <w:rsid w:val="001C6028"/>
    <w:rsid w:val="001C6365"/>
    <w:rsid w:val="001C7F57"/>
    <w:rsid w:val="001D0E79"/>
    <w:rsid w:val="001D6049"/>
    <w:rsid w:val="001D7339"/>
    <w:rsid w:val="001E2750"/>
    <w:rsid w:val="001E4343"/>
    <w:rsid w:val="001E52BB"/>
    <w:rsid w:val="001E660A"/>
    <w:rsid w:val="001F05D6"/>
    <w:rsid w:val="001F5B0A"/>
    <w:rsid w:val="001F640F"/>
    <w:rsid w:val="001F6794"/>
    <w:rsid w:val="001F6F65"/>
    <w:rsid w:val="002002DF"/>
    <w:rsid w:val="00203A6F"/>
    <w:rsid w:val="00205646"/>
    <w:rsid w:val="002063F7"/>
    <w:rsid w:val="00210AD5"/>
    <w:rsid w:val="002129E5"/>
    <w:rsid w:val="00212AA4"/>
    <w:rsid w:val="00212E13"/>
    <w:rsid w:val="002163C8"/>
    <w:rsid w:val="002179FE"/>
    <w:rsid w:val="00220CC0"/>
    <w:rsid w:val="00221A36"/>
    <w:rsid w:val="00223296"/>
    <w:rsid w:val="0022329B"/>
    <w:rsid w:val="002240F7"/>
    <w:rsid w:val="0022486F"/>
    <w:rsid w:val="00225314"/>
    <w:rsid w:val="00225DF4"/>
    <w:rsid w:val="00226C70"/>
    <w:rsid w:val="00230C8A"/>
    <w:rsid w:val="00231F98"/>
    <w:rsid w:val="002324F8"/>
    <w:rsid w:val="002348B0"/>
    <w:rsid w:val="00235CDC"/>
    <w:rsid w:val="00237E76"/>
    <w:rsid w:val="00240BBE"/>
    <w:rsid w:val="00241525"/>
    <w:rsid w:val="00241D87"/>
    <w:rsid w:val="00243C55"/>
    <w:rsid w:val="00243D5E"/>
    <w:rsid w:val="002451EC"/>
    <w:rsid w:val="00245ED4"/>
    <w:rsid w:val="00246B41"/>
    <w:rsid w:val="0025002B"/>
    <w:rsid w:val="002500DE"/>
    <w:rsid w:val="00252457"/>
    <w:rsid w:val="00252581"/>
    <w:rsid w:val="00252FDE"/>
    <w:rsid w:val="002535B5"/>
    <w:rsid w:val="002538CB"/>
    <w:rsid w:val="002542BD"/>
    <w:rsid w:val="0025774E"/>
    <w:rsid w:val="00257D64"/>
    <w:rsid w:val="0026340A"/>
    <w:rsid w:val="002654EA"/>
    <w:rsid w:val="002704EA"/>
    <w:rsid w:val="0027061A"/>
    <w:rsid w:val="002719CC"/>
    <w:rsid w:val="002730C5"/>
    <w:rsid w:val="0027337C"/>
    <w:rsid w:val="0027602B"/>
    <w:rsid w:val="00277F5E"/>
    <w:rsid w:val="00280084"/>
    <w:rsid w:val="00280490"/>
    <w:rsid w:val="002860B8"/>
    <w:rsid w:val="0029206E"/>
    <w:rsid w:val="00293382"/>
    <w:rsid w:val="00294F51"/>
    <w:rsid w:val="002A2342"/>
    <w:rsid w:val="002A279E"/>
    <w:rsid w:val="002A4FA3"/>
    <w:rsid w:val="002B3606"/>
    <w:rsid w:val="002B3D80"/>
    <w:rsid w:val="002B4402"/>
    <w:rsid w:val="002B4946"/>
    <w:rsid w:val="002B4C41"/>
    <w:rsid w:val="002B588D"/>
    <w:rsid w:val="002C1839"/>
    <w:rsid w:val="002C214A"/>
    <w:rsid w:val="002C28E8"/>
    <w:rsid w:val="002C3027"/>
    <w:rsid w:val="002C674D"/>
    <w:rsid w:val="002C7648"/>
    <w:rsid w:val="002C7DC4"/>
    <w:rsid w:val="002D0821"/>
    <w:rsid w:val="002D1929"/>
    <w:rsid w:val="002D1B73"/>
    <w:rsid w:val="002D3CB0"/>
    <w:rsid w:val="002D4800"/>
    <w:rsid w:val="002D5B21"/>
    <w:rsid w:val="002D6F6D"/>
    <w:rsid w:val="002E0342"/>
    <w:rsid w:val="002E1FE6"/>
    <w:rsid w:val="002E2EA7"/>
    <w:rsid w:val="002E36D2"/>
    <w:rsid w:val="002E748B"/>
    <w:rsid w:val="002F2002"/>
    <w:rsid w:val="002F335D"/>
    <w:rsid w:val="002F4E32"/>
    <w:rsid w:val="002F503F"/>
    <w:rsid w:val="002F51DD"/>
    <w:rsid w:val="002F5D08"/>
    <w:rsid w:val="002F6895"/>
    <w:rsid w:val="002F6D13"/>
    <w:rsid w:val="003038D3"/>
    <w:rsid w:val="003049C7"/>
    <w:rsid w:val="00305F0E"/>
    <w:rsid w:val="0030667A"/>
    <w:rsid w:val="003106DE"/>
    <w:rsid w:val="00311530"/>
    <w:rsid w:val="00312D31"/>
    <w:rsid w:val="00315216"/>
    <w:rsid w:val="0031691C"/>
    <w:rsid w:val="00317AEF"/>
    <w:rsid w:val="00317F49"/>
    <w:rsid w:val="0032089B"/>
    <w:rsid w:val="00323450"/>
    <w:rsid w:val="00323D93"/>
    <w:rsid w:val="0032489B"/>
    <w:rsid w:val="0032525B"/>
    <w:rsid w:val="00326A7A"/>
    <w:rsid w:val="00326FEE"/>
    <w:rsid w:val="003315D7"/>
    <w:rsid w:val="00334DE6"/>
    <w:rsid w:val="0033536D"/>
    <w:rsid w:val="003353FF"/>
    <w:rsid w:val="003366D2"/>
    <w:rsid w:val="00337C79"/>
    <w:rsid w:val="00337FEF"/>
    <w:rsid w:val="0034084C"/>
    <w:rsid w:val="00340D5E"/>
    <w:rsid w:val="003420B5"/>
    <w:rsid w:val="00343646"/>
    <w:rsid w:val="00344CCB"/>
    <w:rsid w:val="00345897"/>
    <w:rsid w:val="00351BFC"/>
    <w:rsid w:val="00352671"/>
    <w:rsid w:val="0035575E"/>
    <w:rsid w:val="003565B4"/>
    <w:rsid w:val="0035786E"/>
    <w:rsid w:val="00362E75"/>
    <w:rsid w:val="003631AA"/>
    <w:rsid w:val="003632D5"/>
    <w:rsid w:val="00363575"/>
    <w:rsid w:val="00364EF9"/>
    <w:rsid w:val="00367579"/>
    <w:rsid w:val="0036795B"/>
    <w:rsid w:val="00370A29"/>
    <w:rsid w:val="003722F9"/>
    <w:rsid w:val="00372349"/>
    <w:rsid w:val="00372CBC"/>
    <w:rsid w:val="00373A61"/>
    <w:rsid w:val="00374BDE"/>
    <w:rsid w:val="00376B39"/>
    <w:rsid w:val="003772C0"/>
    <w:rsid w:val="00377BAC"/>
    <w:rsid w:val="00380142"/>
    <w:rsid w:val="00380558"/>
    <w:rsid w:val="00381D3C"/>
    <w:rsid w:val="0038223E"/>
    <w:rsid w:val="00382D92"/>
    <w:rsid w:val="00385AEF"/>
    <w:rsid w:val="003860EA"/>
    <w:rsid w:val="0038781A"/>
    <w:rsid w:val="0039080B"/>
    <w:rsid w:val="0039326E"/>
    <w:rsid w:val="00394E22"/>
    <w:rsid w:val="003967A4"/>
    <w:rsid w:val="00397FA3"/>
    <w:rsid w:val="003A1596"/>
    <w:rsid w:val="003A317E"/>
    <w:rsid w:val="003A345B"/>
    <w:rsid w:val="003A49EE"/>
    <w:rsid w:val="003A674D"/>
    <w:rsid w:val="003A7123"/>
    <w:rsid w:val="003B102E"/>
    <w:rsid w:val="003B2167"/>
    <w:rsid w:val="003B5F5D"/>
    <w:rsid w:val="003B62C8"/>
    <w:rsid w:val="003C0C62"/>
    <w:rsid w:val="003C12DC"/>
    <w:rsid w:val="003C2CDA"/>
    <w:rsid w:val="003C5F46"/>
    <w:rsid w:val="003D000A"/>
    <w:rsid w:val="003D31E9"/>
    <w:rsid w:val="003D544E"/>
    <w:rsid w:val="003D5980"/>
    <w:rsid w:val="003E0842"/>
    <w:rsid w:val="003E13B0"/>
    <w:rsid w:val="003E2580"/>
    <w:rsid w:val="003E370F"/>
    <w:rsid w:val="003E3DEE"/>
    <w:rsid w:val="003E3EBB"/>
    <w:rsid w:val="003E4A4C"/>
    <w:rsid w:val="003E4CBA"/>
    <w:rsid w:val="003E4D2F"/>
    <w:rsid w:val="003E4EDC"/>
    <w:rsid w:val="003E599D"/>
    <w:rsid w:val="003E5C81"/>
    <w:rsid w:val="003E6965"/>
    <w:rsid w:val="003F00E8"/>
    <w:rsid w:val="003F179B"/>
    <w:rsid w:val="003F1936"/>
    <w:rsid w:val="003F19FE"/>
    <w:rsid w:val="003F1BDD"/>
    <w:rsid w:val="003F3BA3"/>
    <w:rsid w:val="003F3BD5"/>
    <w:rsid w:val="003F400E"/>
    <w:rsid w:val="003F6F35"/>
    <w:rsid w:val="003F7768"/>
    <w:rsid w:val="00400E8C"/>
    <w:rsid w:val="004017DC"/>
    <w:rsid w:val="00401B53"/>
    <w:rsid w:val="00402668"/>
    <w:rsid w:val="00404FEC"/>
    <w:rsid w:val="0040534D"/>
    <w:rsid w:val="00405FAD"/>
    <w:rsid w:val="004117AB"/>
    <w:rsid w:val="00412B2F"/>
    <w:rsid w:val="00415281"/>
    <w:rsid w:val="00415716"/>
    <w:rsid w:val="0041604D"/>
    <w:rsid w:val="00417842"/>
    <w:rsid w:val="00417A6E"/>
    <w:rsid w:val="00420CDF"/>
    <w:rsid w:val="0042285D"/>
    <w:rsid w:val="00427D2B"/>
    <w:rsid w:val="00430B13"/>
    <w:rsid w:val="00430CE5"/>
    <w:rsid w:val="0043153C"/>
    <w:rsid w:val="00431D0F"/>
    <w:rsid w:val="0043481C"/>
    <w:rsid w:val="00444307"/>
    <w:rsid w:val="0044436F"/>
    <w:rsid w:val="004443EB"/>
    <w:rsid w:val="00444432"/>
    <w:rsid w:val="00444673"/>
    <w:rsid w:val="0044621E"/>
    <w:rsid w:val="00447BF1"/>
    <w:rsid w:val="00450BA4"/>
    <w:rsid w:val="004511FC"/>
    <w:rsid w:val="00456620"/>
    <w:rsid w:val="00456784"/>
    <w:rsid w:val="00456DCA"/>
    <w:rsid w:val="00461140"/>
    <w:rsid w:val="004611DB"/>
    <w:rsid w:val="004658B0"/>
    <w:rsid w:val="004658EC"/>
    <w:rsid w:val="0046614B"/>
    <w:rsid w:val="0046672D"/>
    <w:rsid w:val="00467FD7"/>
    <w:rsid w:val="00470073"/>
    <w:rsid w:val="004730F8"/>
    <w:rsid w:val="00474353"/>
    <w:rsid w:val="00474555"/>
    <w:rsid w:val="004750F4"/>
    <w:rsid w:val="00476CB1"/>
    <w:rsid w:val="00480A48"/>
    <w:rsid w:val="00482501"/>
    <w:rsid w:val="00482E7D"/>
    <w:rsid w:val="00484395"/>
    <w:rsid w:val="00484A66"/>
    <w:rsid w:val="004865FB"/>
    <w:rsid w:val="00486C03"/>
    <w:rsid w:val="00491AB3"/>
    <w:rsid w:val="00497A33"/>
    <w:rsid w:val="004A1112"/>
    <w:rsid w:val="004A1DA0"/>
    <w:rsid w:val="004A1F20"/>
    <w:rsid w:val="004A2393"/>
    <w:rsid w:val="004A3569"/>
    <w:rsid w:val="004A452A"/>
    <w:rsid w:val="004A5F2C"/>
    <w:rsid w:val="004A6E4F"/>
    <w:rsid w:val="004A720D"/>
    <w:rsid w:val="004B00D0"/>
    <w:rsid w:val="004B6084"/>
    <w:rsid w:val="004B7AE0"/>
    <w:rsid w:val="004C0BC4"/>
    <w:rsid w:val="004C260D"/>
    <w:rsid w:val="004C2D47"/>
    <w:rsid w:val="004C4357"/>
    <w:rsid w:val="004C4477"/>
    <w:rsid w:val="004C5730"/>
    <w:rsid w:val="004C6397"/>
    <w:rsid w:val="004C668F"/>
    <w:rsid w:val="004C682B"/>
    <w:rsid w:val="004D142C"/>
    <w:rsid w:val="004D29F7"/>
    <w:rsid w:val="004D36D8"/>
    <w:rsid w:val="004D4C5C"/>
    <w:rsid w:val="004D5AB0"/>
    <w:rsid w:val="004D5EAE"/>
    <w:rsid w:val="004D7A0E"/>
    <w:rsid w:val="004E06E7"/>
    <w:rsid w:val="004E0AE3"/>
    <w:rsid w:val="004E20D3"/>
    <w:rsid w:val="004E2C82"/>
    <w:rsid w:val="004E4FAE"/>
    <w:rsid w:val="004E62C7"/>
    <w:rsid w:val="004E68FF"/>
    <w:rsid w:val="004E7A1B"/>
    <w:rsid w:val="004F0B7F"/>
    <w:rsid w:val="004F1193"/>
    <w:rsid w:val="004F11DC"/>
    <w:rsid w:val="004F2124"/>
    <w:rsid w:val="004F271B"/>
    <w:rsid w:val="004F3A52"/>
    <w:rsid w:val="004F449F"/>
    <w:rsid w:val="004F4E7E"/>
    <w:rsid w:val="004F63AB"/>
    <w:rsid w:val="004F6B76"/>
    <w:rsid w:val="004F6C7C"/>
    <w:rsid w:val="004F7F1A"/>
    <w:rsid w:val="004F7FBB"/>
    <w:rsid w:val="0050344B"/>
    <w:rsid w:val="005042B3"/>
    <w:rsid w:val="005045AB"/>
    <w:rsid w:val="00507D43"/>
    <w:rsid w:val="005103F2"/>
    <w:rsid w:val="00510E2C"/>
    <w:rsid w:val="00511FDC"/>
    <w:rsid w:val="005124C6"/>
    <w:rsid w:val="00513EBC"/>
    <w:rsid w:val="00514CE1"/>
    <w:rsid w:val="00517155"/>
    <w:rsid w:val="00517764"/>
    <w:rsid w:val="00517DB3"/>
    <w:rsid w:val="005200DC"/>
    <w:rsid w:val="005200F2"/>
    <w:rsid w:val="0052369D"/>
    <w:rsid w:val="005271DB"/>
    <w:rsid w:val="00530D2F"/>
    <w:rsid w:val="0053487C"/>
    <w:rsid w:val="005356E1"/>
    <w:rsid w:val="00536A8B"/>
    <w:rsid w:val="00540418"/>
    <w:rsid w:val="00541A96"/>
    <w:rsid w:val="00541C6A"/>
    <w:rsid w:val="00542C54"/>
    <w:rsid w:val="00546A43"/>
    <w:rsid w:val="00546C70"/>
    <w:rsid w:val="00547258"/>
    <w:rsid w:val="00550CF0"/>
    <w:rsid w:val="00554DFD"/>
    <w:rsid w:val="005559FE"/>
    <w:rsid w:val="005560D6"/>
    <w:rsid w:val="00556D07"/>
    <w:rsid w:val="005611F2"/>
    <w:rsid w:val="00561734"/>
    <w:rsid w:val="00561952"/>
    <w:rsid w:val="00564B9A"/>
    <w:rsid w:val="00565694"/>
    <w:rsid w:val="00566DD6"/>
    <w:rsid w:val="005714EF"/>
    <w:rsid w:val="005717D9"/>
    <w:rsid w:val="00571CEC"/>
    <w:rsid w:val="00572FCE"/>
    <w:rsid w:val="005750DB"/>
    <w:rsid w:val="005759FC"/>
    <w:rsid w:val="00575B85"/>
    <w:rsid w:val="00576DB9"/>
    <w:rsid w:val="0057738F"/>
    <w:rsid w:val="005805E4"/>
    <w:rsid w:val="0058202F"/>
    <w:rsid w:val="00584221"/>
    <w:rsid w:val="00584EB6"/>
    <w:rsid w:val="00586AA2"/>
    <w:rsid w:val="00586B68"/>
    <w:rsid w:val="0058774E"/>
    <w:rsid w:val="005878CF"/>
    <w:rsid w:val="00590CA0"/>
    <w:rsid w:val="00595B01"/>
    <w:rsid w:val="00596D98"/>
    <w:rsid w:val="005979A5"/>
    <w:rsid w:val="005A0021"/>
    <w:rsid w:val="005A017B"/>
    <w:rsid w:val="005A2AEC"/>
    <w:rsid w:val="005A412D"/>
    <w:rsid w:val="005A5212"/>
    <w:rsid w:val="005B002D"/>
    <w:rsid w:val="005B0FFF"/>
    <w:rsid w:val="005B19AF"/>
    <w:rsid w:val="005B258C"/>
    <w:rsid w:val="005B61DD"/>
    <w:rsid w:val="005B6735"/>
    <w:rsid w:val="005B7831"/>
    <w:rsid w:val="005C0CD6"/>
    <w:rsid w:val="005C12D9"/>
    <w:rsid w:val="005C2146"/>
    <w:rsid w:val="005C309D"/>
    <w:rsid w:val="005C544B"/>
    <w:rsid w:val="005C5916"/>
    <w:rsid w:val="005C5AEE"/>
    <w:rsid w:val="005C5C72"/>
    <w:rsid w:val="005C6FD6"/>
    <w:rsid w:val="005C774A"/>
    <w:rsid w:val="005D127D"/>
    <w:rsid w:val="005D3734"/>
    <w:rsid w:val="005D4F16"/>
    <w:rsid w:val="005D5A53"/>
    <w:rsid w:val="005D5DA0"/>
    <w:rsid w:val="005D7FBD"/>
    <w:rsid w:val="005E19B4"/>
    <w:rsid w:val="005E1D6B"/>
    <w:rsid w:val="005E227A"/>
    <w:rsid w:val="005E2CF8"/>
    <w:rsid w:val="005E3126"/>
    <w:rsid w:val="005E7075"/>
    <w:rsid w:val="005E75A7"/>
    <w:rsid w:val="005F1E71"/>
    <w:rsid w:val="005F38E2"/>
    <w:rsid w:val="005F3EE6"/>
    <w:rsid w:val="005F6736"/>
    <w:rsid w:val="00602C10"/>
    <w:rsid w:val="00602EBD"/>
    <w:rsid w:val="00604CF2"/>
    <w:rsid w:val="00606DFF"/>
    <w:rsid w:val="00606FB7"/>
    <w:rsid w:val="00610533"/>
    <w:rsid w:val="006110F6"/>
    <w:rsid w:val="00611FA1"/>
    <w:rsid w:val="00612522"/>
    <w:rsid w:val="00612DA6"/>
    <w:rsid w:val="0061365B"/>
    <w:rsid w:val="006138B6"/>
    <w:rsid w:val="00614BC6"/>
    <w:rsid w:val="00614C11"/>
    <w:rsid w:val="00614E33"/>
    <w:rsid w:val="006158B8"/>
    <w:rsid w:val="0061706D"/>
    <w:rsid w:val="006173DA"/>
    <w:rsid w:val="00617EF9"/>
    <w:rsid w:val="00620295"/>
    <w:rsid w:val="00622F8E"/>
    <w:rsid w:val="00626AC8"/>
    <w:rsid w:val="00627912"/>
    <w:rsid w:val="0063195F"/>
    <w:rsid w:val="0063263A"/>
    <w:rsid w:val="00636C0A"/>
    <w:rsid w:val="00637EC6"/>
    <w:rsid w:val="0064240C"/>
    <w:rsid w:val="00642FF5"/>
    <w:rsid w:val="006430FB"/>
    <w:rsid w:val="00643992"/>
    <w:rsid w:val="00644DBC"/>
    <w:rsid w:val="00646FE6"/>
    <w:rsid w:val="006474CD"/>
    <w:rsid w:val="00647744"/>
    <w:rsid w:val="006479A0"/>
    <w:rsid w:val="006500D9"/>
    <w:rsid w:val="00653B54"/>
    <w:rsid w:val="006541A3"/>
    <w:rsid w:val="00654FAD"/>
    <w:rsid w:val="00655C9F"/>
    <w:rsid w:val="006567FF"/>
    <w:rsid w:val="00656867"/>
    <w:rsid w:val="0066109F"/>
    <w:rsid w:val="00664B26"/>
    <w:rsid w:val="0066596B"/>
    <w:rsid w:val="00670295"/>
    <w:rsid w:val="006704F5"/>
    <w:rsid w:val="00672894"/>
    <w:rsid w:val="00674B47"/>
    <w:rsid w:val="0067609E"/>
    <w:rsid w:val="00676BE1"/>
    <w:rsid w:val="00677749"/>
    <w:rsid w:val="00680E07"/>
    <w:rsid w:val="00682B9D"/>
    <w:rsid w:val="00683806"/>
    <w:rsid w:val="00686AF9"/>
    <w:rsid w:val="006910C0"/>
    <w:rsid w:val="00691954"/>
    <w:rsid w:val="0069320E"/>
    <w:rsid w:val="00693D13"/>
    <w:rsid w:val="00694F58"/>
    <w:rsid w:val="006955BC"/>
    <w:rsid w:val="006959E2"/>
    <w:rsid w:val="00695F83"/>
    <w:rsid w:val="00696920"/>
    <w:rsid w:val="00697EB9"/>
    <w:rsid w:val="006A20D4"/>
    <w:rsid w:val="006A268D"/>
    <w:rsid w:val="006A2F76"/>
    <w:rsid w:val="006A350F"/>
    <w:rsid w:val="006A3957"/>
    <w:rsid w:val="006A39A4"/>
    <w:rsid w:val="006A41D6"/>
    <w:rsid w:val="006A669D"/>
    <w:rsid w:val="006A6E41"/>
    <w:rsid w:val="006B012F"/>
    <w:rsid w:val="006B27CF"/>
    <w:rsid w:val="006B41BD"/>
    <w:rsid w:val="006B5678"/>
    <w:rsid w:val="006B62B2"/>
    <w:rsid w:val="006C1C57"/>
    <w:rsid w:val="006C5760"/>
    <w:rsid w:val="006C6B13"/>
    <w:rsid w:val="006C6D6F"/>
    <w:rsid w:val="006D0D78"/>
    <w:rsid w:val="006D1128"/>
    <w:rsid w:val="006D2848"/>
    <w:rsid w:val="006D30E0"/>
    <w:rsid w:val="006D4569"/>
    <w:rsid w:val="006D5521"/>
    <w:rsid w:val="006D5FE9"/>
    <w:rsid w:val="006D6CBB"/>
    <w:rsid w:val="006D76A9"/>
    <w:rsid w:val="006D77F4"/>
    <w:rsid w:val="006E0898"/>
    <w:rsid w:val="006E41CD"/>
    <w:rsid w:val="006E6F5F"/>
    <w:rsid w:val="006F3BEC"/>
    <w:rsid w:val="00703C00"/>
    <w:rsid w:val="007057CC"/>
    <w:rsid w:val="007066F2"/>
    <w:rsid w:val="00706AE5"/>
    <w:rsid w:val="0070740A"/>
    <w:rsid w:val="007074DC"/>
    <w:rsid w:val="00707E58"/>
    <w:rsid w:val="00711F93"/>
    <w:rsid w:val="00712940"/>
    <w:rsid w:val="0071428C"/>
    <w:rsid w:val="00715A16"/>
    <w:rsid w:val="007164B0"/>
    <w:rsid w:val="007166FF"/>
    <w:rsid w:val="007260CC"/>
    <w:rsid w:val="00726543"/>
    <w:rsid w:val="0073353E"/>
    <w:rsid w:val="00736633"/>
    <w:rsid w:val="00741EE7"/>
    <w:rsid w:val="00743A79"/>
    <w:rsid w:val="007444D4"/>
    <w:rsid w:val="0074594D"/>
    <w:rsid w:val="007459F3"/>
    <w:rsid w:val="00746E35"/>
    <w:rsid w:val="007470E2"/>
    <w:rsid w:val="0075232F"/>
    <w:rsid w:val="00753132"/>
    <w:rsid w:val="007550B3"/>
    <w:rsid w:val="00760451"/>
    <w:rsid w:val="0077182A"/>
    <w:rsid w:val="00771913"/>
    <w:rsid w:val="00772718"/>
    <w:rsid w:val="00775BCF"/>
    <w:rsid w:val="007818AA"/>
    <w:rsid w:val="00783140"/>
    <w:rsid w:val="007838B6"/>
    <w:rsid w:val="00783E77"/>
    <w:rsid w:val="0078764F"/>
    <w:rsid w:val="007906F1"/>
    <w:rsid w:val="0079243D"/>
    <w:rsid w:val="00794A9B"/>
    <w:rsid w:val="0079583B"/>
    <w:rsid w:val="00796602"/>
    <w:rsid w:val="00797185"/>
    <w:rsid w:val="007976B7"/>
    <w:rsid w:val="00797A7E"/>
    <w:rsid w:val="00797D6F"/>
    <w:rsid w:val="007B014B"/>
    <w:rsid w:val="007B0D88"/>
    <w:rsid w:val="007B1888"/>
    <w:rsid w:val="007B306F"/>
    <w:rsid w:val="007B4714"/>
    <w:rsid w:val="007B4E82"/>
    <w:rsid w:val="007C1996"/>
    <w:rsid w:val="007C3773"/>
    <w:rsid w:val="007C3F1F"/>
    <w:rsid w:val="007D2D0D"/>
    <w:rsid w:val="007D3325"/>
    <w:rsid w:val="007D3818"/>
    <w:rsid w:val="007D6DC5"/>
    <w:rsid w:val="007D7425"/>
    <w:rsid w:val="007E320E"/>
    <w:rsid w:val="007E3280"/>
    <w:rsid w:val="007E4A02"/>
    <w:rsid w:val="007E595C"/>
    <w:rsid w:val="007E59A5"/>
    <w:rsid w:val="007F1EEB"/>
    <w:rsid w:val="007F3B8C"/>
    <w:rsid w:val="007F41D0"/>
    <w:rsid w:val="007F4B8B"/>
    <w:rsid w:val="007F5957"/>
    <w:rsid w:val="007F70B6"/>
    <w:rsid w:val="007F74CA"/>
    <w:rsid w:val="00800F1E"/>
    <w:rsid w:val="0080195A"/>
    <w:rsid w:val="0080239C"/>
    <w:rsid w:val="00802841"/>
    <w:rsid w:val="008037D5"/>
    <w:rsid w:val="00805447"/>
    <w:rsid w:val="008054FA"/>
    <w:rsid w:val="0080717A"/>
    <w:rsid w:val="00807DFA"/>
    <w:rsid w:val="0081009F"/>
    <w:rsid w:val="00810152"/>
    <w:rsid w:val="008115AB"/>
    <w:rsid w:val="00812D2C"/>
    <w:rsid w:val="008159F4"/>
    <w:rsid w:val="008167C1"/>
    <w:rsid w:val="008167C6"/>
    <w:rsid w:val="00816B8F"/>
    <w:rsid w:val="00820331"/>
    <w:rsid w:val="00820BF5"/>
    <w:rsid w:val="008212B1"/>
    <w:rsid w:val="0082155A"/>
    <w:rsid w:val="0082209F"/>
    <w:rsid w:val="008223C2"/>
    <w:rsid w:val="008250A2"/>
    <w:rsid w:val="00825D64"/>
    <w:rsid w:val="00825F80"/>
    <w:rsid w:val="0082650B"/>
    <w:rsid w:val="008301CE"/>
    <w:rsid w:val="008312E3"/>
    <w:rsid w:val="00831D5B"/>
    <w:rsid w:val="00831F3E"/>
    <w:rsid w:val="00832DD6"/>
    <w:rsid w:val="00832F0C"/>
    <w:rsid w:val="008336F2"/>
    <w:rsid w:val="008345D9"/>
    <w:rsid w:val="008347CB"/>
    <w:rsid w:val="00835647"/>
    <w:rsid w:val="00837A2E"/>
    <w:rsid w:val="00841558"/>
    <w:rsid w:val="00842A68"/>
    <w:rsid w:val="008435BA"/>
    <w:rsid w:val="0084558B"/>
    <w:rsid w:val="0084654A"/>
    <w:rsid w:val="00847654"/>
    <w:rsid w:val="00851064"/>
    <w:rsid w:val="00855543"/>
    <w:rsid w:val="008566B3"/>
    <w:rsid w:val="008576B7"/>
    <w:rsid w:val="00857F7B"/>
    <w:rsid w:val="00863DA1"/>
    <w:rsid w:val="008654A6"/>
    <w:rsid w:val="00865D86"/>
    <w:rsid w:val="00870495"/>
    <w:rsid w:val="00870EA1"/>
    <w:rsid w:val="008710C5"/>
    <w:rsid w:val="00874438"/>
    <w:rsid w:val="00874E75"/>
    <w:rsid w:val="008767F3"/>
    <w:rsid w:val="00876CEF"/>
    <w:rsid w:val="00877342"/>
    <w:rsid w:val="008803C3"/>
    <w:rsid w:val="00881450"/>
    <w:rsid w:val="008817C7"/>
    <w:rsid w:val="00881875"/>
    <w:rsid w:val="008848A3"/>
    <w:rsid w:val="00884AF1"/>
    <w:rsid w:val="00885697"/>
    <w:rsid w:val="00885F7A"/>
    <w:rsid w:val="00890712"/>
    <w:rsid w:val="00890D81"/>
    <w:rsid w:val="00892955"/>
    <w:rsid w:val="00893628"/>
    <w:rsid w:val="008941EB"/>
    <w:rsid w:val="0089545A"/>
    <w:rsid w:val="00895A02"/>
    <w:rsid w:val="008A01EE"/>
    <w:rsid w:val="008A0DAC"/>
    <w:rsid w:val="008A3B78"/>
    <w:rsid w:val="008A4166"/>
    <w:rsid w:val="008A7DBF"/>
    <w:rsid w:val="008B136C"/>
    <w:rsid w:val="008B55EF"/>
    <w:rsid w:val="008B6910"/>
    <w:rsid w:val="008C0B5C"/>
    <w:rsid w:val="008C1343"/>
    <w:rsid w:val="008C3912"/>
    <w:rsid w:val="008C5598"/>
    <w:rsid w:val="008C69EA"/>
    <w:rsid w:val="008C6F8B"/>
    <w:rsid w:val="008C7AB7"/>
    <w:rsid w:val="008C7FB4"/>
    <w:rsid w:val="008D2C8C"/>
    <w:rsid w:val="008D3040"/>
    <w:rsid w:val="008D3ECD"/>
    <w:rsid w:val="008D5C03"/>
    <w:rsid w:val="008D7580"/>
    <w:rsid w:val="008D7C35"/>
    <w:rsid w:val="008E5698"/>
    <w:rsid w:val="008E5733"/>
    <w:rsid w:val="008E77D2"/>
    <w:rsid w:val="008E78FD"/>
    <w:rsid w:val="008F199D"/>
    <w:rsid w:val="008F38A0"/>
    <w:rsid w:val="008F39C9"/>
    <w:rsid w:val="008F5EB5"/>
    <w:rsid w:val="008F678C"/>
    <w:rsid w:val="008F75A7"/>
    <w:rsid w:val="008F7E5A"/>
    <w:rsid w:val="00900A7F"/>
    <w:rsid w:val="009036EE"/>
    <w:rsid w:val="00905815"/>
    <w:rsid w:val="00905D1D"/>
    <w:rsid w:val="0091016D"/>
    <w:rsid w:val="009108A7"/>
    <w:rsid w:val="00910C50"/>
    <w:rsid w:val="00910C98"/>
    <w:rsid w:val="00911910"/>
    <w:rsid w:val="00912A58"/>
    <w:rsid w:val="00913908"/>
    <w:rsid w:val="00913D26"/>
    <w:rsid w:val="0091438B"/>
    <w:rsid w:val="009147E3"/>
    <w:rsid w:val="00920FD2"/>
    <w:rsid w:val="00923A43"/>
    <w:rsid w:val="0092439C"/>
    <w:rsid w:val="0092498E"/>
    <w:rsid w:val="00925B91"/>
    <w:rsid w:val="00934461"/>
    <w:rsid w:val="00934F7E"/>
    <w:rsid w:val="00936A1C"/>
    <w:rsid w:val="00943E35"/>
    <w:rsid w:val="00945278"/>
    <w:rsid w:val="0094658D"/>
    <w:rsid w:val="00947678"/>
    <w:rsid w:val="00947878"/>
    <w:rsid w:val="009504C2"/>
    <w:rsid w:val="0095254A"/>
    <w:rsid w:val="0095273B"/>
    <w:rsid w:val="009559E1"/>
    <w:rsid w:val="009568D5"/>
    <w:rsid w:val="00957CD3"/>
    <w:rsid w:val="0096269B"/>
    <w:rsid w:val="00963FB0"/>
    <w:rsid w:val="00964C86"/>
    <w:rsid w:val="00965E82"/>
    <w:rsid w:val="009664BB"/>
    <w:rsid w:val="009669F8"/>
    <w:rsid w:val="00966F89"/>
    <w:rsid w:val="00973B5D"/>
    <w:rsid w:val="0097755E"/>
    <w:rsid w:val="00981467"/>
    <w:rsid w:val="00981C24"/>
    <w:rsid w:val="009852F6"/>
    <w:rsid w:val="00985DE5"/>
    <w:rsid w:val="00986254"/>
    <w:rsid w:val="0098729E"/>
    <w:rsid w:val="00990067"/>
    <w:rsid w:val="00990227"/>
    <w:rsid w:val="00992977"/>
    <w:rsid w:val="009937D4"/>
    <w:rsid w:val="00993C78"/>
    <w:rsid w:val="00994640"/>
    <w:rsid w:val="009948C7"/>
    <w:rsid w:val="00995850"/>
    <w:rsid w:val="0099796C"/>
    <w:rsid w:val="009A194E"/>
    <w:rsid w:val="009A1EA2"/>
    <w:rsid w:val="009A209E"/>
    <w:rsid w:val="009A3FD7"/>
    <w:rsid w:val="009A4296"/>
    <w:rsid w:val="009A6652"/>
    <w:rsid w:val="009A74FD"/>
    <w:rsid w:val="009B25D8"/>
    <w:rsid w:val="009B42E3"/>
    <w:rsid w:val="009B5859"/>
    <w:rsid w:val="009C6D07"/>
    <w:rsid w:val="009C7CEC"/>
    <w:rsid w:val="009D154D"/>
    <w:rsid w:val="009D18EF"/>
    <w:rsid w:val="009D3BE8"/>
    <w:rsid w:val="009D44E0"/>
    <w:rsid w:val="009D573B"/>
    <w:rsid w:val="009D59A0"/>
    <w:rsid w:val="009D716A"/>
    <w:rsid w:val="009E1AC4"/>
    <w:rsid w:val="009E20B8"/>
    <w:rsid w:val="009E29A0"/>
    <w:rsid w:val="009E41B5"/>
    <w:rsid w:val="009E55D7"/>
    <w:rsid w:val="009E627C"/>
    <w:rsid w:val="009F110B"/>
    <w:rsid w:val="009F1498"/>
    <w:rsid w:val="009F1E9F"/>
    <w:rsid w:val="009F3793"/>
    <w:rsid w:val="009F54F2"/>
    <w:rsid w:val="00A0056B"/>
    <w:rsid w:val="00A01657"/>
    <w:rsid w:val="00A01C65"/>
    <w:rsid w:val="00A0213D"/>
    <w:rsid w:val="00A04C73"/>
    <w:rsid w:val="00A0679A"/>
    <w:rsid w:val="00A07A2B"/>
    <w:rsid w:val="00A12375"/>
    <w:rsid w:val="00A125B8"/>
    <w:rsid w:val="00A12D93"/>
    <w:rsid w:val="00A13124"/>
    <w:rsid w:val="00A15370"/>
    <w:rsid w:val="00A156AB"/>
    <w:rsid w:val="00A16B8D"/>
    <w:rsid w:val="00A21293"/>
    <w:rsid w:val="00A2134B"/>
    <w:rsid w:val="00A21623"/>
    <w:rsid w:val="00A220EB"/>
    <w:rsid w:val="00A22302"/>
    <w:rsid w:val="00A22EED"/>
    <w:rsid w:val="00A25F1B"/>
    <w:rsid w:val="00A325F3"/>
    <w:rsid w:val="00A33103"/>
    <w:rsid w:val="00A33294"/>
    <w:rsid w:val="00A34B77"/>
    <w:rsid w:val="00A34C8E"/>
    <w:rsid w:val="00A35DCB"/>
    <w:rsid w:val="00A3690E"/>
    <w:rsid w:val="00A37751"/>
    <w:rsid w:val="00A406B1"/>
    <w:rsid w:val="00A4113E"/>
    <w:rsid w:val="00A42435"/>
    <w:rsid w:val="00A438BA"/>
    <w:rsid w:val="00A446FD"/>
    <w:rsid w:val="00A46F46"/>
    <w:rsid w:val="00A52CB6"/>
    <w:rsid w:val="00A52F99"/>
    <w:rsid w:val="00A538BB"/>
    <w:rsid w:val="00A54164"/>
    <w:rsid w:val="00A56737"/>
    <w:rsid w:val="00A60002"/>
    <w:rsid w:val="00A603D8"/>
    <w:rsid w:val="00A60AE2"/>
    <w:rsid w:val="00A61834"/>
    <w:rsid w:val="00A618B0"/>
    <w:rsid w:val="00A62790"/>
    <w:rsid w:val="00A6291F"/>
    <w:rsid w:val="00A63F53"/>
    <w:rsid w:val="00A7111E"/>
    <w:rsid w:val="00A72E70"/>
    <w:rsid w:val="00A755B6"/>
    <w:rsid w:val="00A75B1A"/>
    <w:rsid w:val="00A80ED4"/>
    <w:rsid w:val="00A816C4"/>
    <w:rsid w:val="00A82981"/>
    <w:rsid w:val="00A86F10"/>
    <w:rsid w:val="00A87AF2"/>
    <w:rsid w:val="00A90B23"/>
    <w:rsid w:val="00A93193"/>
    <w:rsid w:val="00A93C2B"/>
    <w:rsid w:val="00A94556"/>
    <w:rsid w:val="00A974CB"/>
    <w:rsid w:val="00AA1EAC"/>
    <w:rsid w:val="00AA1EEA"/>
    <w:rsid w:val="00AA45E2"/>
    <w:rsid w:val="00AA5DE9"/>
    <w:rsid w:val="00AA7AC1"/>
    <w:rsid w:val="00AB6327"/>
    <w:rsid w:val="00AB6B8F"/>
    <w:rsid w:val="00AC06F3"/>
    <w:rsid w:val="00AC0C65"/>
    <w:rsid w:val="00AC0FB2"/>
    <w:rsid w:val="00AC3721"/>
    <w:rsid w:val="00AC41C6"/>
    <w:rsid w:val="00AC70C7"/>
    <w:rsid w:val="00AC76B7"/>
    <w:rsid w:val="00AD0223"/>
    <w:rsid w:val="00AD123A"/>
    <w:rsid w:val="00AD15FF"/>
    <w:rsid w:val="00AD1AA5"/>
    <w:rsid w:val="00AD1CFF"/>
    <w:rsid w:val="00AD2920"/>
    <w:rsid w:val="00AD2CD5"/>
    <w:rsid w:val="00AD2DFC"/>
    <w:rsid w:val="00AD38C4"/>
    <w:rsid w:val="00AD5A4A"/>
    <w:rsid w:val="00AD60EE"/>
    <w:rsid w:val="00AD6A2B"/>
    <w:rsid w:val="00AD73D4"/>
    <w:rsid w:val="00AE1EA2"/>
    <w:rsid w:val="00AE2874"/>
    <w:rsid w:val="00AE2BA2"/>
    <w:rsid w:val="00AE2F98"/>
    <w:rsid w:val="00AE3602"/>
    <w:rsid w:val="00AE3BD8"/>
    <w:rsid w:val="00AE5342"/>
    <w:rsid w:val="00AE5987"/>
    <w:rsid w:val="00AE6472"/>
    <w:rsid w:val="00AF1345"/>
    <w:rsid w:val="00AF1E91"/>
    <w:rsid w:val="00AF38A8"/>
    <w:rsid w:val="00AF63EB"/>
    <w:rsid w:val="00B016D2"/>
    <w:rsid w:val="00B018EC"/>
    <w:rsid w:val="00B060C7"/>
    <w:rsid w:val="00B11AB7"/>
    <w:rsid w:val="00B12213"/>
    <w:rsid w:val="00B13710"/>
    <w:rsid w:val="00B218FF"/>
    <w:rsid w:val="00B22881"/>
    <w:rsid w:val="00B23EFC"/>
    <w:rsid w:val="00B24B72"/>
    <w:rsid w:val="00B24D51"/>
    <w:rsid w:val="00B25DB8"/>
    <w:rsid w:val="00B2656C"/>
    <w:rsid w:val="00B266E6"/>
    <w:rsid w:val="00B3094D"/>
    <w:rsid w:val="00B30B04"/>
    <w:rsid w:val="00B311BC"/>
    <w:rsid w:val="00B31810"/>
    <w:rsid w:val="00B31C10"/>
    <w:rsid w:val="00B3446D"/>
    <w:rsid w:val="00B34652"/>
    <w:rsid w:val="00B34F89"/>
    <w:rsid w:val="00B358C8"/>
    <w:rsid w:val="00B36185"/>
    <w:rsid w:val="00B3662F"/>
    <w:rsid w:val="00B373CD"/>
    <w:rsid w:val="00B377C8"/>
    <w:rsid w:val="00B400B8"/>
    <w:rsid w:val="00B404DE"/>
    <w:rsid w:val="00B40765"/>
    <w:rsid w:val="00B4232D"/>
    <w:rsid w:val="00B42682"/>
    <w:rsid w:val="00B43065"/>
    <w:rsid w:val="00B44784"/>
    <w:rsid w:val="00B449D0"/>
    <w:rsid w:val="00B456AB"/>
    <w:rsid w:val="00B46C2A"/>
    <w:rsid w:val="00B46D41"/>
    <w:rsid w:val="00B47E8B"/>
    <w:rsid w:val="00B51C67"/>
    <w:rsid w:val="00B53F86"/>
    <w:rsid w:val="00B53FDC"/>
    <w:rsid w:val="00B55431"/>
    <w:rsid w:val="00B55CAE"/>
    <w:rsid w:val="00B576C6"/>
    <w:rsid w:val="00B615F2"/>
    <w:rsid w:val="00B61A28"/>
    <w:rsid w:val="00B64569"/>
    <w:rsid w:val="00B646D2"/>
    <w:rsid w:val="00B65C6D"/>
    <w:rsid w:val="00B66B06"/>
    <w:rsid w:val="00B67862"/>
    <w:rsid w:val="00B70634"/>
    <w:rsid w:val="00B70BE4"/>
    <w:rsid w:val="00B7173D"/>
    <w:rsid w:val="00B73880"/>
    <w:rsid w:val="00B73CF1"/>
    <w:rsid w:val="00B745B3"/>
    <w:rsid w:val="00B7599D"/>
    <w:rsid w:val="00B7648F"/>
    <w:rsid w:val="00B76E13"/>
    <w:rsid w:val="00B771EE"/>
    <w:rsid w:val="00B7752A"/>
    <w:rsid w:val="00B7765B"/>
    <w:rsid w:val="00B77B4B"/>
    <w:rsid w:val="00B80ABC"/>
    <w:rsid w:val="00B814C2"/>
    <w:rsid w:val="00B900FE"/>
    <w:rsid w:val="00B9064C"/>
    <w:rsid w:val="00BA0A14"/>
    <w:rsid w:val="00BA228D"/>
    <w:rsid w:val="00BA398D"/>
    <w:rsid w:val="00BA39D3"/>
    <w:rsid w:val="00BA51BF"/>
    <w:rsid w:val="00BA5C56"/>
    <w:rsid w:val="00BA776F"/>
    <w:rsid w:val="00BB0C0D"/>
    <w:rsid w:val="00BB0D69"/>
    <w:rsid w:val="00BB366E"/>
    <w:rsid w:val="00BB3AF0"/>
    <w:rsid w:val="00BB4F70"/>
    <w:rsid w:val="00BB67FF"/>
    <w:rsid w:val="00BC11B9"/>
    <w:rsid w:val="00BC138C"/>
    <w:rsid w:val="00BC14CF"/>
    <w:rsid w:val="00BC1659"/>
    <w:rsid w:val="00BC2C91"/>
    <w:rsid w:val="00BC3A9C"/>
    <w:rsid w:val="00BC5288"/>
    <w:rsid w:val="00BC6945"/>
    <w:rsid w:val="00BC6A71"/>
    <w:rsid w:val="00BC6B2F"/>
    <w:rsid w:val="00BD0637"/>
    <w:rsid w:val="00BD08A8"/>
    <w:rsid w:val="00BD1BAC"/>
    <w:rsid w:val="00BD1FA8"/>
    <w:rsid w:val="00BD25A6"/>
    <w:rsid w:val="00BD27A4"/>
    <w:rsid w:val="00BD4C95"/>
    <w:rsid w:val="00BD65FC"/>
    <w:rsid w:val="00BD7660"/>
    <w:rsid w:val="00BE0666"/>
    <w:rsid w:val="00BE24B9"/>
    <w:rsid w:val="00BE2AE8"/>
    <w:rsid w:val="00BE2D55"/>
    <w:rsid w:val="00BE38DD"/>
    <w:rsid w:val="00BE4AB1"/>
    <w:rsid w:val="00BF16C3"/>
    <w:rsid w:val="00BF2FCF"/>
    <w:rsid w:val="00BF38E0"/>
    <w:rsid w:val="00BF44FA"/>
    <w:rsid w:val="00BF57E1"/>
    <w:rsid w:val="00C003B4"/>
    <w:rsid w:val="00C00A5F"/>
    <w:rsid w:val="00C018A0"/>
    <w:rsid w:val="00C042E0"/>
    <w:rsid w:val="00C051D9"/>
    <w:rsid w:val="00C06333"/>
    <w:rsid w:val="00C06F68"/>
    <w:rsid w:val="00C075BA"/>
    <w:rsid w:val="00C10A3A"/>
    <w:rsid w:val="00C11E20"/>
    <w:rsid w:val="00C15D16"/>
    <w:rsid w:val="00C20015"/>
    <w:rsid w:val="00C247DD"/>
    <w:rsid w:val="00C25B43"/>
    <w:rsid w:val="00C26A54"/>
    <w:rsid w:val="00C3261C"/>
    <w:rsid w:val="00C3318B"/>
    <w:rsid w:val="00C33C20"/>
    <w:rsid w:val="00C35362"/>
    <w:rsid w:val="00C357EA"/>
    <w:rsid w:val="00C379F8"/>
    <w:rsid w:val="00C37A1C"/>
    <w:rsid w:val="00C42323"/>
    <w:rsid w:val="00C4316E"/>
    <w:rsid w:val="00C453A9"/>
    <w:rsid w:val="00C465D5"/>
    <w:rsid w:val="00C4678F"/>
    <w:rsid w:val="00C4756A"/>
    <w:rsid w:val="00C47C39"/>
    <w:rsid w:val="00C50649"/>
    <w:rsid w:val="00C50E1F"/>
    <w:rsid w:val="00C519DB"/>
    <w:rsid w:val="00C51C09"/>
    <w:rsid w:val="00C52BB6"/>
    <w:rsid w:val="00C53471"/>
    <w:rsid w:val="00C5410A"/>
    <w:rsid w:val="00C55143"/>
    <w:rsid w:val="00C5611B"/>
    <w:rsid w:val="00C5695E"/>
    <w:rsid w:val="00C61528"/>
    <w:rsid w:val="00C63457"/>
    <w:rsid w:val="00C64964"/>
    <w:rsid w:val="00C6631E"/>
    <w:rsid w:val="00C67473"/>
    <w:rsid w:val="00C67AA4"/>
    <w:rsid w:val="00C7148C"/>
    <w:rsid w:val="00C72192"/>
    <w:rsid w:val="00C732E5"/>
    <w:rsid w:val="00C73D0B"/>
    <w:rsid w:val="00C75017"/>
    <w:rsid w:val="00C765B4"/>
    <w:rsid w:val="00C813EA"/>
    <w:rsid w:val="00C81496"/>
    <w:rsid w:val="00C82CE6"/>
    <w:rsid w:val="00C82E22"/>
    <w:rsid w:val="00C85144"/>
    <w:rsid w:val="00C86738"/>
    <w:rsid w:val="00C86A27"/>
    <w:rsid w:val="00C91517"/>
    <w:rsid w:val="00C929BD"/>
    <w:rsid w:val="00C931A2"/>
    <w:rsid w:val="00CA02E1"/>
    <w:rsid w:val="00CA15DA"/>
    <w:rsid w:val="00CA224E"/>
    <w:rsid w:val="00CA41C5"/>
    <w:rsid w:val="00CA42B7"/>
    <w:rsid w:val="00CA4A53"/>
    <w:rsid w:val="00CA51F5"/>
    <w:rsid w:val="00CB218A"/>
    <w:rsid w:val="00CB225A"/>
    <w:rsid w:val="00CB69E6"/>
    <w:rsid w:val="00CB761B"/>
    <w:rsid w:val="00CB7E33"/>
    <w:rsid w:val="00CC13DF"/>
    <w:rsid w:val="00CC1EEE"/>
    <w:rsid w:val="00CC562B"/>
    <w:rsid w:val="00CC6C15"/>
    <w:rsid w:val="00CC7FCF"/>
    <w:rsid w:val="00CD2749"/>
    <w:rsid w:val="00CD2A60"/>
    <w:rsid w:val="00CD2D2A"/>
    <w:rsid w:val="00CD306F"/>
    <w:rsid w:val="00CD3971"/>
    <w:rsid w:val="00CD3DAB"/>
    <w:rsid w:val="00CE0DF1"/>
    <w:rsid w:val="00CE3786"/>
    <w:rsid w:val="00CE4027"/>
    <w:rsid w:val="00CE47CC"/>
    <w:rsid w:val="00CE68F6"/>
    <w:rsid w:val="00CE7E27"/>
    <w:rsid w:val="00CF22AC"/>
    <w:rsid w:val="00CF2F0A"/>
    <w:rsid w:val="00CF596B"/>
    <w:rsid w:val="00CF79E8"/>
    <w:rsid w:val="00D015AA"/>
    <w:rsid w:val="00D021B8"/>
    <w:rsid w:val="00D03D90"/>
    <w:rsid w:val="00D04024"/>
    <w:rsid w:val="00D043EB"/>
    <w:rsid w:val="00D05C8C"/>
    <w:rsid w:val="00D06705"/>
    <w:rsid w:val="00D06A9B"/>
    <w:rsid w:val="00D0750D"/>
    <w:rsid w:val="00D07DD8"/>
    <w:rsid w:val="00D1038F"/>
    <w:rsid w:val="00D10BF7"/>
    <w:rsid w:val="00D10FEB"/>
    <w:rsid w:val="00D140A0"/>
    <w:rsid w:val="00D203D1"/>
    <w:rsid w:val="00D2057A"/>
    <w:rsid w:val="00D21D98"/>
    <w:rsid w:val="00D2317F"/>
    <w:rsid w:val="00D231A9"/>
    <w:rsid w:val="00D24391"/>
    <w:rsid w:val="00D2472B"/>
    <w:rsid w:val="00D253DD"/>
    <w:rsid w:val="00D26FFA"/>
    <w:rsid w:val="00D3215D"/>
    <w:rsid w:val="00D33352"/>
    <w:rsid w:val="00D347D9"/>
    <w:rsid w:val="00D35565"/>
    <w:rsid w:val="00D36A19"/>
    <w:rsid w:val="00D40DCF"/>
    <w:rsid w:val="00D41075"/>
    <w:rsid w:val="00D41C76"/>
    <w:rsid w:val="00D41DD8"/>
    <w:rsid w:val="00D4222C"/>
    <w:rsid w:val="00D425CE"/>
    <w:rsid w:val="00D42F40"/>
    <w:rsid w:val="00D4396C"/>
    <w:rsid w:val="00D4446F"/>
    <w:rsid w:val="00D44B55"/>
    <w:rsid w:val="00D45490"/>
    <w:rsid w:val="00D457B8"/>
    <w:rsid w:val="00D457E1"/>
    <w:rsid w:val="00D47BEB"/>
    <w:rsid w:val="00D50487"/>
    <w:rsid w:val="00D50563"/>
    <w:rsid w:val="00D50F50"/>
    <w:rsid w:val="00D5235F"/>
    <w:rsid w:val="00D52F50"/>
    <w:rsid w:val="00D55A98"/>
    <w:rsid w:val="00D56B49"/>
    <w:rsid w:val="00D6053F"/>
    <w:rsid w:val="00D6073D"/>
    <w:rsid w:val="00D618D6"/>
    <w:rsid w:val="00D62426"/>
    <w:rsid w:val="00D62804"/>
    <w:rsid w:val="00D70F55"/>
    <w:rsid w:val="00D70FA5"/>
    <w:rsid w:val="00D74171"/>
    <w:rsid w:val="00D7474C"/>
    <w:rsid w:val="00D8032C"/>
    <w:rsid w:val="00D80CE2"/>
    <w:rsid w:val="00D82FF3"/>
    <w:rsid w:val="00D83080"/>
    <w:rsid w:val="00D83E66"/>
    <w:rsid w:val="00D84D5F"/>
    <w:rsid w:val="00D851E2"/>
    <w:rsid w:val="00D85AB6"/>
    <w:rsid w:val="00D87FFA"/>
    <w:rsid w:val="00D91419"/>
    <w:rsid w:val="00D92A09"/>
    <w:rsid w:val="00D92D2A"/>
    <w:rsid w:val="00D92EEC"/>
    <w:rsid w:val="00D93470"/>
    <w:rsid w:val="00D9395F"/>
    <w:rsid w:val="00D93D55"/>
    <w:rsid w:val="00D941FA"/>
    <w:rsid w:val="00D94B59"/>
    <w:rsid w:val="00D95315"/>
    <w:rsid w:val="00D95EAB"/>
    <w:rsid w:val="00DA0B39"/>
    <w:rsid w:val="00DA1203"/>
    <w:rsid w:val="00DA2316"/>
    <w:rsid w:val="00DA25E0"/>
    <w:rsid w:val="00DA2700"/>
    <w:rsid w:val="00DA3001"/>
    <w:rsid w:val="00DA3C5D"/>
    <w:rsid w:val="00DA3EFF"/>
    <w:rsid w:val="00DA7769"/>
    <w:rsid w:val="00DB08C6"/>
    <w:rsid w:val="00DB1BC2"/>
    <w:rsid w:val="00DB1CBB"/>
    <w:rsid w:val="00DB31ED"/>
    <w:rsid w:val="00DB4124"/>
    <w:rsid w:val="00DB4511"/>
    <w:rsid w:val="00DB4F0C"/>
    <w:rsid w:val="00DC0176"/>
    <w:rsid w:val="00DC043F"/>
    <w:rsid w:val="00DC093E"/>
    <w:rsid w:val="00DC0E29"/>
    <w:rsid w:val="00DC0E7A"/>
    <w:rsid w:val="00DC2A65"/>
    <w:rsid w:val="00DC2A86"/>
    <w:rsid w:val="00DC3631"/>
    <w:rsid w:val="00DC37F7"/>
    <w:rsid w:val="00DC6F54"/>
    <w:rsid w:val="00DD0C00"/>
    <w:rsid w:val="00DD0F8C"/>
    <w:rsid w:val="00DD116C"/>
    <w:rsid w:val="00DD23D5"/>
    <w:rsid w:val="00DD2AF1"/>
    <w:rsid w:val="00DD46DA"/>
    <w:rsid w:val="00DD6072"/>
    <w:rsid w:val="00DD62BE"/>
    <w:rsid w:val="00DD77D9"/>
    <w:rsid w:val="00DD7CA4"/>
    <w:rsid w:val="00DE167C"/>
    <w:rsid w:val="00DE3B70"/>
    <w:rsid w:val="00DE5813"/>
    <w:rsid w:val="00DE5DB3"/>
    <w:rsid w:val="00DF10B1"/>
    <w:rsid w:val="00DF1FDA"/>
    <w:rsid w:val="00DF3DD0"/>
    <w:rsid w:val="00DF4D50"/>
    <w:rsid w:val="00DF4EDF"/>
    <w:rsid w:val="00DF538C"/>
    <w:rsid w:val="00E021C2"/>
    <w:rsid w:val="00E024A3"/>
    <w:rsid w:val="00E0423D"/>
    <w:rsid w:val="00E057B5"/>
    <w:rsid w:val="00E0581E"/>
    <w:rsid w:val="00E079C5"/>
    <w:rsid w:val="00E07CBD"/>
    <w:rsid w:val="00E07F56"/>
    <w:rsid w:val="00E10A16"/>
    <w:rsid w:val="00E1112F"/>
    <w:rsid w:val="00E1318F"/>
    <w:rsid w:val="00E13B3B"/>
    <w:rsid w:val="00E13E29"/>
    <w:rsid w:val="00E16857"/>
    <w:rsid w:val="00E16C3A"/>
    <w:rsid w:val="00E20651"/>
    <w:rsid w:val="00E2107C"/>
    <w:rsid w:val="00E21E70"/>
    <w:rsid w:val="00E224DE"/>
    <w:rsid w:val="00E23DCE"/>
    <w:rsid w:val="00E26363"/>
    <w:rsid w:val="00E272A4"/>
    <w:rsid w:val="00E305F9"/>
    <w:rsid w:val="00E306AC"/>
    <w:rsid w:val="00E34446"/>
    <w:rsid w:val="00E3631C"/>
    <w:rsid w:val="00E3633B"/>
    <w:rsid w:val="00E36870"/>
    <w:rsid w:val="00E374E1"/>
    <w:rsid w:val="00E37CBF"/>
    <w:rsid w:val="00E417AB"/>
    <w:rsid w:val="00E43D48"/>
    <w:rsid w:val="00E4411D"/>
    <w:rsid w:val="00E4542D"/>
    <w:rsid w:val="00E45BE0"/>
    <w:rsid w:val="00E46CAD"/>
    <w:rsid w:val="00E47521"/>
    <w:rsid w:val="00E4760C"/>
    <w:rsid w:val="00E507A6"/>
    <w:rsid w:val="00E5108C"/>
    <w:rsid w:val="00E5375C"/>
    <w:rsid w:val="00E561AD"/>
    <w:rsid w:val="00E57FAF"/>
    <w:rsid w:val="00E60BA9"/>
    <w:rsid w:val="00E63510"/>
    <w:rsid w:val="00E635EA"/>
    <w:rsid w:val="00E655E5"/>
    <w:rsid w:val="00E65F4E"/>
    <w:rsid w:val="00E662E0"/>
    <w:rsid w:val="00E67D5D"/>
    <w:rsid w:val="00E71C7A"/>
    <w:rsid w:val="00E73119"/>
    <w:rsid w:val="00E73E1E"/>
    <w:rsid w:val="00E767FF"/>
    <w:rsid w:val="00E84C91"/>
    <w:rsid w:val="00E84E60"/>
    <w:rsid w:val="00E85223"/>
    <w:rsid w:val="00E8556E"/>
    <w:rsid w:val="00E86B2D"/>
    <w:rsid w:val="00E86F4D"/>
    <w:rsid w:val="00E87D08"/>
    <w:rsid w:val="00E90D0E"/>
    <w:rsid w:val="00E91B2D"/>
    <w:rsid w:val="00E92FCA"/>
    <w:rsid w:val="00E95CAA"/>
    <w:rsid w:val="00EA0A39"/>
    <w:rsid w:val="00EA0BBA"/>
    <w:rsid w:val="00EA0EB2"/>
    <w:rsid w:val="00EA236F"/>
    <w:rsid w:val="00EA3023"/>
    <w:rsid w:val="00EA3E49"/>
    <w:rsid w:val="00EA3FC8"/>
    <w:rsid w:val="00EA5B8C"/>
    <w:rsid w:val="00EB0DC9"/>
    <w:rsid w:val="00EB1383"/>
    <w:rsid w:val="00EB252D"/>
    <w:rsid w:val="00EB266C"/>
    <w:rsid w:val="00EB29FA"/>
    <w:rsid w:val="00EB2CCE"/>
    <w:rsid w:val="00EB385F"/>
    <w:rsid w:val="00EB3E49"/>
    <w:rsid w:val="00EB5FC3"/>
    <w:rsid w:val="00EB6DA9"/>
    <w:rsid w:val="00EC1561"/>
    <w:rsid w:val="00EC462E"/>
    <w:rsid w:val="00EC6CD8"/>
    <w:rsid w:val="00EC786F"/>
    <w:rsid w:val="00ED1866"/>
    <w:rsid w:val="00ED3134"/>
    <w:rsid w:val="00ED38E2"/>
    <w:rsid w:val="00ED5C44"/>
    <w:rsid w:val="00ED635B"/>
    <w:rsid w:val="00EE742D"/>
    <w:rsid w:val="00EF0A22"/>
    <w:rsid w:val="00EF1267"/>
    <w:rsid w:val="00EF180C"/>
    <w:rsid w:val="00EF3B6B"/>
    <w:rsid w:val="00EF4B43"/>
    <w:rsid w:val="00EF6750"/>
    <w:rsid w:val="00EF7519"/>
    <w:rsid w:val="00EF770B"/>
    <w:rsid w:val="00F01F79"/>
    <w:rsid w:val="00F02836"/>
    <w:rsid w:val="00F02FB5"/>
    <w:rsid w:val="00F0534E"/>
    <w:rsid w:val="00F05C30"/>
    <w:rsid w:val="00F10F1B"/>
    <w:rsid w:val="00F12501"/>
    <w:rsid w:val="00F14179"/>
    <w:rsid w:val="00F15786"/>
    <w:rsid w:val="00F167C5"/>
    <w:rsid w:val="00F20B5A"/>
    <w:rsid w:val="00F21F0B"/>
    <w:rsid w:val="00F236AB"/>
    <w:rsid w:val="00F24EA4"/>
    <w:rsid w:val="00F27087"/>
    <w:rsid w:val="00F2773C"/>
    <w:rsid w:val="00F300B3"/>
    <w:rsid w:val="00F30DB9"/>
    <w:rsid w:val="00F30FB8"/>
    <w:rsid w:val="00F31D68"/>
    <w:rsid w:val="00F33152"/>
    <w:rsid w:val="00F338F2"/>
    <w:rsid w:val="00F349D3"/>
    <w:rsid w:val="00F3533E"/>
    <w:rsid w:val="00F35B84"/>
    <w:rsid w:val="00F402B5"/>
    <w:rsid w:val="00F4072F"/>
    <w:rsid w:val="00F42839"/>
    <w:rsid w:val="00F44CC0"/>
    <w:rsid w:val="00F450BA"/>
    <w:rsid w:val="00F4684B"/>
    <w:rsid w:val="00F46BE9"/>
    <w:rsid w:val="00F47C3B"/>
    <w:rsid w:val="00F506CA"/>
    <w:rsid w:val="00F53A7A"/>
    <w:rsid w:val="00F54FCD"/>
    <w:rsid w:val="00F5562A"/>
    <w:rsid w:val="00F5785C"/>
    <w:rsid w:val="00F65E3C"/>
    <w:rsid w:val="00F67076"/>
    <w:rsid w:val="00F677FA"/>
    <w:rsid w:val="00F7115A"/>
    <w:rsid w:val="00F717AA"/>
    <w:rsid w:val="00F72714"/>
    <w:rsid w:val="00F744C3"/>
    <w:rsid w:val="00F75EE2"/>
    <w:rsid w:val="00F75F69"/>
    <w:rsid w:val="00F76014"/>
    <w:rsid w:val="00F802D3"/>
    <w:rsid w:val="00F80F94"/>
    <w:rsid w:val="00F81BA2"/>
    <w:rsid w:val="00F823A4"/>
    <w:rsid w:val="00F8412F"/>
    <w:rsid w:val="00F84791"/>
    <w:rsid w:val="00F85995"/>
    <w:rsid w:val="00F85FC5"/>
    <w:rsid w:val="00F86C22"/>
    <w:rsid w:val="00F90CB3"/>
    <w:rsid w:val="00F912A2"/>
    <w:rsid w:val="00F913A3"/>
    <w:rsid w:val="00F925C3"/>
    <w:rsid w:val="00FA0109"/>
    <w:rsid w:val="00FA458B"/>
    <w:rsid w:val="00FA5EC5"/>
    <w:rsid w:val="00FA7016"/>
    <w:rsid w:val="00FA7174"/>
    <w:rsid w:val="00FA793D"/>
    <w:rsid w:val="00FB020E"/>
    <w:rsid w:val="00FB0F17"/>
    <w:rsid w:val="00FB4B9D"/>
    <w:rsid w:val="00FB50ED"/>
    <w:rsid w:val="00FB6E18"/>
    <w:rsid w:val="00FC0C7F"/>
    <w:rsid w:val="00FC144B"/>
    <w:rsid w:val="00FC2169"/>
    <w:rsid w:val="00FC28E2"/>
    <w:rsid w:val="00FC3BF6"/>
    <w:rsid w:val="00FC3D22"/>
    <w:rsid w:val="00FC6FE1"/>
    <w:rsid w:val="00FC7164"/>
    <w:rsid w:val="00FD0C3D"/>
    <w:rsid w:val="00FD2F6B"/>
    <w:rsid w:val="00FE064A"/>
    <w:rsid w:val="00FE0B55"/>
    <w:rsid w:val="00FE1E98"/>
    <w:rsid w:val="00FE2452"/>
    <w:rsid w:val="00FE5469"/>
    <w:rsid w:val="00FE66C2"/>
    <w:rsid w:val="00FE684A"/>
    <w:rsid w:val="00FE6F23"/>
    <w:rsid w:val="00FF0F8C"/>
    <w:rsid w:val="00FF408B"/>
    <w:rsid w:val="00FF43E1"/>
    <w:rsid w:val="03430854"/>
    <w:rsid w:val="039F5FA6"/>
    <w:rsid w:val="09305ADA"/>
    <w:rsid w:val="0E8013B7"/>
    <w:rsid w:val="10D604C6"/>
    <w:rsid w:val="11B515E0"/>
    <w:rsid w:val="13A53267"/>
    <w:rsid w:val="13F970D2"/>
    <w:rsid w:val="14AA4136"/>
    <w:rsid w:val="1572463D"/>
    <w:rsid w:val="163A420B"/>
    <w:rsid w:val="19413B26"/>
    <w:rsid w:val="1C6D3688"/>
    <w:rsid w:val="1C974DF7"/>
    <w:rsid w:val="1CC63D0A"/>
    <w:rsid w:val="1DC2081A"/>
    <w:rsid w:val="1DD94266"/>
    <w:rsid w:val="1F9D0947"/>
    <w:rsid w:val="1FC43D7F"/>
    <w:rsid w:val="1FFB29C6"/>
    <w:rsid w:val="22AF3620"/>
    <w:rsid w:val="22E70AD4"/>
    <w:rsid w:val="24F1508D"/>
    <w:rsid w:val="266F634F"/>
    <w:rsid w:val="291059EA"/>
    <w:rsid w:val="2BBF12EC"/>
    <w:rsid w:val="2BC649D9"/>
    <w:rsid w:val="3515160D"/>
    <w:rsid w:val="3B2E79AC"/>
    <w:rsid w:val="3B7807FE"/>
    <w:rsid w:val="3C7D00D8"/>
    <w:rsid w:val="3CA06C0C"/>
    <w:rsid w:val="3EA25851"/>
    <w:rsid w:val="3F6C3757"/>
    <w:rsid w:val="405D6A10"/>
    <w:rsid w:val="41DA6594"/>
    <w:rsid w:val="444C1A75"/>
    <w:rsid w:val="44A3526F"/>
    <w:rsid w:val="44B032F4"/>
    <w:rsid w:val="457D25F7"/>
    <w:rsid w:val="468341CD"/>
    <w:rsid w:val="472C2589"/>
    <w:rsid w:val="4A760AEB"/>
    <w:rsid w:val="4F3162CA"/>
    <w:rsid w:val="50D95873"/>
    <w:rsid w:val="526102AF"/>
    <w:rsid w:val="528444DA"/>
    <w:rsid w:val="537745D5"/>
    <w:rsid w:val="552306F6"/>
    <w:rsid w:val="56E352D5"/>
    <w:rsid w:val="57E435FE"/>
    <w:rsid w:val="582D0655"/>
    <w:rsid w:val="5951205C"/>
    <w:rsid w:val="59D079E8"/>
    <w:rsid w:val="59D40847"/>
    <w:rsid w:val="5AE37F25"/>
    <w:rsid w:val="5CB23D47"/>
    <w:rsid w:val="5FAF09C4"/>
    <w:rsid w:val="608C4642"/>
    <w:rsid w:val="62795572"/>
    <w:rsid w:val="64DD6417"/>
    <w:rsid w:val="656B3025"/>
    <w:rsid w:val="66004745"/>
    <w:rsid w:val="6A567F20"/>
    <w:rsid w:val="6CD97953"/>
    <w:rsid w:val="6ED30FD7"/>
    <w:rsid w:val="6FFF7BD7"/>
    <w:rsid w:val="727D78FD"/>
    <w:rsid w:val="73CC655F"/>
    <w:rsid w:val="73FA8648"/>
    <w:rsid w:val="75957445"/>
    <w:rsid w:val="75D01AE1"/>
    <w:rsid w:val="77524363"/>
    <w:rsid w:val="77B917B5"/>
    <w:rsid w:val="77F75380"/>
    <w:rsid w:val="78703975"/>
    <w:rsid w:val="7BDC08A0"/>
    <w:rsid w:val="7BE420FD"/>
    <w:rsid w:val="7D0D296B"/>
    <w:rsid w:val="7D4E0B54"/>
    <w:rsid w:val="7D503E78"/>
    <w:rsid w:val="7E0160D4"/>
    <w:rsid w:val="7FCBE2C9"/>
    <w:rsid w:val="B79A69B2"/>
    <w:rsid w:val="F7FF53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5"/>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link w:val="88"/>
    <w:qFormat/>
    <w:uiPriority w:val="9"/>
    <w:pPr>
      <w:keepNext/>
      <w:keepLines/>
      <w:numPr>
        <w:ilvl w:val="1"/>
        <w:numId w:val="1"/>
      </w:numPr>
      <w:spacing w:before="120" w:after="120"/>
      <w:ind w:firstLine="0" w:firstLineChars="0"/>
      <w:outlineLvl w:val="1"/>
    </w:pPr>
    <w:rPr>
      <w:b/>
      <w:bCs/>
      <w:sz w:val="30"/>
      <w:szCs w:val="32"/>
    </w:rPr>
  </w:style>
  <w:style w:type="paragraph" w:styleId="4">
    <w:name w:val="heading 3"/>
    <w:basedOn w:val="1"/>
    <w:next w:val="1"/>
    <w:link w:val="81"/>
    <w:qFormat/>
    <w:uiPriority w:val="0"/>
    <w:pPr>
      <w:keepNext/>
      <w:keepLines/>
      <w:numPr>
        <w:ilvl w:val="2"/>
        <w:numId w:val="1"/>
      </w:numPr>
      <w:spacing w:before="120" w:after="120"/>
      <w:ind w:firstLine="0" w:firstLineChars="0"/>
      <w:outlineLvl w:val="2"/>
    </w:pPr>
    <w:rPr>
      <w:b/>
      <w:bCs/>
      <w:sz w:val="28"/>
      <w:szCs w:val="28"/>
    </w:rPr>
  </w:style>
  <w:style w:type="paragraph" w:styleId="5">
    <w:name w:val="heading 4"/>
    <w:basedOn w:val="1"/>
    <w:next w:val="1"/>
    <w:link w:val="58"/>
    <w:qFormat/>
    <w:uiPriority w:val="0"/>
    <w:pPr>
      <w:keepNext/>
      <w:keepLines/>
      <w:numPr>
        <w:ilvl w:val="3"/>
        <w:numId w:val="1"/>
      </w:numPr>
      <w:spacing w:before="120" w:after="120"/>
      <w:ind w:left="851" w:firstLine="0" w:firstLineChars="0"/>
      <w:outlineLvl w:val="3"/>
    </w:pPr>
    <w:rPr>
      <w:b/>
      <w:bCs/>
      <w:sz w:val="30"/>
      <w:szCs w:val="30"/>
    </w:rPr>
  </w:style>
  <w:style w:type="paragraph" w:styleId="6">
    <w:name w:val="heading 5"/>
    <w:basedOn w:val="1"/>
    <w:next w:val="1"/>
    <w:link w:val="86"/>
    <w:qFormat/>
    <w:uiPriority w:val="0"/>
    <w:pPr>
      <w:keepNext/>
      <w:keepLines/>
      <w:numPr>
        <w:ilvl w:val="4"/>
        <w:numId w:val="1"/>
      </w:numPr>
      <w:spacing w:before="120" w:after="120"/>
      <w:ind w:left="0" w:firstLine="0" w:firstLineChars="0"/>
      <w:outlineLvl w:val="4"/>
    </w:pPr>
    <w:rPr>
      <w:b/>
      <w:bCs/>
      <w:szCs w:val="28"/>
    </w:rPr>
  </w:style>
  <w:style w:type="paragraph" w:styleId="7">
    <w:name w:val="heading 6"/>
    <w:basedOn w:val="1"/>
    <w:next w:val="1"/>
    <w:link w:val="99"/>
    <w:qFormat/>
    <w:uiPriority w:val="0"/>
    <w:pPr>
      <w:keepNext/>
      <w:keepLines/>
      <w:numPr>
        <w:ilvl w:val="5"/>
        <w:numId w:val="1"/>
      </w:numPr>
      <w:spacing w:before="120" w:after="120"/>
      <w:ind w:firstLine="0" w:firstLineChars="0"/>
      <w:outlineLvl w:val="5"/>
    </w:pPr>
    <w:rPr>
      <w:rFonts w:ascii="Cambria" w:hAnsi="Cambria"/>
      <w:b/>
      <w:bCs/>
    </w:rPr>
  </w:style>
  <w:style w:type="paragraph" w:styleId="8">
    <w:name w:val="heading 7"/>
    <w:basedOn w:val="1"/>
    <w:next w:val="1"/>
    <w:link w:val="72"/>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98"/>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48"/>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4"/>
    <w:qFormat/>
    <w:uiPriority w:val="0"/>
    <w:pPr>
      <w:spacing w:afterLines="50"/>
      <w:ind w:firstLine="200"/>
    </w:pPr>
    <w:rPr>
      <w:rFonts w:ascii="Arial" w:hAnsi="Arial" w:eastAsia="黑体"/>
      <w:sz w:val="20"/>
      <w:szCs w:val="20"/>
    </w:rPr>
  </w:style>
  <w:style w:type="paragraph" w:styleId="14">
    <w:name w:val="Document Map"/>
    <w:basedOn w:val="1"/>
    <w:link w:val="91"/>
    <w:qFormat/>
    <w:uiPriority w:val="0"/>
    <w:rPr>
      <w:rFonts w:hAnsi="Times New Roman"/>
      <w:sz w:val="18"/>
      <w:szCs w:val="18"/>
    </w:rPr>
  </w:style>
  <w:style w:type="paragraph" w:styleId="15">
    <w:name w:val="annotation text"/>
    <w:basedOn w:val="1"/>
    <w:link w:val="45"/>
    <w:qFormat/>
    <w:uiPriority w:val="99"/>
    <w:pPr>
      <w:jc w:val="left"/>
    </w:pPr>
    <w:rPr>
      <w:rFonts w:ascii="Times New Roman" w:hAnsi="Times New Roman" w:eastAsia="仿宋"/>
      <w:sz w:val="28"/>
    </w:rPr>
  </w:style>
  <w:style w:type="paragraph" w:styleId="16">
    <w:name w:val="Body Text"/>
    <w:basedOn w:val="1"/>
    <w:link w:val="59"/>
    <w:unhideWhenUsed/>
    <w:qFormat/>
    <w:uiPriority w:val="0"/>
    <w:pPr>
      <w:spacing w:after="120" w:line="240" w:lineRule="auto"/>
      <w:ind w:firstLine="0" w:firstLineChars="0"/>
    </w:pPr>
    <w:rPr>
      <w:rFonts w:ascii="Times New Roman" w:hAnsi="Times New Roman"/>
      <w:sz w:val="21"/>
    </w:rPr>
  </w:style>
  <w:style w:type="paragraph" w:styleId="17">
    <w:name w:val="Body Text Indent"/>
    <w:basedOn w:val="1"/>
    <w:link w:val="85"/>
    <w:qFormat/>
    <w:uiPriority w:val="0"/>
    <w:pPr>
      <w:spacing w:after="120"/>
      <w:ind w:firstLine="200"/>
    </w:pPr>
    <w:rPr>
      <w:rFonts w:ascii="Times New Roman" w:hAnsi="Times New Roman"/>
      <w:sz w:val="21"/>
      <w:szCs w:val="20"/>
    </w:rPr>
  </w:style>
  <w:style w:type="paragraph" w:styleId="18">
    <w:name w:val="toc 5"/>
    <w:basedOn w:val="1"/>
    <w:next w:val="1"/>
    <w:unhideWhenUsed/>
    <w:qFormat/>
    <w:uiPriority w:val="39"/>
    <w:pPr>
      <w:ind w:left="1680" w:leftChars="800"/>
    </w:pPr>
    <w:rPr>
      <w:rFonts w:ascii="等线" w:hAnsi="等线" w:eastAsia="等线"/>
      <w:szCs w:val="22"/>
    </w:rPr>
  </w:style>
  <w:style w:type="paragraph" w:styleId="19">
    <w:name w:val="toc 3"/>
    <w:basedOn w:val="1"/>
    <w:next w:val="1"/>
    <w:qFormat/>
    <w:uiPriority w:val="39"/>
    <w:pPr>
      <w:tabs>
        <w:tab w:val="right" w:leader="dot" w:pos="8302"/>
      </w:tabs>
      <w:ind w:left="840" w:leftChars="400"/>
    </w:pPr>
  </w:style>
  <w:style w:type="paragraph" w:styleId="20">
    <w:name w:val="Plain Text"/>
    <w:basedOn w:val="1"/>
    <w:link w:val="66"/>
    <w:qFormat/>
    <w:uiPriority w:val="0"/>
    <w:pPr>
      <w:spacing w:line="240" w:lineRule="auto"/>
      <w:ind w:firstLine="0" w:firstLineChars="0"/>
    </w:pPr>
    <w:rPr>
      <w:rFonts w:hAnsi="Courier New"/>
      <w:sz w:val="21"/>
      <w:szCs w:val="20"/>
    </w:rPr>
  </w:style>
  <w:style w:type="paragraph" w:styleId="21">
    <w:name w:val="toc 8"/>
    <w:basedOn w:val="1"/>
    <w:next w:val="1"/>
    <w:unhideWhenUsed/>
    <w:qFormat/>
    <w:uiPriority w:val="39"/>
    <w:pPr>
      <w:ind w:left="2940" w:leftChars="1400"/>
    </w:pPr>
    <w:rPr>
      <w:rFonts w:ascii="等线" w:hAnsi="等线" w:eastAsia="等线"/>
      <w:szCs w:val="22"/>
    </w:rPr>
  </w:style>
  <w:style w:type="paragraph" w:styleId="22">
    <w:name w:val="Date"/>
    <w:basedOn w:val="1"/>
    <w:next w:val="1"/>
    <w:link w:val="47"/>
    <w:qFormat/>
    <w:uiPriority w:val="0"/>
    <w:pPr>
      <w:ind w:left="100" w:leftChars="2500"/>
    </w:pPr>
    <w:rPr>
      <w:rFonts w:ascii="Times New Roman" w:hAnsi="Times New Roman"/>
      <w:sz w:val="21"/>
    </w:rPr>
  </w:style>
  <w:style w:type="paragraph" w:styleId="23">
    <w:name w:val="Balloon Text"/>
    <w:basedOn w:val="1"/>
    <w:link w:val="96"/>
    <w:qFormat/>
    <w:uiPriority w:val="0"/>
    <w:rPr>
      <w:rFonts w:ascii="Times New Roman" w:hAnsi="Times New Roman"/>
      <w:sz w:val="18"/>
      <w:szCs w:val="18"/>
    </w:rPr>
  </w:style>
  <w:style w:type="paragraph" w:styleId="24">
    <w:name w:val="footer"/>
    <w:basedOn w:val="1"/>
    <w:link w:val="89"/>
    <w:qFormat/>
    <w:uiPriority w:val="99"/>
    <w:pPr>
      <w:tabs>
        <w:tab w:val="center" w:pos="4153"/>
        <w:tab w:val="right" w:pos="8306"/>
      </w:tabs>
      <w:snapToGrid w:val="0"/>
      <w:jc w:val="center"/>
    </w:pPr>
    <w:rPr>
      <w:rFonts w:ascii="Times New Roman" w:hAnsi="Times New Roman"/>
      <w:sz w:val="18"/>
      <w:szCs w:val="18"/>
    </w:rPr>
  </w:style>
  <w:style w:type="paragraph" w:styleId="25">
    <w:name w:val="header"/>
    <w:basedOn w:val="1"/>
    <w:link w:val="97"/>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6">
    <w:name w:val="toc 1"/>
    <w:basedOn w:val="1"/>
    <w:next w:val="1"/>
    <w:qFormat/>
    <w:uiPriority w:val="39"/>
  </w:style>
  <w:style w:type="paragraph" w:styleId="27">
    <w:name w:val="toc 4"/>
    <w:basedOn w:val="1"/>
    <w:next w:val="1"/>
    <w:unhideWhenUsed/>
    <w:qFormat/>
    <w:uiPriority w:val="39"/>
    <w:pPr>
      <w:ind w:left="1260" w:leftChars="600"/>
    </w:pPr>
    <w:rPr>
      <w:rFonts w:ascii="等线" w:hAnsi="等线" w:eastAsia="等线"/>
      <w:szCs w:val="22"/>
    </w:rPr>
  </w:style>
  <w:style w:type="paragraph" w:styleId="28">
    <w:name w:val="Subtitle"/>
    <w:basedOn w:val="1"/>
    <w:next w:val="1"/>
    <w:link w:val="87"/>
    <w:qFormat/>
    <w:uiPriority w:val="0"/>
    <w:pPr>
      <w:spacing w:before="240" w:after="60" w:line="312" w:lineRule="auto"/>
      <w:jc w:val="center"/>
      <w:outlineLvl w:val="1"/>
    </w:pPr>
    <w:rPr>
      <w:rFonts w:ascii="Calibri Light" w:hAnsi="Calibri Light"/>
      <w:b/>
      <w:bCs/>
      <w:kern w:val="28"/>
      <w:sz w:val="32"/>
      <w:szCs w:val="32"/>
    </w:rPr>
  </w:style>
  <w:style w:type="paragraph" w:styleId="29">
    <w:name w:val="toc 6"/>
    <w:basedOn w:val="1"/>
    <w:next w:val="1"/>
    <w:unhideWhenUsed/>
    <w:qFormat/>
    <w:uiPriority w:val="39"/>
    <w:pPr>
      <w:ind w:left="2100" w:leftChars="1000"/>
    </w:pPr>
    <w:rPr>
      <w:rFonts w:ascii="等线" w:hAnsi="等线" w:eastAsia="等线"/>
      <w:szCs w:val="22"/>
    </w:rPr>
  </w:style>
  <w:style w:type="paragraph" w:styleId="30">
    <w:name w:val="toc 2"/>
    <w:basedOn w:val="1"/>
    <w:next w:val="1"/>
    <w:qFormat/>
    <w:uiPriority w:val="39"/>
    <w:pPr>
      <w:tabs>
        <w:tab w:val="right" w:leader="dot" w:pos="8302"/>
      </w:tabs>
      <w:ind w:left="420" w:leftChars="200"/>
    </w:pPr>
  </w:style>
  <w:style w:type="paragraph" w:styleId="31">
    <w:name w:val="toc 9"/>
    <w:basedOn w:val="1"/>
    <w:next w:val="1"/>
    <w:unhideWhenUsed/>
    <w:qFormat/>
    <w:uiPriority w:val="39"/>
    <w:pPr>
      <w:ind w:left="3360" w:leftChars="1600"/>
    </w:pPr>
    <w:rPr>
      <w:rFonts w:ascii="等线" w:hAnsi="等线" w:eastAsia="等线"/>
      <w:szCs w:val="22"/>
    </w:rPr>
  </w:style>
  <w:style w:type="paragraph" w:styleId="32">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3">
    <w:name w:val="Title"/>
    <w:basedOn w:val="1"/>
    <w:next w:val="1"/>
    <w:link w:val="95"/>
    <w:qFormat/>
    <w:uiPriority w:val="0"/>
    <w:pPr>
      <w:spacing w:before="240" w:after="60" w:line="960" w:lineRule="auto"/>
      <w:jc w:val="center"/>
    </w:pPr>
    <w:rPr>
      <w:rFonts w:ascii="Cambria" w:hAnsi="Cambria" w:eastAsia="黑体"/>
      <w:b/>
      <w:bCs/>
      <w:sz w:val="52"/>
      <w:szCs w:val="32"/>
    </w:rPr>
  </w:style>
  <w:style w:type="paragraph" w:styleId="34">
    <w:name w:val="annotation subject"/>
    <w:basedOn w:val="15"/>
    <w:next w:val="15"/>
    <w:link w:val="83"/>
    <w:qFormat/>
    <w:uiPriority w:val="0"/>
    <w:rPr>
      <w:b/>
      <w:bCs/>
      <w:sz w:val="21"/>
    </w:rPr>
  </w:style>
  <w:style w:type="table" w:styleId="36">
    <w:name w:val="Table Grid"/>
    <w:basedOn w:val="35"/>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99"/>
    <w:rPr>
      <w:sz w:val="21"/>
      <w:szCs w:val="21"/>
    </w:rPr>
  </w:style>
  <w:style w:type="character" w:customStyle="1" w:styleId="42">
    <w:name w:val="标题 3 字符1"/>
    <w:qFormat/>
    <w:uiPriority w:val="0"/>
    <w:rPr>
      <w:rFonts w:ascii="宋体" w:hAnsi="宋体"/>
      <w:b/>
      <w:bCs/>
      <w:kern w:val="2"/>
      <w:sz w:val="28"/>
      <w:szCs w:val="28"/>
    </w:rPr>
  </w:style>
  <w:style w:type="character" w:customStyle="1" w:styleId="43">
    <w:name w:val="首行缩进正文 Char"/>
    <w:link w:val="44"/>
    <w:qFormat/>
    <w:uiPriority w:val="0"/>
    <w:rPr>
      <w:kern w:val="2"/>
      <w:sz w:val="24"/>
    </w:rPr>
  </w:style>
  <w:style w:type="paragraph" w:customStyle="1" w:styleId="44">
    <w:name w:val="首行缩进正文"/>
    <w:basedOn w:val="1"/>
    <w:link w:val="43"/>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5">
    <w:name w:val="批注文字 字符1"/>
    <w:link w:val="15"/>
    <w:qFormat/>
    <w:uiPriority w:val="99"/>
    <w:rPr>
      <w:rFonts w:eastAsia="仿宋"/>
      <w:kern w:val="2"/>
      <w:sz w:val="28"/>
      <w:szCs w:val="24"/>
    </w:rPr>
  </w:style>
  <w:style w:type="character" w:customStyle="1" w:styleId="46">
    <w:name w:val="日期 字符"/>
    <w:semiHidden/>
    <w:qFormat/>
    <w:uiPriority w:val="99"/>
    <w:rPr>
      <w:rFonts w:ascii="宋体" w:hAnsi="宋体"/>
      <w:kern w:val="2"/>
      <w:sz w:val="24"/>
      <w:szCs w:val="24"/>
    </w:rPr>
  </w:style>
  <w:style w:type="character" w:customStyle="1" w:styleId="47">
    <w:name w:val="日期 字符1"/>
    <w:link w:val="22"/>
    <w:qFormat/>
    <w:uiPriority w:val="0"/>
    <w:rPr>
      <w:kern w:val="2"/>
      <w:sz w:val="21"/>
      <w:szCs w:val="24"/>
    </w:rPr>
  </w:style>
  <w:style w:type="character" w:customStyle="1" w:styleId="48">
    <w:name w:val="标题 9 字符"/>
    <w:link w:val="10"/>
    <w:qFormat/>
    <w:uiPriority w:val="9"/>
    <w:rPr>
      <w:rFonts w:ascii="Cambria" w:hAnsi="Cambria"/>
      <w:kern w:val="2"/>
      <w:sz w:val="21"/>
      <w:szCs w:val="21"/>
    </w:rPr>
  </w:style>
  <w:style w:type="character" w:customStyle="1" w:styleId="49">
    <w:name w:val="未处理的提及1"/>
    <w:unhideWhenUsed/>
    <w:qFormat/>
    <w:uiPriority w:val="99"/>
    <w:rPr>
      <w:color w:val="605E5C"/>
      <w:shd w:val="clear" w:color="auto" w:fill="E1DFDD"/>
    </w:rPr>
  </w:style>
  <w:style w:type="character" w:customStyle="1" w:styleId="50">
    <w:name w:val="标题 1 字符"/>
    <w:qFormat/>
    <w:uiPriority w:val="0"/>
    <w:rPr>
      <w:rFonts w:ascii="宋体" w:hAnsi="宋体"/>
      <w:b/>
      <w:bCs/>
      <w:kern w:val="44"/>
      <w:sz w:val="44"/>
      <w:szCs w:val="44"/>
    </w:rPr>
  </w:style>
  <w:style w:type="character" w:customStyle="1" w:styleId="51">
    <w:name w:val="标题 3 字符"/>
    <w:semiHidden/>
    <w:qFormat/>
    <w:uiPriority w:val="9"/>
    <w:rPr>
      <w:rFonts w:ascii="宋体" w:hAnsi="宋体"/>
      <w:b/>
      <w:bCs/>
      <w:kern w:val="2"/>
      <w:sz w:val="32"/>
      <w:szCs w:val="32"/>
    </w:rPr>
  </w:style>
  <w:style w:type="character" w:customStyle="1" w:styleId="52">
    <w:name w:val="页脚 字符"/>
    <w:qFormat/>
    <w:uiPriority w:val="99"/>
  </w:style>
  <w:style w:type="character" w:customStyle="1" w:styleId="53">
    <w:name w:val="标题 5 字符"/>
    <w:semiHidden/>
    <w:qFormat/>
    <w:uiPriority w:val="9"/>
    <w:rPr>
      <w:rFonts w:ascii="宋体" w:hAnsi="宋体"/>
      <w:b/>
      <w:bCs/>
      <w:kern w:val="2"/>
      <w:sz w:val="28"/>
      <w:szCs w:val="28"/>
    </w:rPr>
  </w:style>
  <w:style w:type="character" w:customStyle="1" w:styleId="54">
    <w:name w:val="题注 字符"/>
    <w:link w:val="13"/>
    <w:qFormat/>
    <w:locked/>
    <w:uiPriority w:val="0"/>
    <w:rPr>
      <w:rFonts w:ascii="Arial" w:hAnsi="Arial" w:eastAsia="黑体"/>
      <w:kern w:val="2"/>
    </w:rPr>
  </w:style>
  <w:style w:type="character" w:customStyle="1" w:styleId="55">
    <w:name w:val="标题 2 字符"/>
    <w:semiHidden/>
    <w:qFormat/>
    <w:uiPriority w:val="9"/>
    <w:rPr>
      <w:rFonts w:ascii="等线 Light" w:hAnsi="等线 Light" w:eastAsia="等线 Light" w:cs="Times New Roman"/>
      <w:b/>
      <w:bCs/>
      <w:kern w:val="2"/>
      <w:sz w:val="32"/>
      <w:szCs w:val="32"/>
    </w:rPr>
  </w:style>
  <w:style w:type="character" w:customStyle="1" w:styleId="56">
    <w:name w:val="纯文本 字符"/>
    <w:qFormat/>
    <w:uiPriority w:val="0"/>
    <w:rPr>
      <w:rFonts w:ascii="宋体" w:hAnsi="Courier New" w:cs="Courier New"/>
      <w:kern w:val="2"/>
      <w:sz w:val="21"/>
      <w:szCs w:val="21"/>
    </w:rPr>
  </w:style>
  <w:style w:type="character" w:customStyle="1" w:styleId="57">
    <w:name w:val="列表段落 字符"/>
    <w:qFormat/>
    <w:uiPriority w:val="34"/>
    <w:rPr>
      <w:kern w:val="2"/>
      <w:sz w:val="21"/>
      <w:szCs w:val="22"/>
    </w:rPr>
  </w:style>
  <w:style w:type="character" w:customStyle="1" w:styleId="58">
    <w:name w:val="标题 4 字符1"/>
    <w:link w:val="5"/>
    <w:qFormat/>
    <w:uiPriority w:val="0"/>
    <w:rPr>
      <w:rFonts w:ascii="宋体" w:hAnsi="宋体"/>
      <w:b/>
      <w:bCs/>
      <w:kern w:val="2"/>
      <w:sz w:val="30"/>
      <w:szCs w:val="30"/>
    </w:rPr>
  </w:style>
  <w:style w:type="character" w:customStyle="1" w:styleId="59">
    <w:name w:val="正文文本 字符"/>
    <w:link w:val="16"/>
    <w:qFormat/>
    <w:uiPriority w:val="0"/>
    <w:rPr>
      <w:kern w:val="2"/>
      <w:sz w:val="21"/>
      <w:szCs w:val="24"/>
    </w:rPr>
  </w:style>
  <w:style w:type="character" w:customStyle="1" w:styleId="60">
    <w:name w:val="列表段落 字符1"/>
    <w:link w:val="61"/>
    <w:qFormat/>
    <w:uiPriority w:val="34"/>
    <w:rPr>
      <w:kern w:val="2"/>
      <w:sz w:val="21"/>
      <w:szCs w:val="24"/>
    </w:rPr>
  </w:style>
  <w:style w:type="paragraph" w:styleId="61">
    <w:name w:val="List Paragraph"/>
    <w:basedOn w:val="1"/>
    <w:link w:val="60"/>
    <w:qFormat/>
    <w:uiPriority w:val="34"/>
    <w:pPr>
      <w:ind w:firstLine="420"/>
    </w:pPr>
    <w:rPr>
      <w:rFonts w:ascii="Times New Roman" w:hAnsi="Times New Roman"/>
      <w:sz w:val="21"/>
    </w:rPr>
  </w:style>
  <w:style w:type="character" w:customStyle="1" w:styleId="62">
    <w:name w:val="font21"/>
    <w:qFormat/>
    <w:uiPriority w:val="0"/>
    <w:rPr>
      <w:rFonts w:ascii="Calibri" w:hAnsi="Calibri" w:cs="Calibri"/>
      <w:color w:val="000000"/>
      <w:sz w:val="21"/>
      <w:szCs w:val="21"/>
      <w:u w:val="none"/>
    </w:rPr>
  </w:style>
  <w:style w:type="character" w:customStyle="1" w:styleId="63">
    <w:name w:val="*正文 Char"/>
    <w:link w:val="64"/>
    <w:qFormat/>
    <w:uiPriority w:val="0"/>
    <w:rPr>
      <w:rFonts w:ascii="time" w:hAnsi="time"/>
      <w:sz w:val="24"/>
      <w:szCs w:val="24"/>
      <w:lang w:bidi="en-US"/>
    </w:rPr>
  </w:style>
  <w:style w:type="paragraph" w:customStyle="1" w:styleId="64">
    <w:name w:val="*正文"/>
    <w:basedOn w:val="1"/>
    <w:link w:val="63"/>
    <w:qFormat/>
    <w:uiPriority w:val="0"/>
    <w:pPr>
      <w:widowControl/>
      <w:ind w:firstLine="200"/>
      <w:contextualSpacing/>
    </w:pPr>
    <w:rPr>
      <w:rFonts w:ascii="time" w:hAnsi="time"/>
      <w:kern w:val="0"/>
      <w:lang w:bidi="en-US"/>
    </w:rPr>
  </w:style>
  <w:style w:type="character" w:customStyle="1" w:styleId="65">
    <w:name w:val="正文文本缩进 字符"/>
    <w:semiHidden/>
    <w:qFormat/>
    <w:uiPriority w:val="99"/>
    <w:rPr>
      <w:rFonts w:ascii="宋体" w:hAnsi="宋体"/>
      <w:kern w:val="2"/>
      <w:sz w:val="24"/>
      <w:szCs w:val="24"/>
    </w:rPr>
  </w:style>
  <w:style w:type="character" w:customStyle="1" w:styleId="66">
    <w:name w:val="纯文本 字符1"/>
    <w:link w:val="20"/>
    <w:qFormat/>
    <w:locked/>
    <w:uiPriority w:val="0"/>
    <w:rPr>
      <w:rFonts w:ascii="宋体" w:hAnsi="Courier New"/>
      <w:kern w:val="2"/>
      <w:sz w:val="21"/>
    </w:rPr>
  </w:style>
  <w:style w:type="character" w:customStyle="1" w:styleId="67">
    <w:name w:val="my正文 Char"/>
    <w:link w:val="68"/>
    <w:qFormat/>
    <w:uiPriority w:val="0"/>
    <w:rPr>
      <w:kern w:val="2"/>
      <w:sz w:val="21"/>
      <w:szCs w:val="24"/>
    </w:rPr>
  </w:style>
  <w:style w:type="paragraph" w:customStyle="1" w:styleId="68">
    <w:name w:val="my正文"/>
    <w:basedOn w:val="1"/>
    <w:link w:val="67"/>
    <w:qFormat/>
    <w:uiPriority w:val="0"/>
    <w:pPr>
      <w:spacing w:line="240" w:lineRule="auto"/>
      <w:ind w:firstLine="0" w:firstLineChars="0"/>
    </w:pPr>
    <w:rPr>
      <w:rFonts w:ascii="Times New Roman" w:hAnsi="Times New Roman"/>
      <w:sz w:val="21"/>
    </w:rPr>
  </w:style>
  <w:style w:type="character" w:customStyle="1" w:styleId="69">
    <w:name w:val="正文2 字符"/>
    <w:link w:val="70"/>
    <w:qFormat/>
    <w:uiPriority w:val="0"/>
    <w:rPr>
      <w:kern w:val="2"/>
      <w:sz w:val="21"/>
      <w:szCs w:val="24"/>
    </w:rPr>
  </w:style>
  <w:style w:type="paragraph" w:customStyle="1" w:styleId="70">
    <w:name w:val="正文2"/>
    <w:basedOn w:val="1"/>
    <w:link w:val="69"/>
    <w:qFormat/>
    <w:uiPriority w:val="0"/>
    <w:pPr>
      <w:ind w:firstLine="420"/>
    </w:pPr>
    <w:rPr>
      <w:rFonts w:ascii="Times New Roman" w:hAnsi="Times New Roman"/>
      <w:sz w:val="21"/>
    </w:rPr>
  </w:style>
  <w:style w:type="character" w:customStyle="1" w:styleId="71">
    <w:name w:val="font41"/>
    <w:qFormat/>
    <w:uiPriority w:val="0"/>
    <w:rPr>
      <w:rFonts w:hint="eastAsia" w:ascii="宋体" w:hAnsi="宋体" w:eastAsia="宋体" w:cs="宋体"/>
      <w:color w:val="000000"/>
      <w:sz w:val="21"/>
      <w:szCs w:val="21"/>
      <w:u w:val="none"/>
    </w:rPr>
  </w:style>
  <w:style w:type="character" w:customStyle="1" w:styleId="72">
    <w:name w:val="标题 7 字符"/>
    <w:link w:val="8"/>
    <w:qFormat/>
    <w:uiPriority w:val="9"/>
    <w:rPr>
      <w:b/>
      <w:bCs/>
      <w:kern w:val="2"/>
      <w:sz w:val="21"/>
      <w:szCs w:val="24"/>
    </w:rPr>
  </w:style>
  <w:style w:type="character" w:customStyle="1" w:styleId="73">
    <w:name w:val="批注框文本 字符"/>
    <w:semiHidden/>
    <w:qFormat/>
    <w:uiPriority w:val="99"/>
    <w:rPr>
      <w:rFonts w:ascii="宋体" w:hAnsi="宋体"/>
      <w:kern w:val="2"/>
      <w:sz w:val="18"/>
      <w:szCs w:val="18"/>
    </w:rPr>
  </w:style>
  <w:style w:type="character" w:customStyle="1" w:styleId="74">
    <w:name w:val="副标题 Char1"/>
    <w:qFormat/>
    <w:uiPriority w:val="0"/>
    <w:rPr>
      <w:rFonts w:ascii="Calibri Light" w:hAnsi="Calibri Light" w:cs="Times New Roman"/>
      <w:b/>
      <w:bCs/>
      <w:kern w:val="28"/>
      <w:sz w:val="32"/>
      <w:szCs w:val="32"/>
    </w:rPr>
  </w:style>
  <w:style w:type="character" w:customStyle="1" w:styleId="75">
    <w:name w:val="标题 1 字符1"/>
    <w:link w:val="2"/>
    <w:qFormat/>
    <w:uiPriority w:val="0"/>
    <w:rPr>
      <w:rFonts w:ascii="宋体" w:hAnsi="宋体" w:eastAsia="黑体"/>
      <w:b/>
      <w:bCs/>
      <w:kern w:val="44"/>
      <w:sz w:val="32"/>
      <w:szCs w:val="28"/>
    </w:rPr>
  </w:style>
  <w:style w:type="character" w:customStyle="1" w:styleId="76">
    <w:name w:val="批注文字 字符"/>
    <w:qFormat/>
    <w:uiPriority w:val="99"/>
    <w:rPr>
      <w:rFonts w:ascii="宋体" w:hAnsi="宋体"/>
      <w:kern w:val="2"/>
      <w:sz w:val="24"/>
      <w:szCs w:val="24"/>
    </w:rPr>
  </w:style>
  <w:style w:type="character" w:customStyle="1" w:styleId="77">
    <w:name w:val="文档结构图 字符"/>
    <w:semiHidden/>
    <w:qFormat/>
    <w:uiPriority w:val="99"/>
    <w:rPr>
      <w:rFonts w:ascii="Microsoft YaHei UI" w:hAnsi="宋体" w:eastAsia="Microsoft YaHei UI"/>
      <w:kern w:val="2"/>
      <w:sz w:val="18"/>
      <w:szCs w:val="18"/>
    </w:rPr>
  </w:style>
  <w:style w:type="character" w:customStyle="1" w:styleId="78">
    <w:name w:val="标题 6 字符"/>
    <w:semiHidden/>
    <w:qFormat/>
    <w:uiPriority w:val="9"/>
    <w:rPr>
      <w:rFonts w:ascii="等线 Light" w:hAnsi="等线 Light" w:eastAsia="等线 Light" w:cs="Times New Roman"/>
      <w:b/>
      <w:bCs/>
      <w:kern w:val="2"/>
      <w:sz w:val="24"/>
      <w:szCs w:val="24"/>
    </w:rPr>
  </w:style>
  <w:style w:type="character" w:customStyle="1" w:styleId="79">
    <w:name w:val="正文正文2 Char"/>
    <w:link w:val="80"/>
    <w:qFormat/>
    <w:uiPriority w:val="0"/>
    <w:rPr>
      <w:rFonts w:ascii="宋体" w:hAnsi="宋体"/>
      <w:kern w:val="2"/>
      <w:sz w:val="21"/>
      <w:szCs w:val="21"/>
    </w:rPr>
  </w:style>
  <w:style w:type="paragraph" w:customStyle="1" w:styleId="80">
    <w:name w:val="正文正文2"/>
    <w:basedOn w:val="1"/>
    <w:link w:val="79"/>
    <w:qFormat/>
    <w:uiPriority w:val="0"/>
    <w:pPr>
      <w:ind w:firstLine="460"/>
    </w:pPr>
    <w:rPr>
      <w:sz w:val="21"/>
      <w:szCs w:val="21"/>
    </w:rPr>
  </w:style>
  <w:style w:type="character" w:customStyle="1" w:styleId="81">
    <w:name w:val="标题 3 字符2"/>
    <w:link w:val="4"/>
    <w:qFormat/>
    <w:uiPriority w:val="0"/>
    <w:rPr>
      <w:rFonts w:ascii="宋体" w:hAnsi="宋体"/>
      <w:b/>
      <w:bCs/>
      <w:kern w:val="2"/>
      <w:sz w:val="28"/>
      <w:szCs w:val="28"/>
    </w:rPr>
  </w:style>
  <w:style w:type="character" w:customStyle="1" w:styleId="82">
    <w:name w:val="标题 4 字符"/>
    <w:semiHidden/>
    <w:qFormat/>
    <w:uiPriority w:val="9"/>
    <w:rPr>
      <w:rFonts w:ascii="等线 Light" w:hAnsi="等线 Light" w:eastAsia="等线 Light" w:cs="Times New Roman"/>
      <w:b/>
      <w:bCs/>
      <w:kern w:val="2"/>
      <w:sz w:val="28"/>
      <w:szCs w:val="28"/>
    </w:rPr>
  </w:style>
  <w:style w:type="character" w:customStyle="1" w:styleId="83">
    <w:name w:val="批注主题 字符1"/>
    <w:link w:val="34"/>
    <w:qFormat/>
    <w:uiPriority w:val="0"/>
    <w:rPr>
      <w:rFonts w:eastAsia="仿宋"/>
      <w:b/>
      <w:bCs/>
      <w:kern w:val="2"/>
      <w:sz w:val="21"/>
      <w:szCs w:val="24"/>
    </w:rPr>
  </w:style>
  <w:style w:type="character" w:customStyle="1" w:styleId="84">
    <w:name w:val="页眉 字符"/>
    <w:semiHidden/>
    <w:qFormat/>
    <w:uiPriority w:val="99"/>
    <w:rPr>
      <w:rFonts w:ascii="宋体" w:hAnsi="宋体"/>
      <w:kern w:val="2"/>
      <w:sz w:val="18"/>
      <w:szCs w:val="18"/>
    </w:rPr>
  </w:style>
  <w:style w:type="character" w:customStyle="1" w:styleId="85">
    <w:name w:val="正文文本缩进 字符1"/>
    <w:link w:val="17"/>
    <w:qFormat/>
    <w:uiPriority w:val="0"/>
    <w:rPr>
      <w:kern w:val="2"/>
      <w:sz w:val="21"/>
    </w:rPr>
  </w:style>
  <w:style w:type="character" w:customStyle="1" w:styleId="86">
    <w:name w:val="标题 5 字符1"/>
    <w:link w:val="6"/>
    <w:qFormat/>
    <w:uiPriority w:val="0"/>
    <w:rPr>
      <w:rFonts w:ascii="宋体" w:hAnsi="宋体"/>
      <w:b/>
      <w:bCs/>
      <w:kern w:val="2"/>
      <w:sz w:val="24"/>
      <w:szCs w:val="28"/>
    </w:rPr>
  </w:style>
  <w:style w:type="character" w:customStyle="1" w:styleId="87">
    <w:name w:val="副标题 字符1"/>
    <w:link w:val="28"/>
    <w:qFormat/>
    <w:uiPriority w:val="0"/>
    <w:rPr>
      <w:rFonts w:ascii="Calibri Light" w:hAnsi="Calibri Light"/>
      <w:b/>
      <w:bCs/>
      <w:kern w:val="28"/>
      <w:sz w:val="32"/>
      <w:szCs w:val="32"/>
    </w:rPr>
  </w:style>
  <w:style w:type="character" w:customStyle="1" w:styleId="88">
    <w:name w:val="标题 2 字符1"/>
    <w:link w:val="3"/>
    <w:qFormat/>
    <w:uiPriority w:val="9"/>
    <w:rPr>
      <w:rFonts w:ascii="宋体" w:hAnsi="宋体"/>
      <w:b/>
      <w:bCs/>
      <w:kern w:val="2"/>
      <w:sz w:val="30"/>
      <w:szCs w:val="32"/>
    </w:rPr>
  </w:style>
  <w:style w:type="character" w:customStyle="1" w:styleId="89">
    <w:name w:val="页脚 字符1"/>
    <w:link w:val="24"/>
    <w:qFormat/>
    <w:uiPriority w:val="99"/>
    <w:rPr>
      <w:kern w:val="2"/>
      <w:sz w:val="18"/>
      <w:szCs w:val="18"/>
    </w:rPr>
  </w:style>
  <w:style w:type="character" w:customStyle="1" w:styleId="90">
    <w:name w:val="批注主题 字符"/>
    <w:semiHidden/>
    <w:qFormat/>
    <w:uiPriority w:val="99"/>
    <w:rPr>
      <w:rFonts w:ascii="宋体" w:hAnsi="宋体"/>
      <w:b/>
      <w:bCs/>
      <w:kern w:val="2"/>
      <w:sz w:val="24"/>
      <w:szCs w:val="24"/>
    </w:rPr>
  </w:style>
  <w:style w:type="character" w:customStyle="1" w:styleId="91">
    <w:name w:val="文档结构图 字符1"/>
    <w:link w:val="14"/>
    <w:qFormat/>
    <w:uiPriority w:val="0"/>
    <w:rPr>
      <w:rFonts w:ascii="宋体"/>
      <w:kern w:val="2"/>
      <w:sz w:val="18"/>
      <w:szCs w:val="18"/>
    </w:rPr>
  </w:style>
  <w:style w:type="character" w:customStyle="1" w:styleId="92">
    <w:name w:val="font31"/>
    <w:qFormat/>
    <w:uiPriority w:val="0"/>
    <w:rPr>
      <w:rFonts w:hint="eastAsia" w:ascii="宋体" w:hAnsi="宋体" w:eastAsia="宋体" w:cs="宋体"/>
      <w:color w:val="000000"/>
      <w:sz w:val="21"/>
      <w:szCs w:val="21"/>
      <w:u w:val="none"/>
    </w:rPr>
  </w:style>
  <w:style w:type="character" w:customStyle="1" w:styleId="93">
    <w:name w:val="标准正文 Char"/>
    <w:link w:val="94"/>
    <w:qFormat/>
    <w:uiPriority w:val="0"/>
    <w:rPr>
      <w:rFonts w:ascii="Arial" w:hAnsi="Arial"/>
      <w:kern w:val="2"/>
      <w:sz w:val="24"/>
    </w:rPr>
  </w:style>
  <w:style w:type="paragraph" w:customStyle="1" w:styleId="94">
    <w:name w:val="标准正文"/>
    <w:basedOn w:val="17"/>
    <w:link w:val="93"/>
    <w:qFormat/>
    <w:uiPriority w:val="0"/>
    <w:pPr>
      <w:spacing w:before="60" w:after="60"/>
      <w:ind w:firstLine="482" w:firstLineChars="0"/>
    </w:pPr>
    <w:rPr>
      <w:rFonts w:ascii="Arial" w:hAnsi="Arial"/>
      <w:sz w:val="24"/>
    </w:rPr>
  </w:style>
  <w:style w:type="character" w:customStyle="1" w:styleId="95">
    <w:name w:val="标题 字符1"/>
    <w:link w:val="33"/>
    <w:qFormat/>
    <w:uiPriority w:val="0"/>
    <w:rPr>
      <w:rFonts w:ascii="Cambria" w:hAnsi="Cambria" w:eastAsia="黑体"/>
      <w:b/>
      <w:bCs/>
      <w:kern w:val="2"/>
      <w:sz w:val="52"/>
      <w:szCs w:val="32"/>
    </w:rPr>
  </w:style>
  <w:style w:type="character" w:customStyle="1" w:styleId="96">
    <w:name w:val="批注框文本 字符1"/>
    <w:link w:val="23"/>
    <w:qFormat/>
    <w:uiPriority w:val="0"/>
    <w:rPr>
      <w:kern w:val="2"/>
      <w:sz w:val="18"/>
      <w:szCs w:val="18"/>
    </w:rPr>
  </w:style>
  <w:style w:type="character" w:customStyle="1" w:styleId="97">
    <w:name w:val="页眉 字符1"/>
    <w:link w:val="25"/>
    <w:qFormat/>
    <w:uiPriority w:val="99"/>
    <w:rPr>
      <w:kern w:val="2"/>
      <w:sz w:val="18"/>
      <w:szCs w:val="18"/>
    </w:rPr>
  </w:style>
  <w:style w:type="character" w:customStyle="1" w:styleId="98">
    <w:name w:val="标题 8 字符"/>
    <w:link w:val="9"/>
    <w:qFormat/>
    <w:uiPriority w:val="9"/>
    <w:rPr>
      <w:rFonts w:ascii="Cambria" w:hAnsi="Cambria"/>
      <w:kern w:val="2"/>
      <w:sz w:val="21"/>
      <w:szCs w:val="24"/>
    </w:rPr>
  </w:style>
  <w:style w:type="character" w:customStyle="1" w:styleId="99">
    <w:name w:val="标题 6 字符1"/>
    <w:link w:val="7"/>
    <w:qFormat/>
    <w:uiPriority w:val="0"/>
    <w:rPr>
      <w:rFonts w:ascii="Cambria" w:hAnsi="Cambria"/>
      <w:b/>
      <w:bCs/>
      <w:kern w:val="2"/>
      <w:sz w:val="24"/>
      <w:szCs w:val="24"/>
    </w:rPr>
  </w:style>
  <w:style w:type="character" w:customStyle="1" w:styleId="100">
    <w:name w:val="标题 字符"/>
    <w:qFormat/>
    <w:uiPriority w:val="10"/>
    <w:rPr>
      <w:rFonts w:ascii="等线 Light" w:hAnsi="等线 Light" w:eastAsia="等线 Light" w:cs="Times New Roman"/>
      <w:b/>
      <w:bCs/>
      <w:kern w:val="2"/>
      <w:sz w:val="32"/>
      <w:szCs w:val="32"/>
    </w:rPr>
  </w:style>
  <w:style w:type="character" w:customStyle="1" w:styleId="101">
    <w:name w:val="副标题 字符"/>
    <w:qFormat/>
    <w:uiPriority w:val="11"/>
    <w:rPr>
      <w:rFonts w:ascii="等线" w:hAnsi="等线" w:eastAsia="等线" w:cs="Times New Roman"/>
      <w:b/>
      <w:bCs/>
      <w:kern w:val="28"/>
      <w:sz w:val="32"/>
      <w:szCs w:val="32"/>
    </w:rPr>
  </w:style>
  <w:style w:type="paragraph" w:customStyle="1" w:styleId="102">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3">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4">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5">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6">
    <w:name w:val="正文缩进1"/>
    <w:basedOn w:val="1"/>
    <w:qFormat/>
    <w:uiPriority w:val="0"/>
    <w:pPr>
      <w:spacing w:line="240" w:lineRule="auto"/>
      <w:ind w:firstLine="420"/>
    </w:pPr>
    <w:rPr>
      <w:rFonts w:ascii="Times New Roman" w:hAnsi="Times New Roman"/>
      <w:sz w:val="21"/>
      <w:szCs w:val="20"/>
    </w:rPr>
  </w:style>
  <w:style w:type="paragraph" w:customStyle="1" w:styleId="107">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08">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09">
    <w:name w:val="Indent Normal"/>
    <w:basedOn w:val="1"/>
    <w:qFormat/>
    <w:uiPriority w:val="0"/>
    <w:pPr>
      <w:ind w:firstLine="150" w:firstLineChars="150"/>
    </w:pPr>
  </w:style>
  <w:style w:type="paragraph" w:customStyle="1" w:styleId="110">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1">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2">
    <w:name w:val="列项●（二级）"/>
    <w:qFormat/>
    <w:uiPriority w:val="0"/>
    <w:pPr>
      <w:numPr>
        <w:ilvl w:val="0"/>
        <w:numId w:val="2"/>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113">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4">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5">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7">
    <w:name w:val="Char Char Char Char Char Char1 Char"/>
    <w:basedOn w:val="1"/>
    <w:qFormat/>
    <w:uiPriority w:val="0"/>
    <w:pPr>
      <w:widowControl/>
      <w:spacing w:after="160" w:line="240" w:lineRule="exact"/>
      <w:jc w:val="left"/>
    </w:pPr>
  </w:style>
  <w:style w:type="paragraph" w:customStyle="1" w:styleId="118">
    <w:name w:val="PM_Body"/>
    <w:basedOn w:val="1"/>
    <w:qFormat/>
    <w:locked/>
    <w:uiPriority w:val="0"/>
    <w:rPr>
      <w:szCs w:val="21"/>
    </w:rPr>
  </w:style>
  <w:style w:type="paragraph" w:customStyle="1" w:styleId="119">
    <w:name w:val="Char Char1"/>
    <w:basedOn w:val="1"/>
    <w:qFormat/>
    <w:uiPriority w:val="0"/>
    <w:pPr>
      <w:widowControl/>
      <w:spacing w:before="120" w:after="120"/>
    </w:pPr>
    <w:rPr>
      <w:rFonts w:ascii="Times New Roman" w:hAnsi="Times New Roman" w:cs="宋体"/>
    </w:rPr>
  </w:style>
  <w:style w:type="paragraph" w:customStyle="1" w:styleId="120">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1">
    <w:name w:val="修订1"/>
    <w:unhideWhenUsed/>
    <w:qFormat/>
    <w:uiPriority w:val="99"/>
    <w:rPr>
      <w:rFonts w:ascii="宋体" w:hAnsi="宋体" w:eastAsia="宋体" w:cs="Times New Roman"/>
      <w:kern w:val="2"/>
      <w:sz w:val="24"/>
      <w:szCs w:val="24"/>
      <w:lang w:val="en-US" w:eastAsia="zh-CN" w:bidi="ar-SA"/>
    </w:rPr>
  </w:style>
  <w:style w:type="paragraph" w:customStyle="1" w:styleId="122">
    <w:name w:val="列出段落2"/>
    <w:basedOn w:val="1"/>
    <w:qFormat/>
    <w:uiPriority w:val="0"/>
    <w:pPr>
      <w:spacing w:line="240" w:lineRule="auto"/>
      <w:ind w:firstLine="420"/>
    </w:pPr>
    <w:rPr>
      <w:rFonts w:ascii="等线" w:hAnsi="等线" w:eastAsia="等线" w:cs="等线"/>
      <w:sz w:val="21"/>
      <w:szCs w:val="21"/>
    </w:rPr>
  </w:style>
  <w:style w:type="paragraph" w:customStyle="1" w:styleId="123">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5">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6">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7">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28">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29">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0">
    <w:name w:val="!我的表格1"/>
    <w:basedOn w:val="3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1">
    <w:name w:val="网格型1"/>
    <w:basedOn w:val="35"/>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2">
    <w:name w:val="标题 1 Char"/>
    <w:qFormat/>
    <w:uiPriority w:val="0"/>
    <w:rPr>
      <w:rFonts w:ascii="宋体" w:hAnsi="宋体" w:eastAsia="黑体"/>
      <w:b/>
      <w:bCs/>
      <w:kern w:val="44"/>
      <w:sz w:val="32"/>
      <w:szCs w:val="28"/>
    </w:rPr>
  </w:style>
  <w:style w:type="character" w:customStyle="1" w:styleId="133">
    <w:name w:val="纯文本 Char2"/>
    <w:qFormat/>
    <w:uiPriority w:val="0"/>
    <w:rPr>
      <w:rFonts w:ascii="宋体" w:hAnsi="宋体" w:eastAsia="宋体" w:cs="Times New Roman"/>
      <w:color w:val="000000"/>
      <w:kern w:val="0"/>
      <w:sz w:val="24"/>
      <w:szCs w:val="24"/>
    </w:rPr>
  </w:style>
  <w:style w:type="paragraph" w:customStyle="1" w:styleId="134">
    <w:name w:val="列出段落1"/>
    <w:basedOn w:val="1"/>
    <w:qFormat/>
    <w:uiPriority w:val="34"/>
    <w:pPr>
      <w:spacing w:line="240" w:lineRule="auto"/>
      <w:ind w:firstLine="420"/>
    </w:pPr>
    <w:rPr>
      <w:rFonts w:ascii="Calibri" w:hAnsi="Calibri"/>
      <w:sz w:val="21"/>
      <w:szCs w:val="22"/>
    </w:rPr>
  </w:style>
  <w:style w:type="paragraph" w:customStyle="1" w:styleId="135">
    <w:name w:val="样式2"/>
    <w:basedOn w:val="1"/>
    <w:qFormat/>
    <w:uiPriority w:val="0"/>
    <w:pPr>
      <w:widowControl/>
      <w:adjustRightInd w:val="0"/>
      <w:jc w:val="left"/>
    </w:pPr>
    <w:rPr>
      <w:rFonts w:cs="宋体"/>
      <w:kern w:val="0"/>
      <w:lang w:eastAsia="en-US"/>
    </w:rPr>
  </w:style>
  <w:style w:type="table" w:customStyle="1" w:styleId="136">
    <w:name w:val="Table Normal"/>
    <w:unhideWhenUsed/>
    <w:qFormat/>
    <w:uiPriority w:val="0"/>
    <w:tblPr>
      <w:tblCellMar>
        <w:top w:w="0" w:type="dxa"/>
        <w:left w:w="0" w:type="dxa"/>
        <w:bottom w:w="0" w:type="dxa"/>
        <w:right w:w="0" w:type="dxa"/>
      </w:tblCellMar>
    </w:tblPr>
  </w:style>
  <w:style w:type="character" w:customStyle="1" w:styleId="137">
    <w:name w:val="fontstyle01"/>
    <w:basedOn w:val="37"/>
    <w:qFormat/>
    <w:uiPriority w:val="0"/>
    <w:rPr>
      <w:rFonts w:hint="eastAsia" w:ascii="仿宋" w:hAnsi="仿宋" w:eastAsia="仿宋"/>
      <w:color w:val="000000"/>
      <w:sz w:val="24"/>
      <w:szCs w:val="24"/>
    </w:rPr>
  </w:style>
  <w:style w:type="paragraph" w:customStyle="1" w:styleId="138">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5.png"/><Relationship Id="rId16" Type="http://schemas.openxmlformats.org/officeDocument/2006/relationships/image" Target="media/image4.emf"/><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emf"/><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25FFF41-CF85-41CF-816F-2DE332266208}">
  <ds:schemaRefs/>
</ds:datastoreItem>
</file>

<file path=docProps/app.xml><?xml version="1.0" encoding="utf-8"?>
<Properties xmlns="http://schemas.openxmlformats.org/officeDocument/2006/extended-properties" xmlns:vt="http://schemas.openxmlformats.org/officeDocument/2006/docPropsVTypes">
  <Template>Normal.dotm</Template>
  <Pages>21</Pages>
  <Words>2659</Words>
  <Characters>15158</Characters>
  <Lines>126</Lines>
  <Paragraphs>35</Paragraphs>
  <TotalTime>380</TotalTime>
  <ScaleCrop>false</ScaleCrop>
  <LinksUpToDate>false</LinksUpToDate>
  <CharactersWithSpaces>17782</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2026-01-21T21:35:00Z</dcterms:created>
  <dcterms:modified xsi:type="dcterms:W3CDTF">2026-04-10T09:04:50Z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A953FFAC5E0441269E8334E748A4A8B2</vt:lpwstr>
  </property>
</Properties>
</file>