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Microsoft_Visio_2003-2010___1.vsd" ContentType="application/vnd.visio"/>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96"/>
        <w:rPr>
          <w:rFonts w:hint="eastAsia"/>
          <w:color w:val="auto"/>
        </w:rPr>
      </w:pPr>
    </w:p>
    <w:p>
      <w:pPr>
        <w:ind w:firstLine="496"/>
        <w:rPr>
          <w:rFonts w:hint="eastAsia"/>
          <w:color w:val="auto"/>
        </w:rPr>
      </w:pPr>
    </w:p>
    <w:p>
      <w:pPr>
        <w:ind w:firstLine="496"/>
        <w:rPr>
          <w:rFonts w:hint="eastAsia"/>
          <w:color w:val="auto"/>
        </w:rPr>
      </w:pPr>
    </w:p>
    <w:p>
      <w:pPr>
        <w:ind w:firstLine="496"/>
        <w:rPr>
          <w:rFonts w:hint="eastAsia"/>
          <w:color w:val="auto"/>
        </w:rPr>
      </w:pPr>
    </w:p>
    <w:p>
      <w:pPr>
        <w:jc w:val="center"/>
        <w:rPr>
          <w:rFonts w:hint="eastAsia" w:ascii="黑体" w:hAnsi="黑体" w:eastAsia="黑体"/>
          <w:b/>
          <w:color w:val="auto"/>
          <w:sz w:val="36"/>
          <w:szCs w:val="36"/>
        </w:rPr>
      </w:pPr>
      <w:r>
        <w:rPr>
          <w:rFonts w:hint="eastAsia" w:ascii="黑体" w:hAnsi="黑体" w:eastAsia="黑体"/>
          <w:b/>
          <w:color w:val="auto"/>
          <w:sz w:val="36"/>
          <w:szCs w:val="36"/>
        </w:rPr>
        <w:t>基于国际展会服务的空间计算底座平台</w:t>
      </w:r>
    </w:p>
    <w:p>
      <w:pPr>
        <w:jc w:val="center"/>
        <w:rPr>
          <w:rFonts w:hint="default" w:ascii="黑体" w:hAnsi="黑体" w:eastAsia="黑体"/>
          <w:b/>
          <w:color w:val="auto"/>
          <w:sz w:val="36"/>
          <w:szCs w:val="36"/>
          <w:lang w:val="en-US" w:eastAsia="zh-CN"/>
        </w:rPr>
      </w:pPr>
      <w:r>
        <w:rPr>
          <w:rFonts w:hint="eastAsia" w:ascii="黑体" w:hAnsi="黑体" w:eastAsia="黑体"/>
          <w:b/>
          <w:color w:val="auto"/>
          <w:sz w:val="36"/>
          <w:szCs w:val="36"/>
        </w:rPr>
        <w:t>密码测评</w:t>
      </w:r>
      <w:r>
        <w:rPr>
          <w:rFonts w:hint="eastAsia" w:ascii="黑体" w:hAnsi="黑体" w:eastAsia="黑体"/>
          <w:b/>
          <w:color w:val="auto"/>
          <w:sz w:val="36"/>
          <w:szCs w:val="36"/>
          <w:lang w:val="en-US" w:eastAsia="zh-CN"/>
        </w:rPr>
        <w:t>费采购需求</w:t>
      </w:r>
    </w:p>
    <w:p>
      <w:pPr>
        <w:ind w:firstLine="496"/>
        <w:rPr>
          <w:rFonts w:hint="eastAsia"/>
          <w:color w:val="auto"/>
        </w:rPr>
      </w:pPr>
    </w:p>
    <w:p>
      <w:pPr>
        <w:ind w:firstLine="496"/>
        <w:rPr>
          <w:rFonts w:hint="eastAsia"/>
          <w:color w:val="auto"/>
        </w:rPr>
      </w:pPr>
    </w:p>
    <w:p>
      <w:pPr>
        <w:ind w:firstLine="496"/>
        <w:rPr>
          <w:rFonts w:hint="eastAsia"/>
          <w:color w:val="auto"/>
        </w:rPr>
      </w:pPr>
    </w:p>
    <w:p>
      <w:pPr>
        <w:ind w:firstLine="496"/>
        <w:rPr>
          <w:rFonts w:hint="eastAsia"/>
          <w:color w:val="auto"/>
        </w:rPr>
      </w:pPr>
    </w:p>
    <w:p>
      <w:pPr>
        <w:ind w:firstLine="758"/>
        <w:jc w:val="center"/>
        <w:rPr>
          <w:rFonts w:hint="eastAsia" w:ascii="仿宋" w:hAnsi="仿宋" w:eastAsia="仿宋"/>
          <w:b/>
          <w:color w:val="auto"/>
          <w:sz w:val="32"/>
          <w:szCs w:val="32"/>
        </w:rPr>
      </w:pPr>
    </w:p>
    <w:p>
      <w:pPr>
        <w:pStyle w:val="2"/>
        <w:numPr>
          <w:ilvl w:val="0"/>
          <w:numId w:val="0"/>
        </w:numPr>
        <w:ind w:left="860" w:hanging="440"/>
        <w:rPr>
          <w:rFonts w:hint="eastAsia"/>
          <w:color w:val="auto"/>
        </w:rPr>
      </w:pPr>
    </w:p>
    <w:p>
      <w:pPr>
        <w:pStyle w:val="2"/>
        <w:numPr>
          <w:ilvl w:val="0"/>
          <w:numId w:val="0"/>
        </w:numPr>
        <w:ind w:left="860" w:hanging="440"/>
        <w:rPr>
          <w:rFonts w:hint="eastAsia"/>
          <w:color w:val="auto"/>
        </w:rPr>
      </w:pPr>
    </w:p>
    <w:p>
      <w:pPr>
        <w:pStyle w:val="2"/>
        <w:numPr>
          <w:ilvl w:val="0"/>
          <w:numId w:val="0"/>
        </w:numPr>
        <w:ind w:left="860" w:hanging="440"/>
        <w:rPr>
          <w:rFonts w:hint="eastAsia"/>
          <w:color w:val="auto"/>
        </w:rPr>
      </w:pPr>
    </w:p>
    <w:p>
      <w:pPr>
        <w:pStyle w:val="2"/>
        <w:numPr>
          <w:ilvl w:val="0"/>
          <w:numId w:val="0"/>
        </w:numPr>
        <w:ind w:left="860" w:hanging="440"/>
        <w:rPr>
          <w:rFonts w:hint="eastAsia"/>
          <w:color w:val="auto"/>
        </w:rPr>
      </w:pPr>
    </w:p>
    <w:p>
      <w:pPr>
        <w:pStyle w:val="2"/>
        <w:numPr>
          <w:ilvl w:val="0"/>
          <w:numId w:val="0"/>
        </w:numPr>
        <w:ind w:left="860" w:hanging="440"/>
        <w:rPr>
          <w:rFonts w:hint="eastAsia"/>
          <w:color w:val="auto"/>
        </w:rPr>
      </w:pPr>
    </w:p>
    <w:p>
      <w:pPr>
        <w:pStyle w:val="2"/>
        <w:numPr>
          <w:ilvl w:val="0"/>
          <w:numId w:val="0"/>
        </w:numPr>
        <w:ind w:left="860" w:hanging="440"/>
        <w:rPr>
          <w:rFonts w:hint="eastAsia" w:eastAsia="仿宋"/>
          <w:color w:val="auto"/>
          <w:lang w:val="en-US" w:eastAsia="zh-CN"/>
        </w:rPr>
      </w:pPr>
      <w:r>
        <w:rPr>
          <w:rFonts w:hint="eastAsia"/>
          <w:color w:val="auto"/>
          <w:lang w:val="en-US" w:eastAsia="zh-CN"/>
        </w:rPr>
        <w:t xml:space="preserve"> </w:t>
      </w:r>
    </w:p>
    <w:p>
      <w:pPr>
        <w:pStyle w:val="2"/>
        <w:numPr>
          <w:ilvl w:val="0"/>
          <w:numId w:val="0"/>
        </w:numPr>
        <w:ind w:left="860" w:hanging="440"/>
        <w:rPr>
          <w:rFonts w:hint="eastAsia"/>
          <w:color w:val="auto"/>
        </w:rPr>
      </w:pPr>
    </w:p>
    <w:p>
      <w:pPr>
        <w:pStyle w:val="2"/>
        <w:numPr>
          <w:ilvl w:val="0"/>
          <w:numId w:val="0"/>
        </w:numPr>
        <w:ind w:left="860" w:hanging="440"/>
        <w:rPr>
          <w:rFonts w:hint="eastAsia"/>
          <w:color w:val="auto"/>
        </w:rPr>
      </w:pPr>
    </w:p>
    <w:p>
      <w:pPr>
        <w:pStyle w:val="2"/>
        <w:numPr>
          <w:ilvl w:val="0"/>
          <w:numId w:val="0"/>
        </w:numPr>
        <w:ind w:left="860" w:hanging="440"/>
        <w:rPr>
          <w:rFonts w:hint="eastAsia"/>
          <w:color w:val="auto"/>
        </w:rPr>
      </w:pPr>
    </w:p>
    <w:p>
      <w:pPr>
        <w:pStyle w:val="2"/>
        <w:numPr>
          <w:ilvl w:val="0"/>
          <w:numId w:val="0"/>
        </w:numPr>
        <w:ind w:left="860" w:hanging="440"/>
        <w:rPr>
          <w:rFonts w:hint="eastAsia"/>
          <w:color w:val="auto"/>
        </w:rPr>
      </w:pPr>
    </w:p>
    <w:p>
      <w:pPr>
        <w:ind w:firstLine="496"/>
        <w:jc w:val="center"/>
        <w:rPr>
          <w:rFonts w:hint="eastAsia"/>
          <w:color w:val="auto"/>
        </w:rPr>
      </w:pPr>
      <w:r>
        <w:rPr>
          <w:rFonts w:hint="eastAsia" w:ascii="黑体" w:hAnsi="黑体" w:eastAsia="黑体"/>
          <w:b/>
          <w:color w:val="auto"/>
          <w:sz w:val="32"/>
          <w:szCs w:val="32"/>
        </w:rPr>
        <w:t>上海市大数据中心</w:t>
      </w:r>
    </w:p>
    <w:p>
      <w:pPr>
        <w:ind w:firstLine="496"/>
        <w:rPr>
          <w:rFonts w:hint="eastAsia"/>
          <w:color w:val="auto"/>
        </w:rPr>
      </w:pPr>
    </w:p>
    <w:p>
      <w:pPr>
        <w:ind w:firstLine="496"/>
        <w:rPr>
          <w:rFonts w:hint="eastAsia"/>
          <w:color w:val="auto"/>
        </w:rPr>
      </w:pPr>
    </w:p>
    <w:p>
      <w:pPr>
        <w:ind w:firstLine="496"/>
        <w:rPr>
          <w:rFonts w:hint="eastAsia"/>
          <w:color w:val="auto"/>
        </w:rPr>
      </w:pPr>
    </w:p>
    <w:p>
      <w:pPr>
        <w:widowControl/>
        <w:jc w:val="left"/>
        <w:rPr>
          <w:rFonts w:hint="eastAsia" w:ascii="仿宋" w:hAnsi="仿宋" w:eastAsia="仿宋" w:cstheme="majorBidi"/>
          <w:b/>
          <w:bCs/>
          <w:color w:val="auto"/>
          <w:sz w:val="28"/>
          <w:szCs w:val="28"/>
        </w:rPr>
      </w:pPr>
      <w:r>
        <w:rPr>
          <w:rFonts w:hint="eastAsia"/>
          <w:color w:val="auto"/>
        </w:rPr>
        <w:br w:type="page"/>
      </w:r>
    </w:p>
    <w:p>
      <w:pPr>
        <w:pStyle w:val="5"/>
        <w:spacing w:before="120" w:after="120" w:line="360" w:lineRule="auto"/>
        <w:rPr>
          <w:rFonts w:hint="eastAsia"/>
          <w:color w:val="auto"/>
        </w:rPr>
      </w:pPr>
      <w:r>
        <w:rPr>
          <w:rFonts w:hint="eastAsia"/>
          <w:color w:val="auto"/>
        </w:rPr>
        <w:t>（一）项目概况</w:t>
      </w:r>
    </w:p>
    <w:p>
      <w:pPr>
        <w:spacing w:line="360" w:lineRule="auto"/>
        <w:ind w:firstLine="480" w:firstLineChars="200"/>
        <w:jc w:val="left"/>
        <w:rPr>
          <w:rFonts w:hint="eastAsia" w:ascii="仿宋" w:hAnsi="仿宋" w:eastAsia="仿宋"/>
          <w:color w:val="auto"/>
          <w:sz w:val="24"/>
          <w:szCs w:val="24"/>
        </w:rPr>
      </w:pPr>
      <w:r>
        <w:rPr>
          <w:rFonts w:hint="eastAsia" w:ascii="仿宋" w:hAnsi="仿宋" w:eastAsia="仿宋"/>
          <w:color w:val="auto"/>
          <w:sz w:val="24"/>
          <w:szCs w:val="24"/>
        </w:rPr>
        <w:t>1、项目概述</w:t>
      </w:r>
    </w:p>
    <w:p>
      <w:pPr>
        <w:spacing w:line="360" w:lineRule="auto"/>
        <w:ind w:firstLine="480" w:firstLineChars="200"/>
        <w:rPr>
          <w:rFonts w:hint="eastAsia" w:ascii="仿宋" w:hAnsi="仿宋" w:eastAsia="仿宋"/>
          <w:color w:val="auto"/>
          <w:sz w:val="24"/>
          <w:szCs w:val="28"/>
        </w:rPr>
      </w:pPr>
      <w:bookmarkStart w:id="0" w:name="_Hlk195100556"/>
      <w:r>
        <w:rPr>
          <w:rFonts w:hint="eastAsia" w:ascii="仿宋" w:hAnsi="仿宋" w:eastAsia="仿宋"/>
          <w:color w:val="auto"/>
          <w:sz w:val="24"/>
          <w:szCs w:val="28"/>
        </w:rPr>
        <w:t>近年来，网络和数据安全对国家安全和发展的重要性日益凸显，特别是在当前复杂多变的安全形势下，加强网络和数据安全保障工作已成为迫切需求。本项目依据《中华人民共和国密码法》、《商用密码管理条例》、《关键信息基础设施安全保护条例》等相关法律法规，对</w:t>
      </w:r>
      <w:r>
        <w:rPr>
          <w:rFonts w:hint="eastAsia" w:ascii="仿宋" w:hAnsi="仿宋" w:eastAsia="仿宋"/>
          <w:color w:val="auto"/>
          <w:sz w:val="24"/>
          <w:szCs w:val="28"/>
        </w:rPr>
        <w:t>基于国际展会服务的空间计算底座平台</w:t>
      </w:r>
      <w:r>
        <w:rPr>
          <w:rFonts w:hint="eastAsia" w:ascii="仿宋" w:hAnsi="仿宋" w:eastAsia="仿宋"/>
          <w:color w:val="auto"/>
          <w:sz w:val="24"/>
          <w:szCs w:val="28"/>
        </w:rPr>
        <w:t>密码应用的合规性，正确性，有效性进行密码应用测评，通过测评可以发现信息系统密码应用的安全现状，进行全面有效的密码应用安全整改建设，使系统密码应用在技术和管理方面有针对性的加强和完善，以确保网络和信息系统的安全。</w:t>
      </w:r>
    </w:p>
    <w:p>
      <w:pPr>
        <w:pStyle w:val="2"/>
        <w:numPr>
          <w:ilvl w:val="0"/>
          <w:numId w:val="0"/>
        </w:numPr>
        <w:ind w:firstLine="480" w:firstLineChars="200"/>
        <w:rPr>
          <w:rFonts w:hint="eastAsia"/>
          <w:color w:val="auto"/>
        </w:rPr>
      </w:pPr>
      <w:r>
        <w:rPr>
          <w:rFonts w:hint="eastAsia"/>
          <w:color w:val="auto"/>
          <w:szCs w:val="28"/>
        </w:rPr>
        <w:t>上海市大数据中心建设的基于国际展会服务的空间计算底座平台，其项目建设的主要内容是基于国际展会服务的空间计算底座平台围绕“管理通</w:t>
      </w:r>
      <w:r>
        <w:rPr>
          <w:color w:val="auto"/>
          <w:szCs w:val="28"/>
        </w:rPr>
        <w:t>”</w:t>
      </w:r>
      <w:r>
        <w:rPr>
          <w:rFonts w:hint="eastAsia"/>
          <w:color w:val="auto"/>
          <w:szCs w:val="28"/>
        </w:rPr>
        <w:t>、</w:t>
      </w:r>
      <w:r>
        <w:rPr>
          <w:color w:val="auto"/>
          <w:szCs w:val="28"/>
        </w:rPr>
        <w:t>“</w:t>
      </w:r>
      <w:r>
        <w:rPr>
          <w:rFonts w:hint="eastAsia"/>
          <w:color w:val="auto"/>
          <w:szCs w:val="28"/>
        </w:rPr>
        <w:t>产业通</w:t>
      </w:r>
      <w:r>
        <w:rPr>
          <w:color w:val="auto"/>
          <w:szCs w:val="28"/>
        </w:rPr>
        <w:t>”</w:t>
      </w:r>
      <w:r>
        <w:rPr>
          <w:rFonts w:hint="eastAsia"/>
          <w:color w:val="auto"/>
          <w:szCs w:val="28"/>
        </w:rPr>
        <w:t>、</w:t>
      </w:r>
      <w:r>
        <w:rPr>
          <w:color w:val="auto"/>
          <w:szCs w:val="28"/>
        </w:rPr>
        <w:t>“</w:t>
      </w:r>
      <w:r>
        <w:rPr>
          <w:rFonts w:hint="eastAsia"/>
          <w:color w:val="auto"/>
          <w:szCs w:val="28"/>
        </w:rPr>
        <w:t>数据基座</w:t>
      </w:r>
      <w:r>
        <w:rPr>
          <w:color w:val="auto"/>
          <w:szCs w:val="28"/>
        </w:rPr>
        <w:t>”</w:t>
      </w:r>
      <w:r>
        <w:rPr>
          <w:rFonts w:hint="eastAsia"/>
          <w:color w:val="auto"/>
          <w:szCs w:val="28"/>
        </w:rPr>
        <w:t>三项任务，建设</w:t>
      </w:r>
      <w:r>
        <w:rPr>
          <w:color w:val="auto"/>
          <w:szCs w:val="28"/>
        </w:rPr>
        <w:t>5</w:t>
      </w:r>
      <w:r>
        <w:rPr>
          <w:rFonts w:hint="eastAsia"/>
          <w:color w:val="auto"/>
          <w:szCs w:val="28"/>
        </w:rPr>
        <w:t>大应用场景：</w:t>
      </w:r>
      <w:r>
        <w:rPr>
          <w:color w:val="auto"/>
          <w:szCs w:val="28"/>
        </w:rPr>
        <w:t>“</w:t>
      </w:r>
      <w:r>
        <w:rPr>
          <w:rFonts w:hint="eastAsia"/>
          <w:color w:val="auto"/>
          <w:szCs w:val="28"/>
        </w:rPr>
        <w:t>进博一张图</w:t>
      </w:r>
      <w:r>
        <w:rPr>
          <w:color w:val="auto"/>
          <w:szCs w:val="28"/>
        </w:rPr>
        <w:t>”</w:t>
      </w:r>
      <w:r>
        <w:rPr>
          <w:rFonts w:hint="eastAsia"/>
          <w:color w:val="auto"/>
          <w:szCs w:val="28"/>
        </w:rPr>
        <w:t>综合管理平台和指挥大屏系统、进博会客流精细化监管平台、进博会精准招商平台、进博会区块链应用场景、进博会信息安全保障。</w:t>
      </w:r>
      <w:bookmarkEnd w:id="0"/>
    </w:p>
    <w:p>
      <w:pPr>
        <w:spacing w:line="360" w:lineRule="auto"/>
        <w:ind w:firstLine="480" w:firstLineChars="200"/>
        <w:jc w:val="left"/>
        <w:rPr>
          <w:rFonts w:hint="eastAsia" w:ascii="仿宋" w:hAnsi="仿宋" w:eastAsia="仿宋"/>
          <w:color w:val="auto"/>
          <w:sz w:val="24"/>
          <w:szCs w:val="24"/>
        </w:rPr>
      </w:pPr>
      <w:r>
        <w:rPr>
          <w:rFonts w:hint="eastAsia" w:ascii="仿宋" w:hAnsi="仿宋" w:eastAsia="仿宋"/>
          <w:color w:val="auto"/>
          <w:sz w:val="24"/>
          <w:szCs w:val="24"/>
        </w:rPr>
        <w:t>项目服务期限：自合同签订之日起至</w:t>
      </w:r>
      <w:r>
        <w:rPr>
          <w:rFonts w:hint="eastAsia" w:ascii="仿宋" w:hAnsi="仿宋" w:eastAsia="仿宋"/>
          <w:color w:val="auto"/>
          <w:sz w:val="24"/>
          <w:szCs w:val="24"/>
          <w:lang w:val="en-US" w:eastAsia="zh-CN"/>
        </w:rPr>
        <w:t>2027年12月1日</w:t>
      </w:r>
      <w:r>
        <w:rPr>
          <w:rFonts w:hint="eastAsia" w:ascii="仿宋" w:hAnsi="仿宋" w:eastAsia="仿宋"/>
          <w:color w:val="auto"/>
          <w:sz w:val="24"/>
          <w:szCs w:val="24"/>
        </w:rPr>
        <w:t>。</w:t>
      </w:r>
    </w:p>
    <w:p>
      <w:pPr>
        <w:spacing w:line="360" w:lineRule="auto"/>
        <w:ind w:firstLine="480" w:firstLineChars="200"/>
        <w:rPr>
          <w:rFonts w:hint="eastAsia" w:ascii="仿宋" w:hAnsi="仿宋" w:eastAsia="仿宋"/>
          <w:color w:val="auto"/>
          <w:sz w:val="24"/>
          <w:szCs w:val="24"/>
        </w:rPr>
      </w:pPr>
      <w:r>
        <w:rPr>
          <w:rFonts w:hint="eastAsia" w:ascii="仿宋" w:hAnsi="仿宋" w:eastAsia="仿宋"/>
          <w:color w:val="auto"/>
          <w:sz w:val="24"/>
          <w:szCs w:val="24"/>
        </w:rPr>
        <w:t>预算金额：</w:t>
      </w:r>
      <w:r>
        <w:rPr>
          <w:rFonts w:hint="eastAsia" w:ascii="仿宋" w:hAnsi="仿宋" w:eastAsia="仿宋"/>
          <w:color w:val="auto"/>
          <w:sz w:val="24"/>
          <w:szCs w:val="24"/>
        </w:rPr>
        <w:t>￥1052563.00</w:t>
      </w:r>
      <w:r>
        <w:rPr>
          <w:rFonts w:hint="eastAsia" w:ascii="仿宋" w:hAnsi="仿宋" w:eastAsia="仿宋"/>
          <w:color w:val="auto"/>
          <w:sz w:val="24"/>
          <w:szCs w:val="24"/>
        </w:rPr>
        <w:t>元</w:t>
      </w:r>
    </w:p>
    <w:p>
      <w:pPr>
        <w:spacing w:line="360" w:lineRule="auto"/>
        <w:ind w:firstLine="480" w:firstLineChars="200"/>
        <w:rPr>
          <w:rFonts w:hint="eastAsia" w:ascii="仿宋" w:hAnsi="仿宋" w:eastAsia="仿宋"/>
          <w:color w:val="auto"/>
          <w:sz w:val="24"/>
          <w:szCs w:val="24"/>
        </w:rPr>
      </w:pPr>
      <w:r>
        <w:rPr>
          <w:rFonts w:hint="eastAsia" w:ascii="仿宋" w:hAnsi="仿宋" w:eastAsia="仿宋"/>
          <w:color w:val="auto"/>
          <w:sz w:val="24"/>
          <w:szCs w:val="24"/>
        </w:rPr>
        <w:t>采购金额：</w:t>
      </w:r>
      <w:r>
        <w:rPr>
          <w:rFonts w:hint="eastAsia" w:ascii="仿宋" w:hAnsi="仿宋" w:eastAsia="仿宋"/>
          <w:color w:val="auto"/>
          <w:sz w:val="24"/>
          <w:szCs w:val="24"/>
        </w:rPr>
        <w:t>￥1052563.00</w:t>
      </w:r>
      <w:r>
        <w:rPr>
          <w:rFonts w:hint="eastAsia" w:ascii="仿宋" w:hAnsi="仿宋" w:eastAsia="仿宋"/>
          <w:color w:val="auto"/>
          <w:sz w:val="24"/>
          <w:szCs w:val="24"/>
        </w:rPr>
        <w:t>元</w:t>
      </w:r>
    </w:p>
    <w:p>
      <w:pPr>
        <w:spacing w:line="360" w:lineRule="auto"/>
        <w:ind w:firstLine="480" w:firstLineChars="200"/>
        <w:rPr>
          <w:rFonts w:hint="eastAsia" w:ascii="仿宋" w:hAnsi="仿宋" w:eastAsia="仿宋"/>
          <w:color w:val="auto"/>
          <w:sz w:val="24"/>
          <w:szCs w:val="24"/>
        </w:rPr>
      </w:pPr>
      <w:r>
        <w:rPr>
          <w:rFonts w:hint="eastAsia" w:ascii="仿宋" w:hAnsi="仿宋" w:eastAsia="仿宋"/>
          <w:color w:val="auto"/>
          <w:sz w:val="24"/>
          <w:szCs w:val="24"/>
        </w:rPr>
        <w:t>组织形式：集中采购</w:t>
      </w:r>
    </w:p>
    <w:p>
      <w:pPr>
        <w:spacing w:line="360" w:lineRule="auto"/>
        <w:ind w:firstLine="480" w:firstLineChars="200"/>
        <w:rPr>
          <w:rFonts w:hint="eastAsia" w:ascii="仿宋" w:hAnsi="仿宋" w:eastAsia="仿宋"/>
          <w:color w:val="auto"/>
          <w:sz w:val="24"/>
          <w:szCs w:val="24"/>
        </w:rPr>
      </w:pPr>
      <w:r>
        <w:rPr>
          <w:rFonts w:hint="eastAsia" w:ascii="仿宋" w:hAnsi="仿宋" w:eastAsia="仿宋"/>
          <w:color w:val="auto"/>
          <w:sz w:val="24"/>
          <w:szCs w:val="24"/>
        </w:rPr>
        <w:t>采购方式：竞争性磋商</w:t>
      </w:r>
    </w:p>
    <w:p>
      <w:pPr>
        <w:spacing w:line="360" w:lineRule="auto"/>
        <w:ind w:firstLine="480" w:firstLineChars="200"/>
        <w:rPr>
          <w:rFonts w:hint="eastAsia" w:ascii="仿宋" w:hAnsi="仿宋" w:eastAsia="仿宋"/>
          <w:color w:val="auto"/>
          <w:sz w:val="24"/>
          <w:szCs w:val="24"/>
        </w:rPr>
      </w:pPr>
      <w:r>
        <w:rPr>
          <w:rFonts w:hint="eastAsia" w:ascii="仿宋" w:hAnsi="仿宋" w:eastAsia="仿宋"/>
          <w:color w:val="auto"/>
          <w:sz w:val="24"/>
          <w:szCs w:val="24"/>
        </w:rPr>
        <w:t>是否接受联合体</w:t>
      </w:r>
      <w:r>
        <w:rPr>
          <w:rFonts w:hint="eastAsia" w:ascii="仿宋" w:hAnsi="仿宋" w:eastAsia="仿宋"/>
          <w:color w:val="auto"/>
          <w:sz w:val="24"/>
          <w:szCs w:val="24"/>
          <w:lang w:eastAsia="zh-CN"/>
        </w:rPr>
        <w:t>响应</w:t>
      </w:r>
      <w:r>
        <w:rPr>
          <w:rFonts w:hint="eastAsia" w:ascii="仿宋" w:hAnsi="仿宋" w:eastAsia="仿宋"/>
          <w:color w:val="auto"/>
          <w:sz w:val="24"/>
          <w:szCs w:val="24"/>
        </w:rPr>
        <w:t>：否</w:t>
      </w:r>
    </w:p>
    <w:p>
      <w:pPr>
        <w:spacing w:line="360" w:lineRule="auto"/>
        <w:ind w:firstLine="480" w:firstLineChars="200"/>
        <w:jc w:val="left"/>
        <w:rPr>
          <w:rFonts w:hint="eastAsia" w:ascii="仿宋" w:hAnsi="仿宋" w:eastAsia="仿宋"/>
          <w:color w:val="auto"/>
          <w:sz w:val="24"/>
          <w:szCs w:val="24"/>
        </w:rPr>
      </w:pPr>
    </w:p>
    <w:p>
      <w:pPr>
        <w:spacing w:line="360" w:lineRule="auto"/>
        <w:ind w:firstLine="480" w:firstLineChars="200"/>
        <w:jc w:val="left"/>
        <w:rPr>
          <w:rFonts w:hint="eastAsia" w:ascii="仿宋" w:hAnsi="仿宋" w:eastAsia="仿宋"/>
          <w:color w:val="auto"/>
          <w:sz w:val="28"/>
          <w:szCs w:val="28"/>
        </w:rPr>
      </w:pPr>
      <w:r>
        <w:rPr>
          <w:rFonts w:hint="eastAsia" w:ascii="仿宋" w:hAnsi="仿宋" w:eastAsia="仿宋"/>
          <w:color w:val="auto"/>
          <w:sz w:val="24"/>
          <w:szCs w:val="24"/>
        </w:rPr>
        <w:t>项目服务要求，在商用密码应用测评项目实施过程中，</w:t>
      </w:r>
      <w:r>
        <w:rPr>
          <w:rFonts w:ascii="仿宋" w:hAnsi="仿宋" w:eastAsia="仿宋"/>
          <w:color w:val="auto"/>
          <w:sz w:val="24"/>
          <w:szCs w:val="24"/>
        </w:rPr>
        <w:t>需邀请</w:t>
      </w:r>
      <w:r>
        <w:rPr>
          <w:rFonts w:hint="eastAsia" w:ascii="仿宋" w:hAnsi="仿宋" w:eastAsia="仿宋"/>
          <w:color w:val="auto"/>
          <w:sz w:val="24"/>
          <w:szCs w:val="24"/>
        </w:rPr>
        <w:t>上海市</w:t>
      </w:r>
      <w:r>
        <w:rPr>
          <w:rFonts w:ascii="仿宋" w:hAnsi="仿宋" w:eastAsia="仿宋"/>
          <w:color w:val="auto"/>
          <w:sz w:val="24"/>
          <w:szCs w:val="24"/>
        </w:rPr>
        <w:t>密码管理局</w:t>
      </w:r>
      <w:r>
        <w:rPr>
          <w:rFonts w:hint="eastAsia" w:ascii="仿宋" w:hAnsi="仿宋" w:eastAsia="仿宋"/>
          <w:color w:val="auto"/>
          <w:sz w:val="24"/>
          <w:szCs w:val="24"/>
        </w:rPr>
        <w:t>认可</w:t>
      </w:r>
      <w:r>
        <w:rPr>
          <w:rFonts w:ascii="仿宋" w:hAnsi="仿宋" w:eastAsia="仿宋"/>
          <w:color w:val="auto"/>
          <w:sz w:val="24"/>
          <w:szCs w:val="24"/>
        </w:rPr>
        <w:t>的</w:t>
      </w:r>
      <w:r>
        <w:rPr>
          <w:rFonts w:hint="eastAsia" w:ascii="仿宋" w:hAnsi="仿宋" w:eastAsia="仿宋"/>
          <w:color w:val="auto"/>
          <w:sz w:val="24"/>
          <w:szCs w:val="24"/>
        </w:rPr>
        <w:t>商用密码应用安全性评估机构进行测评，</w:t>
      </w:r>
      <w:r>
        <w:rPr>
          <w:rFonts w:ascii="仿宋" w:hAnsi="仿宋" w:eastAsia="仿宋"/>
          <w:color w:val="auto"/>
          <w:sz w:val="24"/>
          <w:szCs w:val="24"/>
        </w:rPr>
        <w:t>并出具符合规范的《</w:t>
      </w:r>
      <w:r>
        <w:rPr>
          <w:rFonts w:hint="eastAsia" w:ascii="仿宋" w:hAnsi="仿宋" w:eastAsia="仿宋"/>
          <w:color w:val="auto"/>
          <w:sz w:val="24"/>
          <w:szCs w:val="24"/>
        </w:rPr>
        <w:t>密码应用测评报告</w:t>
      </w:r>
      <w:r>
        <w:rPr>
          <w:rFonts w:ascii="仿宋" w:hAnsi="仿宋" w:eastAsia="仿宋"/>
          <w:color w:val="auto"/>
          <w:sz w:val="24"/>
          <w:szCs w:val="24"/>
        </w:rPr>
        <w:t>》</w:t>
      </w:r>
      <w:r>
        <w:rPr>
          <w:rFonts w:hint="eastAsia" w:ascii="仿宋" w:hAnsi="仿宋" w:eastAsia="仿宋"/>
          <w:color w:val="auto"/>
          <w:sz w:val="24"/>
          <w:szCs w:val="24"/>
        </w:rPr>
        <w:t>，</w:t>
      </w:r>
      <w:r>
        <w:rPr>
          <w:rFonts w:ascii="仿宋" w:hAnsi="仿宋" w:eastAsia="仿宋"/>
          <w:color w:val="auto"/>
          <w:sz w:val="24"/>
          <w:szCs w:val="24"/>
        </w:rPr>
        <w:t>并协助被测评单位及</w:t>
      </w:r>
      <w:r>
        <w:rPr>
          <w:rFonts w:hint="eastAsia" w:ascii="仿宋" w:hAnsi="仿宋" w:eastAsia="仿宋"/>
          <w:color w:val="auto"/>
          <w:sz w:val="24"/>
          <w:szCs w:val="24"/>
        </w:rPr>
        <w:t>相关技术支撑单位落实密码应用安全整改工作</w:t>
      </w:r>
      <w:r>
        <w:rPr>
          <w:rFonts w:hint="eastAsia" w:ascii="仿宋" w:hAnsi="仿宋" w:eastAsia="仿宋"/>
          <w:color w:val="auto"/>
          <w:sz w:val="28"/>
          <w:szCs w:val="28"/>
        </w:rPr>
        <w:t>。</w:t>
      </w:r>
    </w:p>
    <w:p>
      <w:pPr>
        <w:pStyle w:val="5"/>
        <w:spacing w:before="120" w:after="120" w:line="360" w:lineRule="auto"/>
        <w:rPr>
          <w:rFonts w:hint="eastAsia"/>
          <w:color w:val="auto"/>
        </w:rPr>
      </w:pPr>
      <w:r>
        <w:rPr>
          <w:rFonts w:hint="eastAsia"/>
          <w:color w:val="auto"/>
        </w:rPr>
        <w:t>（二）</w:t>
      </w:r>
      <w:r>
        <w:rPr>
          <w:color w:val="auto"/>
        </w:rPr>
        <w:t>供应商资格</w:t>
      </w:r>
      <w:r>
        <w:rPr>
          <w:rFonts w:hint="eastAsia"/>
          <w:color w:val="auto"/>
        </w:rPr>
        <w:t>及</w:t>
      </w:r>
      <w:r>
        <w:rPr>
          <w:color w:val="auto"/>
        </w:rPr>
        <w:t>要求</w:t>
      </w:r>
      <w:bookmarkStart w:id="1" w:name="_Hlk510447788"/>
    </w:p>
    <w:p>
      <w:pPr>
        <w:spacing w:line="360" w:lineRule="auto"/>
        <w:ind w:firstLine="480" w:firstLineChars="200"/>
        <w:rPr>
          <w:rFonts w:hint="eastAsia" w:ascii="仿宋" w:hAnsi="仿宋" w:eastAsia="仿宋"/>
          <w:color w:val="auto"/>
          <w:sz w:val="24"/>
          <w:szCs w:val="28"/>
        </w:rPr>
      </w:pPr>
      <w:r>
        <w:rPr>
          <w:rFonts w:hint="eastAsia" w:ascii="仿宋" w:hAnsi="仿宋" w:eastAsia="仿宋"/>
          <w:color w:val="auto"/>
          <w:sz w:val="24"/>
          <w:szCs w:val="28"/>
        </w:rPr>
        <w:t>1、供应商满足《中华人民共和国政府采购法》第二十一条及二十二条规定的条件；</w:t>
      </w:r>
    </w:p>
    <w:p>
      <w:pPr>
        <w:spacing w:line="360" w:lineRule="auto"/>
        <w:ind w:firstLine="480" w:firstLineChars="200"/>
        <w:rPr>
          <w:rFonts w:hint="eastAsia" w:ascii="仿宋" w:hAnsi="仿宋" w:eastAsia="仿宋"/>
          <w:color w:val="auto"/>
          <w:sz w:val="24"/>
          <w:szCs w:val="28"/>
        </w:rPr>
      </w:pPr>
      <w:r>
        <w:rPr>
          <w:rFonts w:ascii="仿宋" w:hAnsi="仿宋" w:eastAsia="仿宋"/>
          <w:color w:val="auto"/>
          <w:sz w:val="24"/>
          <w:szCs w:val="28"/>
        </w:rPr>
        <w:t>2</w:t>
      </w:r>
      <w:r>
        <w:rPr>
          <w:rFonts w:hint="eastAsia" w:ascii="仿宋" w:hAnsi="仿宋" w:eastAsia="仿宋"/>
          <w:color w:val="auto"/>
          <w:sz w:val="24"/>
          <w:szCs w:val="28"/>
        </w:rPr>
        <w:t>、</w:t>
      </w:r>
      <w:r>
        <w:rPr>
          <w:rFonts w:hint="eastAsia" w:ascii="仿宋" w:hAnsi="仿宋" w:eastAsia="仿宋"/>
          <w:color w:val="auto"/>
          <w:sz w:val="24"/>
        </w:rPr>
        <w:t>供应商应须具备有效期内的国家密码管理部门颁发商用密码检测机构资质证书（业务范围：商用密码应用安全性评估）</w:t>
      </w:r>
      <w:r>
        <w:rPr>
          <w:rFonts w:ascii="仿宋" w:hAnsi="仿宋" w:eastAsia="仿宋"/>
          <w:color w:val="auto"/>
          <w:sz w:val="24"/>
          <w:szCs w:val="28"/>
        </w:rPr>
        <w:t>;</w:t>
      </w:r>
    </w:p>
    <w:p>
      <w:pPr>
        <w:spacing w:line="360" w:lineRule="auto"/>
        <w:ind w:firstLine="480" w:firstLineChars="200"/>
        <w:rPr>
          <w:rFonts w:hint="eastAsia" w:ascii="仿宋" w:hAnsi="仿宋" w:eastAsia="仿宋"/>
          <w:color w:val="auto"/>
          <w:sz w:val="24"/>
          <w:szCs w:val="28"/>
        </w:rPr>
      </w:pPr>
      <w:r>
        <w:rPr>
          <w:rFonts w:ascii="仿宋" w:hAnsi="仿宋" w:eastAsia="仿宋"/>
          <w:color w:val="auto"/>
          <w:sz w:val="24"/>
          <w:szCs w:val="28"/>
        </w:rPr>
        <w:t>3</w:t>
      </w:r>
      <w:r>
        <w:rPr>
          <w:rFonts w:hint="eastAsia" w:ascii="仿宋" w:hAnsi="仿宋" w:eastAsia="仿宋"/>
          <w:color w:val="auto"/>
          <w:sz w:val="24"/>
          <w:szCs w:val="28"/>
        </w:rPr>
        <w:t>、供应商提供参加政府采购活动前3年内在经营活动中没有重大违法记录的书面声明；</w:t>
      </w:r>
    </w:p>
    <w:p>
      <w:pPr>
        <w:spacing w:line="360" w:lineRule="auto"/>
        <w:ind w:firstLine="480" w:firstLineChars="200"/>
        <w:rPr>
          <w:rFonts w:hint="eastAsia" w:ascii="仿宋" w:hAnsi="仿宋" w:eastAsia="仿宋"/>
          <w:color w:val="auto"/>
          <w:sz w:val="24"/>
          <w:szCs w:val="28"/>
        </w:rPr>
      </w:pPr>
      <w:r>
        <w:rPr>
          <w:rFonts w:ascii="仿宋" w:hAnsi="仿宋" w:eastAsia="仿宋"/>
          <w:color w:val="auto"/>
          <w:sz w:val="24"/>
          <w:szCs w:val="28"/>
        </w:rPr>
        <w:t>4</w:t>
      </w:r>
      <w:r>
        <w:rPr>
          <w:rFonts w:hint="eastAsia" w:ascii="仿宋" w:hAnsi="仿宋" w:eastAsia="仿宋"/>
          <w:color w:val="auto"/>
          <w:sz w:val="24"/>
          <w:szCs w:val="28"/>
        </w:rPr>
        <w:t>、参加政府采购活动前三年内未被列入“信用中国”网站(www.creditchina.gov.cn)失信被执行人、重大税收违法案件当事人、政府采购严重违法失信行为记录名单和“中国政府采购”网站（www.ccgp.gov.cn）政府采购严重违法失信行为记录名单。</w:t>
      </w:r>
      <w:bookmarkEnd w:id="1"/>
    </w:p>
    <w:p>
      <w:pPr>
        <w:spacing w:line="360" w:lineRule="auto"/>
        <w:ind w:firstLine="480" w:firstLineChars="200"/>
        <w:rPr>
          <w:rFonts w:hint="eastAsia" w:ascii="仿宋" w:hAnsi="仿宋" w:eastAsia="仿宋"/>
          <w:color w:val="auto"/>
          <w:sz w:val="24"/>
          <w:szCs w:val="28"/>
        </w:rPr>
      </w:pPr>
      <w:r>
        <w:rPr>
          <w:rFonts w:ascii="仿宋" w:hAnsi="仿宋" w:eastAsia="仿宋"/>
          <w:color w:val="auto"/>
          <w:sz w:val="24"/>
          <w:szCs w:val="28"/>
        </w:rPr>
        <w:t>5</w:t>
      </w:r>
      <w:r>
        <w:rPr>
          <w:rFonts w:hint="eastAsia" w:ascii="仿宋" w:hAnsi="仿宋" w:eastAsia="仿宋"/>
          <w:color w:val="auto"/>
          <w:sz w:val="24"/>
          <w:szCs w:val="28"/>
        </w:rPr>
        <w:t>、本项目不接受联合体</w:t>
      </w:r>
      <w:r>
        <w:rPr>
          <w:rFonts w:hint="eastAsia" w:ascii="仿宋" w:hAnsi="仿宋" w:eastAsia="仿宋"/>
          <w:color w:val="auto"/>
          <w:sz w:val="24"/>
          <w:szCs w:val="28"/>
          <w:lang w:eastAsia="zh-CN"/>
        </w:rPr>
        <w:t>响应</w:t>
      </w:r>
      <w:r>
        <w:rPr>
          <w:rFonts w:hint="eastAsia" w:ascii="仿宋" w:hAnsi="仿宋" w:eastAsia="仿宋"/>
          <w:color w:val="auto"/>
          <w:sz w:val="24"/>
          <w:szCs w:val="28"/>
        </w:rPr>
        <w:t>。与采购人存在利害关系可能影响公正性的法人、其他组织或者个人，不得参加</w:t>
      </w:r>
      <w:r>
        <w:rPr>
          <w:rFonts w:hint="eastAsia" w:ascii="仿宋" w:hAnsi="仿宋" w:eastAsia="仿宋"/>
          <w:color w:val="auto"/>
          <w:sz w:val="24"/>
          <w:szCs w:val="28"/>
          <w:lang w:eastAsia="zh-CN"/>
        </w:rPr>
        <w:t>响应</w:t>
      </w:r>
      <w:r>
        <w:rPr>
          <w:rFonts w:hint="eastAsia" w:ascii="仿宋" w:hAnsi="仿宋" w:eastAsia="仿宋"/>
          <w:color w:val="auto"/>
          <w:sz w:val="24"/>
          <w:szCs w:val="28"/>
        </w:rPr>
        <w:t>；单位负责人为同一人或者存在控股、管理关系的不同单位，不得同时参加本项目的</w:t>
      </w:r>
      <w:r>
        <w:rPr>
          <w:rFonts w:hint="eastAsia" w:ascii="仿宋" w:hAnsi="仿宋" w:eastAsia="仿宋"/>
          <w:color w:val="auto"/>
          <w:sz w:val="24"/>
          <w:szCs w:val="28"/>
          <w:lang w:eastAsia="zh-CN"/>
        </w:rPr>
        <w:t>响应</w:t>
      </w:r>
      <w:r>
        <w:rPr>
          <w:rFonts w:hint="eastAsia" w:ascii="仿宋" w:hAnsi="仿宋" w:eastAsia="仿宋"/>
          <w:color w:val="auto"/>
          <w:sz w:val="24"/>
          <w:szCs w:val="28"/>
        </w:rPr>
        <w:t>。</w:t>
      </w:r>
    </w:p>
    <w:p>
      <w:pPr>
        <w:pStyle w:val="4"/>
        <w:rPr>
          <w:rFonts w:hint="eastAsia"/>
          <w:color w:val="auto"/>
          <w:sz w:val="24"/>
        </w:rPr>
      </w:pPr>
      <w:r>
        <w:rPr>
          <w:rFonts w:hint="eastAsia"/>
          <w:color w:val="auto"/>
        </w:rPr>
        <w:t>第二部分：采购项目要求</w:t>
      </w:r>
    </w:p>
    <w:p>
      <w:pPr>
        <w:pStyle w:val="5"/>
        <w:spacing w:before="120" w:after="120" w:line="360" w:lineRule="auto"/>
        <w:rPr>
          <w:rFonts w:hint="eastAsia"/>
          <w:color w:val="auto"/>
        </w:rPr>
      </w:pPr>
      <w:r>
        <w:rPr>
          <w:rFonts w:hint="eastAsia"/>
          <w:color w:val="auto"/>
        </w:rPr>
        <w:t>（二）</w:t>
      </w:r>
      <w:r>
        <w:rPr>
          <w:color w:val="auto"/>
        </w:rPr>
        <w:t xml:space="preserve"> </w:t>
      </w:r>
      <w:r>
        <w:rPr>
          <w:rFonts w:hint="eastAsia"/>
          <w:color w:val="auto"/>
        </w:rPr>
        <w:t>测评</w:t>
      </w:r>
      <w:r>
        <w:rPr>
          <w:color w:val="auto"/>
        </w:rPr>
        <w:t>范围</w:t>
      </w:r>
    </w:p>
    <w:tbl>
      <w:tblPr>
        <w:tblStyle w:val="13"/>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73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tcPr>
          <w:p>
            <w:pPr>
              <w:keepNext w:val="0"/>
              <w:keepLines w:val="0"/>
              <w:suppressLineNumbers w:val="0"/>
              <w:spacing w:before="0" w:beforeAutospacing="0" w:after="0" w:afterAutospacing="0" w:line="360" w:lineRule="auto"/>
              <w:ind w:left="0" w:right="0"/>
              <w:rPr>
                <w:rFonts w:hint="eastAsia" w:ascii="仿宋" w:hAnsi="仿宋" w:eastAsia="仿宋"/>
                <w:b/>
                <w:bCs/>
                <w:color w:val="auto"/>
                <w:sz w:val="24"/>
                <w:szCs w:val="28"/>
              </w:rPr>
            </w:pPr>
            <w:r>
              <w:rPr>
                <w:rFonts w:hint="eastAsia" w:ascii="仿宋" w:hAnsi="仿宋" w:eastAsia="仿宋"/>
                <w:b/>
                <w:bCs/>
                <w:color w:val="auto"/>
                <w:sz w:val="24"/>
                <w:szCs w:val="28"/>
              </w:rPr>
              <w:t>序号</w:t>
            </w:r>
          </w:p>
        </w:tc>
        <w:tc>
          <w:tcPr>
            <w:tcW w:w="7339" w:type="dxa"/>
          </w:tcPr>
          <w:p>
            <w:pPr>
              <w:keepNext w:val="0"/>
              <w:keepLines w:val="0"/>
              <w:suppressLineNumbers w:val="0"/>
              <w:spacing w:before="0" w:beforeAutospacing="0" w:after="0" w:afterAutospacing="0" w:line="360" w:lineRule="auto"/>
              <w:ind w:left="0" w:right="0"/>
              <w:jc w:val="center"/>
              <w:rPr>
                <w:rFonts w:hint="eastAsia" w:ascii="仿宋" w:hAnsi="仿宋" w:eastAsia="仿宋"/>
                <w:b/>
                <w:bCs/>
                <w:color w:val="auto"/>
                <w:sz w:val="24"/>
                <w:szCs w:val="28"/>
              </w:rPr>
            </w:pPr>
            <w:r>
              <w:rPr>
                <w:rFonts w:hint="eastAsia" w:ascii="仿宋" w:hAnsi="仿宋" w:eastAsia="仿宋"/>
                <w:b/>
                <w:bCs/>
                <w:color w:val="auto"/>
                <w:sz w:val="24"/>
                <w:szCs w:val="28"/>
              </w:rPr>
              <w:t>系统名称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pPr>
              <w:keepNext w:val="0"/>
              <w:keepLines w:val="0"/>
              <w:suppressLineNumbers w:val="0"/>
              <w:spacing w:before="0" w:beforeAutospacing="0" w:after="0" w:afterAutospacing="0" w:line="360" w:lineRule="auto"/>
              <w:ind w:left="0" w:right="0"/>
              <w:jc w:val="center"/>
              <w:rPr>
                <w:rFonts w:hint="eastAsia" w:ascii="仿宋" w:hAnsi="仿宋" w:eastAsia="仿宋"/>
                <w:color w:val="auto"/>
                <w:sz w:val="24"/>
                <w:szCs w:val="28"/>
              </w:rPr>
            </w:pPr>
            <w:r>
              <w:rPr>
                <w:rFonts w:hint="eastAsia" w:ascii="仿宋" w:hAnsi="仿宋" w:eastAsia="仿宋"/>
                <w:color w:val="auto"/>
                <w:sz w:val="24"/>
                <w:szCs w:val="28"/>
              </w:rPr>
              <w:t>1</w:t>
            </w:r>
          </w:p>
        </w:tc>
        <w:tc>
          <w:tcPr>
            <w:tcW w:w="7339" w:type="dxa"/>
            <w:vAlign w:val="center"/>
          </w:tcPr>
          <w:p>
            <w:pPr>
              <w:keepNext w:val="0"/>
              <w:keepLines w:val="0"/>
              <w:suppressLineNumbers w:val="0"/>
              <w:spacing w:before="0" w:beforeAutospacing="0" w:after="0" w:afterAutospacing="0" w:line="360" w:lineRule="auto"/>
              <w:ind w:left="0" w:right="0"/>
              <w:jc w:val="center"/>
              <w:rPr>
                <w:rFonts w:hint="eastAsia" w:ascii="仿宋" w:hAnsi="仿宋" w:eastAsia="仿宋"/>
                <w:color w:val="auto"/>
                <w:sz w:val="24"/>
                <w:szCs w:val="28"/>
              </w:rPr>
            </w:pPr>
            <w:r>
              <w:rPr>
                <w:rFonts w:hint="eastAsia" w:ascii="仿宋" w:hAnsi="仿宋" w:eastAsia="仿宋"/>
                <w:color w:val="auto"/>
                <w:sz w:val="24"/>
                <w:szCs w:val="28"/>
              </w:rPr>
              <w:t>基于国际展会服务的空间计算底座平台</w:t>
            </w:r>
          </w:p>
        </w:tc>
      </w:tr>
    </w:tbl>
    <w:p>
      <w:pPr>
        <w:pStyle w:val="5"/>
        <w:numPr>
          <w:ilvl w:val="0"/>
          <w:numId w:val="2"/>
        </w:numPr>
        <w:spacing w:before="120" w:after="120" w:line="415" w:lineRule="auto"/>
        <w:rPr>
          <w:rFonts w:hint="eastAsia"/>
          <w:color w:val="auto"/>
        </w:rPr>
      </w:pPr>
      <w:r>
        <w:rPr>
          <w:rFonts w:hint="eastAsia"/>
          <w:color w:val="auto"/>
        </w:rPr>
        <w:t>测评依据</w:t>
      </w:r>
    </w:p>
    <w:p>
      <w:pPr>
        <w:pStyle w:val="18"/>
        <w:numPr>
          <w:ilvl w:val="0"/>
          <w:numId w:val="1"/>
        </w:numPr>
        <w:ind w:firstLineChars="0"/>
        <w:rPr>
          <w:rFonts w:hint="eastAsia" w:ascii="仿宋" w:hAnsi="仿宋" w:eastAsia="仿宋" w:cs="仿宋"/>
          <w:color w:val="auto"/>
          <w:kern w:val="0"/>
          <w:sz w:val="24"/>
          <w:szCs w:val="28"/>
        </w:rPr>
      </w:pPr>
      <w:r>
        <w:rPr>
          <w:rFonts w:hint="eastAsia" w:ascii="仿宋" w:hAnsi="仿宋" w:eastAsia="仿宋" w:cs="仿宋"/>
          <w:color w:val="auto"/>
          <w:kern w:val="0"/>
          <w:sz w:val="24"/>
          <w:szCs w:val="28"/>
        </w:rPr>
        <w:t>《中华人民共和国密码法》；</w:t>
      </w:r>
    </w:p>
    <w:p>
      <w:pPr>
        <w:pStyle w:val="18"/>
        <w:numPr>
          <w:ilvl w:val="0"/>
          <w:numId w:val="1"/>
        </w:numPr>
        <w:ind w:firstLineChars="0"/>
        <w:rPr>
          <w:rFonts w:hint="eastAsia" w:ascii="仿宋" w:hAnsi="仿宋" w:eastAsia="仿宋" w:cs="仿宋"/>
          <w:color w:val="auto"/>
          <w:kern w:val="0"/>
          <w:sz w:val="24"/>
          <w:szCs w:val="28"/>
        </w:rPr>
      </w:pPr>
      <w:r>
        <w:rPr>
          <w:rFonts w:hint="eastAsia" w:ascii="仿宋" w:hAnsi="仿宋" w:eastAsia="仿宋" w:cs="仿宋"/>
          <w:color w:val="auto"/>
          <w:kern w:val="0"/>
          <w:sz w:val="24"/>
          <w:szCs w:val="28"/>
        </w:rPr>
        <w:t>《商用密码应用安全性评估管理办法》；</w:t>
      </w:r>
    </w:p>
    <w:p>
      <w:pPr>
        <w:pStyle w:val="18"/>
        <w:numPr>
          <w:ilvl w:val="0"/>
          <w:numId w:val="1"/>
        </w:numPr>
        <w:ind w:firstLineChars="0"/>
        <w:rPr>
          <w:rFonts w:hint="eastAsia" w:ascii="仿宋" w:hAnsi="仿宋" w:eastAsia="仿宋" w:cs="仿宋"/>
          <w:color w:val="auto"/>
          <w:kern w:val="0"/>
          <w:sz w:val="24"/>
          <w:szCs w:val="28"/>
        </w:rPr>
      </w:pPr>
      <w:r>
        <w:rPr>
          <w:rFonts w:hint="eastAsia" w:ascii="仿宋" w:hAnsi="仿宋" w:eastAsia="仿宋" w:cs="仿宋"/>
          <w:color w:val="auto"/>
          <w:kern w:val="0"/>
          <w:sz w:val="24"/>
          <w:szCs w:val="28"/>
        </w:rPr>
        <w:t>《商用密码应用安全性评估管理办法》；</w:t>
      </w:r>
    </w:p>
    <w:p>
      <w:pPr>
        <w:pStyle w:val="18"/>
        <w:numPr>
          <w:ilvl w:val="0"/>
          <w:numId w:val="1"/>
        </w:numPr>
        <w:ind w:firstLineChars="0"/>
        <w:rPr>
          <w:rFonts w:hint="eastAsia" w:ascii="仿宋" w:hAnsi="仿宋" w:eastAsia="仿宋" w:cs="仿宋"/>
          <w:color w:val="auto"/>
          <w:kern w:val="0"/>
          <w:sz w:val="24"/>
          <w:szCs w:val="28"/>
        </w:rPr>
      </w:pPr>
      <w:r>
        <w:rPr>
          <w:rFonts w:hint="eastAsia" w:ascii="仿宋" w:hAnsi="仿宋" w:eastAsia="仿宋" w:cs="仿宋"/>
          <w:color w:val="auto"/>
          <w:kern w:val="0"/>
          <w:sz w:val="24"/>
          <w:szCs w:val="28"/>
        </w:rPr>
        <w:t>《信息安全技术 信息系统密码应用基本要求》（GB/T 39786-2021）；</w:t>
      </w:r>
    </w:p>
    <w:p>
      <w:pPr>
        <w:pStyle w:val="18"/>
        <w:numPr>
          <w:ilvl w:val="0"/>
          <w:numId w:val="1"/>
        </w:numPr>
        <w:ind w:firstLineChars="0"/>
        <w:rPr>
          <w:rFonts w:hint="eastAsia" w:ascii="仿宋" w:hAnsi="仿宋" w:eastAsia="仿宋" w:cs="仿宋"/>
          <w:color w:val="auto"/>
          <w:kern w:val="0"/>
          <w:sz w:val="24"/>
          <w:szCs w:val="28"/>
        </w:rPr>
      </w:pPr>
      <w:r>
        <w:rPr>
          <w:rFonts w:hint="eastAsia" w:ascii="仿宋" w:hAnsi="仿宋" w:eastAsia="仿宋" w:cs="仿宋"/>
          <w:color w:val="auto"/>
          <w:kern w:val="0"/>
          <w:sz w:val="24"/>
          <w:szCs w:val="28"/>
        </w:rPr>
        <w:t>《信息安全技术 信息系统密码应用测评要求》（GB/T 43206-2023）；</w:t>
      </w:r>
    </w:p>
    <w:p>
      <w:pPr>
        <w:pStyle w:val="18"/>
        <w:numPr>
          <w:ilvl w:val="0"/>
          <w:numId w:val="1"/>
        </w:numPr>
        <w:ind w:firstLineChars="0"/>
        <w:rPr>
          <w:rFonts w:hint="eastAsia" w:ascii="仿宋" w:hAnsi="仿宋" w:eastAsia="仿宋" w:cs="仿宋"/>
          <w:color w:val="auto"/>
          <w:kern w:val="0"/>
          <w:sz w:val="24"/>
          <w:szCs w:val="28"/>
        </w:rPr>
      </w:pPr>
      <w:r>
        <w:rPr>
          <w:rFonts w:hint="eastAsia" w:ascii="仿宋" w:hAnsi="仿宋" w:eastAsia="仿宋" w:cs="仿宋"/>
          <w:color w:val="auto"/>
          <w:kern w:val="0"/>
          <w:sz w:val="24"/>
          <w:szCs w:val="28"/>
        </w:rPr>
        <w:t>《信息系统密码应用测评过程指南》（GM/T 0116-2021）；</w:t>
      </w:r>
    </w:p>
    <w:p>
      <w:pPr>
        <w:pStyle w:val="18"/>
        <w:numPr>
          <w:ilvl w:val="0"/>
          <w:numId w:val="1"/>
        </w:numPr>
        <w:ind w:firstLineChars="0"/>
        <w:rPr>
          <w:rFonts w:hint="eastAsia" w:ascii="仿宋" w:hAnsi="仿宋" w:eastAsia="仿宋" w:cs="仿宋"/>
          <w:color w:val="auto"/>
          <w:kern w:val="0"/>
          <w:sz w:val="24"/>
          <w:szCs w:val="28"/>
        </w:rPr>
      </w:pPr>
      <w:r>
        <w:rPr>
          <w:rFonts w:hint="eastAsia" w:ascii="仿宋" w:hAnsi="仿宋" w:eastAsia="仿宋" w:cs="仿宋"/>
          <w:color w:val="auto"/>
          <w:kern w:val="0"/>
          <w:sz w:val="24"/>
          <w:szCs w:val="28"/>
        </w:rPr>
        <w:t>《信息系统密码应用高风险判定指引》；</w:t>
      </w:r>
    </w:p>
    <w:p>
      <w:pPr>
        <w:pStyle w:val="18"/>
        <w:numPr>
          <w:ilvl w:val="0"/>
          <w:numId w:val="1"/>
        </w:numPr>
        <w:ind w:firstLineChars="0"/>
        <w:rPr>
          <w:rFonts w:hint="eastAsia" w:ascii="仿宋" w:hAnsi="仿宋" w:eastAsia="仿宋" w:cs="仿宋"/>
          <w:color w:val="auto"/>
          <w:kern w:val="0"/>
          <w:sz w:val="24"/>
          <w:szCs w:val="28"/>
        </w:rPr>
      </w:pPr>
      <w:r>
        <w:rPr>
          <w:rFonts w:hint="eastAsia" w:ascii="仿宋" w:hAnsi="仿宋" w:eastAsia="仿宋" w:cs="仿宋"/>
          <w:color w:val="auto"/>
          <w:kern w:val="0"/>
          <w:sz w:val="24"/>
          <w:szCs w:val="28"/>
        </w:rPr>
        <w:t>《商用密码应用安全性评估量化评估规则》。</w:t>
      </w:r>
    </w:p>
    <w:p>
      <w:pPr>
        <w:pStyle w:val="5"/>
        <w:spacing w:before="120" w:after="120" w:line="415" w:lineRule="auto"/>
        <w:rPr>
          <w:rFonts w:hint="eastAsia"/>
          <w:color w:val="auto"/>
        </w:rPr>
      </w:pPr>
      <w:r>
        <w:rPr>
          <w:rFonts w:hint="eastAsia"/>
          <w:color w:val="auto"/>
        </w:rPr>
        <w:t>（四）测评</w:t>
      </w:r>
      <w:r>
        <w:rPr>
          <w:color w:val="auto"/>
        </w:rPr>
        <w:t>内容</w:t>
      </w:r>
    </w:p>
    <w:p>
      <w:pPr>
        <w:spacing w:line="360" w:lineRule="auto"/>
        <w:ind w:firstLine="480" w:firstLineChars="200"/>
        <w:rPr>
          <w:rFonts w:hint="eastAsia"/>
          <w:color w:val="auto"/>
        </w:rPr>
      </w:pPr>
      <w:r>
        <w:rPr>
          <w:rFonts w:hint="eastAsia" w:ascii="仿宋" w:hAnsi="仿宋" w:eastAsia="仿宋"/>
          <w:color w:val="auto"/>
          <w:sz w:val="24"/>
          <w:szCs w:val="28"/>
        </w:rPr>
        <w:t>依据《信息安全技术 信息系统密码应用基本要求》（GB/T 39786-2021）标准，参照《商用密码应用安全性评估管理办法》、《信息安全技术 信息系统密码应用测评要求》（GB/T 43206-2023）、《信息系统密码应用测评过程指南》（GM/T 0116-2021）、《信息系统密码应用高风险判定指引》、《商用密码应用安全性评估量化评估规则》等技术要求，</w:t>
      </w:r>
      <w:r>
        <w:rPr>
          <w:rFonts w:ascii="仿宋" w:hAnsi="仿宋" w:eastAsia="仿宋"/>
          <w:color w:val="auto"/>
          <w:sz w:val="24"/>
          <w:szCs w:val="28"/>
        </w:rPr>
        <w:t>逐一对信息系统进行密码应用的合规性、正确性、有效性进行安全性评估</w:t>
      </w:r>
      <w:r>
        <w:rPr>
          <w:rFonts w:hint="eastAsia" w:ascii="仿宋" w:hAnsi="仿宋" w:eastAsia="仿宋"/>
          <w:color w:val="auto"/>
          <w:sz w:val="24"/>
          <w:szCs w:val="28"/>
        </w:rPr>
        <w:t>，</w:t>
      </w:r>
      <w:r>
        <w:rPr>
          <w:rFonts w:ascii="仿宋" w:hAnsi="仿宋" w:eastAsia="仿宋"/>
          <w:color w:val="auto"/>
          <w:sz w:val="24"/>
          <w:szCs w:val="28"/>
        </w:rPr>
        <w:t>通过商用密码应用安全性评估深入查找密码应用的薄弱环节和安全隐患，分析面临的风险，为提升信息系统安全奠定基础。</w:t>
      </w:r>
    </w:p>
    <w:p>
      <w:pPr>
        <w:spacing w:line="360" w:lineRule="auto"/>
        <w:ind w:firstLine="480" w:firstLineChars="200"/>
        <w:rPr>
          <w:rFonts w:hint="eastAsia" w:ascii="仿宋" w:hAnsi="仿宋" w:eastAsia="仿宋"/>
          <w:color w:val="auto"/>
          <w:sz w:val="24"/>
          <w:szCs w:val="28"/>
        </w:rPr>
      </w:pPr>
      <w:r>
        <w:rPr>
          <w:rFonts w:ascii="仿宋" w:hAnsi="仿宋" w:eastAsia="仿宋"/>
          <w:color w:val="auto"/>
          <w:sz w:val="24"/>
          <w:szCs w:val="28"/>
        </w:rPr>
        <w:t>测评的内容包括但不限于以下内容：</w:t>
      </w:r>
    </w:p>
    <w:p>
      <w:pPr>
        <w:spacing w:line="360" w:lineRule="auto"/>
        <w:rPr>
          <w:rFonts w:hint="eastAsia" w:ascii="仿宋" w:hAnsi="仿宋" w:eastAsia="仿宋"/>
          <w:color w:val="auto"/>
          <w:sz w:val="24"/>
          <w:szCs w:val="28"/>
        </w:rPr>
      </w:pPr>
      <w:r>
        <w:rPr>
          <w:rFonts w:ascii="仿宋" w:hAnsi="仿宋" w:eastAsia="仿宋"/>
          <w:color w:val="auto"/>
          <w:sz w:val="24"/>
          <w:szCs w:val="28"/>
        </w:rPr>
        <w:t>1</w:t>
      </w:r>
      <w:r>
        <w:rPr>
          <w:rFonts w:hint="eastAsia" w:ascii="仿宋" w:hAnsi="仿宋" w:eastAsia="仿宋"/>
          <w:color w:val="auto"/>
          <w:sz w:val="24"/>
          <w:szCs w:val="28"/>
        </w:rPr>
        <w:t>、</w:t>
      </w:r>
      <w:r>
        <w:rPr>
          <w:rFonts w:ascii="仿宋" w:hAnsi="仿宋" w:eastAsia="仿宋"/>
          <w:color w:val="auto"/>
          <w:sz w:val="24"/>
          <w:szCs w:val="28"/>
        </w:rPr>
        <w:t>安全技术测评：包括物理和环境安全、 网络和通信安全、 设备和计算安全、 应用和数据安</w:t>
      </w:r>
      <w:r>
        <w:rPr>
          <w:rFonts w:hint="eastAsia" w:ascii="仿宋" w:hAnsi="仿宋" w:eastAsia="仿宋"/>
          <w:color w:val="auto"/>
          <w:sz w:val="24"/>
          <w:szCs w:val="28"/>
        </w:rPr>
        <w:t>全等四个方面的安全测评。</w:t>
      </w:r>
    </w:p>
    <w:p>
      <w:pPr>
        <w:spacing w:line="360" w:lineRule="auto"/>
        <w:rPr>
          <w:rFonts w:hint="eastAsia" w:ascii="仿宋" w:hAnsi="仿宋" w:eastAsia="仿宋"/>
          <w:color w:val="auto"/>
          <w:sz w:val="24"/>
          <w:szCs w:val="28"/>
        </w:rPr>
      </w:pPr>
      <w:r>
        <w:rPr>
          <w:rFonts w:hint="eastAsia" w:ascii="仿宋" w:hAnsi="仿宋" w:eastAsia="仿宋"/>
          <w:color w:val="auto"/>
          <w:sz w:val="24"/>
          <w:szCs w:val="28"/>
        </w:rPr>
        <w:t>（1）物理和环境安全</w:t>
      </w:r>
    </w:p>
    <w:tbl>
      <w:tblPr>
        <w:tblStyle w:val="12"/>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2555"/>
        <w:gridCol w:w="577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5" w:hRule="atLeast"/>
        </w:trPr>
        <w:tc>
          <w:tcPr>
            <w:tcW w:w="1534"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firstLine="569"/>
              <w:rPr>
                <w:rFonts w:hint="eastAsia" w:ascii="仿宋" w:hAnsi="仿宋" w:eastAsia="仿宋"/>
                <w:b/>
                <w:bCs/>
                <w:color w:val="auto"/>
                <w:sz w:val="24"/>
                <w:szCs w:val="28"/>
              </w:rPr>
            </w:pPr>
            <w:r>
              <w:rPr>
                <w:rFonts w:hint="eastAsia" w:ascii="仿宋" w:hAnsi="仿宋" w:eastAsia="仿宋"/>
                <w:b/>
                <w:bCs/>
                <w:color w:val="auto"/>
                <w:sz w:val="24"/>
                <w:szCs w:val="28"/>
              </w:rPr>
              <w:t>测评类别</w:t>
            </w:r>
          </w:p>
        </w:tc>
        <w:tc>
          <w:tcPr>
            <w:tcW w:w="3466" w:type="pct"/>
            <w:vAlign w:val="center"/>
          </w:tcPr>
          <w:p>
            <w:pPr>
              <w:keepNext w:val="0"/>
              <w:keepLines w:val="0"/>
              <w:suppressLineNumbers w:val="0"/>
              <w:spacing w:before="0" w:beforeAutospacing="0" w:after="0" w:afterAutospacing="0"/>
              <w:ind w:left="0" w:right="0" w:firstLine="569"/>
              <w:rPr>
                <w:rFonts w:hint="eastAsia" w:ascii="仿宋" w:hAnsi="仿宋" w:eastAsia="仿宋"/>
                <w:b/>
                <w:bCs/>
                <w:color w:val="auto"/>
                <w:sz w:val="24"/>
                <w:szCs w:val="28"/>
              </w:rPr>
            </w:pPr>
            <w:r>
              <w:rPr>
                <w:rFonts w:hint="eastAsia" w:ascii="仿宋" w:hAnsi="仿宋" w:eastAsia="仿宋"/>
                <w:b/>
                <w:bCs/>
                <w:color w:val="auto"/>
                <w:sz w:val="24"/>
                <w:szCs w:val="28"/>
              </w:rPr>
              <w:t>测评单元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restar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default" w:ascii="仿宋" w:hAnsi="仿宋" w:eastAsia="仿宋"/>
                <w:color w:val="auto"/>
                <w:sz w:val="24"/>
                <w:szCs w:val="28"/>
              </w:rPr>
              <w:t>安全技术测评</w:t>
            </w:r>
            <w:r>
              <w:rPr>
                <w:rFonts w:hint="eastAsia" w:ascii="仿宋" w:hAnsi="仿宋" w:eastAsia="仿宋"/>
                <w:color w:val="auto"/>
                <w:sz w:val="24"/>
                <w:szCs w:val="28"/>
              </w:rPr>
              <w:t>-物理和环境安全</w:t>
            </w: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eastAsia" w:ascii="仿宋" w:hAnsi="仿宋" w:eastAsia="仿宋"/>
                <w:color w:val="auto"/>
                <w:sz w:val="24"/>
                <w:szCs w:val="28"/>
              </w:rPr>
              <w:t>身份鉴别</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eastAsia" w:ascii="仿宋" w:hAnsi="仿宋" w:eastAsia="仿宋"/>
                <w:color w:val="auto"/>
                <w:sz w:val="24"/>
                <w:szCs w:val="28"/>
              </w:rPr>
              <w:t>电子门禁记录数据完整性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eastAsia" w:ascii="仿宋" w:hAnsi="仿宋" w:eastAsia="仿宋"/>
                <w:color w:val="auto"/>
                <w:sz w:val="24"/>
                <w:szCs w:val="28"/>
              </w:rPr>
              <w:t>视频记录数据完整性</w:t>
            </w:r>
          </w:p>
        </w:tc>
      </w:tr>
    </w:tbl>
    <w:p>
      <w:pPr>
        <w:spacing w:line="360" w:lineRule="auto"/>
        <w:rPr>
          <w:rFonts w:hint="eastAsia" w:ascii="仿宋" w:hAnsi="仿宋" w:eastAsia="仿宋"/>
          <w:color w:val="auto"/>
          <w:sz w:val="24"/>
          <w:szCs w:val="28"/>
        </w:rPr>
      </w:pPr>
      <w:r>
        <w:rPr>
          <w:rFonts w:hint="eastAsia" w:ascii="仿宋" w:hAnsi="仿宋" w:eastAsia="仿宋"/>
          <w:color w:val="auto"/>
          <w:sz w:val="24"/>
          <w:szCs w:val="28"/>
        </w:rPr>
        <w:t>（2）网络和通信安全</w:t>
      </w:r>
    </w:p>
    <w:tbl>
      <w:tblPr>
        <w:tblStyle w:val="12"/>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2555"/>
        <w:gridCol w:w="577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5" w:hRule="atLeast"/>
        </w:trPr>
        <w:tc>
          <w:tcPr>
            <w:tcW w:w="1534"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firstLine="569"/>
              <w:rPr>
                <w:rFonts w:hint="eastAsia" w:ascii="仿宋" w:hAnsi="仿宋" w:eastAsia="仿宋"/>
                <w:b/>
                <w:bCs/>
                <w:color w:val="auto"/>
                <w:sz w:val="24"/>
                <w:szCs w:val="28"/>
              </w:rPr>
            </w:pPr>
            <w:r>
              <w:rPr>
                <w:rFonts w:hint="eastAsia" w:ascii="仿宋" w:hAnsi="仿宋" w:eastAsia="仿宋"/>
                <w:b/>
                <w:bCs/>
                <w:color w:val="auto"/>
                <w:sz w:val="24"/>
                <w:szCs w:val="28"/>
              </w:rPr>
              <w:t>测评类别</w:t>
            </w:r>
          </w:p>
        </w:tc>
        <w:tc>
          <w:tcPr>
            <w:tcW w:w="3466" w:type="pct"/>
            <w:vAlign w:val="center"/>
          </w:tcPr>
          <w:p>
            <w:pPr>
              <w:keepNext w:val="0"/>
              <w:keepLines w:val="0"/>
              <w:suppressLineNumbers w:val="0"/>
              <w:spacing w:before="0" w:beforeAutospacing="0" w:after="0" w:afterAutospacing="0"/>
              <w:ind w:left="0" w:right="0" w:firstLine="569"/>
              <w:rPr>
                <w:rFonts w:hint="eastAsia" w:ascii="仿宋" w:hAnsi="仿宋" w:eastAsia="仿宋"/>
                <w:b/>
                <w:bCs/>
                <w:color w:val="auto"/>
                <w:sz w:val="24"/>
                <w:szCs w:val="28"/>
              </w:rPr>
            </w:pPr>
            <w:r>
              <w:rPr>
                <w:rFonts w:hint="eastAsia" w:ascii="仿宋" w:hAnsi="仿宋" w:eastAsia="仿宋"/>
                <w:b/>
                <w:bCs/>
                <w:color w:val="auto"/>
                <w:sz w:val="24"/>
                <w:szCs w:val="28"/>
              </w:rPr>
              <w:t>测评单元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restar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default" w:ascii="仿宋" w:hAnsi="仿宋" w:eastAsia="仿宋"/>
                <w:color w:val="auto"/>
                <w:sz w:val="24"/>
                <w:szCs w:val="28"/>
              </w:rPr>
              <w:t>安全技术测评</w:t>
            </w:r>
            <w:r>
              <w:rPr>
                <w:rFonts w:hint="eastAsia" w:ascii="仿宋" w:hAnsi="仿宋" w:eastAsia="仿宋"/>
                <w:color w:val="auto"/>
                <w:sz w:val="24"/>
                <w:szCs w:val="28"/>
              </w:rPr>
              <w:t>-网络和通信安全</w:t>
            </w: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eastAsia" w:ascii="仿宋" w:hAnsi="仿宋" w:eastAsia="仿宋"/>
                <w:color w:val="auto"/>
                <w:sz w:val="24"/>
                <w:szCs w:val="28"/>
              </w:rPr>
              <w:t>身份鉴别</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297" w:hRule="atLeast"/>
        </w:trPr>
        <w:tc>
          <w:tcPr>
            <w:tcW w:w="1534" w:type="pct"/>
            <w:vMerge w:val="continue"/>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eastAsia" w:ascii="仿宋" w:hAnsi="仿宋" w:eastAsia="仿宋"/>
                <w:color w:val="auto"/>
                <w:sz w:val="24"/>
                <w:szCs w:val="28"/>
              </w:rPr>
              <w:t>通信数据完整性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eastAsia" w:ascii="仿宋" w:hAnsi="仿宋" w:eastAsia="仿宋"/>
                <w:color w:val="auto"/>
                <w:sz w:val="24"/>
                <w:szCs w:val="28"/>
              </w:rPr>
              <w:t>通信过程中重要数据的机密性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eastAsia" w:ascii="仿宋" w:hAnsi="仿宋" w:eastAsia="仿宋"/>
                <w:color w:val="auto"/>
                <w:sz w:val="24"/>
                <w:szCs w:val="28"/>
              </w:rPr>
              <w:t>网络边界访问控制信息完整性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eastAsia" w:ascii="仿宋" w:hAnsi="仿宋" w:eastAsia="仿宋"/>
                <w:color w:val="auto"/>
                <w:sz w:val="24"/>
                <w:szCs w:val="28"/>
              </w:rPr>
              <w:t>安全接入认证</w:t>
            </w:r>
          </w:p>
        </w:tc>
      </w:tr>
    </w:tbl>
    <w:p>
      <w:pPr>
        <w:spacing w:line="360" w:lineRule="auto"/>
        <w:rPr>
          <w:rFonts w:hint="eastAsia" w:ascii="仿宋" w:hAnsi="仿宋" w:eastAsia="仿宋"/>
          <w:color w:val="auto"/>
          <w:sz w:val="24"/>
          <w:szCs w:val="28"/>
        </w:rPr>
      </w:pPr>
      <w:r>
        <w:rPr>
          <w:rFonts w:hint="eastAsia" w:ascii="仿宋" w:hAnsi="仿宋" w:eastAsia="仿宋"/>
          <w:color w:val="auto"/>
          <w:sz w:val="24"/>
          <w:szCs w:val="28"/>
        </w:rPr>
        <w:t>（3）设备和计算安全</w:t>
      </w:r>
    </w:p>
    <w:tbl>
      <w:tblPr>
        <w:tblStyle w:val="12"/>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2555"/>
        <w:gridCol w:w="577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5" w:hRule="atLeast"/>
        </w:trPr>
        <w:tc>
          <w:tcPr>
            <w:tcW w:w="1534"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firstLine="569"/>
              <w:rPr>
                <w:rFonts w:hint="eastAsia" w:ascii="仿宋" w:hAnsi="仿宋" w:eastAsia="仿宋"/>
                <w:b/>
                <w:bCs/>
                <w:color w:val="auto"/>
                <w:sz w:val="24"/>
                <w:szCs w:val="28"/>
              </w:rPr>
            </w:pPr>
            <w:r>
              <w:rPr>
                <w:rFonts w:hint="eastAsia" w:ascii="仿宋" w:hAnsi="仿宋" w:eastAsia="仿宋"/>
                <w:b/>
                <w:bCs/>
                <w:color w:val="auto"/>
                <w:sz w:val="24"/>
                <w:szCs w:val="28"/>
              </w:rPr>
              <w:t>测评类别</w:t>
            </w:r>
          </w:p>
        </w:tc>
        <w:tc>
          <w:tcPr>
            <w:tcW w:w="3466" w:type="pct"/>
            <w:vAlign w:val="center"/>
          </w:tcPr>
          <w:p>
            <w:pPr>
              <w:keepNext w:val="0"/>
              <w:keepLines w:val="0"/>
              <w:suppressLineNumbers w:val="0"/>
              <w:spacing w:before="0" w:beforeAutospacing="0" w:after="0" w:afterAutospacing="0"/>
              <w:ind w:left="0" w:right="0" w:firstLine="569"/>
              <w:rPr>
                <w:rFonts w:hint="eastAsia" w:ascii="仿宋" w:hAnsi="仿宋" w:eastAsia="仿宋"/>
                <w:b/>
                <w:bCs/>
                <w:color w:val="auto"/>
                <w:sz w:val="24"/>
                <w:szCs w:val="28"/>
              </w:rPr>
            </w:pPr>
            <w:r>
              <w:rPr>
                <w:rFonts w:hint="eastAsia" w:ascii="仿宋" w:hAnsi="仿宋" w:eastAsia="仿宋"/>
                <w:b/>
                <w:bCs/>
                <w:color w:val="auto"/>
                <w:sz w:val="24"/>
                <w:szCs w:val="28"/>
              </w:rPr>
              <w:t>测评单元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restar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default" w:ascii="仿宋" w:hAnsi="仿宋" w:eastAsia="仿宋"/>
                <w:color w:val="auto"/>
                <w:sz w:val="24"/>
                <w:szCs w:val="28"/>
              </w:rPr>
              <w:t>安全技术测评</w:t>
            </w:r>
            <w:r>
              <w:rPr>
                <w:rFonts w:hint="eastAsia" w:ascii="仿宋" w:hAnsi="仿宋" w:eastAsia="仿宋"/>
                <w:color w:val="auto"/>
                <w:sz w:val="24"/>
                <w:szCs w:val="28"/>
              </w:rPr>
              <w:t>-设备和计算安全</w:t>
            </w: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eastAsia" w:ascii="仿宋" w:hAnsi="仿宋" w:eastAsia="仿宋"/>
                <w:color w:val="auto"/>
                <w:sz w:val="24"/>
                <w:szCs w:val="28"/>
              </w:rPr>
              <w:t>身份鉴别</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eastAsia" w:ascii="仿宋" w:hAnsi="仿宋" w:eastAsia="仿宋"/>
                <w:color w:val="auto"/>
                <w:sz w:val="24"/>
                <w:szCs w:val="28"/>
              </w:rPr>
              <w:t>远程管理通道安全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eastAsia" w:ascii="仿宋" w:hAnsi="仿宋" w:eastAsia="仿宋"/>
                <w:color w:val="auto"/>
                <w:sz w:val="24"/>
                <w:szCs w:val="28"/>
              </w:rPr>
              <w:t>系统资源访问控制信息完整性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eastAsia" w:ascii="仿宋" w:hAnsi="仿宋" w:eastAsia="仿宋"/>
                <w:color w:val="auto"/>
                <w:sz w:val="24"/>
                <w:szCs w:val="28"/>
              </w:rPr>
              <w:t>重要信息资源安全标记完整性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eastAsia" w:ascii="仿宋" w:hAnsi="仿宋" w:eastAsia="仿宋"/>
                <w:color w:val="auto"/>
                <w:sz w:val="24"/>
                <w:szCs w:val="28"/>
              </w:rPr>
              <w:t>日志记录完整性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eastAsia" w:ascii="仿宋" w:hAnsi="仿宋" w:eastAsia="仿宋"/>
                <w:color w:val="auto"/>
                <w:sz w:val="24"/>
                <w:szCs w:val="28"/>
              </w:rPr>
              <w:t>重要可执行程序完整性、重要可执行程序来源真实性</w:t>
            </w:r>
          </w:p>
        </w:tc>
      </w:tr>
    </w:tbl>
    <w:p>
      <w:pPr>
        <w:spacing w:line="360" w:lineRule="auto"/>
        <w:rPr>
          <w:rFonts w:hint="eastAsia" w:ascii="仿宋" w:hAnsi="仿宋" w:eastAsia="仿宋"/>
          <w:color w:val="auto"/>
          <w:sz w:val="24"/>
          <w:szCs w:val="28"/>
        </w:rPr>
      </w:pPr>
      <w:r>
        <w:rPr>
          <w:rFonts w:hint="eastAsia" w:ascii="仿宋" w:hAnsi="仿宋" w:eastAsia="仿宋"/>
          <w:color w:val="auto"/>
          <w:sz w:val="24"/>
          <w:szCs w:val="28"/>
        </w:rPr>
        <w:t>（4）应用和数据安全</w:t>
      </w:r>
    </w:p>
    <w:tbl>
      <w:tblPr>
        <w:tblStyle w:val="12"/>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2555"/>
        <w:gridCol w:w="577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5" w:hRule="atLeast"/>
        </w:trPr>
        <w:tc>
          <w:tcPr>
            <w:tcW w:w="1534"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firstLine="569"/>
              <w:rPr>
                <w:rFonts w:hint="eastAsia" w:ascii="仿宋" w:hAnsi="仿宋" w:eastAsia="仿宋"/>
                <w:b/>
                <w:bCs/>
                <w:color w:val="auto"/>
                <w:sz w:val="24"/>
                <w:szCs w:val="28"/>
              </w:rPr>
            </w:pPr>
            <w:r>
              <w:rPr>
                <w:rFonts w:hint="eastAsia" w:ascii="仿宋" w:hAnsi="仿宋" w:eastAsia="仿宋"/>
                <w:b/>
                <w:bCs/>
                <w:color w:val="auto"/>
                <w:sz w:val="24"/>
                <w:szCs w:val="28"/>
              </w:rPr>
              <w:t>测评类别</w:t>
            </w:r>
          </w:p>
        </w:tc>
        <w:tc>
          <w:tcPr>
            <w:tcW w:w="3466" w:type="pct"/>
            <w:vAlign w:val="center"/>
          </w:tcPr>
          <w:p>
            <w:pPr>
              <w:keepNext w:val="0"/>
              <w:keepLines w:val="0"/>
              <w:suppressLineNumbers w:val="0"/>
              <w:spacing w:before="0" w:beforeAutospacing="0" w:after="0" w:afterAutospacing="0"/>
              <w:ind w:left="0" w:right="0" w:firstLine="569"/>
              <w:rPr>
                <w:rFonts w:hint="eastAsia" w:ascii="仿宋" w:hAnsi="仿宋" w:eastAsia="仿宋"/>
                <w:b/>
                <w:bCs/>
                <w:color w:val="auto"/>
                <w:sz w:val="24"/>
                <w:szCs w:val="28"/>
              </w:rPr>
            </w:pPr>
            <w:r>
              <w:rPr>
                <w:rFonts w:hint="eastAsia" w:ascii="仿宋" w:hAnsi="仿宋" w:eastAsia="仿宋"/>
                <w:b/>
                <w:bCs/>
                <w:color w:val="auto"/>
                <w:sz w:val="24"/>
                <w:szCs w:val="28"/>
              </w:rPr>
              <w:t>测评单元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restar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default" w:ascii="仿宋" w:hAnsi="仿宋" w:eastAsia="仿宋"/>
                <w:color w:val="auto"/>
                <w:sz w:val="24"/>
                <w:szCs w:val="28"/>
              </w:rPr>
              <w:t>安全技术测评</w:t>
            </w:r>
            <w:r>
              <w:rPr>
                <w:rFonts w:hint="eastAsia" w:ascii="仿宋" w:hAnsi="仿宋" w:eastAsia="仿宋"/>
                <w:color w:val="auto"/>
                <w:sz w:val="24"/>
                <w:szCs w:val="28"/>
              </w:rPr>
              <w:t>-应用和数据安全</w:t>
            </w: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eastAsia" w:ascii="仿宋" w:hAnsi="仿宋" w:eastAsia="仿宋"/>
                <w:color w:val="auto"/>
                <w:sz w:val="24"/>
                <w:szCs w:val="28"/>
              </w:rPr>
              <w:t>身份鉴别</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eastAsia" w:ascii="仿宋" w:hAnsi="仿宋" w:eastAsia="仿宋"/>
                <w:color w:val="auto"/>
                <w:sz w:val="24"/>
                <w:szCs w:val="28"/>
              </w:rPr>
              <w:t>访问控制信息完整性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eastAsia" w:ascii="仿宋" w:hAnsi="仿宋" w:eastAsia="仿宋"/>
                <w:color w:val="auto"/>
                <w:sz w:val="24"/>
                <w:szCs w:val="28"/>
              </w:rPr>
              <w:t>重要信息资源安全标记完整性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eastAsia" w:ascii="仿宋" w:hAnsi="仿宋" w:eastAsia="仿宋"/>
                <w:color w:val="auto"/>
                <w:sz w:val="24"/>
                <w:szCs w:val="28"/>
              </w:rPr>
              <w:t>重要数据存储机密性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eastAsia" w:ascii="仿宋" w:hAnsi="仿宋" w:eastAsia="仿宋"/>
                <w:color w:val="auto"/>
                <w:sz w:val="24"/>
                <w:szCs w:val="28"/>
              </w:rPr>
              <w:t>重要数据传输机密性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eastAsia" w:ascii="仿宋" w:hAnsi="仿宋" w:eastAsia="仿宋"/>
                <w:color w:val="auto"/>
                <w:sz w:val="24"/>
                <w:szCs w:val="28"/>
              </w:rPr>
              <w:t>重要数据传输完整性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eastAsia" w:ascii="仿宋" w:hAnsi="仿宋" w:eastAsia="仿宋"/>
                <w:color w:val="auto"/>
                <w:sz w:val="24"/>
                <w:szCs w:val="28"/>
              </w:rPr>
              <w:t>重要数据存储完整性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eastAsia" w:ascii="仿宋" w:hAnsi="仿宋" w:eastAsia="仿宋"/>
                <w:color w:val="auto"/>
                <w:sz w:val="24"/>
                <w:szCs w:val="28"/>
              </w:rPr>
              <w:t>不可否认性</w:t>
            </w:r>
          </w:p>
        </w:tc>
      </w:tr>
    </w:tbl>
    <w:p>
      <w:pPr>
        <w:spacing w:line="360" w:lineRule="auto"/>
        <w:rPr>
          <w:rFonts w:hint="eastAsia" w:ascii="仿宋" w:hAnsi="仿宋" w:eastAsia="仿宋"/>
          <w:color w:val="auto"/>
          <w:sz w:val="24"/>
          <w:szCs w:val="28"/>
        </w:rPr>
      </w:pPr>
      <w:r>
        <w:rPr>
          <w:rFonts w:ascii="仿宋" w:hAnsi="仿宋" w:eastAsia="仿宋"/>
          <w:color w:val="auto"/>
          <w:sz w:val="24"/>
          <w:szCs w:val="28"/>
        </w:rPr>
        <w:t>2</w:t>
      </w:r>
      <w:r>
        <w:rPr>
          <w:rFonts w:hint="eastAsia" w:ascii="仿宋" w:hAnsi="仿宋" w:eastAsia="仿宋"/>
          <w:color w:val="auto"/>
          <w:sz w:val="24"/>
          <w:szCs w:val="28"/>
        </w:rPr>
        <w:t>、</w:t>
      </w:r>
      <w:r>
        <w:rPr>
          <w:rFonts w:ascii="仿宋" w:hAnsi="仿宋" w:eastAsia="仿宋"/>
          <w:color w:val="auto"/>
          <w:sz w:val="24"/>
          <w:szCs w:val="28"/>
        </w:rPr>
        <w:t>安全管理测评：包括安全管理（分为制度、人员、建设和应急四个子模块）</w:t>
      </w:r>
      <w:r>
        <w:rPr>
          <w:rFonts w:hint="eastAsia" w:ascii="仿宋" w:hAnsi="仿宋" w:eastAsia="仿宋"/>
          <w:color w:val="auto"/>
          <w:sz w:val="24"/>
          <w:szCs w:val="28"/>
        </w:rPr>
        <w:t>的安全测评。</w:t>
      </w:r>
    </w:p>
    <w:p>
      <w:pPr>
        <w:spacing w:line="360" w:lineRule="auto"/>
        <w:rPr>
          <w:rFonts w:hint="eastAsia" w:ascii="仿宋" w:hAnsi="仿宋" w:eastAsia="仿宋"/>
          <w:color w:val="auto"/>
          <w:sz w:val="24"/>
          <w:szCs w:val="28"/>
        </w:rPr>
      </w:pPr>
      <w:r>
        <w:rPr>
          <w:rFonts w:hint="eastAsia" w:ascii="仿宋" w:hAnsi="仿宋" w:eastAsia="仿宋"/>
          <w:color w:val="auto"/>
          <w:sz w:val="24"/>
          <w:szCs w:val="28"/>
        </w:rPr>
        <w:t>（1）</w:t>
      </w:r>
      <w:r>
        <w:rPr>
          <w:rFonts w:ascii="仿宋" w:hAnsi="仿宋" w:eastAsia="仿宋"/>
          <w:color w:val="auto"/>
          <w:sz w:val="24"/>
          <w:szCs w:val="28"/>
        </w:rPr>
        <w:t>管理制度</w:t>
      </w:r>
    </w:p>
    <w:tbl>
      <w:tblPr>
        <w:tblStyle w:val="12"/>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2555"/>
        <w:gridCol w:w="577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5" w:hRule="atLeast"/>
        </w:trPr>
        <w:tc>
          <w:tcPr>
            <w:tcW w:w="1534"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firstLine="569"/>
              <w:rPr>
                <w:rFonts w:hint="eastAsia" w:ascii="仿宋" w:hAnsi="仿宋" w:eastAsia="仿宋"/>
                <w:b/>
                <w:bCs/>
                <w:color w:val="auto"/>
                <w:sz w:val="24"/>
                <w:szCs w:val="28"/>
              </w:rPr>
            </w:pPr>
            <w:r>
              <w:rPr>
                <w:rFonts w:hint="eastAsia" w:ascii="仿宋" w:hAnsi="仿宋" w:eastAsia="仿宋"/>
                <w:b/>
                <w:bCs/>
                <w:color w:val="auto"/>
                <w:sz w:val="24"/>
                <w:szCs w:val="28"/>
              </w:rPr>
              <w:t>测评类别</w:t>
            </w:r>
          </w:p>
        </w:tc>
        <w:tc>
          <w:tcPr>
            <w:tcW w:w="3466" w:type="pct"/>
            <w:vAlign w:val="center"/>
          </w:tcPr>
          <w:p>
            <w:pPr>
              <w:keepNext w:val="0"/>
              <w:keepLines w:val="0"/>
              <w:suppressLineNumbers w:val="0"/>
              <w:spacing w:before="0" w:beforeAutospacing="0" w:after="0" w:afterAutospacing="0"/>
              <w:ind w:left="0" w:right="0" w:firstLine="569"/>
              <w:rPr>
                <w:rFonts w:hint="eastAsia" w:ascii="仿宋" w:hAnsi="仿宋" w:eastAsia="仿宋"/>
                <w:b/>
                <w:bCs/>
                <w:color w:val="auto"/>
                <w:sz w:val="24"/>
                <w:szCs w:val="28"/>
              </w:rPr>
            </w:pPr>
            <w:r>
              <w:rPr>
                <w:rFonts w:hint="eastAsia" w:ascii="仿宋" w:hAnsi="仿宋" w:eastAsia="仿宋"/>
                <w:b/>
                <w:bCs/>
                <w:color w:val="auto"/>
                <w:sz w:val="24"/>
                <w:szCs w:val="28"/>
              </w:rPr>
              <w:t>测评单元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restar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default" w:ascii="仿宋" w:hAnsi="仿宋" w:eastAsia="仿宋"/>
                <w:color w:val="auto"/>
                <w:sz w:val="24"/>
                <w:szCs w:val="28"/>
              </w:rPr>
              <w:t>安全管理测评</w:t>
            </w:r>
            <w:r>
              <w:rPr>
                <w:rFonts w:hint="eastAsia" w:ascii="仿宋" w:hAnsi="仿宋" w:eastAsia="仿宋"/>
                <w:color w:val="auto"/>
                <w:sz w:val="24"/>
                <w:szCs w:val="28"/>
              </w:rPr>
              <w:t>-</w:t>
            </w:r>
            <w:r>
              <w:rPr>
                <w:rFonts w:hint="default" w:ascii="仿宋" w:hAnsi="仿宋" w:eastAsia="仿宋"/>
                <w:color w:val="auto"/>
                <w:sz w:val="24"/>
                <w:szCs w:val="28"/>
              </w:rPr>
              <w:t>管理制度</w:t>
            </w: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default" w:ascii="仿宋" w:hAnsi="仿宋" w:eastAsia="仿宋"/>
                <w:color w:val="auto"/>
                <w:sz w:val="24"/>
                <w:szCs w:val="28"/>
              </w:rPr>
              <w:t>具备密码应用安全管理制度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default" w:ascii="仿宋" w:hAnsi="仿宋" w:eastAsia="仿宋"/>
                <w:color w:val="auto"/>
                <w:sz w:val="24"/>
                <w:szCs w:val="28"/>
              </w:rPr>
              <w:t>密钥管理规则</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default" w:ascii="仿宋" w:hAnsi="仿宋" w:eastAsia="仿宋"/>
                <w:color w:val="auto"/>
                <w:sz w:val="24"/>
                <w:szCs w:val="28"/>
              </w:rPr>
              <w:t>建立操作规程</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default" w:ascii="仿宋" w:hAnsi="仿宋" w:eastAsia="仿宋"/>
                <w:color w:val="auto"/>
                <w:sz w:val="24"/>
                <w:szCs w:val="28"/>
              </w:rPr>
              <w:t>定期修订安全管理制度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default" w:ascii="仿宋" w:hAnsi="仿宋" w:eastAsia="仿宋"/>
                <w:color w:val="auto"/>
                <w:sz w:val="24"/>
                <w:szCs w:val="28"/>
              </w:rPr>
              <w:t>明确管理 制度发布流程</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default" w:ascii="仿宋" w:hAnsi="仿宋" w:eastAsia="仿宋"/>
                <w:color w:val="auto"/>
                <w:sz w:val="24"/>
                <w:szCs w:val="28"/>
              </w:rPr>
              <w:t>制度执行过程记录留存</w:t>
            </w:r>
          </w:p>
        </w:tc>
      </w:tr>
    </w:tbl>
    <w:p>
      <w:pPr>
        <w:rPr>
          <w:rFonts w:hint="eastAsia" w:ascii="仿宋" w:hAnsi="仿宋" w:eastAsia="仿宋"/>
          <w:color w:val="auto"/>
          <w:sz w:val="24"/>
          <w:szCs w:val="28"/>
        </w:rPr>
      </w:pPr>
    </w:p>
    <w:p>
      <w:pPr>
        <w:spacing w:line="360" w:lineRule="auto"/>
        <w:rPr>
          <w:rFonts w:hint="eastAsia" w:ascii="仿宋" w:hAnsi="仿宋" w:eastAsia="仿宋"/>
          <w:color w:val="auto"/>
          <w:sz w:val="24"/>
          <w:szCs w:val="28"/>
        </w:rPr>
      </w:pPr>
      <w:r>
        <w:rPr>
          <w:rFonts w:hint="eastAsia" w:ascii="仿宋" w:hAnsi="仿宋" w:eastAsia="仿宋"/>
          <w:color w:val="auto"/>
          <w:sz w:val="24"/>
          <w:szCs w:val="28"/>
        </w:rPr>
        <w:t>（</w:t>
      </w:r>
      <w:r>
        <w:rPr>
          <w:rFonts w:ascii="仿宋" w:hAnsi="仿宋" w:eastAsia="仿宋"/>
          <w:color w:val="auto"/>
          <w:sz w:val="24"/>
          <w:szCs w:val="28"/>
        </w:rPr>
        <w:t>2</w:t>
      </w:r>
      <w:r>
        <w:rPr>
          <w:rFonts w:hint="eastAsia" w:ascii="仿宋" w:hAnsi="仿宋" w:eastAsia="仿宋"/>
          <w:color w:val="auto"/>
          <w:sz w:val="24"/>
          <w:szCs w:val="28"/>
        </w:rPr>
        <w:t>）</w:t>
      </w:r>
      <w:r>
        <w:rPr>
          <w:rFonts w:ascii="仿宋" w:hAnsi="仿宋" w:eastAsia="仿宋"/>
          <w:color w:val="auto"/>
          <w:sz w:val="24"/>
          <w:szCs w:val="28"/>
        </w:rPr>
        <w:t>人员管理</w:t>
      </w:r>
    </w:p>
    <w:tbl>
      <w:tblPr>
        <w:tblStyle w:val="12"/>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2555"/>
        <w:gridCol w:w="577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5" w:hRule="atLeast"/>
        </w:trPr>
        <w:tc>
          <w:tcPr>
            <w:tcW w:w="1534"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firstLine="569"/>
              <w:rPr>
                <w:rFonts w:hint="eastAsia" w:ascii="仿宋" w:hAnsi="仿宋" w:eastAsia="仿宋"/>
                <w:b/>
                <w:bCs/>
                <w:color w:val="auto"/>
                <w:sz w:val="24"/>
                <w:szCs w:val="28"/>
              </w:rPr>
            </w:pPr>
            <w:r>
              <w:rPr>
                <w:rFonts w:hint="eastAsia" w:ascii="仿宋" w:hAnsi="仿宋" w:eastAsia="仿宋"/>
                <w:b/>
                <w:bCs/>
                <w:color w:val="auto"/>
                <w:sz w:val="24"/>
                <w:szCs w:val="28"/>
              </w:rPr>
              <w:t>测评类别</w:t>
            </w:r>
          </w:p>
        </w:tc>
        <w:tc>
          <w:tcPr>
            <w:tcW w:w="3466" w:type="pct"/>
            <w:vAlign w:val="center"/>
          </w:tcPr>
          <w:p>
            <w:pPr>
              <w:keepNext w:val="0"/>
              <w:keepLines w:val="0"/>
              <w:suppressLineNumbers w:val="0"/>
              <w:spacing w:before="0" w:beforeAutospacing="0" w:after="0" w:afterAutospacing="0"/>
              <w:ind w:left="0" w:right="0" w:firstLine="569"/>
              <w:rPr>
                <w:rFonts w:hint="eastAsia" w:ascii="仿宋" w:hAnsi="仿宋" w:eastAsia="仿宋"/>
                <w:b/>
                <w:bCs/>
                <w:color w:val="auto"/>
                <w:sz w:val="24"/>
                <w:szCs w:val="28"/>
              </w:rPr>
            </w:pPr>
            <w:r>
              <w:rPr>
                <w:rFonts w:hint="eastAsia" w:ascii="仿宋" w:hAnsi="仿宋" w:eastAsia="仿宋"/>
                <w:b/>
                <w:bCs/>
                <w:color w:val="auto"/>
                <w:sz w:val="24"/>
                <w:szCs w:val="28"/>
              </w:rPr>
              <w:t>测评单元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restar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default" w:ascii="仿宋" w:hAnsi="仿宋" w:eastAsia="仿宋"/>
                <w:color w:val="auto"/>
                <w:sz w:val="24"/>
                <w:szCs w:val="28"/>
              </w:rPr>
              <w:t>安全管理测评</w:t>
            </w:r>
            <w:r>
              <w:rPr>
                <w:rFonts w:hint="eastAsia" w:ascii="仿宋" w:hAnsi="仿宋" w:eastAsia="仿宋"/>
                <w:color w:val="auto"/>
                <w:sz w:val="24"/>
                <w:szCs w:val="28"/>
              </w:rPr>
              <w:t>-</w:t>
            </w:r>
            <w:r>
              <w:rPr>
                <w:rFonts w:hint="default" w:ascii="仿宋" w:hAnsi="仿宋" w:eastAsia="仿宋"/>
                <w:color w:val="auto"/>
                <w:sz w:val="24"/>
                <w:szCs w:val="28"/>
              </w:rPr>
              <w:t>人员管理</w:t>
            </w:r>
            <w:r>
              <w:rPr>
                <w:rFonts w:hint="eastAsia" w:ascii="仿宋" w:hAnsi="仿宋" w:eastAsia="仿宋"/>
                <w:color w:val="auto"/>
                <w:sz w:val="24"/>
                <w:szCs w:val="28"/>
              </w:rPr>
              <w:t>制度</w:t>
            </w: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default" w:ascii="仿宋" w:hAnsi="仿宋" w:eastAsia="仿宋"/>
                <w:color w:val="auto"/>
                <w:sz w:val="24"/>
                <w:szCs w:val="28"/>
              </w:rPr>
              <w:t>了解并遵守密码相关法律法规和密码管理制度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default" w:ascii="仿宋" w:hAnsi="仿宋" w:eastAsia="仿宋"/>
                <w:color w:val="auto"/>
                <w:sz w:val="24"/>
                <w:szCs w:val="28"/>
              </w:rPr>
              <w:t>建立密码应用岗位责任制度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297" w:hRule="atLeast"/>
        </w:trPr>
        <w:tc>
          <w:tcPr>
            <w:tcW w:w="1534" w:type="pct"/>
            <w:vMerge w:val="continue"/>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default" w:ascii="仿宋" w:hAnsi="仿宋" w:eastAsia="仿宋"/>
                <w:color w:val="auto"/>
                <w:sz w:val="24"/>
                <w:szCs w:val="28"/>
              </w:rPr>
              <w:t>建立上岗人员培训制度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default" w:ascii="仿宋" w:hAnsi="仿宋" w:eastAsia="仿宋"/>
                <w:color w:val="auto"/>
                <w:sz w:val="24"/>
                <w:szCs w:val="28"/>
              </w:rPr>
              <w:t>定期进行安全岗位人员考核</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297" w:hRule="atLeast"/>
        </w:trPr>
        <w:tc>
          <w:tcPr>
            <w:tcW w:w="1534" w:type="pct"/>
            <w:vMerge w:val="continue"/>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default" w:ascii="仿宋" w:hAnsi="仿宋" w:eastAsia="仿宋"/>
                <w:color w:val="auto"/>
                <w:sz w:val="24"/>
                <w:szCs w:val="28"/>
              </w:rPr>
              <w:t>建立关键岗位人员保密制度和调离制度</w:t>
            </w:r>
          </w:p>
        </w:tc>
      </w:tr>
    </w:tbl>
    <w:p>
      <w:pPr>
        <w:rPr>
          <w:rFonts w:hint="eastAsia" w:ascii="仿宋" w:hAnsi="仿宋" w:eastAsia="仿宋"/>
          <w:color w:val="auto"/>
          <w:sz w:val="24"/>
          <w:szCs w:val="28"/>
        </w:rPr>
      </w:pPr>
    </w:p>
    <w:p>
      <w:pPr>
        <w:spacing w:line="360" w:lineRule="auto"/>
        <w:rPr>
          <w:rFonts w:hint="eastAsia" w:ascii="仿宋" w:hAnsi="仿宋" w:eastAsia="仿宋"/>
          <w:color w:val="auto"/>
          <w:sz w:val="24"/>
          <w:szCs w:val="28"/>
        </w:rPr>
      </w:pPr>
      <w:r>
        <w:rPr>
          <w:rFonts w:hint="eastAsia" w:ascii="仿宋" w:hAnsi="仿宋" w:eastAsia="仿宋"/>
          <w:color w:val="auto"/>
          <w:sz w:val="24"/>
          <w:szCs w:val="28"/>
        </w:rPr>
        <w:t>（</w:t>
      </w:r>
      <w:r>
        <w:rPr>
          <w:rFonts w:ascii="仿宋" w:hAnsi="仿宋" w:eastAsia="仿宋"/>
          <w:color w:val="auto"/>
          <w:sz w:val="24"/>
          <w:szCs w:val="28"/>
        </w:rPr>
        <w:t>3</w:t>
      </w:r>
      <w:r>
        <w:rPr>
          <w:rFonts w:hint="eastAsia" w:ascii="仿宋" w:hAnsi="仿宋" w:eastAsia="仿宋"/>
          <w:color w:val="auto"/>
          <w:sz w:val="24"/>
          <w:szCs w:val="28"/>
        </w:rPr>
        <w:t>）</w:t>
      </w:r>
      <w:r>
        <w:rPr>
          <w:rFonts w:ascii="仿宋" w:hAnsi="仿宋" w:eastAsia="仿宋"/>
          <w:color w:val="auto"/>
          <w:sz w:val="24"/>
          <w:szCs w:val="28"/>
        </w:rPr>
        <w:t>建设运行</w:t>
      </w:r>
    </w:p>
    <w:tbl>
      <w:tblPr>
        <w:tblStyle w:val="12"/>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2555"/>
        <w:gridCol w:w="577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5" w:hRule="atLeast"/>
        </w:trPr>
        <w:tc>
          <w:tcPr>
            <w:tcW w:w="1534"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firstLine="569"/>
              <w:rPr>
                <w:rFonts w:hint="eastAsia" w:ascii="仿宋" w:hAnsi="仿宋" w:eastAsia="仿宋"/>
                <w:b/>
                <w:bCs/>
                <w:color w:val="auto"/>
                <w:sz w:val="24"/>
                <w:szCs w:val="28"/>
              </w:rPr>
            </w:pPr>
            <w:r>
              <w:rPr>
                <w:rFonts w:hint="eastAsia" w:ascii="仿宋" w:hAnsi="仿宋" w:eastAsia="仿宋"/>
                <w:b/>
                <w:bCs/>
                <w:color w:val="auto"/>
                <w:sz w:val="24"/>
                <w:szCs w:val="28"/>
              </w:rPr>
              <w:t>测评类别</w:t>
            </w:r>
          </w:p>
        </w:tc>
        <w:tc>
          <w:tcPr>
            <w:tcW w:w="3466" w:type="pct"/>
            <w:vAlign w:val="center"/>
          </w:tcPr>
          <w:p>
            <w:pPr>
              <w:keepNext w:val="0"/>
              <w:keepLines w:val="0"/>
              <w:suppressLineNumbers w:val="0"/>
              <w:spacing w:before="0" w:beforeAutospacing="0" w:after="0" w:afterAutospacing="0"/>
              <w:ind w:left="0" w:right="0" w:firstLine="569"/>
              <w:rPr>
                <w:rFonts w:hint="eastAsia" w:ascii="仿宋" w:hAnsi="仿宋" w:eastAsia="仿宋"/>
                <w:b/>
                <w:bCs/>
                <w:color w:val="auto"/>
                <w:sz w:val="24"/>
                <w:szCs w:val="28"/>
              </w:rPr>
            </w:pPr>
            <w:r>
              <w:rPr>
                <w:rFonts w:hint="eastAsia" w:ascii="仿宋" w:hAnsi="仿宋" w:eastAsia="仿宋"/>
                <w:b/>
                <w:bCs/>
                <w:color w:val="auto"/>
                <w:sz w:val="24"/>
                <w:szCs w:val="28"/>
              </w:rPr>
              <w:t>测评单元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restar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default" w:ascii="仿宋" w:hAnsi="仿宋" w:eastAsia="仿宋"/>
                <w:color w:val="auto"/>
                <w:sz w:val="24"/>
                <w:szCs w:val="28"/>
              </w:rPr>
              <w:t>安全管理测评</w:t>
            </w:r>
            <w:r>
              <w:rPr>
                <w:rFonts w:hint="eastAsia" w:ascii="仿宋" w:hAnsi="仿宋" w:eastAsia="仿宋"/>
                <w:color w:val="auto"/>
                <w:sz w:val="24"/>
                <w:szCs w:val="28"/>
              </w:rPr>
              <w:t>-</w:t>
            </w:r>
            <w:r>
              <w:rPr>
                <w:rFonts w:hint="default" w:ascii="仿宋" w:hAnsi="仿宋" w:eastAsia="仿宋"/>
                <w:color w:val="auto"/>
                <w:sz w:val="24"/>
                <w:szCs w:val="28"/>
              </w:rPr>
              <w:t>建设运行</w:t>
            </w: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default" w:ascii="仿宋" w:hAnsi="仿宋" w:eastAsia="仿宋"/>
                <w:color w:val="auto"/>
                <w:sz w:val="24"/>
                <w:szCs w:val="28"/>
              </w:rPr>
              <w:t>制定密码应用方案</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default" w:ascii="仿宋" w:hAnsi="仿宋" w:eastAsia="仿宋"/>
                <w:color w:val="auto"/>
                <w:sz w:val="24"/>
                <w:szCs w:val="28"/>
              </w:rPr>
              <w:t>制定密钥安全管理策略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default" w:ascii="仿宋" w:hAnsi="仿宋" w:eastAsia="仿宋"/>
                <w:color w:val="auto"/>
                <w:sz w:val="24"/>
                <w:szCs w:val="28"/>
              </w:rPr>
              <w:t>制定实施方案</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default" w:ascii="仿宋" w:hAnsi="仿宋" w:eastAsia="仿宋"/>
                <w:color w:val="auto"/>
                <w:sz w:val="24"/>
                <w:szCs w:val="28"/>
              </w:rPr>
              <w:t>投入运行前进行密码应用安全性评估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default" w:ascii="仿宋" w:hAnsi="仿宋" w:eastAsia="仿宋"/>
                <w:color w:val="auto"/>
                <w:sz w:val="24"/>
                <w:szCs w:val="28"/>
              </w:rPr>
              <w:t>定期开展密码应用安全性评估及攻防对抗演习</w:t>
            </w:r>
          </w:p>
        </w:tc>
      </w:tr>
    </w:tbl>
    <w:p>
      <w:pPr>
        <w:rPr>
          <w:rFonts w:hint="eastAsia" w:ascii="仿宋" w:hAnsi="仿宋" w:eastAsia="仿宋"/>
          <w:color w:val="auto"/>
          <w:sz w:val="24"/>
          <w:szCs w:val="28"/>
        </w:rPr>
      </w:pPr>
    </w:p>
    <w:p>
      <w:pPr>
        <w:spacing w:line="360" w:lineRule="auto"/>
        <w:rPr>
          <w:rFonts w:hint="eastAsia" w:ascii="仿宋" w:hAnsi="仿宋" w:eastAsia="仿宋"/>
          <w:color w:val="auto"/>
          <w:sz w:val="24"/>
          <w:szCs w:val="28"/>
        </w:rPr>
      </w:pPr>
      <w:r>
        <w:rPr>
          <w:rFonts w:hint="eastAsia" w:ascii="仿宋" w:hAnsi="仿宋" w:eastAsia="仿宋"/>
          <w:color w:val="auto"/>
          <w:sz w:val="24"/>
          <w:szCs w:val="28"/>
        </w:rPr>
        <w:t>（</w:t>
      </w:r>
      <w:r>
        <w:rPr>
          <w:rFonts w:ascii="仿宋" w:hAnsi="仿宋" w:eastAsia="仿宋"/>
          <w:color w:val="auto"/>
          <w:sz w:val="24"/>
          <w:szCs w:val="28"/>
        </w:rPr>
        <w:t>4</w:t>
      </w:r>
      <w:r>
        <w:rPr>
          <w:rFonts w:hint="eastAsia" w:ascii="仿宋" w:hAnsi="仿宋" w:eastAsia="仿宋"/>
          <w:color w:val="auto"/>
          <w:sz w:val="24"/>
          <w:szCs w:val="28"/>
        </w:rPr>
        <w:t>）</w:t>
      </w:r>
      <w:r>
        <w:rPr>
          <w:rFonts w:ascii="仿宋" w:hAnsi="仿宋" w:eastAsia="仿宋"/>
          <w:color w:val="auto"/>
          <w:sz w:val="24"/>
          <w:szCs w:val="28"/>
        </w:rPr>
        <w:t>应急处置</w:t>
      </w:r>
    </w:p>
    <w:tbl>
      <w:tblPr>
        <w:tblStyle w:val="12"/>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2555"/>
        <w:gridCol w:w="577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5" w:hRule="atLeast"/>
        </w:trPr>
        <w:tc>
          <w:tcPr>
            <w:tcW w:w="1534"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firstLine="569"/>
              <w:rPr>
                <w:rFonts w:hint="eastAsia" w:ascii="仿宋" w:hAnsi="仿宋" w:eastAsia="仿宋"/>
                <w:b/>
                <w:bCs/>
                <w:color w:val="auto"/>
                <w:sz w:val="24"/>
                <w:szCs w:val="28"/>
              </w:rPr>
            </w:pPr>
            <w:r>
              <w:rPr>
                <w:rFonts w:hint="eastAsia" w:ascii="仿宋" w:hAnsi="仿宋" w:eastAsia="仿宋"/>
                <w:b/>
                <w:bCs/>
                <w:color w:val="auto"/>
                <w:sz w:val="24"/>
                <w:szCs w:val="28"/>
              </w:rPr>
              <w:t>测评类别</w:t>
            </w:r>
          </w:p>
        </w:tc>
        <w:tc>
          <w:tcPr>
            <w:tcW w:w="3466" w:type="pct"/>
            <w:vAlign w:val="center"/>
          </w:tcPr>
          <w:p>
            <w:pPr>
              <w:keepNext w:val="0"/>
              <w:keepLines w:val="0"/>
              <w:suppressLineNumbers w:val="0"/>
              <w:spacing w:before="0" w:beforeAutospacing="0" w:after="0" w:afterAutospacing="0"/>
              <w:ind w:left="0" w:right="0" w:firstLine="569"/>
              <w:rPr>
                <w:rFonts w:hint="eastAsia" w:ascii="仿宋" w:hAnsi="仿宋" w:eastAsia="仿宋"/>
                <w:b/>
                <w:bCs/>
                <w:color w:val="auto"/>
                <w:sz w:val="24"/>
                <w:szCs w:val="28"/>
              </w:rPr>
            </w:pPr>
            <w:r>
              <w:rPr>
                <w:rFonts w:hint="eastAsia" w:ascii="仿宋" w:hAnsi="仿宋" w:eastAsia="仿宋"/>
                <w:b/>
                <w:bCs/>
                <w:color w:val="auto"/>
                <w:sz w:val="24"/>
                <w:szCs w:val="28"/>
              </w:rPr>
              <w:t>测评单元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restar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default" w:ascii="仿宋" w:hAnsi="仿宋" w:eastAsia="仿宋"/>
                <w:color w:val="auto"/>
                <w:sz w:val="24"/>
                <w:szCs w:val="28"/>
              </w:rPr>
              <w:t>安全管理测评</w:t>
            </w:r>
            <w:r>
              <w:rPr>
                <w:rFonts w:hint="eastAsia" w:ascii="仿宋" w:hAnsi="仿宋" w:eastAsia="仿宋"/>
                <w:color w:val="auto"/>
                <w:sz w:val="24"/>
                <w:szCs w:val="28"/>
              </w:rPr>
              <w:t>-</w:t>
            </w:r>
            <w:r>
              <w:rPr>
                <w:rFonts w:hint="default" w:ascii="仿宋" w:hAnsi="仿宋" w:eastAsia="仿宋"/>
                <w:color w:val="auto"/>
                <w:sz w:val="24"/>
                <w:szCs w:val="28"/>
              </w:rPr>
              <w:t>应急处置</w:t>
            </w: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default" w:ascii="仿宋" w:hAnsi="仿宋" w:eastAsia="仿宋"/>
                <w:color w:val="auto"/>
                <w:sz w:val="24"/>
                <w:szCs w:val="28"/>
              </w:rPr>
              <w:t xml:space="preserve">应急策略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default" w:ascii="仿宋" w:hAnsi="仿宋" w:eastAsia="仿宋"/>
                <w:color w:val="auto"/>
                <w:sz w:val="24"/>
                <w:szCs w:val="28"/>
              </w:rPr>
              <w:t>事件处置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p>
        </w:tc>
        <w:tc>
          <w:tcPr>
            <w:tcW w:w="3466" w:type="pct"/>
            <w:tcMar>
              <w:top w:w="11" w:type="dxa"/>
              <w:left w:w="11" w:type="dxa"/>
              <w:bottom w:w="11" w:type="dxa"/>
              <w:right w:w="11" w:type="dxa"/>
            </w:tcMar>
            <w:vAlign w:val="center"/>
          </w:tcPr>
          <w:p>
            <w:pPr>
              <w:keepNext w:val="0"/>
              <w:keepLines w:val="0"/>
              <w:suppressLineNumbers w:val="0"/>
              <w:spacing w:before="0" w:beforeAutospacing="0" w:after="0" w:afterAutospacing="0"/>
              <w:ind w:left="0" w:right="0"/>
              <w:rPr>
                <w:rFonts w:hint="eastAsia" w:ascii="仿宋" w:hAnsi="仿宋" w:eastAsia="仿宋"/>
                <w:color w:val="auto"/>
                <w:sz w:val="24"/>
                <w:szCs w:val="28"/>
              </w:rPr>
            </w:pPr>
            <w:r>
              <w:rPr>
                <w:rFonts w:hint="default" w:ascii="仿宋" w:hAnsi="仿宋" w:eastAsia="仿宋"/>
                <w:color w:val="auto"/>
                <w:sz w:val="24"/>
                <w:szCs w:val="28"/>
              </w:rPr>
              <w:t>向有关主管部门上报处置情况</w:t>
            </w:r>
          </w:p>
        </w:tc>
      </w:tr>
    </w:tbl>
    <w:p>
      <w:pPr>
        <w:pStyle w:val="5"/>
        <w:spacing w:before="120" w:after="120" w:line="415" w:lineRule="auto"/>
        <w:rPr>
          <w:rFonts w:hint="eastAsia"/>
          <w:color w:val="auto"/>
        </w:rPr>
      </w:pPr>
      <w:r>
        <w:rPr>
          <w:rFonts w:hint="eastAsia"/>
          <w:color w:val="auto"/>
        </w:rPr>
        <w:t>（五）测评工作原则</w:t>
      </w:r>
    </w:p>
    <w:p>
      <w:pPr>
        <w:spacing w:line="360" w:lineRule="auto"/>
        <w:ind w:firstLine="480" w:firstLineChars="200"/>
        <w:rPr>
          <w:rFonts w:hint="eastAsia" w:ascii="仿宋" w:hAnsi="仿宋" w:eastAsia="仿宋"/>
          <w:color w:val="auto"/>
          <w:sz w:val="24"/>
          <w:szCs w:val="28"/>
        </w:rPr>
      </w:pPr>
      <w:r>
        <w:rPr>
          <w:rFonts w:hint="eastAsia" w:ascii="仿宋" w:hAnsi="仿宋" w:eastAsia="仿宋"/>
          <w:color w:val="auto"/>
          <w:sz w:val="24"/>
          <w:szCs w:val="28"/>
        </w:rPr>
        <w:t>遵循以下若干原则，</w:t>
      </w:r>
      <w:r>
        <w:rPr>
          <w:rFonts w:ascii="仿宋" w:hAnsi="仿宋" w:eastAsia="仿宋"/>
          <w:color w:val="auto"/>
          <w:sz w:val="24"/>
          <w:szCs w:val="28"/>
        </w:rPr>
        <w:t>是评估结论真实、准确、可信的基础，也是评估组在独立实施评估时，在相</w:t>
      </w:r>
      <w:r>
        <w:rPr>
          <w:rFonts w:hint="eastAsia" w:ascii="仿宋" w:hAnsi="仿宋" w:eastAsia="仿宋"/>
          <w:color w:val="auto"/>
          <w:sz w:val="24"/>
          <w:szCs w:val="28"/>
        </w:rPr>
        <w:t>似的情况下得出相似结论的前提。</w:t>
      </w:r>
      <w:r>
        <w:rPr>
          <w:rFonts w:ascii="仿宋" w:hAnsi="仿宋" w:eastAsia="仿宋"/>
          <w:color w:val="auto"/>
          <w:sz w:val="24"/>
          <w:szCs w:val="28"/>
        </w:rPr>
        <w:t>本次商用密码应用安全性测评实施方案设计与具体实施应满足以下</w:t>
      </w:r>
      <w:r>
        <w:rPr>
          <w:rFonts w:hint="eastAsia" w:ascii="仿宋" w:hAnsi="仿宋" w:eastAsia="仿宋"/>
          <w:color w:val="auto"/>
          <w:sz w:val="24"/>
          <w:szCs w:val="28"/>
        </w:rPr>
        <w:t>原则：</w:t>
      </w:r>
    </w:p>
    <w:p>
      <w:pPr>
        <w:spacing w:line="360" w:lineRule="auto"/>
        <w:rPr>
          <w:rFonts w:hint="eastAsia" w:ascii="仿宋" w:hAnsi="仿宋" w:eastAsia="仿宋"/>
          <w:color w:val="auto"/>
          <w:sz w:val="24"/>
          <w:szCs w:val="28"/>
        </w:rPr>
      </w:pPr>
      <w:r>
        <w:rPr>
          <w:rFonts w:hint="eastAsia" w:ascii="仿宋" w:hAnsi="仿宋" w:eastAsia="仿宋"/>
          <w:color w:val="auto"/>
          <w:sz w:val="24"/>
          <w:szCs w:val="28"/>
        </w:rPr>
        <w:t>（</w:t>
      </w:r>
      <w:r>
        <w:rPr>
          <w:rFonts w:ascii="仿宋" w:hAnsi="仿宋" w:eastAsia="仿宋"/>
          <w:color w:val="auto"/>
          <w:sz w:val="24"/>
          <w:szCs w:val="28"/>
        </w:rPr>
        <w:t>1）客观公正原则</w:t>
      </w:r>
      <w:r>
        <w:rPr>
          <w:rFonts w:hint="eastAsia" w:ascii="仿宋" w:hAnsi="仿宋" w:eastAsia="仿宋"/>
          <w:color w:val="auto"/>
          <w:sz w:val="24"/>
          <w:szCs w:val="28"/>
        </w:rPr>
        <w:t>：</w:t>
      </w:r>
      <w:r>
        <w:rPr>
          <w:rFonts w:ascii="仿宋" w:hAnsi="仿宋" w:eastAsia="仿宋"/>
          <w:color w:val="auto"/>
          <w:sz w:val="24"/>
          <w:szCs w:val="28"/>
        </w:rPr>
        <w:t>评估实施过程中评估人员应保证在最小主观判断情形下，按照评估双方认</w:t>
      </w:r>
      <w:r>
        <w:rPr>
          <w:rFonts w:hint="eastAsia" w:ascii="仿宋" w:hAnsi="仿宋" w:eastAsia="仿宋"/>
          <w:color w:val="auto"/>
          <w:sz w:val="24"/>
          <w:szCs w:val="28"/>
        </w:rPr>
        <w:t>可的评估方案，</w:t>
      </w:r>
      <w:r>
        <w:rPr>
          <w:rFonts w:ascii="仿宋" w:hAnsi="仿宋" w:eastAsia="仿宋"/>
          <w:color w:val="auto"/>
          <w:sz w:val="24"/>
          <w:szCs w:val="28"/>
        </w:rPr>
        <w:t>基于明确定义的评估方式和解释</w:t>
      </w:r>
      <w:r>
        <w:rPr>
          <w:rFonts w:hint="eastAsia" w:ascii="仿宋" w:hAnsi="仿宋" w:eastAsia="仿宋"/>
          <w:color w:val="auto"/>
          <w:sz w:val="24"/>
          <w:szCs w:val="28"/>
        </w:rPr>
        <w:t>，</w:t>
      </w:r>
      <w:r>
        <w:rPr>
          <w:rFonts w:ascii="仿宋" w:hAnsi="仿宋" w:eastAsia="仿宋"/>
          <w:color w:val="auto"/>
          <w:sz w:val="24"/>
          <w:szCs w:val="28"/>
        </w:rPr>
        <w:t>实施评估活动。</w:t>
      </w:r>
    </w:p>
    <w:p>
      <w:pPr>
        <w:spacing w:line="360" w:lineRule="auto"/>
        <w:rPr>
          <w:rFonts w:hint="eastAsia" w:ascii="仿宋" w:hAnsi="仿宋" w:eastAsia="仿宋"/>
          <w:color w:val="auto"/>
          <w:sz w:val="24"/>
          <w:szCs w:val="28"/>
        </w:rPr>
      </w:pPr>
      <w:r>
        <w:rPr>
          <w:rFonts w:hint="eastAsia" w:ascii="仿宋" w:hAnsi="仿宋" w:eastAsia="仿宋"/>
          <w:color w:val="auto"/>
          <w:sz w:val="24"/>
          <w:szCs w:val="28"/>
        </w:rPr>
        <w:t>（</w:t>
      </w:r>
      <w:r>
        <w:rPr>
          <w:rFonts w:ascii="仿宋" w:hAnsi="仿宋" w:eastAsia="仿宋"/>
          <w:color w:val="auto"/>
          <w:sz w:val="24"/>
          <w:szCs w:val="28"/>
        </w:rPr>
        <w:t>2）经济性和可重用性原则：评估工作可重用已有评估结果，包括商用密码应用安全性评估结</w:t>
      </w:r>
      <w:r>
        <w:rPr>
          <w:rFonts w:hint="eastAsia" w:ascii="仿宋" w:hAnsi="仿宋" w:eastAsia="仿宋"/>
          <w:color w:val="auto"/>
          <w:sz w:val="24"/>
          <w:szCs w:val="28"/>
        </w:rPr>
        <w:t>果。</w:t>
      </w:r>
      <w:r>
        <w:rPr>
          <w:rFonts w:ascii="仿宋" w:hAnsi="仿宋" w:eastAsia="仿宋"/>
          <w:color w:val="auto"/>
          <w:sz w:val="24"/>
          <w:szCs w:val="28"/>
        </w:rPr>
        <w:t>所有重用结果都应以结果适用于待评估系统为前提</w:t>
      </w:r>
      <w:r>
        <w:rPr>
          <w:rFonts w:hint="eastAsia" w:ascii="仿宋" w:hAnsi="仿宋" w:eastAsia="仿宋"/>
          <w:color w:val="auto"/>
          <w:sz w:val="24"/>
          <w:szCs w:val="28"/>
        </w:rPr>
        <w:t>，</w:t>
      </w:r>
      <w:r>
        <w:rPr>
          <w:rFonts w:ascii="仿宋" w:hAnsi="仿宋" w:eastAsia="仿宋"/>
          <w:color w:val="auto"/>
          <w:sz w:val="24"/>
          <w:szCs w:val="28"/>
        </w:rPr>
        <w:t>并能够客观反映目前系统的安全状态。</w:t>
      </w:r>
    </w:p>
    <w:p>
      <w:pPr>
        <w:spacing w:line="360" w:lineRule="auto"/>
        <w:rPr>
          <w:rFonts w:hint="eastAsia" w:ascii="仿宋" w:hAnsi="仿宋" w:eastAsia="仿宋"/>
          <w:color w:val="auto"/>
          <w:sz w:val="24"/>
          <w:szCs w:val="28"/>
        </w:rPr>
      </w:pPr>
      <w:r>
        <w:rPr>
          <w:rFonts w:hint="eastAsia" w:ascii="仿宋" w:hAnsi="仿宋" w:eastAsia="仿宋"/>
          <w:color w:val="auto"/>
          <w:sz w:val="24"/>
          <w:szCs w:val="28"/>
        </w:rPr>
        <w:t>（</w:t>
      </w:r>
      <w:r>
        <w:rPr>
          <w:rFonts w:ascii="仿宋" w:hAnsi="仿宋" w:eastAsia="仿宋"/>
          <w:color w:val="auto"/>
          <w:sz w:val="24"/>
          <w:szCs w:val="28"/>
        </w:rPr>
        <w:t>3）可重复性和可再现性原则：依照同样的要求</w:t>
      </w:r>
      <w:r>
        <w:rPr>
          <w:rFonts w:hint="eastAsia" w:ascii="仿宋" w:hAnsi="仿宋" w:eastAsia="仿宋"/>
          <w:color w:val="auto"/>
          <w:sz w:val="24"/>
          <w:szCs w:val="28"/>
        </w:rPr>
        <w:t>，</w:t>
      </w:r>
      <w:r>
        <w:rPr>
          <w:rFonts w:ascii="仿宋" w:hAnsi="仿宋" w:eastAsia="仿宋"/>
          <w:color w:val="auto"/>
          <w:sz w:val="24"/>
          <w:szCs w:val="28"/>
        </w:rPr>
        <w:t>使用同样的评估方法</w:t>
      </w:r>
      <w:r>
        <w:rPr>
          <w:rFonts w:hint="eastAsia" w:ascii="仿宋" w:hAnsi="仿宋" w:eastAsia="仿宋"/>
          <w:color w:val="auto"/>
          <w:sz w:val="24"/>
          <w:szCs w:val="28"/>
        </w:rPr>
        <w:t>，</w:t>
      </w:r>
      <w:r>
        <w:rPr>
          <w:rFonts w:ascii="仿宋" w:hAnsi="仿宋" w:eastAsia="仿宋"/>
          <w:color w:val="auto"/>
          <w:sz w:val="24"/>
          <w:szCs w:val="28"/>
        </w:rPr>
        <w:t>不同的评估机构对每</w:t>
      </w:r>
      <w:r>
        <w:rPr>
          <w:rFonts w:hint="eastAsia" w:ascii="仿宋" w:hAnsi="仿宋" w:eastAsia="仿宋"/>
          <w:color w:val="auto"/>
          <w:sz w:val="24"/>
          <w:szCs w:val="28"/>
        </w:rPr>
        <w:t>个评估实施过程的重复执行应得到同样的结果。</w:t>
      </w:r>
      <w:r>
        <w:rPr>
          <w:rFonts w:ascii="仿宋" w:hAnsi="仿宋" w:eastAsia="仿宋"/>
          <w:color w:val="auto"/>
          <w:sz w:val="24"/>
          <w:szCs w:val="28"/>
        </w:rPr>
        <w:t>可再现性和可重复性的区别在于，前者关注不同评估</w:t>
      </w:r>
      <w:r>
        <w:rPr>
          <w:rFonts w:hint="eastAsia" w:ascii="仿宋" w:hAnsi="仿宋" w:eastAsia="仿宋"/>
          <w:color w:val="auto"/>
          <w:sz w:val="24"/>
          <w:szCs w:val="28"/>
        </w:rPr>
        <w:t>者评估结果的一致性，</w:t>
      </w:r>
      <w:r>
        <w:rPr>
          <w:rFonts w:ascii="仿宋" w:hAnsi="仿宋" w:eastAsia="仿宋"/>
          <w:color w:val="auto"/>
          <w:sz w:val="24"/>
          <w:szCs w:val="28"/>
        </w:rPr>
        <w:t>后者则与同一评估者评估结果的一致性有关。</w:t>
      </w:r>
    </w:p>
    <w:p>
      <w:pPr>
        <w:spacing w:line="360" w:lineRule="auto"/>
        <w:rPr>
          <w:rFonts w:hint="eastAsia" w:ascii="仿宋" w:hAnsi="仿宋" w:eastAsia="仿宋"/>
          <w:color w:val="auto"/>
          <w:sz w:val="24"/>
          <w:szCs w:val="28"/>
        </w:rPr>
      </w:pPr>
      <w:r>
        <w:rPr>
          <w:rFonts w:hint="eastAsia" w:ascii="仿宋" w:hAnsi="仿宋" w:eastAsia="仿宋"/>
          <w:color w:val="auto"/>
          <w:sz w:val="24"/>
          <w:szCs w:val="28"/>
        </w:rPr>
        <w:t>（</w:t>
      </w:r>
      <w:r>
        <w:rPr>
          <w:rFonts w:ascii="仿宋" w:hAnsi="仿宋" w:eastAsia="仿宋"/>
          <w:color w:val="auto"/>
          <w:sz w:val="24"/>
          <w:szCs w:val="28"/>
        </w:rPr>
        <w:t xml:space="preserve">4）结果完善性原则：在正确理解《GB/T39786-2021 </w:t>
      </w:r>
      <w:r>
        <w:rPr>
          <w:rFonts w:hint="eastAsia" w:ascii="仿宋" w:hAnsi="仿宋" w:eastAsia="仿宋"/>
          <w:color w:val="auto"/>
          <w:sz w:val="24"/>
          <w:szCs w:val="28"/>
        </w:rPr>
        <w:t>信息安全技术</w:t>
      </w:r>
      <w:r>
        <w:rPr>
          <w:rFonts w:ascii="仿宋" w:hAnsi="仿宋" w:eastAsia="仿宋"/>
          <w:color w:val="auto"/>
          <w:sz w:val="24"/>
          <w:szCs w:val="28"/>
        </w:rPr>
        <w:t>信息系统密码应用基本要求》各个要求项内容</w:t>
      </w:r>
      <w:r>
        <w:rPr>
          <w:rFonts w:hint="eastAsia" w:ascii="仿宋" w:hAnsi="仿宋" w:eastAsia="仿宋"/>
          <w:color w:val="auto"/>
          <w:sz w:val="24"/>
          <w:szCs w:val="28"/>
        </w:rPr>
        <w:t>的基础之上，</w:t>
      </w:r>
      <w:r>
        <w:rPr>
          <w:rFonts w:ascii="仿宋" w:hAnsi="仿宋" w:eastAsia="仿宋"/>
          <w:color w:val="auto"/>
          <w:sz w:val="24"/>
          <w:szCs w:val="28"/>
        </w:rPr>
        <w:t>检测所产生的结果应客观反映系统的运行状态。评估过程和结果应服从正确的评估方法，</w:t>
      </w:r>
      <w:r>
        <w:rPr>
          <w:rFonts w:hint="eastAsia" w:ascii="仿宋" w:hAnsi="仿宋" w:eastAsia="仿宋"/>
          <w:color w:val="auto"/>
          <w:sz w:val="24"/>
          <w:szCs w:val="28"/>
        </w:rPr>
        <w:t>确保其满足要求。</w:t>
      </w:r>
    </w:p>
    <w:p>
      <w:pPr>
        <w:pStyle w:val="5"/>
        <w:spacing w:before="120" w:after="120" w:line="415" w:lineRule="auto"/>
        <w:rPr>
          <w:rFonts w:hint="eastAsia"/>
          <w:color w:val="auto"/>
        </w:rPr>
      </w:pPr>
      <w:r>
        <w:rPr>
          <w:rFonts w:hint="eastAsia"/>
          <w:color w:val="auto"/>
        </w:rPr>
        <w:t>（六）</w:t>
      </w:r>
      <w:r>
        <w:rPr>
          <w:color w:val="auto"/>
        </w:rPr>
        <w:t>测评</w:t>
      </w:r>
      <w:r>
        <w:rPr>
          <w:rFonts w:hint="eastAsia"/>
          <w:color w:val="auto"/>
        </w:rPr>
        <w:t>服务总体</w:t>
      </w:r>
      <w:r>
        <w:rPr>
          <w:color w:val="auto"/>
        </w:rPr>
        <w:t>要求</w:t>
      </w:r>
    </w:p>
    <w:p>
      <w:pPr>
        <w:spacing w:line="360" w:lineRule="auto"/>
        <w:rPr>
          <w:rFonts w:hint="eastAsia" w:ascii="仿宋" w:hAnsi="仿宋" w:eastAsia="仿宋"/>
          <w:color w:val="auto"/>
          <w:sz w:val="24"/>
          <w:szCs w:val="28"/>
        </w:rPr>
      </w:pPr>
      <w:r>
        <w:rPr>
          <w:rFonts w:hint="eastAsia" w:ascii="仿宋" w:hAnsi="仿宋" w:eastAsia="仿宋"/>
          <w:color w:val="auto"/>
          <w:sz w:val="24"/>
          <w:szCs w:val="28"/>
        </w:rPr>
        <w:t>（</w:t>
      </w:r>
      <w:r>
        <w:rPr>
          <w:rFonts w:ascii="仿宋" w:hAnsi="仿宋" w:eastAsia="仿宋"/>
          <w:color w:val="auto"/>
          <w:sz w:val="24"/>
          <w:szCs w:val="28"/>
        </w:rPr>
        <w:t>1）供应商应详细描述本次项目的整体实施方案，包括项目概述、密码应用测评方案、测试过程中需使</w:t>
      </w:r>
      <w:r>
        <w:rPr>
          <w:rFonts w:hint="eastAsia" w:ascii="仿宋" w:hAnsi="仿宋" w:eastAsia="仿宋"/>
          <w:color w:val="auto"/>
          <w:sz w:val="24"/>
          <w:szCs w:val="28"/>
        </w:rPr>
        <w:t>用测试设备清单、</w:t>
      </w:r>
      <w:r>
        <w:rPr>
          <w:rFonts w:ascii="仿宋" w:hAnsi="仿宋" w:eastAsia="仿宋"/>
          <w:color w:val="auto"/>
          <w:sz w:val="24"/>
          <w:szCs w:val="28"/>
        </w:rPr>
        <w:t>时间安排</w:t>
      </w:r>
      <w:r>
        <w:rPr>
          <w:rFonts w:hint="eastAsia" w:ascii="仿宋" w:hAnsi="仿宋" w:eastAsia="仿宋"/>
          <w:color w:val="auto"/>
          <w:sz w:val="24"/>
          <w:szCs w:val="28"/>
        </w:rPr>
        <w:t>、</w:t>
      </w:r>
      <w:r>
        <w:rPr>
          <w:rFonts w:ascii="仿宋" w:hAnsi="仿宋" w:eastAsia="仿宋"/>
          <w:color w:val="auto"/>
          <w:sz w:val="24"/>
          <w:szCs w:val="28"/>
        </w:rPr>
        <w:t>阶段性文档提交和验收标准等。</w:t>
      </w:r>
    </w:p>
    <w:p>
      <w:pPr>
        <w:spacing w:line="360" w:lineRule="auto"/>
        <w:rPr>
          <w:rFonts w:hint="eastAsia" w:ascii="仿宋" w:hAnsi="仿宋" w:eastAsia="仿宋"/>
          <w:color w:val="auto"/>
          <w:sz w:val="24"/>
          <w:szCs w:val="28"/>
        </w:rPr>
      </w:pPr>
      <w:r>
        <w:rPr>
          <w:rFonts w:hint="eastAsia" w:ascii="仿宋" w:hAnsi="仿宋" w:eastAsia="仿宋"/>
          <w:color w:val="auto"/>
          <w:sz w:val="24"/>
          <w:szCs w:val="28"/>
        </w:rPr>
        <w:t>（</w:t>
      </w:r>
      <w:r>
        <w:rPr>
          <w:rFonts w:ascii="仿宋" w:hAnsi="仿宋" w:eastAsia="仿宋"/>
          <w:color w:val="auto"/>
          <w:sz w:val="24"/>
          <w:szCs w:val="28"/>
        </w:rPr>
        <w:t>2）供应商应详细描述实施人员的组成、资质及各自职责的划分。供应商应配置有经验的技术</w:t>
      </w:r>
      <w:r>
        <w:rPr>
          <w:rFonts w:hint="eastAsia" w:ascii="仿宋" w:hAnsi="仿宋" w:eastAsia="仿宋"/>
          <w:color w:val="auto"/>
          <w:sz w:val="24"/>
          <w:szCs w:val="28"/>
        </w:rPr>
        <w:t>人员进行本次项目</w:t>
      </w:r>
      <w:r>
        <w:rPr>
          <w:rFonts w:ascii="仿宋" w:hAnsi="仿宋" w:eastAsia="仿宋"/>
          <w:color w:val="auto"/>
          <w:sz w:val="24"/>
          <w:szCs w:val="28"/>
        </w:rPr>
        <w:t>实施。</w:t>
      </w:r>
    </w:p>
    <w:p>
      <w:pPr>
        <w:spacing w:line="360" w:lineRule="auto"/>
        <w:rPr>
          <w:rFonts w:hint="eastAsia" w:ascii="仿宋" w:hAnsi="仿宋" w:eastAsia="仿宋"/>
          <w:color w:val="auto"/>
          <w:sz w:val="24"/>
          <w:szCs w:val="28"/>
        </w:rPr>
      </w:pPr>
      <w:r>
        <w:rPr>
          <w:rFonts w:hint="eastAsia" w:ascii="仿宋" w:hAnsi="仿宋" w:eastAsia="仿宋"/>
          <w:color w:val="auto"/>
          <w:sz w:val="24"/>
          <w:szCs w:val="28"/>
        </w:rPr>
        <w:t>（</w:t>
      </w:r>
      <w:r>
        <w:rPr>
          <w:rFonts w:ascii="仿宋" w:hAnsi="仿宋" w:eastAsia="仿宋"/>
          <w:color w:val="auto"/>
          <w:sz w:val="24"/>
          <w:szCs w:val="28"/>
        </w:rPr>
        <w:t>3）本次项目实施过程中所使用到的各种工具软件由供应商推荐</w:t>
      </w:r>
      <w:r>
        <w:rPr>
          <w:rFonts w:hint="eastAsia" w:ascii="仿宋" w:hAnsi="仿宋" w:eastAsia="仿宋"/>
          <w:color w:val="auto"/>
          <w:sz w:val="24"/>
          <w:szCs w:val="28"/>
        </w:rPr>
        <w:t>，</w:t>
      </w:r>
      <w:r>
        <w:rPr>
          <w:rFonts w:ascii="仿宋" w:hAnsi="仿宋" w:eastAsia="仿宋"/>
          <w:color w:val="auto"/>
          <w:sz w:val="24"/>
          <w:szCs w:val="28"/>
        </w:rPr>
        <w:t>经采购人确认后由供应商提</w:t>
      </w:r>
      <w:r>
        <w:rPr>
          <w:rFonts w:hint="eastAsia" w:ascii="仿宋" w:hAnsi="仿宋" w:eastAsia="仿宋"/>
          <w:color w:val="auto"/>
          <w:sz w:val="24"/>
          <w:szCs w:val="28"/>
        </w:rPr>
        <w:t>供并在项目中使用。</w:t>
      </w:r>
      <w:r>
        <w:rPr>
          <w:rFonts w:ascii="仿宋" w:hAnsi="仿宋" w:eastAsia="仿宋"/>
          <w:color w:val="auto"/>
          <w:sz w:val="24"/>
          <w:szCs w:val="28"/>
        </w:rPr>
        <w:t>在响应文件中应详细描述所使用的安全技术工具（软硬件型号、功能和性能描述）、</w:t>
      </w:r>
      <w:r>
        <w:rPr>
          <w:rFonts w:hint="eastAsia" w:ascii="仿宋" w:hAnsi="仿宋" w:eastAsia="仿宋"/>
          <w:color w:val="auto"/>
          <w:sz w:val="24"/>
          <w:szCs w:val="28"/>
        </w:rPr>
        <w:t>使用的方式和时间、</w:t>
      </w:r>
      <w:r>
        <w:rPr>
          <w:rFonts w:ascii="仿宋" w:hAnsi="仿宋" w:eastAsia="仿宋"/>
          <w:color w:val="auto"/>
          <w:sz w:val="24"/>
          <w:szCs w:val="28"/>
        </w:rPr>
        <w:t>对环境和平台的要求以及使用可能对系统造成的风险等。</w:t>
      </w:r>
    </w:p>
    <w:p>
      <w:pPr>
        <w:spacing w:line="360" w:lineRule="auto"/>
        <w:rPr>
          <w:rFonts w:hint="eastAsia" w:ascii="仿宋" w:hAnsi="仿宋" w:eastAsia="仿宋"/>
          <w:color w:val="auto"/>
          <w:sz w:val="24"/>
          <w:szCs w:val="28"/>
        </w:rPr>
      </w:pPr>
      <w:r>
        <w:rPr>
          <w:rFonts w:hint="eastAsia" w:ascii="仿宋" w:hAnsi="仿宋" w:eastAsia="仿宋"/>
          <w:color w:val="auto"/>
          <w:sz w:val="24"/>
          <w:szCs w:val="28"/>
        </w:rPr>
        <w:t>（</w:t>
      </w:r>
      <w:r>
        <w:rPr>
          <w:rFonts w:ascii="仿宋" w:hAnsi="仿宋" w:eastAsia="仿宋"/>
          <w:color w:val="auto"/>
          <w:sz w:val="24"/>
          <w:szCs w:val="28"/>
        </w:rPr>
        <w:t>4</w:t>
      </w:r>
      <w:r>
        <w:rPr>
          <w:rFonts w:hint="eastAsia" w:ascii="仿宋" w:hAnsi="仿宋" w:eastAsia="仿宋"/>
          <w:color w:val="auto"/>
          <w:sz w:val="24"/>
          <w:szCs w:val="28"/>
        </w:rPr>
        <w:t>）</w:t>
      </w:r>
      <w:r>
        <w:rPr>
          <w:rFonts w:ascii="仿宋" w:hAnsi="仿宋" w:eastAsia="仿宋"/>
          <w:color w:val="auto"/>
          <w:sz w:val="24"/>
          <w:szCs w:val="28"/>
        </w:rPr>
        <w:t>本次项目实施过程中所使用到的测评工具，应包括</w:t>
      </w:r>
      <w:r>
        <w:rPr>
          <w:rFonts w:hint="eastAsia" w:ascii="仿宋" w:hAnsi="仿宋" w:eastAsia="仿宋"/>
          <w:color w:val="auto"/>
          <w:sz w:val="24"/>
          <w:szCs w:val="28"/>
        </w:rPr>
        <w:t>自主</w:t>
      </w:r>
      <w:r>
        <w:rPr>
          <w:rFonts w:ascii="仿宋" w:hAnsi="仿宋" w:eastAsia="仿宋"/>
          <w:color w:val="auto"/>
          <w:sz w:val="24"/>
          <w:szCs w:val="28"/>
        </w:rPr>
        <w:t>密码专用检测工具、 漏洞</w:t>
      </w:r>
      <w:r>
        <w:rPr>
          <w:rFonts w:hint="eastAsia" w:ascii="仿宋" w:hAnsi="仿宋" w:eastAsia="仿宋"/>
          <w:color w:val="auto"/>
          <w:sz w:val="24"/>
          <w:szCs w:val="28"/>
        </w:rPr>
        <w:t>扫描工具等获得许可的检测工具，</w:t>
      </w:r>
      <w:r>
        <w:rPr>
          <w:rFonts w:ascii="仿宋" w:hAnsi="仿宋" w:eastAsia="仿宋"/>
          <w:color w:val="auto"/>
          <w:sz w:val="24"/>
          <w:szCs w:val="28"/>
        </w:rPr>
        <w:t>对系统数据进行分析，并以分析结果辅证评估报告。</w:t>
      </w:r>
    </w:p>
    <w:p>
      <w:pPr>
        <w:spacing w:line="360" w:lineRule="auto"/>
        <w:rPr>
          <w:rFonts w:hint="eastAsia" w:ascii="仿宋" w:hAnsi="仿宋" w:eastAsia="仿宋"/>
          <w:color w:val="auto"/>
          <w:sz w:val="24"/>
          <w:szCs w:val="28"/>
        </w:rPr>
      </w:pPr>
      <w:r>
        <w:rPr>
          <w:rFonts w:hint="eastAsia" w:ascii="仿宋" w:hAnsi="仿宋" w:eastAsia="仿宋"/>
          <w:color w:val="auto"/>
          <w:sz w:val="24"/>
          <w:szCs w:val="28"/>
        </w:rPr>
        <w:t>（</w:t>
      </w:r>
      <w:r>
        <w:rPr>
          <w:rFonts w:ascii="仿宋" w:hAnsi="仿宋" w:eastAsia="仿宋"/>
          <w:color w:val="auto"/>
          <w:sz w:val="24"/>
          <w:szCs w:val="28"/>
        </w:rPr>
        <w:t>5）安全技术工具软件运行可能需要的硬件平台（如笔记本电脑、PC、工作站等） 和操作系统</w:t>
      </w:r>
      <w:r>
        <w:rPr>
          <w:rFonts w:hint="eastAsia" w:ascii="仿宋" w:hAnsi="仿宋" w:eastAsia="仿宋"/>
          <w:color w:val="auto"/>
          <w:sz w:val="24"/>
          <w:szCs w:val="28"/>
        </w:rPr>
        <w:t>软件等由供应商推荐，</w:t>
      </w:r>
      <w:r>
        <w:rPr>
          <w:rFonts w:ascii="仿宋" w:hAnsi="仿宋" w:eastAsia="仿宋"/>
          <w:color w:val="auto"/>
          <w:sz w:val="24"/>
          <w:szCs w:val="28"/>
        </w:rPr>
        <w:t>经采购人确认后由供应商提供并在项目中使用。</w:t>
      </w:r>
    </w:p>
    <w:p>
      <w:pPr>
        <w:spacing w:line="360" w:lineRule="auto"/>
        <w:rPr>
          <w:rFonts w:hint="eastAsia" w:ascii="仿宋" w:hAnsi="仿宋" w:eastAsia="仿宋"/>
          <w:color w:val="auto"/>
          <w:sz w:val="24"/>
          <w:szCs w:val="28"/>
        </w:rPr>
      </w:pPr>
      <w:r>
        <w:rPr>
          <w:rFonts w:hint="eastAsia" w:ascii="仿宋" w:hAnsi="仿宋" w:eastAsia="仿宋"/>
          <w:color w:val="auto"/>
          <w:sz w:val="24"/>
          <w:szCs w:val="28"/>
        </w:rPr>
        <w:t>（</w:t>
      </w:r>
      <w:r>
        <w:rPr>
          <w:rFonts w:ascii="仿宋" w:hAnsi="仿宋" w:eastAsia="仿宋"/>
          <w:color w:val="auto"/>
          <w:sz w:val="24"/>
          <w:szCs w:val="28"/>
        </w:rPr>
        <w:t>6）项目实施需要的运行环境（如场地</w:t>
      </w:r>
      <w:r>
        <w:rPr>
          <w:rFonts w:hint="eastAsia" w:ascii="仿宋" w:hAnsi="仿宋" w:eastAsia="仿宋"/>
          <w:color w:val="auto"/>
          <w:sz w:val="24"/>
          <w:szCs w:val="28"/>
        </w:rPr>
        <w:t>、</w:t>
      </w:r>
      <w:r>
        <w:rPr>
          <w:rFonts w:ascii="仿宋" w:hAnsi="仿宋" w:eastAsia="仿宋"/>
          <w:color w:val="auto"/>
          <w:sz w:val="24"/>
          <w:szCs w:val="28"/>
        </w:rPr>
        <w:t>网络环境等）由采购人提供，供应商应详细描述需要</w:t>
      </w:r>
      <w:r>
        <w:rPr>
          <w:rFonts w:hint="eastAsia" w:ascii="仿宋" w:hAnsi="仿宋" w:eastAsia="仿宋"/>
          <w:color w:val="auto"/>
          <w:sz w:val="24"/>
          <w:szCs w:val="28"/>
        </w:rPr>
        <w:t>的运行环境的具体要求。</w:t>
      </w:r>
    </w:p>
    <w:p>
      <w:pPr>
        <w:pStyle w:val="5"/>
        <w:spacing w:before="120" w:after="120" w:line="415" w:lineRule="auto"/>
        <w:rPr>
          <w:rFonts w:hint="eastAsia"/>
          <w:color w:val="auto"/>
        </w:rPr>
      </w:pPr>
      <w:r>
        <w:rPr>
          <w:rFonts w:hint="eastAsia"/>
          <w:color w:val="auto"/>
        </w:rPr>
        <w:t>（七）</w:t>
      </w:r>
      <w:r>
        <w:rPr>
          <w:color w:val="auto"/>
        </w:rPr>
        <w:t>测评</w:t>
      </w:r>
      <w:r>
        <w:rPr>
          <w:rFonts w:hint="eastAsia"/>
          <w:color w:val="auto"/>
        </w:rPr>
        <w:t>服务过程及内容要求</w:t>
      </w:r>
    </w:p>
    <w:p>
      <w:pPr>
        <w:spacing w:line="360" w:lineRule="auto"/>
        <w:ind w:firstLine="480" w:firstLineChars="200"/>
        <w:rPr>
          <w:rFonts w:hint="eastAsia" w:ascii="仿宋" w:hAnsi="仿宋" w:eastAsia="仿宋"/>
          <w:color w:val="auto"/>
          <w:sz w:val="24"/>
          <w:szCs w:val="28"/>
        </w:rPr>
      </w:pPr>
      <w:r>
        <w:rPr>
          <w:rFonts w:hint="eastAsia" w:ascii="仿宋" w:hAnsi="仿宋" w:eastAsia="仿宋"/>
          <w:color w:val="auto"/>
          <w:sz w:val="24"/>
          <w:szCs w:val="28"/>
        </w:rPr>
        <w:t>测评服务过程包括四项基本测评活动：测评准备活动、方案编制活动、现场测评活动、分析与报告编制活动。测评方与被测单位之间的沟通与洽谈应贯穿整个测评过程。</w:t>
      </w:r>
    </w:p>
    <w:p>
      <w:pPr>
        <w:spacing w:line="360" w:lineRule="auto"/>
        <w:rPr>
          <w:rFonts w:hint="eastAsia" w:ascii="仿宋" w:hAnsi="仿宋" w:eastAsia="仿宋"/>
          <w:color w:val="auto"/>
          <w:sz w:val="24"/>
          <w:szCs w:val="28"/>
        </w:rPr>
      </w:pPr>
      <w:r>
        <w:rPr>
          <w:rFonts w:hint="eastAsia" w:ascii="仿宋" w:hAnsi="仿宋" w:eastAsia="仿宋"/>
          <w:color w:val="auto"/>
          <w:sz w:val="24"/>
          <w:szCs w:val="28"/>
        </w:rPr>
        <w:t>（</w:t>
      </w:r>
      <w:r>
        <w:rPr>
          <w:rFonts w:ascii="仿宋" w:hAnsi="仿宋" w:eastAsia="仿宋"/>
          <w:color w:val="auto"/>
          <w:sz w:val="24"/>
          <w:szCs w:val="28"/>
        </w:rPr>
        <w:t xml:space="preserve">1）测评准备活动 </w:t>
      </w:r>
    </w:p>
    <w:p>
      <w:pPr>
        <w:spacing w:line="360" w:lineRule="auto"/>
        <w:ind w:firstLine="480" w:firstLineChars="200"/>
        <w:rPr>
          <w:rFonts w:hint="eastAsia" w:ascii="仿宋" w:hAnsi="仿宋" w:eastAsia="仿宋"/>
          <w:color w:val="auto"/>
          <w:sz w:val="24"/>
          <w:szCs w:val="28"/>
        </w:rPr>
      </w:pPr>
      <w:r>
        <w:rPr>
          <w:rFonts w:hint="eastAsia" w:ascii="仿宋" w:hAnsi="仿宋" w:eastAsia="仿宋"/>
          <w:color w:val="auto"/>
          <w:sz w:val="24"/>
          <w:szCs w:val="28"/>
        </w:rPr>
        <w:t>本活动是开展测评工作的前提和基础，主要任务是掌握被测信息系统的详细情况，准备测评工具，为编制密码应用测评方案做好准备。</w:t>
      </w:r>
      <w:r>
        <w:rPr>
          <w:rFonts w:ascii="仿宋" w:hAnsi="仿宋" w:eastAsia="仿宋"/>
          <w:color w:val="auto"/>
          <w:sz w:val="24"/>
          <w:szCs w:val="28"/>
        </w:rPr>
        <w:t xml:space="preserve"> </w:t>
      </w:r>
    </w:p>
    <w:p>
      <w:pPr>
        <w:spacing w:line="360" w:lineRule="auto"/>
        <w:rPr>
          <w:rFonts w:hint="eastAsia" w:ascii="仿宋" w:hAnsi="仿宋" w:eastAsia="仿宋"/>
          <w:color w:val="auto"/>
          <w:sz w:val="24"/>
          <w:szCs w:val="28"/>
        </w:rPr>
      </w:pPr>
      <w:r>
        <w:rPr>
          <w:rFonts w:hint="eastAsia" w:ascii="仿宋" w:hAnsi="仿宋" w:eastAsia="仿宋"/>
          <w:color w:val="auto"/>
          <w:sz w:val="24"/>
          <w:szCs w:val="28"/>
        </w:rPr>
        <w:t>（</w:t>
      </w:r>
      <w:r>
        <w:rPr>
          <w:rFonts w:ascii="仿宋" w:hAnsi="仿宋" w:eastAsia="仿宋"/>
          <w:color w:val="auto"/>
          <w:sz w:val="24"/>
          <w:szCs w:val="28"/>
        </w:rPr>
        <w:t>2）方案编制活动</w:t>
      </w:r>
    </w:p>
    <w:p>
      <w:pPr>
        <w:spacing w:line="360" w:lineRule="auto"/>
        <w:ind w:firstLine="480" w:firstLineChars="200"/>
        <w:rPr>
          <w:rFonts w:hint="eastAsia" w:ascii="仿宋" w:hAnsi="仿宋" w:eastAsia="仿宋"/>
          <w:color w:val="auto"/>
          <w:sz w:val="24"/>
          <w:szCs w:val="28"/>
        </w:rPr>
      </w:pPr>
      <w:r>
        <w:rPr>
          <w:rFonts w:hint="eastAsia" w:ascii="仿宋" w:hAnsi="仿宋" w:eastAsia="仿宋"/>
          <w:color w:val="auto"/>
          <w:sz w:val="24"/>
          <w:szCs w:val="28"/>
        </w:rPr>
        <w:t>本活动是开展测评工作的关键活动，主要任务是确定与被测信息系统相适应的测评对象、测评指标、测评检查点及测评内容等，形成密码应用测评方案，为实施现场测评提供依据。</w:t>
      </w:r>
    </w:p>
    <w:p>
      <w:pPr>
        <w:spacing w:line="360" w:lineRule="auto"/>
        <w:rPr>
          <w:rFonts w:hint="eastAsia" w:ascii="仿宋" w:hAnsi="仿宋" w:eastAsia="仿宋"/>
          <w:color w:val="auto"/>
          <w:sz w:val="24"/>
          <w:szCs w:val="28"/>
        </w:rPr>
      </w:pPr>
      <w:r>
        <w:rPr>
          <w:rFonts w:hint="eastAsia" w:ascii="仿宋" w:hAnsi="仿宋" w:eastAsia="仿宋"/>
          <w:color w:val="auto"/>
          <w:sz w:val="24"/>
          <w:szCs w:val="28"/>
        </w:rPr>
        <w:t>（</w:t>
      </w:r>
      <w:r>
        <w:rPr>
          <w:rFonts w:ascii="仿宋" w:hAnsi="仿宋" w:eastAsia="仿宋"/>
          <w:color w:val="auto"/>
          <w:sz w:val="24"/>
          <w:szCs w:val="28"/>
        </w:rPr>
        <w:t xml:space="preserve">3）现场测评活动 </w:t>
      </w:r>
    </w:p>
    <w:p>
      <w:pPr>
        <w:spacing w:line="360" w:lineRule="auto"/>
        <w:ind w:firstLine="480" w:firstLineChars="200"/>
        <w:rPr>
          <w:rFonts w:hint="eastAsia" w:ascii="仿宋" w:hAnsi="仿宋" w:eastAsia="仿宋"/>
          <w:color w:val="auto"/>
          <w:sz w:val="24"/>
          <w:szCs w:val="28"/>
        </w:rPr>
      </w:pPr>
      <w:r>
        <w:rPr>
          <w:rFonts w:hint="eastAsia" w:ascii="仿宋" w:hAnsi="仿宋" w:eastAsia="仿宋"/>
          <w:color w:val="auto"/>
          <w:sz w:val="24"/>
          <w:szCs w:val="28"/>
        </w:rPr>
        <w:t>本活动是开展测评工作的核心活动，主要任务是根据密码应用测评技术方案分步实施所有测评项目，以了解被测信息系统真实的密码应用现状，获取足够的证据，发现其存在的密码应用安全性问题。</w:t>
      </w:r>
      <w:r>
        <w:rPr>
          <w:rFonts w:ascii="仿宋" w:hAnsi="仿宋" w:eastAsia="仿宋"/>
          <w:color w:val="auto"/>
          <w:sz w:val="24"/>
          <w:szCs w:val="28"/>
        </w:rPr>
        <w:t xml:space="preserve"> </w:t>
      </w:r>
    </w:p>
    <w:p>
      <w:pPr>
        <w:spacing w:line="360" w:lineRule="auto"/>
        <w:rPr>
          <w:rFonts w:hint="eastAsia" w:ascii="仿宋" w:hAnsi="仿宋" w:eastAsia="仿宋"/>
          <w:color w:val="auto"/>
          <w:sz w:val="24"/>
          <w:szCs w:val="28"/>
        </w:rPr>
      </w:pPr>
      <w:r>
        <w:rPr>
          <w:rFonts w:hint="eastAsia" w:ascii="仿宋" w:hAnsi="仿宋" w:eastAsia="仿宋"/>
          <w:color w:val="auto"/>
          <w:sz w:val="24"/>
          <w:szCs w:val="28"/>
        </w:rPr>
        <w:t>（</w:t>
      </w:r>
      <w:r>
        <w:rPr>
          <w:rFonts w:ascii="仿宋" w:hAnsi="仿宋" w:eastAsia="仿宋"/>
          <w:color w:val="auto"/>
          <w:sz w:val="24"/>
          <w:szCs w:val="28"/>
        </w:rPr>
        <w:t xml:space="preserve">4）分析与报告编制活动 </w:t>
      </w:r>
    </w:p>
    <w:p>
      <w:pPr>
        <w:spacing w:line="360" w:lineRule="auto"/>
        <w:ind w:firstLine="480" w:firstLineChars="200"/>
        <w:rPr>
          <w:rFonts w:hint="eastAsia" w:ascii="仿宋" w:hAnsi="仿宋" w:eastAsia="仿宋"/>
          <w:color w:val="auto"/>
          <w:sz w:val="24"/>
          <w:szCs w:val="28"/>
        </w:rPr>
      </w:pPr>
      <w:r>
        <w:rPr>
          <w:rFonts w:hint="eastAsia" w:ascii="仿宋" w:hAnsi="仿宋" w:eastAsia="仿宋"/>
          <w:color w:val="auto"/>
          <w:sz w:val="24"/>
          <w:szCs w:val="28"/>
        </w:rPr>
        <w:t>本活动是给出测评工作结果的活动，主要任务是根据</w:t>
      </w:r>
      <w:r>
        <w:rPr>
          <w:rFonts w:ascii="仿宋" w:hAnsi="仿宋" w:eastAsia="仿宋"/>
          <w:color w:val="auto"/>
          <w:sz w:val="24"/>
          <w:szCs w:val="28"/>
        </w:rPr>
        <w:t>GB/T 39786-2021《信息安全技术 信息系统密码应用基本要求》的有关要求，通过单元测评、整体测评、量化评估和风险分析等方法，找出被测信息系统密码应用的安全保护现状与相应等级的保护要求之间的差距，并分析这些差距可能导致的被测信息系统所面临的风险，从而给出各个测评对象的测评结果和被测信息系统的评估结论，形成商用密码应用安全性评估。</w:t>
      </w:r>
    </w:p>
    <w:p>
      <w:pPr>
        <w:spacing w:line="360" w:lineRule="auto"/>
        <w:ind w:firstLine="480" w:firstLineChars="200"/>
        <w:rPr>
          <w:rFonts w:hint="eastAsia" w:ascii="仿宋" w:hAnsi="仿宋" w:eastAsia="仿宋"/>
          <w:color w:val="auto"/>
          <w:sz w:val="24"/>
          <w:szCs w:val="28"/>
        </w:rPr>
      </w:pPr>
      <w:r>
        <w:rPr>
          <w:rFonts w:hint="eastAsia" w:ascii="仿宋" w:hAnsi="仿宋" w:eastAsia="仿宋"/>
          <w:color w:val="auto"/>
          <w:sz w:val="24"/>
          <w:szCs w:val="28"/>
        </w:rPr>
        <w:t>测评各阶段详细的服务内容如下表：</w:t>
      </w:r>
    </w:p>
    <w:tbl>
      <w:tblPr>
        <w:tblStyle w:val="12"/>
        <w:tblW w:w="5000"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787"/>
        <w:gridCol w:w="1434"/>
        <w:gridCol w:w="1413"/>
        <w:gridCol w:w="488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1" w:hRule="atLeast"/>
        </w:trPr>
        <w:tc>
          <w:tcPr>
            <w:tcW w:w="462" w:type="pct"/>
            <w:shd w:val="clear" w:color="000000" w:fill="FFFFFF"/>
            <w:vAlign w:val="center"/>
          </w:tcPr>
          <w:p>
            <w:pPr>
              <w:keepNext w:val="0"/>
              <w:keepLines w:val="0"/>
              <w:widowControl/>
              <w:suppressLineNumbers w:val="0"/>
              <w:spacing w:before="0" w:beforeAutospacing="0" w:after="0" w:afterAutospacing="0"/>
              <w:ind w:left="0" w:right="0"/>
              <w:rPr>
                <w:rFonts w:hint="eastAsia" w:ascii="仿宋" w:hAnsi="仿宋" w:eastAsia="仿宋" w:cs="宋体"/>
                <w:b/>
                <w:bCs/>
                <w:color w:val="auto"/>
                <w:kern w:val="0"/>
                <w:sz w:val="22"/>
              </w:rPr>
            </w:pPr>
            <w:r>
              <w:rPr>
                <w:rFonts w:hint="eastAsia" w:ascii="仿宋" w:hAnsi="仿宋" w:eastAsia="仿宋" w:cs="宋体"/>
                <w:b/>
                <w:bCs/>
                <w:color w:val="auto"/>
                <w:kern w:val="0"/>
                <w:sz w:val="22"/>
              </w:rPr>
              <w:t>序号</w:t>
            </w:r>
          </w:p>
        </w:tc>
        <w:tc>
          <w:tcPr>
            <w:tcW w:w="841" w:type="pct"/>
            <w:shd w:val="clear" w:color="000000" w:fill="FFFFFF"/>
            <w:vAlign w:val="center"/>
          </w:tcPr>
          <w:p>
            <w:pPr>
              <w:keepNext w:val="0"/>
              <w:keepLines w:val="0"/>
              <w:widowControl/>
              <w:suppressLineNumbers w:val="0"/>
              <w:spacing w:before="0" w:beforeAutospacing="0" w:after="0" w:afterAutospacing="0"/>
              <w:ind w:left="0" w:right="0"/>
              <w:rPr>
                <w:rFonts w:hint="eastAsia" w:ascii="仿宋" w:hAnsi="仿宋" w:eastAsia="仿宋" w:cs="宋体"/>
                <w:b/>
                <w:bCs/>
                <w:color w:val="auto"/>
                <w:kern w:val="0"/>
                <w:sz w:val="22"/>
              </w:rPr>
            </w:pPr>
            <w:r>
              <w:rPr>
                <w:rFonts w:hint="eastAsia" w:ascii="仿宋" w:hAnsi="仿宋" w:eastAsia="仿宋" w:cs="宋体"/>
                <w:b/>
                <w:bCs/>
                <w:color w:val="auto"/>
                <w:kern w:val="0"/>
                <w:sz w:val="22"/>
              </w:rPr>
              <w:t>测评阶段</w:t>
            </w:r>
          </w:p>
        </w:tc>
        <w:tc>
          <w:tcPr>
            <w:tcW w:w="829" w:type="pct"/>
            <w:shd w:val="clear" w:color="000000" w:fill="FFFFFF"/>
            <w:vAlign w:val="center"/>
          </w:tcPr>
          <w:p>
            <w:pPr>
              <w:keepNext w:val="0"/>
              <w:keepLines w:val="0"/>
              <w:widowControl/>
              <w:suppressLineNumbers w:val="0"/>
              <w:spacing w:before="0" w:beforeAutospacing="0" w:after="0" w:afterAutospacing="0"/>
              <w:ind w:left="0" w:right="0"/>
              <w:rPr>
                <w:rFonts w:hint="eastAsia" w:ascii="仿宋" w:hAnsi="仿宋" w:eastAsia="仿宋" w:cs="宋体"/>
                <w:b/>
                <w:bCs/>
                <w:color w:val="auto"/>
                <w:kern w:val="0"/>
                <w:sz w:val="22"/>
              </w:rPr>
            </w:pPr>
            <w:r>
              <w:rPr>
                <w:rFonts w:hint="eastAsia" w:ascii="仿宋" w:hAnsi="仿宋" w:eastAsia="仿宋" w:cs="宋体"/>
                <w:b/>
                <w:bCs/>
                <w:color w:val="auto"/>
                <w:kern w:val="0"/>
                <w:sz w:val="22"/>
              </w:rPr>
              <w:t>测评类</w:t>
            </w:r>
          </w:p>
        </w:tc>
        <w:tc>
          <w:tcPr>
            <w:tcW w:w="2867" w:type="pct"/>
            <w:shd w:val="clear" w:color="000000" w:fill="FFFFFF"/>
            <w:vAlign w:val="center"/>
          </w:tcPr>
          <w:p>
            <w:pPr>
              <w:keepNext w:val="0"/>
              <w:keepLines w:val="0"/>
              <w:widowControl/>
              <w:suppressLineNumbers w:val="0"/>
              <w:spacing w:before="0" w:beforeAutospacing="0" w:after="0" w:afterAutospacing="0"/>
              <w:ind w:left="0" w:right="0" w:firstLine="442"/>
              <w:jc w:val="center"/>
              <w:rPr>
                <w:rFonts w:hint="eastAsia" w:ascii="仿宋" w:hAnsi="仿宋" w:eastAsia="仿宋" w:cs="宋体"/>
                <w:b/>
                <w:bCs/>
                <w:color w:val="auto"/>
                <w:kern w:val="0"/>
                <w:sz w:val="22"/>
              </w:rPr>
            </w:pPr>
            <w:r>
              <w:rPr>
                <w:rFonts w:hint="eastAsia" w:ascii="仿宋" w:hAnsi="仿宋" w:eastAsia="仿宋" w:cs="宋体"/>
                <w:b/>
                <w:bCs/>
                <w:color w:val="auto"/>
                <w:kern w:val="0"/>
                <w:sz w:val="22"/>
              </w:rPr>
              <w:t>服务说明</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1" w:hRule="atLeast"/>
        </w:trPr>
        <w:tc>
          <w:tcPr>
            <w:tcW w:w="462" w:type="pct"/>
            <w:shd w:val="clear" w:color="000000" w:fill="FFFFFF"/>
            <w:vAlign w:val="center"/>
          </w:tcPr>
          <w:p>
            <w:pPr>
              <w:keepNext w:val="0"/>
              <w:keepLines w:val="0"/>
              <w:widowControl/>
              <w:suppressLineNumbers w:val="0"/>
              <w:spacing w:before="0" w:beforeAutospacing="0" w:after="0" w:afterAutospacing="0"/>
              <w:ind w:left="0" w:right="0" w:firstLine="440"/>
              <w:jc w:val="center"/>
              <w:rPr>
                <w:rFonts w:hint="eastAsia" w:ascii="仿宋" w:hAnsi="仿宋" w:eastAsia="仿宋" w:cs="宋体"/>
                <w:color w:val="auto"/>
                <w:kern w:val="0"/>
                <w:sz w:val="22"/>
              </w:rPr>
            </w:pPr>
            <w:r>
              <w:rPr>
                <w:rFonts w:hint="eastAsia" w:ascii="仿宋" w:hAnsi="仿宋" w:eastAsia="仿宋" w:cs="宋体"/>
                <w:color w:val="auto"/>
                <w:kern w:val="0"/>
                <w:sz w:val="22"/>
              </w:rPr>
              <w:t>1</w:t>
            </w:r>
          </w:p>
        </w:tc>
        <w:tc>
          <w:tcPr>
            <w:tcW w:w="841" w:type="pct"/>
            <w:shd w:val="clear" w:color="000000" w:fill="FFFFFF"/>
            <w:vAlign w:val="center"/>
          </w:tcPr>
          <w:p>
            <w:pPr>
              <w:keepNext w:val="0"/>
              <w:keepLines w:val="0"/>
              <w:widowControl/>
              <w:suppressLineNumbers w:val="0"/>
              <w:spacing w:before="0" w:beforeAutospacing="0" w:after="0" w:afterAutospacing="0"/>
              <w:ind w:left="0" w:right="0"/>
              <w:rPr>
                <w:rFonts w:hint="eastAsia" w:ascii="仿宋" w:hAnsi="仿宋" w:eastAsia="仿宋" w:cs="宋体"/>
                <w:color w:val="auto"/>
                <w:kern w:val="0"/>
                <w:sz w:val="22"/>
              </w:rPr>
            </w:pPr>
            <w:r>
              <w:rPr>
                <w:rFonts w:hint="eastAsia" w:ascii="仿宋" w:hAnsi="仿宋" w:eastAsia="仿宋" w:cs="宋体"/>
                <w:color w:val="auto"/>
                <w:kern w:val="0"/>
                <w:sz w:val="22"/>
              </w:rPr>
              <w:t>评估准备</w:t>
            </w:r>
          </w:p>
        </w:tc>
        <w:tc>
          <w:tcPr>
            <w:tcW w:w="829" w:type="pct"/>
            <w:shd w:val="clear" w:color="000000" w:fill="FFFFFF"/>
            <w:vAlign w:val="center"/>
          </w:tcPr>
          <w:p>
            <w:pPr>
              <w:keepNext w:val="0"/>
              <w:keepLines w:val="0"/>
              <w:widowControl/>
              <w:suppressLineNumbers w:val="0"/>
              <w:spacing w:before="0" w:beforeAutospacing="0" w:after="0" w:afterAutospacing="0"/>
              <w:ind w:left="0" w:right="0"/>
              <w:rPr>
                <w:rFonts w:hint="eastAsia" w:ascii="仿宋" w:hAnsi="仿宋" w:eastAsia="仿宋" w:cs="宋体"/>
                <w:color w:val="auto"/>
                <w:kern w:val="0"/>
                <w:sz w:val="22"/>
              </w:rPr>
            </w:pPr>
            <w:r>
              <w:rPr>
                <w:rFonts w:hint="eastAsia" w:ascii="仿宋" w:hAnsi="仿宋" w:eastAsia="仿宋" w:cs="宋体"/>
                <w:color w:val="auto"/>
                <w:kern w:val="0"/>
                <w:sz w:val="22"/>
              </w:rPr>
              <w:t>准备阶段</w:t>
            </w:r>
          </w:p>
        </w:tc>
        <w:tc>
          <w:tcPr>
            <w:tcW w:w="2867" w:type="pct"/>
            <w:shd w:val="clear" w:color="000000" w:fill="FFFFFF"/>
            <w:vAlign w:val="center"/>
          </w:tcPr>
          <w:p>
            <w:pPr>
              <w:keepNext w:val="0"/>
              <w:keepLines w:val="0"/>
              <w:widowControl/>
              <w:suppressLineNumbers w:val="0"/>
              <w:spacing w:before="0" w:beforeAutospacing="0" w:after="0" w:afterAutospacing="0"/>
              <w:ind w:left="0" w:right="0"/>
              <w:rPr>
                <w:rFonts w:hint="eastAsia" w:ascii="仿宋" w:hAnsi="仿宋" w:eastAsia="仿宋" w:cs="宋体"/>
                <w:color w:val="auto"/>
                <w:kern w:val="0"/>
                <w:sz w:val="22"/>
              </w:rPr>
            </w:pPr>
            <w:r>
              <w:rPr>
                <w:rFonts w:hint="eastAsia" w:ascii="仿宋" w:hAnsi="仿宋" w:eastAsia="仿宋" w:cs="宋体"/>
                <w:color w:val="auto"/>
                <w:kern w:val="0"/>
                <w:sz w:val="22"/>
              </w:rPr>
              <w:t>编制项目计划书、收集被测系统基本资料并完成调查表格，分析调查结果，准备工具和评估表单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10" w:hRule="atLeast"/>
        </w:trPr>
        <w:tc>
          <w:tcPr>
            <w:tcW w:w="462" w:type="pct"/>
            <w:shd w:val="clear" w:color="000000" w:fill="FFFFFF"/>
            <w:vAlign w:val="center"/>
          </w:tcPr>
          <w:p>
            <w:pPr>
              <w:keepNext w:val="0"/>
              <w:keepLines w:val="0"/>
              <w:widowControl/>
              <w:suppressLineNumbers w:val="0"/>
              <w:spacing w:before="0" w:beforeAutospacing="0" w:after="0" w:afterAutospacing="0"/>
              <w:ind w:left="0" w:right="0" w:firstLine="440"/>
              <w:jc w:val="center"/>
              <w:rPr>
                <w:rFonts w:hint="eastAsia" w:ascii="仿宋" w:hAnsi="仿宋" w:eastAsia="仿宋" w:cs="宋体"/>
                <w:color w:val="auto"/>
                <w:kern w:val="0"/>
                <w:sz w:val="22"/>
              </w:rPr>
            </w:pPr>
            <w:r>
              <w:rPr>
                <w:rFonts w:hint="eastAsia" w:ascii="仿宋" w:hAnsi="仿宋" w:eastAsia="仿宋" w:cs="宋体"/>
                <w:color w:val="auto"/>
                <w:kern w:val="0"/>
                <w:sz w:val="22"/>
              </w:rPr>
              <w:t>2</w:t>
            </w:r>
          </w:p>
        </w:tc>
        <w:tc>
          <w:tcPr>
            <w:tcW w:w="841" w:type="pct"/>
            <w:shd w:val="clear" w:color="000000" w:fill="FFFFFF"/>
            <w:vAlign w:val="center"/>
          </w:tcPr>
          <w:p>
            <w:pPr>
              <w:keepNext w:val="0"/>
              <w:keepLines w:val="0"/>
              <w:widowControl/>
              <w:suppressLineNumbers w:val="0"/>
              <w:spacing w:before="0" w:beforeAutospacing="0" w:after="0" w:afterAutospacing="0"/>
              <w:ind w:left="0" w:right="0"/>
              <w:rPr>
                <w:rFonts w:hint="eastAsia" w:ascii="仿宋" w:hAnsi="仿宋" w:eastAsia="仿宋" w:cs="宋体"/>
                <w:color w:val="auto"/>
                <w:kern w:val="0"/>
                <w:sz w:val="22"/>
              </w:rPr>
            </w:pPr>
            <w:r>
              <w:rPr>
                <w:rFonts w:hint="eastAsia" w:ascii="仿宋" w:hAnsi="仿宋" w:eastAsia="仿宋" w:cs="宋体"/>
                <w:color w:val="auto"/>
                <w:kern w:val="0"/>
                <w:sz w:val="22"/>
              </w:rPr>
              <w:t>方案编制</w:t>
            </w:r>
          </w:p>
        </w:tc>
        <w:tc>
          <w:tcPr>
            <w:tcW w:w="829" w:type="pct"/>
            <w:shd w:val="clear" w:color="000000" w:fill="FFFFFF"/>
            <w:vAlign w:val="center"/>
          </w:tcPr>
          <w:p>
            <w:pPr>
              <w:keepNext w:val="0"/>
              <w:keepLines w:val="0"/>
              <w:widowControl/>
              <w:suppressLineNumbers w:val="0"/>
              <w:spacing w:before="0" w:beforeAutospacing="0" w:after="0" w:afterAutospacing="0"/>
              <w:ind w:left="0" w:right="0"/>
              <w:rPr>
                <w:rFonts w:hint="eastAsia" w:ascii="仿宋" w:hAnsi="仿宋" w:eastAsia="仿宋" w:cs="宋体"/>
                <w:color w:val="auto"/>
                <w:kern w:val="0"/>
                <w:sz w:val="22"/>
              </w:rPr>
            </w:pPr>
            <w:r>
              <w:rPr>
                <w:rFonts w:hint="eastAsia" w:ascii="仿宋" w:hAnsi="仿宋" w:eastAsia="仿宋" w:cs="宋体"/>
                <w:color w:val="auto"/>
                <w:kern w:val="0"/>
                <w:sz w:val="22"/>
              </w:rPr>
              <w:t>评估方案编制</w:t>
            </w:r>
          </w:p>
        </w:tc>
        <w:tc>
          <w:tcPr>
            <w:tcW w:w="2867" w:type="pct"/>
            <w:shd w:val="clear" w:color="000000" w:fill="FFFFFF"/>
            <w:vAlign w:val="center"/>
          </w:tcPr>
          <w:p>
            <w:pPr>
              <w:keepNext w:val="0"/>
              <w:keepLines w:val="0"/>
              <w:widowControl/>
              <w:suppressLineNumbers w:val="0"/>
              <w:spacing w:before="0" w:beforeAutospacing="0" w:after="0" w:afterAutospacing="0"/>
              <w:ind w:left="0" w:right="0"/>
              <w:rPr>
                <w:rFonts w:hint="eastAsia" w:ascii="仿宋" w:hAnsi="仿宋" w:eastAsia="仿宋" w:cs="宋体"/>
                <w:color w:val="auto"/>
                <w:kern w:val="0"/>
                <w:sz w:val="22"/>
              </w:rPr>
            </w:pPr>
            <w:r>
              <w:rPr>
                <w:rFonts w:hint="eastAsia" w:ascii="仿宋" w:hAnsi="仿宋" w:eastAsia="仿宋" w:cs="宋体"/>
                <w:color w:val="auto"/>
                <w:kern w:val="0"/>
                <w:sz w:val="22"/>
              </w:rPr>
              <w:t>识别并描述被测系统基本情况、确定测评对象、资产和威胁评估、系统定级结果和测评指标、确定检查点和检查方法、确定单元测评内容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50" w:hRule="atLeast"/>
        </w:trPr>
        <w:tc>
          <w:tcPr>
            <w:tcW w:w="462" w:type="pct"/>
            <w:shd w:val="clear" w:color="000000" w:fill="FFFFFF"/>
            <w:vAlign w:val="center"/>
          </w:tcPr>
          <w:p>
            <w:pPr>
              <w:keepNext w:val="0"/>
              <w:keepLines w:val="0"/>
              <w:widowControl/>
              <w:suppressLineNumbers w:val="0"/>
              <w:spacing w:before="0" w:beforeAutospacing="0" w:after="0" w:afterAutospacing="0"/>
              <w:ind w:left="0" w:right="0" w:firstLine="440"/>
              <w:jc w:val="center"/>
              <w:rPr>
                <w:rFonts w:hint="eastAsia" w:ascii="仿宋" w:hAnsi="仿宋" w:eastAsia="仿宋" w:cs="宋体"/>
                <w:color w:val="auto"/>
                <w:kern w:val="0"/>
                <w:sz w:val="22"/>
              </w:rPr>
            </w:pPr>
            <w:r>
              <w:rPr>
                <w:rFonts w:hint="eastAsia" w:ascii="仿宋" w:hAnsi="仿宋" w:eastAsia="仿宋" w:cs="宋体"/>
                <w:color w:val="auto"/>
                <w:kern w:val="0"/>
                <w:sz w:val="22"/>
              </w:rPr>
              <w:t>3</w:t>
            </w:r>
          </w:p>
        </w:tc>
        <w:tc>
          <w:tcPr>
            <w:tcW w:w="841" w:type="pct"/>
            <w:shd w:val="clear" w:color="000000" w:fill="FFFFFF"/>
            <w:vAlign w:val="center"/>
          </w:tcPr>
          <w:p>
            <w:pPr>
              <w:keepNext w:val="0"/>
              <w:keepLines w:val="0"/>
              <w:widowControl/>
              <w:suppressLineNumbers w:val="0"/>
              <w:spacing w:before="0" w:beforeAutospacing="0" w:after="0" w:afterAutospacing="0"/>
              <w:ind w:left="0" w:right="0"/>
              <w:rPr>
                <w:rFonts w:hint="eastAsia" w:ascii="仿宋" w:hAnsi="仿宋" w:eastAsia="仿宋" w:cs="宋体"/>
                <w:color w:val="auto"/>
                <w:kern w:val="0"/>
                <w:sz w:val="22"/>
              </w:rPr>
            </w:pPr>
            <w:r>
              <w:rPr>
                <w:rFonts w:hint="eastAsia" w:ascii="仿宋" w:hAnsi="仿宋" w:eastAsia="仿宋" w:cs="宋体"/>
                <w:color w:val="auto"/>
                <w:kern w:val="0"/>
                <w:sz w:val="22"/>
              </w:rPr>
              <w:t>总体测评</w:t>
            </w:r>
          </w:p>
        </w:tc>
        <w:tc>
          <w:tcPr>
            <w:tcW w:w="829" w:type="pct"/>
            <w:shd w:val="clear" w:color="000000" w:fill="FFFFFF"/>
            <w:vAlign w:val="center"/>
          </w:tcPr>
          <w:p>
            <w:pPr>
              <w:keepNext w:val="0"/>
              <w:keepLines w:val="0"/>
              <w:widowControl/>
              <w:suppressLineNumbers w:val="0"/>
              <w:spacing w:before="0" w:beforeAutospacing="0" w:after="0" w:afterAutospacing="0"/>
              <w:ind w:left="0" w:right="0"/>
              <w:rPr>
                <w:rFonts w:hint="eastAsia" w:ascii="仿宋" w:hAnsi="仿宋" w:eastAsia="仿宋" w:cs="宋体"/>
                <w:color w:val="auto"/>
                <w:kern w:val="0"/>
                <w:sz w:val="22"/>
              </w:rPr>
            </w:pPr>
            <w:r>
              <w:rPr>
                <w:rFonts w:hint="eastAsia" w:ascii="仿宋" w:hAnsi="仿宋" w:eastAsia="仿宋" w:cs="宋体"/>
                <w:color w:val="auto"/>
                <w:kern w:val="0"/>
                <w:sz w:val="22"/>
              </w:rPr>
              <w:t>总体要求</w:t>
            </w:r>
          </w:p>
        </w:tc>
        <w:tc>
          <w:tcPr>
            <w:tcW w:w="2867" w:type="pct"/>
            <w:shd w:val="clear" w:color="000000" w:fill="FFFFFF"/>
            <w:vAlign w:val="center"/>
          </w:tcPr>
          <w:p>
            <w:pPr>
              <w:keepNext w:val="0"/>
              <w:keepLines w:val="0"/>
              <w:widowControl/>
              <w:suppressLineNumbers w:val="0"/>
              <w:spacing w:before="0" w:beforeAutospacing="0" w:after="0" w:afterAutospacing="0"/>
              <w:ind w:left="0" w:right="0"/>
              <w:rPr>
                <w:rFonts w:hint="eastAsia" w:ascii="仿宋" w:hAnsi="仿宋" w:eastAsia="仿宋" w:cs="宋体"/>
                <w:color w:val="auto"/>
                <w:kern w:val="0"/>
                <w:sz w:val="22"/>
              </w:rPr>
            </w:pPr>
            <w:r>
              <w:rPr>
                <w:rFonts w:hint="eastAsia" w:ascii="仿宋" w:hAnsi="仿宋" w:eastAsia="仿宋" w:cs="宋体"/>
                <w:color w:val="auto"/>
                <w:kern w:val="0"/>
                <w:sz w:val="22"/>
              </w:rPr>
              <w:t>通过访谈、配置检查和工具测试的方式评估信息系统的密码算法、密码技术、密码产品和密码服务的合规性</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70" w:hRule="atLeast"/>
        </w:trPr>
        <w:tc>
          <w:tcPr>
            <w:tcW w:w="462" w:type="pct"/>
            <w:vMerge w:val="restart"/>
            <w:vAlign w:val="center"/>
          </w:tcPr>
          <w:p>
            <w:pPr>
              <w:keepNext w:val="0"/>
              <w:keepLines w:val="0"/>
              <w:widowControl/>
              <w:suppressLineNumbers w:val="0"/>
              <w:spacing w:before="0" w:beforeAutospacing="0" w:after="0" w:afterAutospacing="0"/>
              <w:ind w:left="0" w:right="0" w:firstLine="440"/>
              <w:jc w:val="center"/>
              <w:rPr>
                <w:rFonts w:hint="eastAsia" w:ascii="仿宋" w:hAnsi="仿宋" w:eastAsia="仿宋" w:cs="宋体"/>
                <w:color w:val="auto"/>
                <w:kern w:val="0"/>
                <w:sz w:val="22"/>
              </w:rPr>
            </w:pPr>
            <w:r>
              <w:rPr>
                <w:rFonts w:hint="eastAsia" w:ascii="仿宋" w:hAnsi="仿宋" w:eastAsia="仿宋" w:cs="宋体"/>
                <w:color w:val="auto"/>
                <w:kern w:val="0"/>
                <w:sz w:val="22"/>
              </w:rPr>
              <w:t>4</w:t>
            </w:r>
          </w:p>
        </w:tc>
        <w:tc>
          <w:tcPr>
            <w:tcW w:w="841" w:type="pct"/>
            <w:vMerge w:val="restart"/>
            <w:vAlign w:val="center"/>
          </w:tcPr>
          <w:p>
            <w:pPr>
              <w:keepNext w:val="0"/>
              <w:keepLines w:val="0"/>
              <w:widowControl/>
              <w:suppressLineNumbers w:val="0"/>
              <w:spacing w:before="0" w:beforeAutospacing="0" w:after="0" w:afterAutospacing="0"/>
              <w:ind w:left="0" w:right="0"/>
              <w:rPr>
                <w:rFonts w:hint="eastAsia" w:ascii="仿宋" w:hAnsi="仿宋" w:eastAsia="仿宋" w:cs="宋体"/>
                <w:color w:val="auto"/>
                <w:kern w:val="0"/>
                <w:sz w:val="22"/>
              </w:rPr>
            </w:pPr>
            <w:r>
              <w:rPr>
                <w:rFonts w:hint="eastAsia" w:ascii="仿宋" w:hAnsi="仿宋" w:eastAsia="仿宋" w:cs="宋体"/>
                <w:color w:val="auto"/>
                <w:kern w:val="0"/>
                <w:sz w:val="22"/>
              </w:rPr>
              <w:t>安全技术测评</w:t>
            </w:r>
          </w:p>
        </w:tc>
        <w:tc>
          <w:tcPr>
            <w:tcW w:w="829" w:type="pct"/>
            <w:vAlign w:val="center"/>
          </w:tcPr>
          <w:p>
            <w:pPr>
              <w:keepNext w:val="0"/>
              <w:keepLines w:val="0"/>
              <w:widowControl/>
              <w:suppressLineNumbers w:val="0"/>
              <w:spacing w:before="0" w:beforeAutospacing="0" w:after="0" w:afterAutospacing="0"/>
              <w:ind w:left="0" w:right="0"/>
              <w:rPr>
                <w:rFonts w:hint="eastAsia" w:ascii="仿宋" w:hAnsi="仿宋" w:eastAsia="仿宋" w:cs="宋体"/>
                <w:color w:val="auto"/>
                <w:kern w:val="0"/>
                <w:sz w:val="22"/>
              </w:rPr>
            </w:pPr>
            <w:r>
              <w:rPr>
                <w:rFonts w:hint="eastAsia" w:ascii="仿宋" w:hAnsi="仿宋" w:eastAsia="仿宋" w:cs="宋体"/>
                <w:color w:val="auto"/>
                <w:kern w:val="0"/>
                <w:sz w:val="22"/>
              </w:rPr>
              <w:t>物理和环境安全</w:t>
            </w:r>
          </w:p>
        </w:tc>
        <w:tc>
          <w:tcPr>
            <w:tcW w:w="2867" w:type="pct"/>
            <w:vAlign w:val="center"/>
          </w:tcPr>
          <w:p>
            <w:pPr>
              <w:keepNext w:val="0"/>
              <w:keepLines w:val="0"/>
              <w:widowControl/>
              <w:suppressLineNumbers w:val="0"/>
              <w:spacing w:before="0" w:beforeAutospacing="0" w:after="0" w:afterAutospacing="0"/>
              <w:ind w:left="0" w:right="0"/>
              <w:rPr>
                <w:rFonts w:hint="eastAsia" w:ascii="仿宋" w:hAnsi="仿宋" w:eastAsia="仿宋" w:cs="宋体"/>
                <w:color w:val="auto"/>
                <w:kern w:val="0"/>
                <w:sz w:val="22"/>
              </w:rPr>
            </w:pPr>
            <w:r>
              <w:rPr>
                <w:rFonts w:hint="eastAsia" w:ascii="仿宋" w:hAnsi="仿宋" w:eastAsia="仿宋" w:cs="宋体"/>
                <w:color w:val="auto"/>
                <w:kern w:val="0"/>
                <w:sz w:val="22"/>
              </w:rPr>
              <w:t>通过访谈、配置检查和工具测试的方式测评信息系统机房环境的安全情况。主要涉及对象为机房环境的电子门禁系统。本次评测包括电子门禁的身份鉴别和电子门禁记录的完整性保护。</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70" w:hRule="atLeast"/>
        </w:trPr>
        <w:tc>
          <w:tcPr>
            <w:tcW w:w="462" w:type="pct"/>
            <w:vMerge w:val="continue"/>
            <w:vAlign w:val="center"/>
          </w:tcPr>
          <w:p>
            <w:pPr>
              <w:keepNext w:val="0"/>
              <w:keepLines w:val="0"/>
              <w:widowControl/>
              <w:suppressLineNumbers w:val="0"/>
              <w:spacing w:before="0" w:beforeAutospacing="0" w:after="0" w:afterAutospacing="0"/>
              <w:ind w:left="0" w:right="0" w:firstLine="440"/>
              <w:jc w:val="left"/>
              <w:rPr>
                <w:rFonts w:hint="eastAsia" w:ascii="仿宋" w:hAnsi="仿宋" w:eastAsia="仿宋" w:cs="宋体"/>
                <w:color w:val="auto"/>
                <w:kern w:val="0"/>
                <w:sz w:val="22"/>
              </w:rPr>
            </w:pPr>
          </w:p>
        </w:tc>
        <w:tc>
          <w:tcPr>
            <w:tcW w:w="841" w:type="pct"/>
            <w:vMerge w:val="continue"/>
            <w:vAlign w:val="center"/>
          </w:tcPr>
          <w:p>
            <w:pPr>
              <w:keepNext w:val="0"/>
              <w:keepLines w:val="0"/>
              <w:widowControl/>
              <w:suppressLineNumbers w:val="0"/>
              <w:spacing w:before="0" w:beforeAutospacing="0" w:after="0" w:afterAutospacing="0"/>
              <w:ind w:left="0" w:right="0" w:firstLine="440"/>
              <w:jc w:val="center"/>
              <w:rPr>
                <w:rFonts w:hint="eastAsia" w:ascii="仿宋" w:hAnsi="仿宋" w:eastAsia="仿宋" w:cs="宋体"/>
                <w:color w:val="auto"/>
                <w:kern w:val="0"/>
                <w:sz w:val="22"/>
              </w:rPr>
            </w:pPr>
          </w:p>
        </w:tc>
        <w:tc>
          <w:tcPr>
            <w:tcW w:w="829" w:type="pct"/>
            <w:vAlign w:val="center"/>
          </w:tcPr>
          <w:p>
            <w:pPr>
              <w:keepNext w:val="0"/>
              <w:keepLines w:val="0"/>
              <w:widowControl/>
              <w:suppressLineNumbers w:val="0"/>
              <w:spacing w:before="0" w:beforeAutospacing="0" w:after="0" w:afterAutospacing="0"/>
              <w:ind w:left="0" w:right="0"/>
              <w:rPr>
                <w:rFonts w:hint="eastAsia" w:ascii="仿宋" w:hAnsi="仿宋" w:eastAsia="仿宋" w:cs="宋体"/>
                <w:color w:val="auto"/>
                <w:kern w:val="0"/>
                <w:sz w:val="22"/>
              </w:rPr>
            </w:pPr>
            <w:r>
              <w:rPr>
                <w:rFonts w:hint="eastAsia" w:ascii="仿宋" w:hAnsi="仿宋" w:eastAsia="仿宋" w:cs="宋体"/>
                <w:color w:val="auto"/>
                <w:kern w:val="0"/>
                <w:sz w:val="22"/>
              </w:rPr>
              <w:t>网络和通信安全</w:t>
            </w:r>
          </w:p>
        </w:tc>
        <w:tc>
          <w:tcPr>
            <w:tcW w:w="2867" w:type="pct"/>
            <w:vAlign w:val="center"/>
          </w:tcPr>
          <w:p>
            <w:pPr>
              <w:keepNext w:val="0"/>
              <w:keepLines w:val="0"/>
              <w:widowControl/>
              <w:suppressLineNumbers w:val="0"/>
              <w:spacing w:before="0" w:beforeAutospacing="0" w:after="0" w:afterAutospacing="0"/>
              <w:ind w:left="0" w:right="0"/>
              <w:rPr>
                <w:rFonts w:hint="eastAsia" w:ascii="仿宋" w:hAnsi="仿宋" w:eastAsia="仿宋" w:cs="宋体"/>
                <w:color w:val="auto"/>
                <w:kern w:val="0"/>
                <w:sz w:val="22"/>
              </w:rPr>
            </w:pPr>
            <w:r>
              <w:rPr>
                <w:rFonts w:hint="eastAsia" w:ascii="仿宋" w:hAnsi="仿宋" w:eastAsia="仿宋" w:cs="宋体"/>
                <w:color w:val="auto"/>
                <w:kern w:val="0"/>
                <w:sz w:val="22"/>
              </w:rPr>
              <w:t>通过访谈、配置检查和工具测试的方式测评信息系统的网络和通信安全保障情况。本次重点测评包括通信对象的身份鉴别、访问控制信息完整性、通信数据完整性和通信数据机密性等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90" w:hRule="atLeast"/>
        </w:trPr>
        <w:tc>
          <w:tcPr>
            <w:tcW w:w="462" w:type="pct"/>
            <w:vMerge w:val="continue"/>
            <w:vAlign w:val="center"/>
          </w:tcPr>
          <w:p>
            <w:pPr>
              <w:keepNext w:val="0"/>
              <w:keepLines w:val="0"/>
              <w:widowControl/>
              <w:suppressLineNumbers w:val="0"/>
              <w:spacing w:before="0" w:beforeAutospacing="0" w:after="0" w:afterAutospacing="0"/>
              <w:ind w:left="0" w:right="0" w:firstLine="440"/>
              <w:jc w:val="left"/>
              <w:rPr>
                <w:rFonts w:hint="eastAsia" w:ascii="仿宋" w:hAnsi="仿宋" w:eastAsia="仿宋" w:cs="宋体"/>
                <w:color w:val="auto"/>
                <w:kern w:val="0"/>
                <w:sz w:val="22"/>
              </w:rPr>
            </w:pPr>
          </w:p>
        </w:tc>
        <w:tc>
          <w:tcPr>
            <w:tcW w:w="841" w:type="pct"/>
            <w:vMerge w:val="continue"/>
            <w:vAlign w:val="center"/>
          </w:tcPr>
          <w:p>
            <w:pPr>
              <w:keepNext w:val="0"/>
              <w:keepLines w:val="0"/>
              <w:widowControl/>
              <w:suppressLineNumbers w:val="0"/>
              <w:spacing w:before="0" w:beforeAutospacing="0" w:after="0" w:afterAutospacing="0"/>
              <w:ind w:left="0" w:right="0" w:firstLine="440"/>
              <w:jc w:val="center"/>
              <w:rPr>
                <w:rFonts w:hint="eastAsia" w:ascii="仿宋" w:hAnsi="仿宋" w:eastAsia="仿宋" w:cs="宋体"/>
                <w:color w:val="auto"/>
                <w:kern w:val="0"/>
                <w:sz w:val="22"/>
              </w:rPr>
            </w:pPr>
          </w:p>
        </w:tc>
        <w:tc>
          <w:tcPr>
            <w:tcW w:w="829" w:type="pct"/>
            <w:vAlign w:val="center"/>
          </w:tcPr>
          <w:p>
            <w:pPr>
              <w:keepNext w:val="0"/>
              <w:keepLines w:val="0"/>
              <w:widowControl/>
              <w:suppressLineNumbers w:val="0"/>
              <w:spacing w:before="0" w:beforeAutospacing="0" w:after="0" w:afterAutospacing="0"/>
              <w:ind w:left="0" w:right="0"/>
              <w:rPr>
                <w:rFonts w:hint="eastAsia" w:ascii="仿宋" w:hAnsi="仿宋" w:eastAsia="仿宋" w:cs="宋体"/>
                <w:color w:val="auto"/>
                <w:kern w:val="0"/>
                <w:sz w:val="22"/>
              </w:rPr>
            </w:pPr>
            <w:r>
              <w:rPr>
                <w:rFonts w:hint="eastAsia" w:ascii="仿宋" w:hAnsi="仿宋" w:eastAsia="仿宋" w:cs="宋体"/>
                <w:color w:val="auto"/>
                <w:kern w:val="0"/>
                <w:sz w:val="22"/>
              </w:rPr>
              <w:t>设备和计算安全</w:t>
            </w:r>
          </w:p>
        </w:tc>
        <w:tc>
          <w:tcPr>
            <w:tcW w:w="2867" w:type="pct"/>
            <w:vAlign w:val="center"/>
          </w:tcPr>
          <w:p>
            <w:pPr>
              <w:keepNext w:val="0"/>
              <w:keepLines w:val="0"/>
              <w:widowControl/>
              <w:suppressLineNumbers w:val="0"/>
              <w:spacing w:before="0" w:beforeAutospacing="0" w:after="0" w:afterAutospacing="0"/>
              <w:ind w:left="0" w:right="0"/>
              <w:rPr>
                <w:rFonts w:hint="eastAsia" w:ascii="仿宋" w:hAnsi="仿宋" w:eastAsia="仿宋" w:cs="宋体"/>
                <w:color w:val="auto"/>
                <w:kern w:val="0"/>
                <w:sz w:val="22"/>
              </w:rPr>
            </w:pPr>
            <w:r>
              <w:rPr>
                <w:rFonts w:hint="eastAsia" w:ascii="仿宋" w:hAnsi="仿宋" w:eastAsia="仿宋" w:cs="宋体"/>
                <w:color w:val="auto"/>
                <w:kern w:val="0"/>
                <w:sz w:val="22"/>
              </w:rPr>
              <w:t>通过访谈、配置检查和工具测试的方式测评信息系统的主机安全保障情况，本次重点测评包括本地主机和数据库服务器身份鉴别、远程管理身份鉴别身份信息机密性、访问控制信息完整性、敏感标记完整性、日志记录完整性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31" w:hRule="atLeast"/>
        </w:trPr>
        <w:tc>
          <w:tcPr>
            <w:tcW w:w="462" w:type="pct"/>
            <w:vMerge w:val="continue"/>
            <w:vAlign w:val="center"/>
          </w:tcPr>
          <w:p>
            <w:pPr>
              <w:keepNext w:val="0"/>
              <w:keepLines w:val="0"/>
              <w:widowControl/>
              <w:suppressLineNumbers w:val="0"/>
              <w:spacing w:before="0" w:beforeAutospacing="0" w:after="0" w:afterAutospacing="0"/>
              <w:ind w:left="0" w:right="0" w:firstLine="440"/>
              <w:jc w:val="left"/>
              <w:rPr>
                <w:rFonts w:hint="eastAsia" w:ascii="仿宋" w:hAnsi="仿宋" w:eastAsia="仿宋" w:cs="宋体"/>
                <w:color w:val="auto"/>
                <w:kern w:val="0"/>
                <w:sz w:val="22"/>
              </w:rPr>
            </w:pPr>
          </w:p>
        </w:tc>
        <w:tc>
          <w:tcPr>
            <w:tcW w:w="841" w:type="pct"/>
            <w:vMerge w:val="continue"/>
            <w:vAlign w:val="center"/>
          </w:tcPr>
          <w:p>
            <w:pPr>
              <w:keepNext w:val="0"/>
              <w:keepLines w:val="0"/>
              <w:widowControl/>
              <w:suppressLineNumbers w:val="0"/>
              <w:spacing w:before="0" w:beforeAutospacing="0" w:after="0" w:afterAutospacing="0"/>
              <w:ind w:left="0" w:right="0" w:firstLine="440"/>
              <w:jc w:val="center"/>
              <w:rPr>
                <w:rFonts w:hint="eastAsia" w:ascii="仿宋" w:hAnsi="仿宋" w:eastAsia="仿宋" w:cs="宋体"/>
                <w:color w:val="auto"/>
                <w:kern w:val="0"/>
                <w:sz w:val="22"/>
              </w:rPr>
            </w:pPr>
          </w:p>
        </w:tc>
        <w:tc>
          <w:tcPr>
            <w:tcW w:w="829" w:type="pct"/>
            <w:vAlign w:val="center"/>
          </w:tcPr>
          <w:p>
            <w:pPr>
              <w:keepNext w:val="0"/>
              <w:keepLines w:val="0"/>
              <w:widowControl/>
              <w:suppressLineNumbers w:val="0"/>
              <w:spacing w:before="0" w:beforeAutospacing="0" w:after="0" w:afterAutospacing="0"/>
              <w:ind w:left="0" w:right="0"/>
              <w:rPr>
                <w:rFonts w:hint="eastAsia" w:ascii="仿宋" w:hAnsi="仿宋" w:eastAsia="仿宋" w:cs="宋体"/>
                <w:color w:val="auto"/>
                <w:kern w:val="0"/>
                <w:sz w:val="22"/>
              </w:rPr>
            </w:pPr>
            <w:r>
              <w:rPr>
                <w:rFonts w:hint="eastAsia" w:ascii="仿宋" w:hAnsi="仿宋" w:eastAsia="仿宋" w:cs="宋体"/>
                <w:color w:val="auto"/>
                <w:kern w:val="0"/>
                <w:sz w:val="22"/>
              </w:rPr>
              <w:t>应用和数据安全</w:t>
            </w:r>
          </w:p>
        </w:tc>
        <w:tc>
          <w:tcPr>
            <w:tcW w:w="2867" w:type="pct"/>
            <w:vAlign w:val="center"/>
          </w:tcPr>
          <w:p>
            <w:pPr>
              <w:keepNext w:val="0"/>
              <w:keepLines w:val="0"/>
              <w:widowControl/>
              <w:suppressLineNumbers w:val="0"/>
              <w:spacing w:before="0" w:beforeAutospacing="0" w:after="0" w:afterAutospacing="0"/>
              <w:ind w:left="0" w:right="0"/>
              <w:rPr>
                <w:rFonts w:hint="eastAsia" w:ascii="仿宋" w:hAnsi="仿宋" w:eastAsia="仿宋" w:cs="宋体"/>
                <w:color w:val="auto"/>
                <w:kern w:val="0"/>
                <w:sz w:val="22"/>
              </w:rPr>
            </w:pPr>
            <w:r>
              <w:rPr>
                <w:rFonts w:hint="eastAsia" w:ascii="仿宋" w:hAnsi="仿宋" w:eastAsia="仿宋" w:cs="宋体"/>
                <w:color w:val="auto"/>
                <w:kern w:val="0"/>
                <w:sz w:val="22"/>
              </w:rPr>
              <w:t>将通过访谈、配置检查的方式测评信息系统的数据安全保障情况，主要涉及对象为信息系统的管理数据及业务数据等,本次重点测评包括信息系统身份鉴别、访问控制信息完整性、数据传输机密性、数据存储机密性、数据传输完整性、数据存储完整性、日志记录完整性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55" w:hRule="atLeast"/>
        </w:trPr>
        <w:tc>
          <w:tcPr>
            <w:tcW w:w="462" w:type="pct"/>
            <w:vAlign w:val="center"/>
          </w:tcPr>
          <w:p>
            <w:pPr>
              <w:keepNext w:val="0"/>
              <w:keepLines w:val="0"/>
              <w:widowControl/>
              <w:suppressLineNumbers w:val="0"/>
              <w:spacing w:before="0" w:beforeAutospacing="0" w:after="0" w:afterAutospacing="0"/>
              <w:ind w:left="0" w:right="0" w:firstLine="440"/>
              <w:jc w:val="center"/>
              <w:rPr>
                <w:rFonts w:hint="eastAsia" w:ascii="仿宋" w:hAnsi="仿宋" w:eastAsia="仿宋" w:cs="宋体"/>
                <w:color w:val="auto"/>
                <w:kern w:val="0"/>
                <w:sz w:val="22"/>
              </w:rPr>
            </w:pPr>
            <w:r>
              <w:rPr>
                <w:rFonts w:hint="default" w:ascii="仿宋" w:hAnsi="仿宋" w:eastAsia="仿宋" w:cs="宋体"/>
                <w:color w:val="auto"/>
                <w:kern w:val="0"/>
                <w:sz w:val="22"/>
              </w:rPr>
              <w:t>5</w:t>
            </w:r>
          </w:p>
        </w:tc>
        <w:tc>
          <w:tcPr>
            <w:tcW w:w="841" w:type="pct"/>
            <w:vAlign w:val="center"/>
          </w:tcPr>
          <w:p>
            <w:pPr>
              <w:keepNext w:val="0"/>
              <w:keepLines w:val="0"/>
              <w:widowControl/>
              <w:suppressLineNumbers w:val="0"/>
              <w:spacing w:before="0" w:beforeAutospacing="0" w:after="0" w:afterAutospacing="0"/>
              <w:ind w:left="0" w:right="0"/>
              <w:rPr>
                <w:rFonts w:hint="eastAsia" w:ascii="仿宋" w:hAnsi="仿宋" w:eastAsia="仿宋" w:cs="宋体"/>
                <w:color w:val="auto"/>
                <w:kern w:val="0"/>
                <w:sz w:val="22"/>
              </w:rPr>
            </w:pPr>
            <w:r>
              <w:rPr>
                <w:rFonts w:hint="eastAsia" w:ascii="仿宋" w:hAnsi="仿宋" w:eastAsia="仿宋" w:cs="宋体"/>
                <w:color w:val="auto"/>
                <w:kern w:val="0"/>
                <w:sz w:val="22"/>
              </w:rPr>
              <w:t>安全管理测评</w:t>
            </w:r>
          </w:p>
        </w:tc>
        <w:tc>
          <w:tcPr>
            <w:tcW w:w="829" w:type="pct"/>
            <w:vAlign w:val="center"/>
          </w:tcPr>
          <w:p>
            <w:pPr>
              <w:keepNext w:val="0"/>
              <w:keepLines w:val="0"/>
              <w:widowControl/>
              <w:suppressLineNumbers w:val="0"/>
              <w:spacing w:before="0" w:beforeAutospacing="0" w:after="0" w:afterAutospacing="0"/>
              <w:ind w:left="0" w:right="0"/>
              <w:rPr>
                <w:rFonts w:hint="eastAsia" w:ascii="仿宋" w:hAnsi="仿宋" w:eastAsia="仿宋" w:cs="宋体"/>
                <w:color w:val="auto"/>
                <w:kern w:val="0"/>
                <w:sz w:val="22"/>
              </w:rPr>
            </w:pPr>
            <w:r>
              <w:rPr>
                <w:rFonts w:hint="eastAsia" w:ascii="仿宋" w:hAnsi="仿宋" w:eastAsia="仿宋" w:cs="宋体"/>
                <w:color w:val="auto"/>
                <w:kern w:val="0"/>
                <w:sz w:val="22"/>
              </w:rPr>
              <w:t>安全管理</w:t>
            </w:r>
          </w:p>
        </w:tc>
        <w:tc>
          <w:tcPr>
            <w:tcW w:w="2867" w:type="pct"/>
            <w:vAlign w:val="center"/>
          </w:tcPr>
          <w:p>
            <w:pPr>
              <w:keepNext w:val="0"/>
              <w:keepLines w:val="0"/>
              <w:widowControl/>
              <w:suppressLineNumbers w:val="0"/>
              <w:spacing w:before="0" w:beforeAutospacing="0" w:after="0" w:afterAutospacing="0"/>
              <w:ind w:left="0" w:right="0"/>
              <w:rPr>
                <w:rFonts w:hint="eastAsia" w:ascii="仿宋" w:hAnsi="仿宋" w:eastAsia="仿宋" w:cs="宋体"/>
                <w:color w:val="auto"/>
                <w:kern w:val="0"/>
                <w:sz w:val="22"/>
              </w:rPr>
            </w:pPr>
            <w:r>
              <w:rPr>
                <w:rFonts w:hint="eastAsia" w:ascii="仿宋" w:hAnsi="仿宋" w:eastAsia="仿宋" w:cs="宋体"/>
                <w:color w:val="auto"/>
                <w:kern w:val="0"/>
                <w:sz w:val="22"/>
              </w:rPr>
              <w:t>安全管理部分为全局性问题，涉及密码安全管理制度、密码安全管理人员、系统实施和系统应急管理等四个方面。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43" w:hRule="atLeast"/>
        </w:trPr>
        <w:tc>
          <w:tcPr>
            <w:tcW w:w="462" w:type="pct"/>
            <w:vAlign w:val="center"/>
          </w:tcPr>
          <w:p>
            <w:pPr>
              <w:keepNext w:val="0"/>
              <w:keepLines w:val="0"/>
              <w:widowControl/>
              <w:suppressLineNumbers w:val="0"/>
              <w:spacing w:before="0" w:beforeAutospacing="0" w:after="0" w:afterAutospacing="0"/>
              <w:ind w:left="0" w:right="0" w:firstLine="440"/>
              <w:jc w:val="center"/>
              <w:rPr>
                <w:rFonts w:hint="eastAsia" w:ascii="仿宋" w:hAnsi="仿宋" w:eastAsia="仿宋" w:cs="宋体"/>
                <w:color w:val="auto"/>
                <w:kern w:val="0"/>
                <w:sz w:val="22"/>
              </w:rPr>
            </w:pPr>
            <w:r>
              <w:rPr>
                <w:rFonts w:hint="default" w:ascii="仿宋" w:hAnsi="仿宋" w:eastAsia="仿宋" w:cs="宋体"/>
                <w:color w:val="auto"/>
                <w:kern w:val="0"/>
                <w:sz w:val="22"/>
              </w:rPr>
              <w:t>6</w:t>
            </w:r>
          </w:p>
        </w:tc>
        <w:tc>
          <w:tcPr>
            <w:tcW w:w="841" w:type="pct"/>
            <w:vAlign w:val="center"/>
          </w:tcPr>
          <w:p>
            <w:pPr>
              <w:keepNext w:val="0"/>
              <w:keepLines w:val="0"/>
              <w:widowControl/>
              <w:suppressLineNumbers w:val="0"/>
              <w:spacing w:before="0" w:beforeAutospacing="0" w:after="0" w:afterAutospacing="0"/>
              <w:ind w:left="0" w:right="0"/>
              <w:rPr>
                <w:rFonts w:hint="eastAsia" w:ascii="仿宋" w:hAnsi="仿宋" w:eastAsia="仿宋" w:cs="宋体"/>
                <w:color w:val="auto"/>
                <w:kern w:val="0"/>
                <w:sz w:val="22"/>
              </w:rPr>
            </w:pPr>
            <w:r>
              <w:rPr>
                <w:rFonts w:hint="eastAsia" w:ascii="仿宋" w:hAnsi="仿宋" w:eastAsia="仿宋" w:cs="宋体"/>
                <w:color w:val="auto"/>
                <w:kern w:val="0"/>
                <w:sz w:val="22"/>
              </w:rPr>
              <w:t>分析报告阶段</w:t>
            </w:r>
          </w:p>
        </w:tc>
        <w:tc>
          <w:tcPr>
            <w:tcW w:w="829" w:type="pct"/>
            <w:vAlign w:val="center"/>
          </w:tcPr>
          <w:p>
            <w:pPr>
              <w:keepNext w:val="0"/>
              <w:keepLines w:val="0"/>
              <w:widowControl/>
              <w:suppressLineNumbers w:val="0"/>
              <w:spacing w:before="0" w:beforeAutospacing="0" w:after="0" w:afterAutospacing="0"/>
              <w:ind w:left="0" w:right="0"/>
              <w:rPr>
                <w:rFonts w:hint="eastAsia" w:ascii="仿宋" w:hAnsi="仿宋" w:eastAsia="仿宋" w:cs="宋体"/>
                <w:color w:val="auto"/>
                <w:kern w:val="0"/>
                <w:sz w:val="22"/>
              </w:rPr>
            </w:pPr>
            <w:r>
              <w:rPr>
                <w:rFonts w:hint="eastAsia" w:ascii="仿宋" w:hAnsi="仿宋" w:eastAsia="仿宋" w:cs="宋体"/>
                <w:color w:val="auto"/>
                <w:kern w:val="0"/>
                <w:sz w:val="22"/>
              </w:rPr>
              <w:t>报告编制</w:t>
            </w:r>
          </w:p>
        </w:tc>
        <w:tc>
          <w:tcPr>
            <w:tcW w:w="2867" w:type="pct"/>
            <w:vAlign w:val="center"/>
          </w:tcPr>
          <w:p>
            <w:pPr>
              <w:keepNext w:val="0"/>
              <w:keepLines w:val="0"/>
              <w:widowControl/>
              <w:suppressLineNumbers w:val="0"/>
              <w:spacing w:before="0" w:beforeAutospacing="0" w:after="0" w:afterAutospacing="0"/>
              <w:ind w:left="0" w:right="0"/>
              <w:rPr>
                <w:rFonts w:hint="eastAsia" w:ascii="仿宋" w:hAnsi="仿宋" w:eastAsia="仿宋" w:cs="宋体"/>
                <w:color w:val="auto"/>
                <w:kern w:val="0"/>
                <w:sz w:val="22"/>
              </w:rPr>
            </w:pPr>
            <w:r>
              <w:rPr>
                <w:rFonts w:hint="eastAsia" w:ascii="仿宋" w:hAnsi="仿宋" w:eastAsia="仿宋" w:cs="宋体"/>
                <w:color w:val="auto"/>
                <w:kern w:val="0"/>
                <w:sz w:val="22"/>
              </w:rPr>
              <w:t>根据测评编制《密码应用测评报告》，包括：概述、被测系统描述、测评对象说明、测评指标说明、测评内容和方法说明、单元测评的结果记录及结果汇总、整体测评、测评结果汇总、风险分析、评估结论等内容。</w:t>
            </w:r>
          </w:p>
        </w:tc>
      </w:tr>
    </w:tbl>
    <w:p>
      <w:pPr>
        <w:spacing w:line="360" w:lineRule="auto"/>
        <w:ind w:firstLine="480" w:firstLineChars="200"/>
        <w:rPr>
          <w:rFonts w:hint="eastAsia" w:ascii="仿宋" w:hAnsi="仿宋" w:eastAsia="仿宋"/>
          <w:color w:val="auto"/>
          <w:sz w:val="24"/>
          <w:szCs w:val="28"/>
        </w:rPr>
      </w:pPr>
      <w:r>
        <w:rPr>
          <w:rFonts w:hint="eastAsia" w:ascii="仿宋" w:hAnsi="仿宋" w:eastAsia="仿宋"/>
          <w:color w:val="auto"/>
          <w:sz w:val="24"/>
          <w:szCs w:val="28"/>
        </w:rPr>
        <w:t>测评服务流程如下图所示：</w:t>
      </w:r>
    </w:p>
    <w:p>
      <w:pPr>
        <w:spacing w:line="360" w:lineRule="auto"/>
        <w:rPr>
          <w:rFonts w:hint="eastAsia" w:ascii="仿宋" w:hAnsi="仿宋" w:eastAsia="仿宋"/>
          <w:color w:val="auto"/>
          <w:sz w:val="24"/>
          <w:szCs w:val="28"/>
        </w:rPr>
      </w:pPr>
      <w:r>
        <w:rPr>
          <w:rFonts w:ascii="仿宋" w:hAnsi="仿宋" w:eastAsia="仿宋"/>
          <w:color w:val="auto"/>
          <w:sz w:val="24"/>
          <w:szCs w:val="28"/>
        </w:rPr>
        <w:object>
          <v:shape id="_x0000_i1025" o:spt="75" type="#_x0000_t75" style="height:599.15pt;width:365pt;" o:ole="t" filled="f" o:preferrelative="t" stroked="f" coordsize="21600,21600">
            <v:path/>
            <v:fill on="f" focussize="0,0"/>
            <v:stroke on="f" joinstyle="miter"/>
            <v:imagedata r:id="rId5" o:title=""/>
            <o:lock v:ext="edit" aspectratio="t"/>
            <w10:wrap type="none"/>
            <w10:anchorlock/>
          </v:shape>
          <o:OLEObject Type="Embed" ProgID="Visio.Drawing.11" ShapeID="_x0000_i1025" DrawAspect="Content" ObjectID="_1468075725" r:id="rId4">
            <o:LockedField>false</o:LockedField>
          </o:OLEObject>
        </w:object>
      </w:r>
    </w:p>
    <w:p>
      <w:pPr>
        <w:spacing w:line="360" w:lineRule="auto"/>
        <w:rPr>
          <w:rFonts w:hint="eastAsia" w:ascii="仿宋" w:hAnsi="仿宋" w:eastAsia="仿宋"/>
          <w:color w:val="auto"/>
          <w:sz w:val="24"/>
          <w:szCs w:val="28"/>
        </w:rPr>
      </w:pPr>
    </w:p>
    <w:tbl>
      <w:tblPr>
        <w:tblStyle w:val="13"/>
        <w:tblpPr w:leftFromText="180" w:rightFromText="180" w:vertAnchor="text" w:horzAnchor="margin" w:tblpY="990"/>
        <w:tblOverlap w:val="never"/>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7"/>
        <w:gridCol w:w="2309"/>
        <w:gridCol w:w="700"/>
        <w:gridCol w:w="4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47" w:type="dxa"/>
            <w:vAlign w:val="center"/>
          </w:tcPr>
          <w:p>
            <w:pPr>
              <w:keepNext w:val="0"/>
              <w:keepLines w:val="0"/>
              <w:suppressLineNumbers w:val="0"/>
              <w:spacing w:before="0" w:beforeAutospacing="0" w:after="0" w:afterAutospacing="0" w:line="360" w:lineRule="auto"/>
              <w:ind w:left="0" w:right="0"/>
              <w:rPr>
                <w:rFonts w:hint="eastAsia" w:ascii="仿宋" w:hAnsi="仿宋" w:eastAsia="仿宋" w:cs="宋体"/>
                <w:color w:val="auto"/>
                <w:kern w:val="0"/>
                <w:sz w:val="22"/>
              </w:rPr>
            </w:pPr>
            <w:bookmarkStart w:id="2" w:name="_Hlk194491973"/>
            <w:r>
              <w:rPr>
                <w:rFonts w:hint="eastAsia" w:ascii="仿宋" w:hAnsi="仿宋" w:eastAsia="仿宋" w:cs="宋体"/>
                <w:color w:val="auto"/>
                <w:kern w:val="0"/>
                <w:sz w:val="22"/>
              </w:rPr>
              <w:t>角色</w:t>
            </w:r>
          </w:p>
        </w:tc>
        <w:tc>
          <w:tcPr>
            <w:tcW w:w="2309" w:type="dxa"/>
            <w:vAlign w:val="center"/>
          </w:tcPr>
          <w:p>
            <w:pPr>
              <w:keepNext w:val="0"/>
              <w:keepLines w:val="0"/>
              <w:suppressLineNumbers w:val="0"/>
              <w:spacing w:before="0" w:beforeAutospacing="0" w:after="0" w:afterAutospacing="0" w:line="360" w:lineRule="auto"/>
              <w:ind w:left="0" w:right="0" w:firstLine="440" w:firstLineChars="200"/>
              <w:rPr>
                <w:rFonts w:hint="eastAsia" w:ascii="仿宋" w:hAnsi="仿宋" w:eastAsia="仿宋" w:cs="宋体"/>
                <w:color w:val="auto"/>
                <w:kern w:val="0"/>
                <w:sz w:val="22"/>
              </w:rPr>
            </w:pPr>
            <w:r>
              <w:rPr>
                <w:rFonts w:hint="eastAsia" w:ascii="仿宋" w:hAnsi="仿宋" w:eastAsia="仿宋" w:cs="宋体"/>
                <w:color w:val="auto"/>
                <w:kern w:val="0"/>
                <w:sz w:val="22"/>
              </w:rPr>
              <w:t>主要职责</w:t>
            </w:r>
          </w:p>
        </w:tc>
        <w:tc>
          <w:tcPr>
            <w:tcW w:w="700" w:type="dxa"/>
            <w:vAlign w:val="center"/>
          </w:tcPr>
          <w:p>
            <w:pPr>
              <w:keepNext w:val="0"/>
              <w:keepLines w:val="0"/>
              <w:suppressLineNumbers w:val="0"/>
              <w:spacing w:before="0" w:beforeAutospacing="0" w:after="0" w:afterAutospacing="0" w:line="360" w:lineRule="auto"/>
              <w:ind w:left="0" w:right="0"/>
              <w:rPr>
                <w:rFonts w:hint="eastAsia" w:ascii="仿宋" w:hAnsi="仿宋" w:eastAsia="仿宋" w:cs="宋体"/>
                <w:color w:val="auto"/>
                <w:kern w:val="0"/>
                <w:sz w:val="22"/>
              </w:rPr>
            </w:pPr>
            <w:r>
              <w:rPr>
                <w:rFonts w:hint="eastAsia" w:ascii="仿宋" w:hAnsi="仿宋" w:eastAsia="仿宋" w:cs="宋体"/>
                <w:color w:val="auto"/>
                <w:kern w:val="0"/>
                <w:sz w:val="22"/>
              </w:rPr>
              <w:t>人数</w:t>
            </w:r>
          </w:p>
        </w:tc>
        <w:tc>
          <w:tcPr>
            <w:tcW w:w="4828" w:type="dxa"/>
            <w:vAlign w:val="center"/>
          </w:tcPr>
          <w:p>
            <w:pPr>
              <w:keepNext w:val="0"/>
              <w:keepLines w:val="0"/>
              <w:suppressLineNumbers w:val="0"/>
              <w:spacing w:before="0" w:beforeAutospacing="0" w:after="0" w:afterAutospacing="0" w:line="360" w:lineRule="auto"/>
              <w:ind w:left="0" w:right="0"/>
              <w:jc w:val="center"/>
              <w:rPr>
                <w:rFonts w:hint="eastAsia" w:ascii="仿宋" w:hAnsi="仿宋" w:eastAsia="仿宋" w:cs="宋体"/>
                <w:color w:val="auto"/>
                <w:kern w:val="0"/>
                <w:sz w:val="22"/>
              </w:rPr>
            </w:pPr>
            <w:r>
              <w:rPr>
                <w:rFonts w:hint="eastAsia" w:ascii="仿宋" w:hAnsi="仿宋" w:eastAsia="仿宋" w:cs="宋体"/>
                <w:color w:val="auto"/>
                <w:kern w:val="0"/>
                <w:sz w:val="22"/>
              </w:rPr>
              <w:t>人员要求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47" w:type="dxa"/>
            <w:vAlign w:val="center"/>
          </w:tcPr>
          <w:p>
            <w:pPr>
              <w:keepNext w:val="0"/>
              <w:keepLines w:val="0"/>
              <w:suppressLineNumbers w:val="0"/>
              <w:spacing w:before="0" w:beforeAutospacing="0" w:after="0" w:afterAutospacing="0" w:line="360" w:lineRule="auto"/>
              <w:ind w:left="0" w:right="0"/>
              <w:rPr>
                <w:rFonts w:hint="eastAsia" w:ascii="仿宋" w:hAnsi="仿宋" w:eastAsia="仿宋" w:cs="宋体"/>
                <w:color w:val="auto"/>
                <w:kern w:val="0"/>
                <w:sz w:val="22"/>
              </w:rPr>
            </w:pPr>
            <w:r>
              <w:rPr>
                <w:rFonts w:hint="eastAsia" w:ascii="仿宋" w:hAnsi="仿宋" w:eastAsia="仿宋" w:cs="宋体"/>
                <w:color w:val="auto"/>
                <w:kern w:val="0"/>
                <w:sz w:val="22"/>
              </w:rPr>
              <w:t>项目</w:t>
            </w:r>
          </w:p>
          <w:p>
            <w:pPr>
              <w:keepNext w:val="0"/>
              <w:keepLines w:val="0"/>
              <w:suppressLineNumbers w:val="0"/>
              <w:spacing w:before="0" w:beforeAutospacing="0" w:after="0" w:afterAutospacing="0" w:line="360" w:lineRule="auto"/>
              <w:ind w:left="0" w:right="0"/>
              <w:rPr>
                <w:rFonts w:hint="eastAsia" w:ascii="仿宋" w:hAnsi="仿宋" w:eastAsia="仿宋" w:cs="宋体"/>
                <w:color w:val="auto"/>
                <w:kern w:val="0"/>
                <w:sz w:val="22"/>
              </w:rPr>
            </w:pPr>
            <w:r>
              <w:rPr>
                <w:rFonts w:hint="eastAsia" w:ascii="仿宋" w:hAnsi="仿宋" w:eastAsia="仿宋" w:cs="宋体"/>
                <w:color w:val="auto"/>
                <w:kern w:val="0"/>
                <w:sz w:val="22"/>
              </w:rPr>
              <w:t>经理</w:t>
            </w:r>
          </w:p>
        </w:tc>
        <w:tc>
          <w:tcPr>
            <w:tcW w:w="2309" w:type="dxa"/>
            <w:vAlign w:val="center"/>
          </w:tcPr>
          <w:p>
            <w:pPr>
              <w:keepNext w:val="0"/>
              <w:keepLines w:val="0"/>
              <w:suppressLineNumbers w:val="0"/>
              <w:spacing w:before="0" w:beforeAutospacing="0" w:after="0" w:afterAutospacing="0" w:line="360" w:lineRule="auto"/>
              <w:ind w:left="0" w:right="0"/>
              <w:rPr>
                <w:rFonts w:hint="eastAsia" w:ascii="仿宋" w:hAnsi="仿宋" w:eastAsia="仿宋" w:cs="宋体"/>
                <w:color w:val="auto"/>
                <w:kern w:val="0"/>
                <w:sz w:val="22"/>
              </w:rPr>
            </w:pPr>
            <w:r>
              <w:rPr>
                <w:rFonts w:hint="eastAsia" w:ascii="仿宋" w:hAnsi="仿宋" w:eastAsia="仿宋" w:cs="宋体"/>
                <w:color w:val="auto"/>
                <w:kern w:val="0"/>
                <w:sz w:val="22"/>
              </w:rPr>
              <w:t>负责制定整个项目计划方案，管控项目实施进度、团队人员管理，协调处理项目过程中遇到的各类问题。</w:t>
            </w:r>
          </w:p>
        </w:tc>
        <w:tc>
          <w:tcPr>
            <w:tcW w:w="700" w:type="dxa"/>
            <w:vAlign w:val="center"/>
          </w:tcPr>
          <w:p>
            <w:pPr>
              <w:keepNext w:val="0"/>
              <w:keepLines w:val="0"/>
              <w:suppressLineNumbers w:val="0"/>
              <w:spacing w:before="0" w:beforeAutospacing="0" w:after="0" w:afterAutospacing="0" w:line="360" w:lineRule="auto"/>
              <w:ind w:left="0" w:right="0"/>
              <w:jc w:val="center"/>
              <w:rPr>
                <w:rFonts w:hint="eastAsia" w:ascii="仿宋" w:hAnsi="仿宋" w:eastAsia="仿宋" w:cs="宋体"/>
                <w:color w:val="auto"/>
                <w:kern w:val="0"/>
                <w:sz w:val="22"/>
              </w:rPr>
            </w:pPr>
            <w:r>
              <w:rPr>
                <w:rFonts w:hint="default" w:ascii="仿宋" w:hAnsi="仿宋" w:eastAsia="仿宋" w:cs="宋体"/>
                <w:color w:val="auto"/>
                <w:kern w:val="0"/>
                <w:sz w:val="22"/>
              </w:rPr>
              <w:t>1</w:t>
            </w:r>
          </w:p>
        </w:tc>
        <w:tc>
          <w:tcPr>
            <w:tcW w:w="4828" w:type="dxa"/>
            <w:vAlign w:val="center"/>
          </w:tcPr>
          <w:p>
            <w:pPr>
              <w:pStyle w:val="22"/>
              <w:keepNext w:val="0"/>
              <w:keepLines w:val="0"/>
              <w:numPr>
                <w:ilvl w:val="0"/>
                <w:numId w:val="3"/>
              </w:numPr>
              <w:suppressLineNumbers w:val="0"/>
              <w:spacing w:before="0" w:beforeAutospacing="0" w:after="0" w:afterAutospacing="0" w:line="360" w:lineRule="auto"/>
              <w:ind w:right="0" w:firstLineChars="0"/>
              <w:rPr>
                <w:rFonts w:hint="eastAsia" w:ascii="仿宋" w:hAnsi="仿宋" w:eastAsia="仿宋" w:cs="宋体"/>
                <w:color w:val="auto"/>
                <w:kern w:val="0"/>
                <w:sz w:val="22"/>
              </w:rPr>
            </w:pPr>
            <w:r>
              <w:rPr>
                <w:rFonts w:hint="eastAsia" w:ascii="仿宋" w:hAnsi="仿宋" w:eastAsia="仿宋" w:cs="宋体"/>
                <w:color w:val="auto"/>
                <w:kern w:val="0"/>
                <w:sz w:val="22"/>
              </w:rPr>
              <w:t>通过商用密码应用测评人员测评能力考核；</w:t>
            </w:r>
          </w:p>
          <w:p>
            <w:pPr>
              <w:pStyle w:val="22"/>
              <w:keepNext w:val="0"/>
              <w:keepLines w:val="0"/>
              <w:numPr>
                <w:ilvl w:val="0"/>
                <w:numId w:val="3"/>
              </w:numPr>
              <w:suppressLineNumbers w:val="0"/>
              <w:spacing w:before="0" w:beforeAutospacing="0" w:after="0" w:afterAutospacing="0" w:line="360" w:lineRule="auto"/>
              <w:ind w:right="0" w:firstLineChars="0"/>
              <w:rPr>
                <w:rFonts w:hint="eastAsia" w:ascii="仿宋" w:hAnsi="仿宋" w:eastAsia="仿宋" w:cs="宋体"/>
                <w:color w:val="auto"/>
                <w:kern w:val="0"/>
                <w:sz w:val="22"/>
              </w:rPr>
            </w:pPr>
            <w:r>
              <w:rPr>
                <w:rFonts w:hint="eastAsia" w:ascii="仿宋" w:hAnsi="仿宋" w:eastAsia="仿宋" w:cs="宋体"/>
                <w:color w:val="auto"/>
                <w:kern w:val="0"/>
                <w:sz w:val="22"/>
              </w:rPr>
              <w:t>具备人社部门颁发的信息安全高级职称工程师</w:t>
            </w:r>
          </w:p>
          <w:p>
            <w:pPr>
              <w:pStyle w:val="22"/>
              <w:keepNext w:val="0"/>
              <w:keepLines w:val="0"/>
              <w:numPr>
                <w:ilvl w:val="0"/>
                <w:numId w:val="3"/>
              </w:numPr>
              <w:suppressLineNumbers w:val="0"/>
              <w:spacing w:before="0" w:beforeAutospacing="0" w:after="0" w:afterAutospacing="0" w:line="360" w:lineRule="auto"/>
              <w:ind w:right="0" w:firstLineChars="0"/>
              <w:rPr>
                <w:rFonts w:hint="eastAsia" w:ascii="仿宋" w:hAnsi="仿宋" w:eastAsia="仿宋" w:cs="宋体"/>
                <w:color w:val="auto"/>
                <w:kern w:val="0"/>
                <w:sz w:val="22"/>
              </w:rPr>
            </w:pPr>
            <w:r>
              <w:rPr>
                <w:rFonts w:hint="eastAsia" w:ascii="仿宋" w:hAnsi="仿宋" w:eastAsia="仿宋" w:cs="宋体"/>
                <w:color w:val="auto"/>
                <w:kern w:val="0"/>
                <w:sz w:val="22"/>
              </w:rPr>
              <w:t>具备6年及以上商用密码应用安全性评估经验；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7" w:hRule="atLeast"/>
        </w:trPr>
        <w:tc>
          <w:tcPr>
            <w:tcW w:w="947" w:type="dxa"/>
            <w:vAlign w:val="center"/>
          </w:tcPr>
          <w:p>
            <w:pPr>
              <w:keepNext w:val="0"/>
              <w:keepLines w:val="0"/>
              <w:suppressLineNumbers w:val="0"/>
              <w:spacing w:before="0" w:beforeAutospacing="0" w:after="0" w:afterAutospacing="0" w:line="360" w:lineRule="auto"/>
              <w:ind w:left="0" w:right="0"/>
              <w:rPr>
                <w:rFonts w:hint="eastAsia" w:ascii="仿宋" w:hAnsi="仿宋" w:eastAsia="仿宋" w:cs="宋体"/>
                <w:color w:val="auto"/>
                <w:kern w:val="0"/>
                <w:sz w:val="22"/>
              </w:rPr>
            </w:pPr>
            <w:r>
              <w:rPr>
                <w:rFonts w:hint="eastAsia" w:ascii="仿宋" w:hAnsi="仿宋" w:eastAsia="仿宋" w:cs="宋体"/>
                <w:color w:val="auto"/>
                <w:kern w:val="0"/>
                <w:sz w:val="22"/>
              </w:rPr>
              <w:t>测评</w:t>
            </w:r>
          </w:p>
          <w:p>
            <w:pPr>
              <w:keepNext w:val="0"/>
              <w:keepLines w:val="0"/>
              <w:suppressLineNumbers w:val="0"/>
              <w:spacing w:before="0" w:beforeAutospacing="0" w:after="0" w:afterAutospacing="0" w:line="360" w:lineRule="auto"/>
              <w:ind w:left="0" w:right="0"/>
              <w:rPr>
                <w:rFonts w:hint="eastAsia" w:ascii="仿宋" w:hAnsi="仿宋" w:eastAsia="仿宋" w:cs="宋体"/>
                <w:color w:val="auto"/>
                <w:kern w:val="0"/>
                <w:sz w:val="22"/>
              </w:rPr>
            </w:pPr>
            <w:r>
              <w:rPr>
                <w:rFonts w:hint="eastAsia" w:ascii="仿宋" w:hAnsi="仿宋" w:eastAsia="仿宋" w:cs="宋体"/>
                <w:color w:val="auto"/>
                <w:kern w:val="0"/>
                <w:sz w:val="22"/>
              </w:rPr>
              <w:t>人员</w:t>
            </w:r>
          </w:p>
        </w:tc>
        <w:tc>
          <w:tcPr>
            <w:tcW w:w="2309" w:type="dxa"/>
            <w:vAlign w:val="center"/>
          </w:tcPr>
          <w:p>
            <w:pPr>
              <w:keepNext w:val="0"/>
              <w:keepLines w:val="0"/>
              <w:suppressLineNumbers w:val="0"/>
              <w:spacing w:before="0" w:beforeAutospacing="0" w:after="0" w:afterAutospacing="0" w:line="360" w:lineRule="auto"/>
              <w:ind w:left="0" w:right="0"/>
              <w:rPr>
                <w:rFonts w:hint="eastAsia" w:ascii="仿宋" w:hAnsi="仿宋" w:eastAsia="仿宋" w:cs="宋体"/>
                <w:color w:val="auto"/>
                <w:kern w:val="0"/>
                <w:sz w:val="22"/>
              </w:rPr>
            </w:pPr>
            <w:r>
              <w:rPr>
                <w:rFonts w:hint="eastAsia" w:ascii="仿宋" w:hAnsi="仿宋" w:eastAsia="仿宋" w:cs="宋体"/>
                <w:color w:val="auto"/>
                <w:kern w:val="0"/>
                <w:sz w:val="22"/>
              </w:rPr>
              <w:t>负责项目实施过程中技术应用的测评工作</w:t>
            </w:r>
          </w:p>
        </w:tc>
        <w:tc>
          <w:tcPr>
            <w:tcW w:w="700" w:type="dxa"/>
            <w:vAlign w:val="center"/>
          </w:tcPr>
          <w:p>
            <w:pPr>
              <w:keepNext w:val="0"/>
              <w:keepLines w:val="0"/>
              <w:suppressLineNumbers w:val="0"/>
              <w:spacing w:before="0" w:beforeAutospacing="0" w:after="0" w:afterAutospacing="0" w:line="360" w:lineRule="auto"/>
              <w:ind w:left="0" w:right="0"/>
              <w:jc w:val="center"/>
              <w:rPr>
                <w:rFonts w:hint="eastAsia" w:ascii="仿宋" w:hAnsi="仿宋" w:eastAsia="仿宋" w:cs="宋体"/>
                <w:color w:val="auto"/>
                <w:kern w:val="0"/>
                <w:sz w:val="22"/>
                <w:lang w:eastAsia="zh-CN"/>
              </w:rPr>
            </w:pPr>
            <w:r>
              <w:rPr>
                <w:rFonts w:hint="eastAsia" w:ascii="仿宋" w:hAnsi="仿宋" w:eastAsia="仿宋" w:cs="宋体"/>
                <w:color w:val="auto"/>
                <w:kern w:val="0"/>
                <w:sz w:val="22"/>
                <w:lang w:val="en-US" w:eastAsia="zh-CN"/>
              </w:rPr>
              <w:t>8</w:t>
            </w:r>
          </w:p>
        </w:tc>
        <w:tc>
          <w:tcPr>
            <w:tcW w:w="4828" w:type="dxa"/>
            <w:vAlign w:val="center"/>
          </w:tcPr>
          <w:p>
            <w:pPr>
              <w:keepNext w:val="0"/>
              <w:keepLines w:val="0"/>
              <w:numPr>
                <w:ilvl w:val="0"/>
                <w:numId w:val="4"/>
              </w:numPr>
              <w:suppressLineNumbers w:val="0"/>
              <w:spacing w:before="0" w:beforeAutospacing="0" w:after="0" w:afterAutospacing="0" w:line="360" w:lineRule="auto"/>
              <w:ind w:left="0" w:right="0"/>
              <w:rPr>
                <w:rFonts w:hint="eastAsia" w:ascii="仿宋" w:hAnsi="仿宋" w:eastAsia="仿宋" w:cs="宋体"/>
                <w:color w:val="auto"/>
                <w:kern w:val="0"/>
                <w:sz w:val="22"/>
              </w:rPr>
            </w:pPr>
            <w:r>
              <w:rPr>
                <w:rFonts w:hint="eastAsia" w:ascii="仿宋" w:hAnsi="仿宋" w:eastAsia="仿宋" w:cs="宋体"/>
                <w:color w:val="auto"/>
                <w:kern w:val="0"/>
                <w:sz w:val="22"/>
              </w:rPr>
              <w:t>提供不少于</w:t>
            </w:r>
            <w:r>
              <w:rPr>
                <w:rFonts w:hint="eastAsia" w:ascii="仿宋" w:hAnsi="仿宋" w:eastAsia="仿宋" w:cs="宋体"/>
                <w:color w:val="auto"/>
                <w:kern w:val="0"/>
                <w:sz w:val="22"/>
                <w:lang w:val="en-US" w:eastAsia="zh-CN"/>
              </w:rPr>
              <w:t>8</w:t>
            </w:r>
            <w:r>
              <w:rPr>
                <w:rFonts w:hint="eastAsia" w:ascii="仿宋" w:hAnsi="仿宋" w:eastAsia="仿宋" w:cs="宋体"/>
                <w:color w:val="auto"/>
                <w:kern w:val="0"/>
                <w:sz w:val="22"/>
              </w:rPr>
              <w:t>人商用密码应用安全性评估服务团队（不包含项目经理），需提供加盖供应商公章的人员名单表；</w:t>
            </w:r>
          </w:p>
          <w:p>
            <w:pPr>
              <w:keepNext w:val="0"/>
              <w:keepLines w:val="0"/>
              <w:numPr>
                <w:ilvl w:val="0"/>
                <w:numId w:val="4"/>
              </w:numPr>
              <w:suppressLineNumbers w:val="0"/>
              <w:spacing w:before="0" w:beforeAutospacing="0" w:after="0" w:afterAutospacing="0" w:line="360" w:lineRule="auto"/>
              <w:ind w:left="0" w:right="0"/>
              <w:rPr>
                <w:rFonts w:hint="eastAsia" w:ascii="仿宋" w:hAnsi="仿宋" w:eastAsia="仿宋" w:cs="宋体"/>
                <w:color w:val="auto"/>
                <w:kern w:val="0"/>
                <w:sz w:val="22"/>
              </w:rPr>
            </w:pPr>
            <w:r>
              <w:rPr>
                <w:rFonts w:hint="eastAsia" w:ascii="仿宋" w:hAnsi="仿宋" w:eastAsia="仿宋" w:cs="宋体"/>
                <w:color w:val="auto"/>
                <w:kern w:val="0"/>
                <w:sz w:val="22"/>
              </w:rPr>
              <w:t>通过商用密码应用测评人员测评能力考核和人社部门颁发密码相关的中级工程师职称证书；</w:t>
            </w:r>
          </w:p>
          <w:p>
            <w:pPr>
              <w:keepNext w:val="0"/>
              <w:keepLines w:val="0"/>
              <w:numPr>
                <w:ilvl w:val="0"/>
                <w:numId w:val="4"/>
              </w:numPr>
              <w:suppressLineNumbers w:val="0"/>
              <w:spacing w:before="0" w:beforeAutospacing="0" w:after="0" w:afterAutospacing="0" w:line="360" w:lineRule="auto"/>
              <w:ind w:left="0" w:right="0"/>
              <w:rPr>
                <w:rFonts w:hint="eastAsia" w:ascii="仿宋" w:hAnsi="仿宋" w:eastAsia="仿宋" w:cs="宋体"/>
                <w:color w:val="auto"/>
                <w:kern w:val="0"/>
                <w:sz w:val="22"/>
              </w:rPr>
            </w:pPr>
            <w:r>
              <w:rPr>
                <w:rFonts w:hint="eastAsia" w:ascii="仿宋" w:hAnsi="仿宋" w:eastAsia="仿宋" w:cs="宋体"/>
                <w:color w:val="auto"/>
                <w:kern w:val="0"/>
                <w:sz w:val="22"/>
              </w:rPr>
              <w:t>具备3年及以上密码应用安全性评估经验的，需提供证明材料。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47" w:type="dxa"/>
            <w:vAlign w:val="center"/>
          </w:tcPr>
          <w:p>
            <w:pPr>
              <w:keepNext w:val="0"/>
              <w:keepLines w:val="0"/>
              <w:suppressLineNumbers w:val="0"/>
              <w:spacing w:before="0" w:beforeAutospacing="0" w:after="0" w:afterAutospacing="0" w:line="360" w:lineRule="auto"/>
              <w:ind w:left="0" w:right="0"/>
              <w:rPr>
                <w:rFonts w:hint="eastAsia" w:ascii="仿宋" w:hAnsi="仿宋" w:eastAsia="仿宋" w:cs="宋体"/>
                <w:color w:val="auto"/>
                <w:kern w:val="0"/>
                <w:sz w:val="22"/>
              </w:rPr>
            </w:pPr>
            <w:r>
              <w:rPr>
                <w:rFonts w:hint="eastAsia" w:ascii="仿宋" w:hAnsi="仿宋" w:eastAsia="仿宋" w:cs="宋体"/>
                <w:color w:val="auto"/>
                <w:kern w:val="0"/>
                <w:sz w:val="22"/>
              </w:rPr>
              <w:t>档案管理员</w:t>
            </w:r>
          </w:p>
        </w:tc>
        <w:tc>
          <w:tcPr>
            <w:tcW w:w="2309" w:type="dxa"/>
            <w:vAlign w:val="center"/>
          </w:tcPr>
          <w:p>
            <w:pPr>
              <w:keepNext w:val="0"/>
              <w:keepLines w:val="0"/>
              <w:suppressLineNumbers w:val="0"/>
              <w:spacing w:before="0" w:beforeAutospacing="0" w:after="0" w:afterAutospacing="0" w:line="360" w:lineRule="auto"/>
              <w:ind w:left="0" w:right="0"/>
              <w:rPr>
                <w:rFonts w:hint="eastAsia" w:ascii="仿宋" w:hAnsi="仿宋" w:eastAsia="仿宋" w:cs="宋体"/>
                <w:color w:val="auto"/>
                <w:kern w:val="0"/>
                <w:sz w:val="22"/>
              </w:rPr>
            </w:pPr>
            <w:r>
              <w:rPr>
                <w:rFonts w:hint="eastAsia" w:ascii="仿宋" w:hAnsi="仿宋" w:eastAsia="仿宋" w:cs="宋体"/>
                <w:color w:val="auto"/>
                <w:kern w:val="0"/>
                <w:sz w:val="22"/>
              </w:rPr>
              <w:t>负责对项目档案的接收、分类、编目等资料档案管理工作。</w:t>
            </w:r>
          </w:p>
        </w:tc>
        <w:tc>
          <w:tcPr>
            <w:tcW w:w="700" w:type="dxa"/>
            <w:vAlign w:val="center"/>
          </w:tcPr>
          <w:p>
            <w:pPr>
              <w:keepNext w:val="0"/>
              <w:keepLines w:val="0"/>
              <w:suppressLineNumbers w:val="0"/>
              <w:spacing w:before="0" w:beforeAutospacing="0" w:after="0" w:afterAutospacing="0" w:line="360" w:lineRule="auto"/>
              <w:ind w:left="0" w:right="0"/>
              <w:jc w:val="center"/>
              <w:rPr>
                <w:rFonts w:hint="eastAsia" w:ascii="仿宋" w:hAnsi="仿宋" w:eastAsia="仿宋" w:cs="宋体"/>
                <w:color w:val="auto"/>
                <w:kern w:val="0"/>
                <w:sz w:val="22"/>
              </w:rPr>
            </w:pPr>
            <w:r>
              <w:rPr>
                <w:rFonts w:hint="default" w:ascii="仿宋" w:hAnsi="仿宋" w:eastAsia="仿宋" w:cs="宋体"/>
                <w:color w:val="auto"/>
                <w:kern w:val="0"/>
                <w:sz w:val="22"/>
              </w:rPr>
              <w:t>1</w:t>
            </w:r>
          </w:p>
        </w:tc>
        <w:tc>
          <w:tcPr>
            <w:tcW w:w="4828" w:type="dxa"/>
            <w:vAlign w:val="center"/>
          </w:tcPr>
          <w:p>
            <w:pPr>
              <w:keepNext w:val="0"/>
              <w:keepLines w:val="0"/>
              <w:suppressLineNumbers w:val="0"/>
              <w:spacing w:before="0" w:beforeAutospacing="0" w:after="0" w:afterAutospacing="0" w:line="360" w:lineRule="auto"/>
              <w:ind w:left="0" w:right="0"/>
              <w:rPr>
                <w:rFonts w:hint="eastAsia" w:ascii="仿宋" w:hAnsi="仿宋" w:eastAsia="仿宋" w:cs="宋体"/>
                <w:color w:val="auto"/>
                <w:kern w:val="0"/>
                <w:sz w:val="22"/>
              </w:rPr>
            </w:pPr>
            <w:r>
              <w:rPr>
                <w:rFonts w:hint="eastAsia" w:ascii="仿宋" w:hAnsi="仿宋" w:eastAsia="仿宋" w:cs="宋体"/>
                <w:color w:val="auto"/>
                <w:kern w:val="0"/>
                <w:sz w:val="22"/>
              </w:rPr>
              <w:t>具备《商用密码应用测评人员测评能力考核》证书</w:t>
            </w:r>
          </w:p>
        </w:tc>
      </w:tr>
      <w:bookmarkEnd w:id="2"/>
    </w:tbl>
    <w:p>
      <w:pPr>
        <w:pStyle w:val="5"/>
        <w:spacing w:before="120" w:after="120" w:line="415" w:lineRule="auto"/>
        <w:rPr>
          <w:rFonts w:hint="eastAsia"/>
          <w:color w:val="auto"/>
        </w:rPr>
      </w:pPr>
      <w:r>
        <w:rPr>
          <w:rFonts w:hint="eastAsia"/>
          <w:color w:val="auto"/>
        </w:rPr>
        <w:t>（八）服务组织和人员要求</w:t>
      </w:r>
    </w:p>
    <w:p>
      <w:pPr>
        <w:rPr>
          <w:rFonts w:hint="eastAsia"/>
          <w:color w:val="auto"/>
        </w:rPr>
      </w:pPr>
    </w:p>
    <w:p>
      <w:pPr>
        <w:pStyle w:val="5"/>
        <w:spacing w:before="120" w:after="120" w:line="415" w:lineRule="auto"/>
        <w:rPr>
          <w:rFonts w:hint="eastAsia"/>
          <w:color w:val="auto"/>
        </w:rPr>
      </w:pPr>
      <w:r>
        <w:rPr>
          <w:rFonts w:hint="eastAsia"/>
          <w:color w:val="auto"/>
        </w:rPr>
        <w:t>（九）测评工具要求</w:t>
      </w:r>
    </w:p>
    <w:p>
      <w:pPr>
        <w:pStyle w:val="5"/>
        <w:rPr>
          <w:rFonts w:hint="eastAsia"/>
          <w:color w:val="auto"/>
        </w:rPr>
      </w:pPr>
      <w:r>
        <w:rPr>
          <w:color w:val="auto"/>
        </w:rPr>
        <w:t>9</w:t>
      </w:r>
      <w:r>
        <w:rPr>
          <w:rFonts w:hint="eastAsia"/>
          <w:color w:val="auto"/>
        </w:rPr>
        <w:t>.1 测评工具要求</w:t>
      </w:r>
    </w:p>
    <w:p>
      <w:pPr>
        <w:spacing w:line="360" w:lineRule="auto"/>
        <w:ind w:firstLine="560" w:firstLineChars="200"/>
        <w:rPr>
          <w:rFonts w:hint="eastAsia" w:ascii="仿宋" w:hAnsi="仿宋" w:eastAsia="仿宋"/>
          <w:color w:val="auto"/>
          <w:sz w:val="24"/>
          <w:szCs w:val="28"/>
        </w:rPr>
      </w:pPr>
      <w:r>
        <w:rPr>
          <w:rFonts w:hint="eastAsia" w:ascii="仿宋" w:hAnsi="仿宋" w:eastAsia="仿宋" w:cs="仿宋"/>
          <w:color w:val="auto"/>
          <w:sz w:val="28"/>
          <w:szCs w:val="28"/>
        </w:rPr>
        <w:t>本</w:t>
      </w:r>
      <w:r>
        <w:rPr>
          <w:rFonts w:hint="eastAsia" w:ascii="仿宋" w:hAnsi="仿宋" w:eastAsia="仿宋"/>
          <w:color w:val="auto"/>
          <w:sz w:val="24"/>
          <w:szCs w:val="28"/>
        </w:rPr>
        <w:t>次项目实施过程中所使用到的测评工具，应包括具有自主知识产权或计算机软件著作权的密码检测工具（详细描述所使用工具的型号、功能、使用的方式和对环境和平台的要求以及使用可能对系统造成的风险等），对系统数据进行分析，并以分析结果辅证评估报告。</w:t>
      </w:r>
    </w:p>
    <w:p>
      <w:pPr>
        <w:spacing w:line="360" w:lineRule="auto"/>
        <w:ind w:firstLine="480" w:firstLineChars="200"/>
        <w:rPr>
          <w:rFonts w:hint="eastAsia" w:ascii="仿宋" w:hAnsi="仿宋" w:eastAsia="仿宋"/>
          <w:color w:val="auto"/>
          <w:sz w:val="24"/>
          <w:szCs w:val="28"/>
        </w:rPr>
      </w:pPr>
      <w:r>
        <w:rPr>
          <w:rFonts w:hint="eastAsia" w:ascii="仿宋" w:hAnsi="仿宋" w:eastAsia="仿宋"/>
          <w:color w:val="auto"/>
          <w:sz w:val="24"/>
          <w:szCs w:val="28"/>
        </w:rPr>
        <w:t>检测工具包括但不限于以下几类：</w:t>
      </w:r>
    </w:p>
    <w:p>
      <w:pPr>
        <w:spacing w:line="360" w:lineRule="auto"/>
        <w:ind w:firstLine="480" w:firstLineChars="200"/>
        <w:rPr>
          <w:rFonts w:hint="eastAsia" w:ascii="仿宋" w:hAnsi="仿宋" w:eastAsia="仿宋"/>
          <w:color w:val="auto"/>
          <w:sz w:val="24"/>
          <w:szCs w:val="28"/>
        </w:rPr>
      </w:pPr>
      <w:r>
        <w:rPr>
          <w:rFonts w:hint="eastAsia" w:ascii="仿宋" w:hAnsi="仿宋" w:eastAsia="仿宋"/>
          <w:color w:val="auto"/>
          <w:sz w:val="24"/>
          <w:szCs w:val="28"/>
        </w:rPr>
        <w:t>1、密码算法验证工具，包括国密算法SM2、SM3、SM4，常见的国际通用算法AES、DES、RSA等的验证；</w:t>
      </w:r>
    </w:p>
    <w:p>
      <w:pPr>
        <w:spacing w:line="360" w:lineRule="auto"/>
        <w:ind w:firstLine="480" w:firstLineChars="200"/>
        <w:rPr>
          <w:rFonts w:hint="eastAsia" w:ascii="仿宋" w:hAnsi="仿宋" w:eastAsia="仿宋"/>
          <w:color w:val="auto"/>
          <w:sz w:val="24"/>
          <w:szCs w:val="28"/>
        </w:rPr>
      </w:pPr>
      <w:r>
        <w:rPr>
          <w:rFonts w:hint="eastAsia" w:ascii="仿宋" w:hAnsi="仿宋" w:eastAsia="仿宋"/>
          <w:color w:val="auto"/>
          <w:sz w:val="24"/>
          <w:szCs w:val="28"/>
        </w:rPr>
        <w:t>2、随机数随机性检测工具；</w:t>
      </w:r>
    </w:p>
    <w:p>
      <w:pPr>
        <w:spacing w:line="360" w:lineRule="auto"/>
        <w:ind w:firstLine="480" w:firstLineChars="200"/>
        <w:rPr>
          <w:rFonts w:hint="eastAsia" w:ascii="仿宋" w:hAnsi="仿宋" w:eastAsia="仿宋"/>
          <w:color w:val="auto"/>
          <w:sz w:val="24"/>
          <w:szCs w:val="28"/>
        </w:rPr>
      </w:pPr>
      <w:r>
        <w:rPr>
          <w:rFonts w:hint="eastAsia" w:ascii="仿宋" w:hAnsi="仿宋" w:eastAsia="仿宋"/>
          <w:color w:val="auto"/>
          <w:sz w:val="24"/>
          <w:szCs w:val="28"/>
        </w:rPr>
        <w:t>3、数字证书检测工具，包括数字证书的格式的合规性验证、数字证书的证书链的检验等；</w:t>
      </w:r>
    </w:p>
    <w:p>
      <w:pPr>
        <w:spacing w:line="360" w:lineRule="auto"/>
        <w:ind w:firstLine="480" w:firstLineChars="200"/>
        <w:rPr>
          <w:rFonts w:hint="eastAsia" w:ascii="仿宋" w:hAnsi="仿宋" w:eastAsia="仿宋"/>
          <w:color w:val="auto"/>
          <w:sz w:val="24"/>
          <w:szCs w:val="28"/>
        </w:rPr>
      </w:pPr>
      <w:r>
        <w:rPr>
          <w:rFonts w:hint="eastAsia" w:ascii="仿宋" w:hAnsi="仿宋" w:eastAsia="仿宋"/>
          <w:color w:val="auto"/>
          <w:sz w:val="24"/>
          <w:szCs w:val="28"/>
        </w:rPr>
        <w:t>4、网络协议分析工具；包括但不限于SSL协议、IPSec</w:t>
      </w:r>
      <w:r>
        <w:rPr>
          <w:rFonts w:ascii="仿宋" w:hAnsi="仿宋" w:eastAsia="仿宋"/>
          <w:color w:val="auto"/>
          <w:sz w:val="24"/>
          <w:szCs w:val="28"/>
        </w:rPr>
        <w:t xml:space="preserve"> </w:t>
      </w:r>
      <w:r>
        <w:rPr>
          <w:rFonts w:hint="eastAsia" w:ascii="仿宋" w:hAnsi="仿宋" w:eastAsia="仿宋"/>
          <w:color w:val="auto"/>
          <w:sz w:val="24"/>
          <w:szCs w:val="28"/>
        </w:rPr>
        <w:t>协议；包括主动协议分析工具和被动分析工具。</w:t>
      </w:r>
    </w:p>
    <w:p>
      <w:pPr>
        <w:pStyle w:val="5"/>
        <w:rPr>
          <w:rFonts w:hint="eastAsia"/>
          <w:color w:val="auto"/>
        </w:rPr>
      </w:pPr>
      <w:r>
        <w:rPr>
          <w:color w:val="auto"/>
        </w:rPr>
        <w:t>9</w:t>
      </w:r>
      <w:r>
        <w:rPr>
          <w:rFonts w:hint="eastAsia"/>
          <w:color w:val="auto"/>
        </w:rPr>
        <w:t>.2 模拟测评环境要求</w:t>
      </w:r>
    </w:p>
    <w:p>
      <w:pPr>
        <w:spacing w:line="360" w:lineRule="auto"/>
        <w:ind w:firstLine="480" w:firstLineChars="200"/>
        <w:rPr>
          <w:rFonts w:hint="eastAsia" w:ascii="仿宋" w:hAnsi="仿宋" w:eastAsia="仿宋"/>
          <w:color w:val="auto"/>
          <w:sz w:val="24"/>
          <w:szCs w:val="28"/>
        </w:rPr>
      </w:pPr>
      <w:r>
        <w:rPr>
          <w:rFonts w:hint="eastAsia" w:ascii="仿宋" w:hAnsi="仿宋" w:eastAsia="仿宋"/>
          <w:color w:val="auto"/>
          <w:sz w:val="24"/>
          <w:szCs w:val="28"/>
        </w:rPr>
        <w:t>服务提供方具有密码测评模拟验证环境的能力及相关设备，包括但不限于以下的密码设备：</w:t>
      </w:r>
    </w:p>
    <w:p>
      <w:pPr>
        <w:spacing w:line="360" w:lineRule="auto"/>
        <w:ind w:firstLine="480" w:firstLineChars="200"/>
        <w:rPr>
          <w:rFonts w:hint="eastAsia" w:ascii="仿宋" w:hAnsi="仿宋" w:eastAsia="仿宋"/>
          <w:color w:val="auto"/>
          <w:sz w:val="24"/>
          <w:szCs w:val="28"/>
        </w:rPr>
      </w:pPr>
      <w:r>
        <w:rPr>
          <w:rFonts w:hint="eastAsia" w:ascii="仿宋" w:hAnsi="仿宋" w:eastAsia="仿宋"/>
          <w:color w:val="auto"/>
          <w:sz w:val="24"/>
          <w:szCs w:val="28"/>
        </w:rPr>
        <w:t>1、</w:t>
      </w:r>
      <w:r>
        <w:rPr>
          <w:rFonts w:ascii="仿宋" w:hAnsi="仿宋" w:eastAsia="仿宋"/>
          <w:color w:val="auto"/>
          <w:sz w:val="24"/>
          <w:szCs w:val="28"/>
        </w:rPr>
        <w:t xml:space="preserve">SSL </w:t>
      </w:r>
      <w:r>
        <w:rPr>
          <w:rFonts w:hint="eastAsia" w:ascii="仿宋" w:hAnsi="仿宋" w:eastAsia="仿宋"/>
          <w:color w:val="auto"/>
          <w:sz w:val="24"/>
          <w:szCs w:val="28"/>
        </w:rPr>
        <w:t>VPN：支持国密算法；具有商用密码产品认证证书，用于搭建SSL</w:t>
      </w:r>
      <w:r>
        <w:rPr>
          <w:rFonts w:ascii="仿宋" w:hAnsi="仿宋" w:eastAsia="仿宋"/>
          <w:color w:val="auto"/>
          <w:sz w:val="24"/>
          <w:szCs w:val="28"/>
        </w:rPr>
        <w:t xml:space="preserve"> </w:t>
      </w:r>
      <w:r>
        <w:rPr>
          <w:rFonts w:hint="eastAsia" w:ascii="仿宋" w:hAnsi="仿宋" w:eastAsia="仿宋"/>
          <w:color w:val="auto"/>
          <w:sz w:val="24"/>
          <w:szCs w:val="28"/>
        </w:rPr>
        <w:t>VPN网络，模拟SSL</w:t>
      </w:r>
      <w:r>
        <w:rPr>
          <w:rFonts w:ascii="仿宋" w:hAnsi="仿宋" w:eastAsia="仿宋"/>
          <w:color w:val="auto"/>
          <w:sz w:val="24"/>
          <w:szCs w:val="28"/>
        </w:rPr>
        <w:t xml:space="preserve"> </w:t>
      </w:r>
      <w:r>
        <w:rPr>
          <w:rFonts w:hint="eastAsia" w:ascii="仿宋" w:hAnsi="仿宋" w:eastAsia="仿宋"/>
          <w:color w:val="auto"/>
          <w:sz w:val="24"/>
          <w:szCs w:val="28"/>
        </w:rPr>
        <w:t>VPN通信信道的测评。</w:t>
      </w:r>
    </w:p>
    <w:p>
      <w:pPr>
        <w:spacing w:line="360" w:lineRule="auto"/>
        <w:ind w:firstLine="480" w:firstLineChars="200"/>
        <w:rPr>
          <w:rFonts w:hint="eastAsia" w:ascii="仿宋" w:hAnsi="仿宋" w:eastAsia="仿宋"/>
          <w:color w:val="auto"/>
          <w:sz w:val="24"/>
          <w:szCs w:val="28"/>
        </w:rPr>
      </w:pPr>
      <w:r>
        <w:rPr>
          <w:rFonts w:hint="eastAsia" w:ascii="仿宋" w:hAnsi="仿宋" w:eastAsia="仿宋"/>
          <w:color w:val="auto"/>
          <w:sz w:val="24"/>
          <w:szCs w:val="28"/>
        </w:rPr>
        <w:t>2、</w:t>
      </w:r>
      <w:r>
        <w:rPr>
          <w:rFonts w:ascii="仿宋" w:hAnsi="仿宋" w:eastAsia="仿宋"/>
          <w:color w:val="auto"/>
          <w:sz w:val="24"/>
          <w:szCs w:val="28"/>
        </w:rPr>
        <w:t xml:space="preserve">IPSec </w:t>
      </w:r>
      <w:r>
        <w:rPr>
          <w:rFonts w:hint="eastAsia" w:ascii="仿宋" w:hAnsi="仿宋" w:eastAsia="仿宋"/>
          <w:color w:val="auto"/>
          <w:sz w:val="24"/>
          <w:szCs w:val="28"/>
        </w:rPr>
        <w:t>VPN：支持国密算法；具有商用密码产品认证证书，用于搭建IPSec</w:t>
      </w:r>
      <w:r>
        <w:rPr>
          <w:rFonts w:ascii="仿宋" w:hAnsi="仿宋" w:eastAsia="仿宋"/>
          <w:color w:val="auto"/>
          <w:sz w:val="24"/>
          <w:szCs w:val="28"/>
        </w:rPr>
        <w:t xml:space="preserve"> </w:t>
      </w:r>
      <w:r>
        <w:rPr>
          <w:rFonts w:hint="eastAsia" w:ascii="仿宋" w:hAnsi="仿宋" w:eastAsia="仿宋"/>
          <w:color w:val="auto"/>
          <w:sz w:val="24"/>
          <w:szCs w:val="28"/>
        </w:rPr>
        <w:t>VPN网络，模拟IPSec</w:t>
      </w:r>
      <w:r>
        <w:rPr>
          <w:rFonts w:ascii="仿宋" w:hAnsi="仿宋" w:eastAsia="仿宋"/>
          <w:color w:val="auto"/>
          <w:sz w:val="24"/>
          <w:szCs w:val="28"/>
        </w:rPr>
        <w:t xml:space="preserve"> </w:t>
      </w:r>
      <w:r>
        <w:rPr>
          <w:rFonts w:hint="eastAsia" w:ascii="仿宋" w:hAnsi="仿宋" w:eastAsia="仿宋"/>
          <w:color w:val="auto"/>
          <w:sz w:val="24"/>
          <w:szCs w:val="28"/>
        </w:rPr>
        <w:t>VPN通信信道的测评。</w:t>
      </w:r>
    </w:p>
    <w:p>
      <w:pPr>
        <w:spacing w:line="360" w:lineRule="auto"/>
        <w:ind w:firstLine="480" w:firstLineChars="200"/>
        <w:rPr>
          <w:rFonts w:hint="eastAsia" w:ascii="仿宋" w:hAnsi="仿宋" w:eastAsia="仿宋"/>
          <w:color w:val="auto"/>
          <w:sz w:val="24"/>
          <w:szCs w:val="28"/>
        </w:rPr>
      </w:pPr>
      <w:r>
        <w:rPr>
          <w:rFonts w:hint="eastAsia" w:ascii="仿宋" w:hAnsi="仿宋" w:eastAsia="仿宋"/>
          <w:color w:val="auto"/>
          <w:sz w:val="24"/>
          <w:szCs w:val="28"/>
        </w:rPr>
        <w:t>3、服务器密码机：支持国密算法；具有商用密码产品认证证书，用于实现重要数据的加解密和完整性保护，模拟重要数据加解密和完整性保护的测评。</w:t>
      </w:r>
    </w:p>
    <w:p>
      <w:pPr>
        <w:pStyle w:val="5"/>
        <w:spacing w:before="120" w:after="120" w:line="415" w:lineRule="auto"/>
        <w:rPr>
          <w:rFonts w:hint="eastAsia"/>
          <w:color w:val="auto"/>
        </w:rPr>
      </w:pPr>
      <w:r>
        <w:rPr>
          <w:rFonts w:hint="eastAsia"/>
          <w:color w:val="auto"/>
        </w:rPr>
        <w:t>（十）保密责任</w:t>
      </w:r>
    </w:p>
    <w:p>
      <w:pPr>
        <w:spacing w:line="360" w:lineRule="auto"/>
        <w:ind w:firstLine="663"/>
        <w:rPr>
          <w:rFonts w:hint="eastAsia" w:ascii="仿宋" w:hAnsi="仿宋" w:eastAsia="仿宋"/>
          <w:color w:val="auto"/>
          <w:sz w:val="24"/>
          <w:szCs w:val="24"/>
        </w:rPr>
      </w:pPr>
      <w:r>
        <w:rPr>
          <w:rFonts w:ascii="仿宋" w:hAnsi="仿宋" w:eastAsia="仿宋"/>
          <w:color w:val="auto"/>
          <w:sz w:val="24"/>
          <w:szCs w:val="24"/>
        </w:rPr>
        <w:t>1、</w:t>
      </w:r>
      <w:r>
        <w:rPr>
          <w:rFonts w:hint="eastAsia" w:ascii="仿宋" w:hAnsi="仿宋" w:eastAsia="仿宋"/>
          <w:color w:val="auto"/>
          <w:sz w:val="24"/>
          <w:szCs w:val="24"/>
          <w:lang w:eastAsia="zh-CN"/>
        </w:rPr>
        <w:t>成交供应商</w:t>
      </w:r>
      <w:r>
        <w:rPr>
          <w:rFonts w:ascii="仿宋" w:hAnsi="仿宋" w:eastAsia="仿宋"/>
          <w:color w:val="auto"/>
          <w:sz w:val="24"/>
          <w:szCs w:val="24"/>
        </w:rPr>
        <w:t>因履行本项目而知悉的所有数据、信息和资料（包括但不限于账号信息、图表、文字、计算过程、任何形式的文件、访谈记录、现场实测数据、采购人相关工作程序等）以及因履行本项目而形成的数据、信息和任何形式的工作成果，均是采购人要求保密的信息。未经采购人书面同意，</w:t>
      </w:r>
      <w:r>
        <w:rPr>
          <w:rFonts w:hint="eastAsia" w:ascii="仿宋" w:hAnsi="仿宋" w:eastAsia="仿宋"/>
          <w:color w:val="auto"/>
          <w:sz w:val="24"/>
          <w:szCs w:val="24"/>
          <w:lang w:eastAsia="zh-CN"/>
        </w:rPr>
        <w:t>成交供应商</w:t>
      </w:r>
      <w:r>
        <w:rPr>
          <w:rFonts w:ascii="仿宋" w:hAnsi="仿宋" w:eastAsia="仿宋"/>
          <w:color w:val="auto"/>
          <w:sz w:val="24"/>
          <w:szCs w:val="24"/>
        </w:rPr>
        <w:t>不得对外泄露采购人要求保密的信息，不得用于其他用途，否则</w:t>
      </w:r>
      <w:r>
        <w:rPr>
          <w:rFonts w:hint="eastAsia" w:ascii="仿宋" w:hAnsi="仿宋" w:eastAsia="仿宋"/>
          <w:color w:val="auto"/>
          <w:sz w:val="24"/>
          <w:szCs w:val="24"/>
          <w:lang w:eastAsia="zh-CN"/>
        </w:rPr>
        <w:t>成交供应商</w:t>
      </w:r>
      <w:r>
        <w:rPr>
          <w:rFonts w:ascii="仿宋" w:hAnsi="仿宋" w:eastAsia="仿宋"/>
          <w:color w:val="auto"/>
          <w:sz w:val="24"/>
          <w:szCs w:val="24"/>
        </w:rPr>
        <w:t>需承担由此引起的法律责任和经济责任，包括但不限于直接损失、间接损失、律师费、诉讼费/仲裁费、调查费、公证费等。</w:t>
      </w:r>
    </w:p>
    <w:p>
      <w:pPr>
        <w:spacing w:line="360" w:lineRule="auto"/>
        <w:ind w:firstLine="663"/>
        <w:rPr>
          <w:rFonts w:hint="eastAsia" w:ascii="仿宋" w:hAnsi="仿宋" w:eastAsia="仿宋"/>
          <w:color w:val="auto"/>
          <w:sz w:val="24"/>
          <w:szCs w:val="24"/>
        </w:rPr>
      </w:pPr>
      <w:r>
        <w:rPr>
          <w:rFonts w:ascii="仿宋" w:hAnsi="仿宋" w:eastAsia="仿宋"/>
          <w:color w:val="auto"/>
          <w:sz w:val="24"/>
          <w:szCs w:val="24"/>
        </w:rPr>
        <w:t>2、</w:t>
      </w:r>
      <w:r>
        <w:rPr>
          <w:rFonts w:hint="eastAsia" w:ascii="仿宋" w:hAnsi="仿宋" w:eastAsia="仿宋"/>
          <w:color w:val="auto"/>
          <w:sz w:val="24"/>
          <w:szCs w:val="24"/>
          <w:lang w:eastAsia="zh-CN"/>
        </w:rPr>
        <w:t>成交供应商</w:t>
      </w:r>
      <w:r>
        <w:rPr>
          <w:rFonts w:ascii="仿宋" w:hAnsi="仿宋" w:eastAsia="仿宋"/>
          <w:color w:val="auto"/>
          <w:sz w:val="24"/>
          <w:szCs w:val="24"/>
        </w:rPr>
        <w:t>应采取必要的有效措施保证其参与本项目的人员（包括</w:t>
      </w:r>
      <w:r>
        <w:rPr>
          <w:rFonts w:hint="eastAsia" w:ascii="仿宋" w:hAnsi="仿宋" w:eastAsia="仿宋"/>
          <w:color w:val="auto"/>
          <w:sz w:val="24"/>
          <w:szCs w:val="24"/>
          <w:lang w:eastAsia="zh-CN"/>
        </w:rPr>
        <w:t>成交供应商</w:t>
      </w:r>
      <w:r>
        <w:rPr>
          <w:rFonts w:ascii="仿宋" w:hAnsi="仿宋" w:eastAsia="仿宋"/>
          <w:color w:val="auto"/>
          <w:sz w:val="24"/>
          <w:szCs w:val="24"/>
        </w:rPr>
        <w:t>聘用的人员、借调的人员、实习的人员）无论是在职或离职后，以及</w:t>
      </w:r>
      <w:r>
        <w:rPr>
          <w:rFonts w:hint="eastAsia" w:ascii="仿宋" w:hAnsi="仿宋" w:eastAsia="仿宋"/>
          <w:color w:val="auto"/>
          <w:sz w:val="24"/>
          <w:szCs w:val="24"/>
          <w:lang w:eastAsia="zh-CN"/>
        </w:rPr>
        <w:t>成交供应商</w:t>
      </w:r>
      <w:r>
        <w:rPr>
          <w:rFonts w:ascii="仿宋" w:hAnsi="仿宋" w:eastAsia="仿宋"/>
          <w:color w:val="auto"/>
          <w:sz w:val="24"/>
          <w:szCs w:val="24"/>
        </w:rPr>
        <w:t>的合作方</w:t>
      </w:r>
      <w:r>
        <w:rPr>
          <w:rFonts w:hint="eastAsia" w:ascii="仿宋" w:hAnsi="仿宋" w:eastAsia="仿宋"/>
          <w:color w:val="auto"/>
          <w:sz w:val="24"/>
          <w:szCs w:val="24"/>
          <w:lang w:val="en-US" w:eastAsia="zh-CN"/>
        </w:rPr>
        <w:t>无论是合</w:t>
      </w:r>
      <w:r>
        <w:rPr>
          <w:rFonts w:ascii="仿宋" w:hAnsi="仿宋" w:eastAsia="仿宋"/>
          <w:color w:val="auto"/>
          <w:sz w:val="24"/>
          <w:szCs w:val="24"/>
        </w:rPr>
        <w:t>作中或合作终止后，都能够履行本项目约定的保密义务。若</w:t>
      </w:r>
      <w:r>
        <w:rPr>
          <w:rFonts w:hint="eastAsia" w:ascii="仿宋" w:hAnsi="仿宋" w:eastAsia="仿宋"/>
          <w:color w:val="auto"/>
          <w:sz w:val="24"/>
          <w:szCs w:val="24"/>
          <w:lang w:eastAsia="zh-CN"/>
        </w:rPr>
        <w:t>成交供应商</w:t>
      </w:r>
      <w:r>
        <w:rPr>
          <w:rFonts w:ascii="仿宋" w:hAnsi="仿宋" w:eastAsia="仿宋"/>
          <w:color w:val="auto"/>
          <w:sz w:val="24"/>
          <w:szCs w:val="24"/>
        </w:rPr>
        <w:t>人员或</w:t>
      </w:r>
      <w:r>
        <w:rPr>
          <w:rFonts w:hint="eastAsia" w:ascii="仿宋" w:hAnsi="仿宋" w:eastAsia="仿宋"/>
          <w:color w:val="auto"/>
          <w:sz w:val="24"/>
          <w:szCs w:val="24"/>
          <w:lang w:eastAsia="zh-CN"/>
        </w:rPr>
        <w:t>成交供应商</w:t>
      </w:r>
      <w:r>
        <w:rPr>
          <w:rFonts w:ascii="仿宋" w:hAnsi="仿宋" w:eastAsia="仿宋"/>
          <w:color w:val="auto"/>
          <w:sz w:val="24"/>
          <w:szCs w:val="24"/>
        </w:rPr>
        <w:t>合作方违反保密规定，</w:t>
      </w:r>
      <w:r>
        <w:rPr>
          <w:rFonts w:hint="eastAsia" w:ascii="仿宋" w:hAnsi="仿宋" w:eastAsia="仿宋"/>
          <w:color w:val="auto"/>
          <w:sz w:val="24"/>
          <w:szCs w:val="24"/>
          <w:lang w:eastAsia="zh-CN"/>
        </w:rPr>
        <w:t>成交供应商</w:t>
      </w:r>
      <w:r>
        <w:rPr>
          <w:rFonts w:ascii="仿宋" w:hAnsi="仿宋" w:eastAsia="仿宋"/>
          <w:color w:val="auto"/>
          <w:sz w:val="24"/>
          <w:szCs w:val="24"/>
        </w:rPr>
        <w:t>应承担连带责任。</w:t>
      </w:r>
    </w:p>
    <w:p>
      <w:pPr>
        <w:spacing w:line="360" w:lineRule="auto"/>
        <w:ind w:firstLine="663"/>
        <w:rPr>
          <w:rFonts w:hint="eastAsia" w:ascii="仿宋" w:hAnsi="仿宋" w:eastAsia="仿宋"/>
          <w:color w:val="auto"/>
          <w:sz w:val="24"/>
          <w:szCs w:val="24"/>
        </w:rPr>
      </w:pPr>
      <w:r>
        <w:rPr>
          <w:rFonts w:ascii="仿宋" w:hAnsi="仿宋" w:eastAsia="仿宋"/>
          <w:color w:val="auto"/>
          <w:sz w:val="24"/>
          <w:szCs w:val="24"/>
        </w:rPr>
        <w:t>3、</w:t>
      </w:r>
      <w:r>
        <w:rPr>
          <w:rFonts w:hint="eastAsia" w:ascii="仿宋" w:hAnsi="仿宋" w:eastAsia="仿宋"/>
          <w:color w:val="auto"/>
          <w:sz w:val="24"/>
          <w:szCs w:val="24"/>
          <w:lang w:eastAsia="zh-CN"/>
        </w:rPr>
        <w:t>成交供应商</w:t>
      </w:r>
      <w:r>
        <w:rPr>
          <w:rFonts w:ascii="仿宋" w:hAnsi="仿宋" w:eastAsia="仿宋"/>
          <w:color w:val="auto"/>
          <w:sz w:val="24"/>
          <w:szCs w:val="24"/>
        </w:rPr>
        <w:t>（含</w:t>
      </w:r>
      <w:r>
        <w:rPr>
          <w:rFonts w:hint="eastAsia" w:ascii="仿宋" w:hAnsi="仿宋" w:eastAsia="仿宋"/>
          <w:color w:val="auto"/>
          <w:sz w:val="24"/>
          <w:szCs w:val="24"/>
          <w:lang w:eastAsia="zh-CN"/>
        </w:rPr>
        <w:t>成交供应商</w:t>
      </w:r>
      <w:r>
        <w:rPr>
          <w:rFonts w:ascii="仿宋" w:hAnsi="仿宋" w:eastAsia="仿宋"/>
          <w:color w:val="auto"/>
          <w:sz w:val="24"/>
          <w:szCs w:val="24"/>
        </w:rPr>
        <w:t>参与本项目的人员以及其合作方）未经采购方书面许可，不得以任何形式自行使用或以任何方式向第三方披露、转让、授权、出售与本项目有关的技术成果、计算机软件、源代码、策划文档、技术诀窍、秘密信息、技术资料和其他文件。</w:t>
      </w:r>
    </w:p>
    <w:p>
      <w:pPr>
        <w:spacing w:line="360" w:lineRule="auto"/>
        <w:ind w:firstLine="663"/>
        <w:rPr>
          <w:rFonts w:hint="eastAsia" w:ascii="仿宋" w:hAnsi="仿宋" w:eastAsia="仿宋"/>
          <w:color w:val="auto"/>
          <w:sz w:val="24"/>
          <w:szCs w:val="24"/>
        </w:rPr>
      </w:pPr>
      <w:r>
        <w:rPr>
          <w:rFonts w:ascii="仿宋" w:hAnsi="仿宋" w:eastAsia="仿宋"/>
          <w:color w:val="auto"/>
          <w:sz w:val="24"/>
          <w:szCs w:val="24"/>
        </w:rPr>
        <w:t>4、以上内容的保密期限自</w:t>
      </w:r>
      <w:r>
        <w:rPr>
          <w:rFonts w:hint="eastAsia" w:ascii="仿宋" w:hAnsi="仿宋" w:eastAsia="仿宋"/>
          <w:color w:val="auto"/>
          <w:sz w:val="24"/>
          <w:szCs w:val="24"/>
          <w:lang w:eastAsia="zh-CN"/>
        </w:rPr>
        <w:t>成交供应商</w:t>
      </w:r>
      <w:r>
        <w:rPr>
          <w:rFonts w:ascii="仿宋" w:hAnsi="仿宋" w:eastAsia="仿宋"/>
          <w:color w:val="auto"/>
          <w:sz w:val="24"/>
          <w:szCs w:val="24"/>
        </w:rPr>
        <w:t>知悉保密信息起始至保密信息被合法公开之日止。</w:t>
      </w:r>
    </w:p>
    <w:p>
      <w:pPr>
        <w:spacing w:line="360" w:lineRule="auto"/>
        <w:ind w:firstLine="663"/>
        <w:rPr>
          <w:rFonts w:hint="eastAsia" w:ascii="仿宋" w:hAnsi="仿宋" w:eastAsia="仿宋"/>
          <w:color w:val="auto"/>
          <w:sz w:val="24"/>
          <w:szCs w:val="24"/>
        </w:rPr>
      </w:pPr>
      <w:r>
        <w:rPr>
          <w:rFonts w:ascii="仿宋" w:hAnsi="仿宋" w:eastAsia="仿宋"/>
          <w:color w:val="auto"/>
          <w:sz w:val="24"/>
          <w:szCs w:val="24"/>
        </w:rPr>
        <w:t>5、</w:t>
      </w:r>
      <w:r>
        <w:rPr>
          <w:rFonts w:hint="eastAsia" w:ascii="仿宋" w:hAnsi="仿宋" w:eastAsia="仿宋"/>
          <w:color w:val="auto"/>
          <w:sz w:val="24"/>
          <w:szCs w:val="24"/>
          <w:lang w:eastAsia="zh-CN"/>
        </w:rPr>
        <w:t>成交供应商</w:t>
      </w:r>
      <w:r>
        <w:rPr>
          <w:rFonts w:ascii="仿宋" w:hAnsi="仿宋" w:eastAsia="仿宋"/>
          <w:color w:val="auto"/>
          <w:sz w:val="24"/>
          <w:szCs w:val="24"/>
        </w:rPr>
        <w:t>对采购人提拱的临时使用账号要保密，不得公开，对组件开发的账号密码需进行加密，避免信息安全的泄露。未经采购人的同意不得利用采购人的网络及平台进行短信、彩信、微信发送,造成的一切后果由</w:t>
      </w:r>
      <w:r>
        <w:rPr>
          <w:rFonts w:hint="eastAsia" w:ascii="仿宋" w:hAnsi="仿宋" w:eastAsia="仿宋"/>
          <w:color w:val="auto"/>
          <w:sz w:val="24"/>
          <w:szCs w:val="24"/>
          <w:lang w:eastAsia="zh-CN"/>
        </w:rPr>
        <w:t>成交供应商</w:t>
      </w:r>
      <w:r>
        <w:rPr>
          <w:rFonts w:ascii="仿宋" w:hAnsi="仿宋" w:eastAsia="仿宋"/>
          <w:color w:val="auto"/>
          <w:sz w:val="24"/>
          <w:szCs w:val="24"/>
        </w:rPr>
        <w:t>负责。</w:t>
      </w:r>
    </w:p>
    <w:p>
      <w:pPr>
        <w:spacing w:line="360" w:lineRule="auto"/>
        <w:ind w:firstLine="663"/>
        <w:rPr>
          <w:rFonts w:hint="eastAsia" w:ascii="仿宋" w:hAnsi="仿宋" w:eastAsia="仿宋"/>
          <w:color w:val="auto"/>
          <w:sz w:val="24"/>
          <w:szCs w:val="24"/>
        </w:rPr>
      </w:pPr>
      <w:r>
        <w:rPr>
          <w:rFonts w:ascii="仿宋" w:hAnsi="仿宋" w:eastAsia="仿宋"/>
          <w:color w:val="auto"/>
          <w:sz w:val="24"/>
          <w:szCs w:val="24"/>
        </w:rPr>
        <w:t>运维过程</w:t>
      </w:r>
      <w:r>
        <w:rPr>
          <w:rFonts w:hint="eastAsia" w:ascii="仿宋" w:hAnsi="仿宋" w:eastAsia="仿宋"/>
          <w:color w:val="auto"/>
          <w:sz w:val="24"/>
          <w:szCs w:val="24"/>
          <w:lang w:eastAsia="zh-CN"/>
        </w:rPr>
        <w:t>成交供应商</w:t>
      </w:r>
      <w:r>
        <w:rPr>
          <w:rFonts w:ascii="仿宋" w:hAnsi="仿宋" w:eastAsia="仿宋"/>
          <w:color w:val="auto"/>
          <w:sz w:val="24"/>
          <w:szCs w:val="24"/>
        </w:rPr>
        <w:t>如出现失、窃密事情，参照网络和数据安全事件处罚措施同等处置，具体处罚措施由</w:t>
      </w:r>
      <w:r>
        <w:rPr>
          <w:rFonts w:hint="eastAsia" w:ascii="仿宋" w:hAnsi="仿宋" w:eastAsia="仿宋"/>
          <w:color w:val="auto"/>
          <w:sz w:val="24"/>
          <w:szCs w:val="24"/>
        </w:rPr>
        <w:t>采购人</w:t>
      </w:r>
      <w:r>
        <w:rPr>
          <w:rFonts w:ascii="仿宋" w:hAnsi="仿宋" w:eastAsia="仿宋"/>
          <w:color w:val="auto"/>
          <w:sz w:val="24"/>
          <w:szCs w:val="24"/>
        </w:rPr>
        <w:t>保密管理部门确定。</w:t>
      </w:r>
    </w:p>
    <w:p>
      <w:pPr>
        <w:pStyle w:val="5"/>
        <w:spacing w:before="120" w:after="120" w:line="415" w:lineRule="auto"/>
        <w:rPr>
          <w:rFonts w:hint="eastAsia"/>
          <w:color w:val="auto"/>
        </w:rPr>
      </w:pPr>
      <w:r>
        <w:rPr>
          <w:rFonts w:hint="eastAsia"/>
          <w:color w:val="auto"/>
        </w:rPr>
        <w:t>（十一）</w:t>
      </w:r>
      <w:r>
        <w:rPr>
          <w:color w:val="auto"/>
        </w:rPr>
        <w:t>项目的变更、解除和终止</w:t>
      </w:r>
    </w:p>
    <w:p>
      <w:pPr>
        <w:spacing w:line="360" w:lineRule="auto"/>
        <w:ind w:firstLine="663"/>
        <w:rPr>
          <w:rFonts w:hint="eastAsia" w:ascii="仿宋" w:hAnsi="仿宋" w:eastAsia="仿宋"/>
          <w:color w:val="auto"/>
          <w:sz w:val="24"/>
          <w:szCs w:val="28"/>
        </w:rPr>
      </w:pPr>
      <w:r>
        <w:rPr>
          <w:rFonts w:ascii="仿宋" w:hAnsi="仿宋" w:eastAsia="仿宋"/>
          <w:color w:val="auto"/>
          <w:sz w:val="24"/>
          <w:szCs w:val="28"/>
        </w:rPr>
        <w:t>如果服务提供方丧失履约能力、发生资不抵债或进入破产程序，</w:t>
      </w:r>
      <w:r>
        <w:rPr>
          <w:rFonts w:hint="eastAsia" w:ascii="仿宋" w:hAnsi="仿宋" w:eastAsia="仿宋"/>
          <w:color w:val="auto"/>
          <w:sz w:val="24"/>
          <w:szCs w:val="28"/>
          <w:lang w:eastAsia="zh-CN"/>
        </w:rPr>
        <w:t>采购人</w:t>
      </w:r>
      <w:r>
        <w:rPr>
          <w:rFonts w:ascii="仿宋" w:hAnsi="仿宋" w:eastAsia="仿宋"/>
          <w:color w:val="auto"/>
          <w:sz w:val="24"/>
          <w:szCs w:val="28"/>
        </w:rPr>
        <w:t>可在任何时候以书面形式通知服务提供方终止本项目的执行而不给予服务提供方补偿。该终止本项目将不损害或影响</w:t>
      </w:r>
      <w:r>
        <w:rPr>
          <w:rFonts w:hint="eastAsia" w:ascii="仿宋" w:hAnsi="仿宋" w:eastAsia="仿宋"/>
          <w:color w:val="auto"/>
          <w:sz w:val="24"/>
          <w:szCs w:val="28"/>
          <w:lang w:eastAsia="zh-CN"/>
        </w:rPr>
        <w:t>采购人</w:t>
      </w:r>
      <w:r>
        <w:rPr>
          <w:rFonts w:ascii="仿宋" w:hAnsi="仿宋" w:eastAsia="仿宋"/>
          <w:color w:val="auto"/>
          <w:sz w:val="24"/>
          <w:szCs w:val="28"/>
        </w:rPr>
        <w:t>已经采取或将要采取任何行动或补救措施的权利。</w:t>
      </w:r>
    </w:p>
    <w:p>
      <w:pPr>
        <w:spacing w:line="360" w:lineRule="auto"/>
        <w:ind w:firstLine="663"/>
        <w:rPr>
          <w:rFonts w:hint="eastAsia" w:ascii="仿宋" w:hAnsi="仿宋" w:eastAsia="仿宋"/>
          <w:color w:val="auto"/>
          <w:sz w:val="24"/>
          <w:szCs w:val="28"/>
        </w:rPr>
      </w:pPr>
      <w:r>
        <w:rPr>
          <w:rFonts w:ascii="仿宋" w:hAnsi="仿宋" w:eastAsia="仿宋"/>
          <w:color w:val="auto"/>
          <w:sz w:val="24"/>
          <w:szCs w:val="28"/>
        </w:rPr>
        <w:t>如遇国家、行业管理部门等机构的有关标准和规定调整的，导致本项目内容</w:t>
      </w:r>
      <w:r>
        <w:rPr>
          <w:rFonts w:hint="eastAsia" w:ascii="仿宋" w:hAnsi="仿宋" w:eastAsia="仿宋"/>
          <w:color w:val="auto"/>
          <w:sz w:val="24"/>
          <w:szCs w:val="28"/>
        </w:rPr>
        <w:t>需</w:t>
      </w:r>
      <w:r>
        <w:rPr>
          <w:rFonts w:ascii="仿宋" w:hAnsi="仿宋" w:eastAsia="仿宋"/>
          <w:color w:val="auto"/>
          <w:sz w:val="24"/>
          <w:szCs w:val="28"/>
        </w:rPr>
        <w:t>做相应调整时，双方应按照公平、合理的原则共同协商修改本项目对应的合同的相关条款。</w:t>
      </w:r>
    </w:p>
    <w:p>
      <w:pPr>
        <w:pStyle w:val="5"/>
        <w:spacing w:before="120" w:after="120" w:line="415" w:lineRule="auto"/>
        <w:rPr>
          <w:rFonts w:hint="eastAsia"/>
          <w:color w:val="auto"/>
        </w:rPr>
      </w:pPr>
      <w:r>
        <w:rPr>
          <w:rFonts w:hint="eastAsia"/>
          <w:color w:val="auto"/>
        </w:rPr>
        <w:t>（十</w:t>
      </w:r>
      <w:r>
        <w:rPr>
          <w:rFonts w:hint="eastAsia"/>
          <w:color w:val="auto"/>
          <w:lang w:eastAsia="zh-CN"/>
        </w:rPr>
        <w:t>二</w:t>
      </w:r>
      <w:r>
        <w:rPr>
          <w:rFonts w:hint="eastAsia"/>
          <w:color w:val="auto"/>
        </w:rPr>
        <w:t>）关于转让和分包的规定</w:t>
      </w:r>
    </w:p>
    <w:p>
      <w:pPr>
        <w:spacing w:line="360" w:lineRule="auto"/>
        <w:ind w:firstLine="661"/>
        <w:rPr>
          <w:rFonts w:hint="eastAsia" w:ascii="仿宋" w:hAnsi="仿宋" w:eastAsia="仿宋"/>
          <w:color w:val="auto"/>
          <w:sz w:val="24"/>
          <w:szCs w:val="24"/>
        </w:rPr>
      </w:pPr>
      <w:r>
        <w:rPr>
          <w:rFonts w:ascii="仿宋" w:hAnsi="仿宋" w:eastAsia="仿宋"/>
          <w:color w:val="auto"/>
          <w:sz w:val="24"/>
          <w:szCs w:val="24"/>
        </w:rPr>
        <w:t>本项目</w:t>
      </w:r>
      <w:r>
        <w:rPr>
          <w:rFonts w:hint="eastAsia" w:ascii="仿宋" w:hAnsi="仿宋" w:eastAsia="仿宋"/>
          <w:color w:val="auto"/>
          <w:sz w:val="24"/>
          <w:szCs w:val="24"/>
        </w:rPr>
        <w:t>不得转让</w:t>
      </w:r>
      <w:r>
        <w:rPr>
          <w:rFonts w:ascii="仿宋" w:hAnsi="仿宋" w:eastAsia="仿宋"/>
          <w:color w:val="auto"/>
          <w:sz w:val="24"/>
          <w:szCs w:val="24"/>
        </w:rPr>
        <w:t>不得分包。</w:t>
      </w:r>
    </w:p>
    <w:p>
      <w:pPr>
        <w:pStyle w:val="5"/>
        <w:spacing w:before="120" w:after="120" w:line="415" w:lineRule="auto"/>
        <w:rPr>
          <w:rFonts w:hint="eastAsia"/>
          <w:color w:val="auto"/>
        </w:rPr>
      </w:pPr>
      <w:r>
        <w:rPr>
          <w:rFonts w:hint="eastAsia"/>
          <w:color w:val="auto"/>
        </w:rPr>
        <w:t>（十</w:t>
      </w:r>
      <w:r>
        <w:rPr>
          <w:rFonts w:hint="eastAsia"/>
          <w:color w:val="auto"/>
          <w:lang w:eastAsia="zh-CN"/>
        </w:rPr>
        <w:t>三</w:t>
      </w:r>
      <w:r>
        <w:rPr>
          <w:rFonts w:hint="eastAsia"/>
          <w:color w:val="auto"/>
        </w:rPr>
        <w:t>）项目成果</w:t>
      </w:r>
    </w:p>
    <w:p>
      <w:pPr>
        <w:pStyle w:val="2"/>
        <w:numPr>
          <w:ilvl w:val="0"/>
          <w:numId w:val="0"/>
        </w:numPr>
        <w:ind w:left="723"/>
        <w:rPr>
          <w:rFonts w:hint="eastAsia" w:eastAsia="华文中宋"/>
          <w:color w:val="auto"/>
        </w:rPr>
      </w:pPr>
      <w:r>
        <w:rPr>
          <w:rFonts w:hint="eastAsia"/>
          <w:color w:val="auto"/>
        </w:rPr>
        <w:t>提供《基于国际展会服务的空间计算底座平台密码应用测评报告》</w:t>
      </w:r>
    </w:p>
    <w:p>
      <w:pPr>
        <w:pStyle w:val="5"/>
        <w:spacing w:before="120" w:after="120" w:line="415" w:lineRule="auto"/>
        <w:rPr>
          <w:rFonts w:hint="eastAsia"/>
          <w:color w:val="auto"/>
        </w:rPr>
      </w:pPr>
      <w:r>
        <w:rPr>
          <w:rFonts w:hint="eastAsia"/>
          <w:color w:val="auto"/>
        </w:rPr>
        <w:t>（十</w:t>
      </w:r>
      <w:r>
        <w:rPr>
          <w:rFonts w:hint="eastAsia"/>
          <w:color w:val="auto"/>
          <w:lang w:eastAsia="zh-CN"/>
        </w:rPr>
        <w:t>四</w:t>
      </w:r>
      <w:r>
        <w:rPr>
          <w:rFonts w:hint="eastAsia"/>
          <w:color w:val="auto"/>
        </w:rPr>
        <w:t>）付款方式</w:t>
      </w:r>
    </w:p>
    <w:p>
      <w:pPr>
        <w:keepNext w:val="0"/>
        <w:keepLines w:val="0"/>
        <w:widowControl w:val="0"/>
        <w:suppressLineNumbers w:val="0"/>
        <w:spacing w:before="0" w:beforeAutospacing="0" w:after="0" w:afterAutospacing="0" w:line="360" w:lineRule="auto"/>
        <w:ind w:left="0" w:right="0" w:firstLine="420" w:firstLineChars="0"/>
        <w:jc w:val="both"/>
        <w:rPr>
          <w:rFonts w:hint="eastAsia" w:ascii="宋体" w:hAnsi="宋体" w:eastAsia="华文仿宋" w:cs="华文仿宋"/>
          <w:color w:val="auto"/>
          <w:szCs w:val="21"/>
          <w:lang w:val="en-US"/>
        </w:rPr>
      </w:pPr>
      <w:r>
        <w:rPr>
          <w:rFonts w:hint="eastAsia" w:ascii="宋体" w:hAnsi="宋体" w:eastAsia="华文仿宋" w:cs="华文仿宋"/>
          <w:color w:val="auto"/>
          <w:kern w:val="2"/>
          <w:sz w:val="24"/>
          <w:szCs w:val="21"/>
          <w:lang w:val="en-US" w:eastAsia="zh-CN" w:bidi="ar"/>
        </w:rPr>
        <w:t>A.如果成交金额大于当年已批复预算</w:t>
      </w:r>
      <w:r>
        <w:rPr>
          <w:rFonts w:hint="eastAsia" w:ascii="宋体" w:hAnsi="宋体" w:eastAsia="华文仿宋" w:cs="华文仿宋"/>
          <w:color w:val="auto"/>
          <w:kern w:val="2"/>
          <w:sz w:val="24"/>
          <w:szCs w:val="21"/>
          <w:highlight w:val="none"/>
          <w:u w:val="single"/>
          <w:lang w:val="en-US" w:eastAsia="zh-CN" w:bidi="ar"/>
        </w:rPr>
        <w:t>315768</w:t>
      </w:r>
      <w:r>
        <w:rPr>
          <w:rFonts w:hint="eastAsia" w:ascii="宋体" w:hAnsi="宋体" w:eastAsia="华文仿宋" w:cs="华文仿宋"/>
          <w:color w:val="auto"/>
          <w:kern w:val="2"/>
          <w:sz w:val="24"/>
          <w:szCs w:val="21"/>
          <w:highlight w:val="none"/>
          <w:lang w:val="en-US" w:eastAsia="zh-CN" w:bidi="ar"/>
        </w:rPr>
        <w:t>元</w:t>
      </w:r>
      <w:r>
        <w:rPr>
          <w:rFonts w:hint="eastAsia" w:ascii="宋体" w:hAnsi="宋体" w:eastAsia="华文仿宋" w:cs="华文仿宋"/>
          <w:color w:val="auto"/>
          <w:kern w:val="2"/>
          <w:sz w:val="24"/>
          <w:szCs w:val="21"/>
          <w:lang w:val="en-US" w:eastAsia="zh-CN" w:bidi="ar"/>
        </w:rPr>
        <w:t xml:space="preserve"> ：</w:t>
      </w:r>
    </w:p>
    <w:p>
      <w:pPr>
        <w:keepNext w:val="0"/>
        <w:keepLines w:val="0"/>
        <w:widowControl w:val="0"/>
        <w:suppressLineNumbers w:val="0"/>
        <w:spacing w:before="0" w:beforeAutospacing="0" w:after="0" w:afterAutospacing="0" w:line="360" w:lineRule="auto"/>
        <w:ind w:left="0" w:right="0" w:firstLine="420" w:firstLineChars="0"/>
        <w:jc w:val="both"/>
        <w:rPr>
          <w:rFonts w:hint="eastAsia" w:ascii="宋体" w:hAnsi="宋体" w:eastAsia="华文仿宋" w:cs="华文仿宋"/>
          <w:color w:val="auto"/>
          <w:szCs w:val="21"/>
          <w:lang w:val="en-US"/>
        </w:rPr>
      </w:pPr>
      <w:r>
        <w:rPr>
          <w:rFonts w:hint="eastAsia" w:ascii="宋体" w:hAnsi="宋体" w:eastAsia="华文仿宋" w:cs="华文仿宋"/>
          <w:color w:val="auto"/>
          <w:kern w:val="2"/>
          <w:sz w:val="24"/>
          <w:szCs w:val="21"/>
          <w:lang w:val="en-US" w:eastAsia="zh-CN" w:bidi="ar"/>
        </w:rPr>
        <w:t>1.按</w:t>
      </w:r>
      <w:bookmarkStart w:id="3" w:name="_GoBack"/>
      <w:bookmarkEnd w:id="3"/>
      <w:r>
        <w:rPr>
          <w:rFonts w:hint="eastAsia" w:ascii="宋体" w:hAnsi="宋体" w:eastAsia="华文仿宋" w:cs="华文仿宋"/>
          <w:color w:val="auto"/>
          <w:kern w:val="2"/>
          <w:sz w:val="24"/>
          <w:szCs w:val="21"/>
          <w:lang w:val="en-US" w:eastAsia="zh-CN" w:bidi="ar"/>
        </w:rPr>
        <w:t>成交金额签订合同，合同生效后10个工作日内支付当年已批复预算；</w:t>
      </w:r>
    </w:p>
    <w:p>
      <w:pPr>
        <w:keepNext w:val="0"/>
        <w:keepLines w:val="0"/>
        <w:widowControl w:val="0"/>
        <w:suppressLineNumbers w:val="0"/>
        <w:spacing w:before="0" w:beforeAutospacing="0" w:after="0" w:afterAutospacing="0" w:line="360" w:lineRule="auto"/>
        <w:ind w:left="0" w:right="0" w:firstLine="420" w:firstLineChars="0"/>
        <w:jc w:val="both"/>
        <w:rPr>
          <w:rFonts w:hint="eastAsia" w:ascii="宋体" w:hAnsi="宋体" w:eastAsia="华文仿宋" w:cs="华文仿宋"/>
          <w:color w:val="auto"/>
          <w:szCs w:val="21"/>
          <w:lang w:val="en-US"/>
        </w:rPr>
      </w:pPr>
      <w:r>
        <w:rPr>
          <w:rFonts w:hint="eastAsia" w:ascii="宋体" w:hAnsi="宋体" w:eastAsia="华文仿宋" w:cs="华文仿宋"/>
          <w:color w:val="auto"/>
          <w:kern w:val="2"/>
          <w:sz w:val="24"/>
          <w:szCs w:val="21"/>
          <w:lang w:val="en-US" w:eastAsia="zh-CN" w:bidi="ar"/>
        </w:rPr>
        <w:t>2.本项目通过最终验收且收到约定的项目工作成果后10个工作日内，支付合同剩余尾款。</w:t>
      </w:r>
    </w:p>
    <w:p>
      <w:pPr>
        <w:keepNext w:val="0"/>
        <w:keepLines w:val="0"/>
        <w:widowControl w:val="0"/>
        <w:suppressLineNumbers w:val="0"/>
        <w:spacing w:before="0" w:beforeAutospacing="0" w:after="0" w:afterAutospacing="0" w:line="360" w:lineRule="auto"/>
        <w:ind w:left="0" w:right="0" w:firstLine="420" w:firstLineChars="0"/>
        <w:jc w:val="both"/>
        <w:rPr>
          <w:rFonts w:hint="eastAsia" w:ascii="宋体" w:hAnsi="宋体" w:eastAsia="华文仿宋" w:cs="华文仿宋"/>
          <w:color w:val="auto"/>
          <w:szCs w:val="21"/>
          <w:lang w:val="en-US"/>
        </w:rPr>
      </w:pPr>
      <w:r>
        <w:rPr>
          <w:rFonts w:hint="eastAsia" w:ascii="宋体" w:hAnsi="宋体" w:eastAsia="华文仿宋" w:cs="华文仿宋"/>
          <w:color w:val="auto"/>
          <w:kern w:val="2"/>
          <w:sz w:val="24"/>
          <w:szCs w:val="21"/>
          <w:lang w:val="en-US" w:eastAsia="zh-CN" w:bidi="ar"/>
        </w:rPr>
        <w:t>B.如果成交金额小于或者等于当年已批复预算</w:t>
      </w:r>
      <w:r>
        <w:rPr>
          <w:rFonts w:hint="eastAsia" w:ascii="宋体" w:hAnsi="宋体" w:eastAsia="华文仿宋" w:cs="华文仿宋"/>
          <w:color w:val="auto"/>
          <w:kern w:val="2"/>
          <w:sz w:val="24"/>
          <w:szCs w:val="21"/>
          <w:u w:val="single"/>
          <w:lang w:val="en-US" w:eastAsia="zh-CN" w:bidi="ar"/>
        </w:rPr>
        <w:t>315768</w:t>
      </w:r>
      <w:r>
        <w:rPr>
          <w:rFonts w:hint="eastAsia" w:ascii="宋体" w:hAnsi="宋体" w:eastAsia="华文仿宋" w:cs="华文仿宋"/>
          <w:color w:val="auto"/>
          <w:kern w:val="2"/>
          <w:sz w:val="24"/>
          <w:szCs w:val="21"/>
          <w:lang w:val="en-US" w:eastAsia="zh-CN" w:bidi="ar"/>
        </w:rPr>
        <w:t>元：</w:t>
      </w:r>
    </w:p>
    <w:p>
      <w:pPr>
        <w:keepNext w:val="0"/>
        <w:keepLines w:val="0"/>
        <w:widowControl w:val="0"/>
        <w:suppressLineNumbers w:val="0"/>
        <w:spacing w:before="0" w:beforeAutospacing="0" w:after="0" w:afterAutospacing="0" w:line="360" w:lineRule="auto"/>
        <w:ind w:left="0" w:right="0" w:firstLine="420" w:firstLineChars="0"/>
        <w:jc w:val="both"/>
        <w:rPr>
          <w:rFonts w:hint="eastAsia" w:ascii="宋体" w:hAnsi="宋体" w:eastAsia="华文仿宋" w:cs="华文仿宋"/>
          <w:color w:val="auto"/>
          <w:szCs w:val="21"/>
          <w:lang w:val="en-US"/>
        </w:rPr>
      </w:pPr>
      <w:r>
        <w:rPr>
          <w:rFonts w:hint="eastAsia" w:ascii="宋体" w:hAnsi="宋体" w:eastAsia="华文仿宋" w:cs="华文仿宋"/>
          <w:color w:val="auto"/>
          <w:kern w:val="2"/>
          <w:sz w:val="24"/>
          <w:szCs w:val="21"/>
          <w:lang w:val="en-US" w:eastAsia="zh-CN" w:bidi="ar"/>
        </w:rPr>
        <w:t>1.按成交金额签订合同，合同生效后10个工作日内支付合同金额的70%；</w:t>
      </w:r>
    </w:p>
    <w:p>
      <w:pPr>
        <w:keepNext w:val="0"/>
        <w:keepLines w:val="0"/>
        <w:widowControl w:val="0"/>
        <w:suppressLineNumbers w:val="0"/>
        <w:spacing w:before="0" w:beforeAutospacing="0" w:after="0" w:afterAutospacing="0" w:line="360" w:lineRule="auto"/>
        <w:ind w:left="0" w:right="0" w:firstLine="420" w:firstLineChars="0"/>
        <w:jc w:val="both"/>
        <w:rPr>
          <w:rFonts w:hint="default" w:ascii="宋体" w:hAnsi="宋体" w:eastAsia="华文仿宋" w:cs="华文仿宋"/>
          <w:color w:val="auto"/>
          <w:szCs w:val="21"/>
          <w:lang w:val="en-US"/>
        </w:rPr>
      </w:pPr>
      <w:r>
        <w:rPr>
          <w:rFonts w:hint="eastAsia" w:ascii="宋体" w:hAnsi="宋体" w:eastAsia="华文仿宋" w:cs="华文仿宋"/>
          <w:color w:val="auto"/>
          <w:kern w:val="2"/>
          <w:sz w:val="24"/>
          <w:szCs w:val="21"/>
          <w:lang w:val="en-US" w:eastAsia="zh-CN" w:bidi="ar"/>
        </w:rPr>
        <w:t>2.本项目通过最终验收且收到约定的项目工作成果后10个工作日内，支付合同剩余尾款。</w:t>
      </w:r>
    </w:p>
    <w:p>
      <w:pPr>
        <w:pStyle w:val="2"/>
        <w:numPr>
          <w:ilvl w:val="0"/>
          <w:numId w:val="0"/>
        </w:numPr>
        <w:ind w:left="420" w:leftChars="0"/>
        <w:rPr>
          <w:rFonts w:hint="eastAsia"/>
          <w:color w:val="auto"/>
        </w:rPr>
      </w:pPr>
    </w:p>
    <w:p>
      <w:pPr>
        <w:pStyle w:val="2"/>
        <w:numPr>
          <w:ilvl w:val="0"/>
          <w:numId w:val="0"/>
        </w:numPr>
        <w:rPr>
          <w:rFonts w:hint="eastAsia"/>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华文仿宋">
    <w:altName w:val="方正仿宋_GBK"/>
    <w:panose1 w:val="02010600040101010101"/>
    <w:charset w:val="86"/>
    <w:family w:val="auto"/>
    <w:pitch w:val="default"/>
    <w:sig w:usb0="00000000" w:usb1="00000000" w:usb2="00000000" w:usb3="00000000" w:csb0="0004009F" w:csb1="DFD70000"/>
  </w:font>
  <w:font w:name="等线">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文泉驿微米黑">
    <w:panose1 w:val="020B0606030804020204"/>
    <w:charset w:val="86"/>
    <w:family w:val="auto"/>
    <w:pitch w:val="default"/>
    <w:sig w:usb0="E10002EF" w:usb1="6BDFFCFB" w:usb2="00800036" w:usb3="00000000" w:csb0="603E01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1B9F61"/>
    <w:multiLevelType w:val="singleLevel"/>
    <w:tmpl w:val="981B9F61"/>
    <w:lvl w:ilvl="0" w:tentative="0">
      <w:start w:val="1"/>
      <w:numFmt w:val="decimal"/>
      <w:suff w:val="space"/>
      <w:lvlText w:val="%1."/>
      <w:lvlJc w:val="left"/>
    </w:lvl>
  </w:abstractNum>
  <w:abstractNum w:abstractNumId="1">
    <w:nsid w:val="9C320891"/>
    <w:multiLevelType w:val="singleLevel"/>
    <w:tmpl w:val="9C320891"/>
    <w:lvl w:ilvl="0" w:tentative="0">
      <w:start w:val="3"/>
      <w:numFmt w:val="chineseCounting"/>
      <w:suff w:val="nothing"/>
      <w:lvlText w:val="（%1）"/>
      <w:lvlJc w:val="left"/>
      <w:rPr>
        <w:rFonts w:hint="eastAsia"/>
      </w:rPr>
    </w:lvl>
  </w:abstractNum>
  <w:abstractNum w:abstractNumId="2">
    <w:nsid w:val="0E2377C8"/>
    <w:multiLevelType w:val="multilevel"/>
    <w:tmpl w:val="0E2377C8"/>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5A123A8A"/>
    <w:multiLevelType w:val="multilevel"/>
    <w:tmpl w:val="5A123A8A"/>
    <w:lvl w:ilvl="0" w:tentative="0">
      <w:start w:val="1"/>
      <w:numFmt w:val="decimal"/>
      <w:pStyle w:val="2"/>
      <w:lvlText w:val="%1."/>
      <w:lvlJc w:val="left"/>
      <w:pPr>
        <w:ind w:left="723"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FmZmUwYzI5ZGYxMmZiZGRjZjE1MDk0NGU0MDZmNzUifQ=="/>
  </w:docVars>
  <w:rsids>
    <w:rsidRoot w:val="00F770C5"/>
    <w:rsid w:val="000033AF"/>
    <w:rsid w:val="00004C0B"/>
    <w:rsid w:val="000272E7"/>
    <w:rsid w:val="00036CA7"/>
    <w:rsid w:val="00042909"/>
    <w:rsid w:val="00060DC9"/>
    <w:rsid w:val="000709B9"/>
    <w:rsid w:val="000901BC"/>
    <w:rsid w:val="000906DF"/>
    <w:rsid w:val="000A0263"/>
    <w:rsid w:val="000A041D"/>
    <w:rsid w:val="000B063A"/>
    <w:rsid w:val="000B37FA"/>
    <w:rsid w:val="000B5EA8"/>
    <w:rsid w:val="000D0EB9"/>
    <w:rsid w:val="000F5645"/>
    <w:rsid w:val="001064A7"/>
    <w:rsid w:val="00142377"/>
    <w:rsid w:val="001800AB"/>
    <w:rsid w:val="00195403"/>
    <w:rsid w:val="00197111"/>
    <w:rsid w:val="001A4BEA"/>
    <w:rsid w:val="001A6273"/>
    <w:rsid w:val="001C18A4"/>
    <w:rsid w:val="001D3864"/>
    <w:rsid w:val="001D5FB4"/>
    <w:rsid w:val="001F284D"/>
    <w:rsid w:val="001F56BC"/>
    <w:rsid w:val="00204213"/>
    <w:rsid w:val="0020527C"/>
    <w:rsid w:val="00221A9B"/>
    <w:rsid w:val="00225004"/>
    <w:rsid w:val="0024152E"/>
    <w:rsid w:val="00260FBD"/>
    <w:rsid w:val="002642F7"/>
    <w:rsid w:val="00287074"/>
    <w:rsid w:val="002A71D1"/>
    <w:rsid w:val="002B1DCD"/>
    <w:rsid w:val="002B592B"/>
    <w:rsid w:val="002D4370"/>
    <w:rsid w:val="002E1D37"/>
    <w:rsid w:val="002E1EE5"/>
    <w:rsid w:val="002F0E0D"/>
    <w:rsid w:val="00320273"/>
    <w:rsid w:val="00327601"/>
    <w:rsid w:val="00336FD4"/>
    <w:rsid w:val="0034372B"/>
    <w:rsid w:val="00353FBC"/>
    <w:rsid w:val="003670F4"/>
    <w:rsid w:val="003A3266"/>
    <w:rsid w:val="003A4ACF"/>
    <w:rsid w:val="003C724D"/>
    <w:rsid w:val="003E0B8C"/>
    <w:rsid w:val="00404335"/>
    <w:rsid w:val="004269BF"/>
    <w:rsid w:val="00433ADD"/>
    <w:rsid w:val="00434DDB"/>
    <w:rsid w:val="00450D95"/>
    <w:rsid w:val="004663D5"/>
    <w:rsid w:val="00474F92"/>
    <w:rsid w:val="00475DAC"/>
    <w:rsid w:val="00486C79"/>
    <w:rsid w:val="004934D9"/>
    <w:rsid w:val="004C7178"/>
    <w:rsid w:val="004E259E"/>
    <w:rsid w:val="00545C28"/>
    <w:rsid w:val="00561852"/>
    <w:rsid w:val="0057342F"/>
    <w:rsid w:val="00577D75"/>
    <w:rsid w:val="00586A3B"/>
    <w:rsid w:val="005A078B"/>
    <w:rsid w:val="005B2993"/>
    <w:rsid w:val="005B6308"/>
    <w:rsid w:val="005B6337"/>
    <w:rsid w:val="005C6C8C"/>
    <w:rsid w:val="005D2468"/>
    <w:rsid w:val="005E2962"/>
    <w:rsid w:val="005E314A"/>
    <w:rsid w:val="005E38DB"/>
    <w:rsid w:val="005F7B31"/>
    <w:rsid w:val="0061014D"/>
    <w:rsid w:val="00652F3C"/>
    <w:rsid w:val="00666B3E"/>
    <w:rsid w:val="006710F6"/>
    <w:rsid w:val="00692CCF"/>
    <w:rsid w:val="006B046D"/>
    <w:rsid w:val="006D5694"/>
    <w:rsid w:val="006D5DAD"/>
    <w:rsid w:val="006D7A42"/>
    <w:rsid w:val="006E33C0"/>
    <w:rsid w:val="006F1C9B"/>
    <w:rsid w:val="006F5386"/>
    <w:rsid w:val="007154B4"/>
    <w:rsid w:val="007558F5"/>
    <w:rsid w:val="0076037A"/>
    <w:rsid w:val="00766564"/>
    <w:rsid w:val="0077060F"/>
    <w:rsid w:val="00794C7D"/>
    <w:rsid w:val="007A1C56"/>
    <w:rsid w:val="007A6976"/>
    <w:rsid w:val="007B3D14"/>
    <w:rsid w:val="007B5C56"/>
    <w:rsid w:val="00801DB0"/>
    <w:rsid w:val="008020C1"/>
    <w:rsid w:val="008203E7"/>
    <w:rsid w:val="00831EF3"/>
    <w:rsid w:val="00834415"/>
    <w:rsid w:val="00837E5B"/>
    <w:rsid w:val="00840CF5"/>
    <w:rsid w:val="00843C1F"/>
    <w:rsid w:val="008453F5"/>
    <w:rsid w:val="00860A54"/>
    <w:rsid w:val="00872824"/>
    <w:rsid w:val="008738E3"/>
    <w:rsid w:val="008C1CD1"/>
    <w:rsid w:val="008E0BC1"/>
    <w:rsid w:val="008E5B3F"/>
    <w:rsid w:val="008F0868"/>
    <w:rsid w:val="008F6B2B"/>
    <w:rsid w:val="008F6E30"/>
    <w:rsid w:val="00901B8D"/>
    <w:rsid w:val="00904567"/>
    <w:rsid w:val="009063D7"/>
    <w:rsid w:val="00914940"/>
    <w:rsid w:val="00941174"/>
    <w:rsid w:val="00971FCE"/>
    <w:rsid w:val="009A3AF1"/>
    <w:rsid w:val="009A6C8B"/>
    <w:rsid w:val="009C6B98"/>
    <w:rsid w:val="009D28B0"/>
    <w:rsid w:val="009D375E"/>
    <w:rsid w:val="009D3F55"/>
    <w:rsid w:val="009E3F98"/>
    <w:rsid w:val="00A147CE"/>
    <w:rsid w:val="00A31559"/>
    <w:rsid w:val="00A51FBB"/>
    <w:rsid w:val="00A60E8B"/>
    <w:rsid w:val="00A808E9"/>
    <w:rsid w:val="00A812C9"/>
    <w:rsid w:val="00A92921"/>
    <w:rsid w:val="00AB75CD"/>
    <w:rsid w:val="00AD4250"/>
    <w:rsid w:val="00B11380"/>
    <w:rsid w:val="00B21CCB"/>
    <w:rsid w:val="00B41723"/>
    <w:rsid w:val="00B436F2"/>
    <w:rsid w:val="00B468AC"/>
    <w:rsid w:val="00B46A8B"/>
    <w:rsid w:val="00B67938"/>
    <w:rsid w:val="00B77F1C"/>
    <w:rsid w:val="00B96EC1"/>
    <w:rsid w:val="00BB26AD"/>
    <w:rsid w:val="00BC1BE3"/>
    <w:rsid w:val="00BD196C"/>
    <w:rsid w:val="00BF35C6"/>
    <w:rsid w:val="00C05818"/>
    <w:rsid w:val="00C32161"/>
    <w:rsid w:val="00C67AB6"/>
    <w:rsid w:val="00C7482C"/>
    <w:rsid w:val="00C77C27"/>
    <w:rsid w:val="00C949F2"/>
    <w:rsid w:val="00CA08A8"/>
    <w:rsid w:val="00CA31A8"/>
    <w:rsid w:val="00CA7040"/>
    <w:rsid w:val="00CD0CA4"/>
    <w:rsid w:val="00CE0529"/>
    <w:rsid w:val="00CE21C6"/>
    <w:rsid w:val="00CE2B08"/>
    <w:rsid w:val="00CE3149"/>
    <w:rsid w:val="00D24021"/>
    <w:rsid w:val="00D257ED"/>
    <w:rsid w:val="00D35997"/>
    <w:rsid w:val="00D42DF0"/>
    <w:rsid w:val="00D46B92"/>
    <w:rsid w:val="00D57F59"/>
    <w:rsid w:val="00D65097"/>
    <w:rsid w:val="00DC0809"/>
    <w:rsid w:val="00DC6A9D"/>
    <w:rsid w:val="00DD58A9"/>
    <w:rsid w:val="00DE6068"/>
    <w:rsid w:val="00DF1EE6"/>
    <w:rsid w:val="00E02DCA"/>
    <w:rsid w:val="00E1175B"/>
    <w:rsid w:val="00E210FD"/>
    <w:rsid w:val="00E23FD0"/>
    <w:rsid w:val="00E24ADA"/>
    <w:rsid w:val="00E565FD"/>
    <w:rsid w:val="00E66C01"/>
    <w:rsid w:val="00E75CFF"/>
    <w:rsid w:val="00EB25EF"/>
    <w:rsid w:val="00EC63DD"/>
    <w:rsid w:val="00EE0D6D"/>
    <w:rsid w:val="00F000A2"/>
    <w:rsid w:val="00F4381F"/>
    <w:rsid w:val="00F457B9"/>
    <w:rsid w:val="00F65BFE"/>
    <w:rsid w:val="00F770C5"/>
    <w:rsid w:val="00F8253E"/>
    <w:rsid w:val="00FC005F"/>
    <w:rsid w:val="00FC0931"/>
    <w:rsid w:val="011E3D92"/>
    <w:rsid w:val="02185BB9"/>
    <w:rsid w:val="0273010D"/>
    <w:rsid w:val="04041965"/>
    <w:rsid w:val="04DF3116"/>
    <w:rsid w:val="05C23886"/>
    <w:rsid w:val="05DE61E6"/>
    <w:rsid w:val="060914B4"/>
    <w:rsid w:val="062C51A3"/>
    <w:rsid w:val="064C75F3"/>
    <w:rsid w:val="06A765D7"/>
    <w:rsid w:val="06B84C89"/>
    <w:rsid w:val="075C5614"/>
    <w:rsid w:val="07BB058C"/>
    <w:rsid w:val="082C3238"/>
    <w:rsid w:val="08915791"/>
    <w:rsid w:val="096B7D90"/>
    <w:rsid w:val="097E5D15"/>
    <w:rsid w:val="09F61D50"/>
    <w:rsid w:val="0A0B1D53"/>
    <w:rsid w:val="0A5922DF"/>
    <w:rsid w:val="0AC77248"/>
    <w:rsid w:val="0B064214"/>
    <w:rsid w:val="0BF40511"/>
    <w:rsid w:val="0C41302A"/>
    <w:rsid w:val="0CAC4948"/>
    <w:rsid w:val="0D0C3638"/>
    <w:rsid w:val="0D1E2A14"/>
    <w:rsid w:val="0D8E7C41"/>
    <w:rsid w:val="0DA9532B"/>
    <w:rsid w:val="0E341099"/>
    <w:rsid w:val="0E39045D"/>
    <w:rsid w:val="0EB83A78"/>
    <w:rsid w:val="0EBB70C4"/>
    <w:rsid w:val="0F0F5662"/>
    <w:rsid w:val="0F152C78"/>
    <w:rsid w:val="0F19203C"/>
    <w:rsid w:val="0F8C6CB2"/>
    <w:rsid w:val="0FA7589A"/>
    <w:rsid w:val="0FD403BC"/>
    <w:rsid w:val="102B0279"/>
    <w:rsid w:val="105552F6"/>
    <w:rsid w:val="10765998"/>
    <w:rsid w:val="112F5B47"/>
    <w:rsid w:val="11335637"/>
    <w:rsid w:val="138403CC"/>
    <w:rsid w:val="13B83C62"/>
    <w:rsid w:val="14E07884"/>
    <w:rsid w:val="153B4ABB"/>
    <w:rsid w:val="158521DA"/>
    <w:rsid w:val="15F86E50"/>
    <w:rsid w:val="16421E79"/>
    <w:rsid w:val="16B54D41"/>
    <w:rsid w:val="17342109"/>
    <w:rsid w:val="174E589F"/>
    <w:rsid w:val="181A12FF"/>
    <w:rsid w:val="186A1306"/>
    <w:rsid w:val="187F73B4"/>
    <w:rsid w:val="18E22D7D"/>
    <w:rsid w:val="19C71013"/>
    <w:rsid w:val="1B410951"/>
    <w:rsid w:val="1B4B328B"/>
    <w:rsid w:val="1B6805D3"/>
    <w:rsid w:val="1B9413C8"/>
    <w:rsid w:val="1C9571A6"/>
    <w:rsid w:val="1CF56416"/>
    <w:rsid w:val="1DA17DCD"/>
    <w:rsid w:val="1DED6B6E"/>
    <w:rsid w:val="1F680BA2"/>
    <w:rsid w:val="1FD75D28"/>
    <w:rsid w:val="20992FDD"/>
    <w:rsid w:val="214D7A42"/>
    <w:rsid w:val="21BF4CC5"/>
    <w:rsid w:val="21E32762"/>
    <w:rsid w:val="22370D00"/>
    <w:rsid w:val="23D81772"/>
    <w:rsid w:val="247022A7"/>
    <w:rsid w:val="24BD373E"/>
    <w:rsid w:val="25A869D6"/>
    <w:rsid w:val="26845A16"/>
    <w:rsid w:val="27062195"/>
    <w:rsid w:val="27084A19"/>
    <w:rsid w:val="27514612"/>
    <w:rsid w:val="275639D6"/>
    <w:rsid w:val="27DB3EDB"/>
    <w:rsid w:val="292875F4"/>
    <w:rsid w:val="29671ECA"/>
    <w:rsid w:val="29B35110"/>
    <w:rsid w:val="29EC6874"/>
    <w:rsid w:val="2ABB0720"/>
    <w:rsid w:val="2B4C75CA"/>
    <w:rsid w:val="2B667F60"/>
    <w:rsid w:val="2C1856FE"/>
    <w:rsid w:val="2C1A3224"/>
    <w:rsid w:val="2C35005E"/>
    <w:rsid w:val="2C6170A5"/>
    <w:rsid w:val="2CAD4098"/>
    <w:rsid w:val="2CCF04B2"/>
    <w:rsid w:val="2D966EA6"/>
    <w:rsid w:val="2DC84F02"/>
    <w:rsid w:val="2DCC67A0"/>
    <w:rsid w:val="2E110657"/>
    <w:rsid w:val="2F81180C"/>
    <w:rsid w:val="2F923A19"/>
    <w:rsid w:val="2FA21EAE"/>
    <w:rsid w:val="2FAC4ADB"/>
    <w:rsid w:val="300A7A53"/>
    <w:rsid w:val="30FC55EE"/>
    <w:rsid w:val="31483EE4"/>
    <w:rsid w:val="32116E77"/>
    <w:rsid w:val="32935ADE"/>
    <w:rsid w:val="33525999"/>
    <w:rsid w:val="33770F5C"/>
    <w:rsid w:val="33C1667B"/>
    <w:rsid w:val="34125379"/>
    <w:rsid w:val="34140EA1"/>
    <w:rsid w:val="345B087E"/>
    <w:rsid w:val="34990E08"/>
    <w:rsid w:val="34BF705E"/>
    <w:rsid w:val="359E4EC6"/>
    <w:rsid w:val="35B20971"/>
    <w:rsid w:val="35F965A0"/>
    <w:rsid w:val="36B14785"/>
    <w:rsid w:val="36DF5796"/>
    <w:rsid w:val="370F76FD"/>
    <w:rsid w:val="3733163E"/>
    <w:rsid w:val="376E6B1A"/>
    <w:rsid w:val="386F2B4A"/>
    <w:rsid w:val="389C06FB"/>
    <w:rsid w:val="38D94467"/>
    <w:rsid w:val="398268AC"/>
    <w:rsid w:val="3A0E0140"/>
    <w:rsid w:val="3AC151B3"/>
    <w:rsid w:val="3AC52EF5"/>
    <w:rsid w:val="3B47390A"/>
    <w:rsid w:val="3B911029"/>
    <w:rsid w:val="3BE21884"/>
    <w:rsid w:val="3C153A08"/>
    <w:rsid w:val="3C991F43"/>
    <w:rsid w:val="3CB21257"/>
    <w:rsid w:val="3CD7A0F0"/>
    <w:rsid w:val="3D6C3AFB"/>
    <w:rsid w:val="3DF70639"/>
    <w:rsid w:val="3E292273"/>
    <w:rsid w:val="3EBC63BD"/>
    <w:rsid w:val="3EC6723B"/>
    <w:rsid w:val="3ED454B4"/>
    <w:rsid w:val="3FC63871"/>
    <w:rsid w:val="4081166C"/>
    <w:rsid w:val="40BF2194"/>
    <w:rsid w:val="4242307D"/>
    <w:rsid w:val="427B5CCE"/>
    <w:rsid w:val="42884F34"/>
    <w:rsid w:val="4383394D"/>
    <w:rsid w:val="438D20D6"/>
    <w:rsid w:val="43B43B06"/>
    <w:rsid w:val="43F57949"/>
    <w:rsid w:val="44315157"/>
    <w:rsid w:val="44AE67A8"/>
    <w:rsid w:val="44FA19ED"/>
    <w:rsid w:val="45244CBC"/>
    <w:rsid w:val="452B1BA6"/>
    <w:rsid w:val="4541586E"/>
    <w:rsid w:val="456F5F37"/>
    <w:rsid w:val="461807D7"/>
    <w:rsid w:val="464E1FF0"/>
    <w:rsid w:val="46556F6B"/>
    <w:rsid w:val="46F61A93"/>
    <w:rsid w:val="4783216D"/>
    <w:rsid w:val="483B47F6"/>
    <w:rsid w:val="489B34E7"/>
    <w:rsid w:val="48BA1BBF"/>
    <w:rsid w:val="490B5F77"/>
    <w:rsid w:val="49465201"/>
    <w:rsid w:val="49C36851"/>
    <w:rsid w:val="4AE41175"/>
    <w:rsid w:val="4AE44CD1"/>
    <w:rsid w:val="4BAF3531"/>
    <w:rsid w:val="4BDC1E4C"/>
    <w:rsid w:val="4C4B0D80"/>
    <w:rsid w:val="4CFF2296"/>
    <w:rsid w:val="4D0478AD"/>
    <w:rsid w:val="4E2A50F1"/>
    <w:rsid w:val="4E347D1E"/>
    <w:rsid w:val="4E3C3076"/>
    <w:rsid w:val="4F0C0C9A"/>
    <w:rsid w:val="4F29184C"/>
    <w:rsid w:val="4F506DD9"/>
    <w:rsid w:val="5019366F"/>
    <w:rsid w:val="50B03EB7"/>
    <w:rsid w:val="50BD049E"/>
    <w:rsid w:val="52B4767F"/>
    <w:rsid w:val="538E7ED0"/>
    <w:rsid w:val="54947768"/>
    <w:rsid w:val="54C16083"/>
    <w:rsid w:val="554C0043"/>
    <w:rsid w:val="555B3A66"/>
    <w:rsid w:val="563111E4"/>
    <w:rsid w:val="563805C7"/>
    <w:rsid w:val="563F3703"/>
    <w:rsid w:val="56867584"/>
    <w:rsid w:val="56C72A71"/>
    <w:rsid w:val="56C8194B"/>
    <w:rsid w:val="56DC53F6"/>
    <w:rsid w:val="572F19CA"/>
    <w:rsid w:val="58403763"/>
    <w:rsid w:val="59114413"/>
    <w:rsid w:val="59359F31"/>
    <w:rsid w:val="594C6863"/>
    <w:rsid w:val="59B30690"/>
    <w:rsid w:val="59CF1242"/>
    <w:rsid w:val="5A07278A"/>
    <w:rsid w:val="5A601E9A"/>
    <w:rsid w:val="5B1A64ED"/>
    <w:rsid w:val="5B1F3B03"/>
    <w:rsid w:val="5C390BF5"/>
    <w:rsid w:val="5C423F4D"/>
    <w:rsid w:val="5C531CB7"/>
    <w:rsid w:val="5CD5091E"/>
    <w:rsid w:val="5CEE7C31"/>
    <w:rsid w:val="5D064F7B"/>
    <w:rsid w:val="5D543F38"/>
    <w:rsid w:val="5E1D07CE"/>
    <w:rsid w:val="5F17346F"/>
    <w:rsid w:val="5F526256"/>
    <w:rsid w:val="5FC353A5"/>
    <w:rsid w:val="612754C0"/>
    <w:rsid w:val="61296823"/>
    <w:rsid w:val="61C80A51"/>
    <w:rsid w:val="61D60A35"/>
    <w:rsid w:val="621E4B15"/>
    <w:rsid w:val="634E31D8"/>
    <w:rsid w:val="637C7D45"/>
    <w:rsid w:val="63DD455C"/>
    <w:rsid w:val="64047D3A"/>
    <w:rsid w:val="64462101"/>
    <w:rsid w:val="645E569D"/>
    <w:rsid w:val="65CB0B10"/>
    <w:rsid w:val="65DA51F7"/>
    <w:rsid w:val="66391F1D"/>
    <w:rsid w:val="66BB6DD6"/>
    <w:rsid w:val="6707201B"/>
    <w:rsid w:val="67193AFD"/>
    <w:rsid w:val="67377C6F"/>
    <w:rsid w:val="67B35CFF"/>
    <w:rsid w:val="67CB129B"/>
    <w:rsid w:val="68DD34B5"/>
    <w:rsid w:val="691055A0"/>
    <w:rsid w:val="694420CC"/>
    <w:rsid w:val="69690D6B"/>
    <w:rsid w:val="697B0A9F"/>
    <w:rsid w:val="6A4315BC"/>
    <w:rsid w:val="6B403D4E"/>
    <w:rsid w:val="6B763604"/>
    <w:rsid w:val="6BCA186A"/>
    <w:rsid w:val="6BD44496"/>
    <w:rsid w:val="6C2E004A"/>
    <w:rsid w:val="6CAA611B"/>
    <w:rsid w:val="6D21370B"/>
    <w:rsid w:val="6D2928D4"/>
    <w:rsid w:val="6DDD5884"/>
    <w:rsid w:val="6E82642B"/>
    <w:rsid w:val="6EBF142E"/>
    <w:rsid w:val="6F5E0C47"/>
    <w:rsid w:val="6F7A7103"/>
    <w:rsid w:val="6F9603E0"/>
    <w:rsid w:val="6FA06B69"/>
    <w:rsid w:val="6FBE3493"/>
    <w:rsid w:val="6FD827A7"/>
    <w:rsid w:val="70903082"/>
    <w:rsid w:val="70BA1EAD"/>
    <w:rsid w:val="710475CC"/>
    <w:rsid w:val="71094BE2"/>
    <w:rsid w:val="714B51FB"/>
    <w:rsid w:val="71B0505E"/>
    <w:rsid w:val="722F2426"/>
    <w:rsid w:val="724E49AD"/>
    <w:rsid w:val="72A66B8C"/>
    <w:rsid w:val="735465E8"/>
    <w:rsid w:val="73966C01"/>
    <w:rsid w:val="73D019E7"/>
    <w:rsid w:val="74597C2E"/>
    <w:rsid w:val="74A52E74"/>
    <w:rsid w:val="74F51705"/>
    <w:rsid w:val="760D6F22"/>
    <w:rsid w:val="76674885"/>
    <w:rsid w:val="7722357A"/>
    <w:rsid w:val="773A5AF5"/>
    <w:rsid w:val="77876861"/>
    <w:rsid w:val="77974CF6"/>
    <w:rsid w:val="78153E6C"/>
    <w:rsid w:val="783C3AEF"/>
    <w:rsid w:val="784529A4"/>
    <w:rsid w:val="78D855C6"/>
    <w:rsid w:val="78F61EF0"/>
    <w:rsid w:val="79490272"/>
    <w:rsid w:val="79870D9A"/>
    <w:rsid w:val="7A106FE1"/>
    <w:rsid w:val="7ACF8FB0"/>
    <w:rsid w:val="7AEC5358"/>
    <w:rsid w:val="7B0C59FB"/>
    <w:rsid w:val="7BA479E1"/>
    <w:rsid w:val="7BA774D1"/>
    <w:rsid w:val="7BE2675B"/>
    <w:rsid w:val="7C0641F8"/>
    <w:rsid w:val="7CDD619D"/>
    <w:rsid w:val="7CF624BE"/>
    <w:rsid w:val="7DD52845"/>
    <w:rsid w:val="7E4C610E"/>
    <w:rsid w:val="7EA47CF8"/>
    <w:rsid w:val="7ED625A7"/>
    <w:rsid w:val="7F3B065C"/>
    <w:rsid w:val="7F3F29F6"/>
    <w:rsid w:val="7F4A6AF1"/>
    <w:rsid w:val="7F69B063"/>
    <w:rsid w:val="7FA04963"/>
    <w:rsid w:val="9E9DE6F7"/>
    <w:rsid w:val="B9FD1EF2"/>
    <w:rsid w:val="BBDF2F64"/>
    <w:rsid w:val="BE37E735"/>
    <w:rsid w:val="DFFFB454"/>
    <w:rsid w:val="E5FDA6F0"/>
    <w:rsid w:val="F56FB46A"/>
    <w:rsid w:val="F76F71EB"/>
    <w:rsid w:val="F7A213D0"/>
    <w:rsid w:val="F7F3E8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17"/>
    <w:qFormat/>
    <w:uiPriority w:val="0"/>
    <w:pPr>
      <w:keepNext/>
      <w:keepLines/>
      <w:spacing w:before="340" w:after="330" w:line="360" w:lineRule="auto"/>
      <w:ind w:firstLine="663"/>
      <w:outlineLvl w:val="0"/>
    </w:pPr>
    <w:rPr>
      <w:rFonts w:ascii="仿宋" w:hAnsi="仿宋" w:eastAsia="仿宋" w:cs="Times New Roman"/>
      <w:b/>
      <w:bCs/>
      <w:kern w:val="44"/>
      <w:sz w:val="28"/>
      <w:szCs w:val="28"/>
    </w:rPr>
  </w:style>
  <w:style w:type="paragraph" w:styleId="5">
    <w:name w:val="heading 2"/>
    <w:basedOn w:val="1"/>
    <w:next w:val="1"/>
    <w:link w:val="24"/>
    <w:unhideWhenUsed/>
    <w:qFormat/>
    <w:uiPriority w:val="9"/>
    <w:pPr>
      <w:keepNext/>
      <w:keepLines/>
      <w:spacing w:before="260" w:after="260" w:line="416" w:lineRule="auto"/>
      <w:ind w:firstLine="663"/>
      <w:outlineLvl w:val="1"/>
    </w:pPr>
    <w:rPr>
      <w:rFonts w:ascii="仿宋" w:hAnsi="仿宋" w:eastAsia="仿宋" w:cstheme="majorBidi"/>
      <w:b/>
      <w:bCs/>
      <w:sz w:val="28"/>
      <w:szCs w:val="28"/>
    </w:rPr>
  </w:style>
  <w:style w:type="paragraph" w:styleId="6">
    <w:name w:val="heading 3"/>
    <w:basedOn w:val="1"/>
    <w:next w:val="1"/>
    <w:link w:val="23"/>
    <w:semiHidden/>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w:basedOn w:val="3"/>
    <w:link w:val="20"/>
    <w:unhideWhenUsed/>
    <w:qFormat/>
    <w:uiPriority w:val="99"/>
    <w:pPr>
      <w:numPr>
        <w:ilvl w:val="0"/>
        <w:numId w:val="1"/>
      </w:numPr>
      <w:spacing w:after="0" w:line="360" w:lineRule="auto"/>
      <w:ind w:left="860"/>
    </w:pPr>
    <w:rPr>
      <w:rFonts w:ascii="仿宋" w:hAnsi="仿宋" w:eastAsia="仿宋"/>
      <w:sz w:val="24"/>
    </w:rPr>
  </w:style>
  <w:style w:type="paragraph" w:styleId="3">
    <w:name w:val="Body Text"/>
    <w:basedOn w:val="1"/>
    <w:link w:val="19"/>
    <w:semiHidden/>
    <w:unhideWhenUsed/>
    <w:qFormat/>
    <w:uiPriority w:val="99"/>
    <w:pPr>
      <w:spacing w:after="120"/>
    </w:pPr>
  </w:style>
  <w:style w:type="paragraph" w:styleId="7">
    <w:name w:val="annotation text"/>
    <w:basedOn w:val="1"/>
    <w:semiHidden/>
    <w:unhideWhenUsed/>
    <w:qFormat/>
    <w:uiPriority w:val="99"/>
    <w:pPr>
      <w:jc w:val="left"/>
    </w:pPr>
  </w:style>
  <w:style w:type="paragraph" w:styleId="8">
    <w:name w:val="footer"/>
    <w:basedOn w:val="1"/>
    <w:link w:val="16"/>
    <w:unhideWhenUsed/>
    <w:qFormat/>
    <w:uiPriority w:val="99"/>
    <w:pPr>
      <w:tabs>
        <w:tab w:val="center" w:pos="4153"/>
        <w:tab w:val="right" w:pos="8306"/>
      </w:tabs>
      <w:snapToGrid w:val="0"/>
      <w:jc w:val="left"/>
    </w:pPr>
    <w:rPr>
      <w:sz w:val="18"/>
      <w:szCs w:val="18"/>
    </w:rPr>
  </w:style>
  <w:style w:type="paragraph" w:styleId="9">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unhideWhenUsed/>
    <w:qFormat/>
    <w:uiPriority w:val="99"/>
    <w:rPr>
      <w:sz w:val="24"/>
    </w:rPr>
  </w:style>
  <w:style w:type="paragraph" w:styleId="11">
    <w:name w:val="Title"/>
    <w:basedOn w:val="1"/>
    <w:next w:val="1"/>
    <w:link w:val="27"/>
    <w:qFormat/>
    <w:uiPriority w:val="0"/>
    <w:pPr>
      <w:spacing w:before="300" w:after="300" w:line="360" w:lineRule="auto"/>
      <w:jc w:val="center"/>
    </w:pPr>
    <w:rPr>
      <w:rFonts w:ascii="Times New Roman" w:hAnsi="Times New Roman" w:eastAsia="方正小标宋简体"/>
      <w:b/>
      <w:sz w:val="36"/>
      <w:szCs w:val="24"/>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页眉 字符"/>
    <w:basedOn w:val="14"/>
    <w:link w:val="9"/>
    <w:qFormat/>
    <w:uiPriority w:val="99"/>
    <w:rPr>
      <w:sz w:val="18"/>
      <w:szCs w:val="18"/>
    </w:rPr>
  </w:style>
  <w:style w:type="character" w:customStyle="1" w:styleId="16">
    <w:name w:val="页脚 字符"/>
    <w:basedOn w:val="14"/>
    <w:link w:val="8"/>
    <w:qFormat/>
    <w:uiPriority w:val="99"/>
    <w:rPr>
      <w:sz w:val="18"/>
      <w:szCs w:val="18"/>
    </w:rPr>
  </w:style>
  <w:style w:type="character" w:customStyle="1" w:styleId="17">
    <w:name w:val="标题 1 字符"/>
    <w:basedOn w:val="14"/>
    <w:link w:val="4"/>
    <w:qFormat/>
    <w:uiPriority w:val="0"/>
    <w:rPr>
      <w:rFonts w:ascii="仿宋" w:hAnsi="仿宋" w:eastAsia="仿宋"/>
      <w:b/>
      <w:bCs/>
      <w:kern w:val="44"/>
      <w:sz w:val="28"/>
      <w:szCs w:val="28"/>
    </w:rPr>
  </w:style>
  <w:style w:type="paragraph" w:customStyle="1" w:styleId="18">
    <w:name w:val="_Style 12"/>
    <w:basedOn w:val="3"/>
    <w:next w:val="2"/>
    <w:link w:val="21"/>
    <w:qFormat/>
    <w:uiPriority w:val="34"/>
    <w:pPr>
      <w:ind w:firstLine="420" w:firstLineChars="100"/>
    </w:pPr>
    <w:rPr>
      <w:rFonts w:ascii="Calibri" w:hAnsi="Calibri"/>
    </w:rPr>
  </w:style>
  <w:style w:type="character" w:customStyle="1" w:styleId="19">
    <w:name w:val="正文文本 字符"/>
    <w:basedOn w:val="14"/>
    <w:link w:val="3"/>
    <w:semiHidden/>
    <w:qFormat/>
    <w:uiPriority w:val="99"/>
  </w:style>
  <w:style w:type="character" w:customStyle="1" w:styleId="20">
    <w:name w:val="正文文本首行缩进 字符"/>
    <w:basedOn w:val="19"/>
    <w:link w:val="2"/>
    <w:qFormat/>
    <w:uiPriority w:val="99"/>
    <w:rPr>
      <w:rFonts w:ascii="仿宋" w:hAnsi="仿宋" w:eastAsia="仿宋" w:cstheme="minorBidi"/>
      <w:kern w:val="2"/>
      <w:sz w:val="24"/>
      <w:szCs w:val="22"/>
    </w:rPr>
  </w:style>
  <w:style w:type="character" w:customStyle="1" w:styleId="21">
    <w:name w:val="列出段落 字符"/>
    <w:link w:val="18"/>
    <w:qFormat/>
    <w:uiPriority w:val="34"/>
    <w:rPr>
      <w:rFonts w:ascii="Calibri" w:hAnsi="Calibri"/>
      <w:kern w:val="2"/>
      <w:sz w:val="21"/>
      <w:szCs w:val="22"/>
    </w:rPr>
  </w:style>
  <w:style w:type="paragraph" w:styleId="22">
    <w:name w:val="List Paragraph"/>
    <w:basedOn w:val="1"/>
    <w:link w:val="26"/>
    <w:qFormat/>
    <w:uiPriority w:val="34"/>
    <w:pPr>
      <w:ind w:firstLine="420" w:firstLineChars="200"/>
    </w:pPr>
  </w:style>
  <w:style w:type="character" w:customStyle="1" w:styleId="23">
    <w:name w:val="标题 3 字符"/>
    <w:basedOn w:val="14"/>
    <w:link w:val="6"/>
    <w:semiHidden/>
    <w:qFormat/>
    <w:uiPriority w:val="9"/>
    <w:rPr>
      <w:b/>
      <w:bCs/>
      <w:sz w:val="32"/>
      <w:szCs w:val="32"/>
    </w:rPr>
  </w:style>
  <w:style w:type="character" w:customStyle="1" w:styleId="24">
    <w:name w:val="标题 2 字符"/>
    <w:basedOn w:val="14"/>
    <w:link w:val="5"/>
    <w:qFormat/>
    <w:uiPriority w:val="9"/>
    <w:rPr>
      <w:rFonts w:ascii="仿宋" w:hAnsi="仿宋" w:eastAsia="仿宋" w:cstheme="majorBidi"/>
      <w:b/>
      <w:bCs/>
      <w:kern w:val="2"/>
      <w:sz w:val="28"/>
      <w:szCs w:val="28"/>
    </w:rPr>
  </w:style>
  <w:style w:type="paragraph" w:customStyle="1" w:styleId="2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6">
    <w:name w:val="列表段落 字符"/>
    <w:link w:val="22"/>
    <w:qFormat/>
    <w:uiPriority w:val="34"/>
    <w:rPr>
      <w:rFonts w:asciiTheme="minorHAnsi" w:hAnsiTheme="minorHAnsi" w:eastAsiaTheme="minorEastAsia" w:cstheme="minorBidi"/>
      <w:kern w:val="2"/>
      <w:sz w:val="21"/>
      <w:szCs w:val="22"/>
    </w:rPr>
  </w:style>
  <w:style w:type="character" w:customStyle="1" w:styleId="27">
    <w:name w:val="标题 字符"/>
    <w:basedOn w:val="14"/>
    <w:link w:val="11"/>
    <w:qFormat/>
    <w:uiPriority w:val="0"/>
    <w:rPr>
      <w:rFonts w:eastAsia="方正小标宋简体" w:cstheme="minorBidi"/>
      <w:b/>
      <w:kern w:val="2"/>
      <w:sz w:val="36"/>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emf"/><Relationship Id="rId4" Type="http://schemas.openxmlformats.org/officeDocument/2006/relationships/oleObject" Target="embeddings/Microsoft_Visio_2003-2010___1.vsd"/><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3685</Words>
  <Characters>3840</Characters>
  <Lines>66</Lines>
  <Paragraphs>18</Paragraphs>
  <TotalTime>9</TotalTime>
  <ScaleCrop>false</ScaleCrop>
  <LinksUpToDate>false</LinksUpToDate>
  <CharactersWithSpaces>3867</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2025-05-31T07:23:00Z</dcterms:created>
  <dc:creator>weiguo shi</dc:creator>
  <cp:lastModifiedBy>user</cp:lastModifiedBy>
  <dcterms:modified xsi:type="dcterms:W3CDTF">2026-07-28T16:38:10Z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C9EF3A2FF28505524E66686A0A33A5EA_43</vt:lpwstr>
  </property>
  <property fmtid="{D5CDD505-2E9C-101B-9397-08002B2CF9AE}" pid="4" name="KSOTemplateDocerSaveRecord">
    <vt:lpwstr>eyJoZGlkIjoiMGE4M2JiNGFlY2ZlNTk5OGQ1ZGUzZWY1NDM2YjE2OGQiLCJ1c2VySWQiOiI1Njk0MDgwMTYifQ==</vt:lpwstr>
  </property>
</Properties>
</file>