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600" w:lineRule="exact"/>
        <w:jc w:val="center"/>
        <w:outlineLvl w:val="0"/>
        <w:rPr>
          <w:rFonts w:eastAsia="方正小标宋_GBK"/>
          <w:bCs/>
          <w:color w:val="000000"/>
          <w:sz w:val="36"/>
          <w:szCs w:val="36"/>
        </w:rPr>
      </w:pPr>
      <w:bookmarkStart w:id="0" w:name="_Toc47418721"/>
      <w:bookmarkStart w:id="1" w:name="_Toc447895535"/>
      <w:bookmarkStart w:id="2" w:name="_Toc47418245"/>
      <w:bookmarkStart w:id="3" w:name="_Toc67110500"/>
      <w:bookmarkStart w:id="4" w:name="_Toc47415931"/>
      <w:bookmarkStart w:id="5" w:name="_Toc413614158"/>
      <w:bookmarkStart w:id="6" w:name="_Toc47418928"/>
      <w:bookmarkStart w:id="7" w:name="_Toc21641"/>
      <w:bookmarkStart w:id="8" w:name="_Toc47261875"/>
      <w:bookmarkStart w:id="9" w:name="_Toc67110498"/>
      <w:bookmarkStart w:id="10" w:name="_Toc47262059"/>
      <w:bookmarkStart w:id="11" w:name="_Toc49019485"/>
      <w:bookmarkStart w:id="12" w:name="_Toc68072828"/>
      <w:bookmarkStart w:id="13" w:name="_Toc67110068"/>
      <w:bookmarkStart w:id="14" w:name="_Toc49019224"/>
      <w:bookmarkStart w:id="15" w:name="_Toc8808311"/>
      <w:bookmarkStart w:id="16" w:name="_Toc68590754"/>
      <w:bookmarkStart w:id="17" w:name="_Toc49019487"/>
      <w:bookmarkStart w:id="18" w:name="_Toc48791225"/>
      <w:bookmarkStart w:id="19" w:name="_Toc413614157"/>
      <w:bookmarkStart w:id="20" w:name="_Toc47261680"/>
      <w:bookmarkStart w:id="21" w:name="_Toc67110070"/>
      <w:bookmarkStart w:id="22" w:name="_Toc460922279"/>
      <w:bookmarkStart w:id="23" w:name="_Toc463690192"/>
      <w:bookmarkStart w:id="24" w:name="_Toc47416185"/>
      <w:bookmarkStart w:id="25" w:name="_Toc49019226"/>
      <w:bookmarkStart w:id="26" w:name="_Toc68072830"/>
      <w:bookmarkStart w:id="27" w:name="_Toc48995841"/>
      <w:bookmarkStart w:id="28" w:name="_Toc68590756"/>
      <w:r>
        <w:rPr>
          <w:rFonts w:ascii="Times New Roman" w:hAnsi="Times New Roman" w:eastAsia="方正小标宋_GBK" w:cs="Times New Roman"/>
          <w:bCs/>
          <w:color w:val="000000"/>
          <w:kern w:val="2"/>
          <w:sz w:val="36"/>
          <w:szCs w:val="36"/>
          <w:lang w:val="en-US" w:eastAsia="zh-CN" w:bidi="ar"/>
        </w:rPr>
        <w:t>临港主城区景观灯光运维管理项目</w:t>
      </w:r>
      <w:r>
        <w:rPr>
          <w:rFonts w:hint="eastAsia" w:eastAsia="方正小标宋_GBK" w:cs="Times New Roman"/>
          <w:bCs/>
          <w:color w:val="000000"/>
          <w:kern w:val="2"/>
          <w:sz w:val="36"/>
          <w:szCs w:val="36"/>
          <w:lang w:val="en-US" w:eastAsia="zh-CN" w:bidi="ar"/>
        </w:rPr>
        <w:t>（包1）</w:t>
      </w:r>
    </w:p>
    <w:p>
      <w:pPr>
        <w:keepNext w:val="0"/>
        <w:keepLines w:val="0"/>
        <w:pageBreakBefore w:val="0"/>
        <w:widowControl/>
        <w:kinsoku/>
        <w:wordWrap/>
        <w:topLinePunct w:val="0"/>
        <w:bidi w:val="0"/>
        <w:spacing w:line="600" w:lineRule="exact"/>
        <w:jc w:val="center"/>
        <w:outlineLvl w:val="0"/>
        <w:rPr>
          <w:rFonts w:hint="default" w:ascii="Times New Roman" w:hAnsi="Times New Roman" w:eastAsia="方正小标宋_GBK" w:cs="Times New Roman"/>
          <w:bCs/>
          <w:color w:val="000000"/>
          <w:sz w:val="36"/>
          <w:szCs w:val="36"/>
        </w:rPr>
      </w:pPr>
      <w:r>
        <w:rPr>
          <w:rFonts w:hint="default" w:ascii="Times New Roman" w:hAnsi="Times New Roman" w:eastAsia="方正小标宋_GBK" w:cs="Times New Roman"/>
          <w:bCs/>
          <w:color w:val="000000"/>
          <w:sz w:val="36"/>
          <w:szCs w:val="36"/>
        </w:rPr>
        <w:t>采购需求</w:t>
      </w:r>
    </w:p>
    <w:p>
      <w:pPr>
        <w:keepNext w:val="0"/>
        <w:keepLines w:val="0"/>
        <w:pageBreakBefore w:val="0"/>
        <w:widowControl/>
        <w:kinsoku/>
        <w:wordWrap/>
        <w:topLinePunct w:val="0"/>
        <w:bidi w:val="0"/>
        <w:spacing w:line="600" w:lineRule="exact"/>
        <w:jc w:val="center"/>
        <w:outlineLvl w:val="0"/>
        <w:rPr>
          <w:rFonts w:hint="default" w:ascii="Times New Roman" w:hAnsi="Times New Roman" w:eastAsia="方正小标宋_GBK" w:cs="Times New Roman"/>
          <w:bCs/>
          <w:color w:val="000000"/>
          <w:sz w:val="44"/>
          <w:szCs w:val="44"/>
        </w:rPr>
      </w:pPr>
    </w:p>
    <w:p>
      <w:pPr>
        <w:keepNext w:val="0"/>
        <w:keepLines w:val="0"/>
        <w:pageBreakBefore w:val="0"/>
        <w:kinsoku/>
        <w:wordWrap/>
        <w:topLinePunct w:val="0"/>
        <w:bidi w:val="0"/>
        <w:spacing w:line="600" w:lineRule="exact"/>
        <w:contextualSpacing/>
        <w:jc w:val="left"/>
        <w:outlineLvl w:val="1"/>
        <w:rPr>
          <w:rFonts w:hint="default" w:ascii="Times New Roman" w:hAnsi="Times New Roman" w:eastAsia="方正楷体_GBK" w:cs="Times New Roman"/>
          <w:b/>
          <w:bCs/>
          <w:sz w:val="28"/>
          <w:szCs w:val="28"/>
          <w:lang w:val="en-US" w:eastAsia="zh-CN"/>
        </w:rPr>
      </w:pPr>
      <w:r>
        <w:rPr>
          <w:rFonts w:hint="default" w:ascii="Times New Roman" w:hAnsi="Times New Roman" w:eastAsia="方正楷体_GBK" w:cs="Times New Roman"/>
          <w:b/>
          <w:bCs/>
          <w:sz w:val="28"/>
          <w:szCs w:val="28"/>
          <w:lang w:val="en-US" w:eastAsia="zh-CN"/>
        </w:rPr>
        <w:t>包件</w:t>
      </w:r>
      <w:r>
        <w:rPr>
          <w:rFonts w:hint="eastAsia" w:eastAsia="方正楷体_GBK" w:cs="Times New Roman"/>
          <w:b/>
          <w:bCs/>
          <w:sz w:val="28"/>
          <w:szCs w:val="28"/>
          <w:lang w:val="en-US" w:eastAsia="zh-CN"/>
        </w:rPr>
        <w:t>1</w:t>
      </w:r>
      <w:r>
        <w:rPr>
          <w:rFonts w:hint="default" w:ascii="Times New Roman" w:hAnsi="Times New Roman" w:eastAsia="方正楷体_GBK" w:cs="Times New Roman"/>
          <w:b/>
          <w:bCs/>
          <w:sz w:val="28"/>
          <w:szCs w:val="28"/>
          <w:lang w:val="en-US" w:eastAsia="zh-CN"/>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hint="eastAsia" w:eastAsia="方正楷体_GBK" w:cs="Times New Roman"/>
          <w:b/>
          <w:bCs/>
          <w:sz w:val="28"/>
          <w:szCs w:val="28"/>
          <w:lang w:val="en-US" w:eastAsia="zh-CN"/>
        </w:rPr>
        <w:t>2026年</w:t>
      </w:r>
      <w:r>
        <w:rPr>
          <w:rFonts w:hint="default" w:ascii="Times New Roman" w:hAnsi="Times New Roman" w:eastAsia="方正楷体_GBK" w:cs="Times New Roman"/>
          <w:b/>
          <w:bCs/>
          <w:sz w:val="28"/>
          <w:szCs w:val="28"/>
          <w:lang w:val="en-US" w:eastAsia="zh-CN"/>
        </w:rPr>
        <w:t>主城区景观灯光运维管理项目（景观带）</w:t>
      </w:r>
    </w:p>
    <w:p>
      <w:pPr>
        <w:keepNext w:val="0"/>
        <w:keepLines w:val="0"/>
        <w:pageBreakBefore w:val="0"/>
        <w:kinsoku/>
        <w:wordWrap/>
        <w:topLinePunct w:val="0"/>
        <w:bidi w:val="0"/>
        <w:spacing w:line="600" w:lineRule="exact"/>
        <w:ind w:firstLine="560" w:firstLineChars="200"/>
        <w:contextualSpacing/>
        <w:jc w:val="left"/>
        <w:outlineLvl w:val="1"/>
        <w:rPr>
          <w:rFonts w:hint="default" w:ascii="Times New Roman" w:hAnsi="Times New Roman" w:eastAsia="方正黑体_GBK" w:cs="Times New Roman"/>
          <w:b w:val="0"/>
          <w:bCs w:val="0"/>
          <w:sz w:val="28"/>
          <w:szCs w:val="28"/>
        </w:rPr>
      </w:pPr>
      <w:r>
        <w:rPr>
          <w:rFonts w:hint="default" w:ascii="Times New Roman" w:hAnsi="Times New Roman" w:eastAsia="方正黑体_GBK" w:cs="Times New Roman"/>
          <w:b w:val="0"/>
          <w:bCs w:val="0"/>
          <w:sz w:val="28"/>
          <w:szCs w:val="28"/>
        </w:rPr>
        <w:t>一、</w:t>
      </w:r>
      <w:r>
        <w:rPr>
          <w:rFonts w:hint="default" w:ascii="Times New Roman" w:hAnsi="Times New Roman" w:eastAsia="方正黑体_GBK" w:cs="Times New Roman"/>
          <w:b w:val="0"/>
          <w:bCs w:val="0"/>
          <w:sz w:val="28"/>
          <w:szCs w:val="28"/>
          <w:lang w:val="en-US" w:eastAsia="zh-CN"/>
        </w:rPr>
        <w:t>包件</w:t>
      </w:r>
      <w:r>
        <w:rPr>
          <w:rFonts w:hint="default" w:ascii="Times New Roman" w:hAnsi="Times New Roman" w:eastAsia="方正黑体_GBK" w:cs="Times New Roman"/>
          <w:b w:val="0"/>
          <w:bCs w:val="0"/>
          <w:sz w:val="28"/>
          <w:szCs w:val="28"/>
        </w:rPr>
        <w:t>概况</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1.招标范围与内容</w:t>
      </w:r>
    </w:p>
    <w:p>
      <w:pPr>
        <w:keepNext w:val="0"/>
        <w:keepLines w:val="0"/>
        <w:pageBreakBefore w:val="0"/>
        <w:kinsoku/>
        <w:wordWrap/>
        <w:topLinePunct w:val="0"/>
        <w:bidi w:val="0"/>
        <w:snapToGrid w:val="0"/>
        <w:spacing w:line="600" w:lineRule="exact"/>
        <w:ind w:firstLine="560" w:firstLineChars="200"/>
        <w:jc w:val="left"/>
        <w:rPr>
          <w:rFonts w:hint="default" w:ascii="Times New Roman" w:hAnsi="Times New Roman" w:eastAsia="方正仿宋_GBK" w:cs="Times New Roman"/>
          <w:bCs/>
          <w:sz w:val="28"/>
          <w:szCs w:val="28"/>
          <w:highlight w:val="none"/>
          <w:lang w:eastAsia="zh-CN"/>
        </w:rPr>
      </w:pPr>
      <w:r>
        <w:rPr>
          <w:rFonts w:hint="default" w:ascii="Times New Roman" w:hAnsi="Times New Roman" w:eastAsia="方正仿宋_GBK" w:cs="Times New Roman"/>
          <w:bCs/>
          <w:sz w:val="28"/>
          <w:szCs w:val="28"/>
          <w:highlight w:val="none"/>
          <w:lang w:val="en-US" w:eastAsia="zh-CN"/>
        </w:rPr>
        <w:t>本</w:t>
      </w:r>
      <w:r>
        <w:rPr>
          <w:rFonts w:hint="eastAsia" w:eastAsia="方正仿宋_GBK" w:cs="Times New Roman"/>
          <w:bCs/>
          <w:sz w:val="28"/>
          <w:szCs w:val="28"/>
          <w:highlight w:val="none"/>
          <w:lang w:val="en-US" w:eastAsia="zh-CN"/>
        </w:rPr>
        <w:t>包件</w:t>
      </w:r>
      <w:r>
        <w:rPr>
          <w:rFonts w:hint="default" w:ascii="Times New Roman" w:hAnsi="Times New Roman" w:eastAsia="方正仿宋_GBK" w:cs="Times New Roman"/>
          <w:bCs/>
          <w:sz w:val="28"/>
          <w:szCs w:val="28"/>
          <w:highlight w:val="none"/>
          <w:lang w:val="en-US" w:eastAsia="zh-CN"/>
        </w:rPr>
        <w:t>主要对</w:t>
      </w:r>
      <w:r>
        <w:rPr>
          <w:rFonts w:hint="default" w:ascii="Times New Roman" w:hAnsi="Times New Roman" w:eastAsia="方正仿宋_GBK" w:cs="Times New Roman"/>
          <w:bCs/>
          <w:sz w:val="28"/>
          <w:szCs w:val="28"/>
          <w:highlight w:val="none"/>
        </w:rPr>
        <w:t>春涟河、夏涟河跨河桥梁以及环湖一、二、三路等共38座桥梁，环湖景观带、申港大道及光影节设施</w:t>
      </w:r>
      <w:r>
        <w:rPr>
          <w:rFonts w:hint="default" w:ascii="Times New Roman" w:hAnsi="Times New Roman" w:eastAsia="方正仿宋_GBK" w:cs="Times New Roman"/>
          <w:bCs/>
          <w:sz w:val="28"/>
          <w:szCs w:val="28"/>
          <w:highlight w:val="none"/>
          <w:lang w:val="en-US" w:eastAsia="zh-CN"/>
        </w:rPr>
        <w:t>等</w:t>
      </w:r>
      <w:r>
        <w:rPr>
          <w:rFonts w:hint="eastAsia" w:eastAsia="方正仿宋_GBK" w:cs="Times New Roman"/>
          <w:bCs/>
          <w:sz w:val="28"/>
          <w:szCs w:val="28"/>
          <w:highlight w:val="none"/>
          <w:lang w:val="en-US" w:eastAsia="zh-CN"/>
        </w:rPr>
        <w:t>5</w:t>
      </w:r>
      <w:r>
        <w:rPr>
          <w:rFonts w:hint="default" w:ascii="Times New Roman" w:hAnsi="Times New Roman" w:eastAsia="方正仿宋_GBK" w:cs="Times New Roman"/>
          <w:bCs/>
          <w:sz w:val="28"/>
          <w:szCs w:val="28"/>
          <w:highlight w:val="none"/>
          <w:lang w:val="en-US" w:eastAsia="zh-CN"/>
        </w:rPr>
        <w:t>3个点位景观照明设施</w:t>
      </w:r>
      <w:r>
        <w:rPr>
          <w:rFonts w:hint="default" w:ascii="Times New Roman" w:hAnsi="Times New Roman" w:eastAsia="方正仿宋_GBK" w:cs="Times New Roman"/>
          <w:bCs/>
          <w:sz w:val="28"/>
          <w:szCs w:val="28"/>
          <w:highlight w:val="none"/>
        </w:rPr>
        <w:t>提供日常运维养护服务</w:t>
      </w:r>
      <w:r>
        <w:rPr>
          <w:rFonts w:hint="default" w:ascii="Times New Roman" w:hAnsi="Times New Roman" w:eastAsia="方正仿宋_GBK" w:cs="Times New Roman"/>
          <w:bCs/>
          <w:sz w:val="28"/>
          <w:szCs w:val="28"/>
          <w:highlight w:val="none"/>
          <w:lang w:eastAsia="zh-CN"/>
        </w:rPr>
        <w:t>。</w:t>
      </w:r>
    </w:p>
    <w:p>
      <w:pPr>
        <w:keepNext w:val="0"/>
        <w:keepLines w:val="0"/>
        <w:pageBreakBefore w:val="0"/>
        <w:kinsoku/>
        <w:wordWrap/>
        <w:topLinePunct w:val="0"/>
        <w:bidi w:val="0"/>
        <w:snapToGrid w:val="0"/>
        <w:spacing w:line="600" w:lineRule="exact"/>
        <w:ind w:firstLine="560" w:firstLineChars="200"/>
        <w:jc w:val="left"/>
        <w:rPr>
          <w:rFonts w:hint="default" w:ascii="Times New Roman" w:hAnsi="Times New Roman" w:eastAsia="方正仿宋_GBK" w:cs="Times New Roman"/>
          <w:bCs/>
          <w:sz w:val="28"/>
          <w:szCs w:val="28"/>
          <w:highlight w:val="none"/>
        </w:rPr>
      </w:pPr>
      <w:r>
        <w:rPr>
          <w:rFonts w:hint="default" w:ascii="Times New Roman" w:hAnsi="Times New Roman" w:eastAsia="方正仿宋_GBK" w:cs="Times New Roman"/>
          <w:bCs/>
          <w:sz w:val="28"/>
          <w:szCs w:val="28"/>
          <w:highlight w:val="none"/>
          <w:lang w:eastAsia="zh-CN"/>
        </w:rPr>
        <w:t>本</w:t>
      </w:r>
      <w:r>
        <w:rPr>
          <w:rFonts w:hint="eastAsia" w:eastAsia="方正仿宋_GBK" w:cs="Times New Roman"/>
          <w:bCs/>
          <w:sz w:val="28"/>
          <w:szCs w:val="28"/>
          <w:highlight w:val="none"/>
          <w:lang w:val="en-US" w:eastAsia="zh-CN"/>
        </w:rPr>
        <w:t>包件</w:t>
      </w:r>
      <w:r>
        <w:rPr>
          <w:rFonts w:hint="default" w:ascii="Times New Roman" w:hAnsi="Times New Roman" w:eastAsia="方正仿宋_GBK" w:cs="Times New Roman"/>
          <w:bCs/>
          <w:sz w:val="28"/>
          <w:szCs w:val="28"/>
          <w:highlight w:val="none"/>
          <w:lang w:eastAsia="zh-CN"/>
        </w:rPr>
        <w:t>含所有日常养护维修、</w:t>
      </w:r>
      <w:r>
        <w:rPr>
          <w:rFonts w:hint="default" w:ascii="Times New Roman" w:hAnsi="Times New Roman" w:eastAsia="方正仿宋_GBK" w:cs="Times New Roman"/>
          <w:bCs/>
          <w:sz w:val="28"/>
          <w:szCs w:val="28"/>
          <w:highlight w:val="none"/>
          <w:lang w:val="en-US" w:eastAsia="zh-CN"/>
        </w:rPr>
        <w:t>已集中纳控设施</w:t>
      </w:r>
      <w:r>
        <w:rPr>
          <w:rFonts w:hint="default" w:ascii="Times New Roman" w:hAnsi="Times New Roman" w:eastAsia="方正仿宋_GBK" w:cs="Times New Roman"/>
          <w:bCs/>
          <w:sz w:val="28"/>
          <w:szCs w:val="28"/>
          <w:highlight w:val="none"/>
          <w:lang w:eastAsia="zh-CN"/>
        </w:rPr>
        <w:t>节假日灯光编程及运行管理</w:t>
      </w:r>
      <w:r>
        <w:rPr>
          <w:rFonts w:hint="default" w:ascii="Times New Roman" w:hAnsi="Times New Roman" w:eastAsia="方正仿宋_GBK" w:cs="Times New Roman"/>
          <w:bCs/>
          <w:sz w:val="28"/>
          <w:szCs w:val="28"/>
          <w:highlight w:val="none"/>
        </w:rPr>
        <w:t>，总价包干</w:t>
      </w:r>
      <w:r>
        <w:rPr>
          <w:rFonts w:hint="default" w:ascii="Times New Roman" w:hAnsi="Times New Roman" w:eastAsia="方正仿宋_GBK" w:cs="Times New Roman"/>
          <w:bCs/>
          <w:sz w:val="28"/>
          <w:szCs w:val="28"/>
          <w:highlight w:val="none"/>
          <w:lang w:eastAsia="zh-CN"/>
        </w:rPr>
        <w:t>。</w:t>
      </w:r>
      <w:r>
        <w:rPr>
          <w:rFonts w:hint="default" w:ascii="Times New Roman" w:hAnsi="Times New Roman" w:eastAsia="方正仿宋_GBK" w:cs="Times New Roman"/>
          <w:bCs/>
          <w:sz w:val="28"/>
          <w:szCs w:val="28"/>
          <w:highlight w:val="none"/>
        </w:rPr>
        <w:t>保障临港新片区景观照明运维工作规范性与持续性，打造临港主城区特色照明区域。</w:t>
      </w:r>
    </w:p>
    <w:p>
      <w:pPr>
        <w:keepNext w:val="0"/>
        <w:keepLines w:val="0"/>
        <w:pageBreakBefore w:val="0"/>
        <w:kinsoku/>
        <w:wordWrap/>
        <w:topLinePunct w:val="0"/>
        <w:bidi w:val="0"/>
        <w:snapToGrid w:val="0"/>
        <w:spacing w:line="600" w:lineRule="exact"/>
        <w:ind w:firstLine="560" w:firstLineChars="200"/>
        <w:jc w:val="left"/>
        <w:rPr>
          <w:rFonts w:hint="default" w:ascii="Times New Roman" w:hAnsi="Times New Roman" w:eastAsia="方正仿宋_GBK" w:cs="Times New Roman"/>
          <w:bCs/>
          <w:sz w:val="28"/>
          <w:szCs w:val="28"/>
          <w:highlight w:val="none"/>
          <w:lang w:val="en-US" w:eastAsia="zh-CN"/>
        </w:rPr>
      </w:pPr>
    </w:p>
    <w:p>
      <w:pPr>
        <w:keepNext w:val="0"/>
        <w:keepLines w:val="0"/>
        <w:pageBreakBefore w:val="0"/>
        <w:kinsoku/>
        <w:wordWrap/>
        <w:topLinePunct w:val="0"/>
        <w:bidi w:val="0"/>
        <w:spacing w:line="600" w:lineRule="exact"/>
        <w:ind w:firstLine="560" w:firstLineChars="200"/>
        <w:contextualSpacing/>
        <w:jc w:val="left"/>
        <w:outlineLvl w:val="1"/>
        <w:rPr>
          <w:rFonts w:hint="default" w:ascii="Times New Roman" w:hAnsi="Times New Roman" w:eastAsia="方正黑体_GBK" w:cs="Times New Roman"/>
          <w:b w:val="0"/>
          <w:bCs w:val="0"/>
          <w:sz w:val="28"/>
          <w:szCs w:val="28"/>
        </w:rPr>
      </w:pPr>
      <w:r>
        <w:rPr>
          <w:rFonts w:hint="default" w:ascii="Times New Roman" w:hAnsi="Times New Roman" w:eastAsia="方正黑体_GBK" w:cs="Times New Roman"/>
          <w:b w:val="0"/>
          <w:bCs w:val="0"/>
          <w:sz w:val="28"/>
          <w:szCs w:val="28"/>
        </w:rPr>
        <w:t>二、技术质量规范</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本</w:t>
      </w:r>
      <w:r>
        <w:rPr>
          <w:rFonts w:hint="eastAsia" w:eastAsia="方正仿宋_GBK" w:cs="Times New Roman"/>
          <w:sz w:val="28"/>
          <w:szCs w:val="28"/>
          <w:highlight w:val="none"/>
          <w:lang w:val="en-US" w:eastAsia="zh-CN"/>
        </w:rPr>
        <w:t>包件</w:t>
      </w:r>
      <w:r>
        <w:rPr>
          <w:rFonts w:hint="default" w:ascii="Times New Roman" w:hAnsi="Times New Roman" w:eastAsia="方正仿宋_GBK" w:cs="Times New Roman"/>
          <w:sz w:val="28"/>
          <w:szCs w:val="28"/>
          <w:highlight w:val="none"/>
        </w:rPr>
        <w:t>的养护质量检查评定、养护维修技术标准及养护施工安全文明要求适用国家现行法律、规范、规程、标准以及上海市现行规范标准，具体包括：</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城市照明管理规定》</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住建部令</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2010</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第4号</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2</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上海市市容环境卫生管理条例》</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2022年9月22日上海市第十五届人民代表大会常务委员会第四十四次会议修订；</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3</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上海市景观照明管理办法》（2019年11月21日上海市人民政府第25号令）；</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4</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上海市景观照明设施运行维护工作指导意见》（2020年7月14日沪绿容〔2020〕293号）；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5</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上海城市环境</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装饰</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照明规范》</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DB31T316-2004</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 xml:space="preserve">； </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6</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 xml:space="preserve">上海市防汛条例》（上海市人大常委会2014年修订）； </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7</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上海市突发事件应急预案管理实施办法》（上海市人民政府办公厅2014年4月印发）；</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8</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关于切实做好汛期安全生产工作的通知》（沪绿容办〔2018〕13号）；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9</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景观灯光照明设施维护规范（试行）》（上海市绿化和市容管理局2017年9月印发）</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10</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中华人民共和国安全生产法》（2002年6月29日第九届全国人大常委会第28次会议通过）</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11</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国务院关于进一步加强企业安全生产工作的通知》（国发〔2010〕23号）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12</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上海市安全生产条例》（2011年9月22日上海市第12届人大常委会第29次会议通过）</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13</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上海市建设工程文明施工管理规定》（2010年10月30日上海市人民政府令第48号）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14</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关于进一步规范本市建筑市场加强建设工程质量安全管理的若干意见》（沪府发〔2011〕1号）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15</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临港新片区景观照明设施养护管理制度》（试行）</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16</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上海市景观照明技术规范》沪绿容〔2022〕310号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17</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浦东新区景观照明管理若干规定》浦府管规〔2023〕3号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t>18、《上海市景观照明规划（2024-2035年）》（沪绿容〔2024〕33号）</w:t>
      </w:r>
    </w:p>
    <w:p>
      <w:pPr>
        <w:keepNext w:val="0"/>
        <w:keepLines w:val="0"/>
        <w:pageBreakBefore w:val="0"/>
        <w:numPr>
          <w:ilvl w:val="0"/>
          <w:numId w:val="0"/>
        </w:numPr>
        <w:kinsoku/>
        <w:wordWrap/>
        <w:topLinePunct w:val="0"/>
        <w:bidi w:val="0"/>
        <w:spacing w:line="600" w:lineRule="exact"/>
        <w:ind w:firstLine="560" w:firstLineChars="200"/>
        <w:contextualSpacing/>
        <w:jc w:val="left"/>
        <w:outlineLvl w:val="1"/>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sz w:val="28"/>
          <w:szCs w:val="28"/>
          <w:highlight w:val="none"/>
        </w:rPr>
        <w:t>凡涉及国家或行业管理部门颁发的相关规范、规程和标准，无论其是否在本招标文件中列明，中标人应无条件执行。标准、规范等不一致的，以要求高者为准。</w:t>
      </w:r>
    </w:p>
    <w:p>
      <w:pPr>
        <w:keepNext w:val="0"/>
        <w:keepLines w:val="0"/>
        <w:pageBreakBefore w:val="0"/>
        <w:kinsoku/>
        <w:wordWrap/>
        <w:topLinePunct w:val="0"/>
        <w:bidi w:val="0"/>
        <w:spacing w:line="600" w:lineRule="exact"/>
        <w:ind w:firstLine="560" w:firstLineChars="200"/>
        <w:contextualSpacing/>
        <w:jc w:val="left"/>
        <w:outlineLvl w:val="1"/>
        <w:rPr>
          <w:rFonts w:hint="default" w:ascii="Times New Roman" w:hAnsi="Times New Roman" w:eastAsia="方正黑体_GBK" w:cs="Times New Roman"/>
          <w:b w:val="0"/>
          <w:bCs w:val="0"/>
          <w:sz w:val="28"/>
          <w:szCs w:val="28"/>
        </w:rPr>
      </w:pPr>
      <w:r>
        <w:rPr>
          <w:rFonts w:hint="eastAsia" w:ascii="Times New Roman" w:hAnsi="Times New Roman" w:eastAsia="方正黑体_GBK" w:cs="Times New Roman"/>
          <w:b w:val="0"/>
          <w:bCs w:val="0"/>
          <w:sz w:val="28"/>
          <w:szCs w:val="28"/>
          <w:lang w:val="en-US" w:eastAsia="zh-CN"/>
        </w:rPr>
        <w:t>三</w:t>
      </w:r>
      <w:r>
        <w:rPr>
          <w:rFonts w:hint="default" w:ascii="Times New Roman" w:hAnsi="Times New Roman" w:eastAsia="方正黑体_GBK" w:cs="Times New Roman"/>
          <w:b w:val="0"/>
          <w:bCs w:val="0"/>
          <w:sz w:val="28"/>
          <w:szCs w:val="28"/>
          <w:lang w:val="en-US" w:eastAsia="zh-CN"/>
        </w:rPr>
        <w:t>、</w:t>
      </w:r>
      <w:r>
        <w:rPr>
          <w:rFonts w:hint="default" w:ascii="Times New Roman" w:hAnsi="Times New Roman" w:eastAsia="方正黑体_GBK" w:cs="Times New Roman"/>
          <w:b w:val="0"/>
          <w:bCs w:val="0"/>
          <w:sz w:val="28"/>
          <w:szCs w:val="28"/>
        </w:rPr>
        <w:t>招标内容与质量、人员要求</w:t>
      </w:r>
    </w:p>
    <w:p>
      <w:pPr>
        <w:keepNext w:val="0"/>
        <w:keepLines w:val="0"/>
        <w:pageBreakBefore w:val="0"/>
        <w:kinsoku/>
        <w:wordWrap/>
        <w:topLinePunct w:val="0"/>
        <w:bidi w:val="0"/>
        <w:spacing w:line="600" w:lineRule="exact"/>
        <w:ind w:firstLine="562" w:firstLineChars="200"/>
        <w:contextualSpacing/>
        <w:jc w:val="left"/>
        <w:outlineLvl w:val="1"/>
        <w:rPr>
          <w:rFonts w:hint="eastAsia" w:eastAsia="方正仿宋_GBK"/>
          <w:b/>
          <w:bCs/>
          <w:color w:val="auto"/>
          <w:sz w:val="28"/>
          <w:szCs w:val="28"/>
          <w:lang w:eastAsia="zh-CN"/>
        </w:rPr>
      </w:pPr>
      <w:r>
        <w:rPr>
          <w:rFonts w:hint="eastAsia" w:eastAsia="方正仿宋_GBK"/>
          <w:b/>
          <w:bCs/>
          <w:color w:val="auto"/>
          <w:sz w:val="28"/>
          <w:szCs w:val="28"/>
        </w:rPr>
        <w:t>★ 投标人不得对《</w:t>
      </w:r>
      <w:r>
        <w:rPr>
          <w:rFonts w:hint="eastAsia" w:eastAsia="方正仿宋_GBK" w:cs="Times New Roman"/>
          <w:b/>
          <w:bCs/>
          <w:color w:val="auto"/>
          <w:sz w:val="28"/>
          <w:szCs w:val="28"/>
          <w:lang w:val="en-US" w:eastAsia="zh-CN"/>
        </w:rPr>
        <w:t>2026年</w:t>
      </w:r>
      <w:r>
        <w:rPr>
          <w:rFonts w:hint="eastAsia" w:ascii="Times New Roman" w:hAnsi="Times New Roman" w:eastAsia="方正仿宋_GBK" w:cs="Times New Roman"/>
          <w:b/>
          <w:bCs/>
          <w:color w:val="auto"/>
          <w:sz w:val="28"/>
          <w:szCs w:val="28"/>
          <w:lang w:val="en-US" w:eastAsia="zh-CN"/>
        </w:rPr>
        <w:t>主城区景观灯光运维管理项目（景观带）</w:t>
      </w:r>
      <w:r>
        <w:rPr>
          <w:rFonts w:hint="eastAsia" w:eastAsia="方正仿宋_GBK"/>
          <w:b/>
          <w:bCs/>
          <w:color w:val="auto"/>
          <w:sz w:val="28"/>
          <w:szCs w:val="28"/>
        </w:rPr>
        <w:t>设施量清单明细表》的子目、工程量数量进行缩减，否则视为实质性未响应</w:t>
      </w:r>
      <w:r>
        <w:rPr>
          <w:rFonts w:hint="eastAsia" w:eastAsia="方正仿宋_GBK"/>
          <w:b/>
          <w:bCs/>
          <w:color w:val="auto"/>
          <w:sz w:val="28"/>
          <w:szCs w:val="28"/>
          <w:lang w:eastAsia="zh-CN"/>
        </w:rPr>
        <w:t>，提供加盖公章的承诺函。</w:t>
      </w:r>
    </w:p>
    <w:p>
      <w:pPr>
        <w:keepNext w:val="0"/>
        <w:keepLines w:val="0"/>
        <w:pageBreakBefore w:val="0"/>
        <w:numPr>
          <w:ilvl w:val="0"/>
          <w:numId w:val="0"/>
        </w:numPr>
        <w:kinsoku/>
        <w:wordWrap/>
        <w:topLinePunct w:val="0"/>
        <w:bidi w:val="0"/>
        <w:spacing w:line="600" w:lineRule="exact"/>
        <w:ind w:firstLine="560" w:firstLineChars="200"/>
        <w:contextualSpacing/>
        <w:jc w:val="left"/>
        <w:outlineLvl w:val="1"/>
        <w:rPr>
          <w:rFonts w:hint="default" w:eastAsia="方正仿宋_GBK"/>
          <w:b w:val="0"/>
          <w:bCs w:val="0"/>
          <w:sz w:val="28"/>
          <w:szCs w:val="28"/>
          <w:highlight w:val="none"/>
          <w:lang w:eastAsia="zh-CN"/>
        </w:rPr>
      </w:pPr>
      <w:r>
        <w:rPr>
          <w:rFonts w:hint="default" w:eastAsia="方正仿宋_GBK"/>
          <w:b w:val="0"/>
          <w:bCs w:val="0"/>
          <w:sz w:val="28"/>
          <w:szCs w:val="28"/>
          <w:highlight w:val="none"/>
        </w:rPr>
        <w:t>《</w:t>
      </w:r>
      <w:r>
        <w:rPr>
          <w:rFonts w:hint="default" w:eastAsia="方正仿宋_GBK" w:cs="Times New Roman"/>
          <w:b w:val="0"/>
          <w:bCs w:val="0"/>
          <w:sz w:val="28"/>
          <w:szCs w:val="28"/>
          <w:highlight w:val="none"/>
          <w:lang w:val="en-US" w:eastAsia="zh-CN"/>
        </w:rPr>
        <w:t>2026年</w:t>
      </w:r>
      <w:r>
        <w:rPr>
          <w:rFonts w:hint="default" w:ascii="Times New Roman" w:hAnsi="Times New Roman" w:eastAsia="方正仿宋_GBK" w:cs="Times New Roman"/>
          <w:b w:val="0"/>
          <w:bCs w:val="0"/>
          <w:sz w:val="28"/>
          <w:szCs w:val="28"/>
          <w:highlight w:val="none"/>
          <w:lang w:val="en-US" w:eastAsia="zh-CN"/>
        </w:rPr>
        <w:t>主城区景观灯光运维管理项目（景观带）</w:t>
      </w:r>
      <w:r>
        <w:rPr>
          <w:rFonts w:hint="default" w:eastAsia="方正仿宋_GBK"/>
          <w:b w:val="0"/>
          <w:bCs w:val="0"/>
          <w:sz w:val="28"/>
          <w:szCs w:val="28"/>
          <w:highlight w:val="none"/>
        </w:rPr>
        <w:t>设施量清单明细表》</w:t>
      </w:r>
      <w:r>
        <w:rPr>
          <w:rFonts w:hint="default" w:eastAsia="方正仿宋_GBK"/>
          <w:b w:val="0"/>
          <w:bCs w:val="0"/>
          <w:sz w:val="28"/>
          <w:szCs w:val="28"/>
          <w:highlight w:val="none"/>
          <w:lang w:eastAsia="zh-CN"/>
        </w:rPr>
        <w:t>见附件。</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rPr>
        <w:t>1</w:t>
      </w:r>
      <w:r>
        <w:rPr>
          <w:rFonts w:hint="eastAsia" w:eastAsia="方正仿宋_GBK" w:cs="Times New Roman"/>
          <w:b/>
          <w:bCs/>
          <w:sz w:val="28"/>
          <w:szCs w:val="28"/>
          <w:highlight w:val="none"/>
          <w:lang w:eastAsia="zh-CN"/>
        </w:rPr>
        <w:t>、</w:t>
      </w:r>
      <w:r>
        <w:rPr>
          <w:rFonts w:hint="default" w:ascii="Times New Roman" w:hAnsi="Times New Roman" w:eastAsia="方正仿宋_GBK" w:cs="Times New Roman"/>
          <w:b/>
          <w:bCs/>
          <w:sz w:val="28"/>
          <w:szCs w:val="28"/>
          <w:highlight w:val="none"/>
        </w:rPr>
        <w:t>设施量清单</w:t>
      </w:r>
    </w:p>
    <w:tbl>
      <w:tblPr>
        <w:tblStyle w:val="4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2"/>
        <w:gridCol w:w="3909"/>
        <w:gridCol w:w="32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序号</w:t>
            </w:r>
          </w:p>
        </w:tc>
        <w:tc>
          <w:tcPr>
            <w:tcW w:w="229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点位名称</w:t>
            </w:r>
          </w:p>
        </w:tc>
        <w:tc>
          <w:tcPr>
            <w:tcW w:w="190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质保期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A港-1环一路（赤风桥）</w:t>
            </w:r>
          </w:p>
        </w:tc>
        <w:tc>
          <w:tcPr>
            <w:tcW w:w="1906" w:type="pct"/>
            <w:vMerge w:val="restart"/>
            <w:tcBorders>
              <w:top w:val="single" w:color="000000" w:sz="4" w:space="0"/>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r>
              <w:rPr>
                <w:rFonts w:hint="default" w:ascii="Times New Roman" w:hAnsi="Times New Roman" w:eastAsia="宋体" w:cs="Times New Roman"/>
              </w:rPr>
              <w:t>2021.11.8-2023.11.7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A港-2环二路（赤焰桥）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A港-3环三路（赤辉桥）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B港 1环一路（橙和桥）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B港 2环二路（橙满桥）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B港 3环三路（橙福桥）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C港 1环一路（黄日桥）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C港 2环二路（黄波桥）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C港 3环三路（黄霞桥）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D港1环一路（绿丽桥）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D港 2环二路（绿荫桥）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D港 3环三路（绿园桥）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E港 1环一路（青祥桥）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E港 2环二路（青安桥）</w:t>
            </w:r>
          </w:p>
        </w:tc>
        <w:tc>
          <w:tcPr>
            <w:tcW w:w="1906" w:type="pct"/>
            <w:vMerge w:val="continue"/>
            <w:tcBorders>
              <w:left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E港 3环三路（青阜桥）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16</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F港 1环一路（蓝云桥）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17</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F港 2环二路（蓝薇桥）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18</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F港 3环三路（蓝春桥）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19</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G港 1环一路（紫飞桥）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20</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G港 2环二路（紫苑桥）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G港 3环三路（紫英桥）</w:t>
            </w:r>
          </w:p>
        </w:tc>
        <w:tc>
          <w:tcPr>
            <w:tcW w:w="1906" w:type="pct"/>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22</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橄榄路-夏涟河桥</w:t>
            </w:r>
          </w:p>
        </w:tc>
        <w:tc>
          <w:tcPr>
            <w:tcW w:w="1906" w:type="pct"/>
            <w:vMerge w:val="restart"/>
            <w:tcBorders>
              <w:top w:val="single" w:color="000000" w:sz="4" w:space="0"/>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rPr>
              <w:t>2022.7.15-2024.7.14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23</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古棕路-夏涟河桥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24</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海港大道-春涟河桥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25</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海港大道-夏涟河桥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26</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花柏路-夏涟河桥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27</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临港大道-春涟河桥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28</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临港大道-夏涟河桥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29</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杞青路-夏涟河桥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30</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申港大道-春涟河桥</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申港大道-夏涟河桥</w:t>
            </w:r>
          </w:p>
        </w:tc>
        <w:tc>
          <w:tcPr>
            <w:tcW w:w="1906" w:type="pct"/>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32</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申港大道-主城区</w:t>
            </w:r>
          </w:p>
        </w:tc>
        <w:tc>
          <w:tcPr>
            <w:tcW w:w="190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2020.5.28-2022.5.27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33</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环湖景观带</w:t>
            </w:r>
          </w:p>
        </w:tc>
        <w:tc>
          <w:tcPr>
            <w:tcW w:w="190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2021.6.2-2023.6.1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34</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7座景观桥-A</w:t>
            </w:r>
          </w:p>
        </w:tc>
        <w:tc>
          <w:tcPr>
            <w:tcW w:w="1906" w:type="pct"/>
            <w:vMerge w:val="restart"/>
            <w:tcBorders>
              <w:top w:val="single" w:color="000000" w:sz="4" w:space="0"/>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2020.11.30-2022.11.29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35</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7座景观桥-B</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36</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7座景观桥-E</w:t>
            </w:r>
          </w:p>
        </w:tc>
        <w:tc>
          <w:tcPr>
            <w:tcW w:w="1906" w:type="pct"/>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37</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7座景观桥-C</w:t>
            </w:r>
          </w:p>
        </w:tc>
        <w:tc>
          <w:tcPr>
            <w:tcW w:w="1906" w:type="pct"/>
            <w:vMerge w:val="restart"/>
            <w:tcBorders>
              <w:top w:val="single" w:color="000000" w:sz="4" w:space="0"/>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rPr>
              <w:t>2020.8.30-2022.8.29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38</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7座景观桥-D</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39</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7座景观桥-F</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40</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7座景观桥-G</w:t>
            </w:r>
          </w:p>
        </w:tc>
        <w:tc>
          <w:tcPr>
            <w:tcW w:w="1906" w:type="pct"/>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光影节--环湖泛光灯</w:t>
            </w:r>
          </w:p>
        </w:tc>
        <w:tc>
          <w:tcPr>
            <w:tcW w:w="1906" w:type="pct"/>
            <w:vMerge w:val="restart"/>
            <w:tcBorders>
              <w:top w:val="single" w:color="000000" w:sz="4" w:space="0"/>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2024.10-2026.10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42</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光影节--湖心射灯</w:t>
            </w:r>
          </w:p>
        </w:tc>
        <w:tc>
          <w:tcPr>
            <w:tcW w:w="1906" w:type="pct"/>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43</w:t>
            </w:r>
          </w:p>
        </w:tc>
        <w:tc>
          <w:tcPr>
            <w:tcW w:w="2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环湖泛光控制系统</w:t>
            </w:r>
          </w:p>
        </w:tc>
        <w:tc>
          <w:tcPr>
            <w:tcW w:w="1906" w:type="pct"/>
            <w:vMerge w:val="continue"/>
            <w:tcBorders>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44</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滴水湖一号码头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（码头泛光1）</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2025.5.7-2026.5.6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45</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云朵广场建筑</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2024.4.30-2025.4.29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46</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600米示范段广场B栋建筑</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2024.4.30-2025.4.29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47</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D区构筑物</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2024.4.10-2025.4.9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48</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滴水云厅</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2023.10.12-2025.10.11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北岛3栋建筑（除4号建筑外）</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2025.5.15-2027.5.14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50</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钟楼电子屏</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2025.8.11-2026.8.10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51</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逐梦星辰雕塑</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2024.10.30-2026.10.30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52</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月季园</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2025.5.7-2026.5.6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53</w:t>
            </w:r>
          </w:p>
        </w:tc>
        <w:tc>
          <w:tcPr>
            <w:tcW w:w="2294" w:type="pct"/>
            <w:tcBorders>
              <w:top w:val="single" w:color="000000" w:sz="4" w:space="0"/>
              <w:left w:val="single" w:color="000000" w:sz="4" w:space="0"/>
              <w:bottom w:val="single" w:color="000000"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滴水湖广场</w:t>
            </w:r>
          </w:p>
        </w:tc>
        <w:tc>
          <w:tcPr>
            <w:tcW w:w="190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2025.4.27-2027.4.26</w:t>
            </w:r>
          </w:p>
        </w:tc>
      </w:tr>
    </w:tbl>
    <w:p>
      <w:pPr>
        <w:keepNext w:val="0"/>
        <w:keepLines w:val="0"/>
        <w:pageBreakBefore w:val="0"/>
        <w:kinsoku/>
        <w:wordWrap/>
        <w:topLinePunct w:val="0"/>
        <w:bidi w:val="0"/>
        <w:spacing w:line="600" w:lineRule="exact"/>
        <w:ind w:firstLine="562" w:firstLineChars="200"/>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rPr>
        <w:t>2</w:t>
      </w:r>
      <w:r>
        <w:rPr>
          <w:rFonts w:hint="eastAsia" w:eastAsia="方正仿宋_GBK" w:cs="Times New Roman"/>
          <w:b/>
          <w:bCs/>
          <w:sz w:val="28"/>
          <w:szCs w:val="28"/>
          <w:highlight w:val="none"/>
          <w:lang w:eastAsia="zh-CN"/>
        </w:rPr>
        <w:t>、</w:t>
      </w:r>
      <w:r>
        <w:rPr>
          <w:rFonts w:hint="default" w:ascii="Times New Roman" w:hAnsi="Times New Roman" w:eastAsia="方正仿宋_GBK" w:cs="Times New Roman"/>
          <w:b/>
          <w:bCs/>
          <w:sz w:val="28"/>
          <w:szCs w:val="28"/>
          <w:highlight w:val="none"/>
          <w:lang w:val="en-US" w:eastAsia="zh-CN"/>
        </w:rPr>
        <w:t>养护</w:t>
      </w:r>
      <w:r>
        <w:rPr>
          <w:rFonts w:hint="default" w:ascii="Times New Roman" w:hAnsi="Times New Roman" w:eastAsia="方正仿宋_GBK" w:cs="Times New Roman"/>
          <w:b/>
          <w:bCs/>
          <w:sz w:val="28"/>
          <w:szCs w:val="28"/>
          <w:highlight w:val="none"/>
        </w:rPr>
        <w:t>工作基本要求</w:t>
      </w:r>
    </w:p>
    <w:p>
      <w:pPr>
        <w:keepNext w:val="0"/>
        <w:keepLines w:val="0"/>
        <w:pageBreakBefore w:val="0"/>
        <w:numPr>
          <w:ilvl w:val="0"/>
          <w:numId w:val="0"/>
        </w:numPr>
        <w:kinsoku/>
        <w:wordWrap/>
        <w:topLinePunct w:val="0"/>
        <w:bidi w:val="0"/>
        <w:spacing w:line="600" w:lineRule="exact"/>
        <w:ind w:firstLine="560" w:firstLineChars="200"/>
        <w:contextualSpacing/>
        <w:jc w:val="left"/>
        <w:outlineLvl w:val="1"/>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sz w:val="28"/>
          <w:szCs w:val="28"/>
          <w:highlight w:val="none"/>
        </w:rPr>
        <w:t>（1）中标人主要工作频次</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3325"/>
        <w:gridCol w:w="641"/>
        <w:gridCol w:w="1055"/>
        <w:gridCol w:w="2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序号</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分部工程项目</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单位</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工作量</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工作内容描述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1</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灯具及其附属设施巡查</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730</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每天早晚各一次巡查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2</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检修配电箱及内部电器</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每周一次检修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3</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设施密封检修</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每周一次检修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4</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联网系统检查</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每周一次检修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5</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漏电保护装置测试</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12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每月一次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lang w:val="en-US" w:eastAsia="zh-CN"/>
              </w:rPr>
              <w:t>6</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设施保洁</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12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每月</w:t>
            </w:r>
            <w:r>
              <w:rPr>
                <w:rFonts w:hint="default" w:ascii="Times New Roman" w:hAnsi="Times New Roman" w:eastAsia="宋体" w:cs="Times New Roman"/>
                <w:bCs/>
                <w:color w:val="auto"/>
                <w:sz w:val="22"/>
                <w:highlight w:val="none"/>
                <w:lang w:val="en-US" w:eastAsia="zh-CN"/>
              </w:rPr>
              <w:t>一</w:t>
            </w:r>
            <w:r>
              <w:rPr>
                <w:rFonts w:hint="default" w:ascii="Times New Roman" w:hAnsi="Times New Roman" w:eastAsia="宋体" w:cs="Times New Roman"/>
                <w:bCs/>
                <w:color w:val="auto"/>
                <w:sz w:val="22"/>
                <w:highlight w:val="none"/>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lang w:val="en-US" w:eastAsia="zh-CN"/>
              </w:rPr>
              <w:t>7</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填报《月度养护报表》</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12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每月填报一次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tabs>
                <w:tab w:val="left" w:pos="840"/>
              </w:tabs>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8</w:t>
            </w:r>
          </w:p>
        </w:tc>
        <w:tc>
          <w:tcPr>
            <w:tcW w:w="1951" w:type="pct"/>
            <w:vAlign w:val="center"/>
          </w:tcPr>
          <w:p>
            <w:pPr>
              <w:keepNext w:val="0"/>
              <w:keepLines w:val="0"/>
              <w:pageBreakBefore w:val="0"/>
              <w:widowControl w:val="0"/>
              <w:tabs>
                <w:tab w:val="left" w:pos="840"/>
              </w:tabs>
              <w:kinsoku/>
              <w:wordWrap/>
              <w:overflowPunct w:val="0"/>
              <w:topLinePunct w:val="0"/>
              <w:autoSpaceDE w:val="0"/>
              <w:autoSpaceDN w:val="0"/>
              <w:bidi w:val="0"/>
              <w:adjustRightInd w:val="0"/>
              <w:snapToGrid w:val="0"/>
              <w:spacing w:line="240" w:lineRule="auto"/>
              <w:textAlignment w:val="baseline"/>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公共区域有绿植调整时，景观灯光实时跟进</w:t>
            </w:r>
          </w:p>
        </w:tc>
        <w:tc>
          <w:tcPr>
            <w:tcW w:w="376" w:type="pct"/>
            <w:vAlign w:val="center"/>
          </w:tcPr>
          <w:p>
            <w:pPr>
              <w:keepNext w:val="0"/>
              <w:keepLines w:val="0"/>
              <w:pageBreakBefore w:val="0"/>
              <w:widowControl w:val="0"/>
              <w:tabs>
                <w:tab w:val="left" w:pos="840"/>
              </w:tabs>
              <w:kinsoku/>
              <w:wordWrap/>
              <w:overflowPunct w:val="0"/>
              <w:topLinePunct w:val="0"/>
              <w:autoSpaceDE w:val="0"/>
              <w:autoSpaceDN w:val="0"/>
              <w:bidi w:val="0"/>
              <w:adjustRightInd w:val="0"/>
              <w:snapToGrid w:val="0"/>
              <w:spacing w:line="240" w:lineRule="auto"/>
              <w:textAlignment w:val="baseline"/>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tabs>
                <w:tab w:val="left" w:pos="840"/>
              </w:tabs>
              <w:kinsoku/>
              <w:wordWrap/>
              <w:overflowPunct w:val="0"/>
              <w:topLinePunct w:val="0"/>
              <w:autoSpaceDE w:val="0"/>
              <w:autoSpaceDN w:val="0"/>
              <w:bidi w:val="0"/>
              <w:adjustRightInd w:val="0"/>
              <w:snapToGrid w:val="0"/>
              <w:spacing w:line="240" w:lineRule="auto"/>
              <w:ind w:firstLine="330" w:firstLineChars="150"/>
              <w:textAlignment w:val="baseline"/>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6</w:t>
            </w:r>
          </w:p>
        </w:tc>
        <w:tc>
          <w:tcPr>
            <w:tcW w:w="1649" w:type="pct"/>
            <w:vAlign w:val="center"/>
          </w:tcPr>
          <w:p>
            <w:pPr>
              <w:keepNext w:val="0"/>
              <w:keepLines w:val="0"/>
              <w:pageBreakBefore w:val="0"/>
              <w:widowControl w:val="0"/>
              <w:tabs>
                <w:tab w:val="left" w:pos="840"/>
              </w:tabs>
              <w:kinsoku/>
              <w:wordWrap/>
              <w:overflowPunct w:val="0"/>
              <w:topLinePunct w:val="0"/>
              <w:autoSpaceDE w:val="0"/>
              <w:autoSpaceDN w:val="0"/>
              <w:bidi w:val="0"/>
              <w:adjustRightInd w:val="0"/>
              <w:snapToGrid w:val="0"/>
              <w:spacing w:line="240" w:lineRule="auto"/>
              <w:jc w:val="left"/>
              <w:textAlignment w:val="baseline"/>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根据四季和两次重大节日绿化养护进行跟进调整；数量为预估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cs="Times New Roman"/>
                <w:bCs/>
                <w:color w:val="auto"/>
                <w:sz w:val="22"/>
                <w:highlight w:val="none"/>
                <w:lang w:val="en-US" w:eastAsia="zh-CN"/>
              </w:rPr>
              <w:t>9</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灯具固定装置检修</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cs="Times New Roman"/>
                <w:bCs/>
                <w:color w:val="auto"/>
                <w:sz w:val="22"/>
                <w:highlight w:val="none"/>
                <w:lang w:val="en-US" w:eastAsia="zh-CN"/>
              </w:rPr>
              <w:t>12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w:t>
            </w:r>
            <w:r>
              <w:rPr>
                <w:rFonts w:hint="eastAsia" w:cs="Times New Roman"/>
                <w:bCs/>
                <w:color w:val="auto"/>
                <w:sz w:val="22"/>
                <w:highlight w:val="none"/>
                <w:lang w:val="en-US" w:eastAsia="zh-CN"/>
              </w:rPr>
              <w:t>月</w:t>
            </w:r>
            <w:r>
              <w:rPr>
                <w:rFonts w:hint="default" w:ascii="Times New Roman" w:hAnsi="Times New Roman" w:eastAsia="宋体" w:cs="Times New Roman"/>
                <w:bCs/>
                <w:color w:val="auto"/>
                <w:sz w:val="22"/>
                <w:highlight w:val="none"/>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rPr>
              <w:t>1</w:t>
            </w:r>
            <w:r>
              <w:rPr>
                <w:rFonts w:hint="eastAsia" w:cs="Times New Roman"/>
                <w:bCs/>
                <w:color w:val="auto"/>
                <w:sz w:val="22"/>
                <w:highlight w:val="none"/>
                <w:lang w:val="en-US" w:eastAsia="zh-CN"/>
              </w:rPr>
              <w:t>0</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设施上漆防锈处理</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lang w:val="en-US" w:eastAsia="zh-CN"/>
              </w:rPr>
              <w:t>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w:t>
            </w:r>
            <w:r>
              <w:rPr>
                <w:rFonts w:hint="default" w:ascii="Times New Roman" w:hAnsi="Times New Roman" w:eastAsia="宋体" w:cs="Times New Roman"/>
                <w:bCs/>
                <w:color w:val="auto"/>
                <w:sz w:val="22"/>
                <w:highlight w:val="none"/>
                <w:lang w:val="en-US" w:eastAsia="zh-CN"/>
              </w:rPr>
              <w:t>半年</w:t>
            </w:r>
            <w:r>
              <w:rPr>
                <w:rFonts w:hint="default" w:ascii="Times New Roman" w:hAnsi="Times New Roman" w:eastAsia="宋体" w:cs="Times New Roman"/>
                <w:bCs/>
                <w:color w:val="auto"/>
                <w:sz w:val="22"/>
                <w:highlight w:val="none"/>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cs="Times New Roman"/>
                <w:bCs/>
                <w:color w:val="auto"/>
                <w:sz w:val="22"/>
                <w:highlight w:val="none"/>
                <w:lang w:val="en-US" w:eastAsia="zh-CN"/>
              </w:rPr>
              <w:t>11</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加固配电箱防盗设备</w:t>
            </w:r>
          </w:p>
        </w:tc>
        <w:tc>
          <w:tcPr>
            <w:tcW w:w="376"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61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2</w:t>
            </w:r>
          </w:p>
        </w:tc>
        <w:tc>
          <w:tcPr>
            <w:tcW w:w="1649"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每半年一次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keepNext w:val="0"/>
              <w:keepLines w:val="0"/>
              <w:pageBreakBefore w:val="0"/>
              <w:widowControl w:val="0"/>
              <w:kinsoku/>
              <w:wordWrap/>
              <w:topLinePunct w:val="0"/>
              <w:bidi w:val="0"/>
              <w:adjustRightInd w:val="0"/>
              <w:snapToGrid w:val="0"/>
              <w:spacing w:line="240" w:lineRule="auto"/>
              <w:jc w:val="center"/>
              <w:rPr>
                <w:rFonts w:hint="eastAsia"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1</w:t>
            </w:r>
            <w:r>
              <w:rPr>
                <w:rFonts w:hint="eastAsia" w:cs="Times New Roman"/>
                <w:bCs/>
                <w:color w:val="auto"/>
                <w:sz w:val="22"/>
                <w:highlight w:val="none"/>
                <w:lang w:val="en-US" w:eastAsia="zh-CN"/>
              </w:rPr>
              <w:t>2</w:t>
            </w:r>
          </w:p>
        </w:tc>
        <w:tc>
          <w:tcPr>
            <w:tcW w:w="4596" w:type="pct"/>
            <w:gridSpan w:val="4"/>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应急抢险（包括台风汛前准备、台风汛期值班抢险、台风汛后检查、应急处置工作、现场突发安全隐患时间的响应工作、租赁备品备件仓库、租赁应急值班工作室、配备应急抢险物资等）</w:t>
            </w:r>
          </w:p>
        </w:tc>
      </w:tr>
    </w:tbl>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（2）中标人每天需进行的养护工作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1）每天早晚各一次派专业人员对养护范围内的设施进行巡视，对灯具、电器、接线盒及接头处进行检修，发现问题及时更换，维修完成后须在下次亮灯前将修复完成的照片发至采购人。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每天一次对配电箱和控制系统进行安全检查，做好防偷盗、防盗电工作，保持控制系统处于正常状态。如发现设备用电异常或现场线路、电箱搭电情况应及时上报采购人，同时采取合理措施，防止持续盗电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3）亮灯后，拍摄现场亮灯情况现状照片至养护工作网络群中。</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（3）中标人每周需进行的养护工作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1）按照《景观照明设施维护规范（试行）》要求，每周对配电箱及内部电器、所有接头进行</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次整理、检修和清理；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2）每周对灯具、线路、电箱等设施上述设施的密封工作进行</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次检查和维修，严格防止管线和灯具内部进水，以保持其内部的干燥和安全；</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3）每周对养护范围内的无线联网系统进行</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次检查，确保灯光控制中心的有效控制。</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4）检查景观照明配电箱，重点观察配电箱有无变形，破损，水浸，小动物滞留等情况，如情况严重则需要及时通报修复；</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5）检查配电箱内电压表、电流表、负载容量是否相符，工作指示灯是否正常，并检查电气回路保护装置是否正常工作，相应的断路器，熔断器、空气开关、避雷器等装置是否损坏。</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6）检查供电电缆连接处是否有松动，护套是否有松脱、损伤及动物噬咬痕迹；</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7）对于破损的电缆应及时做好绝缘防护措施，损坏严重时应予以分段（全段）更换。</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（4）中标人每月需进行的养护工作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1）每月1次，按日常养护工作内容填写《月度养护报表》和《电表抄数表格》。</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2）对灯具的外罩、投射面及附属设施（支架、防盗构件、外露管线槽等）保洁1次，确保灯具的清洁无污渍；</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3）对安装在高空的灯具设施的固定装置进行</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次检查。如有必要须采取一定的加固措施。如发现有锈蚀迹象，必须及时更换。</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4）对景观照明光源的光衰情况进行抽检，并对光衰严重的光源进行更换；</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5）检查接线端子是否存在过热氧化情况，配电输出是否存在缺相的情况，输出电流是否超过线路负荷；</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6）检查配电箱内设施、线缆、端子标识、电器原理图、物料清单等资料是否完好、清晰，如出现问题应及时改正；</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7）检查线路绝缘，要求导线绝缘电阻&gt;1MΩ（兆欧），电缆绝缘电阻&gt;2MΩ（兆欧）；</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8）检查景观照明供电线路所涉及到的电缆沟、电缆井、电缆管以及电缆桥架等相关设备，确保其无损坏，移位，锈蚀、破损等情况；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9）检查电缆过境孔、穿墙孔等处防水密闭情况，确保其无渗漏情况发生；</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10）检查景观照明、配电箱设施防雷接地装置，确保其结构符合原设计要求，并正常工作；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11）检查景观照明、供配电设施的接地引线状况，确保其表面涂层完好无脱落；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12）检查室外照明配电箱体同接地桩连接是否牢固，接地桩是否存在腐蚀；</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13）对室外配电箱的接地电阻测试，工作接地电阻及保护接地电阻不高于4Ω；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14）检查配电箱内的避雷器，查看其是否有损坏、失效的情况。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（5）中标人每季度需进行的养护工作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1）根据养护工作要求，编制季度养护工作计划；</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2）报送季度养护工作数据及工作总结。</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3）配合采购人开展养护工作季度考核。</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（6）中标人每年需进行的养护工作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1）对灯具外罩及附属设施（支架、防盗构件等）进行2次的防锈处理；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2）每年对需密封灯具更换4次密封条；</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 xml:space="preserve">3）做好养护范围内发生的楼宇市政工程改建配合工作，其中包括施工单位同招标人的居间沟通、配合和监督灯光设施变动施工、填写设施变更表格的工作；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4）根据景观照明安全管理工作要求，制订相应安全应急预案，并启动值班制和抢修制，相关信息报送采购人备案；</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5）每半年加固配电箱的防盗设备，防止因偷盗设备造成的触电事故；</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（7）防台防汛期间的特殊工作要求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汛前准备：中标人成立防台防汛小组，建立防台防汛通讯网络，落实抢险队伍，添置必须的防汛器材，以加强防汛能力，做到召之即来，来之能战，战之能胜。同时检查区域内的全部设施，做到所有开关处于“分”或“关”的状态、配电箱门锁完好紧闭。按照临港新片区防汛部门要求，做好防汛网络签到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汛期抢险：中标人须根据采购人所编制的《防台防汛预案》要求，在汛期期间严格按照四个预警等级工作要求进行响应。预警撤销后，中标人必须组织人员复查设施情况，并组织修理工作，将相关数据报送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汛后检查：预警撤销后，中标人做好防汛网络签退工作，同时必须组织人员复查设施情况，并组织抢修人员修缮工作，同时将此次汛期各项信息及数据以书面形式报送采购人。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3、</w:t>
      </w:r>
      <w:r>
        <w:rPr>
          <w:rFonts w:hint="default" w:ascii="Times New Roman" w:hAnsi="Times New Roman" w:eastAsia="方正仿宋_GBK" w:cs="Times New Roman"/>
          <w:b/>
          <w:bCs/>
          <w:sz w:val="28"/>
          <w:szCs w:val="28"/>
          <w:highlight w:val="none"/>
        </w:rPr>
        <w:t>日常养护工作基本要求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 亮灯级别</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临港新片区景观照明亮灯保障工作分为Ⅰ级（特大）、Ⅱ级（重大）和Ⅲ级（日常）三个级别。临港新片区沿线景观照明目前采用“天天亮灯、天天巡查、天天养护、天天报到”的制度。</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Ⅰ级亮灯：以上海市市府办公厅、上海市绿化和市容管理局及临港新片区管委会发出的亮灯保障文件（通知）为准，包括年度重大节假日（元旦、春节、五一、国庆等）或全市性重大活动等；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Ⅱ级亮灯：以上海市绿化和市容管理局景观管理处及临港新片区管委会的《亮灯通知》为准；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Ⅲ级亮灯：以临港新片区管委会的日常管理机制实施。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日常养护工作要求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 xml:space="preserve">1）每天派专业人对养护范围内的设施进行安全巡视，对灯具、电器、接线盒及接头处进行检修，发现问题及时更换。根据景观照明的特殊性，为确保景观照明常亮常新，应采取更换或维修等手段，避免灯具设施光衰、老化、锈蚀、安全和过度能耗等问题。构成景观照明的主要元器件如：光源、整流器、开关、接线盒、反光板、灯罩（管）、控制箱（柜）等部件；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2）灯具的外罩、投射面及附属设施（支架、防盗构件、外露管线槽等）每月保洁</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次，确保灯具的清洁无污渍；</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3）按照《景观照明设施维护规范（试行）要求，每周对配电箱及内部电器、所有接头进行一次整理、检修和清理；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4）严格防止管线和灯具内部进水，养护单位做好日常养护，以保持其内部的干燥和安全；</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中标人对灯具及其附属设备进行日常维修。对于由采购人发现的设施故障，维修完成后须在下次亮灯前将修复完成的照片发至采购人。采购人如未收到修复照片，则认定为未修复，中标人须提供书面材料说明原因后继续维修。如此后24小时候仍未修复，该故障点将作为重复故障点。采购人将每24小时检查一次；</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若有设备或技术原因造成的灯具设施无法正常运行的情况，中标人应及时书面向采购人汇报现场情况，同时将情况填入月度养护报表中。中标人视情做出拆除设施或者保留设施的决定，则不作为故障处理。对仍然保留灯具设施的，中标人须保证设施安全可靠，防止发生意外伤害事故；对拆除的设施，中标人应及时派专人予以处理及安全存放；</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7）为了不影响居民休息，故障维修作业时间一般不得晚于晚上23点。如23点后仍未完成维修作业，当晚中标人对故障点应做好安全措施，次日维修；</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8）逢台风及恶劣天气，必须做到事前断电、事后及时检查修理，以保持灯具和电器设施处于不漏电、不短路的正常状态，地下管线、灯具内部和接线盒内不积水，接线处无渗水；</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9</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灯具外罩及附属设施（支架、防盗构件）须每年进行</w:t>
      </w:r>
      <w:r>
        <w:rPr>
          <w:rFonts w:hint="eastAsia" w:eastAsia="方正仿宋_GBK" w:cs="Times New Roman"/>
          <w:b w:val="0"/>
          <w:bCs w:val="0"/>
          <w:sz w:val="28"/>
          <w:szCs w:val="28"/>
          <w:highlight w:val="none"/>
          <w:lang w:val="en-US" w:eastAsia="zh-CN"/>
        </w:rPr>
        <w:t>2</w:t>
      </w:r>
      <w:r>
        <w:rPr>
          <w:rFonts w:hint="default" w:ascii="Times New Roman" w:hAnsi="Times New Roman" w:eastAsia="方正仿宋_GBK" w:cs="Times New Roman"/>
          <w:b w:val="0"/>
          <w:bCs w:val="0"/>
          <w:sz w:val="28"/>
          <w:szCs w:val="28"/>
          <w:highlight w:val="none"/>
        </w:rPr>
        <w:t>次的防锈处理，但对于明显锈迹的情况须及时进行日常的清理、补漆，其灯杆每年</w:t>
      </w:r>
      <w:r>
        <w:rPr>
          <w:rFonts w:hint="eastAsia" w:eastAsia="方正仿宋_GBK" w:cs="Times New Roman"/>
          <w:b w:val="0"/>
          <w:bCs w:val="0"/>
          <w:sz w:val="28"/>
          <w:szCs w:val="28"/>
          <w:highlight w:val="none"/>
          <w:lang w:val="en-US" w:eastAsia="zh-CN"/>
        </w:rPr>
        <w:t>2</w:t>
      </w:r>
      <w:r>
        <w:rPr>
          <w:rFonts w:hint="default" w:ascii="Times New Roman" w:hAnsi="Times New Roman" w:eastAsia="方正仿宋_GBK" w:cs="Times New Roman"/>
          <w:b w:val="0"/>
          <w:bCs w:val="0"/>
          <w:sz w:val="28"/>
          <w:szCs w:val="28"/>
          <w:highlight w:val="none"/>
        </w:rPr>
        <w:t>次油漆；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10</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投光类灯具均应每年12月底更换一次密封圈；凡原有硅胶的接缝处，每年重补一次硅胶；如果发现脱胶情况须及时补胶。</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每天对配电箱和控制系统进行安全检查，做好防偷盗、防盗电工作，保持控制系统处于正常状态。如发现设备用电异常或现场线路、电箱搭电情况应及时上报采购人，同时采取合理措施，防止持续盗电情况；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若发生灯具、线缆设备偷盗现象，应及时去当地警署报案，保存好受理单，由当地警署根据治安管理条例予以处置；同时应在下次亮灯前将缺损的灯具维修完毕或补齐，附属设施在24小时内未修复完成，须向采购人上报情况。在此期间产生的费用已包含在招标金额中；</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中标人不得以任何理由改动（变）景观照明设施品牌、型号、设备外观和性能；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14</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须保证养护范围无线联网系统有效正确完整。如发现联网信号异常，应确认故障责任方：如属中标人责任，下次亮灯前自行维修完毕。如属联网设备养护单位责任的，由中标人24小时内取证，通知联网设备养护单位，并且报采购人备案。无线联网系统如发生故障，无法正常开关灯时，应按照亮灯要求进行手动操作，并将手动亮灯情况填入亮灯总结及月度报表中；</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15</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如遇大风、雷电、暴雨黄色及以上预警信号，必须于警报解除后巡查各自标段内设施情况，并及时上报设施损失情况。上报时间原则规定为警报解除当天。如遇特殊情况，最晚不超过次日上午；</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16</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按规定配合好楼宇市政工程或其他原因改建工作造成的灯光设施变更，其中包括施工单位同招标人的居间沟通、配合和监督灯光设施变动施工、填写设施变更表格的工作；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17</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中标人应根据采购人的安全工作要求，制订并实施值班制和抢修制，相关信息报送采购人备案；</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18</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应根据标段内灯具、电缆及控制箱类型，每种设施均需配备必要的配件作为维修备件。灯具类设施备件每种型号不得低于5套；电缆线材类设施每种型号不得低于100米；控制箱类设施每种不得低于2套；接触器、开关、漏电保护器等附属设备，各类型号不得低于5套；</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19</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按时按量完成采购人交办的其它突击性任务和指令性任务；</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20</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中标人对养护范围内的设施负安全责任；</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应符合采购人对养护范围内的设施安全管理标准，对安装在高空的灯具设施应定期对固定装置进行检查，确保灯具设施牢固安全，如发现锈蚀、松动、毁坏迹象的，必须及时更换；对安装在绿化，人行道、码头、堤岸等处的灯具设施应确保无漏电，对周围行人不构成人身安全伤害等情况；加固配电箱的防盗设备，如发生漏电及保护措施不当而造成的人身伤害等各类安全事故的，由中标人承担一切经济和法律责任。</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22）中标人应确保本养护合同周期内设施完好。在养护周期结束时，可确保设施保持正常亮灯，顺利移交。</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 根据上海市户外设施安全管理工作的要求，中标人做好全年的安全防范养护工作，应聘请符合上海市质量监督局许可的安全检测单位对标段内设施进行安全检测工作，对照明设施出具《户外设施安全检测自查报告》。安全检测工作主要包括对包件内5%电气回路、绝缘电阻、断路器、熔断器、空气开关、避雷器、电箱等设施的电气性能和灯具固定支架强度、刚度、抗倾覆性能等技术指标进行安全检测。</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（3）电气安全要求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灯具应符合GB 7000 系列标准的相应规定。控制装置应符合GB 19510 系列标准的相应规定。除符合上述相关标准要求外，具体特殊要求如下：</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①投光灯具、庭院灯具和道路灯具宜采用Ⅰ类灯具；</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②安装在人员可触及的防护栏上的灯具宜采用Ⅲ类灯具；若采用非Ⅲ类灯具，应有额外的防意外触电的保护措施；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③控制柜应采用Ⅰ类防触电保护的产品；</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④安装在预期让人进入的喷水池和水池内的水下灯具应使用Ⅲ类的灯具，其外部和内部线路的工作电压应不超过12 V AC 或30 V DC。</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电气设备应有防止内部积水及水汽的设计。安装在不同地方和位置上的电气设备应符合相应位置的外壳防护等级。室外安装的灯具防护等级不应低于IP55，其中在有遮挡的棚或檐下灯具防护等级不应低于IP54，桥体安装的灯具应不低于IP65，埋地灯具防护等级应同时符合IP65 和IP67 要求，水下灯具防护等级应为IP68。室外照明配电箱、控制箱等的防护等级不应低于IP55。电气设备使用的接插件应满足IP65 或IP66 的要求。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3）电气设备使用的接插件应满足 IP65 或 IP66 的要求。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（4）灯具温度和耐热要求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灯具内的电器配件的耐热等级必须满足使用环境的如下要求：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①露天工作的一体化灯具内，电器腔中的电器配件的耐热等级必须符合相应工作环境的要求，HID 灯具的镇流器上的Tw≥130℃，不应使用无Tw 标志的产品。触发器和电容器亦应视电器箱内最高环境温度来确定Tc 的数值，一般应选择Tc=85 ºC或以上的产品；</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②露天工作的非一体化灯具电器箱内的电器配件的耐热等级必须符合相应工作环境的要求；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③地埋灯内的电器配件，应根据灯具外壳的材料、大小和安装环境的不同选用合适的耐热等级产品。</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使用塑料外壳的灯具，其外壳应能承受灯具在异常工作条件下产生的过热。同时应能承受户外环境对材质性能的不利影响，长时间使用后不能降低外壳的原有防护等级。</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具有散热孔的半户外型灯具应在散热孔处设金属防虫网。</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4）对于安装于开关电源箱内的开关电源，高温天气已发生自保护熄火的情况，应当对开关电源箱加装风扇，已达到降温效果。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（6）接地、防雷与安全</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景观照明配电系统接地型式应采用TT 系统或TN 系统。安装于建筑物本体上，并直接由该建筑物内部电源供电的景观照明装置，其配电系统的接地型式应与该建筑物内照明装置的接地型式一致。</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景观照明配电箱内设置的进线总断路器，应能同时断开相线和中性线。</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除另有规定外，室外电气装置的下列外露可导电部分均应接地：</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①电机、电器，Ⅰ类照明灯具的金属外壳、灯杆；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②配电装置的金属框架、金属构架、钢筋混凝土构架的钢筋及靠近带电部分的金属围栏等；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③电缆的金属外皮和金属保护管、接线盒及终端盒等。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安装于建筑物顶端或高空外墙上，以及空旷的广场等有可能遭受雷击的景观照明装置，应采用相应的防直击雷措施和防闪电电涌侵入措施，支撑景观照明装置的金属构件应接地。</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220 V/380 V 系统中，所有景观照明配电箱应加装适配的电涌保护器（SPD）。</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景观照明设备所有带电部分应采用绝缘、遮拦或外护物保护，距地面2.8 m 以下的照明设备应使用工具才能打开外壳进行光源养护。</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游泳池、喷水池和戏水池等特殊场所的安全防护设计应按GB/T 16895.19―2017 执行。</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8</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景观照明配电箱不应设在低洼易积水处，箱底高出地面不应低于200 mm，配电箱底座应采取封闭措施。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（7）亮（关）灯工作要求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根据采购人亮（关）灯任务要求，应提前对养护范围内的灯光设施进行自查、调试。自查内容：包括灯具设施、联网遥控设施、供电设施完好情况。做好对损坏的光源和电器及时调换；对于II级及以上亮（关）灯活动，中标人应于亮灯活动前6小时，将本次自查情况结果书面报送至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现场亮（关）灯时间不得早于和迟于采购人规定的亮（关）灯时间5分钟。如发现灯光设施无法自动亮（关）灯的，需及时现场手动打开（关闭）景观照明电源。亮灯后，需在60分钟内拍摄所有设施的现场亮灯情况照片，发送至养护工作网络群中。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I级或II级亮灯任务时，由中标人应30分钟内向采购人汇报亮灯情况。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亮（关）灯期间当班巡检人员开展常态化巡检工作。如接到采购人关于设备故障、应急演练等通知的，巡检人员应在20分钟内赶到现场，听从采购人指挥并处置情况；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养护范围内的灯光设施应达到95％以上的亮灯率；在亮灯期间，若发生突发性灯具损坏，须立即采取措施，并及时报送采购人，做好记录；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凡II级及以上亮（关）灯任务完成以后2个工作日内，应向采购人提交当期亮（关）灯情况总结说明书。说明内容包括：亮灯值班人员、巡查次数、巡视时间、巡视人员名单、灯具站点故障情况及处理结果、联网遥控装置故障及报修情况、处理结果情况。</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4</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人员要求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投标人需根据招标要求配置拟派的人员，且均需为本单位在职正式职工。实施期间，如发生养护工作者人员变更的，须经采购人审核上岗资质及劳动关系后做出同意意见的，中标人方可更换相应养护工作者。</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项目经理须具备2年及以上景观照明相关工作经验，项目管理人员须具备景观照明相关工作经验2年及以上，养护</w:t>
      </w:r>
      <w:r>
        <w:rPr>
          <w:rFonts w:hint="eastAsia" w:eastAsia="方正仿宋_GBK" w:cs="Times New Roman"/>
          <w:b w:val="0"/>
          <w:bCs w:val="0"/>
          <w:sz w:val="28"/>
          <w:szCs w:val="28"/>
          <w:highlight w:val="none"/>
          <w:lang w:eastAsia="zh-CN"/>
        </w:rPr>
        <w:t>电工</w:t>
      </w:r>
      <w:r>
        <w:rPr>
          <w:rFonts w:hint="default" w:ascii="Times New Roman" w:hAnsi="Times New Roman" w:eastAsia="方正仿宋_GBK" w:cs="Times New Roman"/>
          <w:b w:val="0"/>
          <w:bCs w:val="0"/>
          <w:sz w:val="28"/>
          <w:szCs w:val="28"/>
          <w:highlight w:val="none"/>
        </w:rPr>
        <w:t>须具备现场养护2年以上的工作经验。同时，投标单位须提供安全员、材料员、资料员等岗位人员。</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eastAsia" w:eastAsia="方正仿宋_GBK" w:cs="Times New Roman"/>
          <w:b w:val="0"/>
          <w:bCs w:val="0"/>
          <w:sz w:val="28"/>
          <w:szCs w:val="28"/>
          <w:highlight w:val="none"/>
          <w:lang w:eastAsia="zh-CN"/>
        </w:rPr>
        <w:t>★：团队人员</w:t>
      </w:r>
      <w:r>
        <w:rPr>
          <w:rFonts w:hint="default" w:ascii="Times New Roman" w:hAnsi="Times New Roman" w:eastAsia="方正仿宋_GBK" w:cs="Times New Roman"/>
          <w:b w:val="0"/>
          <w:bCs w:val="0"/>
          <w:sz w:val="28"/>
          <w:szCs w:val="28"/>
          <w:highlight w:val="none"/>
        </w:rPr>
        <w:t>不少于</w:t>
      </w:r>
      <w:r>
        <w:rPr>
          <w:rFonts w:hint="eastAsia" w:eastAsia="方正仿宋_GBK" w:cs="Times New Roman"/>
          <w:b w:val="0"/>
          <w:bCs w:val="0"/>
          <w:sz w:val="28"/>
          <w:szCs w:val="28"/>
          <w:highlight w:val="none"/>
          <w:lang w:val="en-US" w:eastAsia="zh-CN"/>
        </w:rPr>
        <w:t>10</w:t>
      </w:r>
      <w:r>
        <w:rPr>
          <w:rFonts w:hint="default" w:ascii="Times New Roman" w:hAnsi="Times New Roman" w:eastAsia="方正仿宋_GBK" w:cs="Times New Roman"/>
          <w:b w:val="0"/>
          <w:bCs w:val="0"/>
          <w:sz w:val="28"/>
          <w:szCs w:val="28"/>
          <w:highlight w:val="none"/>
        </w:rPr>
        <w:t>人</w:t>
      </w:r>
      <w:r>
        <w:rPr>
          <w:rFonts w:hint="eastAsia" w:eastAsia="方正仿宋_GBK" w:cs="Times New Roman"/>
          <w:b w:val="0"/>
          <w:bCs w:val="0"/>
          <w:sz w:val="28"/>
          <w:szCs w:val="28"/>
          <w:highlight w:val="none"/>
          <w:lang w:eastAsia="zh-CN"/>
        </w:rPr>
        <w:t>。</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1952"/>
        <w:gridCol w:w="2012"/>
        <w:gridCol w:w="114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岗位</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本专业工作年限要求</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职称或资格要求</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trike/>
                <w:color w:val="auto"/>
                <w:sz w:val="22"/>
                <w:highlight w:val="none"/>
              </w:rPr>
            </w:pPr>
            <w:r>
              <w:rPr>
                <w:rFonts w:hint="default" w:ascii="Times New Roman" w:hAnsi="Times New Roman" w:eastAsia="宋体" w:cs="Times New Roman"/>
                <w:b/>
                <w:bCs/>
                <w:color w:val="auto"/>
                <w:sz w:val="22"/>
                <w:highlight w:val="none"/>
              </w:rPr>
              <w:t>建议配置岗位数</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项目经理</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有相关工作经验2年及以上</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具备人力资源和社会保障部门</w:t>
            </w:r>
            <w:r>
              <w:rPr>
                <w:rFonts w:hint="eastAsia" w:cs="Times New Roman"/>
                <w:bCs/>
                <w:color w:val="auto"/>
                <w:sz w:val="22"/>
                <w:highlight w:val="none"/>
                <w:lang w:eastAsia="zh-CN"/>
              </w:rPr>
              <w:t>或住房和城乡建设主管部门颁发的</w:t>
            </w:r>
            <w:r>
              <w:rPr>
                <w:rFonts w:hint="default" w:ascii="Times New Roman" w:hAnsi="Times New Roman" w:eastAsia="宋体" w:cs="Times New Roman"/>
                <w:bCs/>
                <w:color w:val="auto"/>
                <w:sz w:val="22"/>
                <w:highlight w:val="none"/>
              </w:rPr>
              <w:t>一级建造师（市政公用工程</w:t>
            </w:r>
            <w:r>
              <w:rPr>
                <w:rFonts w:hint="eastAsia" w:cs="Times New Roman"/>
                <w:bCs/>
                <w:color w:val="auto"/>
                <w:sz w:val="22"/>
                <w:highlight w:val="none"/>
                <w:lang w:val="en-US" w:eastAsia="zh-CN"/>
              </w:rPr>
              <w:t>或者机电工程</w:t>
            </w:r>
            <w:r>
              <w:rPr>
                <w:rFonts w:hint="default" w:ascii="Times New Roman" w:hAnsi="Times New Roman" w:eastAsia="宋体" w:cs="Times New Roman"/>
                <w:bCs/>
                <w:color w:val="auto"/>
                <w:sz w:val="22"/>
                <w:highlight w:val="none"/>
              </w:rPr>
              <w:t>）</w:t>
            </w:r>
            <w:r>
              <w:rPr>
                <w:rFonts w:hint="eastAsia" w:cs="Times New Roman"/>
                <w:bCs/>
                <w:color w:val="auto"/>
                <w:sz w:val="22"/>
                <w:highlight w:val="none"/>
                <w:lang w:eastAsia="zh-CN"/>
              </w:rPr>
              <w:t>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1人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具有本科及以上学历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项目管理人员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有相关工作经验2年及以上</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Times New Roman" w:hAnsi="Times New Roman" w:eastAsia="宋体" w:cs="Times New Roman"/>
                <w:bCs/>
                <w:strike/>
                <w:color w:val="auto"/>
                <w:sz w:val="22"/>
                <w:highlight w:val="none"/>
                <w:lang w:eastAsia="zh-CN"/>
              </w:rPr>
            </w:pPr>
            <w:r>
              <w:rPr>
                <w:rFonts w:hint="default" w:ascii="Times New Roman" w:hAnsi="Times New Roman" w:eastAsia="宋体" w:cs="Times New Roman"/>
                <w:bCs/>
                <w:color w:val="auto"/>
                <w:sz w:val="22"/>
                <w:highlight w:val="none"/>
              </w:rPr>
              <w:t>具备</w:t>
            </w:r>
            <w:r>
              <w:rPr>
                <w:rFonts w:hint="eastAsia" w:ascii="Times New Roman" w:hAnsi="Times New Roman" w:eastAsia="宋体" w:cs="Times New Roman"/>
                <w:bCs/>
                <w:color w:val="auto"/>
                <w:sz w:val="22"/>
                <w:highlight w:val="none"/>
                <w:lang w:eastAsia="zh-CN"/>
              </w:rPr>
              <w:t>中级工程师</w:t>
            </w:r>
            <w:bookmarkStart w:id="29" w:name="_GoBack"/>
            <w:r>
              <w:rPr>
                <w:rFonts w:hint="default" w:ascii="Times New Roman" w:hAnsi="Times New Roman" w:eastAsia="宋体" w:cs="Times New Roman"/>
                <w:bCs/>
                <w:color w:val="auto"/>
                <w:sz w:val="22"/>
                <w:highlight w:val="none"/>
              </w:rPr>
              <w:t>（市政工程</w:t>
            </w:r>
            <w:r>
              <w:rPr>
                <w:rFonts w:hint="eastAsia" w:cs="Times New Roman"/>
                <w:bCs/>
                <w:color w:val="auto"/>
                <w:sz w:val="22"/>
                <w:highlight w:val="none"/>
                <w:lang w:val="en-US" w:eastAsia="zh-CN"/>
              </w:rPr>
              <w:t>或者机电工程</w:t>
            </w:r>
            <w:r>
              <w:rPr>
                <w:rFonts w:hint="default" w:ascii="Times New Roman" w:hAnsi="Times New Roman" w:eastAsia="宋体" w:cs="Times New Roman"/>
                <w:bCs/>
                <w:color w:val="auto"/>
                <w:sz w:val="22"/>
                <w:highlight w:val="none"/>
              </w:rPr>
              <w:t>）</w:t>
            </w:r>
            <w:bookmarkEnd w:id="29"/>
            <w:r>
              <w:rPr>
                <w:rFonts w:hint="eastAsia" w:ascii="Times New Roman" w:hAnsi="Times New Roman" w:eastAsia="宋体" w:cs="Times New Roman"/>
                <w:bCs/>
                <w:color w:val="auto"/>
                <w:sz w:val="22"/>
                <w:highlight w:val="none"/>
                <w:lang w:eastAsia="zh-CN"/>
              </w:rPr>
              <w:t>及以上</w:t>
            </w:r>
            <w:r>
              <w:rPr>
                <w:rFonts w:hint="eastAsia" w:cs="Times New Roman"/>
                <w:bCs/>
                <w:color w:val="auto"/>
                <w:sz w:val="22"/>
                <w:highlight w:val="none"/>
                <w:lang w:eastAsia="zh-CN"/>
              </w:rPr>
              <w:t>职称</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2人及以上</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承诺至少一名管理人员不兼职其他项目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安全管理人员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有相关工作经验2年及以上</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具备住房和城乡建设</w:t>
            </w:r>
            <w:r>
              <w:rPr>
                <w:rFonts w:hint="eastAsia" w:cs="Times New Roman"/>
                <w:bCs/>
                <w:color w:val="auto"/>
                <w:sz w:val="22"/>
                <w:highlight w:val="none"/>
                <w:lang w:eastAsia="zh-CN"/>
              </w:rPr>
              <w:t>领域施工现场专业人员职业培训合格证</w:t>
            </w:r>
            <w:r>
              <w:rPr>
                <w:rFonts w:hint="default" w:ascii="Times New Roman" w:hAnsi="Times New Roman" w:eastAsia="宋体" w:cs="Times New Roman"/>
                <w:bCs/>
                <w:color w:val="auto"/>
                <w:sz w:val="22"/>
                <w:highlight w:val="none"/>
              </w:rPr>
              <w:t>“安全员”</w:t>
            </w:r>
            <w:r>
              <w:rPr>
                <w:rFonts w:hint="default" w:ascii="Times New Roman" w:hAnsi="Times New Roman" w:eastAsia="宋体" w:cs="Times New Roman"/>
                <w:bCs/>
                <w:color w:val="auto"/>
                <w:sz w:val="22"/>
                <w:highlight w:val="none"/>
                <w:lang w:val="en-US" w:eastAsia="zh-CN"/>
              </w:rPr>
              <w:t>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1人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rPr>
              <w:t>养护</w:t>
            </w:r>
            <w:r>
              <w:rPr>
                <w:rFonts w:hint="default" w:ascii="Times New Roman" w:hAnsi="Times New Roman" w:eastAsia="宋体" w:cs="Times New Roman"/>
                <w:bCs/>
                <w:color w:val="auto"/>
                <w:sz w:val="22"/>
                <w:highlight w:val="none"/>
                <w:lang w:val="en-US" w:eastAsia="zh-CN"/>
              </w:rPr>
              <w:t>电工</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有现场养护2年以上的工作经验</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具备应急管理部门</w:t>
            </w:r>
            <w:r>
              <w:rPr>
                <w:rFonts w:hint="eastAsia" w:cs="Times New Roman"/>
                <w:bCs/>
                <w:color w:val="auto"/>
                <w:sz w:val="22"/>
                <w:highlight w:val="none"/>
                <w:lang w:eastAsia="zh-CN"/>
              </w:rPr>
              <w:t>颁发的</w:t>
            </w:r>
            <w:r>
              <w:rPr>
                <w:rFonts w:hint="default" w:ascii="Times New Roman" w:hAnsi="Times New Roman" w:eastAsia="宋体" w:cs="Times New Roman"/>
                <w:bCs/>
                <w:color w:val="auto"/>
                <w:sz w:val="22"/>
                <w:highlight w:val="none"/>
              </w:rPr>
              <w:t>“</w:t>
            </w:r>
            <w:r>
              <w:rPr>
                <w:rFonts w:hint="default" w:ascii="Times New Roman" w:hAnsi="Times New Roman" w:eastAsia="宋体" w:cs="Times New Roman"/>
                <w:bCs/>
                <w:color w:val="auto"/>
                <w:sz w:val="22"/>
                <w:highlight w:val="none"/>
                <w:lang w:val="en-US" w:eastAsia="zh-CN"/>
              </w:rPr>
              <w:t>低压电工</w:t>
            </w:r>
            <w:r>
              <w:rPr>
                <w:rFonts w:hint="eastAsia" w:cs="Times New Roman"/>
                <w:bCs/>
                <w:color w:val="auto"/>
                <w:sz w:val="22"/>
                <w:highlight w:val="none"/>
                <w:lang w:val="en-US" w:eastAsia="zh-CN"/>
              </w:rPr>
              <w:t>作业</w:t>
            </w:r>
            <w:r>
              <w:rPr>
                <w:rFonts w:hint="default" w:ascii="Times New Roman" w:hAnsi="Times New Roman" w:eastAsia="宋体" w:cs="Times New Roman"/>
                <w:bCs/>
                <w:color w:val="auto"/>
                <w:sz w:val="22"/>
                <w:highlight w:val="none"/>
              </w:rPr>
              <w:t>”</w:t>
            </w:r>
            <w:r>
              <w:rPr>
                <w:rFonts w:hint="default" w:ascii="Times New Roman" w:hAnsi="Times New Roman" w:eastAsia="宋体" w:cs="Times New Roman"/>
                <w:bCs/>
                <w:color w:val="auto"/>
                <w:sz w:val="22"/>
                <w:highlight w:val="none"/>
                <w:lang w:val="en-US" w:eastAsia="zh-CN"/>
              </w:rPr>
              <w:t>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lang w:val="en-US" w:eastAsia="zh-CN"/>
              </w:rPr>
              <w:t>1</w:t>
            </w:r>
            <w:r>
              <w:rPr>
                <w:rFonts w:hint="default" w:ascii="Times New Roman" w:hAnsi="Times New Roman" w:eastAsia="宋体" w:cs="Times New Roman"/>
                <w:bCs/>
                <w:color w:val="auto"/>
                <w:sz w:val="22"/>
                <w:highlight w:val="none"/>
              </w:rPr>
              <w:t>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内业资料专管员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从事本专业工作2年以上工作经历</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具备住房和城乡建设</w:t>
            </w:r>
            <w:r>
              <w:rPr>
                <w:rFonts w:hint="eastAsia" w:cs="Times New Roman"/>
                <w:bCs/>
                <w:color w:val="auto"/>
                <w:sz w:val="22"/>
                <w:highlight w:val="none"/>
                <w:lang w:eastAsia="zh-CN"/>
              </w:rPr>
              <w:t>领域施工现场专业人员职业培训合格证</w:t>
            </w:r>
            <w:r>
              <w:rPr>
                <w:rFonts w:hint="default" w:ascii="Times New Roman" w:hAnsi="Times New Roman" w:eastAsia="宋体" w:cs="Times New Roman"/>
                <w:bCs/>
                <w:color w:val="auto"/>
                <w:sz w:val="22"/>
                <w:highlight w:val="none"/>
              </w:rPr>
              <w:t>“资料员”岗位证书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1</w:t>
            </w:r>
            <w:r>
              <w:rPr>
                <w:rFonts w:hint="default" w:ascii="Times New Roman" w:hAnsi="Times New Roman" w:eastAsia="宋体" w:cs="Times New Roman"/>
                <w:bCs/>
                <w:color w:val="auto"/>
                <w:sz w:val="22"/>
                <w:highlight w:val="none"/>
                <w:lang w:val="en-US" w:eastAsia="zh-CN"/>
              </w:rPr>
              <w:t>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仓库备货专管员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从事本专业工作2年以上工作经历</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具备住房和城乡建设</w:t>
            </w:r>
            <w:r>
              <w:rPr>
                <w:rFonts w:hint="eastAsia" w:cs="Times New Roman"/>
                <w:bCs/>
                <w:color w:val="auto"/>
                <w:sz w:val="22"/>
                <w:highlight w:val="none"/>
                <w:lang w:eastAsia="zh-CN"/>
              </w:rPr>
              <w:t>领域施工现场专业人员职业培训合格证</w:t>
            </w:r>
            <w:r>
              <w:rPr>
                <w:rFonts w:hint="default" w:ascii="Times New Roman" w:hAnsi="Times New Roman" w:eastAsia="宋体" w:cs="Times New Roman"/>
                <w:bCs/>
                <w:color w:val="auto"/>
                <w:sz w:val="22"/>
                <w:highlight w:val="none"/>
              </w:rPr>
              <w:t>“材料员”岗位证书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1</w:t>
            </w:r>
            <w:r>
              <w:rPr>
                <w:rFonts w:hint="default" w:ascii="Times New Roman" w:hAnsi="Times New Roman" w:eastAsia="宋体" w:cs="Times New Roman"/>
                <w:bCs/>
                <w:color w:val="auto"/>
                <w:sz w:val="22"/>
                <w:highlight w:val="none"/>
                <w:lang w:val="en-US" w:eastAsia="zh-CN"/>
              </w:rPr>
              <w:t>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其他养护人员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3人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lang w:val="en-US" w:eastAsia="zh-CN"/>
              </w:rPr>
              <w:t>至少3名</w:t>
            </w:r>
            <w:r>
              <w:rPr>
                <w:rFonts w:hint="default" w:ascii="Times New Roman" w:hAnsi="Times New Roman" w:eastAsia="宋体" w:cs="Times New Roman"/>
                <w:bCs/>
                <w:color w:val="auto"/>
                <w:sz w:val="22"/>
                <w:highlight w:val="none"/>
                <w:lang w:eastAsia="zh-CN"/>
              </w:rPr>
              <w:t>其它劳务人员，以满足现场巡视要求为准</w:t>
            </w:r>
          </w:p>
        </w:tc>
      </w:tr>
    </w:tbl>
    <w:p>
      <w:pPr>
        <w:keepNext w:val="0"/>
        <w:keepLines w:val="0"/>
        <w:pageBreakBefore w:val="0"/>
        <w:kinsoku/>
        <w:wordWrap/>
        <w:topLinePunct w:val="0"/>
        <w:bidi w:val="0"/>
        <w:spacing w:line="600" w:lineRule="exact"/>
        <w:ind w:firstLine="548" w:firstLineChars="196"/>
        <w:contextualSpacing/>
        <w:jc w:val="left"/>
        <w:outlineLvl w:val="2"/>
        <w:rPr>
          <w:rFonts w:hint="eastAsia" w:ascii="Times New Roman" w:hAnsi="Times New Roman" w:eastAsia="方正仿宋_GBK" w:cs="Times New Roman"/>
          <w:b w:val="0"/>
          <w:bCs w:val="0"/>
          <w:sz w:val="28"/>
          <w:szCs w:val="28"/>
          <w:highlight w:val="none"/>
          <w:lang w:eastAsia="zh-CN"/>
        </w:rPr>
      </w:pPr>
      <w:r>
        <w:rPr>
          <w:rFonts w:hint="default" w:ascii="Times New Roman" w:hAnsi="Times New Roman" w:eastAsia="方正仿宋_GBK" w:cs="Times New Roman"/>
          <w:b w:val="0"/>
          <w:bCs w:val="0"/>
          <w:sz w:val="28"/>
          <w:szCs w:val="28"/>
          <w:highlight w:val="none"/>
        </w:rPr>
        <w:t>备注：（1）在技术标书中附人员证书</w:t>
      </w:r>
      <w:r>
        <w:rPr>
          <w:rFonts w:hint="eastAsia" w:eastAsia="方正仿宋_GBK" w:cs="Times New Roman"/>
          <w:b w:val="0"/>
          <w:bCs w:val="0"/>
          <w:sz w:val="28"/>
          <w:szCs w:val="28"/>
          <w:highlight w:val="none"/>
          <w:lang w:eastAsia="zh-CN"/>
        </w:rPr>
        <w:t>；</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（2）上表中的人员，响应人应作出承诺，项目实施期间中标人按规定为</w:t>
      </w:r>
      <w:r>
        <w:rPr>
          <w:rFonts w:hint="eastAsia" w:eastAsia="方正仿宋_GBK" w:cs="Times New Roman"/>
          <w:b w:val="0"/>
          <w:bCs w:val="0"/>
          <w:sz w:val="28"/>
          <w:szCs w:val="28"/>
          <w:highlight w:val="none"/>
          <w:lang w:eastAsia="zh-CN"/>
        </w:rPr>
        <w:t>其</w:t>
      </w:r>
      <w:r>
        <w:rPr>
          <w:rFonts w:hint="default" w:ascii="Times New Roman" w:hAnsi="Times New Roman" w:eastAsia="方正仿宋_GBK" w:cs="Times New Roman"/>
          <w:b w:val="0"/>
          <w:bCs w:val="0"/>
          <w:sz w:val="28"/>
          <w:szCs w:val="28"/>
          <w:highlight w:val="none"/>
        </w:rPr>
        <w:t>缴纳社保。</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5</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 xml:space="preserve"> 设备要求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临港新片区景观照明养护设施现主要分布在核心区域及重点区域内。</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711"/>
        <w:gridCol w:w="1135"/>
        <w:gridCol w:w="2255"/>
        <w:gridCol w:w="2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设备名称</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单位</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strike/>
                <w:color w:val="auto"/>
                <w:sz w:val="22"/>
                <w:highlight w:val="none"/>
              </w:rPr>
            </w:pPr>
            <w:r>
              <w:rPr>
                <w:rFonts w:hint="default" w:ascii="Times New Roman" w:hAnsi="Times New Roman" w:eastAsia="宋体" w:cs="Times New Roman"/>
                <w:b/>
                <w:color w:val="auto"/>
                <w:sz w:val="22"/>
                <w:highlight w:val="none"/>
              </w:rPr>
              <w:t>数量要求</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配置要求</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登高车</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登高25米以上曲臂型</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自有或承诺按养护需求租赁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工程车</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辆</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5吨及以上的</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自有或承诺按养护需求租赁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巡查车</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辆</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自有或承诺按养护需求租赁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冲击钻</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4</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柴油发电机</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电焊机</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2</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切割机</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2</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万用表</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只</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8</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pStyle w:val="487"/>
              <w:keepNext w:val="0"/>
              <w:keepLines w:val="0"/>
              <w:pageBreakBefore w:val="0"/>
              <w:widowControl w:val="0"/>
              <w:kinsoku/>
              <w:wordWrap/>
              <w:overflowPunct/>
              <w:topLinePunct w:val="0"/>
              <w:autoSpaceDE/>
              <w:autoSpaceDN/>
              <w:bidi w:val="0"/>
              <w:spacing w:before="9" w:line="240" w:lineRule="auto"/>
              <w:ind w:left="151" w:leftChars="0"/>
              <w:jc w:val="center"/>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highlight w:val="none"/>
                <w:lang w:eastAsia="zh-CN"/>
              </w:rPr>
              <w:t>便携式应急储能电源</w:t>
            </w:r>
          </w:p>
        </w:tc>
        <w:tc>
          <w:tcPr>
            <w:tcW w:w="417" w:type="pct"/>
            <w:vAlign w:val="center"/>
          </w:tcPr>
          <w:p>
            <w:pPr>
              <w:pStyle w:val="487"/>
              <w:keepNext w:val="0"/>
              <w:keepLines w:val="0"/>
              <w:pageBreakBefore w:val="0"/>
              <w:widowControl w:val="0"/>
              <w:kinsoku/>
              <w:wordWrap/>
              <w:overflowPunct/>
              <w:topLinePunct w:val="0"/>
              <w:autoSpaceDE/>
              <w:autoSpaceDN/>
              <w:bidi w:val="0"/>
              <w:spacing w:before="9" w:line="240" w:lineRule="auto"/>
              <w:ind w:right="5" w:rightChars="0"/>
              <w:jc w:val="center"/>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sz w:val="21"/>
                <w:szCs w:val="21"/>
                <w:highlight w:val="none"/>
                <w:lang w:eastAsia="zh-CN"/>
              </w:rPr>
              <w:t>台</w:t>
            </w:r>
          </w:p>
        </w:tc>
        <w:tc>
          <w:tcPr>
            <w:tcW w:w="666" w:type="pct"/>
            <w:vAlign w:val="center"/>
          </w:tcPr>
          <w:p>
            <w:pPr>
              <w:pStyle w:val="487"/>
              <w:keepNext w:val="0"/>
              <w:keepLines w:val="0"/>
              <w:pageBreakBefore w:val="0"/>
              <w:widowControl w:val="0"/>
              <w:kinsoku/>
              <w:wordWrap/>
              <w:overflowPunct/>
              <w:topLinePunct w:val="0"/>
              <w:autoSpaceDE/>
              <w:autoSpaceDN/>
              <w:bidi w:val="0"/>
              <w:spacing w:before="9" w:line="240" w:lineRule="auto"/>
              <w:ind w:right="2" w:rightChars="0"/>
              <w:jc w:val="center"/>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highlight w:val="none"/>
                <w:lang w:eastAsia="zh-CN"/>
              </w:rPr>
              <w:t>1</w:t>
            </w:r>
          </w:p>
        </w:tc>
        <w:tc>
          <w:tcPr>
            <w:tcW w:w="1323" w:type="pct"/>
            <w:vAlign w:val="center"/>
          </w:tcPr>
          <w:p>
            <w:pPr>
              <w:pStyle w:val="487"/>
              <w:keepNext w:val="0"/>
              <w:keepLines w:val="0"/>
              <w:pageBreakBefore w:val="0"/>
              <w:widowControl w:val="0"/>
              <w:kinsoku/>
              <w:wordWrap/>
              <w:overflowPunct/>
              <w:topLinePunct w:val="0"/>
              <w:autoSpaceDE/>
              <w:autoSpaceDN/>
              <w:bidi w:val="0"/>
              <w:spacing w:before="9" w:line="240" w:lineRule="auto"/>
              <w:ind w:left="405" w:leftChars="0"/>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highlight w:val="none"/>
                <w:lang w:eastAsia="zh-CN"/>
              </w:rPr>
              <w:t>状态良好</w:t>
            </w:r>
          </w:p>
        </w:tc>
        <w:tc>
          <w:tcPr>
            <w:tcW w:w="1678"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color w:val="auto"/>
                <w:szCs w:val="21"/>
                <w:highlight w:val="none"/>
              </w:rPr>
              <w:t>建议20度以上</w:t>
            </w:r>
          </w:p>
        </w:tc>
      </w:tr>
    </w:tbl>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注：（1）上述设备中车辆的尾气排放标准必须符合国家和上海市的有关标准。严禁使用黄标车车辆。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宋体" w:cs="Times New Roman"/>
          <w:color w:val="auto"/>
          <w:sz w:val="22"/>
          <w:highlight w:val="none"/>
        </w:rPr>
      </w:pP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上述机械设备或作业车辆应满足需求中的数量要求、配置要求，提供如车辆行驶证或购买发票或采购合同或租赁合同等证明材料（关键页一定要清晰可辨认）。供应商若无自有机械设备、作业车辆的，应提供成交后1个月内解决满足本项目需求的机械设备、作业车辆的承诺。</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6</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安全文明作业及应急处置要求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上海市户外设施安全管理工作的要求，中标单位做好全年的安全防范养护工作，应委托具有专业资质</w:t>
      </w:r>
      <w:r>
        <w:rPr>
          <w:rFonts w:hint="eastAsia" w:eastAsia="方正仿宋_GBK" w:cs="Times New Roman"/>
          <w:b w:val="0"/>
          <w:bCs w:val="0"/>
          <w:sz w:val="28"/>
          <w:szCs w:val="28"/>
          <w:highlight w:val="none"/>
          <w:lang w:eastAsia="zh-CN"/>
        </w:rPr>
        <w:t>的</w:t>
      </w:r>
      <w:r>
        <w:rPr>
          <w:rFonts w:hint="default" w:ascii="Times New Roman" w:hAnsi="Times New Roman" w:eastAsia="方正仿宋_GBK" w:cs="Times New Roman"/>
          <w:b w:val="0"/>
          <w:bCs w:val="0"/>
          <w:sz w:val="28"/>
          <w:szCs w:val="28"/>
          <w:highlight w:val="none"/>
        </w:rPr>
        <w:t>检测单位对标段内设施进行安全检测工作，对照明设施出具《户外设施安全检测</w:t>
      </w:r>
      <w:r>
        <w:rPr>
          <w:rFonts w:hint="default" w:ascii="Times New Roman" w:hAnsi="Times New Roman" w:eastAsia="方正仿宋_GBK" w:cs="Times New Roman"/>
          <w:b w:val="0"/>
          <w:bCs w:val="0"/>
          <w:sz w:val="28"/>
          <w:szCs w:val="28"/>
          <w:highlight w:val="none"/>
          <w:lang w:eastAsia="zh-CN"/>
        </w:rPr>
        <w:t>自查</w:t>
      </w:r>
      <w:r>
        <w:rPr>
          <w:rFonts w:hint="default" w:ascii="Times New Roman" w:hAnsi="Times New Roman" w:eastAsia="方正仿宋_GBK" w:cs="Times New Roman"/>
          <w:b w:val="0"/>
          <w:bCs w:val="0"/>
          <w:sz w:val="28"/>
          <w:szCs w:val="28"/>
          <w:highlight w:val="none"/>
        </w:rPr>
        <w:t>报告》。安全检测工作主要包括对包件内5%电气回路、绝缘电阻、断路器、熔断器、空气开关、避雷器、电箱等设施的电气性能和灯具固定支架强度、刚度、抗倾覆性能等技术指标进行安全检测。</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lang w:eastAsia="zh-CN"/>
        </w:rPr>
      </w:pPr>
      <w:r>
        <w:rPr>
          <w:rFonts w:hint="default" w:ascii="Times New Roman" w:hAnsi="Times New Roman" w:eastAsia="方正仿宋_GBK" w:cs="Times New Roman"/>
          <w:b/>
          <w:bCs/>
          <w:sz w:val="28"/>
          <w:szCs w:val="28"/>
          <w:highlight w:val="none"/>
          <w:lang w:val="en-US" w:eastAsia="zh-CN"/>
        </w:rPr>
        <w:t>7</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养护作业用房配备要求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为符合临港新片区沿线应急维修及突发事件的处置要求，投标人</w:t>
      </w:r>
      <w:r>
        <w:rPr>
          <w:rFonts w:hint="eastAsia" w:eastAsia="方正仿宋_GBK" w:cs="Times New Roman"/>
          <w:b w:val="0"/>
          <w:bCs w:val="0"/>
          <w:sz w:val="28"/>
          <w:szCs w:val="28"/>
          <w:highlight w:val="none"/>
          <w:lang w:eastAsia="zh-CN"/>
        </w:rPr>
        <w:t>应设置</w:t>
      </w:r>
      <w:r>
        <w:rPr>
          <w:rFonts w:hint="default" w:ascii="Times New Roman" w:hAnsi="Times New Roman" w:eastAsia="方正仿宋_GBK" w:cs="Times New Roman"/>
          <w:b w:val="0"/>
          <w:bCs w:val="0"/>
          <w:sz w:val="28"/>
          <w:szCs w:val="28"/>
          <w:highlight w:val="none"/>
        </w:rPr>
        <w:t>应急值班工作室和备品备件仓库。同时应确保应急值班工作室和备品备件仓库（由投标人自行提供）的使用安全和设施设备的完好，并承担使用期间的所有运行费用和房屋及设施设备的维修维护费用。</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8</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考核管理与服务要求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根据景观照明设施日常养护工作内容和要求，以及各项应急突发工作要求，制定本养护绩效工作考核细则。根据景观照明设施养护实际情况，本绩效考核为季度考核。</w:t>
      </w:r>
    </w:p>
    <w:tbl>
      <w:tblPr>
        <w:tblStyle w:val="4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1036"/>
        <w:gridCol w:w="3010"/>
        <w:gridCol w:w="740"/>
        <w:gridCol w:w="726"/>
        <w:gridCol w:w="2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trPr>
        <w:tc>
          <w:tcPr>
            <w:tcW w:w="561"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项目</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考核指标及评分细则</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满分</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综合测评</w:t>
            </w: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养护质量及要求（总分35分）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cs="Times New Roman"/>
                <w:bCs/>
                <w:color w:val="auto"/>
                <w:sz w:val="22"/>
                <w:highlight w:val="none"/>
              </w:rPr>
              <w:t>（一）按养护招标书及养护合同配备相应的工作人员及养护机械设备。如在抽查中，发现配备人员或养护机械设备低于要求的，每次扣2分。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（二）养护单位维修设施量应达到正常亮灯要求，即天天亮灯楼宇及公共部分达到95%。如楼宇单层层面灯具设施不亮的、公共区域部分每处节点发现有5套以上（含5套）灯具不亮的，每次扣1分。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有效开展日常巡查管理工作，及时发现设施故障、破损等异常情况，并予以修复。发生区级以上信访投诉件，已在日常巡查发现并修复的，且上报管理部门修复结果的，作不予扣分处理；如投诉内容在日常巡查中未自行发现并修复的，每次扣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（四）发现养护设施故障后，无特殊情况须在24小时内修复完毕，作不予扣分处理；遇特殊情况的，养护单位须主动报管理部门确认，作不予扣分处理；如未按要求执行的，每次扣1分。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“特殊情况”是指受恶劣天气影响、维修货源受市场采购影响等情况。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（五）因养护单位日常巡查及维修工作不到位，造成设施短路引发的线路熔断等现象的，造成一定社会影响的，每次扣3分。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“社会影响”指由公安、消防、街道安监办督导的事件。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（六）根据《上海市</w:t>
            </w:r>
            <w:r>
              <w:rPr>
                <w:rFonts w:hint="default" w:ascii="Times New Roman" w:hAnsi="Times New Roman" w:eastAsia="宋体" w:cs="Times New Roman"/>
                <w:bCs/>
                <w:color w:val="auto"/>
                <w:sz w:val="22"/>
                <w:highlight w:val="none"/>
              </w:rPr>
              <w:t>临港新片区</w:t>
            </w:r>
            <w:r>
              <w:rPr>
                <w:rFonts w:hint="default" w:ascii="Times New Roman" w:hAnsi="Times New Roman" w:eastAsia="宋体" w:cs="Times New Roman"/>
                <w:bCs/>
                <w:color w:val="auto"/>
                <w:sz w:val="22"/>
                <w:szCs w:val="20"/>
                <w:highlight w:val="none"/>
              </w:rPr>
              <w:t>景观照明设施养护管理制度》要求，须保持标段内设施外壳整洁，色彩统一、鲜亮的市容保障工作。如管理部门抽查中发现设施外观灰尘厚重、污浊严重、色彩杂乱、油漆脱落等现象的，每处扣1分。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“每处”是指招标文件中设施量清单对应的一处节点。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（七）做好灯具、线缆、控制箱等设备的防盗工作，如有异常，及时向当地警署报案。未及时报案和上报管理部门的，每次扣</w:t>
            </w:r>
            <w:r>
              <w:rPr>
                <w:rFonts w:hint="default" w:ascii="Times New Roman" w:hAnsi="Times New Roman" w:eastAsia="宋体" w:cs="Times New Roman"/>
                <w:bCs/>
                <w:color w:val="auto"/>
                <w:sz w:val="22"/>
                <w:szCs w:val="20"/>
                <w:highlight w:val="none"/>
                <w:lang w:val="en-US" w:eastAsia="zh-CN"/>
              </w:rPr>
              <w:t>1</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（八）确保养护设施无线信号设备完好，发现联网设备故障，须及时</w:t>
            </w:r>
            <w:r>
              <w:rPr>
                <w:rFonts w:hint="default" w:ascii="Times New Roman" w:hAnsi="Times New Roman" w:eastAsia="宋体" w:cs="Times New Roman"/>
                <w:bCs/>
                <w:color w:val="auto"/>
                <w:sz w:val="22"/>
                <w:szCs w:val="20"/>
                <w:highlight w:val="none"/>
                <w:lang w:val="en-US" w:eastAsia="zh-CN"/>
              </w:rPr>
              <w:t>与控制中心联系</w:t>
            </w:r>
            <w:r>
              <w:rPr>
                <w:rFonts w:hint="default" w:ascii="Times New Roman" w:hAnsi="Times New Roman" w:eastAsia="宋体" w:cs="Times New Roman"/>
                <w:bCs/>
                <w:color w:val="auto"/>
                <w:sz w:val="22"/>
                <w:szCs w:val="20"/>
                <w:highlight w:val="none"/>
              </w:rPr>
              <w:t>。如联网设备故障影响正常亮灯，且</w:t>
            </w:r>
            <w:r>
              <w:rPr>
                <w:rFonts w:hint="default" w:ascii="Times New Roman" w:hAnsi="Times New Roman" w:eastAsia="宋体" w:cs="Times New Roman"/>
                <w:bCs/>
                <w:color w:val="auto"/>
                <w:sz w:val="22"/>
                <w:szCs w:val="20"/>
                <w:highlight w:val="none"/>
                <w:lang w:val="en-US" w:eastAsia="zh-CN"/>
              </w:rPr>
              <w:t>控制</w:t>
            </w:r>
            <w:r>
              <w:rPr>
                <w:rFonts w:hint="default" w:ascii="Times New Roman" w:hAnsi="Times New Roman" w:eastAsia="宋体" w:cs="Times New Roman"/>
                <w:bCs/>
                <w:color w:val="auto"/>
                <w:sz w:val="22"/>
                <w:szCs w:val="20"/>
                <w:highlight w:val="none"/>
              </w:rPr>
              <w:t>中心无报修记录的，每次扣1分。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（九）发生养护设施附属载体单位提出的变更需求事项，养护单位应配合申请单位与管理部门完成相关手续工作。如养护单位未发现其养护设施被擅自拆除或变动，没有报送管理部门的，每次扣2分。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（十）根据养护合同，养护单位须配备相应存货仓库及相应备品备件等。未配备配齐的，维修中以无备货为由提出延缓维修的，每次扣1分。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（十一）每年更换的养护设施，须与标书内设施量清单产品品牌、型号、外观和性能相一致。如有变更的，须经管理部门认可后再实施。擅自变更的，一经发现，扣1分。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（十二）每月养护工作例会应由公司负责人1名及现场养护负责人1名参加。无法准时参加的，须向管理部门请假。无故缺席的，每人次扣1分。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（十三）响应管理部门交办的其他应急工作。未按时按要求完成的，每次扣1分。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亮灯启闭工作（总分20分）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（一）在重大活动亮灯期间，养护单位须准时报告启亮及关闭情况。未准时报告的，每次扣2分。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“重大活动”是指有亮灯通知的、周末亮灯的。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执行II级以上亮灯任务时，养护单位须提前做好现场自检工作，当天亮灯前上报《亮灯前自查情况表》；每次亮灯任务结束后，在2个工作日内上报《亮灯后总结情况表》。未按启闭工作要求的，《亮灯前自查情况表》或《亮灯后总结情况表》缺报的，每份文件扣0.5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（三）亮灯期间，养护单位须在20分钟内到达养护现场，并开展突发应急事项的处理。未满足的，每次扣3分。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6</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（四）亮灯期间，养护设施突发跳闸应急情况的，应在1小时内处理完毕。因无法在时限内到达跳闸点的，须报管理部门。如未及时处理且未上报的，每次扣1分。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（五）在亮灯期间，管理部门对养护单位开展亮灯情况的现场抽查。如现场养护人员知晓率低，巡查不到位，一问三不知的，对该养护公司做缺岗处理，每缺岗一次扣2分。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廉政工作（总分8分）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（一）养护单位应对养护工作人员开展廉政纪律教育，做好会议和教育记录。未开展廉政教育的，每次扣2分。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（二）杜绝与管理部门发生宴请、送礼等违反廉政要求的情况。如发生上述情况，扣4分。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安全责任（总分20分）</w:t>
            </w:r>
          </w:p>
        </w:tc>
        <w:tc>
          <w:tcPr>
            <w:tcW w:w="608"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rPr>
              <w:t>安全养护工作</w:t>
            </w:r>
            <w:r>
              <w:rPr>
                <w:rFonts w:hint="eastAsia" w:eastAsia="宋体" w:cs="Times New Roman"/>
                <w:bCs/>
                <w:color w:val="auto"/>
                <w:sz w:val="22"/>
                <w:szCs w:val="20"/>
                <w:highlight w:val="none"/>
                <w:lang w:eastAsia="zh-CN"/>
              </w:rPr>
              <w:t>（</w:t>
            </w:r>
            <w:r>
              <w:rPr>
                <w:rFonts w:hint="default" w:ascii="Times New Roman" w:hAnsi="Times New Roman" w:eastAsia="宋体" w:cs="Times New Roman"/>
                <w:bCs/>
                <w:color w:val="auto"/>
                <w:sz w:val="22"/>
                <w:szCs w:val="20"/>
                <w:highlight w:val="none"/>
              </w:rPr>
              <w:t>10分</w:t>
            </w:r>
            <w:r>
              <w:rPr>
                <w:rFonts w:hint="eastAsia" w:eastAsia="宋体" w:cs="Times New Roman"/>
                <w:bCs/>
                <w:color w:val="auto"/>
                <w:sz w:val="22"/>
                <w:szCs w:val="20"/>
                <w:highlight w:val="none"/>
                <w:lang w:eastAsia="zh-CN"/>
              </w:rPr>
              <w:t>）</w:t>
            </w: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（一）每月对养护范围内所有设施开展安全自查工作，并填报《安全工作月度表》。未按要求的，每次扣2分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6</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应确保养护设施不漏电、不坠落等现象；不发生人身伤害事故。如发生设施安全问题的，一次扣除4分。发生人身伤残事故的，则年度考核为不及格。发生人身死亡事故的，则根据养护标书直接取消养护资格。</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防汛防台和应急工作（6分）</w:t>
            </w: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（一）成立防汛防台和应急工作小组，并落实抢修人员、抢修物资。未按上述要求执行的，扣1分。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（二）在台风暴雨橙色预警前或突发应急抢修工作前，及时完成设备断电工作。未按上述要求执行的，扣</w:t>
            </w:r>
            <w:r>
              <w:rPr>
                <w:rFonts w:hint="default" w:ascii="Times New Roman" w:hAnsi="Times New Roman" w:eastAsia="宋体" w:cs="Times New Roman"/>
                <w:bCs/>
                <w:color w:val="auto"/>
                <w:sz w:val="22"/>
                <w:szCs w:val="20"/>
                <w:highlight w:val="none"/>
                <w:lang w:val="en-US" w:eastAsia="zh-CN"/>
              </w:rPr>
              <w:t>2</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（三）在台风汛期预警或应急响应时，启动24小时值班工作。未按上述要求执行的，扣</w:t>
            </w:r>
            <w:r>
              <w:rPr>
                <w:rFonts w:hint="default" w:ascii="Times New Roman" w:hAnsi="Times New Roman" w:eastAsia="宋体" w:cs="Times New Roman"/>
                <w:bCs/>
                <w:color w:val="auto"/>
                <w:sz w:val="22"/>
                <w:szCs w:val="20"/>
                <w:highlight w:val="none"/>
                <w:lang w:val="en-US" w:eastAsia="zh-CN"/>
              </w:rPr>
              <w:t>2</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（四）汛后或完成应急抢修工作后，应及时现场复查，并恢复设备供电。未按上述要求执行的，扣1分。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设施安全检测工作（</w:t>
            </w:r>
            <w:r>
              <w:rPr>
                <w:rFonts w:hint="default" w:ascii="Times New Roman" w:hAnsi="Times New Roman" w:eastAsia="宋体" w:cs="Times New Roman"/>
                <w:bCs/>
                <w:color w:val="auto"/>
                <w:sz w:val="22"/>
                <w:szCs w:val="20"/>
                <w:highlight w:val="none"/>
                <w:lang w:val="en-US" w:eastAsia="zh-CN"/>
              </w:rPr>
              <w:t>3</w:t>
            </w:r>
            <w:r>
              <w:rPr>
                <w:rFonts w:hint="default" w:ascii="Times New Roman" w:hAnsi="Times New Roman" w:eastAsia="宋体" w:cs="Times New Roman"/>
                <w:bCs/>
                <w:color w:val="auto"/>
                <w:sz w:val="22"/>
                <w:szCs w:val="20"/>
                <w:highlight w:val="none"/>
              </w:rPr>
              <w:t>分）</w:t>
            </w: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（五）每年汛前，根据养护单位所有设施安全自查结果，出具《安全</w:t>
            </w:r>
            <w:r>
              <w:rPr>
                <w:rFonts w:hint="default" w:ascii="Times New Roman" w:hAnsi="Times New Roman" w:eastAsia="宋体" w:cs="Times New Roman"/>
                <w:bCs/>
                <w:color w:val="auto"/>
                <w:sz w:val="22"/>
                <w:szCs w:val="20"/>
                <w:highlight w:val="none"/>
                <w:lang w:val="en-US" w:eastAsia="zh-CN"/>
              </w:rPr>
              <w:t>自查</w:t>
            </w:r>
            <w:r>
              <w:rPr>
                <w:rFonts w:hint="default" w:ascii="Times New Roman" w:hAnsi="Times New Roman" w:eastAsia="宋体" w:cs="Times New Roman"/>
                <w:bCs/>
                <w:color w:val="auto"/>
                <w:sz w:val="22"/>
                <w:szCs w:val="20"/>
                <w:highlight w:val="none"/>
              </w:rPr>
              <w:t>报告》。未按要求的，扣除</w:t>
            </w:r>
            <w:r>
              <w:rPr>
                <w:rFonts w:hint="default" w:ascii="Times New Roman" w:hAnsi="Times New Roman" w:eastAsia="宋体" w:cs="Times New Roman"/>
                <w:bCs/>
                <w:color w:val="auto"/>
                <w:sz w:val="22"/>
                <w:szCs w:val="20"/>
                <w:highlight w:val="none"/>
                <w:lang w:val="en-US" w:eastAsia="zh-CN"/>
              </w:rPr>
              <w:t>4</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台帐资料（总分8分）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（一）编制《景观照明养护年度工作计划》（包含每季度工作计划）。未提交上述台帐资料的，扣除3分。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（二）编制《景观灯光防汛防台应急工作预案》和管理部门要求的其他表格资料。未提交上述台帐资料的，扣除2分。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（三）每月按要求于养护工作例会时上报《景观照明标段常态养护巡查工作记录表（月报）》、《景观灯光养护计划表</w:t>
            </w:r>
            <w:r>
              <w:rPr>
                <w:rFonts w:hint="default" w:ascii="Times New Roman" w:hAnsi="Times New Roman" w:eastAsia="宋体" w:cs="Times New Roman"/>
                <w:bCs/>
                <w:color w:val="auto"/>
                <w:sz w:val="22"/>
                <w:szCs w:val="20"/>
                <w:highlight w:val="none"/>
                <w:lang w:eastAsia="zh-CN"/>
              </w:rPr>
              <w:t>（</w:t>
            </w:r>
            <w:r>
              <w:rPr>
                <w:rFonts w:hint="default" w:ascii="Times New Roman" w:hAnsi="Times New Roman" w:eastAsia="宋体" w:cs="Times New Roman"/>
                <w:bCs/>
                <w:color w:val="auto"/>
                <w:sz w:val="22"/>
                <w:szCs w:val="20"/>
                <w:highlight w:val="none"/>
                <w:lang w:val="en-US" w:eastAsia="zh-CN"/>
              </w:rPr>
              <w:t>季度）</w:t>
            </w:r>
            <w:r>
              <w:rPr>
                <w:rFonts w:hint="default" w:ascii="Times New Roman" w:hAnsi="Times New Roman" w:eastAsia="宋体" w:cs="Times New Roman"/>
                <w:bCs/>
                <w:color w:val="auto"/>
                <w:sz w:val="22"/>
                <w:szCs w:val="20"/>
                <w:highlight w:val="none"/>
              </w:rPr>
              <w:t>》、《景观照明设施用电记录表》、《景观照明设施亮灯检查记录表</w:t>
            </w:r>
            <w:r>
              <w:rPr>
                <w:rFonts w:hint="default" w:ascii="Times New Roman" w:hAnsi="Times New Roman" w:eastAsia="宋体" w:cs="Times New Roman"/>
                <w:bCs/>
                <w:color w:val="auto"/>
                <w:sz w:val="22"/>
                <w:szCs w:val="20"/>
                <w:highlight w:val="none"/>
                <w:lang w:eastAsia="zh-CN"/>
              </w:rPr>
              <w:t>（</w:t>
            </w:r>
            <w:r>
              <w:rPr>
                <w:rFonts w:hint="default" w:ascii="Times New Roman" w:hAnsi="Times New Roman" w:eastAsia="宋体" w:cs="Times New Roman"/>
                <w:bCs/>
                <w:color w:val="auto"/>
                <w:sz w:val="22"/>
                <w:szCs w:val="20"/>
                <w:highlight w:val="none"/>
                <w:lang w:val="en-US" w:eastAsia="zh-CN"/>
              </w:rPr>
              <w:t>重大亮灯）</w:t>
            </w:r>
            <w:r>
              <w:rPr>
                <w:rFonts w:hint="default" w:ascii="Times New Roman" w:hAnsi="Times New Roman" w:eastAsia="宋体" w:cs="Times New Roman"/>
                <w:bCs/>
                <w:color w:val="auto"/>
                <w:sz w:val="22"/>
                <w:szCs w:val="20"/>
                <w:highlight w:val="none"/>
              </w:rPr>
              <w:t>》。未提交上述台帐资料的，每次扣除1分。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文明作业要求（总分9分）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strike/>
                <w:color w:val="auto"/>
                <w:sz w:val="22"/>
                <w:szCs w:val="20"/>
                <w:highlight w:val="none"/>
              </w:rPr>
            </w:pPr>
            <w:r>
              <w:rPr>
                <w:rFonts w:hint="default" w:ascii="Times New Roman" w:hAnsi="Times New Roman" w:eastAsia="宋体" w:cs="Times New Roman"/>
                <w:bCs/>
                <w:color w:val="auto"/>
                <w:sz w:val="22"/>
                <w:szCs w:val="20"/>
                <w:highlight w:val="none"/>
              </w:rPr>
              <w:t>（一）应遵循《上海市建设工程文明管理暂行规定》以及其它有关安全、消防等管理办法的规定，文明作业。如违反上述规定，每次扣1分。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strike/>
                <w:color w:val="auto"/>
                <w:sz w:val="22"/>
                <w:szCs w:val="20"/>
                <w:highlight w:val="none"/>
              </w:rPr>
            </w:pPr>
            <w:r>
              <w:rPr>
                <w:rFonts w:hint="default" w:ascii="Times New Roman" w:hAnsi="Times New Roman" w:eastAsia="宋体" w:cs="Times New Roman"/>
                <w:bCs/>
                <w:color w:val="auto"/>
                <w:sz w:val="22"/>
                <w:szCs w:val="20"/>
                <w:highlight w:val="none"/>
              </w:rPr>
              <w:t>（二）自行建立和维持养护设施载体所属物业、业委会（业主）单位的工作联络关系，推进养护工作正常开展。造成相关冲突不利于工作开展的，每次扣1分。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（三）根据安全防范文明作业工作要求，作业时须戴安全帽、着反光服，并佩戴工作证，着装规范的实施现场养护工作，不符合上述规定的，发现一次扣1分。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总分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 xml:space="preserve">               </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100</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bl>
    <w:p>
      <w:pPr>
        <w:keepNext w:val="0"/>
        <w:keepLines w:val="0"/>
        <w:pageBreakBefore w:val="0"/>
        <w:kinsoku/>
        <w:wordWrap/>
        <w:topLinePunct w:val="0"/>
        <w:bidi w:val="0"/>
        <w:spacing w:line="600" w:lineRule="exact"/>
        <w:ind w:firstLine="560" w:firstLineChars="200"/>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考核标准：依据考核结果，按得分高低分为合格、不合格两个等级。</w:t>
      </w:r>
    </w:p>
    <w:tbl>
      <w:tblPr>
        <w:tblStyle w:val="4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3068"/>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b/>
                <w:bCs/>
                <w:color w:val="auto"/>
                <w:kern w:val="0"/>
                <w:sz w:val="22"/>
                <w:highlight w:val="none"/>
              </w:rPr>
            </w:pPr>
            <w:r>
              <w:rPr>
                <w:rFonts w:hint="default" w:ascii="Times New Roman" w:hAnsi="Times New Roman" w:eastAsia="宋体" w:cs="Times New Roman"/>
                <w:b/>
                <w:bCs/>
                <w:color w:val="auto"/>
                <w:kern w:val="0"/>
                <w:sz w:val="22"/>
                <w:highlight w:val="none"/>
              </w:rPr>
              <w:t>考核单位</w:t>
            </w:r>
          </w:p>
        </w:tc>
        <w:tc>
          <w:tcPr>
            <w:tcW w:w="18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b/>
                <w:bCs/>
                <w:color w:val="auto"/>
                <w:kern w:val="0"/>
                <w:sz w:val="22"/>
                <w:highlight w:val="none"/>
              </w:rPr>
            </w:pPr>
            <w:r>
              <w:rPr>
                <w:rFonts w:hint="default" w:ascii="Times New Roman" w:hAnsi="Times New Roman" w:eastAsia="宋体" w:cs="Times New Roman"/>
                <w:b/>
                <w:bCs/>
                <w:color w:val="auto"/>
                <w:kern w:val="0"/>
                <w:sz w:val="22"/>
                <w:highlight w:val="none"/>
              </w:rPr>
              <w:t>考核分</w:t>
            </w:r>
          </w:p>
        </w:tc>
        <w:tc>
          <w:tcPr>
            <w:tcW w:w="1799"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b/>
                <w:bCs/>
                <w:color w:val="auto"/>
                <w:kern w:val="0"/>
                <w:sz w:val="22"/>
                <w:highlight w:val="none"/>
              </w:rPr>
            </w:pPr>
            <w:r>
              <w:rPr>
                <w:rFonts w:hint="default" w:ascii="Times New Roman" w:hAnsi="Times New Roman" w:eastAsia="宋体" w:cs="Times New Roman"/>
                <w:b/>
                <w:bCs/>
                <w:color w:val="auto"/>
                <w:kern w:val="0"/>
                <w:sz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0" w:type="pct"/>
            <w:vMerge w:val="restar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中标单位</w:t>
            </w:r>
          </w:p>
        </w:tc>
        <w:tc>
          <w:tcPr>
            <w:tcW w:w="18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9</w:t>
            </w:r>
            <w:r>
              <w:rPr>
                <w:rFonts w:hint="default" w:ascii="Times New Roman" w:hAnsi="Times New Roman" w:eastAsia="宋体" w:cs="Times New Roman"/>
                <w:color w:val="auto"/>
                <w:kern w:val="0"/>
                <w:sz w:val="22"/>
                <w:highlight w:val="none"/>
                <w:lang w:val="en-US" w:eastAsia="zh-CN"/>
              </w:rPr>
              <w:t>0</w:t>
            </w:r>
            <w:r>
              <w:rPr>
                <w:rFonts w:hint="default" w:ascii="Times New Roman" w:hAnsi="Times New Roman" w:eastAsia="宋体" w:cs="Times New Roman"/>
                <w:color w:val="auto"/>
                <w:kern w:val="0"/>
                <w:sz w:val="22"/>
                <w:highlight w:val="none"/>
              </w:rPr>
              <w:t>分以上（含9</w:t>
            </w:r>
            <w:r>
              <w:rPr>
                <w:rFonts w:hint="default" w:ascii="Times New Roman" w:hAnsi="Times New Roman" w:eastAsia="宋体" w:cs="Times New Roman"/>
                <w:color w:val="auto"/>
                <w:kern w:val="0"/>
                <w:sz w:val="22"/>
                <w:highlight w:val="none"/>
                <w:lang w:val="en-US" w:eastAsia="zh-CN"/>
              </w:rPr>
              <w:t>0</w:t>
            </w:r>
            <w:r>
              <w:rPr>
                <w:rFonts w:hint="default" w:ascii="Times New Roman" w:hAnsi="Times New Roman" w:eastAsia="宋体" w:cs="Times New Roman"/>
                <w:color w:val="auto"/>
                <w:kern w:val="0"/>
                <w:sz w:val="22"/>
                <w:highlight w:val="none"/>
              </w:rPr>
              <w:t>分）</w:t>
            </w:r>
          </w:p>
        </w:tc>
        <w:tc>
          <w:tcPr>
            <w:tcW w:w="1799"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0" w:type="pct"/>
            <w:vMerge w:val="continue"/>
            <w:vAlign w:val="center"/>
          </w:tcPr>
          <w:p>
            <w:pPr>
              <w:keepNext w:val="0"/>
              <w:keepLines w:val="0"/>
              <w:pageBreakBefore w:val="0"/>
              <w:widowControl/>
              <w:kinsoku/>
              <w:wordWrap/>
              <w:topLinePunct w:val="0"/>
              <w:bidi w:val="0"/>
              <w:spacing w:line="600" w:lineRule="exact"/>
              <w:jc w:val="left"/>
              <w:rPr>
                <w:rFonts w:hint="default" w:ascii="Times New Roman" w:hAnsi="Times New Roman" w:eastAsia="宋体" w:cs="Times New Roman"/>
                <w:color w:val="auto"/>
                <w:kern w:val="0"/>
                <w:sz w:val="22"/>
                <w:highlight w:val="none"/>
              </w:rPr>
            </w:pPr>
          </w:p>
        </w:tc>
        <w:tc>
          <w:tcPr>
            <w:tcW w:w="18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9</w:t>
            </w:r>
            <w:r>
              <w:rPr>
                <w:rFonts w:hint="default" w:ascii="Times New Roman" w:hAnsi="Times New Roman" w:eastAsia="宋体" w:cs="Times New Roman"/>
                <w:color w:val="auto"/>
                <w:kern w:val="0"/>
                <w:sz w:val="22"/>
                <w:highlight w:val="none"/>
                <w:lang w:val="en-US" w:eastAsia="zh-CN"/>
              </w:rPr>
              <w:t>0</w:t>
            </w:r>
            <w:r>
              <w:rPr>
                <w:rFonts w:hint="default" w:ascii="Times New Roman" w:hAnsi="Times New Roman" w:eastAsia="宋体" w:cs="Times New Roman"/>
                <w:color w:val="auto"/>
                <w:kern w:val="0"/>
                <w:sz w:val="22"/>
                <w:highlight w:val="none"/>
              </w:rPr>
              <w:t>分以下</w:t>
            </w:r>
          </w:p>
        </w:tc>
        <w:tc>
          <w:tcPr>
            <w:tcW w:w="1799"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不合格</w:t>
            </w:r>
          </w:p>
        </w:tc>
      </w:tr>
    </w:tbl>
    <w:p>
      <w:pPr>
        <w:keepNext w:val="0"/>
        <w:keepLines w:val="0"/>
        <w:pageBreakBefore w:val="0"/>
        <w:kinsoku/>
        <w:wordWrap/>
        <w:topLinePunct w:val="0"/>
        <w:bidi w:val="0"/>
        <w:spacing w:line="600" w:lineRule="exact"/>
        <w:ind w:firstLine="560" w:firstLineChars="200"/>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考核等级结果达9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分以上（含9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分）的，按合同规定正常履行养护合同经费拨付。考核分数9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分以下，出具书面警告并扣留合同价1%。第二次考核分数9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分以下，出具第二书面警告，扣留合同价5%。同时，采购人有权终止服务合同，由此产生的一切法律后果及所有相关费用由景观照明设施养护单位承担。</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弄虚作假和发生安全事故的，采购人养护作业期间，发现中标人弄虚作假：没使用投标承诺的设施、虚报设施更换量、安全检查情况的、谎报开关灯等情况。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发生人身死亡安全事故的，景观照明设施养护单位发生上述两类情况的，采购人有权立刻终止承包合同，同时景观照明设施养护单位应承担相应的法律责任。</w:t>
      </w:r>
    </w:p>
    <w:p>
      <w:pPr>
        <w:keepNext w:val="0"/>
        <w:keepLines w:val="0"/>
        <w:pageBreakBefore w:val="0"/>
        <w:kinsoku/>
        <w:wordWrap/>
        <w:topLinePunct w:val="0"/>
        <w:bidi w:val="0"/>
        <w:spacing w:line="600" w:lineRule="exact"/>
        <w:ind w:firstLine="562" w:firstLineChars="200"/>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9</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内业资料编制管理要求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编制景观照明年度养护计划和养护总结；编制景观照明季度养护计划和养护经费使用计划</w:t>
      </w:r>
      <w:r>
        <w:rPr>
          <w:rFonts w:hint="default" w:ascii="Times New Roman" w:hAnsi="Times New Roman"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编制防汛防台应急工作预案和防台防汛工作总结；每周1次，按日常养护工作内容填写《周报表》；每月1次，按日常养护工作内容填写</w:t>
      </w:r>
      <w:r>
        <w:rPr>
          <w:rFonts w:hint="default" w:ascii="Times New Roman" w:hAnsi="Times New Roman" w:eastAsia="方正仿宋_GBK" w:cs="Times New Roman"/>
          <w:b w:val="0"/>
          <w:bCs w:val="0"/>
          <w:sz w:val="28"/>
          <w:szCs w:val="28"/>
          <w:highlight w:val="none"/>
          <w:lang w:eastAsia="zh-CN"/>
        </w:rPr>
        <w:t>《安全工作月度表》、</w:t>
      </w:r>
      <w:r>
        <w:rPr>
          <w:rFonts w:hint="default" w:ascii="Times New Roman" w:hAnsi="Times New Roman" w:eastAsia="方正仿宋_GBK" w:cs="Times New Roman"/>
          <w:b w:val="0"/>
          <w:bCs w:val="0"/>
          <w:sz w:val="28"/>
          <w:szCs w:val="28"/>
          <w:highlight w:val="none"/>
        </w:rPr>
        <w:t>《月度报表》和《电表抄数表格》；提供年度景观照明设施</w:t>
      </w:r>
      <w:r>
        <w:rPr>
          <w:rFonts w:hint="default" w:ascii="Times New Roman" w:hAnsi="Times New Roman"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安全</w:t>
      </w:r>
      <w:r>
        <w:rPr>
          <w:rFonts w:hint="default" w:ascii="Times New Roman" w:hAnsi="Times New Roman" w:eastAsia="方正仿宋_GBK" w:cs="Times New Roman"/>
          <w:b w:val="0"/>
          <w:bCs w:val="0"/>
          <w:sz w:val="28"/>
          <w:szCs w:val="28"/>
          <w:highlight w:val="none"/>
          <w:lang w:val="en-US" w:eastAsia="zh-CN"/>
        </w:rPr>
        <w:t>自查</w:t>
      </w:r>
      <w:r>
        <w:rPr>
          <w:rFonts w:hint="default" w:ascii="Times New Roman" w:hAnsi="Times New Roman" w:eastAsia="方正仿宋_GBK" w:cs="Times New Roman"/>
          <w:b w:val="0"/>
          <w:bCs w:val="0"/>
          <w:sz w:val="28"/>
          <w:szCs w:val="28"/>
          <w:highlight w:val="none"/>
        </w:rPr>
        <w:t>报告</w:t>
      </w:r>
      <w:r>
        <w:rPr>
          <w:rFonts w:hint="default" w:ascii="Times New Roman" w:hAnsi="Times New Roman" w:eastAsia="方正仿宋_GBK" w:cs="Times New Roman"/>
          <w:b w:val="0"/>
          <w:bCs w:val="0"/>
          <w:sz w:val="28"/>
          <w:szCs w:val="28"/>
          <w:highlight w:val="none"/>
          <w:lang w:eastAsia="zh-CN"/>
        </w:rPr>
        <w:t>》</w:t>
      </w:r>
      <w:r>
        <w:rPr>
          <w:rFonts w:hint="eastAsia" w:eastAsia="方正仿宋_GBK" w:cs="Times New Roman"/>
          <w:b w:val="0"/>
          <w:bCs w:val="0"/>
          <w:sz w:val="28"/>
          <w:szCs w:val="28"/>
          <w:highlight w:val="none"/>
          <w:lang w:eastAsia="zh-CN"/>
        </w:rPr>
        <w:t>。</w:t>
      </w:r>
    </w:p>
    <w:p>
      <w:pPr>
        <w:keepNext w:val="0"/>
        <w:keepLines w:val="0"/>
        <w:pageBreakBefore w:val="0"/>
        <w:kinsoku/>
        <w:wordWrap/>
        <w:topLinePunct w:val="0"/>
        <w:bidi w:val="0"/>
        <w:spacing w:line="600" w:lineRule="exact"/>
        <w:ind w:firstLine="0" w:firstLineChars="0"/>
        <w:contextualSpacing/>
        <w:jc w:val="left"/>
        <w:outlineLvl w:val="2"/>
        <w:rPr>
          <w:rFonts w:hint="eastAsia" w:eastAsia="方正仿宋_GBK" w:cs="Times New Roman"/>
          <w:b w:val="0"/>
          <w:bCs w:val="0"/>
          <w:sz w:val="28"/>
          <w:szCs w:val="28"/>
          <w:highlight w:val="none"/>
          <w:lang w:eastAsia="zh-CN"/>
        </w:rPr>
      </w:pPr>
      <w:r>
        <w:rPr>
          <w:rFonts w:hint="eastAsia" w:eastAsia="方正仿宋_GBK" w:cs="Times New Roman"/>
          <w:b w:val="0"/>
          <w:bCs w:val="0"/>
          <w:sz w:val="28"/>
          <w:szCs w:val="28"/>
          <w:highlight w:val="none"/>
          <w:lang w:eastAsia="zh-CN"/>
        </w:rPr>
        <w:t>附件：</w:t>
      </w:r>
    </w:p>
    <w:p>
      <w:pPr>
        <w:keepNext w:val="0"/>
        <w:keepLines w:val="0"/>
        <w:pageBreakBefore w:val="0"/>
        <w:kinsoku/>
        <w:wordWrap/>
        <w:topLinePunct w:val="0"/>
        <w:bidi w:val="0"/>
        <w:spacing w:line="600" w:lineRule="exact"/>
        <w:ind w:firstLine="0" w:firstLineChars="0"/>
        <w:contextualSpacing/>
        <w:jc w:val="left"/>
        <w:outlineLvl w:val="2"/>
        <w:rPr>
          <w:rFonts w:hint="eastAsia" w:ascii="Times New Roman" w:hAnsi="Times New Roman" w:eastAsia="方正仿宋_GBK" w:cs="Times New Roman"/>
          <w:b w:val="0"/>
          <w:bCs w:val="0"/>
          <w:sz w:val="28"/>
          <w:szCs w:val="28"/>
          <w:highlight w:val="none"/>
          <w:lang w:eastAsia="zh-CN"/>
        </w:rPr>
      </w:pPr>
      <w:r>
        <w:rPr>
          <w:rFonts w:hint="eastAsia" w:eastAsia="方正仿宋_GBK" w:cs="Times New Roman"/>
          <w:b w:val="0"/>
          <w:bCs w:val="0"/>
          <w:sz w:val="28"/>
          <w:szCs w:val="28"/>
          <w:highlight w:val="none"/>
          <w:lang w:eastAsia="zh-CN"/>
        </w:rPr>
        <w:t>下文表格中的价格为设施设备</w:t>
      </w:r>
      <w:r>
        <w:rPr>
          <w:rFonts w:hint="default" w:ascii="Times New Roman" w:hAnsi="Times New Roman" w:eastAsia="方正仿宋_GBK" w:cs="Times New Roman"/>
          <w:bCs/>
          <w:sz w:val="28"/>
          <w:szCs w:val="28"/>
          <w:highlight w:val="none"/>
        </w:rPr>
        <w:t>运维养护</w:t>
      </w:r>
      <w:r>
        <w:rPr>
          <w:rFonts w:hint="eastAsia" w:eastAsia="方正仿宋_GBK" w:cs="Times New Roman"/>
          <w:bCs/>
          <w:sz w:val="28"/>
          <w:szCs w:val="28"/>
          <w:highlight w:val="none"/>
          <w:lang w:eastAsia="zh-CN"/>
        </w:rPr>
        <w:t>价格。</w:t>
      </w:r>
    </w:p>
    <w:tbl>
      <w:tblPr>
        <w:tblStyle w:val="49"/>
        <w:tblW w:w="834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8"/>
        <w:gridCol w:w="1171"/>
        <w:gridCol w:w="2696"/>
        <w:gridCol w:w="458"/>
        <w:gridCol w:w="734"/>
        <w:gridCol w:w="1053"/>
        <w:gridCol w:w="999"/>
        <w:gridCol w:w="7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8340" w:type="dxa"/>
            <w:gridSpan w:val="8"/>
            <w:tcBorders>
              <w:top w:val="single" w:color="000000" w:sz="8" w:space="0"/>
              <w:left w:val="single" w:color="000000" w:sz="8" w:space="0"/>
              <w:bottom w:val="nil"/>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4"/>
                <w:szCs w:val="24"/>
                <w:u w:val="none"/>
              </w:rPr>
            </w:pPr>
            <w:r>
              <w:rPr>
                <w:rFonts w:hint="eastAsia" w:ascii="宋体" w:hAnsi="宋体" w:eastAsia="宋体" w:cs="宋体"/>
                <w:b/>
                <w:bCs/>
                <w:i w:val="0"/>
                <w:iCs w:val="0"/>
                <w:color w:val="000000"/>
                <w:spacing w:val="0"/>
                <w:w w:val="100"/>
                <w:kern w:val="0"/>
                <w:sz w:val="24"/>
                <w:szCs w:val="24"/>
                <w:u w:val="none"/>
                <w:lang w:val="en-US" w:eastAsia="zh-CN" w:bidi="ar"/>
              </w:rPr>
              <w:t>2026年主城区景观灯光运维管理项目（景观带）设施量清单明细表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8340" w:type="dxa"/>
            <w:gridSpan w:val="8"/>
            <w:tcBorders>
              <w:top w:val="nil"/>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kern w:val="0"/>
                <w:sz w:val="24"/>
                <w:szCs w:val="24"/>
                <w:u w:val="none"/>
                <w:lang w:val="en-US" w:eastAsia="zh-CN" w:bidi="ar"/>
              </w:rPr>
            </w:pPr>
            <w:r>
              <w:rPr>
                <w:rFonts w:hint="eastAsia" w:ascii="宋体" w:hAnsi="宋体" w:eastAsia="宋体" w:cs="宋体"/>
                <w:b/>
                <w:bCs/>
                <w:i w:val="0"/>
                <w:iCs w:val="0"/>
                <w:color w:val="000000"/>
                <w:spacing w:val="0"/>
                <w:w w:val="100"/>
                <w:kern w:val="0"/>
                <w:sz w:val="24"/>
                <w:szCs w:val="24"/>
                <w:u w:val="none"/>
                <w:lang w:val="en-US" w:eastAsia="zh-CN" w:bidi="ar"/>
              </w:rPr>
              <w:t xml:space="preserve">（环湖景观及市政环一至环三桥梁景观照明） </w:t>
            </w:r>
          </w:p>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4"/>
                <w:szCs w:val="24"/>
                <w:u w:val="none"/>
              </w:rPr>
            </w:pPr>
            <w:r>
              <w:rPr>
                <w:rFonts w:hint="eastAsia" w:ascii="宋体" w:hAnsi="宋体" w:eastAsia="宋体" w:cs="宋体"/>
                <w:b/>
                <w:bCs/>
                <w:i w:val="0"/>
                <w:iCs w:val="0"/>
                <w:color w:val="000000"/>
                <w:spacing w:val="0"/>
                <w:w w:val="100"/>
                <w:kern w:val="0"/>
                <w:sz w:val="24"/>
                <w:szCs w:val="24"/>
                <w:u w:val="none"/>
                <w:lang w:val="en-US" w:eastAsia="zh-CN" w:bidi="ar"/>
              </w:rPr>
              <w:t xml:space="preserve">包件一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458"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17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分部分项</w:t>
            </w:r>
          </w:p>
        </w:tc>
        <w:tc>
          <w:tcPr>
            <w:tcW w:w="2696" w:type="dxa"/>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项目名称</w:t>
            </w:r>
          </w:p>
        </w:tc>
        <w:tc>
          <w:tcPr>
            <w:tcW w:w="45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734"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工程量</w:t>
            </w:r>
          </w:p>
        </w:tc>
        <w:tc>
          <w:tcPr>
            <w:tcW w:w="105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99"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771"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A港-景观桥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LED小功率线条投光灯-3W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0.3m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LED光束投光灯-18W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控制分机</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开关电源-240W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A港-1环一路（赤风桥）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樱花灯-12W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LED洗墙灯1-36W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0.5m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LED洗墙灯2-36W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0.3m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A港-2环二路（赤焰桥）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2"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LED格栅屏418平方米</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（含配线及硬件系统）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284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净尺寸138cm×96cm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LED洗墙灯灯2-18W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964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LED洗墙灯3-36W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 480W/24V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 320W/24V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格栅屏控制系统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A港-3环三路（赤辉桥）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2598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LED投光灯1-270W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kern w:val="0"/>
                <w:sz w:val="22"/>
                <w:szCs w:val="22"/>
                <w:u w:val="none"/>
                <w:lang w:val="en-US" w:eastAsia="zh-CN" w:bidi="ar"/>
              </w:rPr>
            </w:pPr>
            <w:r>
              <w:rPr>
                <w:rFonts w:hint="eastAsia" w:ascii="宋体" w:hAnsi="宋体" w:eastAsia="宋体" w:cs="宋体"/>
                <w:i w:val="0"/>
                <w:iCs w:val="0"/>
                <w:color w:val="000000"/>
                <w:spacing w:val="0"/>
                <w:w w:val="100"/>
                <w:kern w:val="0"/>
                <w:sz w:val="22"/>
                <w:szCs w:val="22"/>
                <w:u w:val="none"/>
                <w:lang w:val="en-US" w:eastAsia="zh-CN" w:bidi="ar"/>
              </w:rPr>
              <w:t>立杆</w:t>
            </w:r>
          </w:p>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投光灯</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LED投光灯2-18W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LED投光灯3-75W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LED投光灯5-240W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LED定制风车灯-90W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风车灯动态控制系统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B港-景观桥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1067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0.5m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LED小功率线条投光灯-3W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0.3m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LED线性投光灯-18W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控制分机</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B港 1环一路（橙和桥）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LED投光灯1-9W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LED灯泡-7W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室外挂壁</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B港 2环二路（橙满桥）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LED洗墙灯2-15W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0.5m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LED灯笼-6W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室外挂壁</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B港 3环三路（橙福桥）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372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LED投光灯1-9W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LED火焰灯-6W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室外挂壁</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C港 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LED大功率线条投光灯-24W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LED大功率线条投光灯-6W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0.3m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中央控制器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C港 1环一路（黄日桥）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380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LED洗墙灯1-18W/m</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（定制窗花使用）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0.5m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C港 2环二路（黄波桥）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LED洗墙灯1-18W/m</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（定制窗花使用）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C港 3环三路（黄霞桥）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LED投光灯1-9W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LED洗墙灯1-18W/m</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（定制窗花使用）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LED洗墙灯1-9W/0.5m</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（定制窗花使用）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D港 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大功率投光灯-72W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4000K</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大功率投光灯-100W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3000K</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开关电源240W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集成控制器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D港1环一路（绿丽桥）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765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LED投光灯3-75W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LED投光灯4-120W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LED透明互屏-300W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防水开关电源-350W/DC24V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D港 2环二路（绿荫桥）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270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图案投影灯-360W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D港 3环三路（绿园桥）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180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LED点光源-0.3W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446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防水开关电源-600W/DC24V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点光源无序星闪控制系统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E港 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单色埋地式条形投光灯-24W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3000K</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单色埋地式条形投光灯-8W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3000K</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全色埋地式条形投光灯-24W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全色埋地式条形投光灯-12W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 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LED小功率线条投光灯-3W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0.3m 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控制分机</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投影机</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户外恒温机柜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投影机控制服务器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8口工业交换机</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光电转换器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E港 1环一路（青祥桥）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288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防水开关电源-350W/DC24V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点光源无序星闪控制系统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E港 2环二路（青安桥）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LED图案洗墙灯-20W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E港 3环三路（青阜桥）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LED金沙洗墙灯-20W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防水开关电源-600W/DC24V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F港 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LED大功率线条投光灯-24W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LED大功率线条投光灯-6W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中央控制器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F港 1环一路（蓝云桥）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374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（定制窗花使用）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防水开关电源-350W/DC24V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F港 2环二路（蓝薇桥）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水波纹投影灯-350W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水波纹投影灯控制系统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F港 3环三路（蓝春桥）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472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G港 景观桥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LED大功率线条投光灯-24W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LED大功率线条投光灯-6W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LED小功率线条灯-12W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4000K</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LED小功率线条灯-3W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4000K</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立杆投光灯-100W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RGB</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中央控制器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控制器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智能配电柜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开关电源-300W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开关电源-240W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G港 1环一路（紫飞桥）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450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激光投影灯-25W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激光投影灯-立杆3.5米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防水开关电源-350W/DC24V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防水开关电源-600W/DC24V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激光投影灯控制系统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G港 2环二路（紫苑桥）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水晶柱灯-4W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LED半圆形壁灯-18W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G港 3环三路（紫英桥）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LED洗墙灯2-18W-1米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LED洗墙灯2-9W-0.5米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LED投光灯-9W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LED灯串</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防水开关电源-450W/DC24V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防水开关电源-600W/DC24V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星星串灯控制系统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灯具全彩控制系统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灯具远程联动控制系统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橄榄路-夏涟河桥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定制线性投影灯1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LED定制栏杆护栏灯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橄榄路-夏 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古棕路-夏涟河桥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定制荷花图案灯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定制线性投影灯2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古棕路-夏  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海港大道-春涟河桥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LED点光源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近场投影灯1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海港大道-春  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海港大道-夏涟河桥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定制桥体投影灯1</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（含防护罩、基础）</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立柱洗墙灯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LED洗墙灯2-0.3米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LED洗墙灯3-1米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LED洗墙灯3-0.3米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海港大道-夏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花柏路-夏涟河桥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立柱投光灯3</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定制线性投影灯4</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 4000k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 RGBW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LED像素点光源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2784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花柏路-夏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临港大道-春涟河桥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340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LED线性像素灯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234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近场投影灯2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LED泛光灯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临港大道-春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临港大道-夏涟河桥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LED像素点光源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临港大道-夏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杞青路-夏涟河桥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LED线性像素灯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杞青路-夏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申港大道-春涟河桥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 4000k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1m 24W RGBW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 4000K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立柱投光灯3</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 3000K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80W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定制桥体投影灯2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160W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共杆</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 </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申港大道-春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申港大道-夏涟河桥</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立柱投光灯1</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定制线性投影灯3</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214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LED洗墙灯2-0.5米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LED洗墙灯2-0.3米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LED像素点光源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LED大功率投光灯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LED萤火影像灯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 xml:space="preserve">申港大道-夏  </w:t>
            </w:r>
            <w:r>
              <w:rPr>
                <w:rFonts w:hint="eastAsia" w:ascii="宋体" w:hAnsi="宋体" w:eastAsia="宋体" w:cs="宋体"/>
                <w:i w:val="0"/>
                <w:iCs w:val="0"/>
                <w:color w:val="000000"/>
                <w:spacing w:val="0"/>
                <w:w w:val="100"/>
                <w:kern w:val="0"/>
                <w:sz w:val="22"/>
                <w:szCs w:val="22"/>
                <w:u w:val="none"/>
                <w:lang w:val="en-US" w:eastAsia="zh-CN" w:bidi="ar"/>
              </w:rPr>
              <w:br w:type="textWrapping"/>
            </w:r>
            <w:r>
              <w:rPr>
                <w:rFonts w:hint="eastAsia" w:ascii="宋体" w:hAnsi="宋体" w:eastAsia="宋体" w:cs="宋体"/>
                <w:i w:val="0"/>
                <w:iCs w:val="0"/>
                <w:color w:val="000000"/>
                <w:spacing w:val="0"/>
                <w:w w:val="100"/>
                <w:kern w:val="0"/>
                <w:sz w:val="22"/>
                <w:szCs w:val="22"/>
                <w:u w:val="none"/>
                <w:lang w:val="en-US" w:eastAsia="zh-CN" w:bidi="ar"/>
              </w:rPr>
              <w:t>智能照明控制柜</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景观照明控制终端箱（弱电）</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景观照明分控器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景观照明同步主控器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24V 350W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申港大道</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450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1208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防水型开关电源</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240W-AC220V/DC24V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B区景观带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498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LED照树灯2（单头）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C区景观带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317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293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LED照树灯2（单头）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D区景观带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170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237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LED照树灯2（单头）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LED窗框灯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255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 2700K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E1区景观带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LED照树灯2（单头）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LED窗框灯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 2700K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定制吊灯50W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E2区景观带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LED照树灯2（单头）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LED窗框灯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 2700K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LED投光灯（雕塑灯）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 1800K DC12V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F区景观带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614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341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LED照树灯2（单头）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RGBW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LED投光灯（雕塑灯）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61</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 1800K DC12V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LED线型灯具（廊架）</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1578</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 RGBW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LED线型灯具（廊架）</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2506</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 RGBW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37</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 RGBW DC24V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室外落地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G区景观带</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LED照树灯1（单头）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LED投光灯（雕塑灯）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23</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 1800K DC12V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湖心岛</w:t>
            </w: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LED照树灯（双头）</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120W 3000K AC220V</w:t>
            </w: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配电箱 室外挂壁</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8"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26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7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rPr>
        <w:tc>
          <w:tcPr>
            <w:tcW w:w="5517"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合计</w:t>
            </w:r>
          </w:p>
        </w:tc>
        <w:tc>
          <w:tcPr>
            <w:tcW w:w="1053"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both"/>
              <w:rPr>
                <w:rFonts w:hint="eastAsia" w:ascii="宋体" w:hAnsi="宋体" w:eastAsia="宋体" w:cs="宋体"/>
                <w:b/>
                <w:bCs/>
                <w:i w:val="0"/>
                <w:iCs w:val="0"/>
                <w:color w:val="000000"/>
                <w:spacing w:val="0"/>
                <w:w w:val="100"/>
                <w:sz w:val="22"/>
                <w:szCs w:val="22"/>
                <w:u w:val="none"/>
              </w:rPr>
            </w:pPr>
          </w:p>
        </w:tc>
        <w:tc>
          <w:tcPr>
            <w:tcW w:w="999"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both"/>
              <w:rPr>
                <w:rFonts w:hint="eastAsia" w:ascii="宋体" w:hAnsi="宋体" w:eastAsia="宋体" w:cs="宋体"/>
                <w:b/>
                <w:bCs/>
                <w:i w:val="0"/>
                <w:iCs w:val="0"/>
                <w:color w:val="000000"/>
                <w:spacing w:val="0"/>
                <w:w w:val="100"/>
                <w:sz w:val="22"/>
                <w:szCs w:val="22"/>
                <w:u w:val="none"/>
              </w:rPr>
            </w:pPr>
          </w:p>
        </w:tc>
        <w:tc>
          <w:tcPr>
            <w:tcW w:w="771"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tbl>
      <w:tblPr>
        <w:tblStyle w:val="49"/>
        <w:tblpPr w:leftFromText="180" w:rightFromText="180" w:vertAnchor="text" w:horzAnchor="page" w:tblpX="1830" w:tblpY="192"/>
        <w:tblOverlap w:val="never"/>
        <w:tblW w:w="8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6"/>
        <w:gridCol w:w="68"/>
        <w:gridCol w:w="3747"/>
        <w:gridCol w:w="458"/>
        <w:gridCol w:w="724"/>
        <w:gridCol w:w="1050"/>
        <w:gridCol w:w="991"/>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blHeader/>
        </w:trPr>
        <w:tc>
          <w:tcPr>
            <w:tcW w:w="826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（光影节--环湖泛光灯及集控）</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 xml:space="preserve">包件一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blHeader/>
        </w:trPr>
        <w:tc>
          <w:tcPr>
            <w:tcW w:w="466" w:type="dxa"/>
            <w:tcBorders>
              <w:top w:val="single" w:color="000000" w:sz="8"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3815" w:type="dxa"/>
            <w:gridSpan w:val="2"/>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458" w:type="dxa"/>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724" w:type="dxa"/>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工程量</w:t>
            </w:r>
          </w:p>
        </w:tc>
        <w:tc>
          <w:tcPr>
            <w:tcW w:w="1050" w:type="dxa"/>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9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756"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260" w:type="dxa"/>
            <w:gridSpan w:val="8"/>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A区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区域四：抛石堤岸（400米，后有绿化）</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260" w:type="dxa"/>
            <w:gridSpan w:val="8"/>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C区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区域二：抛石驳岸（155米）+直立驳岸（200米）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196</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定制LED投光灯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260" w:type="dxa"/>
            <w:gridSpan w:val="8"/>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D区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区域一：直立驳岸（386米）+抛石驳岸（610米）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定制LED投光灯</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156</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信号放大器 1路,DC24V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260" w:type="dxa"/>
            <w:gridSpan w:val="8"/>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E区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区域九：直立驳岸（92米）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88</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区域十：直立驳岸（49米）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260" w:type="dxa"/>
            <w:gridSpan w:val="8"/>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F区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B5</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区域六：直立驳岸（276米）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54</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55</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56</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36</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57</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58</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59</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60</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61</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62</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63</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B6</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区域七：直立驳岸（100米）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64</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65</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66</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67</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68</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69</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70</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71</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72</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34"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73</w:t>
            </w:r>
          </w:p>
        </w:tc>
        <w:tc>
          <w:tcPr>
            <w:tcW w:w="3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区域八：直立驳岸（266米）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260" w:type="dxa"/>
            <w:gridSpan w:val="8"/>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G区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B4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泛光照明  区域五：直立驳岸（一号码头300米，一号码头到绿丽港桥750米）</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LED洗墙灯-48W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913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87</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LED洗墙灯-24W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LED洗墙灯-12W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89</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开关电源 500W</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个</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90</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主控4G主控,AC220V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路由器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92</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GPS校时器,AC220V</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93</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分控器 8口</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94</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配电柜304不锈钢，2~8回路，含定时控制，含可远程抄表</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分控箱</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466" w:type="dxa"/>
            <w:tcBorders>
              <w:top w:val="single" w:color="000000" w:sz="4" w:space="0"/>
              <w:left w:val="single" w:color="000000" w:sz="8"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96</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集控</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72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75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281" w:type="dxa"/>
            <w:gridSpan w:val="3"/>
            <w:tcBorders>
              <w:top w:val="single" w:color="000000" w:sz="4" w:space="0"/>
              <w:left w:val="single" w:color="000000" w:sz="8" w:space="0"/>
              <w:bottom w:val="single" w:color="000000" w:sz="8"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4"/>
                <w:szCs w:val="24"/>
                <w:u w:val="none"/>
              </w:rPr>
            </w:pPr>
            <w:r>
              <w:rPr>
                <w:rFonts w:hint="eastAsia" w:ascii="宋体" w:hAnsi="宋体" w:eastAsia="宋体" w:cs="宋体"/>
                <w:b/>
                <w:bCs/>
                <w:i w:val="0"/>
                <w:iCs w:val="0"/>
                <w:color w:val="000000"/>
                <w:spacing w:val="0"/>
                <w:w w:val="100"/>
                <w:kern w:val="0"/>
                <w:sz w:val="24"/>
                <w:szCs w:val="24"/>
                <w:u w:val="none"/>
                <w:lang w:val="en-US" w:eastAsia="zh-CN" w:bidi="ar"/>
              </w:rPr>
              <w:t>小计</w:t>
            </w:r>
          </w:p>
        </w:tc>
        <w:tc>
          <w:tcPr>
            <w:tcW w:w="45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4"/>
                <w:szCs w:val="24"/>
                <w:u w:val="none"/>
              </w:rPr>
            </w:pPr>
          </w:p>
        </w:tc>
        <w:tc>
          <w:tcPr>
            <w:tcW w:w="724"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4"/>
                <w:szCs w:val="24"/>
                <w:u w:val="none"/>
              </w:rPr>
            </w:pPr>
          </w:p>
        </w:tc>
        <w:tc>
          <w:tcPr>
            <w:tcW w:w="1050"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4"/>
                <w:szCs w:val="24"/>
                <w:u w:val="none"/>
              </w:rPr>
            </w:pPr>
          </w:p>
        </w:tc>
        <w:tc>
          <w:tcPr>
            <w:tcW w:w="991"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both"/>
              <w:rPr>
                <w:rFonts w:hint="eastAsia" w:ascii="宋体" w:hAnsi="宋体" w:eastAsia="宋体" w:cs="宋体"/>
                <w:b/>
                <w:bCs/>
                <w:i w:val="0"/>
                <w:iCs w:val="0"/>
                <w:color w:val="000000"/>
                <w:spacing w:val="0"/>
                <w:w w:val="100"/>
                <w:sz w:val="24"/>
                <w:szCs w:val="24"/>
                <w:u w:val="none"/>
              </w:rPr>
            </w:pPr>
          </w:p>
        </w:tc>
        <w:tc>
          <w:tcPr>
            <w:tcW w:w="756"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tbl>
      <w:tblPr>
        <w:tblStyle w:val="49"/>
        <w:tblpPr w:leftFromText="180" w:rightFromText="180" w:vertAnchor="text" w:horzAnchor="page" w:tblpX="1772" w:tblpY="37"/>
        <w:tblOverlap w:val="never"/>
        <w:tblW w:w="8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7"/>
        <w:gridCol w:w="989"/>
        <w:gridCol w:w="3030"/>
        <w:gridCol w:w="550"/>
        <w:gridCol w:w="678"/>
        <w:gridCol w:w="808"/>
        <w:gridCol w:w="987"/>
        <w:gridCol w:w="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3" w:hRule="atLeast"/>
        </w:trPr>
        <w:tc>
          <w:tcPr>
            <w:tcW w:w="834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（光影节--湖心岛）</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57"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序号</w:t>
            </w:r>
          </w:p>
        </w:tc>
        <w:tc>
          <w:tcPr>
            <w:tcW w:w="989"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名称</w:t>
            </w:r>
          </w:p>
        </w:tc>
        <w:tc>
          <w:tcPr>
            <w:tcW w:w="303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规格内容</w:t>
            </w:r>
          </w:p>
        </w:tc>
        <w:tc>
          <w:tcPr>
            <w:tcW w:w="55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单位</w:t>
            </w:r>
          </w:p>
        </w:tc>
        <w:tc>
          <w:tcPr>
            <w:tcW w:w="67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数量</w:t>
            </w:r>
          </w:p>
        </w:tc>
        <w:tc>
          <w:tcPr>
            <w:tcW w:w="80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备注</w:t>
            </w:r>
          </w:p>
        </w:tc>
        <w:tc>
          <w:tcPr>
            <w:tcW w:w="98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单价（元）</w:t>
            </w:r>
          </w:p>
        </w:tc>
        <w:tc>
          <w:tcPr>
            <w:tcW w:w="841"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57" w:type="dxa"/>
            <w:vMerge w:val="restart"/>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全彩激光灯</w:t>
            </w: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1.品牌：CLEAR SHOW</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restart"/>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2.型号：W-RGB60</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3.光源:原装进口日本60W全彩</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4.光源寿命:&gt;10000小时光源型号:OEM-R-W60W</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5.发射角:&lt;1.2mrad</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6.光斑尺寸:5mm扫描振镜:专为动画定制超高速扫描振镜，可达40000次/秒</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7.扫描角度:&lt;60°</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8.防护等级:IP65</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57"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激光控制信号线</w:t>
            </w: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25芯带头ILDA专用线</w:t>
            </w:r>
          </w:p>
        </w:tc>
        <w:tc>
          <w:tcPr>
            <w:tcW w:w="55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条</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restart"/>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激光控制卡</w:t>
            </w: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品牌：穿山甲</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restart"/>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型号：FB4</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ILDA SD卡脱机播放</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全彩OLED显示屏</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支持DMX, ArtNet, ILDA, OSC, and CITP信号</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模块化，订制设计</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支持输出120Kpps振镜扫描信号</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支持6通道激光颜色输出</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改进激光信号输出算法，增加插值</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restart"/>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交换机</w:t>
            </w: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1.品牌：普联</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restart"/>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2.型号：TL-SG2024MP</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9"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3.TP-LINK24口千兆POE供电交换机企业级网络摄像头专用安防监控网线分线器</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vMerge w:val="restart"/>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灯光控制器</w:t>
            </w: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戴尔</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restart"/>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trPr>
        <w:tc>
          <w:tcPr>
            <w:tcW w:w="457" w:type="dxa"/>
            <w:vMerge w:val="continue"/>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(DELL)OptiPlex7000MFF/7010MFF商用办公图文财务13代迷你台式电脑主机i7-13700T/16G/512G/集显+蓝牙WIFI/定制</w:t>
            </w: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57"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三防机柜</w:t>
            </w:r>
          </w:p>
        </w:tc>
        <w:tc>
          <w:tcPr>
            <w:tcW w:w="303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定制600*800三防机柜</w:t>
            </w:r>
          </w:p>
        </w:tc>
        <w:tc>
          <w:tcPr>
            <w:tcW w:w="55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4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5704"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小计</w:t>
            </w:r>
          </w:p>
        </w:tc>
        <w:tc>
          <w:tcPr>
            <w:tcW w:w="80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87"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841"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bl>
    <w:p>
      <w:pPr>
        <w:spacing w:after="0"/>
        <w:rPr>
          <w:rFonts w:hint="eastAsia" w:ascii="宋体" w:hAnsi="宋体" w:eastAsia="宋体" w:cs="宋体"/>
          <w:spacing w:val="0"/>
          <w:w w:val="100"/>
          <w:sz w:val="18"/>
        </w:rPr>
      </w:pPr>
    </w:p>
    <w:tbl>
      <w:tblPr>
        <w:tblStyle w:val="49"/>
        <w:tblpPr w:leftFromText="180" w:rightFromText="180" w:vertAnchor="text" w:horzAnchor="page" w:tblpX="1786" w:tblpY="142"/>
        <w:tblOverlap w:val="never"/>
        <w:tblW w:w="83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
        <w:gridCol w:w="989"/>
        <w:gridCol w:w="3026"/>
        <w:gridCol w:w="542"/>
        <w:gridCol w:w="676"/>
        <w:gridCol w:w="807"/>
        <w:gridCol w:w="998"/>
        <w:gridCol w:w="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trPr>
        <w:tc>
          <w:tcPr>
            <w:tcW w:w="832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（滴水云厅）</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455"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989"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302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4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7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80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9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827"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LED洗墙灯（F01）</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24W/60°/RGBW（4000K）/DC24V/DMX512/1米6段</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572</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LED灯带(F02)</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 12W/120°/4000K/DC24V/DMX512/1米8段</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米</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1130</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LED灯带(F04)</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 12W/120°/4000K/DC24V/DMX512/1米8段</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米</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317</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LED投光灯(F05)</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 24W/60°/RGBW（4000K）/DC24V/DMX512/1米8段</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521</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LED洗墙灯(F06)</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 12W/0.3m/30*60°/RGBW(4000K)/DC24V/DMX512/1米8段</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米</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534</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both"/>
              <w:rPr>
                <w:rFonts w:hint="eastAsia" w:ascii="宋体" w:hAnsi="宋体" w:eastAsia="宋体" w:cs="宋体"/>
                <w:i w:val="0"/>
                <w:iCs w:val="0"/>
                <w:color w:val="000000"/>
                <w:spacing w:val="0"/>
                <w:w w:val="100"/>
                <w:sz w:val="20"/>
                <w:szCs w:val="20"/>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12路16A智能开关模块</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both"/>
              <w:rPr>
                <w:rFonts w:hint="eastAsia" w:ascii="宋体" w:hAnsi="宋体" w:eastAsia="宋体" w:cs="宋体"/>
                <w:i w:val="0"/>
                <w:iCs w:val="0"/>
                <w:color w:val="000000"/>
                <w:spacing w:val="0"/>
                <w:w w:val="100"/>
                <w:sz w:val="20"/>
                <w:szCs w:val="20"/>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12路20A智能开关模块</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both"/>
              <w:rPr>
                <w:rFonts w:hint="eastAsia" w:ascii="宋体" w:hAnsi="宋体" w:eastAsia="宋体" w:cs="宋体"/>
                <w:i w:val="0"/>
                <w:iCs w:val="0"/>
                <w:color w:val="000000"/>
                <w:spacing w:val="0"/>
                <w:w w:val="100"/>
                <w:sz w:val="20"/>
                <w:szCs w:val="20"/>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8路16A智能开关模块</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both"/>
              <w:rPr>
                <w:rFonts w:hint="eastAsia" w:ascii="宋体" w:hAnsi="宋体" w:eastAsia="宋体" w:cs="宋体"/>
                <w:i w:val="0"/>
                <w:iCs w:val="0"/>
                <w:color w:val="000000"/>
                <w:spacing w:val="0"/>
                <w:w w:val="100"/>
                <w:sz w:val="20"/>
                <w:szCs w:val="20"/>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450W/DC24V</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152</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600W/DC24V</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91</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灯光主控电脑</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网络交换机</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8口千兆</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光纤收发器</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45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9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分控器</w:t>
            </w:r>
          </w:p>
        </w:tc>
        <w:tc>
          <w:tcPr>
            <w:tcW w:w="30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DMX512 8口</w:t>
            </w:r>
          </w:p>
        </w:tc>
        <w:tc>
          <w:tcPr>
            <w:tcW w:w="5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827"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688"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807"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9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827"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tbl>
      <w:tblPr>
        <w:tblStyle w:val="49"/>
        <w:tblpPr w:leftFromText="180" w:rightFromText="180" w:vertAnchor="text" w:horzAnchor="page" w:tblpX="1772" w:tblpY="584"/>
        <w:tblOverlap w:val="never"/>
        <w:tblW w:w="8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5"/>
        <w:gridCol w:w="1257"/>
        <w:gridCol w:w="2288"/>
        <w:gridCol w:w="614"/>
        <w:gridCol w:w="609"/>
        <w:gridCol w:w="1028"/>
        <w:gridCol w:w="988"/>
        <w:gridCol w:w="10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9" w:hRule="atLeast"/>
        </w:trPr>
        <w:tc>
          <w:tcPr>
            <w:tcW w:w="834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（D区构筑物）</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trPr>
        <w:tc>
          <w:tcPr>
            <w:tcW w:w="465"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5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8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614"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09"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102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8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91"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LED洗墙灯-1m</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24W/m/3000K/IP65/DC24V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132</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LED洗墙灯-0.5m</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12W/0.5m/3000K/IP65/DC24V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32</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LED洗墙灯-1m</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18W/m/3000K/IP65/DC24V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LED洗墙灯-0.5m</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18W/0.5m/3000K/IP65/DC24V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LED洗墙灯-0.3m</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6W/0.3m/3000K/IP65/DC24V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LED射灯</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9W/3000K/IP65/DC24V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防水开关电源</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400w-DC24v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电表</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380V</w:t>
            </w: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时控器</w:t>
            </w: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46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2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9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5233"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102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8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91"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tbl>
      <w:tblPr>
        <w:tblStyle w:val="49"/>
        <w:tblpPr w:leftFromText="180" w:rightFromText="180" w:vertAnchor="text" w:horzAnchor="page" w:tblpX="1930" w:tblpY="54"/>
        <w:tblOverlap w:val="never"/>
        <w:tblW w:w="82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1240"/>
        <w:gridCol w:w="2263"/>
        <w:gridCol w:w="610"/>
        <w:gridCol w:w="610"/>
        <w:gridCol w:w="1013"/>
        <w:gridCol w:w="982"/>
        <w:gridCol w:w="1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824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（钟楼电子屏）</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462"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4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6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61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1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101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8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60"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室外全裸全彩LED显示屏</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AW2.5 pro</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m2</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控制处理系统</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AS V1.0</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计算机</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大屏防水智能配电柜</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前置放大器</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定压功率放大器</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电源时序控制器</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不锈钢机柜</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1800*600*500mm</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强电控制终端</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4G物联网卡</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 500M/月</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动态媒体控制器</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网络控制器</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景观照明配电箱</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1 </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台阶灯 L1</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2W/3000K/110°/向下偏配光/DC24V/IP67</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21 </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线型洗墙灯 L7</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20W/m/3000K/30°/DC24V/IP65</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40 </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线型洗墙灯 L7a</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10W/0.5m/3000K/30°/DC24V/IP65</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17 </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350W-DC24V</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2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w:t>
            </w:r>
          </w:p>
        </w:tc>
        <w:tc>
          <w:tcPr>
            <w:tcW w:w="2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60"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5185"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1013"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82"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60"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tbl>
      <w:tblPr>
        <w:tblStyle w:val="49"/>
        <w:tblpPr w:leftFromText="180" w:rightFromText="180" w:vertAnchor="text" w:horzAnchor="page" w:tblpX="1930" w:tblpY="37"/>
        <w:tblOverlap w:val="never"/>
        <w:tblW w:w="8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1241"/>
        <w:gridCol w:w="2281"/>
        <w:gridCol w:w="596"/>
        <w:gridCol w:w="611"/>
        <w:gridCol w:w="1015"/>
        <w:gridCol w:w="968"/>
        <w:gridCol w:w="10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826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（逐梦星辰雕塑）</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462"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4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8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9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1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1015"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6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86"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雕塑异形屏</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r>
              <w:rPr>
                <w:rFonts w:hint="eastAsia" w:ascii="宋体" w:hAnsi="宋体" w:eastAsia="宋体" w:cs="宋体"/>
                <w:i w:val="0"/>
                <w:iCs w:val="0"/>
                <w:color w:val="000000"/>
                <w:spacing w:val="0"/>
                <w:w w:val="100"/>
                <w:kern w:val="0"/>
                <w:sz w:val="20"/>
                <w:szCs w:val="20"/>
                <w:u w:val="none"/>
                <w:vertAlign w:val="superscript"/>
                <w:lang w:val="en-US" w:eastAsia="zh-CN"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25.3</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显示屏</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17寸</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电脑主机</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电表</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380v 三相</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控制箱</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46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4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庭院灯</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4.2m/40W/3000K/AC220v</w:t>
            </w:r>
          </w:p>
        </w:tc>
        <w:tc>
          <w:tcPr>
            <w:tcW w:w="5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6"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191"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1015"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6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6"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tbl>
      <w:tblPr>
        <w:tblStyle w:val="49"/>
        <w:tblpPr w:leftFromText="180" w:rightFromText="180" w:vertAnchor="text" w:horzAnchor="page" w:tblpX="1945" w:tblpY="257"/>
        <w:tblOverlap w:val="never"/>
        <w:tblW w:w="8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3"/>
        <w:gridCol w:w="1243"/>
        <w:gridCol w:w="2298"/>
        <w:gridCol w:w="580"/>
        <w:gridCol w:w="610"/>
        <w:gridCol w:w="1014"/>
        <w:gridCol w:w="968"/>
        <w:gridCol w:w="1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826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（月季园）</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463"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4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9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8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1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1014"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6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84"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350W-DC24V-防雨型</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开关电源箱</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400*300*200mm</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龟背灯</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2w/3000K/DC24V/IP65</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68</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香氛地埋灯</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20w/3000K/AC220V/IP65</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照树灯</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12w/3000K/DC24V/IP66</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57</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萤火虫灯</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20w/3000K/AC220V/IP66</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图案灯</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150w/3000K/AC220V/IP66</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洗墙灯</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15w/m/3000K/DC24V/IP66</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128.2</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瀑布灯串</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10w/m/RGBW/DC24V/IP66</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81.5</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63"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24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彩色硅胶灯带</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6w/m/3000k/DC24V/IP65</w:t>
            </w:r>
          </w:p>
        </w:tc>
        <w:tc>
          <w:tcPr>
            <w:tcW w:w="5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4"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5194"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1014"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68"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4"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tbl>
      <w:tblPr>
        <w:tblStyle w:val="49"/>
        <w:tblpPr w:leftFromText="180" w:rightFromText="180" w:vertAnchor="text" w:horzAnchor="page" w:tblpX="1945" w:tblpY="142"/>
        <w:tblOverlap w:val="never"/>
        <w:tblW w:w="82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4"/>
        <w:gridCol w:w="1242"/>
        <w:gridCol w:w="2286"/>
        <w:gridCol w:w="576"/>
        <w:gridCol w:w="622"/>
        <w:gridCol w:w="992"/>
        <w:gridCol w:w="963"/>
        <w:gridCol w:w="1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blHeader/>
        </w:trPr>
        <w:tc>
          <w:tcPr>
            <w:tcW w:w="822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（滴水湖广场）</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blHeader/>
        </w:trPr>
        <w:tc>
          <w:tcPr>
            <w:tcW w:w="454"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4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8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7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2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99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6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85"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8220" w:type="dxa"/>
            <w:gridSpan w:val="8"/>
            <w:tcBorders>
              <w:top w:val="nil"/>
              <w:left w:val="single" w:color="000000" w:sz="8"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 xml:space="preserve">  社会广场、空中连廊、空中广场、连廊、管理用房、共享大厅泛光照明工程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配电箱1ALFG1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nil"/>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配电箱1ALFG2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配电箱1ALFG3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配电箱1ALFG4</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配电箱2ALFG1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配电箱2ALFG2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配电箱2ALFG3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配电箱2ALFG4</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开关电源 </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350W-DC24V</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个</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755</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LED照树灯1</w:t>
            </w:r>
          </w:p>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B1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40W/3000K/AC220V/IP65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240</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LED地砖灯1</w:t>
            </w:r>
          </w:p>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B3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5W/RGBW/DC24V/IP65/DMX512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2532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kern w:val="0"/>
                <w:sz w:val="20"/>
                <w:szCs w:val="20"/>
                <w:u w:val="none"/>
                <w:lang w:val="en-US" w:eastAsia="zh-CN" w:bidi="ar"/>
              </w:rPr>
            </w:pPr>
            <w:r>
              <w:rPr>
                <w:rFonts w:hint="eastAsia" w:ascii="宋体" w:hAnsi="宋体" w:eastAsia="宋体" w:cs="宋体"/>
                <w:i w:val="0"/>
                <w:iCs w:val="0"/>
                <w:color w:val="000000"/>
                <w:spacing w:val="0"/>
                <w:w w:val="100"/>
                <w:kern w:val="0"/>
                <w:sz w:val="20"/>
                <w:szCs w:val="20"/>
                <w:u w:val="none"/>
                <w:lang w:val="en-US" w:eastAsia="zh-CN" w:bidi="ar"/>
              </w:rPr>
              <w:t>LED地砖灯2</w:t>
            </w:r>
          </w:p>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B4</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20W/RGBW/DC24V/IP65/DMX512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463</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LED点光源 B6</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1W/RGBW/DC24V/IP65/DMX512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918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120W/RGBW/AC220V/IP65/DMX512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120W/RGBW/AC220V/IP65/DMX512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55</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D4</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60W/3000K/AC220V/IP65/DMX512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55</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D6</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15W/3000K/AC220V/IP65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D7</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60W/3000K/AC220V/IP65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D10</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150W/3000K/AC220V/IP65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D11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200W/3000K/AC220V/IP65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图案灯分控器 </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智能协议转换器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图案灯信号放大器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DMX协议转换模块</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LED图案灯 E1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100W/7500K/AC220V/IP65/DMX512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26</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F1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20W/M/RGBW/DC24V/IP65/DMX512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1128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27</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F2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1954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F3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261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29</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F4</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 F5</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31</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1987</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32</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1222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903</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L4</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12W/M/RGBW/DC24V/IP65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1152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L7</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2026</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L9-1.5M</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15W/1.5M/3000K/DC24V/IP65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411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37</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L9-1M</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411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L9-0.5M</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5W/0.5M/3000K/DC24V/IP65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411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39</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LED下照筒灯 R1</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20W/3000K/AC220V/IP65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LED下照筒灯 R3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13W/4000K/AC220V/IP65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41</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主控器 </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DMX512主控器</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42</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分控器</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8口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76</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43</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分控箱</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412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44</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交换机</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8口千兆</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45</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交换机</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16口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46</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光纤收发器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47</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智能照明控制系统设备</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灯光效果服务器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49</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强电控制服务器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市政智能控制终端</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51</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机柜 42U</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52</w:t>
            </w:r>
          </w:p>
        </w:tc>
        <w:tc>
          <w:tcPr>
            <w:tcW w:w="1242"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信号放大器 </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1路,DC24V</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220" w:type="dxa"/>
            <w:gridSpan w:val="8"/>
            <w:tcBorders>
              <w:top w:val="single" w:color="000000" w:sz="4" w:space="0"/>
              <w:left w:val="single" w:color="000000" w:sz="8" w:space="0"/>
              <w:bottom w:val="nil"/>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 xml:space="preserve">  公交站台泛光照明工程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 1ALGJ-1</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54</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配电箱 1ALGJ-2</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55</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350W-DC24V</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个</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56</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 D8</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120W/M/RGBW（3000K）/AC220V/IP65/DMX512</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57</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F2</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643.65</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58</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F3</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59</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 F5</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60</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61</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L5</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12W/M/4000K/DC24V/IP65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62</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LED灯带 L7</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5W/M/3000K/DC24V/IP65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63</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LED下照筒灯 R2</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5W/4000K/AC220V/IP65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1436</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LED下照筒灯 R3</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13W/4000K/AC220V/IP65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488</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65</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主控器 </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DMX512主控器</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66</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核心交换机</w:t>
            </w:r>
          </w:p>
        </w:tc>
        <w:tc>
          <w:tcPr>
            <w:tcW w:w="2286"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67</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光纤收发器</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68</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智能照明控制系统设备</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69</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灯光效果服务器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70</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强电控制服务器</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71</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市政智能控制终端</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72</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机柜 42U</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73</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分控器 8口</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74</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分控箱</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75</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信号放大器 </w:t>
            </w:r>
          </w:p>
        </w:tc>
        <w:tc>
          <w:tcPr>
            <w:tcW w:w="22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1路,DC24V</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76</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 L10</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218.4</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54"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77</w:t>
            </w:r>
          </w:p>
        </w:tc>
        <w:tc>
          <w:tcPr>
            <w:tcW w:w="12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智能协议转换器</w:t>
            </w:r>
          </w:p>
        </w:tc>
        <w:tc>
          <w:tcPr>
            <w:tcW w:w="2286" w:type="dxa"/>
            <w:tcBorders>
              <w:top w:val="single" w:color="000000" w:sz="4" w:space="0"/>
              <w:left w:val="single" w:color="000000" w:sz="4" w:space="0"/>
              <w:bottom w:val="nil"/>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3" w:type="dxa"/>
            <w:tcBorders>
              <w:top w:val="single" w:color="000000" w:sz="4" w:space="0"/>
              <w:left w:val="single" w:color="000000" w:sz="4" w:space="0"/>
              <w:bottom w:val="nil"/>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85" w:type="dxa"/>
            <w:tcBorders>
              <w:top w:val="single" w:color="000000" w:sz="4" w:space="0"/>
              <w:left w:val="single" w:color="000000" w:sz="4" w:space="0"/>
              <w:bottom w:val="nil"/>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5180"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992"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63"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5"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tbl>
      <w:tblPr>
        <w:tblStyle w:val="49"/>
        <w:tblpPr w:leftFromText="180" w:rightFromText="180" w:vertAnchor="text" w:horzAnchor="page" w:tblpX="1945" w:tblpY="33"/>
        <w:tblOverlap w:val="never"/>
        <w:tblW w:w="8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7"/>
        <w:gridCol w:w="1247"/>
        <w:gridCol w:w="2280"/>
        <w:gridCol w:w="576"/>
        <w:gridCol w:w="621"/>
        <w:gridCol w:w="992"/>
        <w:gridCol w:w="961"/>
        <w:gridCol w:w="1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tblHeader/>
        </w:trPr>
        <w:tc>
          <w:tcPr>
            <w:tcW w:w="820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（滴水湖一号码头）</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44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4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8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7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2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99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6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7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8200"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滴水湖一号码头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3"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LED洗墙灯(L=1m）L1</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48w/m-RGBW(4000K)-12*55°-IP67-DMX512-1米8段</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198</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LED洗墙灯(L=1m）L1-1</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48w/m-RGBW(4000K)-25°-IP67-DMX512-1米8段</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306</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防水电源</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24v/500w</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电表</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380V 三相</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主控器</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个</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分控器</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DMX512 8口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个</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不锈钢防雨控制箱</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光纤收发器</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千兆</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对</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交换机</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千兆 8口</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个</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不锈钢防雨配电箱</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p>
            <w:pPr>
              <w:rPr>
                <w:rFonts w:hint="eastAsia" w:ascii="宋体" w:hAnsi="宋体" w:eastAsia="宋体" w:cs="宋体"/>
                <w:i w:val="0"/>
                <w:iCs w:val="0"/>
                <w:color w:val="000000"/>
                <w:spacing w:val="0"/>
                <w:w w:val="100"/>
                <w:sz w:val="20"/>
                <w:szCs w:val="20"/>
                <w:u w:val="none"/>
              </w:rPr>
            </w:pPr>
          </w:p>
          <w:p>
            <w:pPr>
              <w:rPr>
                <w:rFonts w:hint="eastAsia" w:ascii="宋体" w:hAnsi="宋体" w:eastAsia="宋体" w:cs="宋体"/>
                <w:i w:val="0"/>
                <w:iCs w:val="0"/>
                <w:color w:val="000000"/>
                <w:spacing w:val="0"/>
                <w:w w:val="100"/>
                <w:sz w:val="20"/>
                <w:szCs w:val="20"/>
                <w:u w:val="none"/>
              </w:rPr>
            </w:pPr>
          </w:p>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8200"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公共绿地泛光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5W/3500k/220v/IP65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560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长度：200mm</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LED埋地灯</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18W/3500k/220v/IP67</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49</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码头地埋灯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LED射灯</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6W/3500k/220v/IP65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336</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屋顶内檐口</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地埋灯</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9W/3500k/DC24V/IP67</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145</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路边</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灯带</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10w/m/3000K/DC24/IP65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3864</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屋顶栏杆和天窗</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LED洗墙灯-1m</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36w/m-3000K-10*60°-DC24V-IP67</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227</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LED洗墙灯-0.5m</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18w/0.5m-3000K-10*60°-DC24V-IP67</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LED洗墙灯-0.3m</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12w/0.3m-3000K-10*60°-DC24V-IP67</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63</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LED壁灯</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6w/-3000K-60°-AC220V-IP65</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525</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观众席</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LED洗墙灯(定制)</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18w/m-3000K-10*60°-DC24V-IP67</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364</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室内天窗打顶</w:t>
            </w: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2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筒灯</w:t>
            </w:r>
          </w:p>
        </w:tc>
        <w:tc>
          <w:tcPr>
            <w:tcW w:w="22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50w-3000K-60°-AC220V-IP44</w:t>
            </w: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5171"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tbl>
      <w:tblPr>
        <w:tblStyle w:val="49"/>
        <w:tblpPr w:leftFromText="180" w:rightFromText="180" w:vertAnchor="text" w:horzAnchor="page" w:tblpX="1959" w:tblpY="124"/>
        <w:tblOverlap w:val="never"/>
        <w:tblW w:w="8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5"/>
        <w:gridCol w:w="1267"/>
        <w:gridCol w:w="2281"/>
        <w:gridCol w:w="577"/>
        <w:gridCol w:w="621"/>
        <w:gridCol w:w="992"/>
        <w:gridCol w:w="961"/>
        <w:gridCol w:w="1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trPr>
        <w:tc>
          <w:tcPr>
            <w:tcW w:w="820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（云朵广场建筑）</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 w:hRule="atLeast"/>
        </w:trPr>
        <w:tc>
          <w:tcPr>
            <w:tcW w:w="425"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6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8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77"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2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99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6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7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LED侧面弯曲灯带（L1）</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10w/m/4000K/DC24V/IP67/DMX512</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580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LED顶面弯曲灯带（L2）</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16.8w/m/RGB+W4000K/DC24V/IP67/DMX512</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550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LED防水顶弯灯带（L3）</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14.7w/m/4000K/DC24V/IP68/DMX512</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287</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LED轮廓灯(T1)</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11w/m/4000K/DC24V/IP68/DMX512</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LED投光灯（TN）</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30w/4000K/44°/DC24V/IP65</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防水开关电源</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350W/DC24V</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防水开关电源</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20W/DC24V</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照明配电箱</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定制800*600*250mm</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分控器</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8口</w:t>
            </w: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GPRS主控器</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20"/>
                <w:szCs w:val="20"/>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4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26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无线收发组件</w:t>
            </w:r>
          </w:p>
        </w:tc>
        <w:tc>
          <w:tcPr>
            <w:tcW w:w="22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对</w:t>
            </w:r>
          </w:p>
        </w:tc>
        <w:tc>
          <w:tcPr>
            <w:tcW w:w="62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5171"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18"/>
                <w:szCs w:val="18"/>
                <w:u w:val="none"/>
              </w:rPr>
            </w:pPr>
            <w:r>
              <w:rPr>
                <w:rFonts w:hint="eastAsia" w:ascii="宋体" w:hAnsi="宋体" w:eastAsia="宋体" w:cs="宋体"/>
                <w:b/>
                <w:bCs/>
                <w:i w:val="0"/>
                <w:iCs w:val="0"/>
                <w:color w:val="000000"/>
                <w:spacing w:val="0"/>
                <w:w w:val="100"/>
                <w:kern w:val="0"/>
                <w:sz w:val="18"/>
                <w:szCs w:val="18"/>
                <w:u w:val="none"/>
                <w:lang w:val="en-US" w:eastAsia="zh-CN" w:bidi="ar"/>
              </w:rPr>
              <w:t>小计</w:t>
            </w:r>
          </w:p>
        </w:tc>
        <w:tc>
          <w:tcPr>
            <w:tcW w:w="9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18"/>
                <w:szCs w:val="18"/>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宋体" w:hAnsi="宋体" w:eastAsia="宋体" w:cs="宋体"/>
                <w:i w:val="0"/>
                <w:iCs w:val="0"/>
                <w:color w:val="000000"/>
                <w:spacing w:val="0"/>
                <w:w w:val="100"/>
                <w:sz w:val="18"/>
                <w:szCs w:val="18"/>
                <w:u w:val="none"/>
              </w:rPr>
            </w:pPr>
          </w:p>
        </w:tc>
      </w:tr>
    </w:tbl>
    <w:tbl>
      <w:tblPr>
        <w:tblStyle w:val="49"/>
        <w:tblpPr w:leftFromText="180" w:rightFromText="180" w:vertAnchor="text" w:horzAnchor="page" w:tblpX="1916" w:tblpY="37"/>
        <w:tblOverlap w:val="never"/>
        <w:tblW w:w="8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5"/>
        <w:gridCol w:w="1272"/>
        <w:gridCol w:w="2298"/>
        <w:gridCol w:w="581"/>
        <w:gridCol w:w="626"/>
        <w:gridCol w:w="1000"/>
        <w:gridCol w:w="969"/>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8260" w:type="dxa"/>
            <w:gridSpan w:val="8"/>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（600米示范段广场B栋建筑）</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435" w:type="dxa"/>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7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29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8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26"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1000"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69"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79"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435"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 -1m(X1a)</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36w/m/RGBW3000k/DC24V/IP66/DMX512</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295</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7" w:hRule="atLeast"/>
        </w:trPr>
        <w:tc>
          <w:tcPr>
            <w:tcW w:w="43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 -0.5m(X1b)</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18w/0.5m/RGBW3000k/DC24V/IP66/DMX512</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7" w:hRule="atLeast"/>
        </w:trPr>
        <w:tc>
          <w:tcPr>
            <w:tcW w:w="435"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LED洗墙灯 -0.3m(X1c)</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 12w/0.3m/RGBW3000k/DC24V/IP66/DMX512</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43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LED顶部弯曲灯带（L4）</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8.5w/m/RGB+W3000K/DC24V/IP68/DMX512</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390</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435"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LED顶部弯曲灯带（L5）</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10w/m/3000K/DC24V/IP65/DMX512</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140</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435"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防水开关电源</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350W/DC24V</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52</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43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照明配电箱</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定制800*600*250mm</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435"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分控器</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8口</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435"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主控器</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脱机</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435" w:type="dxa"/>
            <w:tcBorders>
              <w:top w:val="nil"/>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无线收发组件</w:t>
            </w:r>
          </w:p>
        </w:tc>
        <w:tc>
          <w:tcPr>
            <w:tcW w:w="229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千兆</w:t>
            </w:r>
          </w:p>
        </w:tc>
        <w:tc>
          <w:tcPr>
            <w:tcW w:w="58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对</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0"/>
                <w:szCs w:val="20"/>
                <w:u w:val="none"/>
              </w:rPr>
            </w:pPr>
          </w:p>
        </w:tc>
        <w:tc>
          <w:tcPr>
            <w:tcW w:w="1079"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5212" w:type="dxa"/>
            <w:gridSpan w:val="5"/>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1000"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69"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9"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tbl>
      <w:tblPr>
        <w:tblStyle w:val="49"/>
        <w:tblpPr w:leftFromText="180" w:rightFromText="180" w:vertAnchor="text" w:horzAnchor="page" w:tblpX="1916" w:tblpY="33"/>
        <w:tblOverlap w:val="never"/>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
        <w:gridCol w:w="440"/>
        <w:gridCol w:w="8"/>
        <w:gridCol w:w="1263"/>
        <w:gridCol w:w="2303"/>
        <w:gridCol w:w="583"/>
        <w:gridCol w:w="628"/>
        <w:gridCol w:w="1002"/>
        <w:gridCol w:w="971"/>
        <w:gridCol w:w="9"/>
        <w:gridCol w:w="10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8" w:hRule="atLeast"/>
          <w:tblHeader/>
        </w:trPr>
        <w:tc>
          <w:tcPr>
            <w:tcW w:w="8280" w:type="dxa"/>
            <w:gridSpan w:val="11"/>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2026年主城区景观灯光运维管理项目（景观带）设施量清单明细表</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（北岛</w:t>
            </w:r>
            <w:r>
              <w:rPr>
                <w:rFonts w:hint="eastAsia" w:ascii="宋体" w:hAnsi="宋体" w:cs="宋体"/>
                <w:b/>
                <w:bCs/>
                <w:i w:val="0"/>
                <w:iCs w:val="0"/>
                <w:color w:val="000000"/>
                <w:spacing w:val="0"/>
                <w:w w:val="100"/>
                <w:kern w:val="0"/>
                <w:sz w:val="22"/>
                <w:szCs w:val="22"/>
                <w:u w:val="none"/>
                <w:lang w:val="en-US" w:eastAsia="zh-CN" w:bidi="ar"/>
              </w:rPr>
              <w:t>3</w:t>
            </w:r>
            <w:r>
              <w:rPr>
                <w:rFonts w:hint="eastAsia" w:ascii="宋体" w:hAnsi="宋体" w:eastAsia="宋体" w:cs="宋体"/>
                <w:b/>
                <w:bCs/>
                <w:i w:val="0"/>
                <w:iCs w:val="0"/>
                <w:color w:val="000000"/>
                <w:spacing w:val="0"/>
                <w:w w:val="100"/>
                <w:kern w:val="0"/>
                <w:sz w:val="22"/>
                <w:szCs w:val="22"/>
                <w:u w:val="none"/>
                <w:lang w:val="en-US" w:eastAsia="zh-CN" w:bidi="ar"/>
              </w:rPr>
              <w:t>栋建筑</w:t>
            </w:r>
            <w:r>
              <w:rPr>
                <w:rFonts w:hint="eastAsia" w:ascii="宋体" w:hAnsi="宋体" w:cs="宋体"/>
                <w:b/>
                <w:bCs/>
                <w:i w:val="0"/>
                <w:iCs w:val="0"/>
                <w:color w:val="000000"/>
                <w:spacing w:val="0"/>
                <w:w w:val="100"/>
                <w:kern w:val="0"/>
                <w:sz w:val="22"/>
                <w:szCs w:val="22"/>
                <w:u w:val="none"/>
                <w:lang w:val="en-US" w:eastAsia="zh-CN" w:bidi="ar"/>
              </w:rPr>
              <w:t xml:space="preserve"> 除4号建筑外</w:t>
            </w:r>
            <w:r>
              <w:rPr>
                <w:rFonts w:hint="eastAsia" w:ascii="宋体" w:hAnsi="宋体" w:eastAsia="宋体" w:cs="宋体"/>
                <w:b/>
                <w:bCs/>
                <w:i w:val="0"/>
                <w:iCs w:val="0"/>
                <w:color w:val="000000"/>
                <w:spacing w:val="0"/>
                <w:w w:val="100"/>
                <w:kern w:val="0"/>
                <w:sz w:val="22"/>
                <w:szCs w:val="22"/>
                <w:u w:val="none"/>
                <w:lang w:val="en-US" w:eastAsia="zh-CN" w:bidi="ar"/>
              </w:rPr>
              <w:t>）</w:t>
            </w:r>
            <w:r>
              <w:rPr>
                <w:rFonts w:hint="eastAsia" w:ascii="宋体" w:hAnsi="宋体" w:eastAsia="宋体" w:cs="宋体"/>
                <w:b/>
                <w:bCs/>
                <w:i w:val="0"/>
                <w:iCs w:val="0"/>
                <w:color w:val="000000"/>
                <w:spacing w:val="0"/>
                <w:w w:val="100"/>
                <w:kern w:val="0"/>
                <w:sz w:val="22"/>
                <w:szCs w:val="22"/>
                <w:u w:val="none"/>
                <w:lang w:val="en-US" w:eastAsia="zh-CN" w:bidi="ar"/>
              </w:rPr>
              <w:br w:type="textWrapping"/>
            </w:r>
            <w:r>
              <w:rPr>
                <w:rFonts w:hint="eastAsia" w:ascii="宋体" w:hAnsi="宋体" w:eastAsia="宋体" w:cs="宋体"/>
                <w:b/>
                <w:bCs/>
                <w:i w:val="0"/>
                <w:iCs w:val="0"/>
                <w:color w:val="000000"/>
                <w:spacing w:val="0"/>
                <w:w w:val="100"/>
                <w:kern w:val="0"/>
                <w:sz w:val="22"/>
                <w:szCs w:val="22"/>
                <w:u w:val="none"/>
                <w:lang w:val="en-US" w:eastAsia="zh-CN" w:bidi="ar"/>
              </w:rPr>
              <w:t>包件一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441" w:type="dxa"/>
            <w:gridSpan w:val="2"/>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序号</w:t>
            </w:r>
          </w:p>
        </w:tc>
        <w:tc>
          <w:tcPr>
            <w:tcW w:w="1271" w:type="dxa"/>
            <w:gridSpan w:val="2"/>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名称</w:t>
            </w:r>
          </w:p>
        </w:tc>
        <w:tc>
          <w:tcPr>
            <w:tcW w:w="230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规格内容</w:t>
            </w:r>
          </w:p>
        </w:tc>
        <w:tc>
          <w:tcPr>
            <w:tcW w:w="583"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单位</w:t>
            </w:r>
          </w:p>
        </w:tc>
        <w:tc>
          <w:tcPr>
            <w:tcW w:w="628"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数量</w:t>
            </w:r>
          </w:p>
        </w:tc>
        <w:tc>
          <w:tcPr>
            <w:tcW w:w="1002"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备注</w:t>
            </w:r>
          </w:p>
        </w:tc>
        <w:tc>
          <w:tcPr>
            <w:tcW w:w="97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单价（元）</w:t>
            </w:r>
          </w:p>
        </w:tc>
        <w:tc>
          <w:tcPr>
            <w:tcW w:w="1081" w:type="dxa"/>
            <w:gridSpan w:val="2"/>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8280" w:type="dxa"/>
            <w:gridSpan w:val="11"/>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1号楼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LED洗墙灯-1m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24W/m/RGB/15*55°/DC24V/DMX512/IP66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496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LED洗墙灯-0.5m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12W/0.5m/RGB/15*55°/DC24V/DMX512/IP66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LED洗墙灯-0.3m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8W/0.3m/RGB/15*55°/DC24V/DMX512/IP66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39</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LED线条灯-1m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10W/m/3000K/柔光/DC24V/DMX512/IP66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248</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LED线条灯-0.5m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5W/0.5m/3000K/柔光/DC24V/DMX512/IP66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LED线条灯-0.3m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3W/0.3m/3000K/柔光/DC24V/DMX512/IP66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LED星光灯</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1W/3000K/110°/DC24V/DMX512/IP66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1040</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8</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防雨开关电源</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400W/DC24V</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70</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9</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GPS主控</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10</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分控制器</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DMX512 8口</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5</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11</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照明配电箱</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定制</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交换机</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8口</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8280" w:type="dxa"/>
            <w:gridSpan w:val="11"/>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3号楼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13</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LED洗墙灯2-1m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18W/m/RGB/15*55°/DC24V/DMX512/IP66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14</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LED洗墙灯2-0.5m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9W/0.5m/RGB/15*55°/DC24V/DMX512/IP66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0</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LED洗墙灯2-0.3m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6W/0.3m/RGB/15*55°/DC24V/DMX512/IP66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4</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LED线条灯-1m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10W/m/3000K/柔光/DC24V/DMX512/IP66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126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1"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17</w:t>
            </w:r>
          </w:p>
        </w:tc>
        <w:tc>
          <w:tcPr>
            <w:tcW w:w="127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LED线条灯-0.5m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5W/0.5m/3000K/柔光/DC24V/DMX512/IP66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9" w:type="dxa"/>
            <w:gridSpan w:val="3"/>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18</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LED线条灯-0.3m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3W/0.3m/3000K/柔光/DC24V/DMX512/IP66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49" w:type="dxa"/>
            <w:gridSpan w:val="3"/>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19</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防雨开关电源</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400W/DC24V</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449" w:type="dxa"/>
            <w:gridSpan w:val="3"/>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20</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GPS主控</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449" w:type="dxa"/>
            <w:gridSpan w:val="3"/>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21</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分控制器</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DMX512 8口</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449" w:type="dxa"/>
            <w:gridSpan w:val="3"/>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22</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照明配电箱</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定制</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81" w:type="dxa"/>
            <w:gridSpan w:val="2"/>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509" w:hRule="atLeast"/>
        </w:trPr>
        <w:tc>
          <w:tcPr>
            <w:tcW w:w="8279" w:type="dxa"/>
            <w:gridSpan w:val="10"/>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6号楼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1" w:type="dxa"/>
          <w:trHeight w:val="633"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r>
              <w:rPr>
                <w:rFonts w:hint="eastAsia" w:ascii="宋体" w:hAnsi="宋体" w:cs="宋体"/>
                <w:i w:val="0"/>
                <w:iCs w:val="0"/>
                <w:color w:val="000000"/>
                <w:spacing w:val="0"/>
                <w:w w:val="100"/>
                <w:kern w:val="0"/>
                <w:sz w:val="22"/>
                <w:szCs w:val="22"/>
                <w:u w:val="none"/>
                <w:lang w:val="en-US" w:eastAsia="zh-CN" w:bidi="ar"/>
              </w:rPr>
              <w:t>3</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LED洗墙灯3-1m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12W/m/RGB/15*55°/DC24V/DMX512/IP66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264</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643"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w:t>
            </w:r>
            <w:r>
              <w:rPr>
                <w:rFonts w:hint="eastAsia" w:ascii="宋体" w:hAnsi="宋体" w:cs="宋体"/>
                <w:i w:val="0"/>
                <w:iCs w:val="0"/>
                <w:color w:val="000000"/>
                <w:spacing w:val="0"/>
                <w:w w:val="100"/>
                <w:kern w:val="0"/>
                <w:sz w:val="22"/>
                <w:szCs w:val="22"/>
                <w:u w:val="none"/>
                <w:lang w:val="en-US" w:eastAsia="zh-CN" w:bidi="ar"/>
              </w:rPr>
              <w:t>4</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LED洗墙灯3-0.5m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6W/0.5m/RGB/15*55°/DC24V/DMX512/IP66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633"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宋体" w:hAnsi="宋体" w:eastAsia="宋体" w:cs="宋体"/>
                <w:i w:val="0"/>
                <w:iCs w:val="0"/>
                <w:color w:val="000000"/>
                <w:spacing w:val="0"/>
                <w:w w:val="100"/>
                <w:sz w:val="22"/>
                <w:szCs w:val="22"/>
                <w:u w:val="none"/>
                <w:lang w:val="en-US"/>
              </w:rPr>
            </w:pPr>
            <w:r>
              <w:rPr>
                <w:rFonts w:hint="eastAsia" w:ascii="宋体" w:hAnsi="宋体" w:cs="宋体"/>
                <w:i w:val="0"/>
                <w:iCs w:val="0"/>
                <w:color w:val="000000"/>
                <w:spacing w:val="0"/>
                <w:w w:val="100"/>
                <w:kern w:val="0"/>
                <w:sz w:val="22"/>
                <w:szCs w:val="22"/>
                <w:u w:val="none"/>
                <w:lang w:val="en-US" w:eastAsia="zh-CN" w:bidi="ar"/>
              </w:rPr>
              <w:t>25</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LED洗墙灯3-0.3m</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4W/0.3m/RGB/15*55°/DC24V/DMX512/IP66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15</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509"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宋体" w:hAnsi="宋体" w:eastAsia="宋体" w:cs="宋体"/>
                <w:i w:val="0"/>
                <w:iCs w:val="0"/>
                <w:color w:val="000000"/>
                <w:spacing w:val="0"/>
                <w:w w:val="100"/>
                <w:sz w:val="22"/>
                <w:szCs w:val="22"/>
                <w:u w:val="none"/>
                <w:lang w:val="en-US"/>
              </w:rPr>
            </w:pPr>
            <w:r>
              <w:rPr>
                <w:rFonts w:hint="eastAsia" w:ascii="宋体" w:hAnsi="宋体" w:cs="宋体"/>
                <w:i w:val="0"/>
                <w:iCs w:val="0"/>
                <w:color w:val="000000"/>
                <w:spacing w:val="0"/>
                <w:w w:val="100"/>
                <w:kern w:val="0"/>
                <w:sz w:val="22"/>
                <w:szCs w:val="22"/>
                <w:u w:val="none"/>
                <w:lang w:val="en-US" w:eastAsia="zh-CN" w:bidi="ar"/>
              </w:rPr>
              <w:t>26</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LED泛光灯</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72W/RGBW/45°/DC24V/IP66</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64</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643"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宋体" w:hAnsi="宋体" w:eastAsia="宋体" w:cs="宋体"/>
                <w:i w:val="0"/>
                <w:iCs w:val="0"/>
                <w:color w:val="000000"/>
                <w:spacing w:val="0"/>
                <w:w w:val="100"/>
                <w:sz w:val="22"/>
                <w:szCs w:val="22"/>
                <w:u w:val="none"/>
                <w:lang w:val="en-US"/>
              </w:rPr>
            </w:pPr>
            <w:r>
              <w:rPr>
                <w:rFonts w:hint="eastAsia" w:ascii="宋体" w:hAnsi="宋体" w:cs="宋体"/>
                <w:i w:val="0"/>
                <w:iCs w:val="0"/>
                <w:color w:val="000000"/>
                <w:spacing w:val="0"/>
                <w:w w:val="100"/>
                <w:kern w:val="0"/>
                <w:sz w:val="22"/>
                <w:szCs w:val="22"/>
                <w:u w:val="none"/>
                <w:lang w:val="en-US" w:eastAsia="zh-CN" w:bidi="ar"/>
              </w:rPr>
              <w:t>27</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防雨开关电源</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400W/DC24V</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26</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509"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宋体" w:hAnsi="宋体" w:eastAsia="宋体" w:cs="宋体"/>
                <w:i w:val="0"/>
                <w:iCs w:val="0"/>
                <w:color w:val="000000"/>
                <w:spacing w:val="0"/>
                <w:w w:val="100"/>
                <w:sz w:val="22"/>
                <w:szCs w:val="22"/>
                <w:u w:val="none"/>
                <w:lang w:val="en-US"/>
              </w:rPr>
            </w:pPr>
            <w:r>
              <w:rPr>
                <w:rFonts w:hint="eastAsia" w:ascii="宋体" w:hAnsi="宋体" w:cs="宋体"/>
                <w:i w:val="0"/>
                <w:iCs w:val="0"/>
                <w:color w:val="000000"/>
                <w:spacing w:val="0"/>
                <w:w w:val="100"/>
                <w:kern w:val="0"/>
                <w:sz w:val="22"/>
                <w:szCs w:val="22"/>
                <w:u w:val="none"/>
                <w:lang w:val="en-US" w:eastAsia="zh-CN" w:bidi="ar"/>
              </w:rPr>
              <w:t>28</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GPS主控</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i w:val="0"/>
                <w:iCs w:val="0"/>
                <w:color w:val="000000"/>
                <w:spacing w:val="0"/>
                <w:w w:val="1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509"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宋体" w:hAnsi="宋体" w:eastAsia="宋体" w:cs="宋体"/>
                <w:i w:val="0"/>
                <w:iCs w:val="0"/>
                <w:color w:val="000000"/>
                <w:spacing w:val="0"/>
                <w:w w:val="100"/>
                <w:sz w:val="22"/>
                <w:szCs w:val="22"/>
                <w:u w:val="none"/>
                <w:lang w:val="en-US"/>
              </w:rPr>
            </w:pPr>
            <w:r>
              <w:rPr>
                <w:rFonts w:hint="eastAsia" w:ascii="宋体" w:hAnsi="宋体" w:cs="宋体"/>
                <w:i w:val="0"/>
                <w:iCs w:val="0"/>
                <w:color w:val="000000"/>
                <w:spacing w:val="0"/>
                <w:w w:val="100"/>
                <w:kern w:val="0"/>
                <w:sz w:val="22"/>
                <w:szCs w:val="22"/>
                <w:u w:val="none"/>
                <w:lang w:val="en-US" w:eastAsia="zh-CN" w:bidi="ar"/>
              </w:rPr>
              <w:t>29</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分控制器</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DMX512 8口</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台</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3</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509" w:hRule="atLeast"/>
        </w:trPr>
        <w:tc>
          <w:tcPr>
            <w:tcW w:w="448" w:type="dxa"/>
            <w:gridSpan w:val="2"/>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宋体" w:hAnsi="宋体" w:eastAsia="宋体" w:cs="宋体"/>
                <w:i w:val="0"/>
                <w:iCs w:val="0"/>
                <w:color w:val="000000"/>
                <w:spacing w:val="0"/>
                <w:w w:val="100"/>
                <w:sz w:val="22"/>
                <w:szCs w:val="22"/>
                <w:u w:val="none"/>
                <w:lang w:val="en-US"/>
              </w:rPr>
            </w:pPr>
            <w:r>
              <w:rPr>
                <w:rFonts w:hint="eastAsia" w:ascii="宋体" w:hAnsi="宋体" w:cs="宋体"/>
                <w:i w:val="0"/>
                <w:iCs w:val="0"/>
                <w:color w:val="000000"/>
                <w:spacing w:val="0"/>
                <w:w w:val="100"/>
                <w:kern w:val="0"/>
                <w:sz w:val="22"/>
                <w:szCs w:val="22"/>
                <w:u w:val="none"/>
                <w:lang w:val="en-US" w:eastAsia="zh-CN" w:bidi="ar"/>
              </w:rPr>
              <w:t>30</w:t>
            </w:r>
          </w:p>
        </w:tc>
        <w:tc>
          <w:tcPr>
            <w:tcW w:w="12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照明配电箱</w:t>
            </w:r>
          </w:p>
        </w:tc>
        <w:tc>
          <w:tcPr>
            <w:tcW w:w="230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定制</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套</w:t>
            </w:r>
          </w:p>
        </w:tc>
        <w:tc>
          <w:tcPr>
            <w:tcW w:w="62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2"/>
                <w:szCs w:val="22"/>
                <w:u w:val="none"/>
              </w:rPr>
            </w:pPr>
            <w:r>
              <w:rPr>
                <w:rFonts w:hint="eastAsia" w:ascii="宋体" w:hAnsi="宋体" w:eastAsia="宋体" w:cs="宋体"/>
                <w:i w:val="0"/>
                <w:iCs w:val="0"/>
                <w:color w:val="000000"/>
                <w:spacing w:val="0"/>
                <w:w w:val="100"/>
                <w:kern w:val="0"/>
                <w:sz w:val="22"/>
                <w:szCs w:val="22"/>
                <w:u w:val="none"/>
                <w:lang w:val="en-US" w:eastAsia="zh-CN" w:bidi="ar"/>
              </w:rPr>
              <w:t>1</w:t>
            </w:r>
          </w:p>
        </w:tc>
        <w:tc>
          <w:tcPr>
            <w:tcW w:w="100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eastAsia" w:ascii="宋体" w:hAnsi="宋体" w:eastAsia="宋体" w:cs="宋体"/>
                <w:i w:val="0"/>
                <w:iCs w:val="0"/>
                <w:color w:val="000000"/>
                <w:spacing w:val="0"/>
                <w:w w:val="100"/>
                <w:sz w:val="18"/>
                <w:szCs w:val="18"/>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 w:type="dxa"/>
          <w:trHeight w:val="529" w:hRule="atLeast"/>
        </w:trPr>
        <w:tc>
          <w:tcPr>
            <w:tcW w:w="5225" w:type="dxa"/>
            <w:gridSpan w:val="6"/>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2"/>
                <w:szCs w:val="22"/>
                <w:u w:val="none"/>
              </w:rPr>
            </w:pPr>
            <w:r>
              <w:rPr>
                <w:rFonts w:hint="eastAsia" w:ascii="宋体" w:hAnsi="宋体" w:eastAsia="宋体" w:cs="宋体"/>
                <w:b/>
                <w:bCs/>
                <w:i w:val="0"/>
                <w:iCs w:val="0"/>
                <w:color w:val="000000"/>
                <w:spacing w:val="0"/>
                <w:w w:val="100"/>
                <w:kern w:val="0"/>
                <w:sz w:val="22"/>
                <w:szCs w:val="22"/>
                <w:u w:val="none"/>
                <w:lang w:val="en-US" w:eastAsia="zh-CN" w:bidi="ar"/>
              </w:rPr>
              <w:t>小计</w:t>
            </w:r>
          </w:p>
        </w:tc>
        <w:tc>
          <w:tcPr>
            <w:tcW w:w="1002"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980" w:type="dxa"/>
            <w:gridSpan w:val="2"/>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both"/>
              <w:rPr>
                <w:rFonts w:hint="eastAsia" w:ascii="宋体" w:hAnsi="宋体" w:eastAsia="宋体" w:cs="宋体"/>
                <w:b/>
                <w:bCs/>
                <w:i w:val="0"/>
                <w:iCs w:val="0"/>
                <w:color w:val="000000"/>
                <w:spacing w:val="0"/>
                <w:w w:val="100"/>
                <w:sz w:val="22"/>
                <w:szCs w:val="22"/>
                <w:u w:val="none"/>
              </w:rPr>
            </w:pPr>
          </w:p>
        </w:tc>
        <w:tc>
          <w:tcPr>
            <w:tcW w:w="1072"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spacing w:after="0"/>
        <w:rPr>
          <w:rFonts w:hint="eastAsia" w:ascii="宋体" w:hAnsi="宋体" w:eastAsia="宋体" w:cs="宋体"/>
          <w:spacing w:val="0"/>
          <w:w w:val="100"/>
          <w:sz w:val="18"/>
        </w:rPr>
      </w:pPr>
    </w:p>
    <w:p>
      <w:pPr>
        <w:keepNext w:val="0"/>
        <w:keepLines w:val="0"/>
        <w:pageBreakBefore w:val="0"/>
        <w:kinsoku/>
        <w:wordWrap/>
        <w:topLinePunct w:val="0"/>
        <w:bidi w:val="0"/>
        <w:spacing w:line="600" w:lineRule="exact"/>
        <w:ind w:firstLine="0" w:firstLineChars="0"/>
        <w:contextualSpacing/>
        <w:jc w:val="left"/>
        <w:outlineLvl w:val="2"/>
        <w:rPr>
          <w:rFonts w:hint="default" w:ascii="Times New Roman" w:hAnsi="Times New Roman" w:eastAsia="方正仿宋_GBK" w:cs="Times New Roman"/>
          <w:b w:val="0"/>
          <w:bCs w:val="0"/>
          <w:sz w:val="28"/>
          <w:szCs w:val="28"/>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Courier">
    <w:altName w:val="Liberation Mono"/>
    <w:panose1 w:val="02060409020205020404"/>
    <w:charset w:val="00"/>
    <w:family w:val="modern"/>
    <w:pitch w:val="default"/>
    <w:sig w:usb0="00000000" w:usb1="00000000" w:usb2="00000000" w:usb3="00000000" w:csb0="00000093" w:csb1="00000000"/>
  </w:font>
  <w:font w:name="Liberation Mono">
    <w:panose1 w:val="02070409020205020404"/>
    <w:charset w:val="00"/>
    <w:family w:val="auto"/>
    <w:pitch w:val="default"/>
    <w:sig w:usb0="A00002AF" w:usb1="400078FB" w:usb2="00000000" w:usb3="00000000" w:csb0="6000009F" w:csb1="DFD70000"/>
  </w:font>
  <w:font w:name="华文中宋">
    <w:panose1 w:val="02010600040101010101"/>
    <w:charset w:val="86"/>
    <w:family w:val="auto"/>
    <w:pitch w:val="default"/>
    <w:sig w:usb0="00000287" w:usb1="080F0000" w:usb2="00000000" w:usb3="00000000" w:csb0="0004009F" w:csb1="DFD70000"/>
  </w:font>
  <w:font w:name="方正魏碑简体">
    <w:altName w:val="方正魏碑_GBK"/>
    <w:panose1 w:val="00000000000000000000"/>
    <w:charset w:val="86"/>
    <w:family w:val="roman"/>
    <w:pitch w:val="default"/>
    <w:sig w:usb0="00000000" w:usb1="0000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Consolas">
    <w:altName w:val="Liberation Sans Narrow"/>
    <w:panose1 w:val="020B0609020204030204"/>
    <w:charset w:val="00"/>
    <w:family w:val="modern"/>
    <w:pitch w:val="default"/>
    <w:sig w:usb0="00000000" w:usb1="00000000" w:usb2="00000001" w:usb3="00000000" w:csb0="6000019F" w:csb1="DFD70000"/>
  </w:font>
  <w:font w:name="Liberation Sans Narrow">
    <w:panose1 w:val="020B0606020202030204"/>
    <w:charset w:val="00"/>
    <w:family w:val="auto"/>
    <w:pitch w:val="default"/>
    <w:sig w:usb0="A00002AF" w:usb1="500078FB" w:usb2="00000000" w:usb3="00000000" w:csb0="6000009F" w:csb1="DFD70000"/>
  </w:font>
  <w:font w:name="Verdana">
    <w:altName w:val="DejaVu Sans"/>
    <w:panose1 w:val="020B0604030504040204"/>
    <w:charset w:val="00"/>
    <w:family w:val="swiss"/>
    <w:pitch w:val="default"/>
    <w:sig w:usb0="00000000" w:usb1="00000000" w:usb2="00000010" w:usb3="00000000" w:csb0="2000019F" w:csb1="00000000"/>
  </w:font>
  <w:font w:name="Arial Unicode MS">
    <w:altName w:val="DejaVu Sans"/>
    <w:panose1 w:val="020B0604020202020204"/>
    <w:charset w:val="86"/>
    <w:family w:val="swiss"/>
    <w:pitch w:val="default"/>
    <w:sig w:usb0="00000000" w:usb1="00000000" w:usb2="0000003F" w:usb3="00000000" w:csb0="603F01FF" w:csb1="FFFF0000"/>
  </w:font>
  <w:font w:name="华文仿宋">
    <w:altName w:val="方正仿宋_GBK"/>
    <w:panose1 w:val="02010600040101010101"/>
    <w:charset w:val="86"/>
    <w:family w:val="auto"/>
    <w:pitch w:val="default"/>
    <w:sig w:usb0="00000000" w:usb1="0000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Arial Narrow">
    <w:altName w:val="DejaVu Sans"/>
    <w:panose1 w:val="020B0606020202030204"/>
    <w:charset w:val="00"/>
    <w:family w:val="swiss"/>
    <w:pitch w:val="default"/>
    <w:sig w:usb0="00000000" w:usb1="000000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Garamond">
    <w:altName w:val="Liberation Serif"/>
    <w:panose1 w:val="02020404030301010803"/>
    <w:charset w:val="00"/>
    <w:family w:val="roman"/>
    <w:pitch w:val="default"/>
    <w:sig w:usb0="00000000" w:usb1="00000000" w:usb2="00000000" w:usb3="00000000" w:csb0="0000009F" w:csb1="DFD70000"/>
  </w:font>
  <w:font w:name="Liberation Serif">
    <w:panose1 w:val="02020603050405020304"/>
    <w:charset w:val="00"/>
    <w:family w:val="auto"/>
    <w:pitch w:val="default"/>
    <w:sig w:usb0="A00002AF" w:usb1="500078FB" w:usb2="00000000" w:usb3="00000000" w:csb0="6000009F" w:csb1="DFD70000"/>
  </w:font>
  <w:font w:name="仿宋_GB2312">
    <w:panose1 w:val="02010609030101010101"/>
    <w:charset w:val="86"/>
    <w:family w:val="modern"/>
    <w:pitch w:val="default"/>
    <w:sig w:usb0="00000001" w:usb1="080E0000" w:usb2="00000000" w:usb3="00000000" w:csb0="00040000" w:csb1="00000000"/>
  </w:font>
  <w:font w:name="Tms Rmn">
    <w:altName w:val="Liberation Serif"/>
    <w:panose1 w:val="02020603040505020304"/>
    <w:charset w:val="00"/>
    <w:family w:val="roman"/>
    <w:pitch w:val="default"/>
    <w:sig w:usb0="00000000" w:usb1="00000000" w:usb2="00000000" w:usb3="00000000" w:csb0="00000001" w:csb1="00000000"/>
  </w:font>
  <w:font w:name="BatangChe">
    <w:altName w:val="方正书宋_GBK"/>
    <w:panose1 w:val="00000000000000000000"/>
    <w:charset w:val="81"/>
    <w:family w:val="modern"/>
    <w:pitch w:val="default"/>
    <w:sig w:usb0="00000000" w:usb1="00000000" w:usb2="00000030" w:usb3="00000000" w:csb0="4008009F" w:csb1="DFD70000"/>
  </w:font>
  <w:font w:name="Calibri Light">
    <w:altName w:val="DejaVu Sans"/>
    <w:panose1 w:val="020F0302020204030204"/>
    <w:charset w:val="00"/>
    <w:family w:val="swiss"/>
    <w:pitch w:val="default"/>
    <w:sig w:usb0="00000000" w:usb1="00000000" w:usb2="00000009" w:usb3="00000000" w:csb0="200001FF" w:csb1="00000000"/>
  </w:font>
  <w:font w:name="??">
    <w:altName w:val="华文中宋"/>
    <w:panose1 w:val="00000000000000000000"/>
    <w:charset w:val="00"/>
    <w:family w:val="roman"/>
    <w:pitch w:val="default"/>
    <w:sig w:usb0="00000000" w:usb1="00000000" w:usb2="00000000"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A3611"/>
    <w:multiLevelType w:val="multilevel"/>
    <w:tmpl w:val="05CA3611"/>
    <w:lvl w:ilvl="0" w:tentative="0">
      <w:start w:val="9"/>
      <w:numFmt w:val="decimal"/>
      <w:lvlText w:val="%1"/>
      <w:lvlJc w:val="left"/>
      <w:pPr>
        <w:tabs>
          <w:tab w:val="left" w:pos="510"/>
        </w:tabs>
        <w:ind w:left="510" w:hanging="510"/>
      </w:pPr>
      <w:rPr>
        <w:rFonts w:hint="default"/>
      </w:rPr>
    </w:lvl>
    <w:lvl w:ilvl="1" w:tentative="0">
      <w:start w:val="1"/>
      <w:numFmt w:val="decimal"/>
      <w:lvlText w:val="%1-%2"/>
      <w:lvlJc w:val="left"/>
      <w:pPr>
        <w:tabs>
          <w:tab w:val="left" w:pos="510"/>
        </w:tabs>
        <w:ind w:left="510" w:hanging="51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pStyle w:val="6"/>
      <w:lvlText w:val="%1-%2.%3.%4.%5"/>
      <w:lvlJc w:val="left"/>
      <w:pPr>
        <w:tabs>
          <w:tab w:val="left" w:pos="1080"/>
        </w:tabs>
        <w:ind w:left="1080" w:hanging="1080"/>
      </w:pPr>
      <w:rPr>
        <w:rFonts w:hint="default"/>
      </w:rPr>
    </w:lvl>
    <w:lvl w:ilvl="5" w:tentative="0">
      <w:start w:val="1"/>
      <w:numFmt w:val="decimal"/>
      <w:pStyle w:val="8"/>
      <w:lvlText w:val="%1-%2.%3.%4.%5.%6"/>
      <w:lvlJc w:val="left"/>
      <w:pPr>
        <w:tabs>
          <w:tab w:val="left" w:pos="1080"/>
        </w:tabs>
        <w:ind w:left="1080" w:hanging="1080"/>
      </w:pPr>
      <w:rPr>
        <w:rFonts w:hint="default"/>
      </w:rPr>
    </w:lvl>
    <w:lvl w:ilvl="6" w:tentative="0">
      <w:start w:val="1"/>
      <w:numFmt w:val="decimal"/>
      <w:pStyle w:val="9"/>
      <w:lvlText w:val="%1-%2.%3.%4.%5.%6.%7"/>
      <w:lvlJc w:val="left"/>
      <w:pPr>
        <w:tabs>
          <w:tab w:val="left" w:pos="1080"/>
        </w:tabs>
        <w:ind w:left="1080" w:hanging="1080"/>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2ZTExMDU4NDI0OTk2MjcyNDQzZTc5ZTQwZjY4MmEifQ=="/>
  </w:docVars>
  <w:rsids>
    <w:rsidRoot w:val="00040B87"/>
    <w:rsid w:val="000073DD"/>
    <w:rsid w:val="00007629"/>
    <w:rsid w:val="00016C96"/>
    <w:rsid w:val="00021910"/>
    <w:rsid w:val="0002236C"/>
    <w:rsid w:val="00037E68"/>
    <w:rsid w:val="00040B87"/>
    <w:rsid w:val="00047A13"/>
    <w:rsid w:val="00077C0A"/>
    <w:rsid w:val="000B42C6"/>
    <w:rsid w:val="000C6722"/>
    <w:rsid w:val="0010516D"/>
    <w:rsid w:val="00110F8E"/>
    <w:rsid w:val="001248C0"/>
    <w:rsid w:val="0013374D"/>
    <w:rsid w:val="00180F5B"/>
    <w:rsid w:val="00187FCE"/>
    <w:rsid w:val="001926F3"/>
    <w:rsid w:val="001A2D14"/>
    <w:rsid w:val="001A3882"/>
    <w:rsid w:val="001B48EA"/>
    <w:rsid w:val="001C0FB9"/>
    <w:rsid w:val="001C75BD"/>
    <w:rsid w:val="001D16CE"/>
    <w:rsid w:val="001E5F80"/>
    <w:rsid w:val="001F70D2"/>
    <w:rsid w:val="00204BF2"/>
    <w:rsid w:val="00234957"/>
    <w:rsid w:val="0026629E"/>
    <w:rsid w:val="002B4634"/>
    <w:rsid w:val="002C70E5"/>
    <w:rsid w:val="002E3C44"/>
    <w:rsid w:val="002E75B9"/>
    <w:rsid w:val="00316CBB"/>
    <w:rsid w:val="003267C1"/>
    <w:rsid w:val="00361DF5"/>
    <w:rsid w:val="00377076"/>
    <w:rsid w:val="00397B0D"/>
    <w:rsid w:val="003B49AE"/>
    <w:rsid w:val="003B5120"/>
    <w:rsid w:val="003C2CAD"/>
    <w:rsid w:val="003E3170"/>
    <w:rsid w:val="003F58A2"/>
    <w:rsid w:val="00404A50"/>
    <w:rsid w:val="004309AF"/>
    <w:rsid w:val="00442A43"/>
    <w:rsid w:val="00455609"/>
    <w:rsid w:val="00483465"/>
    <w:rsid w:val="00483588"/>
    <w:rsid w:val="00483E78"/>
    <w:rsid w:val="004A4103"/>
    <w:rsid w:val="004B2BAA"/>
    <w:rsid w:val="004F0AAB"/>
    <w:rsid w:val="004F4D91"/>
    <w:rsid w:val="00516D33"/>
    <w:rsid w:val="00561EE2"/>
    <w:rsid w:val="00594387"/>
    <w:rsid w:val="005A1155"/>
    <w:rsid w:val="005E4135"/>
    <w:rsid w:val="005F037B"/>
    <w:rsid w:val="00603680"/>
    <w:rsid w:val="00684E2B"/>
    <w:rsid w:val="006B76B8"/>
    <w:rsid w:val="006C66F6"/>
    <w:rsid w:val="006D7C0C"/>
    <w:rsid w:val="006F0104"/>
    <w:rsid w:val="00700CCB"/>
    <w:rsid w:val="00703801"/>
    <w:rsid w:val="00705A3C"/>
    <w:rsid w:val="00716D4B"/>
    <w:rsid w:val="007200AE"/>
    <w:rsid w:val="00727337"/>
    <w:rsid w:val="00744540"/>
    <w:rsid w:val="00744E47"/>
    <w:rsid w:val="00780E24"/>
    <w:rsid w:val="00793174"/>
    <w:rsid w:val="007B77B2"/>
    <w:rsid w:val="007C4C60"/>
    <w:rsid w:val="007E24EA"/>
    <w:rsid w:val="00800DD2"/>
    <w:rsid w:val="00840963"/>
    <w:rsid w:val="00853E40"/>
    <w:rsid w:val="008632C7"/>
    <w:rsid w:val="00897EBD"/>
    <w:rsid w:val="008A4FC7"/>
    <w:rsid w:val="008F5148"/>
    <w:rsid w:val="00944ACC"/>
    <w:rsid w:val="009843D6"/>
    <w:rsid w:val="00992044"/>
    <w:rsid w:val="00992EC7"/>
    <w:rsid w:val="00997D75"/>
    <w:rsid w:val="009C5B83"/>
    <w:rsid w:val="009E2A5E"/>
    <w:rsid w:val="00A27E71"/>
    <w:rsid w:val="00A32909"/>
    <w:rsid w:val="00A5461E"/>
    <w:rsid w:val="00A60DDD"/>
    <w:rsid w:val="00A63A50"/>
    <w:rsid w:val="00A64073"/>
    <w:rsid w:val="00A8487B"/>
    <w:rsid w:val="00AB277C"/>
    <w:rsid w:val="00AB594F"/>
    <w:rsid w:val="00AD7ADF"/>
    <w:rsid w:val="00AF5C68"/>
    <w:rsid w:val="00B14674"/>
    <w:rsid w:val="00B45D61"/>
    <w:rsid w:val="00B61140"/>
    <w:rsid w:val="00B70B34"/>
    <w:rsid w:val="00BC1E2A"/>
    <w:rsid w:val="00BD2D99"/>
    <w:rsid w:val="00BF495E"/>
    <w:rsid w:val="00C03F9B"/>
    <w:rsid w:val="00C23158"/>
    <w:rsid w:val="00C40AED"/>
    <w:rsid w:val="00C84F04"/>
    <w:rsid w:val="00CA38CD"/>
    <w:rsid w:val="00CB3C82"/>
    <w:rsid w:val="00CB44DB"/>
    <w:rsid w:val="00CC3327"/>
    <w:rsid w:val="00CE29FA"/>
    <w:rsid w:val="00CF53D8"/>
    <w:rsid w:val="00D03CFE"/>
    <w:rsid w:val="00D100DB"/>
    <w:rsid w:val="00D1047C"/>
    <w:rsid w:val="00D175FB"/>
    <w:rsid w:val="00D6280E"/>
    <w:rsid w:val="00D90725"/>
    <w:rsid w:val="00D91762"/>
    <w:rsid w:val="00D92FDE"/>
    <w:rsid w:val="00DA457D"/>
    <w:rsid w:val="00DA6FB0"/>
    <w:rsid w:val="00DF4E3A"/>
    <w:rsid w:val="00E33422"/>
    <w:rsid w:val="00E55A55"/>
    <w:rsid w:val="00EA4F82"/>
    <w:rsid w:val="00EB552D"/>
    <w:rsid w:val="00F16426"/>
    <w:rsid w:val="00F23F90"/>
    <w:rsid w:val="00F445C2"/>
    <w:rsid w:val="00F76102"/>
    <w:rsid w:val="00F91F6B"/>
    <w:rsid w:val="00FA1FF2"/>
    <w:rsid w:val="00FC41AC"/>
    <w:rsid w:val="01317E01"/>
    <w:rsid w:val="02187A1B"/>
    <w:rsid w:val="02493090"/>
    <w:rsid w:val="02581DA6"/>
    <w:rsid w:val="027F104C"/>
    <w:rsid w:val="02CD3389"/>
    <w:rsid w:val="02DC5CB3"/>
    <w:rsid w:val="02E244CB"/>
    <w:rsid w:val="02EF1E8A"/>
    <w:rsid w:val="030A6BF2"/>
    <w:rsid w:val="0341645D"/>
    <w:rsid w:val="036A5552"/>
    <w:rsid w:val="039E565E"/>
    <w:rsid w:val="04544994"/>
    <w:rsid w:val="04893C18"/>
    <w:rsid w:val="05362A09"/>
    <w:rsid w:val="054A1B88"/>
    <w:rsid w:val="055E50A5"/>
    <w:rsid w:val="056D178C"/>
    <w:rsid w:val="05A16303"/>
    <w:rsid w:val="061B11E8"/>
    <w:rsid w:val="064424ED"/>
    <w:rsid w:val="06781F50"/>
    <w:rsid w:val="07787499"/>
    <w:rsid w:val="07C75183"/>
    <w:rsid w:val="07EB0E6D"/>
    <w:rsid w:val="07F629F5"/>
    <w:rsid w:val="08154140"/>
    <w:rsid w:val="081F5E9B"/>
    <w:rsid w:val="08397703"/>
    <w:rsid w:val="0881384D"/>
    <w:rsid w:val="08B651F8"/>
    <w:rsid w:val="08C71AF5"/>
    <w:rsid w:val="08C72115"/>
    <w:rsid w:val="0911242E"/>
    <w:rsid w:val="09736C45"/>
    <w:rsid w:val="09F17629"/>
    <w:rsid w:val="0A0E2D67"/>
    <w:rsid w:val="0B0F38FC"/>
    <w:rsid w:val="0B1701D0"/>
    <w:rsid w:val="0B4007CB"/>
    <w:rsid w:val="0B892750"/>
    <w:rsid w:val="0B97468A"/>
    <w:rsid w:val="0BA52865"/>
    <w:rsid w:val="0BAA21E2"/>
    <w:rsid w:val="0BB5B406"/>
    <w:rsid w:val="0C00473A"/>
    <w:rsid w:val="0C013EAE"/>
    <w:rsid w:val="0C3721AC"/>
    <w:rsid w:val="0C517711"/>
    <w:rsid w:val="0C743CBC"/>
    <w:rsid w:val="0CB13789"/>
    <w:rsid w:val="0E215A81"/>
    <w:rsid w:val="0E266744"/>
    <w:rsid w:val="0ED9228C"/>
    <w:rsid w:val="0F2509E1"/>
    <w:rsid w:val="0F67724C"/>
    <w:rsid w:val="0F986232"/>
    <w:rsid w:val="0FBA7763"/>
    <w:rsid w:val="10597BD0"/>
    <w:rsid w:val="10855BDB"/>
    <w:rsid w:val="10961B97"/>
    <w:rsid w:val="10B20AFA"/>
    <w:rsid w:val="113E3FDC"/>
    <w:rsid w:val="11526D5A"/>
    <w:rsid w:val="11834E46"/>
    <w:rsid w:val="11835756"/>
    <w:rsid w:val="120A32F1"/>
    <w:rsid w:val="120B79F6"/>
    <w:rsid w:val="124A70DD"/>
    <w:rsid w:val="129168E1"/>
    <w:rsid w:val="12BC165D"/>
    <w:rsid w:val="12C217E4"/>
    <w:rsid w:val="12E87CB4"/>
    <w:rsid w:val="13265B9E"/>
    <w:rsid w:val="1347549A"/>
    <w:rsid w:val="13A83A8D"/>
    <w:rsid w:val="13BB7C9E"/>
    <w:rsid w:val="13C24CE7"/>
    <w:rsid w:val="13F07810"/>
    <w:rsid w:val="13FD5F03"/>
    <w:rsid w:val="142A4AE2"/>
    <w:rsid w:val="144B644C"/>
    <w:rsid w:val="144B7D94"/>
    <w:rsid w:val="14885C9A"/>
    <w:rsid w:val="14CD7B51"/>
    <w:rsid w:val="14DC1B42"/>
    <w:rsid w:val="15475B55"/>
    <w:rsid w:val="154F67B8"/>
    <w:rsid w:val="15532C0C"/>
    <w:rsid w:val="15AE1224"/>
    <w:rsid w:val="15DB004C"/>
    <w:rsid w:val="15E213DA"/>
    <w:rsid w:val="161A6DC6"/>
    <w:rsid w:val="16421E79"/>
    <w:rsid w:val="16685D83"/>
    <w:rsid w:val="16D5395C"/>
    <w:rsid w:val="17672AEB"/>
    <w:rsid w:val="17D86098"/>
    <w:rsid w:val="17DC003C"/>
    <w:rsid w:val="18EE2645"/>
    <w:rsid w:val="19022B02"/>
    <w:rsid w:val="19094ED0"/>
    <w:rsid w:val="193C265E"/>
    <w:rsid w:val="19B14BA3"/>
    <w:rsid w:val="1A5F0BA5"/>
    <w:rsid w:val="1A7849A5"/>
    <w:rsid w:val="1AF01D0B"/>
    <w:rsid w:val="1BEA5747"/>
    <w:rsid w:val="1C146536"/>
    <w:rsid w:val="1C9729AD"/>
    <w:rsid w:val="1CB11B06"/>
    <w:rsid w:val="1CC40B0B"/>
    <w:rsid w:val="1CD777BF"/>
    <w:rsid w:val="1CE1063D"/>
    <w:rsid w:val="1D531D9D"/>
    <w:rsid w:val="1DE026A3"/>
    <w:rsid w:val="1DFC29C8"/>
    <w:rsid w:val="1E4D53B6"/>
    <w:rsid w:val="1E766B63"/>
    <w:rsid w:val="1E9D67E6"/>
    <w:rsid w:val="1EE461C3"/>
    <w:rsid w:val="1F0146F7"/>
    <w:rsid w:val="1F0A567B"/>
    <w:rsid w:val="1F0D396C"/>
    <w:rsid w:val="1F43385B"/>
    <w:rsid w:val="1F7D3F22"/>
    <w:rsid w:val="1FA07C6B"/>
    <w:rsid w:val="1FE75D7C"/>
    <w:rsid w:val="1FF84BA7"/>
    <w:rsid w:val="20196340"/>
    <w:rsid w:val="203A7603"/>
    <w:rsid w:val="20B8454F"/>
    <w:rsid w:val="20E71F9A"/>
    <w:rsid w:val="20F00FA5"/>
    <w:rsid w:val="20F203DE"/>
    <w:rsid w:val="21434257"/>
    <w:rsid w:val="215D04AF"/>
    <w:rsid w:val="21BB2844"/>
    <w:rsid w:val="226D4721"/>
    <w:rsid w:val="23005595"/>
    <w:rsid w:val="2318468D"/>
    <w:rsid w:val="23582CDC"/>
    <w:rsid w:val="23EB088A"/>
    <w:rsid w:val="23F724F4"/>
    <w:rsid w:val="240313CB"/>
    <w:rsid w:val="24466FD8"/>
    <w:rsid w:val="246413F3"/>
    <w:rsid w:val="24742165"/>
    <w:rsid w:val="24AA201D"/>
    <w:rsid w:val="250F24A9"/>
    <w:rsid w:val="253F55D6"/>
    <w:rsid w:val="2573204F"/>
    <w:rsid w:val="25F62AB4"/>
    <w:rsid w:val="260408A4"/>
    <w:rsid w:val="26040EF9"/>
    <w:rsid w:val="261A696E"/>
    <w:rsid w:val="263F0183"/>
    <w:rsid w:val="267B565F"/>
    <w:rsid w:val="26995AE5"/>
    <w:rsid w:val="26D04B5E"/>
    <w:rsid w:val="26D657CD"/>
    <w:rsid w:val="275B0FEC"/>
    <w:rsid w:val="27716366"/>
    <w:rsid w:val="28221B0A"/>
    <w:rsid w:val="28226515"/>
    <w:rsid w:val="28656260"/>
    <w:rsid w:val="28F6721F"/>
    <w:rsid w:val="29B859B0"/>
    <w:rsid w:val="29C15A7E"/>
    <w:rsid w:val="29E05285"/>
    <w:rsid w:val="2A701253"/>
    <w:rsid w:val="2A922F77"/>
    <w:rsid w:val="2B822FEC"/>
    <w:rsid w:val="2B917730"/>
    <w:rsid w:val="2B9920E3"/>
    <w:rsid w:val="2BBF5C96"/>
    <w:rsid w:val="2C295D59"/>
    <w:rsid w:val="2C374801"/>
    <w:rsid w:val="2CC94C4A"/>
    <w:rsid w:val="2D3D2B71"/>
    <w:rsid w:val="2D564730"/>
    <w:rsid w:val="2DB35663"/>
    <w:rsid w:val="2DDB1996"/>
    <w:rsid w:val="2E0C4DEE"/>
    <w:rsid w:val="2E5D1AEE"/>
    <w:rsid w:val="2E67F9A2"/>
    <w:rsid w:val="2E954DE4"/>
    <w:rsid w:val="2EAE1B8B"/>
    <w:rsid w:val="2FB63264"/>
    <w:rsid w:val="2FD31004"/>
    <w:rsid w:val="30182170"/>
    <w:rsid w:val="30281C88"/>
    <w:rsid w:val="303F6A4D"/>
    <w:rsid w:val="308E7498"/>
    <w:rsid w:val="30B30B63"/>
    <w:rsid w:val="314F3970"/>
    <w:rsid w:val="31BE2590"/>
    <w:rsid w:val="321240F3"/>
    <w:rsid w:val="32685F2C"/>
    <w:rsid w:val="327D62BB"/>
    <w:rsid w:val="328C11FD"/>
    <w:rsid w:val="32FA50C0"/>
    <w:rsid w:val="33043F3A"/>
    <w:rsid w:val="334943EF"/>
    <w:rsid w:val="33584A7B"/>
    <w:rsid w:val="335E6CEC"/>
    <w:rsid w:val="33811C82"/>
    <w:rsid w:val="33980069"/>
    <w:rsid w:val="33AB32FB"/>
    <w:rsid w:val="33BC2E13"/>
    <w:rsid w:val="33CA3782"/>
    <w:rsid w:val="341E065A"/>
    <w:rsid w:val="34390907"/>
    <w:rsid w:val="34C839CB"/>
    <w:rsid w:val="35264036"/>
    <w:rsid w:val="358768A1"/>
    <w:rsid w:val="35915FF2"/>
    <w:rsid w:val="363F1E28"/>
    <w:rsid w:val="369B31B3"/>
    <w:rsid w:val="36F34D9D"/>
    <w:rsid w:val="370A567F"/>
    <w:rsid w:val="37890B86"/>
    <w:rsid w:val="38725AAB"/>
    <w:rsid w:val="38975BFC"/>
    <w:rsid w:val="38D74B92"/>
    <w:rsid w:val="392E030F"/>
    <w:rsid w:val="3963760F"/>
    <w:rsid w:val="39C80763"/>
    <w:rsid w:val="39E210F9"/>
    <w:rsid w:val="3A043A0A"/>
    <w:rsid w:val="3A117AC6"/>
    <w:rsid w:val="3A23599A"/>
    <w:rsid w:val="3A2D368A"/>
    <w:rsid w:val="3AA64BD7"/>
    <w:rsid w:val="3ABF73E0"/>
    <w:rsid w:val="3AE730F1"/>
    <w:rsid w:val="3AED2E24"/>
    <w:rsid w:val="3B316DAA"/>
    <w:rsid w:val="3B7F731E"/>
    <w:rsid w:val="3B885799"/>
    <w:rsid w:val="3B8F4FC2"/>
    <w:rsid w:val="3B9A3AFD"/>
    <w:rsid w:val="3BBF4813"/>
    <w:rsid w:val="3C237C12"/>
    <w:rsid w:val="3C335C3C"/>
    <w:rsid w:val="3CA6455D"/>
    <w:rsid w:val="3D4D7222"/>
    <w:rsid w:val="3D826E7B"/>
    <w:rsid w:val="3DDC1999"/>
    <w:rsid w:val="3E2C5AE2"/>
    <w:rsid w:val="3E3B7A33"/>
    <w:rsid w:val="3EB07A18"/>
    <w:rsid w:val="3EBB7211"/>
    <w:rsid w:val="3ED8395B"/>
    <w:rsid w:val="3EFD0EAF"/>
    <w:rsid w:val="3F1C6E5B"/>
    <w:rsid w:val="3F8E7D59"/>
    <w:rsid w:val="3FA71C20"/>
    <w:rsid w:val="3FD633C9"/>
    <w:rsid w:val="3FFA53EF"/>
    <w:rsid w:val="40AB0497"/>
    <w:rsid w:val="41410DFB"/>
    <w:rsid w:val="419E7FFC"/>
    <w:rsid w:val="42351C2E"/>
    <w:rsid w:val="424267D6"/>
    <w:rsid w:val="424B51C7"/>
    <w:rsid w:val="42B20943"/>
    <w:rsid w:val="42C45840"/>
    <w:rsid w:val="42E71595"/>
    <w:rsid w:val="42EA799C"/>
    <w:rsid w:val="43C7383A"/>
    <w:rsid w:val="43E41877"/>
    <w:rsid w:val="45637592"/>
    <w:rsid w:val="457A49AD"/>
    <w:rsid w:val="45A64168"/>
    <w:rsid w:val="45CD47A3"/>
    <w:rsid w:val="45F4643C"/>
    <w:rsid w:val="46007541"/>
    <w:rsid w:val="461B6394"/>
    <w:rsid w:val="46D06EA9"/>
    <w:rsid w:val="47213B71"/>
    <w:rsid w:val="472F66E6"/>
    <w:rsid w:val="47337F88"/>
    <w:rsid w:val="47631ACB"/>
    <w:rsid w:val="47990732"/>
    <w:rsid w:val="479F3FDD"/>
    <w:rsid w:val="47AA76FA"/>
    <w:rsid w:val="47CB4C30"/>
    <w:rsid w:val="47D26C51"/>
    <w:rsid w:val="48780A02"/>
    <w:rsid w:val="48861F15"/>
    <w:rsid w:val="48C06AA9"/>
    <w:rsid w:val="48EC3D42"/>
    <w:rsid w:val="48FF3A76"/>
    <w:rsid w:val="499F1387"/>
    <w:rsid w:val="49C91086"/>
    <w:rsid w:val="4A7F7133"/>
    <w:rsid w:val="4A857E44"/>
    <w:rsid w:val="4AA735E3"/>
    <w:rsid w:val="4AC24D5B"/>
    <w:rsid w:val="4AC736CE"/>
    <w:rsid w:val="4AD625B4"/>
    <w:rsid w:val="4B3443B0"/>
    <w:rsid w:val="4BE91D61"/>
    <w:rsid w:val="4C03562B"/>
    <w:rsid w:val="4C140257"/>
    <w:rsid w:val="4C361F1B"/>
    <w:rsid w:val="4C76404F"/>
    <w:rsid w:val="4C7B252C"/>
    <w:rsid w:val="4CDB65A8"/>
    <w:rsid w:val="4CE2283C"/>
    <w:rsid w:val="4D07114B"/>
    <w:rsid w:val="4D0C03F4"/>
    <w:rsid w:val="4D6A6495"/>
    <w:rsid w:val="4D970721"/>
    <w:rsid w:val="4DF07E31"/>
    <w:rsid w:val="4DF55447"/>
    <w:rsid w:val="4E06542A"/>
    <w:rsid w:val="4E524648"/>
    <w:rsid w:val="4EB86BA1"/>
    <w:rsid w:val="4ED922A8"/>
    <w:rsid w:val="4F0B7DD0"/>
    <w:rsid w:val="4F3E4782"/>
    <w:rsid w:val="4F5F0698"/>
    <w:rsid w:val="4F9D2544"/>
    <w:rsid w:val="4F9F1B0F"/>
    <w:rsid w:val="4FDB4783"/>
    <w:rsid w:val="50CC248F"/>
    <w:rsid w:val="50EA2253"/>
    <w:rsid w:val="50F10148"/>
    <w:rsid w:val="51081151"/>
    <w:rsid w:val="511429EF"/>
    <w:rsid w:val="515F3303"/>
    <w:rsid w:val="51991091"/>
    <w:rsid w:val="51B353FD"/>
    <w:rsid w:val="51BD7EDC"/>
    <w:rsid w:val="51E46E1E"/>
    <w:rsid w:val="525D691E"/>
    <w:rsid w:val="526B3F2A"/>
    <w:rsid w:val="52C8312A"/>
    <w:rsid w:val="52DB1E9D"/>
    <w:rsid w:val="52DE6BCC"/>
    <w:rsid w:val="52EA30A1"/>
    <w:rsid w:val="52F7756C"/>
    <w:rsid w:val="52F77D6C"/>
    <w:rsid w:val="5343430D"/>
    <w:rsid w:val="53EB36A7"/>
    <w:rsid w:val="542503BF"/>
    <w:rsid w:val="550B72FE"/>
    <w:rsid w:val="550F6DEF"/>
    <w:rsid w:val="55A07087"/>
    <w:rsid w:val="55E0469B"/>
    <w:rsid w:val="55F77EF7"/>
    <w:rsid w:val="562F264F"/>
    <w:rsid w:val="56307F1D"/>
    <w:rsid w:val="563A599F"/>
    <w:rsid w:val="565E29AE"/>
    <w:rsid w:val="56C80241"/>
    <w:rsid w:val="56D0674C"/>
    <w:rsid w:val="56E0328B"/>
    <w:rsid w:val="56E32B00"/>
    <w:rsid w:val="56F95FA8"/>
    <w:rsid w:val="56FB4C08"/>
    <w:rsid w:val="571F7091"/>
    <w:rsid w:val="57482A8C"/>
    <w:rsid w:val="5783121E"/>
    <w:rsid w:val="579C4AA3"/>
    <w:rsid w:val="57B36157"/>
    <w:rsid w:val="583152CE"/>
    <w:rsid w:val="58347FF9"/>
    <w:rsid w:val="583628E4"/>
    <w:rsid w:val="58C16652"/>
    <w:rsid w:val="59060509"/>
    <w:rsid w:val="59617E35"/>
    <w:rsid w:val="59DEB3FB"/>
    <w:rsid w:val="5A8D7133"/>
    <w:rsid w:val="5AAF422B"/>
    <w:rsid w:val="5AB87F28"/>
    <w:rsid w:val="5B264E92"/>
    <w:rsid w:val="5B8D4F11"/>
    <w:rsid w:val="5B993B5A"/>
    <w:rsid w:val="5BC023FC"/>
    <w:rsid w:val="5C165A57"/>
    <w:rsid w:val="5C3F2F33"/>
    <w:rsid w:val="5C4D0240"/>
    <w:rsid w:val="5C90041D"/>
    <w:rsid w:val="5CDA1F97"/>
    <w:rsid w:val="5D3C274B"/>
    <w:rsid w:val="5D3F048D"/>
    <w:rsid w:val="5D7719D5"/>
    <w:rsid w:val="5D7B6683"/>
    <w:rsid w:val="5D962A06"/>
    <w:rsid w:val="5DAA6049"/>
    <w:rsid w:val="5DBB1B93"/>
    <w:rsid w:val="5E463C77"/>
    <w:rsid w:val="5E9D3F29"/>
    <w:rsid w:val="5EA96B9D"/>
    <w:rsid w:val="5EB00087"/>
    <w:rsid w:val="5F014F67"/>
    <w:rsid w:val="5F0D571B"/>
    <w:rsid w:val="5F802EF2"/>
    <w:rsid w:val="5F950838"/>
    <w:rsid w:val="5F9A19AB"/>
    <w:rsid w:val="5F9BAEBC"/>
    <w:rsid w:val="5F9F1931"/>
    <w:rsid w:val="5FF53085"/>
    <w:rsid w:val="5FF9C0CE"/>
    <w:rsid w:val="60FF065F"/>
    <w:rsid w:val="61112641"/>
    <w:rsid w:val="617A1A94"/>
    <w:rsid w:val="61AF1505"/>
    <w:rsid w:val="61B52ACC"/>
    <w:rsid w:val="61DA61FE"/>
    <w:rsid w:val="622814F0"/>
    <w:rsid w:val="627A5AA1"/>
    <w:rsid w:val="62976475"/>
    <w:rsid w:val="62A72D5C"/>
    <w:rsid w:val="637864A7"/>
    <w:rsid w:val="637B1AF3"/>
    <w:rsid w:val="63C27722"/>
    <w:rsid w:val="63D23E09"/>
    <w:rsid w:val="640E757F"/>
    <w:rsid w:val="640F47E2"/>
    <w:rsid w:val="64354398"/>
    <w:rsid w:val="643F5F04"/>
    <w:rsid w:val="648558A4"/>
    <w:rsid w:val="65207144"/>
    <w:rsid w:val="658F073C"/>
    <w:rsid w:val="659147C5"/>
    <w:rsid w:val="65F4277A"/>
    <w:rsid w:val="66630D48"/>
    <w:rsid w:val="668A0DFC"/>
    <w:rsid w:val="66B9305E"/>
    <w:rsid w:val="66C0619B"/>
    <w:rsid w:val="67136A7E"/>
    <w:rsid w:val="6716400D"/>
    <w:rsid w:val="67DD0FCE"/>
    <w:rsid w:val="67FC1454"/>
    <w:rsid w:val="682E590A"/>
    <w:rsid w:val="68784853"/>
    <w:rsid w:val="688764C0"/>
    <w:rsid w:val="692D5055"/>
    <w:rsid w:val="693D54B4"/>
    <w:rsid w:val="695D5F23"/>
    <w:rsid w:val="695E52C5"/>
    <w:rsid w:val="698C4A5A"/>
    <w:rsid w:val="69F30635"/>
    <w:rsid w:val="6A276531"/>
    <w:rsid w:val="6A4A73F1"/>
    <w:rsid w:val="6A5E1D79"/>
    <w:rsid w:val="6A5E607B"/>
    <w:rsid w:val="6A674B7F"/>
    <w:rsid w:val="6A745C1A"/>
    <w:rsid w:val="6A786D8C"/>
    <w:rsid w:val="6B00125C"/>
    <w:rsid w:val="6B017673"/>
    <w:rsid w:val="6B91485C"/>
    <w:rsid w:val="6B981494"/>
    <w:rsid w:val="6BE073E2"/>
    <w:rsid w:val="6C066D46"/>
    <w:rsid w:val="6C6770B8"/>
    <w:rsid w:val="6CDE381E"/>
    <w:rsid w:val="6CFC710B"/>
    <w:rsid w:val="6D090170"/>
    <w:rsid w:val="6D1E3C1B"/>
    <w:rsid w:val="6D2E412A"/>
    <w:rsid w:val="6D374CDD"/>
    <w:rsid w:val="6DDEA0A3"/>
    <w:rsid w:val="6DF20188"/>
    <w:rsid w:val="6EEB2223"/>
    <w:rsid w:val="6F222B8B"/>
    <w:rsid w:val="6F50730C"/>
    <w:rsid w:val="6F7B85AC"/>
    <w:rsid w:val="6FBFDAB9"/>
    <w:rsid w:val="6FCD36D6"/>
    <w:rsid w:val="6FCE6BDE"/>
    <w:rsid w:val="6FD20CED"/>
    <w:rsid w:val="6FE07E43"/>
    <w:rsid w:val="6FE91A27"/>
    <w:rsid w:val="704B11CB"/>
    <w:rsid w:val="714D3D36"/>
    <w:rsid w:val="71506F1B"/>
    <w:rsid w:val="718A4BE0"/>
    <w:rsid w:val="71BB4C59"/>
    <w:rsid w:val="71D55EA4"/>
    <w:rsid w:val="720C06B7"/>
    <w:rsid w:val="723D0FE7"/>
    <w:rsid w:val="72716493"/>
    <w:rsid w:val="728974C3"/>
    <w:rsid w:val="730138C5"/>
    <w:rsid w:val="732B52E4"/>
    <w:rsid w:val="732D4DBE"/>
    <w:rsid w:val="74087741"/>
    <w:rsid w:val="74143DE2"/>
    <w:rsid w:val="742F5451"/>
    <w:rsid w:val="74327ACF"/>
    <w:rsid w:val="7480205F"/>
    <w:rsid w:val="74B81FB9"/>
    <w:rsid w:val="74DF6386"/>
    <w:rsid w:val="74F17E67"/>
    <w:rsid w:val="751C145E"/>
    <w:rsid w:val="75380BAB"/>
    <w:rsid w:val="75614083"/>
    <w:rsid w:val="75950E36"/>
    <w:rsid w:val="75E15FAD"/>
    <w:rsid w:val="75EA461C"/>
    <w:rsid w:val="75F95225"/>
    <w:rsid w:val="76684159"/>
    <w:rsid w:val="766D733C"/>
    <w:rsid w:val="76713B96"/>
    <w:rsid w:val="76EF2D5C"/>
    <w:rsid w:val="775F70FB"/>
    <w:rsid w:val="776D0954"/>
    <w:rsid w:val="77D5581E"/>
    <w:rsid w:val="77F5F3E9"/>
    <w:rsid w:val="784F4498"/>
    <w:rsid w:val="7853714E"/>
    <w:rsid w:val="785B3F75"/>
    <w:rsid w:val="78716991"/>
    <w:rsid w:val="7885416D"/>
    <w:rsid w:val="789B0816"/>
    <w:rsid w:val="78B95140"/>
    <w:rsid w:val="78BF076D"/>
    <w:rsid w:val="78C55892"/>
    <w:rsid w:val="78E646AC"/>
    <w:rsid w:val="78F13B18"/>
    <w:rsid w:val="7932735C"/>
    <w:rsid w:val="79B41A4E"/>
    <w:rsid w:val="79C444CF"/>
    <w:rsid w:val="79E9298C"/>
    <w:rsid w:val="79F10830"/>
    <w:rsid w:val="79FC1788"/>
    <w:rsid w:val="7A367C72"/>
    <w:rsid w:val="7A726EF5"/>
    <w:rsid w:val="7AAA11E4"/>
    <w:rsid w:val="7ADB139D"/>
    <w:rsid w:val="7AFD3B8D"/>
    <w:rsid w:val="7B2E3BC3"/>
    <w:rsid w:val="7BABE247"/>
    <w:rsid w:val="7BFD7BB8"/>
    <w:rsid w:val="7BFF5EEE"/>
    <w:rsid w:val="7C2428D0"/>
    <w:rsid w:val="7C536C4D"/>
    <w:rsid w:val="7C56616F"/>
    <w:rsid w:val="7C6B0F4D"/>
    <w:rsid w:val="7CAB0170"/>
    <w:rsid w:val="7CBF8BA0"/>
    <w:rsid w:val="7CF0FA03"/>
    <w:rsid w:val="7CF24DE2"/>
    <w:rsid w:val="7D0A78F6"/>
    <w:rsid w:val="7D242972"/>
    <w:rsid w:val="7D2863F0"/>
    <w:rsid w:val="7D7653AD"/>
    <w:rsid w:val="7D9D0B8C"/>
    <w:rsid w:val="7DD30A52"/>
    <w:rsid w:val="7DEFB295"/>
    <w:rsid w:val="7DFF6F6E"/>
    <w:rsid w:val="7E7C25E5"/>
    <w:rsid w:val="7EB72D23"/>
    <w:rsid w:val="7ED27648"/>
    <w:rsid w:val="7EE0C3EC"/>
    <w:rsid w:val="7EFB98B6"/>
    <w:rsid w:val="7F1BAE09"/>
    <w:rsid w:val="7F431CAA"/>
    <w:rsid w:val="7F566E72"/>
    <w:rsid w:val="7F5966B1"/>
    <w:rsid w:val="7FFF7F6E"/>
    <w:rsid w:val="8DABFEB3"/>
    <w:rsid w:val="9E3F479B"/>
    <w:rsid w:val="9E9D2532"/>
    <w:rsid w:val="9F7F756D"/>
    <w:rsid w:val="9FFB090C"/>
    <w:rsid w:val="AEA495AC"/>
    <w:rsid w:val="AF788E64"/>
    <w:rsid w:val="B0D97F04"/>
    <w:rsid w:val="BEBBE6B8"/>
    <w:rsid w:val="BF9EAEF4"/>
    <w:rsid w:val="BF9EF82F"/>
    <w:rsid w:val="C37FC0C7"/>
    <w:rsid w:val="D7F7AD79"/>
    <w:rsid w:val="DEF99737"/>
    <w:rsid w:val="DEFFE148"/>
    <w:rsid w:val="DFD21E3B"/>
    <w:rsid w:val="EBBE9C55"/>
    <w:rsid w:val="EDEECA93"/>
    <w:rsid w:val="F5DE62CF"/>
    <w:rsid w:val="F5DF7223"/>
    <w:rsid w:val="F67D0E5C"/>
    <w:rsid w:val="F7F56A71"/>
    <w:rsid w:val="F7F768BC"/>
    <w:rsid w:val="F7FB405B"/>
    <w:rsid w:val="FBAD53A4"/>
    <w:rsid w:val="FEB794E6"/>
    <w:rsid w:val="FEC3132E"/>
    <w:rsid w:val="FF7F7A3E"/>
    <w:rsid w:val="FF92BF16"/>
    <w:rsid w:val="FF9F787D"/>
    <w:rsid w:val="FFEE2B13"/>
    <w:rsid w:val="FFFBF4E7"/>
    <w:rsid w:val="FFFFF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99" w:semiHidden="0" w:name="List Bullet"/>
    <w:lsdException w:qFormat="1" w:unhideWhenUsed="0" w:uiPriority="99" w:semiHidden="0"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uiPriority="99"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qFormat="1" w:unhideWhenUsed="0" w:uiPriority="99" w:semiHidden="0" w:name="HTML Preformatted"/>
    <w:lsdException w:qFormat="1" w:uiPriority="99" w:semiHidden="0"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64"/>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44"/>
    <w:autoRedefine/>
    <w:qFormat/>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66"/>
    <w:autoRedefine/>
    <w:qFormat/>
    <w:uiPriority w:val="99"/>
    <w:pPr>
      <w:keepNext/>
      <w:keepLines/>
      <w:spacing w:before="120" w:after="120"/>
      <w:outlineLvl w:val="2"/>
    </w:pPr>
    <w:rPr>
      <w:b/>
      <w:bCs/>
      <w:sz w:val="32"/>
      <w:szCs w:val="32"/>
    </w:rPr>
  </w:style>
  <w:style w:type="paragraph" w:styleId="5">
    <w:name w:val="heading 4"/>
    <w:basedOn w:val="1"/>
    <w:next w:val="1"/>
    <w:link w:val="67"/>
    <w:autoRedefine/>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8"/>
    <w:autoRedefine/>
    <w:qFormat/>
    <w:uiPriority w:val="99"/>
    <w:pPr>
      <w:keepNext/>
      <w:keepLines/>
      <w:numPr>
        <w:ilvl w:val="4"/>
        <w:numId w:val="1"/>
      </w:numPr>
      <w:spacing w:before="280" w:after="290" w:line="376" w:lineRule="auto"/>
      <w:outlineLvl w:val="4"/>
    </w:pPr>
    <w:rPr>
      <w:b/>
      <w:bCs/>
      <w:kern w:val="0"/>
      <w:sz w:val="28"/>
      <w:szCs w:val="28"/>
    </w:rPr>
  </w:style>
  <w:style w:type="paragraph" w:styleId="8">
    <w:name w:val="heading 6"/>
    <w:basedOn w:val="1"/>
    <w:next w:val="7"/>
    <w:link w:val="69"/>
    <w:autoRedefine/>
    <w:qFormat/>
    <w:uiPriority w:val="99"/>
    <w:pPr>
      <w:keepNext/>
      <w:keepLines/>
      <w:numPr>
        <w:ilvl w:val="5"/>
        <w:numId w:val="1"/>
      </w:numPr>
      <w:spacing w:before="240" w:after="64" w:line="320" w:lineRule="auto"/>
      <w:outlineLvl w:val="5"/>
    </w:pPr>
    <w:rPr>
      <w:rFonts w:ascii="Arial" w:hAnsi="Arial" w:eastAsia="黑体"/>
      <w:b/>
      <w:bCs/>
      <w:kern w:val="0"/>
      <w:sz w:val="24"/>
      <w:szCs w:val="24"/>
    </w:rPr>
  </w:style>
  <w:style w:type="paragraph" w:styleId="9">
    <w:name w:val="heading 7"/>
    <w:basedOn w:val="1"/>
    <w:next w:val="1"/>
    <w:link w:val="70"/>
    <w:autoRedefine/>
    <w:qFormat/>
    <w:uiPriority w:val="99"/>
    <w:pPr>
      <w:keepNext/>
      <w:keepLines/>
      <w:numPr>
        <w:ilvl w:val="6"/>
        <w:numId w:val="1"/>
      </w:numPr>
      <w:spacing w:before="240" w:after="64" w:line="320" w:lineRule="auto"/>
      <w:outlineLvl w:val="6"/>
    </w:pPr>
    <w:rPr>
      <w:b/>
      <w:bCs/>
      <w:kern w:val="0"/>
      <w:sz w:val="24"/>
      <w:szCs w:val="24"/>
    </w:rPr>
  </w:style>
  <w:style w:type="paragraph" w:styleId="10">
    <w:name w:val="heading 8"/>
    <w:basedOn w:val="1"/>
    <w:next w:val="7"/>
    <w:link w:val="71"/>
    <w:autoRedefine/>
    <w:qFormat/>
    <w:uiPriority w:val="99"/>
    <w:pPr>
      <w:keepNext/>
      <w:keepLines/>
      <w:numPr>
        <w:ilvl w:val="7"/>
        <w:numId w:val="1"/>
      </w:numPr>
      <w:spacing w:before="240" w:after="64" w:line="320" w:lineRule="auto"/>
      <w:outlineLvl w:val="7"/>
    </w:pPr>
    <w:rPr>
      <w:rFonts w:ascii="Arial" w:hAnsi="Arial" w:eastAsia="黑体"/>
      <w:kern w:val="0"/>
      <w:sz w:val="24"/>
      <w:szCs w:val="24"/>
    </w:rPr>
  </w:style>
  <w:style w:type="paragraph" w:styleId="11">
    <w:name w:val="heading 9"/>
    <w:basedOn w:val="1"/>
    <w:next w:val="7"/>
    <w:link w:val="72"/>
    <w:autoRedefine/>
    <w:qFormat/>
    <w:uiPriority w:val="99"/>
    <w:pPr>
      <w:keepNext/>
      <w:keepLines/>
      <w:numPr>
        <w:ilvl w:val="8"/>
        <w:numId w:val="1"/>
      </w:numPr>
      <w:spacing w:before="240" w:after="64" w:line="320" w:lineRule="auto"/>
      <w:outlineLvl w:val="8"/>
    </w:pPr>
    <w:rPr>
      <w:rFonts w:ascii="Arial" w:hAnsi="Arial" w:eastAsia="黑体"/>
      <w:kern w:val="0"/>
      <w:sz w:val="20"/>
      <w:szCs w:val="20"/>
    </w:rPr>
  </w:style>
  <w:style w:type="character" w:default="1" w:styleId="51">
    <w:name w:val="Default Paragraph Font"/>
    <w:semiHidden/>
    <w:unhideWhenUsed/>
    <w:qFormat/>
    <w:uiPriority w:val="1"/>
  </w:style>
  <w:style w:type="table" w:default="1" w:styleId="49">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link w:val="316"/>
    <w:autoRedefine/>
    <w:qFormat/>
    <w:uiPriority w:val="99"/>
    <w:pPr>
      <w:ind w:firstLine="420"/>
    </w:pPr>
  </w:style>
  <w:style w:type="paragraph" w:styleId="12">
    <w:name w:val="toc 7"/>
    <w:basedOn w:val="1"/>
    <w:next w:val="1"/>
    <w:autoRedefine/>
    <w:qFormat/>
    <w:uiPriority w:val="39"/>
    <w:pPr>
      <w:ind w:left="2520" w:leftChars="1200"/>
    </w:pPr>
  </w:style>
  <w:style w:type="paragraph" w:styleId="13">
    <w:name w:val="Note Heading"/>
    <w:basedOn w:val="1"/>
    <w:next w:val="1"/>
    <w:link w:val="73"/>
    <w:autoRedefine/>
    <w:qFormat/>
    <w:uiPriority w:val="99"/>
    <w:pPr>
      <w:jc w:val="center"/>
    </w:pPr>
  </w:style>
  <w:style w:type="paragraph" w:styleId="14">
    <w:name w:val="List Bullet 4"/>
    <w:basedOn w:val="1"/>
    <w:autoRedefine/>
    <w:qFormat/>
    <w:uiPriority w:val="99"/>
    <w:pPr>
      <w:widowControl/>
      <w:tabs>
        <w:tab w:val="left" w:pos="840"/>
      </w:tabs>
      <w:overflowPunct w:val="0"/>
      <w:autoSpaceDE w:val="0"/>
      <w:autoSpaceDN w:val="0"/>
      <w:adjustRightInd w:val="0"/>
      <w:ind w:left="1180" w:hanging="340"/>
      <w:jc w:val="left"/>
      <w:textAlignment w:val="baseline"/>
    </w:pPr>
    <w:rPr>
      <w:rFonts w:ascii="Courier" w:hAnsi="Courier" w:cs="Courier"/>
      <w:kern w:val="0"/>
      <w:sz w:val="24"/>
      <w:szCs w:val="24"/>
    </w:rPr>
  </w:style>
  <w:style w:type="paragraph" w:styleId="15">
    <w:name w:val="List Number"/>
    <w:basedOn w:val="1"/>
    <w:autoRedefine/>
    <w:qFormat/>
    <w:uiPriority w:val="99"/>
    <w:pPr>
      <w:tabs>
        <w:tab w:val="left" w:pos="560"/>
      </w:tabs>
      <w:ind w:left="900" w:hanging="340"/>
    </w:pPr>
  </w:style>
  <w:style w:type="paragraph" w:styleId="16">
    <w:name w:val="caption"/>
    <w:basedOn w:val="1"/>
    <w:next w:val="1"/>
    <w:autoRedefine/>
    <w:qFormat/>
    <w:uiPriority w:val="99"/>
    <w:pPr>
      <w:spacing w:line="480" w:lineRule="auto"/>
    </w:pPr>
    <w:rPr>
      <w:rFonts w:ascii="华文中宋" w:hAnsi="华文中宋" w:eastAsia="华文中宋" w:cs="华文中宋"/>
      <w:sz w:val="36"/>
      <w:szCs w:val="36"/>
    </w:rPr>
  </w:style>
  <w:style w:type="paragraph" w:styleId="17">
    <w:name w:val="List Bullet"/>
    <w:basedOn w:val="1"/>
    <w:autoRedefine/>
    <w:qFormat/>
    <w:uiPriority w:val="99"/>
    <w:pPr>
      <w:adjustRightInd w:val="0"/>
      <w:spacing w:line="300" w:lineRule="auto"/>
      <w:ind w:left="360" w:hanging="360"/>
      <w:textAlignment w:val="baseline"/>
    </w:pPr>
    <w:rPr>
      <w:kern w:val="0"/>
      <w:sz w:val="24"/>
      <w:szCs w:val="24"/>
    </w:rPr>
  </w:style>
  <w:style w:type="paragraph" w:styleId="18">
    <w:name w:val="Document Map"/>
    <w:basedOn w:val="1"/>
    <w:link w:val="74"/>
    <w:autoRedefine/>
    <w:semiHidden/>
    <w:qFormat/>
    <w:uiPriority w:val="99"/>
    <w:pPr>
      <w:shd w:val="clear" w:color="auto" w:fill="000080"/>
    </w:pPr>
  </w:style>
  <w:style w:type="paragraph" w:styleId="19">
    <w:name w:val="annotation text"/>
    <w:basedOn w:val="1"/>
    <w:link w:val="75"/>
    <w:autoRedefine/>
    <w:qFormat/>
    <w:uiPriority w:val="99"/>
    <w:pPr>
      <w:jc w:val="left"/>
    </w:pPr>
  </w:style>
  <w:style w:type="paragraph" w:styleId="20">
    <w:name w:val="Salutation"/>
    <w:basedOn w:val="1"/>
    <w:next w:val="1"/>
    <w:link w:val="76"/>
    <w:autoRedefine/>
    <w:qFormat/>
    <w:uiPriority w:val="99"/>
    <w:pPr>
      <w:spacing w:beforeLines="40" w:afterLines="40" w:line="312" w:lineRule="auto"/>
    </w:pPr>
    <w:rPr>
      <w:sz w:val="24"/>
      <w:szCs w:val="24"/>
    </w:rPr>
  </w:style>
  <w:style w:type="paragraph" w:styleId="21">
    <w:name w:val="Body Text 3"/>
    <w:basedOn w:val="1"/>
    <w:link w:val="77"/>
    <w:autoRedefine/>
    <w:qFormat/>
    <w:uiPriority w:val="99"/>
    <w:pPr>
      <w:autoSpaceDE w:val="0"/>
      <w:autoSpaceDN w:val="0"/>
      <w:jc w:val="center"/>
    </w:pPr>
    <w:rPr>
      <w:sz w:val="16"/>
      <w:szCs w:val="16"/>
    </w:rPr>
  </w:style>
  <w:style w:type="paragraph" w:styleId="22">
    <w:name w:val="List Bullet 3"/>
    <w:basedOn w:val="1"/>
    <w:autoRedefine/>
    <w:qFormat/>
    <w:uiPriority w:val="99"/>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cs="Courier"/>
      <w:kern w:val="0"/>
      <w:sz w:val="24"/>
      <w:szCs w:val="24"/>
    </w:rPr>
  </w:style>
  <w:style w:type="paragraph" w:styleId="23">
    <w:name w:val="Body Text"/>
    <w:basedOn w:val="1"/>
    <w:link w:val="78"/>
    <w:autoRedefine/>
    <w:qFormat/>
    <w:uiPriority w:val="99"/>
    <w:pPr>
      <w:spacing w:line="360" w:lineRule="auto"/>
    </w:pPr>
    <w:rPr>
      <w:sz w:val="24"/>
      <w:szCs w:val="24"/>
    </w:rPr>
  </w:style>
  <w:style w:type="paragraph" w:styleId="24">
    <w:name w:val="Body Text Indent"/>
    <w:basedOn w:val="1"/>
    <w:link w:val="79"/>
    <w:autoRedefine/>
    <w:qFormat/>
    <w:uiPriority w:val="0"/>
    <w:pPr>
      <w:ind w:firstLine="444"/>
    </w:pPr>
    <w:rPr>
      <w:b/>
      <w:bCs/>
      <w:sz w:val="24"/>
      <w:szCs w:val="24"/>
    </w:rPr>
  </w:style>
  <w:style w:type="paragraph" w:styleId="25">
    <w:name w:val="List Bullet 2"/>
    <w:basedOn w:val="1"/>
    <w:autoRedefine/>
    <w:qFormat/>
    <w:uiPriority w:val="99"/>
    <w:pPr>
      <w:tabs>
        <w:tab w:val="left" w:pos="1680"/>
      </w:tabs>
      <w:spacing w:line="360" w:lineRule="auto"/>
      <w:ind w:left="1680" w:hanging="420"/>
    </w:pPr>
    <w:rPr>
      <w:sz w:val="24"/>
      <w:szCs w:val="24"/>
    </w:r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tabs>
        <w:tab w:val="right" w:leader="dot" w:pos="9231"/>
      </w:tabs>
      <w:ind w:left="840" w:leftChars="400"/>
    </w:pPr>
  </w:style>
  <w:style w:type="paragraph" w:styleId="28">
    <w:name w:val="Plain Text"/>
    <w:basedOn w:val="1"/>
    <w:link w:val="80"/>
    <w:autoRedefine/>
    <w:qFormat/>
    <w:uiPriority w:val="0"/>
    <w:rPr>
      <w:rFonts w:ascii="宋体" w:hAnsi="Courier New"/>
    </w:rPr>
  </w:style>
  <w:style w:type="paragraph" w:styleId="29">
    <w:name w:val="toc 8"/>
    <w:basedOn w:val="1"/>
    <w:next w:val="1"/>
    <w:autoRedefine/>
    <w:qFormat/>
    <w:uiPriority w:val="39"/>
    <w:pPr>
      <w:ind w:left="2940" w:leftChars="1400"/>
    </w:pPr>
  </w:style>
  <w:style w:type="paragraph" w:styleId="30">
    <w:name w:val="Date"/>
    <w:basedOn w:val="1"/>
    <w:next w:val="1"/>
    <w:link w:val="81"/>
    <w:autoRedefine/>
    <w:qFormat/>
    <w:uiPriority w:val="99"/>
  </w:style>
  <w:style w:type="paragraph" w:styleId="31">
    <w:name w:val="Body Text Indent 2"/>
    <w:basedOn w:val="1"/>
    <w:link w:val="82"/>
    <w:autoRedefine/>
    <w:qFormat/>
    <w:uiPriority w:val="99"/>
    <w:pPr>
      <w:adjustRightInd w:val="0"/>
      <w:spacing w:line="360" w:lineRule="auto"/>
      <w:ind w:firstLine="420" w:firstLineChars="175"/>
    </w:pPr>
    <w:rPr>
      <w:rFonts w:ascii="宋体"/>
      <w:b/>
      <w:bCs/>
      <w:sz w:val="24"/>
      <w:szCs w:val="24"/>
    </w:rPr>
  </w:style>
  <w:style w:type="paragraph" w:styleId="32">
    <w:name w:val="Balloon Text"/>
    <w:basedOn w:val="1"/>
    <w:link w:val="83"/>
    <w:autoRedefine/>
    <w:semiHidden/>
    <w:qFormat/>
    <w:uiPriority w:val="99"/>
    <w:rPr>
      <w:sz w:val="18"/>
      <w:szCs w:val="18"/>
    </w:rPr>
  </w:style>
  <w:style w:type="paragraph" w:styleId="33">
    <w:name w:val="footer"/>
    <w:basedOn w:val="1"/>
    <w:link w:val="63"/>
    <w:autoRedefine/>
    <w:unhideWhenUsed/>
    <w:qFormat/>
    <w:uiPriority w:val="99"/>
    <w:pPr>
      <w:tabs>
        <w:tab w:val="center" w:pos="4153"/>
        <w:tab w:val="right" w:pos="8306"/>
      </w:tabs>
      <w:snapToGrid w:val="0"/>
      <w:jc w:val="left"/>
    </w:pPr>
    <w:rPr>
      <w:sz w:val="18"/>
      <w:szCs w:val="18"/>
    </w:rPr>
  </w:style>
  <w:style w:type="paragraph" w:styleId="34">
    <w:name w:val="header"/>
    <w:basedOn w:val="1"/>
    <w:link w:val="6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qFormat/>
    <w:uiPriority w:val="39"/>
    <w:pPr>
      <w:tabs>
        <w:tab w:val="left" w:pos="840"/>
        <w:tab w:val="right" w:leader="dot" w:pos="9231"/>
      </w:tabs>
    </w:pPr>
  </w:style>
  <w:style w:type="paragraph" w:styleId="36">
    <w:name w:val="toc 4"/>
    <w:basedOn w:val="1"/>
    <w:next w:val="1"/>
    <w:autoRedefine/>
    <w:qFormat/>
    <w:uiPriority w:val="39"/>
    <w:pPr>
      <w:ind w:left="1260" w:leftChars="600"/>
    </w:pPr>
  </w:style>
  <w:style w:type="paragraph" w:styleId="37">
    <w:name w:val="Subtitle"/>
    <w:basedOn w:val="1"/>
    <w:next w:val="1"/>
    <w:link w:val="84"/>
    <w:autoRedefine/>
    <w:qFormat/>
    <w:uiPriority w:val="99"/>
    <w:pPr>
      <w:spacing w:beforeLines="100" w:afterLines="50" w:line="360" w:lineRule="auto"/>
      <w:jc w:val="center"/>
    </w:pPr>
    <w:rPr>
      <w:rFonts w:ascii="Arial" w:hAnsi="Arial" w:eastAsia="方正魏碑简体"/>
      <w:kern w:val="28"/>
      <w:sz w:val="32"/>
      <w:szCs w:val="32"/>
    </w:rPr>
  </w:style>
  <w:style w:type="paragraph" w:styleId="38">
    <w:name w:val="footnote text"/>
    <w:basedOn w:val="1"/>
    <w:link w:val="326"/>
    <w:autoRedefine/>
    <w:semiHidden/>
    <w:qFormat/>
    <w:uiPriority w:val="99"/>
    <w:pPr>
      <w:snapToGrid w:val="0"/>
      <w:jc w:val="left"/>
    </w:pPr>
    <w:rPr>
      <w:sz w:val="18"/>
      <w:szCs w:val="18"/>
    </w:rPr>
  </w:style>
  <w:style w:type="paragraph" w:styleId="39">
    <w:name w:val="toc 6"/>
    <w:basedOn w:val="1"/>
    <w:next w:val="1"/>
    <w:autoRedefine/>
    <w:qFormat/>
    <w:uiPriority w:val="39"/>
    <w:pPr>
      <w:ind w:left="2100" w:leftChars="1000"/>
    </w:pPr>
  </w:style>
  <w:style w:type="paragraph" w:styleId="40">
    <w:name w:val="Body Text Indent 3"/>
    <w:basedOn w:val="1"/>
    <w:link w:val="86"/>
    <w:autoRedefine/>
    <w:qFormat/>
    <w:uiPriority w:val="99"/>
    <w:pPr>
      <w:spacing w:afterLines="50"/>
      <w:ind w:firstLine="420" w:firstLineChars="200"/>
    </w:pPr>
  </w:style>
  <w:style w:type="paragraph" w:styleId="41">
    <w:name w:val="toc 2"/>
    <w:basedOn w:val="1"/>
    <w:next w:val="1"/>
    <w:autoRedefine/>
    <w:qFormat/>
    <w:uiPriority w:val="39"/>
    <w:pPr>
      <w:tabs>
        <w:tab w:val="left" w:pos="851"/>
        <w:tab w:val="right" w:leader="dot" w:pos="9231"/>
      </w:tabs>
      <w:ind w:left="420" w:leftChars="200"/>
    </w:pPr>
  </w:style>
  <w:style w:type="paragraph" w:styleId="42">
    <w:name w:val="toc 9"/>
    <w:basedOn w:val="1"/>
    <w:next w:val="1"/>
    <w:autoRedefine/>
    <w:qFormat/>
    <w:uiPriority w:val="39"/>
    <w:pPr>
      <w:ind w:left="3360" w:leftChars="1600"/>
    </w:pPr>
  </w:style>
  <w:style w:type="paragraph" w:styleId="43">
    <w:name w:val="Body Text 2"/>
    <w:basedOn w:val="1"/>
    <w:link w:val="87"/>
    <w:autoRedefine/>
    <w:qFormat/>
    <w:uiPriority w:val="99"/>
    <w:pPr>
      <w:spacing w:after="120" w:line="480" w:lineRule="auto"/>
    </w:pPr>
  </w:style>
  <w:style w:type="paragraph" w:styleId="44">
    <w:name w:val="HTML Preformatted"/>
    <w:basedOn w:val="1"/>
    <w:link w:val="88"/>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szCs w:val="24"/>
    </w:rPr>
  </w:style>
  <w:style w:type="paragraph" w:styleId="4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46">
    <w:name w:val="Title"/>
    <w:basedOn w:val="1"/>
    <w:link w:val="89"/>
    <w:autoRedefine/>
    <w:qFormat/>
    <w:uiPriority w:val="99"/>
    <w:pPr>
      <w:spacing w:before="240" w:after="240" w:line="360" w:lineRule="auto"/>
      <w:jc w:val="center"/>
    </w:pPr>
    <w:rPr>
      <w:rFonts w:ascii="Arial" w:hAnsi="Arial" w:eastAsia="黑体"/>
      <w:sz w:val="44"/>
      <w:szCs w:val="44"/>
    </w:rPr>
  </w:style>
  <w:style w:type="paragraph" w:styleId="47">
    <w:name w:val="annotation subject"/>
    <w:basedOn w:val="19"/>
    <w:next w:val="19"/>
    <w:link w:val="90"/>
    <w:autoRedefine/>
    <w:semiHidden/>
    <w:qFormat/>
    <w:uiPriority w:val="99"/>
    <w:rPr>
      <w:b/>
      <w:bCs/>
    </w:rPr>
  </w:style>
  <w:style w:type="paragraph" w:styleId="48">
    <w:name w:val="Body Text First Indent"/>
    <w:basedOn w:val="23"/>
    <w:link w:val="91"/>
    <w:autoRedefine/>
    <w:qFormat/>
    <w:uiPriority w:val="99"/>
    <w:pPr>
      <w:spacing w:after="120" w:line="300" w:lineRule="auto"/>
      <w:ind w:firstLine="510"/>
    </w:pPr>
  </w:style>
  <w:style w:type="table" w:styleId="50">
    <w:name w:val="Table Grid"/>
    <w:basedOn w:val="4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autoRedefine/>
    <w:qFormat/>
    <w:uiPriority w:val="99"/>
    <w:rPr>
      <w:b/>
      <w:bCs/>
    </w:rPr>
  </w:style>
  <w:style w:type="character" w:styleId="53">
    <w:name w:val="page number"/>
    <w:basedOn w:val="51"/>
    <w:autoRedefine/>
    <w:qFormat/>
    <w:uiPriority w:val="99"/>
  </w:style>
  <w:style w:type="character" w:styleId="54">
    <w:name w:val="FollowedHyperlink"/>
    <w:basedOn w:val="51"/>
    <w:autoRedefine/>
    <w:qFormat/>
    <w:uiPriority w:val="99"/>
    <w:rPr>
      <w:color w:val="337AB7"/>
      <w:u w:val="none"/>
    </w:rPr>
  </w:style>
  <w:style w:type="character" w:styleId="55">
    <w:name w:val="Emphasis"/>
    <w:autoRedefine/>
    <w:qFormat/>
    <w:uiPriority w:val="99"/>
    <w:rPr>
      <w:i/>
      <w:iCs/>
    </w:rPr>
  </w:style>
  <w:style w:type="character" w:styleId="56">
    <w:name w:val="HTML Definition"/>
    <w:basedOn w:val="51"/>
    <w:autoRedefine/>
    <w:unhideWhenUsed/>
    <w:qFormat/>
    <w:uiPriority w:val="99"/>
    <w:rPr>
      <w:i/>
    </w:rPr>
  </w:style>
  <w:style w:type="character" w:styleId="57">
    <w:name w:val="Hyperlink"/>
    <w:basedOn w:val="51"/>
    <w:autoRedefine/>
    <w:qFormat/>
    <w:uiPriority w:val="99"/>
    <w:rPr>
      <w:color w:val="337AB7"/>
      <w:u w:val="none"/>
    </w:rPr>
  </w:style>
  <w:style w:type="character" w:styleId="58">
    <w:name w:val="HTML Code"/>
    <w:basedOn w:val="51"/>
    <w:autoRedefine/>
    <w:unhideWhenUsed/>
    <w:qFormat/>
    <w:uiPriority w:val="99"/>
    <w:rPr>
      <w:rFonts w:hint="default" w:ascii="Consolas" w:hAnsi="Consolas" w:eastAsia="Consolas" w:cs="Consolas"/>
      <w:color w:val="C7254E"/>
      <w:sz w:val="21"/>
      <w:szCs w:val="21"/>
      <w:shd w:val="clear" w:color="auto" w:fill="F9F2F4"/>
    </w:rPr>
  </w:style>
  <w:style w:type="character" w:styleId="59">
    <w:name w:val="annotation reference"/>
    <w:autoRedefine/>
    <w:semiHidden/>
    <w:qFormat/>
    <w:uiPriority w:val="99"/>
    <w:rPr>
      <w:sz w:val="21"/>
      <w:szCs w:val="21"/>
    </w:rPr>
  </w:style>
  <w:style w:type="character" w:styleId="60">
    <w:name w:val="HTML Keyboard"/>
    <w:basedOn w:val="51"/>
    <w:autoRedefine/>
    <w:unhideWhenUsed/>
    <w:qFormat/>
    <w:uiPriority w:val="99"/>
    <w:rPr>
      <w:rFonts w:ascii="Consolas" w:hAnsi="Consolas" w:eastAsia="Consolas" w:cs="Consolas"/>
      <w:color w:val="FFFFFF"/>
      <w:sz w:val="21"/>
      <w:szCs w:val="21"/>
      <w:shd w:val="clear" w:color="auto" w:fill="333333"/>
    </w:rPr>
  </w:style>
  <w:style w:type="character" w:styleId="61">
    <w:name w:val="HTML Sample"/>
    <w:basedOn w:val="51"/>
    <w:autoRedefine/>
    <w:unhideWhenUsed/>
    <w:qFormat/>
    <w:uiPriority w:val="99"/>
    <w:rPr>
      <w:rFonts w:hint="default" w:ascii="Consolas" w:hAnsi="Consolas" w:eastAsia="Consolas" w:cs="Consolas"/>
      <w:b/>
      <w:color w:val="FFFFFF"/>
      <w:sz w:val="21"/>
      <w:szCs w:val="21"/>
      <w:shd w:val="clear" w:color="auto" w:fill="777777"/>
    </w:rPr>
  </w:style>
  <w:style w:type="character" w:customStyle="1" w:styleId="62">
    <w:name w:val="页眉 Char"/>
    <w:basedOn w:val="51"/>
    <w:link w:val="34"/>
    <w:autoRedefine/>
    <w:qFormat/>
    <w:uiPriority w:val="99"/>
    <w:rPr>
      <w:sz w:val="18"/>
      <w:szCs w:val="18"/>
    </w:rPr>
  </w:style>
  <w:style w:type="character" w:customStyle="1" w:styleId="63">
    <w:name w:val="页脚 Char"/>
    <w:basedOn w:val="51"/>
    <w:link w:val="33"/>
    <w:autoRedefine/>
    <w:qFormat/>
    <w:uiPriority w:val="99"/>
    <w:rPr>
      <w:sz w:val="18"/>
      <w:szCs w:val="18"/>
    </w:rPr>
  </w:style>
  <w:style w:type="character" w:customStyle="1" w:styleId="64">
    <w:name w:val="标题 1 Char"/>
    <w:basedOn w:val="51"/>
    <w:link w:val="2"/>
    <w:autoRedefine/>
    <w:qFormat/>
    <w:uiPriority w:val="99"/>
    <w:rPr>
      <w:rFonts w:ascii="Times New Roman" w:hAnsi="Times New Roman" w:eastAsia="宋体" w:cs="Times New Roman"/>
      <w:b/>
      <w:bCs/>
      <w:kern w:val="44"/>
      <w:sz w:val="44"/>
      <w:szCs w:val="44"/>
    </w:rPr>
  </w:style>
  <w:style w:type="character" w:customStyle="1" w:styleId="65">
    <w:name w:val="标题 2 Char"/>
    <w:basedOn w:val="51"/>
    <w:autoRedefine/>
    <w:qFormat/>
    <w:uiPriority w:val="99"/>
    <w:rPr>
      <w:rFonts w:asciiTheme="majorHAnsi" w:hAnsiTheme="majorHAnsi" w:eastAsiaTheme="majorEastAsia" w:cstheme="majorBidi"/>
      <w:b/>
      <w:bCs/>
      <w:sz w:val="32"/>
      <w:szCs w:val="32"/>
    </w:rPr>
  </w:style>
  <w:style w:type="character" w:customStyle="1" w:styleId="66">
    <w:name w:val="标题 3 Char"/>
    <w:basedOn w:val="51"/>
    <w:link w:val="4"/>
    <w:autoRedefine/>
    <w:qFormat/>
    <w:uiPriority w:val="99"/>
    <w:rPr>
      <w:rFonts w:ascii="Times New Roman" w:hAnsi="Times New Roman" w:eastAsia="宋体" w:cs="Times New Roman"/>
      <w:b/>
      <w:bCs/>
      <w:sz w:val="32"/>
      <w:szCs w:val="32"/>
    </w:rPr>
  </w:style>
  <w:style w:type="character" w:customStyle="1" w:styleId="67">
    <w:name w:val="标题 4 Char"/>
    <w:basedOn w:val="51"/>
    <w:link w:val="5"/>
    <w:autoRedefine/>
    <w:qFormat/>
    <w:uiPriority w:val="99"/>
    <w:rPr>
      <w:rFonts w:ascii="Arial" w:hAnsi="Arial" w:eastAsia="黑体" w:cs="Times New Roman"/>
      <w:b/>
      <w:bCs/>
      <w:sz w:val="28"/>
      <w:szCs w:val="28"/>
    </w:rPr>
  </w:style>
  <w:style w:type="character" w:customStyle="1" w:styleId="68">
    <w:name w:val="标题 5 Char"/>
    <w:basedOn w:val="51"/>
    <w:link w:val="6"/>
    <w:autoRedefine/>
    <w:qFormat/>
    <w:uiPriority w:val="99"/>
    <w:rPr>
      <w:rFonts w:ascii="Times New Roman" w:hAnsi="Times New Roman" w:eastAsia="宋体" w:cs="Times New Roman"/>
      <w:b/>
      <w:bCs/>
      <w:kern w:val="0"/>
      <w:sz w:val="28"/>
      <w:szCs w:val="28"/>
    </w:rPr>
  </w:style>
  <w:style w:type="character" w:customStyle="1" w:styleId="69">
    <w:name w:val="标题 6 Char"/>
    <w:basedOn w:val="51"/>
    <w:link w:val="8"/>
    <w:autoRedefine/>
    <w:qFormat/>
    <w:uiPriority w:val="99"/>
    <w:rPr>
      <w:rFonts w:ascii="Arial" w:hAnsi="Arial" w:eastAsia="黑体" w:cs="Times New Roman"/>
      <w:b/>
      <w:bCs/>
      <w:kern w:val="0"/>
      <w:sz w:val="24"/>
      <w:szCs w:val="24"/>
    </w:rPr>
  </w:style>
  <w:style w:type="character" w:customStyle="1" w:styleId="70">
    <w:name w:val="标题 7 Char"/>
    <w:basedOn w:val="51"/>
    <w:link w:val="9"/>
    <w:autoRedefine/>
    <w:qFormat/>
    <w:uiPriority w:val="99"/>
    <w:rPr>
      <w:rFonts w:ascii="Times New Roman" w:hAnsi="Times New Roman" w:eastAsia="宋体" w:cs="Times New Roman"/>
      <w:b/>
      <w:bCs/>
      <w:kern w:val="0"/>
      <w:sz w:val="24"/>
      <w:szCs w:val="24"/>
    </w:rPr>
  </w:style>
  <w:style w:type="character" w:customStyle="1" w:styleId="71">
    <w:name w:val="标题 8 Char"/>
    <w:basedOn w:val="51"/>
    <w:link w:val="10"/>
    <w:autoRedefine/>
    <w:qFormat/>
    <w:uiPriority w:val="99"/>
    <w:rPr>
      <w:rFonts w:ascii="Arial" w:hAnsi="Arial" w:eastAsia="黑体" w:cs="Times New Roman"/>
      <w:kern w:val="0"/>
      <w:sz w:val="24"/>
      <w:szCs w:val="24"/>
    </w:rPr>
  </w:style>
  <w:style w:type="character" w:customStyle="1" w:styleId="72">
    <w:name w:val="标题 9 Char"/>
    <w:basedOn w:val="51"/>
    <w:link w:val="11"/>
    <w:autoRedefine/>
    <w:qFormat/>
    <w:uiPriority w:val="99"/>
    <w:rPr>
      <w:rFonts w:ascii="Arial" w:hAnsi="Arial" w:eastAsia="黑体" w:cs="Times New Roman"/>
      <w:kern w:val="0"/>
      <w:sz w:val="20"/>
      <w:szCs w:val="20"/>
    </w:rPr>
  </w:style>
  <w:style w:type="character" w:customStyle="1" w:styleId="73">
    <w:name w:val="注释标题 Char"/>
    <w:basedOn w:val="51"/>
    <w:link w:val="13"/>
    <w:autoRedefine/>
    <w:qFormat/>
    <w:uiPriority w:val="99"/>
    <w:rPr>
      <w:rFonts w:ascii="Times New Roman" w:hAnsi="Times New Roman" w:eastAsia="宋体" w:cs="Times New Roman"/>
      <w:szCs w:val="21"/>
    </w:rPr>
  </w:style>
  <w:style w:type="character" w:customStyle="1" w:styleId="74">
    <w:name w:val="文档结构图 Char"/>
    <w:basedOn w:val="51"/>
    <w:link w:val="18"/>
    <w:autoRedefine/>
    <w:semiHidden/>
    <w:qFormat/>
    <w:uiPriority w:val="99"/>
    <w:rPr>
      <w:rFonts w:ascii="Times New Roman" w:hAnsi="Times New Roman" w:eastAsia="宋体" w:cs="Times New Roman"/>
      <w:szCs w:val="21"/>
      <w:shd w:val="clear" w:color="auto" w:fill="000080"/>
    </w:rPr>
  </w:style>
  <w:style w:type="character" w:customStyle="1" w:styleId="75">
    <w:name w:val="批注文字 Char"/>
    <w:basedOn w:val="51"/>
    <w:link w:val="19"/>
    <w:autoRedefine/>
    <w:qFormat/>
    <w:uiPriority w:val="99"/>
    <w:rPr>
      <w:rFonts w:ascii="Times New Roman" w:hAnsi="Times New Roman" w:eastAsia="宋体" w:cs="Times New Roman"/>
      <w:szCs w:val="21"/>
    </w:rPr>
  </w:style>
  <w:style w:type="character" w:customStyle="1" w:styleId="76">
    <w:name w:val="称呼 Char"/>
    <w:basedOn w:val="51"/>
    <w:link w:val="20"/>
    <w:autoRedefine/>
    <w:qFormat/>
    <w:uiPriority w:val="99"/>
    <w:rPr>
      <w:rFonts w:ascii="Times New Roman" w:hAnsi="Times New Roman" w:eastAsia="宋体" w:cs="Times New Roman"/>
      <w:sz w:val="24"/>
      <w:szCs w:val="24"/>
    </w:rPr>
  </w:style>
  <w:style w:type="character" w:customStyle="1" w:styleId="77">
    <w:name w:val="正文文本 3 Char"/>
    <w:basedOn w:val="51"/>
    <w:link w:val="21"/>
    <w:autoRedefine/>
    <w:qFormat/>
    <w:uiPriority w:val="99"/>
    <w:rPr>
      <w:rFonts w:ascii="Times New Roman" w:hAnsi="Times New Roman" w:eastAsia="宋体" w:cs="Times New Roman"/>
      <w:sz w:val="16"/>
      <w:szCs w:val="16"/>
    </w:rPr>
  </w:style>
  <w:style w:type="character" w:customStyle="1" w:styleId="78">
    <w:name w:val="正文文本 Char"/>
    <w:basedOn w:val="51"/>
    <w:link w:val="23"/>
    <w:autoRedefine/>
    <w:qFormat/>
    <w:uiPriority w:val="99"/>
    <w:rPr>
      <w:rFonts w:ascii="Times New Roman" w:hAnsi="Times New Roman" w:eastAsia="宋体" w:cs="Times New Roman"/>
      <w:sz w:val="24"/>
      <w:szCs w:val="24"/>
    </w:rPr>
  </w:style>
  <w:style w:type="character" w:customStyle="1" w:styleId="79">
    <w:name w:val="正文文本缩进 Char"/>
    <w:basedOn w:val="51"/>
    <w:link w:val="24"/>
    <w:autoRedefine/>
    <w:qFormat/>
    <w:uiPriority w:val="0"/>
    <w:rPr>
      <w:rFonts w:ascii="Times New Roman" w:hAnsi="Times New Roman" w:eastAsia="宋体" w:cs="Times New Roman"/>
      <w:b/>
      <w:bCs/>
      <w:sz w:val="24"/>
      <w:szCs w:val="24"/>
    </w:rPr>
  </w:style>
  <w:style w:type="character" w:customStyle="1" w:styleId="80">
    <w:name w:val="纯文本 Char"/>
    <w:basedOn w:val="51"/>
    <w:link w:val="28"/>
    <w:autoRedefine/>
    <w:qFormat/>
    <w:uiPriority w:val="99"/>
    <w:rPr>
      <w:rFonts w:ascii="宋体" w:hAnsi="Courier New" w:eastAsia="宋体" w:cs="Times New Roman"/>
      <w:szCs w:val="21"/>
    </w:rPr>
  </w:style>
  <w:style w:type="character" w:customStyle="1" w:styleId="81">
    <w:name w:val="日期 Char"/>
    <w:basedOn w:val="51"/>
    <w:link w:val="30"/>
    <w:autoRedefine/>
    <w:qFormat/>
    <w:uiPriority w:val="99"/>
    <w:rPr>
      <w:rFonts w:ascii="Times New Roman" w:hAnsi="Times New Roman" w:eastAsia="宋体" w:cs="Times New Roman"/>
      <w:szCs w:val="21"/>
    </w:rPr>
  </w:style>
  <w:style w:type="character" w:customStyle="1" w:styleId="82">
    <w:name w:val="正文文本缩进 2 Char"/>
    <w:basedOn w:val="51"/>
    <w:link w:val="31"/>
    <w:autoRedefine/>
    <w:qFormat/>
    <w:uiPriority w:val="99"/>
    <w:rPr>
      <w:rFonts w:ascii="宋体" w:hAnsi="Times New Roman" w:eastAsia="宋体" w:cs="Times New Roman"/>
      <w:b/>
      <w:bCs/>
      <w:sz w:val="24"/>
      <w:szCs w:val="24"/>
    </w:rPr>
  </w:style>
  <w:style w:type="character" w:customStyle="1" w:styleId="83">
    <w:name w:val="批注框文本 Char"/>
    <w:basedOn w:val="51"/>
    <w:link w:val="32"/>
    <w:autoRedefine/>
    <w:semiHidden/>
    <w:qFormat/>
    <w:uiPriority w:val="99"/>
    <w:rPr>
      <w:rFonts w:ascii="Times New Roman" w:hAnsi="Times New Roman" w:eastAsia="宋体" w:cs="Times New Roman"/>
      <w:sz w:val="18"/>
      <w:szCs w:val="18"/>
    </w:rPr>
  </w:style>
  <w:style w:type="character" w:customStyle="1" w:styleId="84">
    <w:name w:val="副标题 Char"/>
    <w:basedOn w:val="51"/>
    <w:link w:val="37"/>
    <w:autoRedefine/>
    <w:qFormat/>
    <w:uiPriority w:val="99"/>
    <w:rPr>
      <w:rFonts w:ascii="Arial" w:hAnsi="Arial" w:eastAsia="方正魏碑简体" w:cs="Times New Roman"/>
      <w:kern w:val="28"/>
      <w:sz w:val="32"/>
      <w:szCs w:val="32"/>
    </w:rPr>
  </w:style>
  <w:style w:type="character" w:customStyle="1" w:styleId="85">
    <w:name w:val="脚注文本 Char"/>
    <w:basedOn w:val="51"/>
    <w:autoRedefine/>
    <w:qFormat/>
    <w:uiPriority w:val="99"/>
    <w:rPr>
      <w:rFonts w:ascii="Times New Roman" w:hAnsi="Times New Roman" w:eastAsia="宋体" w:cs="Times New Roman"/>
      <w:sz w:val="18"/>
      <w:szCs w:val="18"/>
    </w:rPr>
  </w:style>
  <w:style w:type="character" w:customStyle="1" w:styleId="86">
    <w:name w:val="正文文本缩进 3 Char"/>
    <w:basedOn w:val="51"/>
    <w:link w:val="40"/>
    <w:autoRedefine/>
    <w:qFormat/>
    <w:uiPriority w:val="99"/>
    <w:rPr>
      <w:rFonts w:ascii="Times New Roman" w:hAnsi="Times New Roman" w:eastAsia="宋体" w:cs="Times New Roman"/>
      <w:szCs w:val="21"/>
    </w:rPr>
  </w:style>
  <w:style w:type="character" w:customStyle="1" w:styleId="87">
    <w:name w:val="正文文本 2 Char"/>
    <w:basedOn w:val="51"/>
    <w:link w:val="43"/>
    <w:autoRedefine/>
    <w:qFormat/>
    <w:uiPriority w:val="99"/>
    <w:rPr>
      <w:rFonts w:ascii="Times New Roman" w:hAnsi="Times New Roman" w:eastAsia="宋体" w:cs="Times New Roman"/>
      <w:szCs w:val="21"/>
    </w:rPr>
  </w:style>
  <w:style w:type="character" w:customStyle="1" w:styleId="88">
    <w:name w:val="HTML 预设格式 Char"/>
    <w:basedOn w:val="51"/>
    <w:link w:val="44"/>
    <w:autoRedefine/>
    <w:qFormat/>
    <w:uiPriority w:val="99"/>
    <w:rPr>
      <w:rFonts w:ascii="宋体" w:hAnsi="Times New Roman" w:eastAsia="宋体" w:cs="Times New Roman"/>
      <w:kern w:val="0"/>
      <w:sz w:val="24"/>
      <w:szCs w:val="24"/>
    </w:rPr>
  </w:style>
  <w:style w:type="character" w:customStyle="1" w:styleId="89">
    <w:name w:val="标题 Char"/>
    <w:basedOn w:val="51"/>
    <w:link w:val="46"/>
    <w:autoRedefine/>
    <w:qFormat/>
    <w:uiPriority w:val="99"/>
    <w:rPr>
      <w:rFonts w:ascii="Arial" w:hAnsi="Arial" w:eastAsia="黑体" w:cs="Times New Roman"/>
      <w:sz w:val="44"/>
      <w:szCs w:val="44"/>
    </w:rPr>
  </w:style>
  <w:style w:type="character" w:customStyle="1" w:styleId="90">
    <w:name w:val="批注主题 Char"/>
    <w:basedOn w:val="75"/>
    <w:link w:val="47"/>
    <w:autoRedefine/>
    <w:semiHidden/>
    <w:qFormat/>
    <w:uiPriority w:val="99"/>
    <w:rPr>
      <w:rFonts w:ascii="Times New Roman" w:hAnsi="Times New Roman" w:eastAsia="宋体" w:cs="Times New Roman"/>
      <w:b/>
      <w:bCs/>
      <w:szCs w:val="21"/>
    </w:rPr>
  </w:style>
  <w:style w:type="character" w:customStyle="1" w:styleId="91">
    <w:name w:val="正文首行缩进 Char"/>
    <w:basedOn w:val="78"/>
    <w:link w:val="48"/>
    <w:autoRedefine/>
    <w:qFormat/>
    <w:uiPriority w:val="99"/>
    <w:rPr>
      <w:rFonts w:ascii="Times New Roman" w:hAnsi="Times New Roman" w:eastAsia="宋体" w:cs="Times New Roman"/>
      <w:sz w:val="24"/>
      <w:szCs w:val="24"/>
    </w:rPr>
  </w:style>
  <w:style w:type="paragraph" w:customStyle="1" w:styleId="92">
    <w:name w:val="font14"/>
    <w:basedOn w:val="1"/>
    <w:autoRedefine/>
    <w:qFormat/>
    <w:uiPriority w:val="99"/>
    <w:pPr>
      <w:widowControl/>
      <w:spacing w:before="100" w:beforeAutospacing="1" w:after="100" w:afterAutospacing="1"/>
      <w:jc w:val="left"/>
    </w:pPr>
    <w:rPr>
      <w:rFonts w:ascii="Arial" w:hAnsi="Arial" w:cs="Arial"/>
      <w:color w:val="000000"/>
      <w:kern w:val="0"/>
      <w:sz w:val="16"/>
      <w:szCs w:val="16"/>
    </w:rPr>
  </w:style>
  <w:style w:type="paragraph" w:customStyle="1" w:styleId="93">
    <w:name w:val="彩色列表 - 着色 11"/>
    <w:basedOn w:val="1"/>
    <w:autoRedefine/>
    <w:qFormat/>
    <w:uiPriority w:val="99"/>
    <w:pPr>
      <w:autoSpaceDE w:val="0"/>
      <w:autoSpaceDN w:val="0"/>
      <w:adjustRightInd w:val="0"/>
      <w:ind w:firstLine="420" w:firstLineChars="200"/>
      <w:jc w:val="left"/>
      <w:textAlignment w:val="baseline"/>
    </w:pPr>
    <w:rPr>
      <w:rFonts w:ascii="宋体" w:cs="宋体"/>
      <w:kern w:val="0"/>
      <w:sz w:val="34"/>
      <w:szCs w:val="34"/>
    </w:rPr>
  </w:style>
  <w:style w:type="paragraph" w:customStyle="1" w:styleId="94">
    <w:name w:val="xl10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5">
    <w:name w:val="item"/>
    <w:basedOn w:val="1"/>
    <w:autoRedefine/>
    <w:qFormat/>
    <w:uiPriority w:val="99"/>
    <w:pPr>
      <w:widowControl/>
      <w:spacing w:before="100" w:beforeAutospacing="1" w:after="100" w:afterAutospacing="1"/>
      <w:jc w:val="left"/>
    </w:pPr>
    <w:rPr>
      <w:rFonts w:ascii="宋体" w:hAnsi="宋体" w:cs="宋体"/>
      <w:color w:val="000000"/>
      <w:kern w:val="0"/>
      <w:sz w:val="20"/>
      <w:szCs w:val="20"/>
    </w:rPr>
  </w:style>
  <w:style w:type="paragraph" w:customStyle="1" w:styleId="96">
    <w:name w:val="普通 (Web)"/>
    <w:basedOn w:val="1"/>
    <w:autoRedefine/>
    <w:qFormat/>
    <w:uiPriority w:val="99"/>
    <w:pPr>
      <w:spacing w:line="300" w:lineRule="auto"/>
    </w:pPr>
    <w:rPr>
      <w:sz w:val="24"/>
      <w:szCs w:val="24"/>
    </w:rPr>
  </w:style>
  <w:style w:type="paragraph" w:customStyle="1" w:styleId="97">
    <w:name w:val="p18"/>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98">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99">
    <w:name w:val="Char1"/>
    <w:basedOn w:val="1"/>
    <w:autoRedefine/>
    <w:semiHidden/>
    <w:qFormat/>
    <w:uiPriority w:val="99"/>
    <w:pPr>
      <w:widowControl/>
      <w:spacing w:after="160" w:line="240" w:lineRule="exact"/>
      <w:jc w:val="left"/>
    </w:pPr>
    <w:rPr>
      <w:rFonts w:ascii="Verdana" w:hAnsi="Verdana" w:cs="Verdana"/>
      <w:kern w:val="0"/>
      <w:sz w:val="20"/>
      <w:szCs w:val="20"/>
      <w:lang w:eastAsia="en-US"/>
    </w:rPr>
  </w:style>
  <w:style w:type="paragraph" w:customStyle="1" w:styleId="100">
    <w:name w:val="xl59"/>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01">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仿宋" w:hAnsi="华文仿宋" w:eastAsia="华文仿宋" w:cs="华文仿宋"/>
      <w:b/>
      <w:bCs/>
      <w:kern w:val="0"/>
      <w:sz w:val="22"/>
      <w:szCs w:val="22"/>
    </w:rPr>
  </w:style>
  <w:style w:type="paragraph" w:customStyle="1" w:styleId="102">
    <w:name w:val="21"/>
    <w:basedOn w:val="1"/>
    <w:autoRedefine/>
    <w:qFormat/>
    <w:uiPriority w:val="99"/>
    <w:pPr>
      <w:widowControl/>
      <w:snapToGrid w:val="0"/>
      <w:spacing w:before="100" w:beforeAutospacing="1" w:after="100" w:afterAutospacing="1"/>
    </w:pPr>
    <w:rPr>
      <w:kern w:val="0"/>
    </w:rPr>
  </w:style>
  <w:style w:type="paragraph" w:customStyle="1" w:styleId="103">
    <w:name w:val="18"/>
    <w:basedOn w:val="1"/>
    <w:autoRedefine/>
    <w:qFormat/>
    <w:uiPriority w:val="99"/>
    <w:pPr>
      <w:widowControl/>
      <w:pBdr>
        <w:bottom w:val="single" w:color="000000" w:sz="6" w:space="1"/>
      </w:pBdr>
      <w:snapToGrid w:val="0"/>
      <w:spacing w:before="100" w:beforeAutospacing="1" w:after="100" w:afterAutospacing="1"/>
      <w:jc w:val="center"/>
    </w:pPr>
    <w:rPr>
      <w:kern w:val="0"/>
      <w:sz w:val="18"/>
      <w:szCs w:val="18"/>
    </w:rPr>
  </w:style>
  <w:style w:type="paragraph" w:customStyle="1" w:styleId="104">
    <w:name w:val="样式 正文文本缩进 + 段前: 2 字符"/>
    <w:basedOn w:val="1"/>
    <w:autoRedefine/>
    <w:qFormat/>
    <w:uiPriority w:val="99"/>
    <w:pPr>
      <w:ind w:left="420" w:leftChars="200"/>
      <w:jc w:val="left"/>
    </w:pPr>
    <w:rPr>
      <w:sz w:val="28"/>
      <w:szCs w:val="28"/>
      <w:lang w:eastAsia="zh-TW"/>
    </w:rPr>
  </w:style>
  <w:style w:type="paragraph" w:customStyle="1" w:styleId="105">
    <w:name w:val="xl13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06">
    <w:name w:val="xl9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107">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9">
    <w:name w:val="xl38"/>
    <w:basedOn w:val="1"/>
    <w:autoRedefine/>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10">
    <w:name w:val="xl44"/>
    <w:basedOn w:val="1"/>
    <w:autoRedefine/>
    <w:qFormat/>
    <w:uiPriority w:val="99"/>
    <w:pPr>
      <w:widowControl/>
      <w:pBdr>
        <w:top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11">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112">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
    <w:name w:val="font16"/>
    <w:basedOn w:val="1"/>
    <w:autoRedefine/>
    <w:qFormat/>
    <w:uiPriority w:val="99"/>
    <w:pPr>
      <w:widowControl/>
      <w:spacing w:before="100" w:beforeAutospacing="1" w:after="100" w:afterAutospacing="1"/>
      <w:jc w:val="left"/>
    </w:pPr>
    <w:rPr>
      <w:rFonts w:ascii="宋体" w:hAnsi="宋体" w:cs="宋体"/>
      <w:kern w:val="0"/>
      <w:sz w:val="16"/>
      <w:szCs w:val="16"/>
    </w:rPr>
  </w:style>
  <w:style w:type="paragraph" w:customStyle="1" w:styleId="114">
    <w:name w:val="xl1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5">
    <w:name w:val="Char11"/>
    <w:basedOn w:val="1"/>
    <w:autoRedefine/>
    <w:qFormat/>
    <w:uiPriority w:val="99"/>
    <w:pPr>
      <w:tabs>
        <w:tab w:val="left" w:pos="360"/>
      </w:tabs>
    </w:pPr>
    <w:rPr>
      <w:sz w:val="24"/>
      <w:szCs w:val="24"/>
    </w:rPr>
  </w:style>
  <w:style w:type="paragraph" w:customStyle="1" w:styleId="116">
    <w:name w:val="font8"/>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7">
    <w:name w:val="xl13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18">
    <w:name w:val="TOC Heading1"/>
    <w:basedOn w:val="2"/>
    <w:next w:val="1"/>
    <w:autoRedefine/>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9">
    <w:name w:val="标准款样式"/>
    <w:basedOn w:val="1"/>
    <w:link w:val="320"/>
    <w:autoRedefine/>
    <w:qFormat/>
    <w:uiPriority w:val="99"/>
    <w:rPr>
      <w:rFonts w:ascii="黑体" w:hAnsi="宋体"/>
    </w:rPr>
  </w:style>
  <w:style w:type="paragraph" w:customStyle="1" w:styleId="12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121">
    <w:name w:val="xl1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22">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123">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124">
    <w:name w:val="xl36"/>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125">
    <w:name w:val="xl126"/>
    <w:basedOn w:val="1"/>
    <w:autoRedefine/>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126">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127">
    <w:name w:val="+正文 Char Char3 Char Char"/>
    <w:basedOn w:val="1"/>
    <w:link w:val="302"/>
    <w:autoRedefine/>
    <w:qFormat/>
    <w:uiPriority w:val="99"/>
    <w:pPr>
      <w:spacing w:line="360" w:lineRule="auto"/>
      <w:ind w:firstLine="200" w:firstLineChars="200"/>
    </w:pPr>
    <w:rPr>
      <w:rFonts w:ascii="宋体"/>
      <w:sz w:val="24"/>
      <w:szCs w:val="24"/>
    </w:rPr>
  </w:style>
  <w:style w:type="paragraph" w:customStyle="1" w:styleId="128">
    <w:name w:val="修订1"/>
    <w:autoRedefine/>
    <w:semiHidden/>
    <w:qFormat/>
    <w:uiPriority w:val="99"/>
    <w:rPr>
      <w:rFonts w:ascii="Times New Roman" w:hAnsi="Times New Roman" w:eastAsia="宋体" w:cs="Times New Roman"/>
      <w:kern w:val="2"/>
      <w:sz w:val="21"/>
      <w:szCs w:val="21"/>
      <w:lang w:val="en-US" w:eastAsia="zh-CN" w:bidi="ar-SA"/>
    </w:rPr>
  </w:style>
  <w:style w:type="paragraph" w:customStyle="1" w:styleId="129">
    <w:name w:val="xl13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0">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131">
    <w:name w:val="xl34"/>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32">
    <w:name w:val="xl13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133">
    <w:name w:val="Char2"/>
    <w:basedOn w:val="1"/>
    <w:autoRedefine/>
    <w:qFormat/>
    <w:uiPriority w:val="99"/>
    <w:pPr>
      <w:tabs>
        <w:tab w:val="left" w:pos="360"/>
      </w:tabs>
    </w:pPr>
    <w:rPr>
      <w:sz w:val="24"/>
      <w:szCs w:val="24"/>
    </w:rPr>
  </w:style>
  <w:style w:type="paragraph" w:customStyle="1" w:styleId="134">
    <w:name w:val="Style4"/>
    <w:basedOn w:val="5"/>
    <w:autoRedefine/>
    <w:qFormat/>
    <w:uiPriority w:val="99"/>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hAnsi="Times New Roman" w:eastAsia="宋体"/>
      <w:b w:val="0"/>
      <w:bCs w:val="0"/>
      <w:kern w:val="0"/>
      <w:lang w:val="fr-FR" w:eastAsia="en-US"/>
    </w:rPr>
  </w:style>
  <w:style w:type="paragraph" w:styleId="135">
    <w:name w:val="Intense Quote"/>
    <w:basedOn w:val="1"/>
    <w:next w:val="1"/>
    <w:link w:val="136"/>
    <w:autoRedefine/>
    <w:qFormat/>
    <w:uiPriority w:val="99"/>
    <w:pPr>
      <w:widowControl/>
      <w:pBdr>
        <w:bottom w:val="single" w:color="4F81BD" w:sz="4" w:space="4"/>
      </w:pBdr>
      <w:spacing w:before="200" w:after="280" w:line="276" w:lineRule="auto"/>
      <w:ind w:left="936" w:right="936"/>
      <w:jc w:val="left"/>
    </w:pPr>
    <w:rPr>
      <w:b/>
      <w:bCs/>
      <w:i/>
      <w:iCs/>
      <w:color w:val="4F81BD"/>
    </w:rPr>
  </w:style>
  <w:style w:type="character" w:customStyle="1" w:styleId="136">
    <w:name w:val="明显引用 Char"/>
    <w:basedOn w:val="51"/>
    <w:link w:val="135"/>
    <w:autoRedefine/>
    <w:qFormat/>
    <w:uiPriority w:val="99"/>
    <w:rPr>
      <w:rFonts w:ascii="Times New Roman" w:hAnsi="Times New Roman" w:eastAsia="宋体" w:cs="Times New Roman"/>
      <w:b/>
      <w:bCs/>
      <w:i/>
      <w:iCs/>
      <w:color w:val="4F81BD"/>
      <w:szCs w:val="21"/>
    </w:rPr>
  </w:style>
  <w:style w:type="paragraph" w:customStyle="1" w:styleId="137">
    <w:name w:val="font10"/>
    <w:basedOn w:val="1"/>
    <w:autoRedefine/>
    <w:qFormat/>
    <w:uiPriority w:val="0"/>
    <w:pPr>
      <w:widowControl/>
      <w:spacing w:before="100" w:beforeAutospacing="1" w:after="100" w:afterAutospacing="1"/>
      <w:jc w:val="left"/>
    </w:pPr>
    <w:rPr>
      <w:kern w:val="0"/>
      <w:sz w:val="16"/>
      <w:szCs w:val="16"/>
    </w:rPr>
  </w:style>
  <w:style w:type="paragraph" w:customStyle="1" w:styleId="138">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39">
    <w:name w:val="xl13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b/>
      <w:bCs/>
      <w:kern w:val="0"/>
      <w:sz w:val="20"/>
      <w:szCs w:val="20"/>
    </w:rPr>
  </w:style>
  <w:style w:type="paragraph" w:customStyle="1" w:styleId="140">
    <w:name w:val="xl80"/>
    <w:basedOn w:val="1"/>
    <w:autoRedefine/>
    <w:qFormat/>
    <w:uiPriority w:val="0"/>
    <w:pPr>
      <w:widowControl/>
      <w:spacing w:before="100" w:beforeAutospacing="1" w:after="100" w:afterAutospacing="1"/>
      <w:jc w:val="left"/>
    </w:pPr>
    <w:rPr>
      <w:rFonts w:ascii="Arial" w:hAnsi="Arial" w:cs="Arial"/>
      <w:kern w:val="0"/>
      <w:sz w:val="16"/>
      <w:szCs w:val="16"/>
    </w:rPr>
  </w:style>
  <w:style w:type="paragraph" w:customStyle="1" w:styleId="141">
    <w:name w:val="xl12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42">
    <w:name w:val="文字列表"/>
    <w:basedOn w:val="48"/>
    <w:autoRedefine/>
    <w:qFormat/>
    <w:uiPriority w:val="99"/>
  </w:style>
  <w:style w:type="paragraph" w:customStyle="1" w:styleId="14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4">
    <w:name w:val="图例编号"/>
    <w:basedOn w:val="48"/>
    <w:next w:val="48"/>
    <w:autoRedefine/>
    <w:qFormat/>
    <w:uiPriority w:val="99"/>
  </w:style>
  <w:style w:type="paragraph" w:customStyle="1" w:styleId="14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6"/>
      <w:szCs w:val="16"/>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
    <w:name w:val="xl2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48">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120"/>
    <w:basedOn w:val="1"/>
    <w:autoRedefine/>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150">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51">
    <w:name w:val="Char1 Char Char Char Char Char Char Char Char Char"/>
    <w:basedOn w:val="1"/>
    <w:autoRedefine/>
    <w:qFormat/>
    <w:uiPriority w:val="99"/>
    <w:rPr>
      <w:rFonts w:ascii="Tahoma" w:hAnsi="Tahoma" w:cs="Tahoma"/>
      <w:sz w:val="24"/>
      <w:szCs w:val="24"/>
    </w:rPr>
  </w:style>
  <w:style w:type="paragraph" w:styleId="152">
    <w:name w:val="No Spacing"/>
    <w:autoRedefine/>
    <w:qFormat/>
    <w:uiPriority w:val="99"/>
    <w:rPr>
      <w:rFonts w:ascii="Calibri" w:hAnsi="Calibri" w:eastAsia="宋体" w:cs="Calibri"/>
      <w:sz w:val="22"/>
      <w:szCs w:val="22"/>
      <w:lang w:val="en-US" w:eastAsia="en-US" w:bidi="ar-SA"/>
    </w:rPr>
  </w:style>
  <w:style w:type="paragraph" w:customStyle="1" w:styleId="153">
    <w:name w:val="24"/>
    <w:basedOn w:val="1"/>
    <w:autoRedefine/>
    <w:qFormat/>
    <w:uiPriority w:val="99"/>
    <w:pPr>
      <w:widowControl/>
      <w:snapToGrid w:val="0"/>
      <w:spacing w:before="100" w:beforeAutospacing="1" w:after="100" w:afterAutospacing="1"/>
      <w:ind w:firstLine="420"/>
    </w:pPr>
    <w:rPr>
      <w:kern w:val="0"/>
    </w:rPr>
  </w:style>
  <w:style w:type="paragraph" w:customStyle="1" w:styleId="154">
    <w:name w:val="xl10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5">
    <w:name w:val="xl5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56">
    <w:name w:val="xl28"/>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57">
    <w:name w:val="xl9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8">
    <w:name w:val="点点"/>
    <w:basedOn w:val="1"/>
    <w:autoRedefine/>
    <w:qFormat/>
    <w:uiPriority w:val="99"/>
    <w:pPr>
      <w:tabs>
        <w:tab w:val="left" w:pos="360"/>
      </w:tabs>
      <w:spacing w:before="120" w:after="120" w:line="360" w:lineRule="auto"/>
      <w:ind w:firstLine="539"/>
    </w:pPr>
    <w:rPr>
      <w:rFonts w:ascii="Arial Narrow" w:hAnsi="Arial Narrow" w:eastAsia="楷体_GB2312" w:cs="Arial Narrow"/>
      <w:sz w:val="24"/>
      <w:szCs w:val="24"/>
    </w:rPr>
  </w:style>
  <w:style w:type="paragraph" w:customStyle="1" w:styleId="159">
    <w:name w:val="xl58"/>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60">
    <w:name w:val="xl11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161">
    <w:name w:val="缩进正文"/>
    <w:basedOn w:val="1"/>
    <w:autoRedefine/>
    <w:qFormat/>
    <w:uiPriority w:val="99"/>
    <w:pPr>
      <w:spacing w:beforeLines="25" w:afterLines="25" w:line="360" w:lineRule="auto"/>
      <w:ind w:firstLine="480" w:firstLineChars="200"/>
    </w:pPr>
    <w:rPr>
      <w:sz w:val="24"/>
      <w:szCs w:val="24"/>
    </w:rPr>
  </w:style>
  <w:style w:type="paragraph" w:customStyle="1" w:styleId="162">
    <w:name w:val="Char Char Char Char Char Char Char Char Char Char1"/>
    <w:basedOn w:val="1"/>
    <w:autoRedefine/>
    <w:qFormat/>
    <w:uiPriority w:val="99"/>
    <w:pPr>
      <w:tabs>
        <w:tab w:val="left" w:pos="794"/>
        <w:tab w:val="left" w:pos="1191"/>
        <w:tab w:val="left" w:pos="1588"/>
        <w:tab w:val="left" w:pos="1985"/>
      </w:tabs>
      <w:autoSpaceDE w:val="0"/>
      <w:autoSpaceDN w:val="0"/>
      <w:adjustRightInd w:val="0"/>
      <w:spacing w:before="136"/>
    </w:pPr>
    <w:rPr>
      <w:rFonts w:ascii="Tahoma" w:hAnsi="Tahoma" w:cs="Tahoma"/>
      <w:kern w:val="0"/>
      <w:sz w:val="24"/>
      <w:szCs w:val="24"/>
      <w:lang w:val="en-GB"/>
    </w:rPr>
  </w:style>
  <w:style w:type="paragraph" w:customStyle="1" w:styleId="163">
    <w:name w:val="xl12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i/>
      <w:iCs/>
      <w:kern w:val="0"/>
      <w:sz w:val="20"/>
      <w:szCs w:val="20"/>
    </w:rPr>
  </w:style>
  <w:style w:type="paragraph" w:customStyle="1" w:styleId="164">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5">
    <w:name w:val="9c"/>
    <w:basedOn w:val="1"/>
    <w:autoRedefine/>
    <w:qFormat/>
    <w:uiPriority w:val="99"/>
    <w:pPr>
      <w:widowControl/>
      <w:spacing w:before="240" w:afterLines="50" w:line="360" w:lineRule="auto"/>
      <w:ind w:left="119"/>
      <w:jc w:val="left"/>
    </w:pPr>
    <w:rPr>
      <w:rFonts w:ascii="Arial" w:hAnsi="Arial" w:cs="Arial"/>
      <w:b/>
      <w:bCs/>
      <w:color w:val="99CCCC"/>
      <w:kern w:val="0"/>
      <w:sz w:val="24"/>
      <w:szCs w:val="24"/>
    </w:rPr>
  </w:style>
  <w:style w:type="paragraph" w:customStyle="1" w:styleId="166">
    <w:name w:val="xl8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67">
    <w:name w:val="xl12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68">
    <w:name w:val="xl11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69">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70">
    <w:name w:val="xl5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71">
    <w:name w:val="xl1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4"/>
      <w:szCs w:val="24"/>
    </w:rPr>
  </w:style>
  <w:style w:type="paragraph" w:customStyle="1" w:styleId="172">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173">
    <w:name w:val="正文文本缩进 21"/>
    <w:basedOn w:val="1"/>
    <w:autoRedefine/>
    <w:qFormat/>
    <w:uiPriority w:val="99"/>
    <w:pPr>
      <w:autoSpaceDE w:val="0"/>
      <w:autoSpaceDN w:val="0"/>
      <w:adjustRightInd w:val="0"/>
      <w:ind w:firstLine="540"/>
      <w:textAlignment w:val="baseline"/>
    </w:pPr>
    <w:rPr>
      <w:sz w:val="24"/>
      <w:szCs w:val="24"/>
    </w:rPr>
  </w:style>
  <w:style w:type="paragraph" w:customStyle="1" w:styleId="174">
    <w:name w:val="font12"/>
    <w:basedOn w:val="1"/>
    <w:autoRedefine/>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175">
    <w:name w:val="xl3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76">
    <w:name w:val="附录标题1"/>
    <w:basedOn w:val="2"/>
    <w:next w:val="1"/>
    <w:autoRedefine/>
    <w:qFormat/>
    <w:uiPriority w:val="99"/>
    <w:pPr>
      <w:pageBreakBefore/>
      <w:pBdr>
        <w:bottom w:val="single" w:color="C0C0C0" w:sz="18" w:space="1"/>
      </w:pBdr>
      <w:tabs>
        <w:tab w:val="left" w:pos="360"/>
      </w:tabs>
      <w:adjustRightInd w:val="0"/>
      <w:snapToGrid w:val="0"/>
      <w:ind w:left="576" w:right="42" w:rightChars="20" w:hanging="576"/>
    </w:pPr>
    <w:rPr>
      <w:rFonts w:ascii="宋体" w:hAnsi="Garamond" w:eastAsia="黑体" w:cs="宋体"/>
      <w:color w:val="000000"/>
      <w:sz w:val="40"/>
      <w:szCs w:val="40"/>
    </w:rPr>
  </w:style>
  <w:style w:type="paragraph" w:customStyle="1" w:styleId="177">
    <w:name w:val="xl57"/>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78">
    <w:name w:val="xl53"/>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79">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b/>
      <w:bCs/>
      <w:kern w:val="0"/>
      <w:sz w:val="16"/>
      <w:szCs w:val="16"/>
    </w:rPr>
  </w:style>
  <w:style w:type="paragraph" w:customStyle="1" w:styleId="180">
    <w:name w:val="xl54"/>
    <w:basedOn w:val="1"/>
    <w:autoRedefine/>
    <w:qFormat/>
    <w:uiPriority w:val="99"/>
    <w:pPr>
      <w:widowControl/>
      <w:pBdr>
        <w:top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81">
    <w:name w:val="22"/>
    <w:basedOn w:val="1"/>
    <w:autoRedefine/>
    <w:qFormat/>
    <w:uiPriority w:val="99"/>
    <w:pPr>
      <w:widowControl/>
      <w:snapToGrid w:val="0"/>
      <w:spacing w:before="100" w:beforeAutospacing="1" w:after="100" w:afterAutospacing="1"/>
    </w:pPr>
    <w:rPr>
      <w:kern w:val="0"/>
    </w:rPr>
  </w:style>
  <w:style w:type="paragraph" w:customStyle="1" w:styleId="182">
    <w:name w:val="xl56"/>
    <w:basedOn w:val="1"/>
    <w:autoRedefine/>
    <w:qFormat/>
    <w:uiPriority w:val="99"/>
    <w:pPr>
      <w:widowControl/>
      <w:pBdr>
        <w:bottom w:val="single" w:color="auto" w:sz="4" w:space="0"/>
      </w:pBdr>
      <w:spacing w:before="100" w:beforeAutospacing="1" w:after="100" w:afterAutospacing="1"/>
      <w:jc w:val="center"/>
    </w:pPr>
    <w:rPr>
      <w:rFonts w:ascii="华文仿宋" w:hAnsi="华文仿宋" w:eastAsia="华文仿宋" w:cs="华文仿宋"/>
      <w:b/>
      <w:bCs/>
      <w:kern w:val="0"/>
      <w:sz w:val="32"/>
      <w:szCs w:val="32"/>
    </w:rPr>
  </w:style>
  <w:style w:type="paragraph" w:styleId="183">
    <w:name w:val="List Paragraph"/>
    <w:basedOn w:val="1"/>
    <w:autoRedefine/>
    <w:qFormat/>
    <w:uiPriority w:val="34"/>
    <w:pPr>
      <w:ind w:firstLine="420" w:firstLineChars="200"/>
    </w:pPr>
  </w:style>
  <w:style w:type="paragraph" w:customStyle="1" w:styleId="184">
    <w:name w:val="xl41"/>
    <w:basedOn w:val="1"/>
    <w:qFormat/>
    <w:uiPriority w:val="99"/>
    <w:pPr>
      <w:widowControl/>
      <w:pBdr>
        <w:top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85">
    <w:name w:val="四号　首行缩进"/>
    <w:basedOn w:val="1"/>
    <w:qFormat/>
    <w:uiPriority w:val="99"/>
    <w:pPr>
      <w:spacing w:line="360" w:lineRule="auto"/>
    </w:pPr>
    <w:rPr>
      <w:rFonts w:ascii="宋体" w:hAnsi="宋体" w:cs="宋体"/>
    </w:rPr>
  </w:style>
  <w:style w:type="paragraph" w:customStyle="1" w:styleId="18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187">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8">
    <w:name w:val="Char Char Char Char Char Char Char Char Char Char Char Char Char Char Char Char"/>
    <w:basedOn w:val="1"/>
    <w:autoRedefine/>
    <w:qFormat/>
    <w:uiPriority w:val="99"/>
    <w:pPr>
      <w:tabs>
        <w:tab w:val="left" w:pos="360"/>
      </w:tabs>
    </w:pPr>
    <w:rPr>
      <w:sz w:val="24"/>
      <w:szCs w:val="24"/>
    </w:rPr>
  </w:style>
  <w:style w:type="paragraph" w:customStyle="1" w:styleId="189">
    <w:name w:val="xl13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b/>
      <w:bCs/>
      <w:kern w:val="0"/>
      <w:sz w:val="20"/>
      <w:szCs w:val="20"/>
    </w:rPr>
  </w:style>
  <w:style w:type="paragraph" w:customStyle="1" w:styleId="190">
    <w:name w:val="xl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szCs w:val="20"/>
    </w:rPr>
  </w:style>
  <w:style w:type="paragraph" w:customStyle="1" w:styleId="191">
    <w:name w:val="xl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szCs w:val="20"/>
    </w:rPr>
  </w:style>
  <w:style w:type="paragraph" w:customStyle="1" w:styleId="192">
    <w:name w:val="表格3"/>
    <w:basedOn w:val="1"/>
    <w:qFormat/>
    <w:uiPriority w:val="99"/>
    <w:pPr>
      <w:adjustRightInd w:val="0"/>
      <w:spacing w:line="360" w:lineRule="atLeast"/>
      <w:ind w:left="72" w:leftChars="30" w:right="72" w:rightChars="30"/>
      <w:textAlignment w:val="baseline"/>
    </w:pPr>
    <w:rPr>
      <w:kern w:val="0"/>
    </w:rPr>
  </w:style>
  <w:style w:type="paragraph" w:customStyle="1" w:styleId="19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16"/>
      <w:szCs w:val="16"/>
    </w:rPr>
  </w:style>
  <w:style w:type="paragraph" w:customStyle="1" w:styleId="194">
    <w:name w:val="font11"/>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95">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96">
    <w:name w:val="xl10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97">
    <w:name w:val="xl31"/>
    <w:basedOn w:val="1"/>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98">
    <w:name w:val="xl49"/>
    <w:basedOn w:val="1"/>
    <w:qFormat/>
    <w:uiPriority w:val="99"/>
    <w:pPr>
      <w:widowControl/>
      <w:pBdr>
        <w:left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99">
    <w:name w:val="xl12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200">
    <w:name w:val="xl37"/>
    <w:basedOn w:val="1"/>
    <w:qFormat/>
    <w:uiPriority w:val="99"/>
    <w:pPr>
      <w:widowControl/>
      <w:pBdr>
        <w:top w:val="single" w:color="auto" w:sz="4" w:space="0"/>
        <w:bottom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01">
    <w:name w:val="+列表1 Char Char Char"/>
    <w:basedOn w:val="1"/>
    <w:link w:val="366"/>
    <w:qFormat/>
    <w:uiPriority w:val="99"/>
    <w:pPr>
      <w:jc w:val="center"/>
    </w:pPr>
    <w:rPr>
      <w:rFonts w:ascii="宋体"/>
    </w:rPr>
  </w:style>
  <w:style w:type="paragraph" w:customStyle="1" w:styleId="202">
    <w:name w:val="Char Char Char"/>
    <w:basedOn w:val="1"/>
    <w:qFormat/>
    <w:uiPriority w:val="99"/>
    <w:rPr>
      <w:rFonts w:ascii="宋体" w:hAnsi="宋体" w:cs="宋体"/>
    </w:rPr>
  </w:style>
  <w:style w:type="paragraph" w:customStyle="1" w:styleId="203">
    <w:name w:val="+正文 Char2"/>
    <w:basedOn w:val="1"/>
    <w:link w:val="362"/>
    <w:qFormat/>
    <w:uiPriority w:val="99"/>
    <w:pPr>
      <w:spacing w:line="360" w:lineRule="auto"/>
      <w:ind w:firstLine="200" w:firstLineChars="200"/>
    </w:pPr>
    <w:rPr>
      <w:rFonts w:ascii="宋体"/>
      <w:sz w:val="24"/>
      <w:szCs w:val="24"/>
    </w:rPr>
  </w:style>
  <w:style w:type="paragraph" w:customStyle="1" w:styleId="204">
    <w:name w:val="flName"/>
    <w:basedOn w:val="1"/>
    <w:qFormat/>
    <w:uiPriority w:val="99"/>
    <w:pPr>
      <w:adjustRightInd w:val="0"/>
      <w:spacing w:before="320" w:after="160" w:line="360" w:lineRule="atLeast"/>
      <w:jc w:val="center"/>
    </w:pPr>
    <w:rPr>
      <w:rFonts w:ascii="Arial" w:eastAsia="黑体" w:cs="Arial"/>
      <w:kern w:val="0"/>
      <w:sz w:val="32"/>
      <w:szCs w:val="32"/>
    </w:rPr>
  </w:style>
  <w:style w:type="paragraph" w:customStyle="1" w:styleId="205">
    <w:name w:val="文档编号"/>
    <w:basedOn w:val="1"/>
    <w:next w:val="1"/>
    <w:qFormat/>
    <w:uiPriority w:val="99"/>
    <w:pPr>
      <w:autoSpaceDE w:val="0"/>
      <w:autoSpaceDN w:val="0"/>
      <w:adjustRightInd w:val="0"/>
      <w:spacing w:before="120" w:line="360" w:lineRule="auto"/>
      <w:jc w:val="center"/>
      <w:textAlignment w:val="baseline"/>
    </w:pPr>
    <w:rPr>
      <w:rFonts w:ascii="宋体" w:cs="宋体"/>
      <w:color w:val="000000"/>
      <w:kern w:val="0"/>
      <w:sz w:val="24"/>
      <w:szCs w:val="24"/>
    </w:rPr>
  </w:style>
  <w:style w:type="paragraph" w:customStyle="1" w:styleId="206">
    <w:name w:val="xl1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styleId="207">
    <w:name w:val="Quote"/>
    <w:basedOn w:val="1"/>
    <w:next w:val="1"/>
    <w:link w:val="208"/>
    <w:autoRedefine/>
    <w:qFormat/>
    <w:uiPriority w:val="99"/>
    <w:pPr>
      <w:widowControl/>
      <w:spacing w:after="200" w:line="276" w:lineRule="auto"/>
      <w:jc w:val="left"/>
    </w:pPr>
    <w:rPr>
      <w:i/>
      <w:iCs/>
      <w:color w:val="000000"/>
    </w:rPr>
  </w:style>
  <w:style w:type="character" w:customStyle="1" w:styleId="208">
    <w:name w:val="引用 Char"/>
    <w:basedOn w:val="51"/>
    <w:link w:val="207"/>
    <w:qFormat/>
    <w:uiPriority w:val="99"/>
    <w:rPr>
      <w:rFonts w:ascii="Times New Roman" w:hAnsi="Times New Roman" w:eastAsia="宋体" w:cs="Times New Roman"/>
      <w:i/>
      <w:iCs/>
      <w:color w:val="000000"/>
      <w:szCs w:val="21"/>
    </w:rPr>
  </w:style>
  <w:style w:type="paragraph" w:customStyle="1" w:styleId="209">
    <w:name w:val="flType"/>
    <w:basedOn w:val="1"/>
    <w:qFormat/>
    <w:uiPriority w:val="0"/>
    <w:pPr>
      <w:adjustRightInd w:val="0"/>
      <w:spacing w:after="284" w:line="113" w:lineRule="atLeast"/>
      <w:jc w:val="center"/>
      <w:textAlignment w:val="baseline"/>
    </w:pPr>
    <w:rPr>
      <w:kern w:val="0"/>
      <w:sz w:val="24"/>
      <w:szCs w:val="24"/>
    </w:rPr>
  </w:style>
  <w:style w:type="paragraph" w:customStyle="1" w:styleId="210">
    <w:name w:val="列出段落1"/>
    <w:basedOn w:val="1"/>
    <w:qFormat/>
    <w:uiPriority w:val="99"/>
    <w:pPr>
      <w:widowControl/>
      <w:adjustRightInd w:val="0"/>
      <w:spacing w:line="360" w:lineRule="auto"/>
      <w:ind w:firstLine="420" w:firstLineChars="200"/>
      <w:jc w:val="left"/>
    </w:pPr>
    <w:rPr>
      <w:rFonts w:ascii="Arial" w:hAnsi="Arial" w:cs="Arial"/>
      <w:kern w:val="0"/>
      <w:lang w:eastAsia="en-US"/>
    </w:rPr>
  </w:style>
  <w:style w:type="paragraph" w:customStyle="1" w:styleId="211">
    <w:name w:val="p0"/>
    <w:basedOn w:val="1"/>
    <w:qFormat/>
    <w:uiPriority w:val="99"/>
    <w:pPr>
      <w:widowControl/>
    </w:pPr>
    <w:rPr>
      <w:kern w:val="0"/>
    </w:rPr>
  </w:style>
  <w:style w:type="paragraph" w:customStyle="1" w:styleId="212">
    <w:name w:val="+正文 Char Char Char"/>
    <w:basedOn w:val="1"/>
    <w:link w:val="365"/>
    <w:qFormat/>
    <w:uiPriority w:val="99"/>
    <w:pPr>
      <w:spacing w:line="360" w:lineRule="auto"/>
      <w:ind w:firstLine="200" w:firstLineChars="200"/>
    </w:pPr>
    <w:rPr>
      <w:rFonts w:ascii="楷体_GB2312" w:eastAsia="楷体_GB2312"/>
      <w:sz w:val="24"/>
      <w:szCs w:val="24"/>
    </w:rPr>
  </w:style>
  <w:style w:type="paragraph" w:customStyle="1" w:styleId="213">
    <w:name w:val="20"/>
    <w:basedOn w:val="1"/>
    <w:autoRedefine/>
    <w:qFormat/>
    <w:uiPriority w:val="99"/>
    <w:pPr>
      <w:widowControl/>
      <w:snapToGrid w:val="0"/>
      <w:spacing w:before="100" w:beforeAutospacing="1" w:after="100" w:afterAutospacing="1"/>
      <w:jc w:val="left"/>
    </w:pPr>
    <w:rPr>
      <w:rFonts w:ascii="宋体" w:hAnsi="宋体" w:cs="宋体"/>
      <w:kern w:val="0"/>
      <w:sz w:val="24"/>
      <w:szCs w:val="24"/>
    </w:rPr>
  </w:style>
  <w:style w:type="paragraph" w:customStyle="1" w:styleId="214">
    <w:name w:val="表文字"/>
    <w:basedOn w:val="1"/>
    <w:link w:val="347"/>
    <w:qFormat/>
    <w:uiPriority w:val="99"/>
    <w:pPr>
      <w:adjustRightInd w:val="0"/>
      <w:snapToGrid w:val="0"/>
      <w:spacing w:line="320" w:lineRule="exact"/>
      <w:ind w:right="-31" w:rightChars="-31" w:firstLine="448" w:firstLineChars="200"/>
      <w:jc w:val="center"/>
    </w:pPr>
    <w:rPr>
      <w:rFonts w:ascii="楷体_GB2312" w:hAnsi="宋体" w:eastAsia="楷体_GB2312"/>
      <w:spacing w:val="-8"/>
      <w:kern w:val="0"/>
      <w:sz w:val="24"/>
      <w:szCs w:val="24"/>
      <w:lang w:val="zh-CN"/>
    </w:rPr>
  </w:style>
  <w:style w:type="paragraph" w:customStyle="1" w:styleId="215">
    <w:name w:val="xl117"/>
    <w:basedOn w:val="1"/>
    <w:qFormat/>
    <w:uiPriority w:val="0"/>
    <w:pPr>
      <w:widowControl/>
      <w:pBdr>
        <w:left w:val="single" w:color="auto" w:sz="4" w:space="0"/>
      </w:pBdr>
      <w:spacing w:before="100" w:beforeAutospacing="1" w:after="100" w:afterAutospacing="1"/>
      <w:jc w:val="left"/>
    </w:pPr>
    <w:rPr>
      <w:rFonts w:ascii="宋体" w:hAnsi="宋体" w:cs="宋体"/>
      <w:kern w:val="0"/>
      <w:sz w:val="20"/>
      <w:szCs w:val="20"/>
    </w:rPr>
  </w:style>
  <w:style w:type="paragraph" w:customStyle="1" w:styleId="216">
    <w:name w:val="xl75"/>
    <w:basedOn w:val="1"/>
    <w:qFormat/>
    <w:uiPriority w:val="0"/>
    <w:pPr>
      <w:widowControl/>
      <w:spacing w:before="100" w:beforeAutospacing="1" w:after="100" w:afterAutospacing="1"/>
      <w:jc w:val="center"/>
    </w:pPr>
    <w:rPr>
      <w:rFonts w:ascii="Arial" w:hAnsi="Arial" w:cs="Arial"/>
      <w:kern w:val="0"/>
      <w:sz w:val="16"/>
      <w:szCs w:val="16"/>
    </w:rPr>
  </w:style>
  <w:style w:type="paragraph" w:customStyle="1" w:styleId="217">
    <w:name w:val="Char4"/>
    <w:basedOn w:val="1"/>
    <w:qFormat/>
    <w:uiPriority w:val="99"/>
    <w:rPr>
      <w:rFonts w:ascii="Tahoma" w:hAnsi="Tahoma" w:cs="Tahoma"/>
      <w:sz w:val="24"/>
      <w:szCs w:val="24"/>
    </w:rPr>
  </w:style>
  <w:style w:type="paragraph" w:customStyle="1" w:styleId="218">
    <w:name w:val="p15"/>
    <w:basedOn w:val="1"/>
    <w:qFormat/>
    <w:uiPriority w:val="99"/>
    <w:pPr>
      <w:widowControl/>
      <w:ind w:firstLine="420"/>
    </w:pPr>
    <w:rPr>
      <w:rFonts w:ascii="Calibri" w:hAnsi="Calibri" w:cs="Calibri"/>
      <w:kern w:val="0"/>
    </w:rPr>
  </w:style>
  <w:style w:type="paragraph" w:customStyle="1" w:styleId="219">
    <w:name w:val="xl48"/>
    <w:basedOn w:val="1"/>
    <w:qFormat/>
    <w:uiPriority w:val="99"/>
    <w:pPr>
      <w:widowControl/>
      <w:pBdr>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20">
    <w:name w:val="段"/>
    <w:link w:val="356"/>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221">
    <w:name w:val="xl45"/>
    <w:basedOn w:val="1"/>
    <w:qFormat/>
    <w:uiPriority w:val="99"/>
    <w:pPr>
      <w:widowControl/>
      <w:pBdr>
        <w:top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222">
    <w:name w:val="正文1"/>
    <w:qFormat/>
    <w:uiPriority w:val="99"/>
    <w:pPr>
      <w:widowControl w:val="0"/>
      <w:adjustRightInd w:val="0"/>
      <w:spacing w:line="315" w:lineRule="atLeast"/>
      <w:jc w:val="both"/>
      <w:textAlignment w:val="baseline"/>
    </w:pPr>
    <w:rPr>
      <w:rFonts w:ascii="宋体" w:hAnsi="Times New Roman" w:eastAsia="宋体" w:cs="宋体"/>
      <w:sz w:val="24"/>
      <w:szCs w:val="24"/>
      <w:lang w:val="en-US" w:eastAsia="zh-CN" w:bidi="ar-SA"/>
    </w:rPr>
  </w:style>
  <w:style w:type="paragraph" w:customStyle="1" w:styleId="223">
    <w:name w:val="文档正文"/>
    <w:basedOn w:val="1"/>
    <w:qFormat/>
    <w:uiPriority w:val="99"/>
    <w:pPr>
      <w:spacing w:line="360" w:lineRule="auto"/>
    </w:pPr>
    <w:rPr>
      <w:rFonts w:ascii="宋体" w:hAnsi="宋体" w:cs="宋体"/>
      <w:b/>
      <w:bCs/>
    </w:rPr>
  </w:style>
  <w:style w:type="paragraph" w:customStyle="1" w:styleId="224">
    <w:name w:val="xl82"/>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2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226">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7">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8">
    <w:name w:val="Char Char Char Char Char Char Char Char Char Char"/>
    <w:basedOn w:val="1"/>
    <w:qFormat/>
    <w:uiPriority w:val="99"/>
    <w:pPr>
      <w:adjustRightInd w:val="0"/>
      <w:spacing w:line="360" w:lineRule="auto"/>
    </w:pPr>
    <w:rPr>
      <w:kern w:val="0"/>
      <w:sz w:val="24"/>
      <w:szCs w:val="24"/>
    </w:rPr>
  </w:style>
  <w:style w:type="paragraph" w:customStyle="1" w:styleId="229">
    <w:name w:val="p17"/>
    <w:basedOn w:val="1"/>
    <w:qFormat/>
    <w:uiPriority w:val="99"/>
    <w:pPr>
      <w:widowControl/>
    </w:pPr>
    <w:rPr>
      <w:kern w:val="0"/>
    </w:rPr>
  </w:style>
  <w:style w:type="paragraph" w:customStyle="1" w:styleId="230">
    <w:name w:val="引用1"/>
    <w:basedOn w:val="1"/>
    <w:next w:val="1"/>
    <w:link w:val="315"/>
    <w:qFormat/>
    <w:uiPriority w:val="99"/>
    <w:pPr>
      <w:widowControl/>
      <w:spacing w:after="200" w:line="276" w:lineRule="auto"/>
      <w:jc w:val="left"/>
    </w:pPr>
    <w:rPr>
      <w:rFonts w:ascii="Calibri" w:hAnsi="Calibri"/>
      <w:i/>
      <w:iCs/>
      <w:color w:val="000000"/>
      <w:kern w:val="0"/>
      <w:sz w:val="22"/>
      <w:szCs w:val="22"/>
      <w:lang w:eastAsia="en-US"/>
    </w:rPr>
  </w:style>
  <w:style w:type="paragraph" w:customStyle="1" w:styleId="231">
    <w:name w:val="xl47"/>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32">
    <w:name w:val="+正文"/>
    <w:basedOn w:val="1"/>
    <w:link w:val="370"/>
    <w:qFormat/>
    <w:uiPriority w:val="99"/>
    <w:pPr>
      <w:spacing w:line="360" w:lineRule="auto"/>
      <w:ind w:firstLine="200" w:firstLineChars="200"/>
    </w:pPr>
    <w:rPr>
      <w:rFonts w:ascii="宋体"/>
      <w:sz w:val="24"/>
      <w:szCs w:val="24"/>
    </w:rPr>
  </w:style>
  <w:style w:type="paragraph" w:customStyle="1" w:styleId="233">
    <w:name w:val="0"/>
    <w:basedOn w:val="1"/>
    <w:qFormat/>
    <w:uiPriority w:val="99"/>
    <w:pPr>
      <w:widowControl/>
      <w:snapToGrid w:val="0"/>
    </w:pPr>
    <w:rPr>
      <w:kern w:val="0"/>
    </w:rPr>
  </w:style>
  <w:style w:type="paragraph" w:customStyle="1" w:styleId="23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23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3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37">
    <w:name w:val="font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238">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仿宋" w:hAnsi="华文仿宋" w:eastAsia="华文仿宋" w:cs="华文仿宋"/>
      <w:b/>
      <w:bCs/>
      <w:kern w:val="0"/>
      <w:sz w:val="22"/>
      <w:szCs w:val="22"/>
    </w:rPr>
  </w:style>
  <w:style w:type="paragraph" w:customStyle="1" w:styleId="239">
    <w:name w:val="+正文 Char Char2 Char"/>
    <w:basedOn w:val="1"/>
    <w:link w:val="295"/>
    <w:qFormat/>
    <w:uiPriority w:val="99"/>
    <w:pPr>
      <w:spacing w:line="360" w:lineRule="auto"/>
      <w:ind w:firstLine="200" w:firstLineChars="200"/>
    </w:pPr>
    <w:rPr>
      <w:rFonts w:ascii="宋体"/>
      <w:sz w:val="24"/>
      <w:szCs w:val="24"/>
    </w:rPr>
  </w:style>
  <w:style w:type="paragraph" w:customStyle="1" w:styleId="240">
    <w:name w:val="仿宋4号"/>
    <w:basedOn w:val="1"/>
    <w:qFormat/>
    <w:uiPriority w:val="99"/>
    <w:rPr>
      <w:rFonts w:ascii="仿宋_GB2312" w:hAnsi="宋体" w:eastAsia="仿宋_GB2312" w:cs="仿宋_GB2312"/>
      <w:sz w:val="28"/>
      <w:szCs w:val="28"/>
    </w:rPr>
  </w:style>
  <w:style w:type="paragraph" w:customStyle="1" w:styleId="241">
    <w:name w:val="一般正文"/>
    <w:basedOn w:val="1"/>
    <w:autoRedefine/>
    <w:qFormat/>
    <w:uiPriority w:val="99"/>
    <w:pPr>
      <w:spacing w:line="360" w:lineRule="auto"/>
      <w:ind w:firstLine="480" w:firstLineChars="200"/>
    </w:pPr>
    <w:rPr>
      <w:sz w:val="24"/>
      <w:szCs w:val="24"/>
    </w:rPr>
  </w:style>
  <w:style w:type="paragraph" w:customStyle="1" w:styleId="242">
    <w:name w:val="xl13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43">
    <w:name w:val="font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44">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245">
    <w:name w:val="xl40"/>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46">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47">
    <w:name w:val="xl127"/>
    <w:basedOn w:val="1"/>
    <w:autoRedefine/>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248">
    <w:name w:val="23"/>
    <w:basedOn w:val="1"/>
    <w:qFormat/>
    <w:uiPriority w:val="99"/>
    <w:pPr>
      <w:widowControl/>
      <w:snapToGrid w:val="0"/>
      <w:spacing w:before="100" w:beforeAutospacing="1" w:after="100" w:afterAutospacing="1"/>
      <w:ind w:left="840"/>
    </w:pPr>
    <w:rPr>
      <w:kern w:val="0"/>
    </w:rPr>
  </w:style>
  <w:style w:type="paragraph" w:customStyle="1" w:styleId="249">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250">
    <w:name w:val="xl3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5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252">
    <w:name w:val="+正文 Char Char5 Char"/>
    <w:basedOn w:val="1"/>
    <w:link w:val="369"/>
    <w:autoRedefine/>
    <w:qFormat/>
    <w:uiPriority w:val="99"/>
    <w:pPr>
      <w:spacing w:line="360" w:lineRule="auto"/>
      <w:ind w:firstLine="200" w:firstLineChars="200"/>
    </w:pPr>
    <w:rPr>
      <w:rFonts w:ascii="宋体"/>
      <w:sz w:val="24"/>
      <w:szCs w:val="24"/>
    </w:rPr>
  </w:style>
  <w:style w:type="paragraph" w:customStyle="1" w:styleId="25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54">
    <w:name w:val="普通(网站)1"/>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customStyle="1" w:styleId="255">
    <w:name w:val="列出段落11"/>
    <w:basedOn w:val="1"/>
    <w:qFormat/>
    <w:uiPriority w:val="99"/>
    <w:pPr>
      <w:widowControl/>
      <w:adjustRightInd w:val="0"/>
      <w:spacing w:line="360" w:lineRule="auto"/>
      <w:ind w:firstLine="420" w:firstLineChars="200"/>
      <w:jc w:val="left"/>
    </w:pPr>
    <w:rPr>
      <w:rFonts w:ascii="Arial" w:hAnsi="Arial" w:cs="Arial"/>
      <w:kern w:val="0"/>
      <w:lang w:eastAsia="en-US"/>
    </w:rPr>
  </w:style>
  <w:style w:type="paragraph" w:customStyle="1" w:styleId="256">
    <w:name w:val="xl121"/>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257">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i/>
      <w:iCs/>
      <w:kern w:val="0"/>
      <w:sz w:val="18"/>
      <w:szCs w:val="18"/>
    </w:rPr>
  </w:style>
  <w:style w:type="paragraph" w:customStyle="1" w:styleId="258">
    <w:name w:val="xl3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b/>
      <w:bCs/>
      <w:kern w:val="0"/>
      <w:sz w:val="20"/>
      <w:szCs w:val="20"/>
    </w:rPr>
  </w:style>
  <w:style w:type="paragraph" w:customStyle="1" w:styleId="259">
    <w:name w:val="正文段"/>
    <w:basedOn w:val="1"/>
    <w:qFormat/>
    <w:uiPriority w:val="99"/>
    <w:pPr>
      <w:autoSpaceDE w:val="0"/>
      <w:autoSpaceDN w:val="0"/>
      <w:adjustRightInd w:val="0"/>
      <w:spacing w:after="240" w:line="360" w:lineRule="atLeast"/>
      <w:ind w:firstLine="454"/>
      <w:textAlignment w:val="baseline"/>
    </w:pPr>
    <w:rPr>
      <w:rFonts w:ascii="宋体" w:hAnsi="Tms Rmn" w:cs="宋体"/>
      <w:kern w:val="0"/>
      <w:sz w:val="24"/>
      <w:szCs w:val="24"/>
    </w:rPr>
  </w:style>
  <w:style w:type="paragraph" w:customStyle="1" w:styleId="260">
    <w:name w:val="标准次分项"/>
    <w:basedOn w:val="1"/>
    <w:qFormat/>
    <w:uiPriority w:val="99"/>
    <w:pPr>
      <w:jc w:val="left"/>
    </w:pPr>
    <w:rPr>
      <w:rFonts w:ascii="宋体" w:hAnsi="宋体" w:cs="宋体"/>
    </w:rPr>
  </w:style>
  <w:style w:type="paragraph" w:customStyle="1" w:styleId="26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263">
    <w:name w:val="+1. Char"/>
    <w:basedOn w:val="1"/>
    <w:link w:val="350"/>
    <w:qFormat/>
    <w:uiPriority w:val="99"/>
  </w:style>
  <w:style w:type="paragraph" w:customStyle="1" w:styleId="26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5">
    <w:name w:val="+正文 Char5 Char Char Char"/>
    <w:basedOn w:val="1"/>
    <w:link w:val="298"/>
    <w:autoRedefine/>
    <w:qFormat/>
    <w:uiPriority w:val="99"/>
    <w:pPr>
      <w:spacing w:line="360" w:lineRule="auto"/>
      <w:ind w:firstLine="200" w:firstLineChars="200"/>
    </w:pPr>
    <w:rPr>
      <w:rFonts w:ascii="宋体"/>
      <w:sz w:val="24"/>
      <w:szCs w:val="24"/>
    </w:rPr>
  </w:style>
  <w:style w:type="paragraph" w:customStyle="1" w:styleId="266">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67">
    <w:name w:val="xl119"/>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cs="宋体"/>
      <w:kern w:val="0"/>
      <w:sz w:val="20"/>
      <w:szCs w:val="20"/>
    </w:rPr>
  </w:style>
  <w:style w:type="paragraph" w:customStyle="1" w:styleId="268">
    <w:name w:val="明显引用1"/>
    <w:basedOn w:val="1"/>
    <w:next w:val="1"/>
    <w:link w:val="311"/>
    <w:qFormat/>
    <w:uiPriority w:val="99"/>
    <w:pPr>
      <w:widowControl/>
      <w:pBdr>
        <w:bottom w:val="single" w:color="4F81BD" w:sz="4" w:space="4"/>
      </w:pBdr>
      <w:spacing w:before="200" w:after="280" w:line="276" w:lineRule="auto"/>
      <w:ind w:left="936" w:right="936"/>
      <w:jc w:val="left"/>
    </w:pPr>
    <w:rPr>
      <w:rFonts w:ascii="Calibri" w:hAnsi="Calibri"/>
      <w:b/>
      <w:bCs/>
      <w:i/>
      <w:iCs/>
      <w:color w:val="4F81BD"/>
      <w:kern w:val="0"/>
      <w:sz w:val="22"/>
      <w:szCs w:val="22"/>
      <w:lang w:eastAsia="en-US"/>
    </w:rPr>
  </w:style>
  <w:style w:type="paragraph" w:customStyle="1" w:styleId="269">
    <w:name w:val="彩色列表 - 着色 12"/>
    <w:basedOn w:val="1"/>
    <w:qFormat/>
    <w:uiPriority w:val="99"/>
    <w:pPr>
      <w:autoSpaceDE w:val="0"/>
      <w:autoSpaceDN w:val="0"/>
      <w:adjustRightInd w:val="0"/>
      <w:ind w:firstLine="420" w:firstLineChars="200"/>
      <w:jc w:val="left"/>
      <w:textAlignment w:val="baseline"/>
    </w:pPr>
    <w:rPr>
      <w:rFonts w:ascii="宋体" w:cs="宋体"/>
      <w:kern w:val="0"/>
      <w:sz w:val="34"/>
      <w:szCs w:val="34"/>
    </w:rPr>
  </w:style>
  <w:style w:type="paragraph" w:customStyle="1" w:styleId="270">
    <w:name w:val="19"/>
    <w:basedOn w:val="1"/>
    <w:qFormat/>
    <w:uiPriority w:val="99"/>
    <w:pPr>
      <w:widowControl/>
      <w:snapToGrid w:val="0"/>
      <w:spacing w:before="100" w:beforeAutospacing="1" w:after="100" w:afterAutospacing="1" w:line="360" w:lineRule="auto"/>
    </w:pPr>
    <w:rPr>
      <w:kern w:val="0"/>
      <w:sz w:val="24"/>
      <w:szCs w:val="24"/>
    </w:rPr>
  </w:style>
  <w:style w:type="paragraph" w:customStyle="1" w:styleId="271">
    <w:name w:val="全文标题"/>
    <w:next w:val="1"/>
    <w:qFormat/>
    <w:uiPriority w:val="99"/>
    <w:pPr>
      <w:jc w:val="center"/>
    </w:pPr>
    <w:rPr>
      <w:rFonts w:ascii="Arial" w:hAnsi="Arial" w:eastAsia="黑体" w:cs="Arial"/>
      <w:kern w:val="2"/>
      <w:sz w:val="52"/>
      <w:szCs w:val="52"/>
      <w:lang w:val="en-US" w:eastAsia="zh-CN" w:bidi="ar-SA"/>
    </w:rPr>
  </w:style>
  <w:style w:type="paragraph" w:customStyle="1" w:styleId="272">
    <w:name w:val="列出段落3"/>
    <w:basedOn w:val="1"/>
    <w:autoRedefine/>
    <w:qFormat/>
    <w:uiPriority w:val="99"/>
    <w:pPr>
      <w:ind w:firstLine="420" w:firstLineChars="200"/>
    </w:pPr>
  </w:style>
  <w:style w:type="paragraph" w:customStyle="1" w:styleId="273">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b/>
      <w:bCs/>
      <w:kern w:val="0"/>
      <w:sz w:val="20"/>
      <w:szCs w:val="20"/>
    </w:rPr>
  </w:style>
  <w:style w:type="paragraph" w:customStyle="1" w:styleId="27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75">
    <w:name w:val="1"/>
    <w:basedOn w:val="1"/>
    <w:qFormat/>
    <w:uiPriority w:val="99"/>
    <w:pPr>
      <w:spacing w:afterLines="50" w:line="360" w:lineRule="auto"/>
    </w:pPr>
    <w:rPr>
      <w:rFonts w:ascii="仿宋_GB2312" w:hAnsi="宋体" w:eastAsia="仿宋_GB2312" w:cs="仿宋_GB2312"/>
      <w:sz w:val="24"/>
      <w:szCs w:val="24"/>
    </w:rPr>
  </w:style>
  <w:style w:type="paragraph" w:customStyle="1" w:styleId="276">
    <w:name w:val="font9"/>
    <w:basedOn w:val="1"/>
    <w:qFormat/>
    <w:uiPriority w:val="0"/>
    <w:pPr>
      <w:widowControl/>
      <w:spacing w:before="100" w:beforeAutospacing="1" w:after="100" w:afterAutospacing="1"/>
      <w:jc w:val="left"/>
    </w:pPr>
    <w:rPr>
      <w:b/>
      <w:bCs/>
      <w:kern w:val="0"/>
      <w:sz w:val="16"/>
      <w:szCs w:val="16"/>
    </w:rPr>
  </w:style>
  <w:style w:type="paragraph" w:customStyle="1" w:styleId="277">
    <w:name w:val="Char"/>
    <w:basedOn w:val="1"/>
    <w:autoRedefine/>
    <w:qFormat/>
    <w:uiPriority w:val="99"/>
    <w:rPr>
      <w:rFonts w:ascii="Tahoma" w:hAnsi="Tahoma" w:cs="Tahoma"/>
      <w:sz w:val="24"/>
      <w:szCs w:val="24"/>
    </w:rPr>
  </w:style>
  <w:style w:type="paragraph" w:customStyle="1" w:styleId="278">
    <w:name w:val="无间隔1"/>
    <w:link w:val="325"/>
    <w:autoRedefine/>
    <w:qFormat/>
    <w:uiPriority w:val="99"/>
    <w:rPr>
      <w:rFonts w:ascii="Calibri" w:hAnsi="Calibri" w:eastAsia="宋体" w:cs="Calibri"/>
      <w:sz w:val="22"/>
      <w:szCs w:val="22"/>
      <w:lang w:val="en-US" w:eastAsia="en-US" w:bidi="ar-SA"/>
    </w:rPr>
  </w:style>
  <w:style w:type="paragraph" w:customStyle="1" w:styleId="279">
    <w:name w:val="xl4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280">
    <w:name w:val="xl1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81">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82">
    <w:name w:val="font13"/>
    <w:basedOn w:val="1"/>
    <w:qFormat/>
    <w:uiPriority w:val="99"/>
    <w:pPr>
      <w:widowControl/>
      <w:spacing w:before="100" w:beforeAutospacing="1" w:after="100" w:afterAutospacing="1"/>
      <w:jc w:val="left"/>
    </w:pPr>
    <w:rPr>
      <w:rFonts w:ascii="BatangChe" w:hAnsi="BatangChe" w:eastAsia="BatangChe" w:cs="BatangChe"/>
      <w:kern w:val="0"/>
      <w:sz w:val="16"/>
      <w:szCs w:val="16"/>
    </w:rPr>
  </w:style>
  <w:style w:type="paragraph" w:customStyle="1" w:styleId="283">
    <w:name w:val="font1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84">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285">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86">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i/>
      <w:iCs/>
      <w:kern w:val="0"/>
      <w:sz w:val="18"/>
      <w:szCs w:val="18"/>
    </w:rPr>
  </w:style>
  <w:style w:type="paragraph" w:customStyle="1" w:styleId="287">
    <w:name w:val="17"/>
    <w:basedOn w:val="1"/>
    <w:qFormat/>
    <w:uiPriority w:val="99"/>
    <w:pPr>
      <w:widowControl/>
      <w:snapToGrid w:val="0"/>
      <w:spacing w:before="100" w:beforeAutospacing="1" w:after="100" w:afterAutospacing="1"/>
      <w:jc w:val="left"/>
    </w:pPr>
    <w:rPr>
      <w:kern w:val="0"/>
      <w:sz w:val="18"/>
      <w:szCs w:val="18"/>
    </w:rPr>
  </w:style>
  <w:style w:type="paragraph" w:customStyle="1" w:styleId="288">
    <w:name w:val="表内文字"/>
    <w:basedOn w:val="1"/>
    <w:link w:val="353"/>
    <w:autoRedefine/>
    <w:qFormat/>
    <w:uiPriority w:val="0"/>
    <w:pPr>
      <w:jc w:val="center"/>
    </w:pPr>
    <w:rPr>
      <w:rFonts w:ascii="宋体" w:hAnsi="宋体"/>
      <w:color w:val="000000"/>
      <w:szCs w:val="24"/>
    </w:rPr>
  </w:style>
  <w:style w:type="paragraph" w:customStyle="1" w:styleId="289">
    <w:name w:val="列出段落2"/>
    <w:basedOn w:val="1"/>
    <w:qFormat/>
    <w:uiPriority w:val="99"/>
    <w:pPr>
      <w:ind w:firstLine="420" w:firstLineChars="200"/>
    </w:pPr>
    <w:rPr>
      <w:rFonts w:ascii="Calibri" w:hAnsi="Calibri" w:cs="Calibri"/>
    </w:rPr>
  </w:style>
  <w:style w:type="paragraph" w:customStyle="1" w:styleId="290">
    <w:name w:val="xl3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91">
    <w:name w:val="xl4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92">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29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94">
    <w:name w:val="xl50"/>
    <w:basedOn w:val="1"/>
    <w:qFormat/>
    <w:uiPriority w:val="99"/>
    <w:pPr>
      <w:widowControl/>
      <w:pBdr>
        <w:left w:val="single" w:color="auto" w:sz="4" w:space="0"/>
        <w:right w:val="single" w:color="auto" w:sz="4" w:space="0"/>
      </w:pBdr>
      <w:spacing w:before="100" w:beforeAutospacing="1" w:after="100" w:afterAutospacing="1"/>
      <w:jc w:val="left"/>
    </w:pPr>
    <w:rPr>
      <w:rFonts w:ascii="Arial Unicode MS" w:hAnsi="Arial Unicode MS" w:cs="Arial Unicode MS"/>
      <w:kern w:val="0"/>
      <w:sz w:val="20"/>
      <w:szCs w:val="20"/>
    </w:rPr>
  </w:style>
  <w:style w:type="character" w:customStyle="1" w:styleId="295">
    <w:name w:val="+正文 Char Char2 Char Char Char"/>
    <w:link w:val="239"/>
    <w:autoRedefine/>
    <w:qFormat/>
    <w:locked/>
    <w:uiPriority w:val="99"/>
    <w:rPr>
      <w:rFonts w:ascii="宋体" w:hAnsi="Times New Roman" w:eastAsia="宋体" w:cs="Times New Roman"/>
      <w:sz w:val="24"/>
      <w:szCs w:val="24"/>
    </w:rPr>
  </w:style>
  <w:style w:type="character" w:customStyle="1" w:styleId="296">
    <w:name w:val="Subtitle Char"/>
    <w:qFormat/>
    <w:locked/>
    <w:uiPriority w:val="99"/>
    <w:rPr>
      <w:rFonts w:ascii="Calibri Light" w:hAnsi="Calibri Light" w:eastAsia="宋体" w:cs="Calibri Light"/>
      <w:b/>
      <w:bCs/>
      <w:kern w:val="28"/>
      <w:sz w:val="32"/>
      <w:szCs w:val="32"/>
      <w:lang w:eastAsia="en-US"/>
    </w:rPr>
  </w:style>
  <w:style w:type="character" w:customStyle="1" w:styleId="297">
    <w:name w:val="注释标题 Char1"/>
    <w:basedOn w:val="51"/>
    <w:semiHidden/>
    <w:qFormat/>
    <w:uiPriority w:val="99"/>
  </w:style>
  <w:style w:type="character" w:customStyle="1" w:styleId="298">
    <w:name w:val="+正文 Char5 Char Char Char Char Char"/>
    <w:link w:val="265"/>
    <w:qFormat/>
    <w:locked/>
    <w:uiPriority w:val="99"/>
    <w:rPr>
      <w:rFonts w:ascii="宋体" w:hAnsi="Times New Roman" w:eastAsia="宋体" w:cs="Times New Roman"/>
      <w:sz w:val="24"/>
      <w:szCs w:val="24"/>
    </w:rPr>
  </w:style>
  <w:style w:type="character" w:customStyle="1" w:styleId="299">
    <w:name w:val="font41"/>
    <w:basedOn w:val="51"/>
    <w:autoRedefine/>
    <w:qFormat/>
    <w:uiPriority w:val="0"/>
    <w:rPr>
      <w:rFonts w:hint="default" w:ascii="Times New Roman" w:hAnsi="Times New Roman" w:cs="Times New Roman"/>
      <w:b/>
      <w:color w:val="000000"/>
      <w:sz w:val="20"/>
      <w:szCs w:val="20"/>
      <w:u w:val="none"/>
    </w:rPr>
  </w:style>
  <w:style w:type="character" w:customStyle="1" w:styleId="300">
    <w:name w:val="明显引用 Char2"/>
    <w:semiHidden/>
    <w:qFormat/>
    <w:uiPriority w:val="99"/>
    <w:rPr>
      <w:b/>
      <w:bCs/>
      <w:i/>
      <w:iCs/>
      <w:color w:val="4F81BD"/>
      <w:kern w:val="2"/>
      <w:sz w:val="21"/>
      <w:szCs w:val="21"/>
    </w:rPr>
  </w:style>
  <w:style w:type="character" w:customStyle="1" w:styleId="301">
    <w:name w:val="Char Char6"/>
    <w:qFormat/>
    <w:uiPriority w:val="99"/>
    <w:rPr>
      <w:rFonts w:ascii="Arial" w:hAnsi="Arial" w:eastAsia="黑体" w:cs="Arial"/>
      <w:kern w:val="2"/>
      <w:sz w:val="44"/>
      <w:szCs w:val="44"/>
    </w:rPr>
  </w:style>
  <w:style w:type="character" w:customStyle="1" w:styleId="302">
    <w:name w:val="+正文 Char Char3 Char Char Char Char"/>
    <w:link w:val="127"/>
    <w:qFormat/>
    <w:locked/>
    <w:uiPriority w:val="99"/>
    <w:rPr>
      <w:rFonts w:ascii="宋体" w:hAnsi="Times New Roman" w:eastAsia="宋体" w:cs="Times New Roman"/>
      <w:sz w:val="24"/>
      <w:szCs w:val="24"/>
    </w:rPr>
  </w:style>
  <w:style w:type="character" w:customStyle="1" w:styleId="303">
    <w:name w:val="标题 Char1"/>
    <w:qFormat/>
    <w:uiPriority w:val="99"/>
    <w:rPr>
      <w:rFonts w:ascii="Cambria" w:hAnsi="Cambria" w:eastAsia="宋体" w:cs="Cambria"/>
      <w:b/>
      <w:bCs/>
      <w:sz w:val="32"/>
      <w:szCs w:val="32"/>
    </w:rPr>
  </w:style>
  <w:style w:type="character" w:customStyle="1" w:styleId="304">
    <w:name w:val="font101"/>
    <w:basedOn w:val="51"/>
    <w:qFormat/>
    <w:uiPriority w:val="0"/>
    <w:rPr>
      <w:rFonts w:hint="eastAsia" w:ascii="宋体" w:hAnsi="宋体" w:eastAsia="宋体" w:cs="宋体"/>
      <w:color w:val="000000"/>
      <w:sz w:val="24"/>
      <w:szCs w:val="24"/>
      <w:u w:val="none"/>
      <w:vertAlign w:val="superscript"/>
    </w:rPr>
  </w:style>
  <w:style w:type="character" w:customStyle="1" w:styleId="305">
    <w:name w:val="日期 Char1"/>
    <w:basedOn w:val="51"/>
    <w:autoRedefine/>
    <w:semiHidden/>
    <w:qFormat/>
    <w:uiPriority w:val="99"/>
  </w:style>
  <w:style w:type="character" w:customStyle="1" w:styleId="306">
    <w:name w:val="页眉 Char1"/>
    <w:semiHidden/>
    <w:qFormat/>
    <w:uiPriority w:val="99"/>
    <w:rPr>
      <w:sz w:val="18"/>
      <w:szCs w:val="18"/>
    </w:rPr>
  </w:style>
  <w:style w:type="character" w:customStyle="1" w:styleId="307">
    <w:name w:val="居中 Char"/>
    <w:autoRedefine/>
    <w:qFormat/>
    <w:uiPriority w:val="99"/>
    <w:rPr>
      <w:kern w:val="2"/>
      <w:sz w:val="24"/>
      <w:szCs w:val="24"/>
    </w:rPr>
  </w:style>
  <w:style w:type="character" w:customStyle="1" w:styleId="308">
    <w:name w:val="批注文字 Char1"/>
    <w:basedOn w:val="51"/>
    <w:semiHidden/>
    <w:qFormat/>
    <w:uiPriority w:val="99"/>
  </w:style>
  <w:style w:type="character" w:customStyle="1" w:styleId="309">
    <w:name w:val="Intense Quote Char1"/>
    <w:qFormat/>
    <w:uiPriority w:val="99"/>
    <w:rPr>
      <w:b/>
      <w:bCs/>
      <w:i/>
      <w:iCs/>
      <w:color w:val="4F81BD"/>
      <w:sz w:val="21"/>
      <w:szCs w:val="21"/>
    </w:rPr>
  </w:style>
  <w:style w:type="character" w:customStyle="1" w:styleId="310">
    <w:name w:val="font81"/>
    <w:basedOn w:val="51"/>
    <w:qFormat/>
    <w:uiPriority w:val="0"/>
    <w:rPr>
      <w:rFonts w:hint="eastAsia" w:ascii="宋体" w:hAnsi="宋体" w:eastAsia="宋体" w:cs="宋体"/>
      <w:b/>
      <w:color w:val="000000"/>
      <w:sz w:val="20"/>
      <w:szCs w:val="20"/>
      <w:u w:val="none"/>
    </w:rPr>
  </w:style>
  <w:style w:type="character" w:customStyle="1" w:styleId="311">
    <w:name w:val="明显引用 Char1"/>
    <w:link w:val="268"/>
    <w:autoRedefine/>
    <w:qFormat/>
    <w:locked/>
    <w:uiPriority w:val="99"/>
    <w:rPr>
      <w:rFonts w:ascii="Calibri" w:hAnsi="Calibri" w:eastAsia="宋体" w:cs="Times New Roman"/>
      <w:b/>
      <w:bCs/>
      <w:i/>
      <w:iCs/>
      <w:color w:val="4F81BD"/>
      <w:kern w:val="0"/>
      <w:sz w:val="22"/>
      <w:lang w:eastAsia="en-US"/>
    </w:rPr>
  </w:style>
  <w:style w:type="character" w:customStyle="1" w:styleId="312">
    <w:name w:val="Char Char1"/>
    <w:autoRedefine/>
    <w:semiHidden/>
    <w:qFormat/>
    <w:uiPriority w:val="99"/>
    <w:rPr>
      <w:kern w:val="2"/>
      <w:sz w:val="21"/>
      <w:szCs w:val="21"/>
    </w:rPr>
  </w:style>
  <w:style w:type="character" w:customStyle="1" w:styleId="313">
    <w:name w:val="表正文 Char"/>
    <w:autoRedefine/>
    <w:qFormat/>
    <w:uiPriority w:val="99"/>
    <w:rPr>
      <w:rFonts w:eastAsia="宋体"/>
      <w:kern w:val="2"/>
      <w:sz w:val="24"/>
      <w:szCs w:val="24"/>
      <w:lang w:val="en-US" w:eastAsia="zh-CN"/>
    </w:rPr>
  </w:style>
  <w:style w:type="character" w:customStyle="1" w:styleId="314">
    <w:name w:val="old"/>
    <w:basedOn w:val="51"/>
    <w:autoRedefine/>
    <w:qFormat/>
    <w:uiPriority w:val="0"/>
    <w:rPr>
      <w:color w:val="999999"/>
    </w:rPr>
  </w:style>
  <w:style w:type="character" w:customStyle="1" w:styleId="315">
    <w:name w:val="引用 Char1"/>
    <w:link w:val="230"/>
    <w:autoRedefine/>
    <w:qFormat/>
    <w:locked/>
    <w:uiPriority w:val="99"/>
    <w:rPr>
      <w:rFonts w:ascii="Calibri" w:hAnsi="Calibri" w:eastAsia="宋体" w:cs="Times New Roman"/>
      <w:i/>
      <w:iCs/>
      <w:color w:val="000000"/>
      <w:kern w:val="0"/>
      <w:sz w:val="22"/>
      <w:lang w:eastAsia="en-US"/>
    </w:rPr>
  </w:style>
  <w:style w:type="character" w:customStyle="1" w:styleId="316">
    <w:name w:val="正文缩进 Char"/>
    <w:link w:val="7"/>
    <w:autoRedefine/>
    <w:qFormat/>
    <w:locked/>
    <w:uiPriority w:val="99"/>
    <w:rPr>
      <w:rFonts w:ascii="Times New Roman" w:hAnsi="Times New Roman" w:eastAsia="宋体" w:cs="Times New Roman"/>
      <w:szCs w:val="21"/>
    </w:rPr>
  </w:style>
  <w:style w:type="character" w:customStyle="1" w:styleId="317">
    <w:name w:val="15"/>
    <w:autoRedefine/>
    <w:qFormat/>
    <w:uiPriority w:val="99"/>
    <w:rPr>
      <w:rFonts w:ascii="Calibri" w:hAnsi="Calibri" w:cs="Calibri"/>
    </w:rPr>
  </w:style>
  <w:style w:type="character" w:customStyle="1" w:styleId="318">
    <w:name w:val="font71"/>
    <w:basedOn w:val="51"/>
    <w:autoRedefine/>
    <w:qFormat/>
    <w:uiPriority w:val="0"/>
    <w:rPr>
      <w:rFonts w:hint="eastAsia" w:ascii="宋体" w:hAnsi="宋体" w:eastAsia="宋体" w:cs="宋体"/>
      <w:b/>
      <w:color w:val="000000"/>
      <w:sz w:val="20"/>
      <w:szCs w:val="20"/>
      <w:u w:val="none"/>
    </w:rPr>
  </w:style>
  <w:style w:type="character" w:customStyle="1" w:styleId="319">
    <w:name w:val="font61"/>
    <w:basedOn w:val="51"/>
    <w:autoRedefine/>
    <w:qFormat/>
    <w:uiPriority w:val="0"/>
    <w:rPr>
      <w:rFonts w:hint="eastAsia" w:ascii="宋体" w:hAnsi="宋体" w:eastAsia="宋体" w:cs="宋体"/>
      <w:color w:val="000000"/>
      <w:sz w:val="20"/>
      <w:szCs w:val="20"/>
      <w:u w:val="none"/>
      <w:vertAlign w:val="superscript"/>
    </w:rPr>
  </w:style>
  <w:style w:type="character" w:customStyle="1" w:styleId="320">
    <w:name w:val="标准款样式 Char"/>
    <w:link w:val="119"/>
    <w:autoRedefine/>
    <w:qFormat/>
    <w:locked/>
    <w:uiPriority w:val="99"/>
    <w:rPr>
      <w:rFonts w:ascii="黑体" w:hAnsi="宋体" w:eastAsia="宋体" w:cs="Times New Roman"/>
      <w:szCs w:val="21"/>
    </w:rPr>
  </w:style>
  <w:style w:type="character" w:customStyle="1" w:styleId="321">
    <w:name w:val="Footer Char"/>
    <w:autoRedefine/>
    <w:semiHidden/>
    <w:qFormat/>
    <w:locked/>
    <w:uiPriority w:val="99"/>
    <w:rPr>
      <w:sz w:val="18"/>
      <w:szCs w:val="18"/>
    </w:rPr>
  </w:style>
  <w:style w:type="character" w:customStyle="1" w:styleId="322">
    <w:name w:val="称呼 Char1"/>
    <w:basedOn w:val="51"/>
    <w:autoRedefine/>
    <w:semiHidden/>
    <w:qFormat/>
    <w:uiPriority w:val="99"/>
  </w:style>
  <w:style w:type="character" w:customStyle="1" w:styleId="323">
    <w:name w:val="Plain Text Char"/>
    <w:autoRedefine/>
    <w:qFormat/>
    <w:uiPriority w:val="99"/>
    <w:rPr>
      <w:rFonts w:ascii="宋体" w:hAnsi="Courier New" w:eastAsia="宋体" w:cs="宋体"/>
      <w:kern w:val="2"/>
      <w:sz w:val="21"/>
      <w:szCs w:val="21"/>
    </w:rPr>
  </w:style>
  <w:style w:type="character" w:customStyle="1" w:styleId="324">
    <w:name w:val="black1"/>
    <w:autoRedefine/>
    <w:qFormat/>
    <w:uiPriority w:val="99"/>
    <w:rPr>
      <w:rFonts w:ascii="??" w:hAnsi="??" w:cs="??"/>
      <w:color w:val="auto"/>
      <w:sz w:val="18"/>
      <w:szCs w:val="18"/>
      <w:u w:val="none"/>
    </w:rPr>
  </w:style>
  <w:style w:type="character" w:customStyle="1" w:styleId="325">
    <w:name w:val="无间隔 Char"/>
    <w:link w:val="278"/>
    <w:autoRedefine/>
    <w:qFormat/>
    <w:locked/>
    <w:uiPriority w:val="99"/>
    <w:rPr>
      <w:rFonts w:ascii="Calibri" w:hAnsi="Calibri" w:eastAsia="宋体" w:cs="Calibri"/>
      <w:kern w:val="0"/>
      <w:sz w:val="22"/>
      <w:lang w:eastAsia="en-US"/>
    </w:rPr>
  </w:style>
  <w:style w:type="character" w:customStyle="1" w:styleId="326">
    <w:name w:val="脚注文本 Char1"/>
    <w:link w:val="38"/>
    <w:autoRedefine/>
    <w:semiHidden/>
    <w:qFormat/>
    <w:locked/>
    <w:uiPriority w:val="99"/>
    <w:rPr>
      <w:rFonts w:ascii="Times New Roman" w:hAnsi="Times New Roman" w:eastAsia="宋体" w:cs="Times New Roman"/>
      <w:sz w:val="18"/>
      <w:szCs w:val="18"/>
    </w:rPr>
  </w:style>
  <w:style w:type="character" w:customStyle="1" w:styleId="327">
    <w:name w:val="引用 Char2"/>
    <w:autoRedefine/>
    <w:semiHidden/>
    <w:qFormat/>
    <w:uiPriority w:val="99"/>
    <w:rPr>
      <w:i/>
      <w:iCs/>
      <w:color w:val="000000"/>
      <w:kern w:val="2"/>
      <w:sz w:val="21"/>
      <w:szCs w:val="21"/>
    </w:rPr>
  </w:style>
  <w:style w:type="character" w:customStyle="1" w:styleId="328">
    <w:name w:val="font51"/>
    <w:basedOn w:val="51"/>
    <w:autoRedefine/>
    <w:qFormat/>
    <w:uiPriority w:val="0"/>
    <w:rPr>
      <w:rFonts w:hint="eastAsia" w:ascii="宋体" w:hAnsi="宋体" w:eastAsia="宋体" w:cs="宋体"/>
      <w:color w:val="000000"/>
      <w:sz w:val="20"/>
      <w:szCs w:val="20"/>
      <w:u w:val="none"/>
      <w:vertAlign w:val="superscript"/>
    </w:rPr>
  </w:style>
  <w:style w:type="character" w:customStyle="1" w:styleId="329">
    <w:name w:val="正文文本 Char1"/>
    <w:basedOn w:val="51"/>
    <w:autoRedefine/>
    <w:semiHidden/>
    <w:qFormat/>
    <w:uiPriority w:val="99"/>
  </w:style>
  <w:style w:type="character" w:customStyle="1" w:styleId="330">
    <w:name w:val="普通文字 Char Char"/>
    <w:autoRedefine/>
    <w:qFormat/>
    <w:uiPriority w:val="99"/>
    <w:rPr>
      <w:rFonts w:ascii="宋体" w:hAnsi="Courier New" w:cs="宋体"/>
      <w:kern w:val="2"/>
      <w:sz w:val="21"/>
      <w:szCs w:val="21"/>
    </w:rPr>
  </w:style>
  <w:style w:type="character" w:customStyle="1" w:styleId="331">
    <w:name w:val="Char Char"/>
    <w:autoRedefine/>
    <w:semiHidden/>
    <w:qFormat/>
    <w:uiPriority w:val="99"/>
    <w:rPr>
      <w:b/>
      <w:bCs/>
      <w:kern w:val="2"/>
      <w:sz w:val="21"/>
      <w:szCs w:val="21"/>
    </w:rPr>
  </w:style>
  <w:style w:type="character" w:customStyle="1" w:styleId="332">
    <w:name w:val="solutioncontent1"/>
    <w:autoRedefine/>
    <w:qFormat/>
    <w:uiPriority w:val="99"/>
    <w:rPr>
      <w:color w:val="auto"/>
      <w:sz w:val="15"/>
      <w:szCs w:val="15"/>
    </w:rPr>
  </w:style>
  <w:style w:type="character" w:customStyle="1" w:styleId="333">
    <w:name w:val="正文文本 3 Char1"/>
    <w:semiHidden/>
    <w:qFormat/>
    <w:uiPriority w:val="99"/>
    <w:rPr>
      <w:sz w:val="16"/>
      <w:szCs w:val="16"/>
    </w:rPr>
  </w:style>
  <w:style w:type="character" w:customStyle="1" w:styleId="334">
    <w:name w:val="font12-blue-bold1"/>
    <w:autoRedefine/>
    <w:qFormat/>
    <w:uiPriority w:val="99"/>
    <w:rPr>
      <w:b/>
      <w:bCs/>
      <w:color w:val="auto"/>
      <w:sz w:val="18"/>
      <w:szCs w:val="18"/>
      <w:u w:val="none"/>
    </w:rPr>
  </w:style>
  <w:style w:type="character" w:customStyle="1" w:styleId="335">
    <w:name w:val="Heading 3 Char1"/>
    <w:autoRedefine/>
    <w:qFormat/>
    <w:uiPriority w:val="99"/>
    <w:rPr>
      <w:rFonts w:ascii="宋体" w:hAnsi="宋体" w:eastAsia="宋体" w:cs="宋体"/>
      <w:kern w:val="2"/>
      <w:sz w:val="32"/>
      <w:szCs w:val="32"/>
    </w:rPr>
  </w:style>
  <w:style w:type="character" w:customStyle="1" w:styleId="336">
    <w:name w:val="font01"/>
    <w:basedOn w:val="51"/>
    <w:autoRedefine/>
    <w:qFormat/>
    <w:uiPriority w:val="0"/>
    <w:rPr>
      <w:rFonts w:hint="eastAsia" w:ascii="宋体" w:hAnsi="宋体" w:eastAsia="宋体" w:cs="宋体"/>
      <w:b/>
      <w:color w:val="000000"/>
      <w:sz w:val="20"/>
      <w:szCs w:val="20"/>
      <w:u w:val="none"/>
    </w:rPr>
  </w:style>
  <w:style w:type="character" w:customStyle="1" w:styleId="337">
    <w:name w:val="批注主题 Char1"/>
    <w:autoRedefine/>
    <w:semiHidden/>
    <w:qFormat/>
    <w:uiPriority w:val="99"/>
    <w:rPr>
      <w:b/>
      <w:bCs/>
    </w:rPr>
  </w:style>
  <w:style w:type="character" w:customStyle="1" w:styleId="338">
    <w:name w:val="grame"/>
    <w:basedOn w:val="51"/>
    <w:autoRedefine/>
    <w:qFormat/>
    <w:uiPriority w:val="99"/>
  </w:style>
  <w:style w:type="character" w:customStyle="1" w:styleId="339">
    <w:name w:val="Char Char2"/>
    <w:autoRedefine/>
    <w:qFormat/>
    <w:uiPriority w:val="99"/>
    <w:rPr>
      <w:kern w:val="2"/>
      <w:sz w:val="24"/>
      <w:szCs w:val="24"/>
    </w:rPr>
  </w:style>
  <w:style w:type="character" w:customStyle="1" w:styleId="340">
    <w:name w:val="glyphicon6"/>
    <w:basedOn w:val="51"/>
    <w:autoRedefine/>
    <w:qFormat/>
    <w:uiPriority w:val="0"/>
  </w:style>
  <w:style w:type="character" w:customStyle="1" w:styleId="341">
    <w:name w:val="HTML Preformatted Char"/>
    <w:autoRedefine/>
    <w:qFormat/>
    <w:uiPriority w:val="99"/>
    <w:rPr>
      <w:rFonts w:ascii="黑体" w:hAnsi="Courier New" w:eastAsia="黑体" w:cs="黑体"/>
      <w:kern w:val="2"/>
      <w:sz w:val="21"/>
      <w:szCs w:val="21"/>
      <w:lang w:val="en-US" w:eastAsia="zh-CN"/>
    </w:rPr>
  </w:style>
  <w:style w:type="character" w:customStyle="1" w:styleId="342">
    <w:name w:val="Char Char3"/>
    <w:qFormat/>
    <w:uiPriority w:val="99"/>
    <w:rPr>
      <w:kern w:val="2"/>
      <w:sz w:val="21"/>
      <w:szCs w:val="21"/>
    </w:rPr>
  </w:style>
  <w:style w:type="character" w:customStyle="1" w:styleId="343">
    <w:name w:val="h Char Char"/>
    <w:autoRedefine/>
    <w:qFormat/>
    <w:uiPriority w:val="99"/>
    <w:rPr>
      <w:kern w:val="2"/>
      <w:sz w:val="18"/>
      <w:szCs w:val="18"/>
    </w:rPr>
  </w:style>
  <w:style w:type="character" w:customStyle="1" w:styleId="344">
    <w:name w:val="标题 2 Char1"/>
    <w:link w:val="3"/>
    <w:autoRedefine/>
    <w:qFormat/>
    <w:locked/>
    <w:uiPriority w:val="99"/>
    <w:rPr>
      <w:rFonts w:ascii="Cambria" w:hAnsi="Cambria" w:eastAsia="宋体" w:cs="Times New Roman"/>
      <w:b/>
      <w:bCs/>
      <w:kern w:val="0"/>
      <w:sz w:val="32"/>
      <w:szCs w:val="32"/>
    </w:rPr>
  </w:style>
  <w:style w:type="character" w:customStyle="1" w:styleId="345">
    <w:name w:val="hour_am"/>
    <w:basedOn w:val="51"/>
    <w:autoRedefine/>
    <w:qFormat/>
    <w:uiPriority w:val="0"/>
  </w:style>
  <w:style w:type="character" w:customStyle="1" w:styleId="346">
    <w:name w:val="Char Char7"/>
    <w:qFormat/>
    <w:uiPriority w:val="99"/>
    <w:rPr>
      <w:kern w:val="2"/>
      <w:sz w:val="18"/>
      <w:szCs w:val="18"/>
    </w:rPr>
  </w:style>
  <w:style w:type="character" w:customStyle="1" w:styleId="347">
    <w:name w:val="表文字 Char Char"/>
    <w:link w:val="214"/>
    <w:autoRedefine/>
    <w:qFormat/>
    <w:locked/>
    <w:uiPriority w:val="99"/>
    <w:rPr>
      <w:rFonts w:ascii="楷体_GB2312" w:hAnsi="宋体" w:eastAsia="楷体_GB2312" w:cs="Times New Roman"/>
      <w:spacing w:val="-8"/>
      <w:kern w:val="0"/>
      <w:sz w:val="24"/>
      <w:szCs w:val="24"/>
      <w:lang w:val="zh-CN"/>
    </w:rPr>
  </w:style>
  <w:style w:type="character" w:customStyle="1" w:styleId="348">
    <w:name w:val="表正文 Char1"/>
    <w:autoRedefine/>
    <w:qFormat/>
    <w:uiPriority w:val="99"/>
    <w:rPr>
      <w:kern w:val="2"/>
      <w:sz w:val="21"/>
      <w:szCs w:val="21"/>
    </w:rPr>
  </w:style>
  <w:style w:type="character" w:customStyle="1" w:styleId="349">
    <w:name w:val="页脚 Char1"/>
    <w:autoRedefine/>
    <w:semiHidden/>
    <w:qFormat/>
    <w:uiPriority w:val="99"/>
    <w:rPr>
      <w:sz w:val="18"/>
      <w:szCs w:val="18"/>
    </w:rPr>
  </w:style>
  <w:style w:type="character" w:customStyle="1" w:styleId="350">
    <w:name w:val="+1. Char Char Char"/>
    <w:link w:val="263"/>
    <w:autoRedefine/>
    <w:qFormat/>
    <w:locked/>
    <w:uiPriority w:val="99"/>
    <w:rPr>
      <w:rFonts w:ascii="Times New Roman" w:hAnsi="Times New Roman" w:eastAsia="宋体" w:cs="Times New Roman"/>
      <w:szCs w:val="21"/>
    </w:rPr>
  </w:style>
  <w:style w:type="character" w:customStyle="1" w:styleId="351">
    <w:name w:val="msoins"/>
    <w:basedOn w:val="51"/>
    <w:autoRedefine/>
    <w:qFormat/>
    <w:uiPriority w:val="99"/>
  </w:style>
  <w:style w:type="character" w:customStyle="1" w:styleId="352">
    <w:name w:val="font91"/>
    <w:basedOn w:val="51"/>
    <w:qFormat/>
    <w:uiPriority w:val="0"/>
    <w:rPr>
      <w:rFonts w:hint="eastAsia" w:ascii="宋体" w:hAnsi="宋体" w:eastAsia="宋体" w:cs="宋体"/>
      <w:color w:val="000000"/>
      <w:sz w:val="20"/>
      <w:szCs w:val="20"/>
      <w:u w:val="none"/>
      <w:vertAlign w:val="superscript"/>
    </w:rPr>
  </w:style>
  <w:style w:type="character" w:customStyle="1" w:styleId="353">
    <w:name w:val="表内文字 Char"/>
    <w:link w:val="288"/>
    <w:autoRedefine/>
    <w:qFormat/>
    <w:uiPriority w:val="0"/>
    <w:rPr>
      <w:rFonts w:ascii="宋体" w:hAnsi="宋体" w:eastAsia="宋体" w:cs="Times New Roman"/>
      <w:color w:val="000000"/>
      <w:szCs w:val="24"/>
    </w:rPr>
  </w:style>
  <w:style w:type="character" w:customStyle="1" w:styleId="354">
    <w:name w:val="副标题 Char1"/>
    <w:autoRedefine/>
    <w:qFormat/>
    <w:uiPriority w:val="99"/>
    <w:rPr>
      <w:rFonts w:ascii="Cambria" w:hAnsi="Cambria" w:eastAsia="宋体" w:cs="Cambria"/>
      <w:b/>
      <w:bCs/>
      <w:kern w:val="28"/>
      <w:sz w:val="32"/>
      <w:szCs w:val="32"/>
    </w:rPr>
  </w:style>
  <w:style w:type="character" w:customStyle="1" w:styleId="355">
    <w:name w:val="hover2"/>
    <w:basedOn w:val="51"/>
    <w:autoRedefine/>
    <w:qFormat/>
    <w:uiPriority w:val="0"/>
    <w:rPr>
      <w:shd w:val="clear" w:color="auto" w:fill="EEEEEE"/>
    </w:rPr>
  </w:style>
  <w:style w:type="character" w:customStyle="1" w:styleId="356">
    <w:name w:val="段 Char"/>
    <w:link w:val="220"/>
    <w:autoRedefine/>
    <w:qFormat/>
    <w:locked/>
    <w:uiPriority w:val="99"/>
    <w:rPr>
      <w:rFonts w:ascii="宋体" w:hAnsi="Times New Roman" w:eastAsia="宋体" w:cs="宋体"/>
      <w:kern w:val="0"/>
      <w:szCs w:val="21"/>
    </w:rPr>
  </w:style>
  <w:style w:type="character" w:customStyle="1" w:styleId="357">
    <w:name w:val="hour_pm"/>
    <w:basedOn w:val="51"/>
    <w:autoRedefine/>
    <w:qFormat/>
    <w:uiPriority w:val="0"/>
  </w:style>
  <w:style w:type="character" w:customStyle="1" w:styleId="358">
    <w:name w:val="Body Text Indent Char"/>
    <w:autoRedefine/>
    <w:qFormat/>
    <w:locked/>
    <w:uiPriority w:val="99"/>
    <w:rPr>
      <w:kern w:val="2"/>
      <w:sz w:val="24"/>
      <w:szCs w:val="24"/>
    </w:rPr>
  </w:style>
  <w:style w:type="character" w:customStyle="1" w:styleId="359">
    <w:name w:val="font21"/>
    <w:basedOn w:val="51"/>
    <w:autoRedefine/>
    <w:qFormat/>
    <w:uiPriority w:val="0"/>
    <w:rPr>
      <w:rFonts w:hint="eastAsia" w:ascii="宋体" w:hAnsi="宋体" w:eastAsia="宋体" w:cs="宋体"/>
      <w:b/>
      <w:color w:val="000000"/>
      <w:sz w:val="20"/>
      <w:szCs w:val="20"/>
      <w:u w:val="none"/>
    </w:rPr>
  </w:style>
  <w:style w:type="character" w:customStyle="1" w:styleId="360">
    <w:name w:val="16"/>
    <w:autoRedefine/>
    <w:qFormat/>
    <w:uiPriority w:val="99"/>
    <w:rPr>
      <w:rFonts w:ascii="Times New Roman" w:hAnsi="Times New Roman" w:cs="Times New Roman"/>
      <w:color w:val="0000FF"/>
      <w:sz w:val="20"/>
      <w:szCs w:val="20"/>
      <w:u w:val="single"/>
    </w:rPr>
  </w:style>
  <w:style w:type="character" w:customStyle="1" w:styleId="361">
    <w:name w:val="Quote Char1"/>
    <w:autoRedefine/>
    <w:qFormat/>
    <w:uiPriority w:val="99"/>
    <w:rPr>
      <w:i/>
      <w:iCs/>
      <w:color w:val="000000"/>
      <w:sz w:val="21"/>
      <w:szCs w:val="21"/>
    </w:rPr>
  </w:style>
  <w:style w:type="character" w:customStyle="1" w:styleId="362">
    <w:name w:val="+正文 Char2 Char Char"/>
    <w:link w:val="203"/>
    <w:autoRedefine/>
    <w:qFormat/>
    <w:locked/>
    <w:uiPriority w:val="99"/>
    <w:rPr>
      <w:rFonts w:ascii="宋体" w:hAnsi="Times New Roman" w:eastAsia="宋体" w:cs="Times New Roman"/>
      <w:sz w:val="24"/>
      <w:szCs w:val="24"/>
    </w:rPr>
  </w:style>
  <w:style w:type="character" w:customStyle="1" w:styleId="363">
    <w:name w:val="正文首行缩进 Char1"/>
    <w:basedOn w:val="329"/>
    <w:autoRedefine/>
    <w:semiHidden/>
    <w:qFormat/>
    <w:uiPriority w:val="99"/>
  </w:style>
  <w:style w:type="character" w:customStyle="1" w:styleId="364">
    <w:name w:val="font31"/>
    <w:basedOn w:val="51"/>
    <w:qFormat/>
    <w:uiPriority w:val="0"/>
    <w:rPr>
      <w:rFonts w:hint="default" w:ascii="Times New Roman" w:hAnsi="Times New Roman" w:cs="Times New Roman"/>
      <w:color w:val="000000"/>
      <w:sz w:val="21"/>
      <w:szCs w:val="21"/>
      <w:u w:val="none"/>
    </w:rPr>
  </w:style>
  <w:style w:type="character" w:customStyle="1" w:styleId="365">
    <w:name w:val="+正文 Char Char"/>
    <w:link w:val="212"/>
    <w:qFormat/>
    <w:locked/>
    <w:uiPriority w:val="99"/>
    <w:rPr>
      <w:rFonts w:ascii="楷体_GB2312" w:hAnsi="Times New Roman" w:eastAsia="楷体_GB2312" w:cs="Times New Roman"/>
      <w:sz w:val="24"/>
      <w:szCs w:val="24"/>
    </w:rPr>
  </w:style>
  <w:style w:type="character" w:customStyle="1" w:styleId="366">
    <w:name w:val="+列表1 Char Char Char Char Char"/>
    <w:link w:val="201"/>
    <w:autoRedefine/>
    <w:qFormat/>
    <w:locked/>
    <w:uiPriority w:val="99"/>
    <w:rPr>
      <w:rFonts w:ascii="宋体" w:hAnsi="Times New Roman" w:eastAsia="宋体" w:cs="Times New Roman"/>
      <w:szCs w:val="21"/>
    </w:rPr>
  </w:style>
  <w:style w:type="character" w:customStyle="1" w:styleId="367">
    <w:name w:val="Char Char4"/>
    <w:autoRedefine/>
    <w:qFormat/>
    <w:uiPriority w:val="99"/>
    <w:rPr>
      <w:kern w:val="2"/>
      <w:sz w:val="16"/>
      <w:szCs w:val="16"/>
    </w:rPr>
  </w:style>
  <w:style w:type="character" w:customStyle="1" w:styleId="368">
    <w:name w:val="Char Char5"/>
    <w:autoRedefine/>
    <w:qFormat/>
    <w:uiPriority w:val="99"/>
    <w:rPr>
      <w:rFonts w:ascii="Arial" w:hAnsi="Arial" w:eastAsia="方正魏碑简体" w:cs="Arial"/>
      <w:kern w:val="28"/>
      <w:sz w:val="32"/>
      <w:szCs w:val="32"/>
    </w:rPr>
  </w:style>
  <w:style w:type="character" w:customStyle="1" w:styleId="369">
    <w:name w:val="+正文 Char Char5 Char Char Char"/>
    <w:link w:val="252"/>
    <w:qFormat/>
    <w:locked/>
    <w:uiPriority w:val="99"/>
    <w:rPr>
      <w:rFonts w:ascii="宋体" w:hAnsi="Times New Roman" w:eastAsia="宋体" w:cs="Times New Roman"/>
      <w:sz w:val="24"/>
      <w:szCs w:val="24"/>
    </w:rPr>
  </w:style>
  <w:style w:type="character" w:customStyle="1" w:styleId="370">
    <w:name w:val="+正文 Char4"/>
    <w:link w:val="232"/>
    <w:autoRedefine/>
    <w:qFormat/>
    <w:locked/>
    <w:uiPriority w:val="99"/>
    <w:rPr>
      <w:rFonts w:ascii="宋体" w:hAnsi="Times New Roman" w:eastAsia="宋体" w:cs="Times New Roman"/>
      <w:sz w:val="24"/>
      <w:szCs w:val="24"/>
    </w:rPr>
  </w:style>
  <w:style w:type="character" w:customStyle="1" w:styleId="371">
    <w:name w:val="Char Char8"/>
    <w:autoRedefine/>
    <w:qFormat/>
    <w:uiPriority w:val="99"/>
    <w:rPr>
      <w:kern w:val="2"/>
      <w:sz w:val="21"/>
      <w:szCs w:val="21"/>
    </w:rPr>
  </w:style>
  <w:style w:type="paragraph" w:customStyle="1" w:styleId="372">
    <w:name w:val="修订2"/>
    <w:autoRedefine/>
    <w:hidden/>
    <w:unhideWhenUsed/>
    <w:qFormat/>
    <w:uiPriority w:val="99"/>
    <w:rPr>
      <w:rFonts w:ascii="Times New Roman" w:hAnsi="Times New Roman" w:eastAsia="宋体" w:cs="Times New Roman"/>
      <w:kern w:val="2"/>
      <w:sz w:val="21"/>
      <w:szCs w:val="21"/>
      <w:lang w:val="en-US" w:eastAsia="zh-CN" w:bidi="ar-SA"/>
    </w:rPr>
  </w:style>
  <w:style w:type="paragraph" w:customStyle="1" w:styleId="373">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374">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8080"/>
      <w:kern w:val="0"/>
      <w:sz w:val="24"/>
      <w:szCs w:val="24"/>
      <w:u w:val="single"/>
    </w:rPr>
  </w:style>
  <w:style w:type="paragraph" w:customStyle="1" w:styleId="375">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7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szCs w:val="24"/>
    </w:rPr>
  </w:style>
  <w:style w:type="paragraph" w:customStyle="1" w:styleId="377">
    <w:name w:val="xl14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78">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7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80">
    <w:name w:val="xl1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kern w:val="0"/>
      <w:sz w:val="32"/>
      <w:szCs w:val="32"/>
    </w:rPr>
  </w:style>
  <w:style w:type="paragraph" w:customStyle="1" w:styleId="381">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382">
    <w:name w:val="xl146"/>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383">
    <w:name w:val="xl1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84">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5">
    <w:name w:val="xl149"/>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6">
    <w:name w:val="xl150"/>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387">
    <w:name w:val="xl151"/>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88">
    <w:name w:val="xl152"/>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389">
    <w:name w:val="xl153"/>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90">
    <w:name w:val="xl154"/>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391">
    <w:name w:val="xl155"/>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2">
    <w:name w:val="xl15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3">
    <w:name w:val="xl1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4">
    <w:name w:val="xl158"/>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5">
    <w:name w:val="xl159"/>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6">
    <w:name w:val="xl160"/>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7">
    <w:name w:val="xl161"/>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8">
    <w:name w:val="xl162"/>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399">
    <w:name w:val="xl163"/>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00">
    <w:name w:val="xl164"/>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01">
    <w:name w:val="xl165"/>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2">
    <w:name w:val="xl166"/>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03">
    <w:name w:val="xl167"/>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404">
    <w:name w:val="xl16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5">
    <w:name w:val="xl169"/>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06">
    <w:name w:val="xl170"/>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07">
    <w:name w:val="xl171"/>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8">
    <w:name w:val="xl172"/>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9">
    <w:name w:val="xl173"/>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10">
    <w:name w:val="xl174"/>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11">
    <w:name w:val="xl175"/>
    <w:basedOn w:val="1"/>
    <w:autoRedefine/>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12">
    <w:name w:val="xl176"/>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3">
    <w:name w:val="xl177"/>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4">
    <w:name w:val="xl178"/>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415">
    <w:name w:val="xl179"/>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6">
    <w:name w:val="xl180"/>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17">
    <w:name w:val="xl181"/>
    <w:basedOn w:val="1"/>
    <w:autoRedefine/>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18">
    <w:name w:val="xl182"/>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9">
    <w:name w:val="xl183"/>
    <w:basedOn w:val="1"/>
    <w:qFormat/>
    <w:uiPriority w:val="0"/>
    <w:pPr>
      <w:widowControl/>
      <w:pBdr>
        <w:top w:val="single" w:color="auto" w:sz="12"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20">
    <w:name w:val="xl184"/>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1">
    <w:name w:val="xl185"/>
    <w:basedOn w:val="1"/>
    <w:qFormat/>
    <w:uiPriority w:val="0"/>
    <w:pPr>
      <w:widowControl/>
      <w:pBdr>
        <w:top w:val="single" w:color="auto" w:sz="12"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22">
    <w:name w:val="xl186"/>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3">
    <w:name w:val="xl187"/>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4">
    <w:name w:val="xl188"/>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25">
    <w:name w:val="xl189"/>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26">
    <w:name w:val="xl190"/>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27">
    <w:name w:val="xl191"/>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8">
    <w:name w:val="xl192"/>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29">
    <w:name w:val="xl193"/>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30">
    <w:name w:val="xl194"/>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31">
    <w:name w:val="xl195"/>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432">
    <w:name w:val="xl196"/>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33">
    <w:name w:val="xl197"/>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34">
    <w:name w:val="xl19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35">
    <w:name w:val="xl19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36">
    <w:name w:val="xl200"/>
    <w:basedOn w:val="1"/>
    <w:autoRedefine/>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437">
    <w:name w:val="xl201"/>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438">
    <w:name w:val="xl20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39">
    <w:name w:val="xl2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0">
    <w:name w:val="xl2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1">
    <w:name w:val="xl205"/>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2">
    <w:name w:val="xl206"/>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szCs w:val="24"/>
    </w:rPr>
  </w:style>
  <w:style w:type="paragraph" w:customStyle="1" w:styleId="443">
    <w:name w:val="xl207"/>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40"/>
      <w:szCs w:val="40"/>
    </w:rPr>
  </w:style>
  <w:style w:type="paragraph" w:customStyle="1" w:styleId="444">
    <w:name w:val="xl208"/>
    <w:basedOn w:val="1"/>
    <w:qFormat/>
    <w:uiPriority w:val="0"/>
    <w:pPr>
      <w:widowControl/>
      <w:pBdr>
        <w:left w:val="single" w:color="auto" w:sz="4" w:space="0"/>
        <w:right w:val="single" w:color="auto" w:sz="4" w:space="0"/>
      </w:pBdr>
      <w:spacing w:before="100" w:beforeAutospacing="1" w:after="100" w:afterAutospacing="1"/>
      <w:jc w:val="left"/>
      <w:textAlignment w:val="bottom"/>
    </w:pPr>
    <w:rPr>
      <w:rFonts w:ascii="宋体" w:hAnsi="宋体" w:cs="宋体"/>
      <w:kern w:val="0"/>
      <w:sz w:val="24"/>
      <w:szCs w:val="24"/>
    </w:rPr>
  </w:style>
  <w:style w:type="paragraph" w:customStyle="1" w:styleId="445">
    <w:name w:val="xl20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szCs w:val="24"/>
    </w:rPr>
  </w:style>
  <w:style w:type="paragraph" w:customStyle="1" w:styleId="446">
    <w:name w:val="xl21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47">
    <w:name w:val="xl2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48">
    <w:name w:val="xl212"/>
    <w:basedOn w:val="1"/>
    <w:qFormat/>
    <w:uiPriority w:val="0"/>
    <w:pPr>
      <w:widowControl/>
      <w:pBdr>
        <w:top w:val="single" w:color="auto" w:sz="12" w:space="0"/>
        <w:left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449">
    <w:name w:val="xl21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450">
    <w:name w:val="xl21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451">
    <w:name w:val="xl21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bottom"/>
    </w:pPr>
    <w:rPr>
      <w:rFonts w:ascii="宋体" w:hAnsi="宋体" w:cs="宋体"/>
      <w:kern w:val="0"/>
      <w:sz w:val="32"/>
      <w:szCs w:val="32"/>
    </w:rPr>
  </w:style>
  <w:style w:type="paragraph" w:customStyle="1" w:styleId="452">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32"/>
      <w:szCs w:val="32"/>
    </w:rPr>
  </w:style>
  <w:style w:type="paragraph" w:customStyle="1" w:styleId="453">
    <w:name w:val="xl2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szCs w:val="24"/>
    </w:rPr>
  </w:style>
  <w:style w:type="paragraph" w:customStyle="1" w:styleId="454">
    <w:name w:val="xl21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55">
    <w:name w:val="xl219"/>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56">
    <w:name w:val="xl220"/>
    <w:basedOn w:val="1"/>
    <w:qFormat/>
    <w:uiPriority w:val="0"/>
    <w:pPr>
      <w:widowControl/>
      <w:pBdr>
        <w:left w:val="single" w:color="auto" w:sz="4" w:space="0"/>
        <w:bottom w:val="single" w:color="auto" w:sz="12"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57">
    <w:name w:val="xl22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58">
    <w:name w:val="xl222"/>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59">
    <w:name w:val="xl223"/>
    <w:basedOn w:val="1"/>
    <w:qFormat/>
    <w:uiPriority w:val="0"/>
    <w:pPr>
      <w:widowControl/>
      <w:pBdr>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0">
    <w:name w:val="xl224"/>
    <w:basedOn w:val="1"/>
    <w:qFormat/>
    <w:uiPriority w:val="0"/>
    <w:pPr>
      <w:widowControl/>
      <w:pBdr>
        <w:top w:val="single" w:color="auto" w:sz="12" w:space="0"/>
        <w:left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61">
    <w:name w:val="xl225"/>
    <w:basedOn w:val="1"/>
    <w:qFormat/>
    <w:uiPriority w:val="0"/>
    <w:pPr>
      <w:widowControl/>
      <w:pBdr>
        <w:top w:val="single" w:color="auto" w:sz="12"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2">
    <w:name w:val="xl22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60"/>
      <w:szCs w:val="60"/>
    </w:rPr>
  </w:style>
  <w:style w:type="paragraph" w:customStyle="1" w:styleId="463">
    <w:name w:val="xl22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60"/>
      <w:szCs w:val="60"/>
    </w:rPr>
  </w:style>
  <w:style w:type="paragraph" w:customStyle="1" w:styleId="464">
    <w:name w:val="xl22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60"/>
      <w:szCs w:val="60"/>
    </w:rPr>
  </w:style>
  <w:style w:type="paragraph" w:customStyle="1" w:styleId="465">
    <w:name w:val="xl229"/>
    <w:basedOn w:val="1"/>
    <w:qFormat/>
    <w:uiPriority w:val="0"/>
    <w:pPr>
      <w:widowControl/>
      <w:pBdr>
        <w:top w:val="single" w:color="auto" w:sz="12"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6">
    <w:name w:val="xl230"/>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7">
    <w:name w:val="xl231"/>
    <w:basedOn w:val="1"/>
    <w:qFormat/>
    <w:uiPriority w:val="0"/>
    <w:pPr>
      <w:widowControl/>
      <w:pBdr>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8">
    <w:name w:val="xl232"/>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69">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70">
    <w:name w:val="xl234"/>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71">
    <w:name w:val="xl235"/>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7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73">
    <w:name w:val="xl237"/>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74">
    <w:name w:val="xl238"/>
    <w:basedOn w:val="1"/>
    <w:qFormat/>
    <w:uiPriority w:val="0"/>
    <w:pPr>
      <w:widowControl/>
      <w:pBdr>
        <w:left w:val="single" w:color="auto" w:sz="4" w:space="0"/>
        <w:bottom w:val="single" w:color="auto" w:sz="4" w:space="0"/>
      </w:pBdr>
      <w:shd w:val="clear" w:color="000000" w:fill="FFFFFF"/>
      <w:spacing w:before="100" w:beforeAutospacing="1" w:after="100" w:afterAutospacing="1"/>
      <w:jc w:val="right"/>
    </w:pPr>
    <w:rPr>
      <w:rFonts w:ascii="宋体" w:hAnsi="宋体" w:cs="宋体"/>
      <w:b/>
      <w:bCs/>
      <w:kern w:val="0"/>
      <w:sz w:val="40"/>
      <w:szCs w:val="40"/>
    </w:rPr>
  </w:style>
  <w:style w:type="paragraph" w:customStyle="1" w:styleId="475">
    <w:name w:val="xl239"/>
    <w:basedOn w:val="1"/>
    <w:qFormat/>
    <w:uiPriority w:val="0"/>
    <w:pPr>
      <w:widowControl/>
      <w:pBdr>
        <w:bottom w:val="single" w:color="auto" w:sz="4" w:space="0"/>
        <w:right w:val="single" w:color="auto" w:sz="4" w:space="0"/>
      </w:pBdr>
      <w:shd w:val="clear" w:color="000000" w:fill="FFFFFF"/>
      <w:spacing w:before="100" w:beforeAutospacing="1" w:after="100" w:afterAutospacing="1"/>
      <w:jc w:val="right"/>
    </w:pPr>
    <w:rPr>
      <w:rFonts w:ascii="宋体" w:hAnsi="宋体" w:cs="宋体"/>
      <w:b/>
      <w:bCs/>
      <w:kern w:val="0"/>
      <w:sz w:val="40"/>
      <w:szCs w:val="40"/>
    </w:rPr>
  </w:style>
  <w:style w:type="paragraph" w:customStyle="1" w:styleId="476">
    <w:name w:val="xl240"/>
    <w:basedOn w:val="1"/>
    <w:qFormat/>
    <w:uiPriority w:val="0"/>
    <w:pPr>
      <w:widowControl/>
      <w:pBdr>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77">
    <w:name w:val="xl241"/>
    <w:basedOn w:val="1"/>
    <w:qFormat/>
    <w:uiPriority w:val="0"/>
    <w:pPr>
      <w:widowControl/>
      <w:pBdr>
        <w:bottom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78">
    <w:name w:val="xl242"/>
    <w:basedOn w:val="1"/>
    <w:qFormat/>
    <w:uiPriority w:val="0"/>
    <w:pPr>
      <w:widowControl/>
      <w:pBdr>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79">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80">
    <w:name w:val="xl2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1">
    <w:name w:val="xl245"/>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2">
    <w:name w:val="xl246"/>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3">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4">
    <w:name w:val="xl24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5">
    <w:name w:val="xl249"/>
    <w:basedOn w:val="1"/>
    <w:qFormat/>
    <w:uiPriority w:val="0"/>
    <w:pPr>
      <w:widowControl/>
      <w:spacing w:before="100" w:beforeAutospacing="1" w:after="100" w:afterAutospacing="1"/>
      <w:jc w:val="left"/>
      <w:textAlignment w:val="top"/>
    </w:pPr>
    <w:rPr>
      <w:rFonts w:ascii="宋体" w:hAnsi="宋体" w:cs="宋体"/>
      <w:kern w:val="0"/>
      <w:sz w:val="24"/>
      <w:szCs w:val="24"/>
    </w:rPr>
  </w:style>
  <w:style w:type="table" w:customStyle="1" w:styleId="48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87">
    <w:name w:val="Table Paragraph"/>
    <w:basedOn w:val="1"/>
    <w:autoRedefine/>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78</Pages>
  <Words>8262</Words>
  <Characters>8880</Characters>
  <Lines>59</Lines>
  <Paragraphs>16</Paragraphs>
  <TotalTime>1</TotalTime>
  <ScaleCrop>false</ScaleCrop>
  <LinksUpToDate>false</LinksUpToDate>
  <CharactersWithSpaces>8937</CharactersWithSpaces>
  <Application>WPS Office_12.8.2.17008_F1E327BC-269C-435d-A152-05C5408002CA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2021-07-06T21:39:00Z</dcterms:created>
  <dc:creator>HP</dc:creator>
  <cp:lastModifiedBy>lxy</cp:lastModifiedBy>
  <dcterms:modified xsi:type="dcterms:W3CDTF">2026-05-14T11:43:41Z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2052-12.8.2.17008</vt:lpwstr>
  </property>
  <property fmtid="{D5CDD505-2E9C-101B-9397-08002B2CF9AE}" pid="3" name="ICV">
    <vt:lpwstr>E583EBB017204A6FBFE977243668F2D9_13</vt:lpwstr>
  </property>
  <property fmtid="{D5CDD505-2E9C-101B-9397-08002B2CF9AE}" pid="4" name="KSOTemplateDocerSaveRecord">
    <vt:lpwstr>eyJoZGlkIjoiMTY1NGUyZjM5ZDg3YjFlYjY3ZjY0YTllMWY0ZGM5ZmYiLCJ1c2VySWQiOiIyMzA3MDIzNTUifQ==</vt:lpwstr>
  </property>
</Properties>
</file>