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ADDC1">
      <w:pPr>
        <w:ind w:firstLine="0" w:firstLineChars="0"/>
        <w:rPr>
          <w:rFonts w:ascii="Times New Roman" w:hAnsi="Times New Roman"/>
          <w:color w:val="auto"/>
          <w:sz w:val="32"/>
          <w:szCs w:val="32"/>
          <w:highlight w:val="none"/>
        </w:rPr>
      </w:pPr>
      <w:bookmarkStart w:id="283" w:name="_GoBack"/>
      <w:bookmarkEnd w:id="283"/>
    </w:p>
    <w:p w14:paraId="161B9EE2">
      <w:pPr>
        <w:ind w:firstLine="0" w:firstLineChars="0"/>
        <w:rPr>
          <w:rFonts w:ascii="Times New Roman" w:hAnsi="Times New Roman"/>
          <w:color w:val="auto"/>
          <w:sz w:val="32"/>
          <w:szCs w:val="32"/>
          <w:highlight w:val="none"/>
        </w:rPr>
      </w:pPr>
    </w:p>
    <w:p w14:paraId="1CB844D6">
      <w:pPr>
        <w:ind w:firstLine="0" w:firstLineChars="0"/>
        <w:rPr>
          <w:rFonts w:ascii="Times New Roman" w:hAnsi="Times New Roman"/>
          <w:color w:val="auto"/>
          <w:sz w:val="32"/>
          <w:szCs w:val="32"/>
          <w:highlight w:val="none"/>
        </w:rPr>
      </w:pPr>
    </w:p>
    <w:p w14:paraId="05E365B6">
      <w:pPr>
        <w:ind w:firstLine="0" w:firstLineChars="0"/>
        <w:rPr>
          <w:rFonts w:ascii="Times New Roman" w:hAnsi="Times New Roman"/>
          <w:color w:val="auto"/>
          <w:sz w:val="32"/>
          <w:szCs w:val="32"/>
          <w:highlight w:val="none"/>
        </w:rPr>
      </w:pPr>
    </w:p>
    <w:p w14:paraId="37A90E6A">
      <w:pPr>
        <w:spacing w:line="360" w:lineRule="auto"/>
        <w:ind w:firstLine="0" w:firstLineChars="0"/>
        <w:jc w:val="center"/>
        <w:rPr>
          <w:rFonts w:hint="eastAsia" w:ascii="Times New Roman" w:hAnsi="Times New Roman" w:eastAsia="方正小标宋_GBK" w:cs="仿宋"/>
          <w:sz w:val="44"/>
          <w:szCs w:val="44"/>
        </w:rPr>
      </w:pPr>
      <w:r>
        <w:rPr>
          <w:rFonts w:hint="eastAsia" w:ascii="Times New Roman" w:hAnsi="Times New Roman" w:eastAsia="黑体"/>
          <w:bCs/>
          <w:color w:val="auto"/>
          <w:sz w:val="52"/>
          <w:szCs w:val="52"/>
          <w:highlight w:val="none"/>
          <w:lang w:bidi="zh-CN"/>
        </w:rPr>
        <w:t>上海市政务外网通信服务</w:t>
      </w:r>
    </w:p>
    <w:p w14:paraId="09EFC8F4">
      <w:pPr>
        <w:ind w:firstLine="0" w:firstLineChars="0"/>
        <w:jc w:val="both"/>
        <w:rPr>
          <w:rFonts w:ascii="Times New Roman" w:hAnsi="Times New Roman" w:eastAsia="黑体"/>
          <w:bCs/>
          <w:color w:val="auto"/>
          <w:sz w:val="52"/>
          <w:szCs w:val="52"/>
          <w:highlight w:val="none"/>
          <w:lang w:bidi="zh-CN"/>
        </w:rPr>
      </w:pPr>
    </w:p>
    <w:p w14:paraId="08066463">
      <w:pPr>
        <w:ind w:firstLine="0" w:firstLineChars="0"/>
        <w:jc w:val="center"/>
        <w:rPr>
          <w:rFonts w:ascii="Times New Roman" w:hAnsi="Times New Roman" w:eastAsia="黑体"/>
          <w:bCs/>
          <w:color w:val="auto"/>
          <w:sz w:val="52"/>
          <w:szCs w:val="52"/>
          <w:highlight w:val="none"/>
          <w:lang w:bidi="zh-CN"/>
        </w:rPr>
      </w:pPr>
    </w:p>
    <w:p w14:paraId="1A6A0F74">
      <w:pPr>
        <w:pStyle w:val="43"/>
        <w:rPr>
          <w:rFonts w:ascii="Times New Roman" w:hAnsi="Times New Roman"/>
          <w:color w:val="auto"/>
          <w:highlight w:val="none"/>
          <w:lang w:bidi="zh-CN"/>
        </w:rPr>
      </w:pPr>
    </w:p>
    <w:p w14:paraId="22BA60BC">
      <w:pPr>
        <w:ind w:firstLine="0" w:firstLineChars="0"/>
        <w:jc w:val="center"/>
        <w:rPr>
          <w:rFonts w:ascii="Times New Roman" w:hAnsi="Times New Roman" w:eastAsia="黑体"/>
          <w:bCs/>
          <w:color w:val="auto"/>
          <w:sz w:val="52"/>
          <w:szCs w:val="52"/>
          <w:highlight w:val="none"/>
          <w:lang w:bidi="zh-CN"/>
        </w:rPr>
      </w:pPr>
      <w:r>
        <w:rPr>
          <w:rFonts w:hint="eastAsia" w:ascii="Times New Roman" w:hAnsi="Times New Roman" w:eastAsia="黑体"/>
          <w:bCs/>
          <w:color w:val="auto"/>
          <w:sz w:val="52"/>
          <w:szCs w:val="52"/>
          <w:highlight w:val="none"/>
          <w:lang w:bidi="zh-CN"/>
        </w:rPr>
        <w:t>技术</w:t>
      </w:r>
      <w:r>
        <w:rPr>
          <w:rFonts w:ascii="Times New Roman" w:hAnsi="Times New Roman" w:eastAsia="黑体"/>
          <w:bCs/>
          <w:color w:val="auto"/>
          <w:sz w:val="52"/>
          <w:szCs w:val="52"/>
          <w:highlight w:val="none"/>
          <w:lang w:bidi="zh-CN"/>
        </w:rPr>
        <w:t>需求书</w:t>
      </w:r>
    </w:p>
    <w:p w14:paraId="3D235F9F">
      <w:pPr>
        <w:ind w:firstLine="0" w:firstLineChars="0"/>
        <w:jc w:val="center"/>
        <w:rPr>
          <w:rFonts w:ascii="Times New Roman" w:hAnsi="Times New Roman" w:eastAsia="黑体"/>
          <w:bCs/>
          <w:color w:val="auto"/>
          <w:sz w:val="52"/>
          <w:szCs w:val="52"/>
          <w:highlight w:val="none"/>
          <w:lang w:bidi="zh-CN"/>
        </w:rPr>
      </w:pPr>
    </w:p>
    <w:p w14:paraId="384E4399">
      <w:pPr>
        <w:ind w:firstLine="0" w:firstLineChars="0"/>
        <w:jc w:val="center"/>
        <w:rPr>
          <w:rFonts w:ascii="Times New Roman" w:hAnsi="Times New Roman" w:eastAsia="黑体"/>
          <w:bCs/>
          <w:color w:val="auto"/>
          <w:sz w:val="52"/>
          <w:szCs w:val="52"/>
          <w:highlight w:val="none"/>
          <w:lang w:bidi="zh-CN"/>
        </w:rPr>
      </w:pPr>
    </w:p>
    <w:p w14:paraId="55C6D3F6">
      <w:pPr>
        <w:ind w:firstLine="640"/>
        <w:jc w:val="center"/>
        <w:rPr>
          <w:rFonts w:ascii="Times New Roman" w:hAnsi="Times New Roman"/>
          <w:color w:val="auto"/>
          <w:sz w:val="32"/>
          <w:szCs w:val="32"/>
          <w:highlight w:val="none"/>
        </w:rPr>
      </w:pPr>
    </w:p>
    <w:p w14:paraId="4D92FDFD">
      <w:pPr>
        <w:ind w:firstLine="640"/>
        <w:jc w:val="center"/>
        <w:rPr>
          <w:rFonts w:ascii="Times New Roman" w:hAnsi="Times New Roman"/>
          <w:color w:val="auto"/>
          <w:sz w:val="32"/>
          <w:szCs w:val="32"/>
          <w:highlight w:val="none"/>
        </w:rPr>
      </w:pPr>
    </w:p>
    <w:p w14:paraId="5061EF9D">
      <w:pPr>
        <w:ind w:firstLine="640"/>
        <w:jc w:val="center"/>
        <w:rPr>
          <w:rFonts w:ascii="Times New Roman" w:hAnsi="Times New Roman"/>
          <w:color w:val="auto"/>
          <w:sz w:val="32"/>
          <w:szCs w:val="32"/>
          <w:highlight w:val="none"/>
        </w:rPr>
      </w:pPr>
    </w:p>
    <w:p w14:paraId="0ED38C01">
      <w:pPr>
        <w:ind w:firstLine="640"/>
        <w:jc w:val="center"/>
        <w:rPr>
          <w:rFonts w:ascii="Times New Roman" w:hAnsi="Times New Roman"/>
          <w:color w:val="auto"/>
          <w:sz w:val="32"/>
          <w:szCs w:val="32"/>
          <w:highlight w:val="none"/>
        </w:rPr>
      </w:pPr>
    </w:p>
    <w:p w14:paraId="2BEFD481">
      <w:pPr>
        <w:ind w:firstLine="640"/>
        <w:jc w:val="center"/>
        <w:rPr>
          <w:rFonts w:ascii="Times New Roman" w:hAnsi="Times New Roman"/>
          <w:color w:val="auto"/>
          <w:sz w:val="32"/>
          <w:szCs w:val="32"/>
          <w:highlight w:val="none"/>
        </w:rPr>
      </w:pPr>
    </w:p>
    <w:p w14:paraId="7FA4452D">
      <w:pPr>
        <w:ind w:firstLine="640"/>
        <w:jc w:val="center"/>
        <w:rPr>
          <w:rFonts w:ascii="Times New Roman" w:hAnsi="Times New Roman"/>
          <w:color w:val="auto"/>
          <w:sz w:val="32"/>
          <w:szCs w:val="32"/>
          <w:highlight w:val="none"/>
        </w:rPr>
      </w:pPr>
    </w:p>
    <w:p w14:paraId="193A7F6F">
      <w:pPr>
        <w:pStyle w:val="43"/>
        <w:rPr>
          <w:rFonts w:ascii="Times New Roman" w:hAnsi="Times New Roman" w:cs="Times New Roman"/>
          <w:color w:val="auto"/>
          <w:sz w:val="32"/>
          <w:szCs w:val="32"/>
          <w:highlight w:val="none"/>
        </w:rPr>
      </w:pPr>
    </w:p>
    <w:p w14:paraId="66FEE1A9">
      <w:pPr>
        <w:pStyle w:val="43"/>
        <w:rPr>
          <w:rFonts w:ascii="Times New Roman" w:hAnsi="Times New Roman"/>
          <w:color w:val="auto"/>
          <w:highlight w:val="none"/>
        </w:rPr>
        <w:sectPr>
          <w:headerReference r:id="rId6" w:type="first"/>
          <w:footerReference r:id="rId8" w:type="first"/>
          <w:headerReference r:id="rId5" w:type="even"/>
          <w:footerReference r:id="rId7" w:type="even"/>
          <w:pgSz w:w="11906" w:h="16838"/>
          <w:pgMar w:top="1440" w:right="1800" w:bottom="1440" w:left="1800" w:header="851" w:footer="992" w:gutter="0"/>
          <w:cols w:space="425" w:num="1"/>
          <w:titlePg/>
          <w:docGrid w:type="lines" w:linePitch="381" w:charSpace="0"/>
        </w:sectPr>
      </w:pPr>
    </w:p>
    <w:p w14:paraId="5D422131">
      <w:pPr>
        <w:pStyle w:val="2"/>
        <w:rPr>
          <w:rFonts w:ascii="Times New Roman" w:hAnsi="Times New Roman"/>
          <w:color w:val="auto"/>
          <w:highlight w:val="none"/>
        </w:rPr>
      </w:pPr>
      <w:bookmarkStart w:id="0" w:name="_Toc277"/>
      <w:bookmarkStart w:id="1" w:name="_Toc14914"/>
      <w:bookmarkStart w:id="2" w:name="_Toc24250"/>
      <w:bookmarkStart w:id="3" w:name="_Toc22235"/>
      <w:bookmarkStart w:id="4" w:name="_Toc14985"/>
      <w:bookmarkStart w:id="5" w:name="_Toc29272"/>
      <w:r>
        <w:rPr>
          <w:rFonts w:ascii="Times New Roman" w:hAnsi="Times New Roman"/>
          <w:color w:val="auto"/>
          <w:highlight w:val="none"/>
        </w:rPr>
        <w:t>项目概述</w:t>
      </w:r>
      <w:bookmarkEnd w:id="0"/>
      <w:bookmarkEnd w:id="1"/>
      <w:bookmarkEnd w:id="2"/>
      <w:bookmarkEnd w:id="3"/>
      <w:bookmarkEnd w:id="4"/>
      <w:bookmarkEnd w:id="5"/>
    </w:p>
    <w:p w14:paraId="41112764">
      <w:pPr>
        <w:numPr>
          <w:ilvl w:val="-1"/>
          <w:numId w:val="0"/>
        </w:numPr>
        <w:spacing w:line="560" w:lineRule="exact"/>
        <w:ind w:firstLine="560" w:firstLineChars="200"/>
        <w:jc w:val="both"/>
        <w:outlineLvl w:val="9"/>
        <w:rPr>
          <w:rFonts w:hint="eastAsia" w:ascii="Times New Roman" w:hAnsi="Times New Roman" w:eastAsia="仿宋_GB2312"/>
          <w:color w:val="auto"/>
          <w:highlight w:val="none"/>
        </w:rPr>
      </w:pPr>
      <w:r>
        <w:rPr>
          <w:rFonts w:hint="eastAsia" w:ascii="Times New Roman" w:hAnsi="Times New Roman" w:eastAsia="仿宋_GB2312" w:cs="Times New Roman"/>
          <w:bCs w:val="0"/>
          <w:color w:val="auto"/>
          <w:kern w:val="2"/>
          <w:sz w:val="28"/>
          <w:szCs w:val="28"/>
          <w:highlight w:val="none"/>
        </w:rPr>
        <w:t>本次采购</w:t>
      </w:r>
      <w:r>
        <w:rPr>
          <w:rFonts w:hint="eastAsia" w:ascii="Times New Roman" w:hAnsi="Times New Roman" w:eastAsia="仿宋_GB2312" w:cs="Times New Roman"/>
          <w:bCs w:val="0"/>
          <w:color w:val="auto"/>
          <w:kern w:val="2"/>
          <w:sz w:val="28"/>
          <w:szCs w:val="28"/>
          <w:highlight w:val="none"/>
          <w:lang w:val="en-US" w:eastAsia="zh-CN"/>
        </w:rPr>
        <w:t>采用</w:t>
      </w:r>
      <w:r>
        <w:rPr>
          <w:rFonts w:hint="eastAsia" w:ascii="Times New Roman" w:hAnsi="Times New Roman" w:eastAsia="仿宋_GB2312" w:cs="Times New Roman"/>
          <w:bCs w:val="0"/>
          <w:color w:val="auto"/>
          <w:kern w:val="2"/>
          <w:sz w:val="28"/>
          <w:szCs w:val="28"/>
          <w:highlight w:val="none"/>
        </w:rPr>
        <w:t>整体交付网络服务方式</w:t>
      </w:r>
      <w:r>
        <w:rPr>
          <w:rFonts w:hint="eastAsia" w:ascii="Times New Roman" w:hAnsi="Times New Roman" w:eastAsia="仿宋_GB2312" w:cs="Times New Roman"/>
          <w:bCs w:val="0"/>
          <w:color w:val="auto"/>
          <w:kern w:val="2"/>
          <w:sz w:val="28"/>
          <w:szCs w:val="28"/>
          <w:highlight w:val="none"/>
          <w:lang w:eastAsia="zh-CN"/>
        </w:rPr>
        <w:t>，</w:t>
      </w:r>
      <w:r>
        <w:rPr>
          <w:rFonts w:hint="eastAsia" w:ascii="Times New Roman" w:hAnsi="Times New Roman" w:eastAsia="仿宋_GB2312"/>
          <w:bCs w:val="0"/>
          <w:color w:val="auto"/>
          <w:highlight w:val="none"/>
        </w:rPr>
        <w:t>为市级政务外网全市节点（含部分外省市驻点）提供城域网络通信服务。</w:t>
      </w:r>
      <w:r>
        <w:rPr>
          <w:rFonts w:hint="eastAsia" w:ascii="Times New Roman" w:hAnsi="Times New Roman" w:eastAsia="仿宋_GB2312"/>
          <w:bCs w:val="0"/>
          <w:color w:val="auto"/>
          <w:kern w:val="2"/>
          <w:sz w:val="28"/>
          <w:szCs w:val="28"/>
          <w:highlight w:val="none"/>
          <w:lang w:val="en-US" w:eastAsia="zh-CN"/>
        </w:rPr>
        <w:t>服务涉及的全部</w:t>
      </w:r>
      <w:r>
        <w:rPr>
          <w:rFonts w:hint="eastAsia" w:ascii="Times New Roman" w:hAnsi="Times New Roman" w:eastAsia="仿宋_GB2312"/>
          <w:bCs w:val="0"/>
          <w:color w:val="auto"/>
          <w:highlight w:val="none"/>
        </w:rPr>
        <w:t>软硬件设备均严格限定专用于市级政务外网</w:t>
      </w:r>
      <w:r>
        <w:rPr>
          <w:rFonts w:hint="eastAsia" w:ascii="Times New Roman" w:hAnsi="Times New Roman" w:eastAsia="仿宋_GB2312"/>
          <w:bCs w:val="0"/>
          <w:color w:val="auto"/>
          <w:kern w:val="2"/>
          <w:sz w:val="28"/>
          <w:szCs w:val="28"/>
          <w:highlight w:val="none"/>
          <w:lang w:eastAsia="zh-CN"/>
        </w:rPr>
        <w:t>，</w:t>
      </w:r>
      <w:r>
        <w:rPr>
          <w:rFonts w:hint="eastAsia" w:ascii="Times New Roman" w:hAnsi="Times New Roman" w:eastAsia="仿宋_GB2312" w:cs="Times New Roman"/>
          <w:bCs w:val="0"/>
          <w:color w:val="auto"/>
          <w:kern w:val="2"/>
          <w:sz w:val="28"/>
          <w:szCs w:val="28"/>
          <w:highlight w:val="none"/>
          <w:lang w:eastAsia="zh-CN"/>
        </w:rPr>
        <w:t>采购人</w:t>
      </w:r>
      <w:r>
        <w:rPr>
          <w:rFonts w:hint="eastAsia" w:ascii="Times New Roman" w:hAnsi="Times New Roman" w:eastAsia="仿宋_GB2312" w:cs="Times New Roman"/>
          <w:bCs w:val="0"/>
          <w:color w:val="auto"/>
          <w:kern w:val="2"/>
          <w:sz w:val="28"/>
          <w:szCs w:val="28"/>
          <w:highlight w:val="none"/>
          <w:lang w:val="en-US" w:eastAsia="zh-CN"/>
        </w:rPr>
        <w:t>在服务期内对相关</w:t>
      </w:r>
      <w:r>
        <w:rPr>
          <w:rFonts w:hint="eastAsia" w:ascii="Times New Roman" w:hAnsi="Times New Roman" w:eastAsia="仿宋_GB2312" w:cs="Times New Roman"/>
          <w:bCs w:val="0"/>
          <w:color w:val="auto"/>
          <w:kern w:val="2"/>
          <w:sz w:val="28"/>
          <w:szCs w:val="28"/>
          <w:highlight w:val="none"/>
        </w:rPr>
        <w:t>设备及平台</w:t>
      </w:r>
      <w:r>
        <w:rPr>
          <w:rFonts w:hint="eastAsia" w:ascii="Times New Roman" w:hAnsi="Times New Roman" w:eastAsia="仿宋_GB2312" w:cs="Times New Roman"/>
          <w:bCs w:val="0"/>
          <w:color w:val="auto"/>
          <w:kern w:val="2"/>
          <w:sz w:val="28"/>
          <w:szCs w:val="28"/>
          <w:highlight w:val="none"/>
          <w:lang w:val="en-US" w:eastAsia="zh-CN"/>
        </w:rPr>
        <w:t>拥有</w:t>
      </w:r>
      <w:r>
        <w:rPr>
          <w:rFonts w:hint="eastAsia" w:ascii="Times New Roman" w:hAnsi="Times New Roman" w:eastAsia="仿宋_GB2312" w:cs="Times New Roman"/>
          <w:bCs w:val="0"/>
          <w:color w:val="auto"/>
          <w:kern w:val="2"/>
          <w:sz w:val="28"/>
          <w:szCs w:val="28"/>
          <w:highlight w:val="none"/>
        </w:rPr>
        <w:t>完整使用权。</w:t>
      </w:r>
    </w:p>
    <w:p w14:paraId="6AEE21A0">
      <w:pPr>
        <w:spacing w:line="560" w:lineRule="exact"/>
        <w:jc w:val="both"/>
        <w:outlineLvl w:val="9"/>
        <w:rPr>
          <w:rFonts w:ascii="Times New Roman" w:hAnsi="Times New Roman" w:eastAsia="仿宋_GB2312"/>
          <w:color w:val="auto"/>
          <w:highlight w:val="none"/>
        </w:rPr>
      </w:pPr>
      <w:r>
        <w:rPr>
          <w:rFonts w:hint="eastAsia" w:ascii="Times New Roman" w:hAnsi="Times New Roman" w:eastAsia="仿宋_GB2312"/>
          <w:color w:val="auto"/>
          <w:highlight w:val="none"/>
        </w:rPr>
        <w:t>上海市电子政务外网是国家政务外网的组成部分，与互联网逻辑隔离，为非涉密网络，主要服务于本市各级党委、人大、政府、政协、监察委、法院、检察院和人民团体等，满足经济调节、市场监管、社会管理、公共服务、生态环境保护等工作需要，支撑跨部门、跨层级、跨区域数据共享和业务协同。市级政务外网是承载全市政务服务“一网通办”、城市运行“一网统管”等重大政务业务的关键信息基础设施，为数字政府建设提供坚实的网络支撑。</w:t>
      </w:r>
    </w:p>
    <w:p w14:paraId="624120AE">
      <w:pPr>
        <w:pStyle w:val="2"/>
        <w:tabs>
          <w:tab w:val="left" w:pos="360"/>
        </w:tabs>
        <w:rPr>
          <w:rFonts w:ascii="Times New Roman" w:hAnsi="Times New Roman"/>
          <w:color w:val="auto"/>
          <w:highlight w:val="none"/>
        </w:rPr>
      </w:pPr>
      <w:bookmarkStart w:id="6" w:name="_Toc11540"/>
      <w:bookmarkStart w:id="7" w:name="_Toc29680"/>
      <w:bookmarkStart w:id="8" w:name="_Toc7567"/>
      <w:bookmarkStart w:id="9" w:name="_Toc10091"/>
      <w:bookmarkStart w:id="10" w:name="_Toc11609"/>
      <w:bookmarkStart w:id="11" w:name="_Toc27735"/>
      <w:r>
        <w:rPr>
          <w:rFonts w:hint="eastAsia" w:ascii="Times New Roman" w:hAnsi="Times New Roman"/>
          <w:color w:val="auto"/>
          <w:highlight w:val="none"/>
        </w:rPr>
        <w:t>总体要求</w:t>
      </w:r>
      <w:bookmarkEnd w:id="6"/>
      <w:bookmarkEnd w:id="7"/>
      <w:bookmarkEnd w:id="8"/>
      <w:bookmarkEnd w:id="9"/>
      <w:bookmarkEnd w:id="10"/>
    </w:p>
    <w:p w14:paraId="1E30A460">
      <w:pPr>
        <w:spacing w:line="560" w:lineRule="exact"/>
        <w:jc w:val="both"/>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rPr>
        <w:t>投标人</w:t>
      </w:r>
      <w:r>
        <w:rPr>
          <w:rFonts w:hint="eastAsia" w:ascii="Times New Roman" w:hAnsi="Times New Roman" w:eastAsia="仿宋_GB2312" w:cs="仿宋_GB2312"/>
          <w:color w:val="auto"/>
          <w:highlight w:val="none"/>
          <w:lang w:val="en-US" w:eastAsia="zh-CN"/>
        </w:rPr>
        <w:t>须依</w:t>
      </w:r>
      <w:r>
        <w:rPr>
          <w:rFonts w:hint="eastAsia" w:ascii="Times New Roman" w:hAnsi="Times New Roman" w:eastAsia="仿宋_GB2312" w:cs="仿宋_GB2312"/>
          <w:color w:val="auto"/>
          <w:highlight w:val="none"/>
        </w:rPr>
        <w:t>据本招标文件提出的项目总体要求、网络服务技术要求、实施要求、服务</w:t>
      </w:r>
      <w:r>
        <w:rPr>
          <w:rFonts w:hint="eastAsia" w:ascii="Times New Roman" w:hAnsi="Times New Roman" w:eastAsia="仿宋_GB2312" w:cs="仿宋_GB2312"/>
          <w:color w:val="auto"/>
          <w:highlight w:val="none"/>
          <w:lang w:val="en-US" w:eastAsia="zh-CN"/>
        </w:rPr>
        <w:t>支撑</w:t>
      </w:r>
      <w:r>
        <w:rPr>
          <w:rFonts w:hint="eastAsia" w:ascii="Times New Roman" w:hAnsi="Times New Roman" w:eastAsia="仿宋_GB2312" w:cs="仿宋_GB2312"/>
          <w:color w:val="auto"/>
          <w:highlight w:val="none"/>
        </w:rPr>
        <w:t>要求、验收要求及服务承诺，在投标文件中逐条</w:t>
      </w:r>
      <w:r>
        <w:rPr>
          <w:rFonts w:hint="eastAsia" w:ascii="Times New Roman" w:hAnsi="Times New Roman" w:eastAsia="仿宋_GB2312" w:cs="仿宋_GB2312"/>
          <w:color w:val="auto"/>
          <w:highlight w:val="none"/>
          <w:lang w:val="en-US" w:eastAsia="zh-CN"/>
        </w:rPr>
        <w:t>作出</w:t>
      </w:r>
      <w:r>
        <w:rPr>
          <w:rFonts w:hint="eastAsia" w:ascii="Times New Roman" w:hAnsi="Times New Roman" w:eastAsia="仿宋_GB2312" w:cs="仿宋_GB2312"/>
          <w:color w:val="auto"/>
          <w:highlight w:val="none"/>
        </w:rPr>
        <w:t>实质性响应，并</w:t>
      </w:r>
      <w:r>
        <w:rPr>
          <w:rFonts w:hint="eastAsia" w:ascii="Times New Roman" w:hAnsi="Times New Roman" w:eastAsia="仿宋_GB2312" w:cs="仿宋_GB2312"/>
          <w:color w:val="auto"/>
          <w:highlight w:val="none"/>
          <w:lang w:val="en-US" w:eastAsia="zh-CN"/>
        </w:rPr>
        <w:t>结合</w:t>
      </w:r>
      <w:r>
        <w:rPr>
          <w:rFonts w:hint="eastAsia" w:ascii="Times New Roman" w:hAnsi="Times New Roman" w:eastAsia="仿宋_GB2312" w:cs="仿宋_GB2312"/>
          <w:color w:val="auto"/>
          <w:highlight w:val="none"/>
        </w:rPr>
        <w:t>投标实际进行具体偏离说明。</w:t>
      </w:r>
    </w:p>
    <w:bookmarkEnd w:id="11"/>
    <w:p w14:paraId="08AD94A7">
      <w:pPr>
        <w:pStyle w:val="3"/>
        <w:jc w:val="both"/>
        <w:rPr>
          <w:rFonts w:ascii="Times New Roman" w:hAnsi="Times New Roman"/>
          <w:color w:val="auto"/>
          <w:highlight w:val="none"/>
        </w:rPr>
      </w:pPr>
      <w:bookmarkStart w:id="12" w:name="_Toc28356"/>
      <w:bookmarkStart w:id="13" w:name="_Toc9184"/>
      <w:r>
        <w:rPr>
          <w:rFonts w:hint="eastAsia" w:ascii="Times New Roman" w:hAnsi="Times New Roman"/>
          <w:color w:val="auto"/>
          <w:highlight w:val="none"/>
        </w:rPr>
        <w:t>总体需求及目标要求</w:t>
      </w:r>
      <w:bookmarkEnd w:id="12"/>
      <w:bookmarkEnd w:id="13"/>
    </w:p>
    <w:p w14:paraId="70C3A314">
      <w:pPr>
        <w:pStyle w:val="63"/>
        <w:spacing w:line="560" w:lineRule="exact"/>
        <w:ind w:firstLine="560"/>
        <w:rPr>
          <w:rFonts w:hint="eastAsia" w:ascii="Times New Roman" w:hAnsi="Times New Roman" w:eastAsia="仿宋_GB2312" w:cs="仿宋_GB2312"/>
          <w:color w:val="auto"/>
          <w:sz w:val="28"/>
          <w:highlight w:val="none"/>
        </w:rPr>
      </w:pPr>
      <w:bookmarkStart w:id="14" w:name="_Toc1825"/>
      <w:r>
        <w:rPr>
          <w:rFonts w:hint="eastAsia" w:ascii="Times New Roman" w:hAnsi="Times New Roman" w:eastAsia="仿宋_GB2312" w:cs="仿宋_GB2312"/>
          <w:color w:val="auto"/>
          <w:sz w:val="28"/>
          <w:highlight w:val="none"/>
        </w:rPr>
        <w:t>本次采购的政务外网通信服务</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须</w:t>
      </w:r>
      <w:r>
        <w:rPr>
          <w:rFonts w:hint="eastAsia" w:ascii="Times New Roman" w:hAnsi="Times New Roman" w:eastAsia="仿宋_GB2312" w:cs="仿宋_GB2312"/>
          <w:color w:val="auto"/>
          <w:sz w:val="28"/>
          <w:highlight w:val="none"/>
        </w:rPr>
        <w:t>符合国家及上海市政务外网相关网络建设及服务标准要求</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满足</w:t>
      </w:r>
      <w:r>
        <w:rPr>
          <w:rFonts w:hint="eastAsia" w:ascii="Times New Roman" w:hAnsi="Times New Roman" w:eastAsia="仿宋_GB2312" w:cs="仿宋_GB2312"/>
          <w:color w:val="auto"/>
          <w:sz w:val="28"/>
          <w:highlight w:val="none"/>
        </w:rPr>
        <w:t>《上海市电子政务外网管理办法》</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i w:val="0"/>
          <w:iCs w:val="0"/>
          <w:caps w:val="0"/>
          <w:color w:val="auto"/>
          <w:spacing w:val="0"/>
          <w:kern w:val="0"/>
          <w:sz w:val="28"/>
          <w:szCs w:val="28"/>
          <w:highlight w:val="none"/>
          <w:u w:val="none"/>
          <w:lang w:val="en-US" w:eastAsia="zh-CN" w:bidi="ar"/>
        </w:rPr>
        <w:t>上海市电子政务外网建设和运行管理指南</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《电子政务外网网络建设规范》</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DB31DSJ/Z 003-2024</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lang w:val="en-US" w:eastAsia="zh-CN"/>
        </w:rPr>
        <w:t>中明确的各项管理与建设要求</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安全</w:t>
      </w:r>
      <w:r>
        <w:rPr>
          <w:rFonts w:hint="eastAsia" w:ascii="Times New Roman" w:hAnsi="Times New Roman" w:eastAsia="仿宋_GB2312" w:cs="仿宋_GB2312"/>
          <w:color w:val="auto"/>
          <w:sz w:val="28"/>
          <w:highlight w:val="none"/>
          <w:lang w:val="en-US" w:eastAsia="zh-CN"/>
        </w:rPr>
        <w:t>方面须</w:t>
      </w:r>
      <w:r>
        <w:rPr>
          <w:rFonts w:hint="eastAsia" w:ascii="Times New Roman" w:hAnsi="Times New Roman" w:eastAsia="仿宋_GB2312" w:cs="仿宋_GB2312"/>
          <w:color w:val="auto"/>
          <w:sz w:val="28"/>
          <w:highlight w:val="none"/>
        </w:rPr>
        <w:t>符合《中华人民共和国网络安全法》《中华人民共和国数据安全法》</w:t>
      </w:r>
      <w:r>
        <w:rPr>
          <w:rFonts w:hint="eastAsia" w:ascii="Times New Roman" w:hAnsi="Times New Roman" w:eastAsia="仿宋_GB2312" w:cs="仿宋_GB2312"/>
          <w:color w:val="auto"/>
          <w:sz w:val="28"/>
          <w:highlight w:val="none"/>
          <w:lang w:val="en-US" w:eastAsia="zh-CN"/>
        </w:rPr>
        <w:t>等法律法</w:t>
      </w:r>
      <w:r>
        <w:rPr>
          <w:rFonts w:hint="eastAsia" w:ascii="Times New Roman" w:hAnsi="Times New Roman" w:eastAsia="仿宋_GB2312" w:cs="仿宋_GB2312"/>
          <w:color w:val="auto"/>
          <w:sz w:val="28"/>
          <w:highlight w:val="none"/>
        </w:rPr>
        <w:t>规</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并满足</w:t>
      </w:r>
      <w:r>
        <w:rPr>
          <w:rFonts w:hint="eastAsia" w:ascii="Times New Roman" w:hAnsi="Times New Roman" w:eastAsia="仿宋_GB2312" w:cs="仿宋_GB2312"/>
          <w:color w:val="auto"/>
          <w:sz w:val="28"/>
          <w:szCs w:val="28"/>
          <w:highlight w:val="none"/>
        </w:rPr>
        <w:t>《信息安全技术</w:t>
      </w:r>
      <w:r>
        <w:rPr>
          <w:rFonts w:hint="eastAsia" w:ascii="Times New Roman" w:hAnsi="Times New Roman" w:eastAsia="仿宋_GB2312" w:cs="仿宋_GB2312"/>
          <w:color w:val="auto"/>
          <w:sz w:val="28"/>
          <w:szCs w:val="28"/>
          <w:highlight w:val="none"/>
          <w:lang w:val="en-US" w:eastAsia="zh-CN"/>
        </w:rPr>
        <w:t xml:space="preserve"> </w:t>
      </w:r>
      <w:r>
        <w:rPr>
          <w:rFonts w:hint="eastAsia" w:ascii="Times New Roman" w:hAnsi="Times New Roman" w:eastAsia="仿宋_GB2312" w:cs="仿宋_GB2312"/>
          <w:color w:val="auto"/>
          <w:sz w:val="28"/>
          <w:szCs w:val="28"/>
          <w:highlight w:val="none"/>
        </w:rPr>
        <w:t>网络安全等级保护基本要求》</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GB/T 22239-2019</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lang w:val="en-US" w:eastAsia="zh-CN"/>
        </w:rPr>
        <w:t>中第</w:t>
      </w:r>
      <w:r>
        <w:rPr>
          <w:rFonts w:hint="eastAsia" w:ascii="Times New Roman" w:hAnsi="Times New Roman" w:eastAsia="仿宋_GB2312" w:cs="仿宋_GB2312"/>
          <w:color w:val="auto"/>
          <w:sz w:val="28"/>
          <w:szCs w:val="28"/>
          <w:highlight w:val="none"/>
        </w:rPr>
        <w:t>三级的相关标准</w:t>
      </w:r>
      <w:r>
        <w:rPr>
          <w:rFonts w:hint="eastAsia" w:ascii="Times New Roman" w:hAnsi="Times New Roman" w:eastAsia="仿宋_GB2312" w:cs="仿宋_GB2312"/>
          <w:color w:val="auto"/>
          <w:sz w:val="28"/>
          <w:szCs w:val="28"/>
          <w:highlight w:val="none"/>
          <w:lang w:val="en-US" w:eastAsia="zh-CN"/>
        </w:rPr>
        <w:t>与</w:t>
      </w:r>
      <w:r>
        <w:rPr>
          <w:rFonts w:hint="eastAsia" w:ascii="Times New Roman" w:hAnsi="Times New Roman" w:eastAsia="仿宋_GB2312" w:cs="仿宋_GB2312"/>
          <w:color w:val="auto"/>
          <w:sz w:val="28"/>
          <w:szCs w:val="28"/>
          <w:highlight w:val="none"/>
        </w:rPr>
        <w:t>技术</w:t>
      </w:r>
      <w:r>
        <w:rPr>
          <w:rFonts w:hint="eastAsia" w:ascii="Times New Roman" w:hAnsi="Times New Roman" w:eastAsia="仿宋_GB2312" w:cs="仿宋_GB2312"/>
          <w:color w:val="auto"/>
          <w:sz w:val="28"/>
          <w:szCs w:val="28"/>
          <w:highlight w:val="none"/>
          <w:lang w:val="en-US" w:eastAsia="zh-CN"/>
        </w:rPr>
        <w:t>规范</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同时，须</w:t>
      </w:r>
      <w:r>
        <w:rPr>
          <w:rFonts w:hint="eastAsia" w:ascii="Times New Roman" w:hAnsi="Times New Roman" w:eastAsia="仿宋_GB2312" w:cs="仿宋_GB2312"/>
          <w:color w:val="auto"/>
          <w:sz w:val="28"/>
          <w:highlight w:val="none"/>
        </w:rPr>
        <w:t>满足国家电子政务外网管理中心发布的《关于发展政务外网运维系统分级对接的通知》中《运行支撑平台对接与实施规范（试行）》，以及《关于加快推进全国政务外网安全监测平台建设工作的通知》中《政务网络安全监测平台总体技术要求》的数据采集要求</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并须</w:t>
      </w:r>
      <w:r>
        <w:rPr>
          <w:rFonts w:hint="eastAsia" w:ascii="Times New Roman" w:hAnsi="Times New Roman" w:eastAsia="仿宋_GB2312" w:cs="仿宋_GB2312"/>
          <w:color w:val="auto"/>
          <w:sz w:val="28"/>
          <w:highlight w:val="none"/>
        </w:rPr>
        <w:t>满足《上海市电子政务外网运行管理平台对接规范（试行）》、《上海市电子政务外网安全监测平台技术规范（试行）》、《上海市政务外网安全监测平台级联接口说明文档》的对接要求</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须参照</w:t>
      </w:r>
      <w:r>
        <w:rPr>
          <w:rFonts w:hint="eastAsia" w:ascii="Times New Roman" w:hAnsi="Times New Roman" w:eastAsia="仿宋_GB2312" w:cs="仿宋_GB2312"/>
          <w:color w:val="auto"/>
          <w:sz w:val="28"/>
          <w:highlight w:val="none"/>
        </w:rPr>
        <w:t>《国家电子政务外网 5G专用网络接入规范与安全要求》</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GW0202-2024</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完成无线接入区的建设</w:t>
      </w:r>
      <w:r>
        <w:rPr>
          <w:rFonts w:hint="eastAsia" w:ascii="Times New Roman" w:hAnsi="Times New Roman" w:eastAsia="仿宋_GB2312" w:cs="仿宋_GB2312"/>
          <w:color w:val="auto"/>
          <w:sz w:val="28"/>
          <w:highlight w:val="none"/>
        </w:rPr>
        <w:t>。</w:t>
      </w:r>
    </w:p>
    <w:p w14:paraId="18A144FA">
      <w:pPr>
        <w:pStyle w:val="63"/>
        <w:spacing w:line="560" w:lineRule="exact"/>
        <w:ind w:firstLine="56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中标人</w:t>
      </w:r>
      <w:r>
        <w:rPr>
          <w:rFonts w:hint="eastAsia" w:ascii="Times New Roman" w:hAnsi="Times New Roman" w:eastAsia="仿宋_GB2312" w:cs="仿宋_GB2312"/>
          <w:color w:val="auto"/>
          <w:sz w:val="28"/>
          <w:highlight w:val="none"/>
          <w:lang w:val="en-US" w:eastAsia="zh-CN"/>
        </w:rPr>
        <w:t>须</w:t>
      </w:r>
      <w:r>
        <w:rPr>
          <w:rFonts w:hint="eastAsia" w:ascii="Times New Roman" w:hAnsi="Times New Roman" w:eastAsia="仿宋_GB2312" w:cs="仿宋_GB2312"/>
          <w:color w:val="auto"/>
          <w:sz w:val="28"/>
          <w:highlight w:val="none"/>
        </w:rPr>
        <w:t>按要求提供所服务网络的全部基础资源、光缆线路、网络和安全软硬件设备，以及</w:t>
      </w:r>
      <w:r>
        <w:rPr>
          <w:rFonts w:hint="eastAsia" w:ascii="Times New Roman" w:hAnsi="Times New Roman" w:eastAsia="仿宋_GB2312" w:cs="仿宋_GB2312"/>
          <w:color w:val="auto"/>
          <w:sz w:val="28"/>
          <w:highlight w:val="none"/>
          <w:lang w:val="en-US" w:eastAsia="zh-CN"/>
        </w:rPr>
        <w:t>保障</w:t>
      </w:r>
      <w:r>
        <w:rPr>
          <w:rFonts w:hint="eastAsia" w:ascii="Times New Roman" w:hAnsi="Times New Roman" w:eastAsia="仿宋_GB2312" w:cs="仿宋_GB2312"/>
          <w:color w:val="auto"/>
          <w:sz w:val="28"/>
          <w:highlight w:val="none"/>
        </w:rPr>
        <w:t>全网正常运行</w:t>
      </w:r>
      <w:r>
        <w:rPr>
          <w:rFonts w:hint="eastAsia" w:ascii="Times New Roman" w:hAnsi="Times New Roman" w:eastAsia="仿宋_GB2312" w:cs="仿宋_GB2312"/>
          <w:color w:val="auto"/>
          <w:sz w:val="28"/>
          <w:highlight w:val="none"/>
          <w:lang w:val="en-US" w:eastAsia="zh-CN"/>
        </w:rPr>
        <w:t>所需</w:t>
      </w:r>
      <w:r>
        <w:rPr>
          <w:rFonts w:hint="eastAsia" w:ascii="Times New Roman" w:hAnsi="Times New Roman" w:eastAsia="仿宋_GB2312" w:cs="仿宋_GB2312"/>
          <w:color w:val="auto"/>
          <w:sz w:val="28"/>
          <w:highlight w:val="none"/>
        </w:rPr>
        <w:t>的各类网络</w:t>
      </w:r>
      <w:r>
        <w:rPr>
          <w:rFonts w:hint="eastAsia" w:ascii="Times New Roman" w:hAnsi="Times New Roman" w:eastAsia="仿宋_GB2312" w:cs="仿宋_GB2312"/>
          <w:color w:val="auto"/>
          <w:sz w:val="28"/>
          <w:highlight w:val="none"/>
          <w:lang w:val="en-US" w:eastAsia="zh-CN"/>
        </w:rPr>
        <w:t>运维</w:t>
      </w:r>
      <w:r>
        <w:rPr>
          <w:rFonts w:hint="eastAsia" w:ascii="Times New Roman" w:hAnsi="Times New Roman" w:eastAsia="仿宋_GB2312" w:cs="仿宋_GB2312"/>
          <w:color w:val="auto"/>
          <w:sz w:val="28"/>
          <w:highlight w:val="none"/>
        </w:rPr>
        <w:t>管理</w:t>
      </w:r>
      <w:r>
        <w:rPr>
          <w:rFonts w:hint="eastAsia" w:ascii="Times New Roman" w:hAnsi="Times New Roman" w:eastAsia="仿宋_GB2312" w:cs="仿宋_GB2312"/>
          <w:color w:val="auto"/>
          <w:sz w:val="28"/>
          <w:highlight w:val="none"/>
          <w:lang w:val="en-US" w:eastAsia="zh-CN"/>
        </w:rPr>
        <w:t>平台</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安全</w:t>
      </w:r>
      <w:r>
        <w:rPr>
          <w:rFonts w:hint="eastAsia" w:ascii="Times New Roman" w:hAnsi="Times New Roman" w:eastAsia="仿宋_GB2312" w:cs="仿宋_GB2312"/>
          <w:color w:val="auto"/>
          <w:sz w:val="28"/>
          <w:highlight w:val="none"/>
          <w:lang w:val="en-US" w:eastAsia="zh-CN"/>
        </w:rPr>
        <w:t>管理</w:t>
      </w:r>
      <w:r>
        <w:rPr>
          <w:rFonts w:hint="eastAsia" w:ascii="Times New Roman" w:hAnsi="Times New Roman" w:eastAsia="仿宋_GB2312" w:cs="仿宋_GB2312"/>
          <w:color w:val="auto"/>
          <w:sz w:val="28"/>
          <w:highlight w:val="none"/>
        </w:rPr>
        <w:t>平台</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故障报修系统</w:t>
      </w:r>
      <w:r>
        <w:rPr>
          <w:rFonts w:hint="eastAsia" w:ascii="Times New Roman" w:hAnsi="Times New Roman" w:eastAsia="仿宋_GB2312" w:cs="仿宋_GB2312"/>
          <w:color w:val="auto"/>
          <w:sz w:val="28"/>
          <w:highlight w:val="none"/>
        </w:rPr>
        <w:t>，并</w:t>
      </w:r>
      <w:r>
        <w:rPr>
          <w:rFonts w:hint="eastAsia" w:ascii="Times New Roman" w:hAnsi="Times New Roman" w:eastAsia="仿宋_GB2312" w:cs="仿宋_GB2312"/>
          <w:color w:val="auto"/>
          <w:sz w:val="28"/>
          <w:highlight w:val="none"/>
          <w:lang w:val="en-US" w:eastAsia="zh-CN"/>
        </w:rPr>
        <w:t>依</w:t>
      </w:r>
      <w:r>
        <w:rPr>
          <w:rFonts w:hint="eastAsia" w:ascii="Times New Roman" w:hAnsi="Times New Roman" w:eastAsia="仿宋_GB2312" w:cs="仿宋_GB2312"/>
          <w:color w:val="auto"/>
          <w:sz w:val="28"/>
          <w:highlight w:val="none"/>
        </w:rPr>
        <w:t>据</w:t>
      </w:r>
      <w:r>
        <w:rPr>
          <w:rFonts w:hint="eastAsia" w:ascii="Times New Roman" w:hAnsi="Times New Roman" w:eastAsia="仿宋_GB2312" w:cs="仿宋_GB2312"/>
          <w:color w:val="auto"/>
          <w:sz w:val="28"/>
          <w:highlight w:val="none"/>
          <w:lang w:eastAsia="zh-CN"/>
        </w:rPr>
        <w:t>采购人</w:t>
      </w:r>
      <w:r>
        <w:rPr>
          <w:rFonts w:hint="eastAsia" w:ascii="Times New Roman" w:hAnsi="Times New Roman" w:eastAsia="仿宋_GB2312" w:cs="仿宋_GB2312"/>
          <w:color w:val="auto"/>
          <w:sz w:val="28"/>
          <w:highlight w:val="none"/>
        </w:rPr>
        <w:t>要求的对接规范，按需</w:t>
      </w:r>
      <w:r>
        <w:rPr>
          <w:rFonts w:hint="eastAsia" w:ascii="Times New Roman" w:hAnsi="Times New Roman" w:eastAsia="仿宋_GB2312" w:cs="仿宋_GB2312"/>
          <w:color w:val="auto"/>
          <w:sz w:val="28"/>
          <w:highlight w:val="none"/>
          <w:lang w:val="en-US" w:eastAsia="zh-CN"/>
        </w:rPr>
        <w:t>完成</w:t>
      </w:r>
      <w:r>
        <w:rPr>
          <w:rFonts w:hint="eastAsia" w:ascii="Times New Roman" w:hAnsi="Times New Roman" w:eastAsia="仿宋_GB2312" w:cs="仿宋_GB2312"/>
          <w:color w:val="auto"/>
          <w:sz w:val="28"/>
          <w:highlight w:val="none"/>
        </w:rPr>
        <w:t>与市政务外网运行和安全监测支撑系统以及市级政务外网安全特征库</w:t>
      </w:r>
      <w:r>
        <w:rPr>
          <w:rFonts w:hint="eastAsia" w:ascii="Times New Roman" w:hAnsi="Times New Roman" w:eastAsia="仿宋_GB2312" w:cs="仿宋_GB2312"/>
          <w:color w:val="auto"/>
          <w:sz w:val="28"/>
          <w:highlight w:val="none"/>
          <w:lang w:val="en-US" w:eastAsia="zh-CN"/>
        </w:rPr>
        <w:t>的</w:t>
      </w:r>
      <w:r>
        <w:rPr>
          <w:rFonts w:hint="eastAsia" w:ascii="Times New Roman" w:hAnsi="Times New Roman" w:eastAsia="仿宋_GB2312" w:cs="仿宋_GB2312"/>
          <w:color w:val="auto"/>
          <w:sz w:val="28"/>
          <w:highlight w:val="none"/>
        </w:rPr>
        <w:t>对接</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实现相关数据上传及</w:t>
      </w:r>
      <w:r>
        <w:rPr>
          <w:rFonts w:hint="eastAsia" w:ascii="Times New Roman" w:hAnsi="Times New Roman" w:eastAsia="仿宋_GB2312" w:cs="仿宋_GB2312"/>
          <w:color w:val="auto"/>
          <w:sz w:val="28"/>
          <w:highlight w:val="none"/>
          <w:lang w:val="en-US" w:eastAsia="zh-CN"/>
        </w:rPr>
        <w:t>业务</w:t>
      </w:r>
      <w:r>
        <w:rPr>
          <w:rFonts w:hint="eastAsia" w:ascii="Times New Roman" w:hAnsi="Times New Roman" w:eastAsia="仿宋_GB2312" w:cs="仿宋_GB2312"/>
          <w:color w:val="auto"/>
          <w:sz w:val="28"/>
          <w:highlight w:val="none"/>
        </w:rPr>
        <w:t>承载，同时满足</w:t>
      </w:r>
      <w:r>
        <w:rPr>
          <w:rFonts w:hint="eastAsia" w:ascii="Times New Roman" w:hAnsi="Times New Roman" w:eastAsia="仿宋_GB2312" w:cs="仿宋_GB2312"/>
          <w:color w:val="auto"/>
          <w:sz w:val="28"/>
          <w:highlight w:val="none"/>
          <w:lang w:eastAsia="zh-CN"/>
        </w:rPr>
        <w:t>采购人</w:t>
      </w:r>
      <w:r>
        <w:rPr>
          <w:rFonts w:hint="eastAsia" w:ascii="Times New Roman" w:hAnsi="Times New Roman" w:eastAsia="仿宋_GB2312" w:cs="仿宋_GB2312"/>
          <w:color w:val="auto"/>
          <w:sz w:val="28"/>
          <w:highlight w:val="none"/>
        </w:rPr>
        <w:t>提出的其他系统对接的要求。</w:t>
      </w:r>
    </w:p>
    <w:p w14:paraId="16C7A180">
      <w:pPr>
        <w:pStyle w:val="63"/>
        <w:spacing w:line="560" w:lineRule="exact"/>
        <w:ind w:firstLine="56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中标人</w:t>
      </w:r>
      <w:r>
        <w:rPr>
          <w:rFonts w:hint="eastAsia" w:ascii="Times New Roman" w:hAnsi="Times New Roman" w:eastAsia="仿宋_GB2312" w:cs="仿宋_GB2312"/>
          <w:color w:val="auto"/>
          <w:sz w:val="28"/>
          <w:highlight w:val="none"/>
          <w:lang w:val="en-US" w:eastAsia="zh-CN"/>
        </w:rPr>
        <w:t>须</w:t>
      </w:r>
      <w:r>
        <w:rPr>
          <w:rFonts w:hint="eastAsia" w:ascii="Times New Roman" w:hAnsi="Times New Roman" w:eastAsia="仿宋_GB2312" w:cs="仿宋_GB2312"/>
          <w:color w:val="auto"/>
          <w:sz w:val="28"/>
          <w:highlight w:val="none"/>
        </w:rPr>
        <w:t>基于政务外网底层OTN光传输网络，建设</w:t>
      </w:r>
      <w:r>
        <w:rPr>
          <w:rFonts w:hint="eastAsia" w:ascii="Times New Roman" w:hAnsi="Times New Roman" w:eastAsia="仿宋_GB2312" w:cs="仿宋_GB2312"/>
          <w:color w:val="auto"/>
          <w:sz w:val="28"/>
          <w:highlight w:val="none"/>
          <w:lang w:val="en-US" w:eastAsia="zh-CN"/>
        </w:rPr>
        <w:t>独立于</w:t>
      </w:r>
      <w:r>
        <w:rPr>
          <w:rFonts w:hint="eastAsia" w:ascii="Times New Roman" w:hAnsi="Times New Roman" w:eastAsia="仿宋_GB2312" w:cs="仿宋_GB2312"/>
          <w:color w:val="auto"/>
          <w:sz w:val="28"/>
          <w:highlight w:val="none"/>
        </w:rPr>
        <w:t>政务外网业务网络的管理平面，以</w:t>
      </w:r>
      <w:r>
        <w:rPr>
          <w:rFonts w:hint="eastAsia" w:ascii="Times New Roman" w:hAnsi="Times New Roman" w:eastAsia="仿宋_GB2312" w:cs="仿宋_GB2312"/>
          <w:color w:val="auto"/>
          <w:sz w:val="28"/>
          <w:highlight w:val="none"/>
          <w:lang w:val="en-US" w:eastAsia="zh-CN"/>
        </w:rPr>
        <w:t>实现</w:t>
      </w:r>
      <w:r>
        <w:rPr>
          <w:rFonts w:hint="eastAsia" w:ascii="Times New Roman" w:hAnsi="Times New Roman" w:eastAsia="仿宋_GB2312" w:cs="仿宋_GB2312"/>
          <w:color w:val="auto"/>
          <w:sz w:val="28"/>
          <w:highlight w:val="none"/>
        </w:rPr>
        <w:t>市、区两级网络运行和安全监测支撑系统</w:t>
      </w:r>
      <w:r>
        <w:rPr>
          <w:rFonts w:hint="eastAsia" w:ascii="Times New Roman" w:hAnsi="Times New Roman" w:eastAsia="仿宋_GB2312" w:cs="仿宋_GB2312"/>
          <w:color w:val="auto"/>
          <w:sz w:val="28"/>
          <w:highlight w:val="none"/>
          <w:lang w:val="en-US" w:eastAsia="zh-CN"/>
        </w:rPr>
        <w:t>的</w:t>
      </w:r>
      <w:r>
        <w:rPr>
          <w:rFonts w:hint="eastAsia" w:ascii="Times New Roman" w:hAnsi="Times New Roman" w:eastAsia="仿宋_GB2312" w:cs="仿宋_GB2312"/>
          <w:color w:val="auto"/>
          <w:sz w:val="28"/>
          <w:highlight w:val="none"/>
        </w:rPr>
        <w:t>协同联动</w:t>
      </w:r>
      <w:r>
        <w:rPr>
          <w:rFonts w:hint="eastAsia" w:ascii="Times New Roman" w:hAnsi="Times New Roman" w:eastAsia="仿宋_GB2312" w:cs="仿宋_GB2312"/>
          <w:color w:val="auto"/>
          <w:sz w:val="28"/>
          <w:highlight w:val="none"/>
          <w:lang w:val="en-US" w:eastAsia="zh-CN"/>
        </w:rPr>
        <w:t>与</w:t>
      </w:r>
      <w:r>
        <w:rPr>
          <w:rFonts w:hint="eastAsia" w:ascii="Times New Roman" w:hAnsi="Times New Roman" w:eastAsia="仿宋_GB2312" w:cs="仿宋_GB2312"/>
          <w:color w:val="auto"/>
          <w:sz w:val="28"/>
          <w:highlight w:val="none"/>
        </w:rPr>
        <w:t>管理数据高速互联</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应结合</w:t>
      </w:r>
      <w:r>
        <w:rPr>
          <w:rFonts w:hint="eastAsia" w:ascii="Times New Roman" w:hAnsi="Times New Roman" w:eastAsia="仿宋_GB2312" w:cs="仿宋_GB2312"/>
          <w:color w:val="auto"/>
          <w:sz w:val="28"/>
          <w:highlight w:val="none"/>
        </w:rPr>
        <w:t>上海电子政务云网一体化、互联网安全接入、</w:t>
      </w:r>
      <w:r>
        <w:rPr>
          <w:rFonts w:hint="eastAsia" w:ascii="Times New Roman" w:hAnsi="Times New Roman" w:eastAsia="仿宋_GB2312" w:cs="仿宋_GB2312"/>
          <w:color w:val="auto"/>
          <w:sz w:val="28"/>
          <w:highlight w:val="none"/>
          <w:lang w:val="en-US" w:eastAsia="zh-CN"/>
        </w:rPr>
        <w:t>5G</w:t>
      </w:r>
      <w:r>
        <w:rPr>
          <w:rFonts w:hint="eastAsia" w:ascii="Times New Roman" w:hAnsi="Times New Roman" w:eastAsia="仿宋_GB2312" w:cs="仿宋_GB2312"/>
          <w:color w:val="auto"/>
          <w:sz w:val="28"/>
          <w:highlight w:val="none"/>
        </w:rPr>
        <w:t>无线安全接入</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违规外联检测</w:t>
      </w:r>
      <w:r>
        <w:rPr>
          <w:rFonts w:hint="eastAsia" w:ascii="Times New Roman" w:hAnsi="Times New Roman" w:eastAsia="仿宋_GB2312" w:cs="仿宋_GB2312"/>
          <w:color w:val="auto"/>
          <w:sz w:val="28"/>
          <w:highlight w:val="none"/>
        </w:rPr>
        <w:t>等网络</w:t>
      </w:r>
      <w:r>
        <w:rPr>
          <w:rFonts w:hint="eastAsia" w:ascii="Times New Roman" w:hAnsi="Times New Roman" w:eastAsia="仿宋_GB2312" w:cs="仿宋_GB2312"/>
          <w:color w:val="auto"/>
          <w:sz w:val="28"/>
          <w:highlight w:val="none"/>
          <w:lang w:val="en-US" w:eastAsia="zh-CN"/>
        </w:rPr>
        <w:t>与</w:t>
      </w:r>
      <w:r>
        <w:rPr>
          <w:rFonts w:hint="eastAsia" w:ascii="Times New Roman" w:hAnsi="Times New Roman" w:eastAsia="仿宋_GB2312" w:cs="仿宋_GB2312"/>
          <w:color w:val="auto"/>
          <w:sz w:val="28"/>
          <w:highlight w:val="none"/>
        </w:rPr>
        <w:t>安全规划建设理念，提供整体网络建设规划及设计方案，确保技术路线适度超前，网络满足</w:t>
      </w:r>
      <w:r>
        <w:rPr>
          <w:rFonts w:hint="eastAsia" w:ascii="Times New Roman" w:hAnsi="Times New Roman" w:eastAsia="仿宋_GB2312" w:cs="仿宋_GB2312"/>
          <w:color w:val="auto"/>
          <w:sz w:val="28"/>
          <w:highlight w:val="none"/>
          <w:lang w:val="en-US" w:eastAsia="zh-CN"/>
        </w:rPr>
        <w:t>高</w:t>
      </w:r>
      <w:r>
        <w:rPr>
          <w:rFonts w:hint="eastAsia" w:ascii="Times New Roman" w:hAnsi="Times New Roman" w:eastAsia="仿宋_GB2312" w:cs="仿宋_GB2312"/>
          <w:color w:val="auto"/>
          <w:sz w:val="28"/>
          <w:highlight w:val="none"/>
        </w:rPr>
        <w:t>安全性、</w:t>
      </w:r>
      <w:r>
        <w:rPr>
          <w:rFonts w:hint="eastAsia" w:ascii="Times New Roman" w:hAnsi="Times New Roman" w:eastAsia="仿宋_GB2312" w:cs="仿宋_GB2312"/>
          <w:color w:val="auto"/>
          <w:sz w:val="28"/>
          <w:highlight w:val="none"/>
          <w:lang w:val="en-US" w:eastAsia="zh-CN"/>
        </w:rPr>
        <w:t>良好</w:t>
      </w:r>
      <w:r>
        <w:rPr>
          <w:rFonts w:hint="eastAsia" w:ascii="Times New Roman" w:hAnsi="Times New Roman" w:eastAsia="仿宋_GB2312" w:cs="仿宋_GB2312"/>
          <w:color w:val="auto"/>
          <w:sz w:val="28"/>
          <w:highlight w:val="none"/>
        </w:rPr>
        <w:t>可扩展性</w:t>
      </w:r>
      <w:r>
        <w:rPr>
          <w:rFonts w:hint="eastAsia" w:ascii="Times New Roman" w:hAnsi="Times New Roman" w:eastAsia="仿宋_GB2312" w:cs="仿宋_GB2312"/>
          <w:color w:val="auto"/>
          <w:sz w:val="28"/>
          <w:highlight w:val="none"/>
          <w:lang w:val="en-US" w:eastAsia="zh-CN"/>
        </w:rPr>
        <w:t>与</w:t>
      </w:r>
      <w:r>
        <w:rPr>
          <w:rFonts w:hint="eastAsia" w:ascii="Times New Roman" w:hAnsi="Times New Roman" w:eastAsia="仿宋_GB2312" w:cs="仿宋_GB2312"/>
          <w:color w:val="auto"/>
          <w:sz w:val="28"/>
          <w:highlight w:val="none"/>
        </w:rPr>
        <w:t>可管理性</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应探索基于人工智能的运维体系，重点研究在故障预测与诊断等方面的应用</w:t>
      </w:r>
      <w:r>
        <w:rPr>
          <w:rFonts w:hint="eastAsia" w:ascii="Times New Roman" w:hAnsi="Times New Roman" w:eastAsia="仿宋_GB2312" w:cs="仿宋_GB2312"/>
          <w:color w:val="auto"/>
          <w:sz w:val="28"/>
          <w:highlight w:val="none"/>
        </w:rPr>
        <w:t>。</w:t>
      </w:r>
    </w:p>
    <w:p w14:paraId="27580261">
      <w:pPr>
        <w:pStyle w:val="63"/>
        <w:spacing w:line="560" w:lineRule="exact"/>
        <w:ind w:firstLine="560"/>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highlight w:val="none"/>
        </w:rPr>
        <w:t>投标人</w:t>
      </w:r>
      <w:r>
        <w:rPr>
          <w:rFonts w:hint="eastAsia" w:ascii="Times New Roman" w:hAnsi="Times New Roman" w:eastAsia="仿宋_GB2312" w:cs="仿宋_GB2312"/>
          <w:color w:val="auto"/>
          <w:sz w:val="28"/>
          <w:highlight w:val="none"/>
          <w:lang w:val="en-US" w:eastAsia="zh-CN"/>
        </w:rPr>
        <w:t>应</w:t>
      </w:r>
      <w:r>
        <w:rPr>
          <w:rFonts w:hint="eastAsia" w:ascii="Times New Roman" w:hAnsi="Times New Roman" w:eastAsia="仿宋_GB2312" w:cs="仿宋_GB2312"/>
          <w:color w:val="auto"/>
          <w:sz w:val="28"/>
          <w:highlight w:val="none"/>
        </w:rPr>
        <w:t>在深入理解国家政务外网服务体系</w:t>
      </w:r>
      <w:r>
        <w:rPr>
          <w:rFonts w:hint="eastAsia" w:ascii="Times New Roman" w:hAnsi="Times New Roman" w:eastAsia="仿宋_GB2312" w:cs="仿宋_GB2312"/>
          <w:color w:val="auto"/>
          <w:sz w:val="28"/>
          <w:highlight w:val="none"/>
          <w:lang w:val="en-US" w:eastAsia="zh-CN"/>
        </w:rPr>
        <w:t>的</w:t>
      </w:r>
      <w:r>
        <w:rPr>
          <w:rFonts w:hint="eastAsia" w:ascii="Times New Roman" w:hAnsi="Times New Roman" w:eastAsia="仿宋_GB2312" w:cs="仿宋_GB2312"/>
          <w:color w:val="auto"/>
          <w:sz w:val="28"/>
          <w:highlight w:val="none"/>
        </w:rPr>
        <w:t>基础上，对本项目</w:t>
      </w:r>
      <w:r>
        <w:rPr>
          <w:rFonts w:hint="eastAsia" w:ascii="Times New Roman" w:hAnsi="Times New Roman" w:eastAsia="仿宋_GB2312" w:cs="仿宋_GB2312"/>
          <w:color w:val="auto"/>
          <w:sz w:val="28"/>
          <w:highlight w:val="none"/>
          <w:lang w:val="en-US" w:eastAsia="zh-CN"/>
        </w:rPr>
        <w:t>涉及的</w:t>
      </w:r>
      <w:r>
        <w:rPr>
          <w:rFonts w:hint="eastAsia" w:ascii="Times New Roman" w:hAnsi="Times New Roman" w:eastAsia="仿宋_GB2312" w:cs="仿宋_GB2312"/>
          <w:color w:val="auto"/>
          <w:sz w:val="28"/>
          <w:highlight w:val="none"/>
        </w:rPr>
        <w:t>市级政务外网</w:t>
      </w:r>
      <w:r>
        <w:rPr>
          <w:rFonts w:hint="eastAsia" w:ascii="Times New Roman" w:hAnsi="Times New Roman" w:eastAsia="仿宋_GB2312" w:cs="仿宋_GB2312"/>
          <w:color w:val="auto"/>
          <w:sz w:val="28"/>
          <w:highlight w:val="none"/>
          <w:lang w:val="en-US" w:eastAsia="zh-CN"/>
        </w:rPr>
        <w:t>网络及承载的</w:t>
      </w:r>
      <w:r>
        <w:rPr>
          <w:rFonts w:hint="eastAsia" w:ascii="Times New Roman" w:hAnsi="Times New Roman" w:eastAsia="仿宋_GB2312" w:cs="仿宋_GB2312"/>
          <w:color w:val="auto"/>
          <w:sz w:val="28"/>
          <w:highlight w:val="none"/>
        </w:rPr>
        <w:t>各类政务业务需求进行充分研究，</w:t>
      </w:r>
      <w:r>
        <w:rPr>
          <w:rFonts w:hint="eastAsia" w:ascii="Times New Roman" w:hAnsi="Times New Roman" w:eastAsia="仿宋_GB2312" w:cs="仿宋_GB2312"/>
          <w:color w:val="auto"/>
          <w:sz w:val="28"/>
          <w:highlight w:val="none"/>
          <w:lang w:val="en-US" w:eastAsia="zh-CN"/>
        </w:rPr>
        <w:t>据此完成</w:t>
      </w:r>
      <w:r>
        <w:rPr>
          <w:rFonts w:hint="eastAsia" w:ascii="Times New Roman" w:hAnsi="Times New Roman" w:eastAsia="仿宋_GB2312" w:cs="仿宋_GB2312"/>
          <w:color w:val="auto"/>
          <w:sz w:val="28"/>
          <w:highlight w:val="none"/>
        </w:rPr>
        <w:t>整体</w:t>
      </w:r>
      <w:r>
        <w:rPr>
          <w:rFonts w:hint="eastAsia" w:ascii="Times New Roman" w:hAnsi="Times New Roman" w:eastAsia="仿宋_GB2312" w:cs="仿宋_GB2312"/>
          <w:color w:val="auto"/>
          <w:sz w:val="28"/>
          <w:highlight w:val="none"/>
          <w:lang w:val="en-US" w:eastAsia="zh-CN"/>
        </w:rPr>
        <w:t>运营</w:t>
      </w:r>
      <w:r>
        <w:rPr>
          <w:rFonts w:hint="eastAsia" w:ascii="Times New Roman" w:hAnsi="Times New Roman" w:eastAsia="仿宋_GB2312" w:cs="仿宋_GB2312"/>
          <w:color w:val="auto"/>
          <w:sz w:val="28"/>
          <w:highlight w:val="none"/>
        </w:rPr>
        <w:t>服务体系设计，</w:t>
      </w:r>
      <w:r>
        <w:rPr>
          <w:rFonts w:hint="eastAsia" w:ascii="Times New Roman" w:hAnsi="Times New Roman" w:eastAsia="仿宋_GB2312" w:cs="仿宋_GB2312"/>
          <w:color w:val="auto"/>
          <w:sz w:val="28"/>
          <w:highlight w:val="none"/>
          <w:lang w:val="en-US" w:eastAsia="zh-CN"/>
        </w:rPr>
        <w:t>并</w:t>
      </w:r>
      <w:r>
        <w:rPr>
          <w:rFonts w:hint="eastAsia" w:ascii="Times New Roman" w:hAnsi="Times New Roman" w:eastAsia="仿宋_GB2312" w:cs="仿宋_GB2312"/>
          <w:color w:val="auto"/>
          <w:sz w:val="28"/>
          <w:highlight w:val="none"/>
        </w:rPr>
        <w:t>提出完整、合理、先进</w:t>
      </w:r>
      <w:r>
        <w:rPr>
          <w:rFonts w:hint="eastAsia" w:ascii="Times New Roman" w:hAnsi="Times New Roman" w:eastAsia="仿宋_GB2312" w:cs="仿宋_GB2312"/>
          <w:color w:val="auto"/>
          <w:sz w:val="28"/>
          <w:highlight w:val="none"/>
          <w:lang w:val="en-US" w:eastAsia="zh-CN"/>
        </w:rPr>
        <w:t>且</w:t>
      </w:r>
      <w:r>
        <w:rPr>
          <w:rFonts w:hint="eastAsia" w:ascii="Times New Roman" w:hAnsi="Times New Roman" w:eastAsia="仿宋_GB2312" w:cs="仿宋_GB2312"/>
          <w:color w:val="auto"/>
          <w:sz w:val="28"/>
          <w:highlight w:val="none"/>
        </w:rPr>
        <w:t>高效的设计方案。</w:t>
      </w:r>
      <w:r>
        <w:rPr>
          <w:rFonts w:hint="eastAsia" w:ascii="Times New Roman" w:hAnsi="Times New Roman" w:eastAsia="仿宋_GB2312" w:cs="仿宋_GB2312"/>
          <w:color w:val="auto"/>
          <w:sz w:val="28"/>
          <w:highlight w:val="none"/>
          <w:lang w:val="en-US" w:eastAsia="zh-CN"/>
        </w:rPr>
        <w:t>该</w:t>
      </w:r>
      <w:r>
        <w:rPr>
          <w:rFonts w:hint="eastAsia" w:ascii="Times New Roman" w:hAnsi="Times New Roman" w:eastAsia="仿宋_GB2312" w:cs="仿宋_GB2312"/>
          <w:color w:val="auto"/>
          <w:sz w:val="28"/>
          <w:highlight w:val="none"/>
        </w:rPr>
        <w:t>设计方案需包含清晰、完整的功能结构及</w:t>
      </w:r>
      <w:r>
        <w:rPr>
          <w:rFonts w:hint="eastAsia" w:ascii="Times New Roman" w:hAnsi="Times New Roman" w:eastAsia="仿宋_GB2312" w:cs="仿宋_GB2312"/>
          <w:color w:val="auto"/>
          <w:sz w:val="28"/>
          <w:highlight w:val="none"/>
          <w:lang w:val="en-US" w:eastAsia="zh-CN"/>
        </w:rPr>
        <w:t>其对应的</w:t>
      </w:r>
      <w:r>
        <w:rPr>
          <w:rFonts w:hint="eastAsia" w:ascii="Times New Roman" w:hAnsi="Times New Roman" w:eastAsia="仿宋_GB2312" w:cs="仿宋_GB2312"/>
          <w:color w:val="auto"/>
          <w:sz w:val="28"/>
          <w:highlight w:val="none"/>
        </w:rPr>
        <w:t>支撑系统，</w:t>
      </w:r>
      <w:r>
        <w:rPr>
          <w:rFonts w:hint="eastAsia" w:ascii="Times New Roman" w:hAnsi="Times New Roman" w:eastAsia="仿宋_GB2312" w:cs="仿宋_GB2312"/>
          <w:color w:val="auto"/>
          <w:sz w:val="28"/>
          <w:highlight w:val="none"/>
          <w:lang w:val="en-US" w:eastAsia="zh-CN"/>
        </w:rPr>
        <w:t>确保</w:t>
      </w:r>
      <w:r>
        <w:rPr>
          <w:rFonts w:hint="eastAsia" w:ascii="Times New Roman" w:hAnsi="Times New Roman" w:eastAsia="仿宋_GB2312" w:cs="仿宋_GB2312"/>
          <w:color w:val="auto"/>
          <w:sz w:val="28"/>
          <w:highlight w:val="none"/>
        </w:rPr>
        <w:t>满足并完整实现全市政务业务安全稳定运行</w:t>
      </w:r>
      <w:r>
        <w:rPr>
          <w:rFonts w:hint="eastAsia" w:ascii="Times New Roman" w:hAnsi="Times New Roman" w:eastAsia="仿宋_GB2312" w:cs="仿宋_GB2312"/>
          <w:color w:val="auto"/>
          <w:sz w:val="28"/>
          <w:highlight w:val="none"/>
          <w:lang w:val="en-US" w:eastAsia="zh-CN"/>
        </w:rPr>
        <w:t>的要求</w:t>
      </w:r>
      <w:r>
        <w:rPr>
          <w:rFonts w:hint="eastAsia" w:ascii="Times New Roman" w:hAnsi="Times New Roman" w:eastAsia="仿宋_GB2312" w:cs="仿宋_GB2312"/>
          <w:color w:val="auto"/>
          <w:sz w:val="28"/>
          <w:highlight w:val="none"/>
        </w:rPr>
        <w:t>。</w:t>
      </w:r>
    </w:p>
    <w:p w14:paraId="2FEE2B88">
      <w:pPr>
        <w:pStyle w:val="3"/>
        <w:jc w:val="both"/>
        <w:rPr>
          <w:rFonts w:ascii="Times New Roman" w:hAnsi="Times New Roman"/>
          <w:color w:val="auto"/>
          <w:highlight w:val="none"/>
        </w:rPr>
      </w:pPr>
      <w:bookmarkStart w:id="15" w:name="_Toc1255"/>
      <w:bookmarkStart w:id="16" w:name="_Toc17087"/>
      <w:bookmarkStart w:id="17" w:name="_Toc5329"/>
      <w:bookmarkStart w:id="18" w:name="_Toc4028"/>
      <w:bookmarkStart w:id="19" w:name="_Toc23317"/>
      <w:r>
        <w:rPr>
          <w:rFonts w:hint="eastAsia" w:ascii="Times New Roman" w:hAnsi="Times New Roman"/>
          <w:color w:val="auto"/>
          <w:highlight w:val="none"/>
        </w:rPr>
        <w:t>服务总体要求</w:t>
      </w:r>
      <w:bookmarkEnd w:id="15"/>
      <w:bookmarkEnd w:id="16"/>
    </w:p>
    <w:bookmarkEnd w:id="14"/>
    <w:bookmarkEnd w:id="17"/>
    <w:bookmarkEnd w:id="18"/>
    <w:bookmarkEnd w:id="19"/>
    <w:p w14:paraId="10B843B7">
      <w:pPr>
        <w:pStyle w:val="63"/>
        <w:spacing w:line="560" w:lineRule="exact"/>
        <w:ind w:firstLine="56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中标人</w:t>
      </w:r>
      <w:r>
        <w:rPr>
          <w:rFonts w:hint="eastAsia" w:ascii="Times New Roman" w:hAnsi="Times New Roman" w:eastAsia="仿宋_GB2312"/>
          <w:color w:val="auto"/>
          <w:sz w:val="28"/>
          <w:highlight w:val="none"/>
          <w:lang w:val="en-US" w:eastAsia="zh-CN"/>
        </w:rPr>
        <w:t>须严格遵循</w:t>
      </w:r>
      <w:r>
        <w:rPr>
          <w:rFonts w:hint="eastAsia" w:ascii="Times New Roman" w:hAnsi="Times New Roman" w:eastAsia="仿宋_GB2312"/>
          <w:color w:val="auto"/>
          <w:sz w:val="28"/>
          <w:highlight w:val="none"/>
        </w:rPr>
        <w:t>本</w:t>
      </w:r>
      <w:r>
        <w:rPr>
          <w:rFonts w:hint="eastAsia" w:ascii="Times New Roman" w:hAnsi="Times New Roman" w:eastAsia="仿宋_GB2312"/>
          <w:color w:val="auto"/>
          <w:sz w:val="28"/>
          <w:highlight w:val="none"/>
          <w:lang w:eastAsia="zh-Hans"/>
        </w:rPr>
        <w:t>项目招标</w:t>
      </w:r>
      <w:r>
        <w:rPr>
          <w:rFonts w:hint="eastAsia" w:ascii="Times New Roman" w:hAnsi="Times New Roman" w:eastAsia="仿宋_GB2312"/>
          <w:color w:val="auto"/>
          <w:sz w:val="28"/>
          <w:highlight w:val="none"/>
        </w:rPr>
        <w:t>要求的网络技术、实施以及服务要求，提供</w:t>
      </w:r>
      <w:r>
        <w:rPr>
          <w:rFonts w:hint="eastAsia" w:ascii="Times New Roman" w:hAnsi="Times New Roman" w:eastAsia="仿宋_GB2312"/>
          <w:color w:val="auto"/>
          <w:sz w:val="28"/>
          <w:highlight w:val="none"/>
          <w:lang w:val="en-US" w:eastAsia="zh-CN"/>
        </w:rPr>
        <w:t>高</w:t>
      </w:r>
      <w:r>
        <w:rPr>
          <w:rFonts w:hint="eastAsia" w:ascii="Times New Roman" w:hAnsi="Times New Roman" w:eastAsia="仿宋_GB2312"/>
          <w:color w:val="auto"/>
          <w:sz w:val="28"/>
          <w:highlight w:val="none"/>
        </w:rPr>
        <w:t>可靠、</w:t>
      </w:r>
      <w:r>
        <w:rPr>
          <w:rFonts w:hint="eastAsia" w:ascii="Times New Roman" w:hAnsi="Times New Roman" w:eastAsia="仿宋_GB2312"/>
          <w:color w:val="auto"/>
          <w:sz w:val="28"/>
          <w:highlight w:val="none"/>
          <w:lang w:val="en-US" w:eastAsia="zh-CN"/>
        </w:rPr>
        <w:t>高</w:t>
      </w:r>
      <w:r>
        <w:rPr>
          <w:rFonts w:hint="eastAsia" w:ascii="Times New Roman" w:hAnsi="Times New Roman" w:eastAsia="仿宋_GB2312"/>
          <w:color w:val="auto"/>
          <w:sz w:val="28"/>
          <w:highlight w:val="none"/>
        </w:rPr>
        <w:t>安全、</w:t>
      </w:r>
      <w:r>
        <w:rPr>
          <w:rFonts w:hint="eastAsia" w:ascii="Times New Roman" w:hAnsi="Times New Roman" w:eastAsia="仿宋_GB2312"/>
          <w:color w:val="auto"/>
          <w:sz w:val="28"/>
          <w:highlight w:val="none"/>
          <w:lang w:val="en-US" w:eastAsia="zh-CN"/>
        </w:rPr>
        <w:t>高</w:t>
      </w:r>
      <w:r>
        <w:rPr>
          <w:rFonts w:hint="eastAsia" w:ascii="Times New Roman" w:hAnsi="Times New Roman" w:eastAsia="仿宋_GB2312"/>
          <w:color w:val="auto"/>
          <w:sz w:val="28"/>
          <w:highlight w:val="none"/>
        </w:rPr>
        <w:t>稳定的城域专用通信网络，并基于该网络为市级政务外网现有在网及后续新增用户提供可扩展的专用网络通信带宽服务、运行保障服务、安全运营服务等，满足用户在新建、搬迁、扩容、资源调整等方面的需要。同时，中标人需</w:t>
      </w:r>
      <w:r>
        <w:rPr>
          <w:rFonts w:hint="eastAsia" w:ascii="Times New Roman" w:hAnsi="Times New Roman" w:eastAsia="仿宋_GB2312"/>
          <w:color w:val="auto"/>
          <w:sz w:val="28"/>
          <w:highlight w:val="none"/>
          <w:lang w:val="en-US" w:eastAsia="zh-CN"/>
        </w:rPr>
        <w:t>依托该网络</w:t>
      </w:r>
      <w:r>
        <w:rPr>
          <w:rFonts w:hint="eastAsia" w:ascii="Times New Roman" w:hAnsi="Times New Roman" w:eastAsia="仿宋_GB2312"/>
          <w:color w:val="auto"/>
          <w:sz w:val="28"/>
          <w:highlight w:val="none"/>
        </w:rPr>
        <w:t>架构</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提供政务外网无线接入网</w:t>
      </w:r>
      <w:r>
        <w:rPr>
          <w:rFonts w:hint="eastAsia" w:ascii="Times New Roman" w:hAnsi="Times New Roman" w:eastAsia="仿宋_GB2312"/>
          <w:color w:val="auto"/>
          <w:sz w:val="28"/>
          <w:highlight w:val="none"/>
          <w:lang w:val="en-US" w:eastAsia="zh-CN"/>
        </w:rPr>
        <w:t>的</w:t>
      </w:r>
      <w:r>
        <w:rPr>
          <w:rFonts w:hint="eastAsia" w:ascii="Times New Roman" w:hAnsi="Times New Roman" w:eastAsia="仿宋_GB2312"/>
          <w:color w:val="auto"/>
          <w:sz w:val="28"/>
          <w:highlight w:val="none"/>
        </w:rPr>
        <w:t>建设及运营支撑服务。</w:t>
      </w:r>
    </w:p>
    <w:p w14:paraId="7B2E4C5F">
      <w:pPr>
        <w:pStyle w:val="63"/>
        <w:spacing w:line="560" w:lineRule="exact"/>
        <w:ind w:firstLine="56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投标人</w:t>
      </w:r>
      <w:r>
        <w:rPr>
          <w:rFonts w:hint="eastAsia" w:ascii="Times New Roman" w:hAnsi="Times New Roman" w:eastAsia="仿宋_GB2312"/>
          <w:color w:val="auto"/>
          <w:sz w:val="28"/>
          <w:highlight w:val="none"/>
          <w:lang w:val="en-US" w:eastAsia="zh-CN"/>
        </w:rPr>
        <w:t>须</w:t>
      </w:r>
      <w:r>
        <w:rPr>
          <w:rFonts w:hint="eastAsia" w:ascii="Times New Roman" w:hAnsi="Times New Roman" w:eastAsia="仿宋_GB2312"/>
          <w:color w:val="auto"/>
          <w:sz w:val="28"/>
          <w:highlight w:val="none"/>
        </w:rPr>
        <w:t>遵循国家</w:t>
      </w:r>
      <w:r>
        <w:rPr>
          <w:rFonts w:hint="eastAsia" w:ascii="Times New Roman" w:hAnsi="Times New Roman" w:eastAsia="仿宋_GB2312"/>
          <w:color w:val="auto"/>
          <w:sz w:val="28"/>
          <w:highlight w:val="none"/>
          <w:lang w:val="en-US" w:eastAsia="zh-CN"/>
        </w:rPr>
        <w:t>及上海</w:t>
      </w:r>
      <w:r>
        <w:rPr>
          <w:rFonts w:hint="eastAsia" w:ascii="Times New Roman" w:hAnsi="Times New Roman" w:eastAsia="仿宋_GB2312"/>
          <w:color w:val="auto"/>
          <w:sz w:val="28"/>
          <w:highlight w:val="none"/>
        </w:rPr>
        <w:t>市政务外网相关建设</w:t>
      </w:r>
      <w:r>
        <w:rPr>
          <w:rFonts w:hint="eastAsia" w:ascii="Times New Roman" w:hAnsi="Times New Roman" w:eastAsia="仿宋_GB2312"/>
          <w:color w:val="auto"/>
          <w:sz w:val="28"/>
          <w:highlight w:val="none"/>
          <w:lang w:val="en-US" w:eastAsia="zh-CN"/>
        </w:rPr>
        <w:t>与</w:t>
      </w:r>
      <w:r>
        <w:rPr>
          <w:rFonts w:hint="eastAsia" w:ascii="Times New Roman" w:hAnsi="Times New Roman" w:eastAsia="仿宋_GB2312"/>
          <w:color w:val="auto"/>
          <w:sz w:val="28"/>
          <w:highlight w:val="none"/>
        </w:rPr>
        <w:t>管理规范，设计并提供</w:t>
      </w:r>
      <w:r>
        <w:rPr>
          <w:rFonts w:hint="eastAsia" w:ascii="Times New Roman" w:hAnsi="Times New Roman" w:eastAsia="仿宋_GB2312"/>
          <w:color w:val="auto"/>
          <w:sz w:val="28"/>
          <w:highlight w:val="none"/>
          <w:lang w:val="en-US" w:eastAsia="zh-CN"/>
        </w:rPr>
        <w:t>符合要求的</w:t>
      </w:r>
      <w:r>
        <w:rPr>
          <w:rFonts w:hint="eastAsia" w:ascii="Times New Roman" w:hAnsi="Times New Roman" w:eastAsia="仿宋_GB2312"/>
          <w:color w:val="auto"/>
          <w:sz w:val="28"/>
          <w:highlight w:val="none"/>
        </w:rPr>
        <w:t>市级政务外网整体城域专用网络服务方案</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lang w:val="en-US" w:eastAsia="zh-CN"/>
        </w:rPr>
        <w:t>并作出实质性响应</w:t>
      </w:r>
      <w:r>
        <w:rPr>
          <w:rFonts w:hint="eastAsia" w:ascii="Times New Roman" w:hAnsi="Times New Roman" w:eastAsia="仿宋_GB2312"/>
          <w:color w:val="auto"/>
          <w:sz w:val="28"/>
          <w:highlight w:val="none"/>
        </w:rPr>
        <w:t>。服务方案包括但不限于对市级政务外网业务发展需求的整体理解、服务期内网络技术发展规划</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以及专用城域通信网络的网络拓扑设计、设备选型设计、网络地址及业务规划设计、网络及安全功能性能指标设计。</w:t>
      </w:r>
      <w:r>
        <w:rPr>
          <w:rFonts w:hint="eastAsia" w:ascii="Times New Roman" w:hAnsi="Times New Roman" w:eastAsia="仿宋_GB2312"/>
          <w:color w:val="auto"/>
          <w:sz w:val="28"/>
          <w:highlight w:val="none"/>
          <w:lang w:val="en-US" w:eastAsia="zh-CN"/>
        </w:rPr>
        <w:t>同时，</w:t>
      </w:r>
      <w:r>
        <w:rPr>
          <w:rFonts w:hint="eastAsia" w:ascii="Times New Roman" w:hAnsi="Times New Roman" w:eastAsia="仿宋_GB2312"/>
          <w:color w:val="auto"/>
          <w:sz w:val="28"/>
          <w:highlight w:val="none"/>
        </w:rPr>
        <w:t>方案需并</w:t>
      </w:r>
      <w:r>
        <w:rPr>
          <w:rFonts w:hint="eastAsia" w:ascii="Times New Roman" w:hAnsi="Times New Roman" w:eastAsia="仿宋_GB2312"/>
          <w:color w:val="auto"/>
          <w:sz w:val="28"/>
          <w:highlight w:val="none"/>
          <w:lang w:val="en-US" w:eastAsia="zh-CN"/>
        </w:rPr>
        <w:t>就</w:t>
      </w:r>
      <w:r>
        <w:rPr>
          <w:rFonts w:hint="eastAsia" w:ascii="Times New Roman" w:hAnsi="Times New Roman" w:eastAsia="仿宋_GB2312"/>
          <w:color w:val="auto"/>
          <w:sz w:val="28"/>
          <w:highlight w:val="none"/>
        </w:rPr>
        <w:t>网络带宽与扩展能力、链路主备保护、运营保障、安全管理、人员保障及咨询服务等方面</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lang w:val="en-US" w:eastAsia="zh-CN"/>
        </w:rPr>
        <w:t>提供</w:t>
      </w:r>
      <w:r>
        <w:rPr>
          <w:rFonts w:hint="eastAsia" w:ascii="Times New Roman" w:hAnsi="Times New Roman" w:eastAsia="仿宋_GB2312"/>
          <w:color w:val="auto"/>
          <w:sz w:val="28"/>
          <w:highlight w:val="none"/>
        </w:rPr>
        <w:t>详尽可行的</w:t>
      </w:r>
      <w:r>
        <w:rPr>
          <w:rFonts w:hint="eastAsia" w:ascii="Times New Roman" w:hAnsi="Times New Roman" w:eastAsia="仿宋_GB2312"/>
          <w:color w:val="auto"/>
          <w:sz w:val="28"/>
          <w:highlight w:val="none"/>
          <w:lang w:val="en-US" w:eastAsia="zh-CN"/>
        </w:rPr>
        <w:t>实施方案并作</w:t>
      </w:r>
      <w:r>
        <w:rPr>
          <w:rFonts w:hint="eastAsia" w:ascii="Times New Roman" w:hAnsi="Times New Roman" w:eastAsia="仿宋_GB2312"/>
          <w:color w:val="auto"/>
          <w:sz w:val="28"/>
          <w:highlight w:val="none"/>
        </w:rPr>
        <w:t>实质性响应。</w:t>
      </w:r>
    </w:p>
    <w:p w14:paraId="6C9ECBDA">
      <w:pPr>
        <w:pStyle w:val="63"/>
        <w:widowControl/>
        <w:spacing w:line="560" w:lineRule="exact"/>
        <w:ind w:firstLine="560"/>
        <w:rPr>
          <w:rFonts w:hint="eastAsia" w:ascii="Times New Roman" w:hAnsi="Times New Roman" w:eastAsia="仿宋_GB2312"/>
          <w:color w:val="auto"/>
          <w:sz w:val="28"/>
          <w:highlight w:val="none"/>
        </w:rPr>
      </w:pPr>
      <w:r>
        <w:rPr>
          <w:rFonts w:hint="eastAsia" w:ascii="Times New Roman" w:hAnsi="Times New Roman" w:eastAsia="仿宋_GB2312"/>
          <w:color w:val="auto"/>
          <w:sz w:val="28"/>
          <w:highlight w:val="none"/>
          <w:lang w:val="en-US" w:eastAsia="zh-CN"/>
        </w:rPr>
        <w:t>投标人须</w:t>
      </w:r>
      <w:r>
        <w:rPr>
          <w:rFonts w:hint="eastAsia" w:ascii="Times New Roman" w:hAnsi="Times New Roman" w:eastAsia="仿宋_GB2312"/>
          <w:color w:val="auto"/>
          <w:sz w:val="28"/>
          <w:highlight w:val="none"/>
        </w:rPr>
        <w:t>选用安全、成熟、稳定的软硬件产品（包括但不限于光传输设备、</w:t>
      </w:r>
      <w:r>
        <w:rPr>
          <w:rFonts w:hint="eastAsia" w:ascii="Times New Roman" w:hAnsi="Times New Roman" w:eastAsia="仿宋_GB2312"/>
          <w:color w:val="auto"/>
          <w:sz w:val="28"/>
          <w:highlight w:val="none"/>
          <w:lang w:val="en-US" w:eastAsia="zh-CN"/>
        </w:rPr>
        <w:t>数通设备</w:t>
      </w:r>
      <w:r>
        <w:rPr>
          <w:rFonts w:hint="eastAsia" w:ascii="Times New Roman" w:hAnsi="Times New Roman" w:eastAsia="仿宋_GB2312"/>
          <w:color w:val="auto"/>
          <w:sz w:val="28"/>
          <w:highlight w:val="none"/>
        </w:rPr>
        <w:t>、安全设备）服务本项目，</w:t>
      </w:r>
      <w:r>
        <w:rPr>
          <w:rFonts w:hint="eastAsia" w:ascii="Times New Roman" w:hAnsi="Times New Roman" w:eastAsia="仿宋_GB2312"/>
          <w:color w:val="auto"/>
          <w:sz w:val="28"/>
          <w:highlight w:val="none"/>
          <w:lang w:val="en-US" w:eastAsia="zh-CN"/>
        </w:rPr>
        <w:t>并确保</w:t>
      </w:r>
      <w:r>
        <w:rPr>
          <w:rFonts w:hint="eastAsia" w:ascii="Times New Roman" w:hAnsi="Times New Roman" w:eastAsia="仿宋_GB2312"/>
          <w:color w:val="auto"/>
          <w:sz w:val="28"/>
          <w:highlight w:val="none"/>
        </w:rPr>
        <w:t>所有软硬件设备</w:t>
      </w:r>
      <w:r>
        <w:rPr>
          <w:rFonts w:hint="eastAsia" w:ascii="Times New Roman" w:hAnsi="Times New Roman" w:eastAsia="仿宋_GB2312"/>
          <w:color w:val="auto"/>
          <w:sz w:val="28"/>
          <w:highlight w:val="none"/>
          <w:lang w:val="en-US" w:eastAsia="zh-CN"/>
        </w:rPr>
        <w:t>专用于</w:t>
      </w:r>
      <w:r>
        <w:rPr>
          <w:rFonts w:hint="eastAsia" w:ascii="Times New Roman" w:hAnsi="Times New Roman" w:eastAsia="仿宋_GB2312"/>
          <w:color w:val="auto"/>
          <w:sz w:val="28"/>
          <w:highlight w:val="none"/>
        </w:rPr>
        <w:t>为市级政务外网，</w:t>
      </w:r>
      <w:r>
        <w:rPr>
          <w:rFonts w:hint="eastAsia" w:ascii="Times New Roman" w:hAnsi="Times New Roman" w:eastAsia="仿宋_GB2312"/>
          <w:color w:val="auto"/>
          <w:sz w:val="28"/>
          <w:highlight w:val="none"/>
          <w:lang w:val="en-US" w:eastAsia="zh-CN"/>
        </w:rPr>
        <w:t>严禁</w:t>
      </w:r>
      <w:r>
        <w:rPr>
          <w:rFonts w:hint="eastAsia" w:ascii="Times New Roman" w:hAnsi="Times New Roman" w:eastAsia="仿宋_GB2312"/>
          <w:color w:val="auto"/>
          <w:sz w:val="28"/>
          <w:highlight w:val="none"/>
        </w:rPr>
        <w:t>用于其他任何用途</w:t>
      </w:r>
      <w:r>
        <w:rPr>
          <w:rFonts w:hint="eastAsia" w:ascii="Times New Roman" w:hAnsi="Times New Roman" w:eastAsia="仿宋_GB2312"/>
          <w:color w:val="auto"/>
          <w:sz w:val="28"/>
          <w:highlight w:val="none"/>
          <w:lang w:val="en-US" w:eastAsia="zh-CN"/>
        </w:rPr>
        <w:t>或</w:t>
      </w:r>
      <w:r>
        <w:rPr>
          <w:rFonts w:hint="eastAsia" w:ascii="Times New Roman" w:hAnsi="Times New Roman" w:eastAsia="仿宋_GB2312"/>
          <w:color w:val="auto"/>
          <w:sz w:val="28"/>
          <w:highlight w:val="none"/>
        </w:rPr>
        <w:t>业务</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lang w:val="en-US" w:eastAsia="zh-CN"/>
        </w:rPr>
        <w:t>且</w:t>
      </w:r>
      <w:r>
        <w:rPr>
          <w:rFonts w:hint="eastAsia" w:ascii="Times New Roman" w:hAnsi="Times New Roman" w:eastAsia="仿宋_GB2312"/>
          <w:color w:val="auto"/>
          <w:sz w:val="28"/>
          <w:highlight w:val="none"/>
        </w:rPr>
        <w:t>需提供专网专用承诺函。</w:t>
      </w:r>
      <w:r>
        <w:rPr>
          <w:rFonts w:hint="eastAsia" w:ascii="Times New Roman" w:hAnsi="Times New Roman" w:eastAsia="仿宋_GB2312"/>
          <w:color w:val="auto"/>
          <w:sz w:val="28"/>
          <w:highlight w:val="none"/>
          <w:lang w:val="en-US" w:eastAsia="zh-CN"/>
        </w:rPr>
        <w:t>若</w:t>
      </w:r>
      <w:r>
        <w:rPr>
          <w:rFonts w:hint="eastAsia" w:ascii="Times New Roman" w:hAnsi="Times New Roman" w:eastAsia="仿宋_GB2312"/>
          <w:color w:val="auto"/>
          <w:sz w:val="28"/>
          <w:highlight w:val="none"/>
        </w:rPr>
        <w:t>采用现网已投入使用设备，</w:t>
      </w:r>
      <w:r>
        <w:rPr>
          <w:rFonts w:hint="eastAsia" w:ascii="Times New Roman" w:hAnsi="Times New Roman" w:eastAsia="仿宋_GB2312"/>
          <w:color w:val="auto"/>
          <w:sz w:val="28"/>
          <w:highlight w:val="none"/>
          <w:lang w:val="en-US" w:eastAsia="zh-CN"/>
        </w:rPr>
        <w:t>提供的设备须完全满足本招标需求（品类、规格、数量），同时须</w:t>
      </w:r>
      <w:r>
        <w:rPr>
          <w:rFonts w:hint="eastAsia" w:ascii="Times New Roman" w:hAnsi="Times New Roman" w:eastAsia="仿宋_GB2312"/>
          <w:color w:val="auto"/>
          <w:sz w:val="28"/>
          <w:highlight w:val="none"/>
        </w:rPr>
        <w:t>提</w:t>
      </w:r>
      <w:r>
        <w:rPr>
          <w:rFonts w:hint="eastAsia" w:ascii="Times New Roman" w:hAnsi="Times New Roman" w:eastAsia="仿宋_GB2312"/>
          <w:color w:val="auto"/>
          <w:sz w:val="28"/>
          <w:highlight w:val="none"/>
          <w:lang w:val="en-US" w:eastAsia="zh-CN"/>
        </w:rPr>
        <w:t>交</w:t>
      </w:r>
      <w:r>
        <w:rPr>
          <w:rFonts w:hint="eastAsia" w:ascii="Times New Roman" w:hAnsi="Times New Roman" w:eastAsia="仿宋_GB2312"/>
          <w:color w:val="auto"/>
          <w:sz w:val="28"/>
          <w:highlight w:val="none"/>
        </w:rPr>
        <w:t>设备采购合同</w:t>
      </w:r>
      <w:r>
        <w:rPr>
          <w:rFonts w:hint="eastAsia" w:ascii="Times New Roman" w:hAnsi="Times New Roman" w:eastAsia="仿宋_GB2312"/>
          <w:color w:val="auto"/>
          <w:sz w:val="28"/>
          <w:highlight w:val="none"/>
          <w:lang w:val="en-US" w:eastAsia="zh-CN"/>
        </w:rPr>
        <w:t>作为证明</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lang w:val="en-US" w:eastAsia="zh-CN"/>
        </w:rPr>
        <w:t>若</w:t>
      </w:r>
      <w:r>
        <w:rPr>
          <w:rFonts w:hint="eastAsia" w:ascii="Times New Roman" w:hAnsi="Times New Roman" w:eastAsia="仿宋_GB2312"/>
          <w:color w:val="auto"/>
          <w:sz w:val="28"/>
          <w:highlight w:val="none"/>
        </w:rPr>
        <w:t>为新购设备，</w:t>
      </w:r>
      <w:r>
        <w:rPr>
          <w:rFonts w:hint="eastAsia" w:ascii="Times New Roman" w:hAnsi="Times New Roman" w:eastAsia="仿宋_GB2312"/>
          <w:color w:val="auto"/>
          <w:sz w:val="28"/>
          <w:highlight w:val="none"/>
          <w:lang w:val="en-US" w:eastAsia="zh-CN"/>
        </w:rPr>
        <w:t>则须</w:t>
      </w:r>
      <w:r>
        <w:rPr>
          <w:rFonts w:hint="eastAsia" w:ascii="Times New Roman" w:hAnsi="Times New Roman" w:eastAsia="仿宋_GB2312"/>
          <w:color w:val="auto"/>
          <w:sz w:val="28"/>
          <w:highlight w:val="none"/>
        </w:rPr>
        <w:t>提供制造商出具的原厂授权函及</w:t>
      </w:r>
      <w:r>
        <w:rPr>
          <w:rFonts w:hint="eastAsia" w:ascii="Times New Roman" w:hAnsi="Times New Roman" w:eastAsia="仿宋_GB2312"/>
          <w:color w:val="auto"/>
          <w:sz w:val="28"/>
          <w:highlight w:val="none"/>
          <w:lang w:val="en-US" w:eastAsia="zh-CN"/>
        </w:rPr>
        <w:t>明确的交付时间</w:t>
      </w:r>
      <w:r>
        <w:rPr>
          <w:rFonts w:hint="eastAsia" w:ascii="Times New Roman" w:hAnsi="Times New Roman" w:eastAsia="仿宋_GB2312"/>
          <w:color w:val="auto"/>
          <w:sz w:val="28"/>
          <w:highlight w:val="none"/>
        </w:rPr>
        <w:t>承诺。</w:t>
      </w:r>
    </w:p>
    <w:p w14:paraId="1F75E301">
      <w:pPr>
        <w:widowControl/>
        <w:spacing w:line="560" w:lineRule="exact"/>
        <w:jc w:val="both"/>
        <w:rPr>
          <w:rFonts w:hint="eastAsia" w:ascii="Times New Roman" w:hAnsi="Times New Roman" w:eastAsia="仿宋_GB2312"/>
          <w:color w:val="auto"/>
          <w:sz w:val="28"/>
          <w:highlight w:val="none"/>
        </w:rPr>
      </w:pPr>
      <w:r>
        <w:rPr>
          <w:rFonts w:hint="eastAsia" w:ascii="Times New Roman" w:hAnsi="Times New Roman" w:eastAsia="仿宋_GB2312"/>
          <w:color w:val="auto"/>
          <w:highlight w:val="none"/>
        </w:rPr>
        <w:t>投标人应充分理解现行业务状况，设计详细</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服务方案</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包括但不限于服务内容、保障措施、人员管理、质量管理、日常维护、安全运营、安全保障、应急响应、服务质量及考核承诺等方面</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。方案设计需</w:t>
      </w:r>
      <w:r>
        <w:rPr>
          <w:rFonts w:hint="eastAsia" w:ascii="Times New Roman" w:hAnsi="Times New Roman" w:eastAsia="仿宋_GB2312"/>
          <w:color w:val="auto"/>
          <w:highlight w:val="none"/>
          <w:lang w:val="en-US" w:eastAsia="zh-CN"/>
        </w:rPr>
        <w:t>涵盖服务</w:t>
      </w:r>
      <w:r>
        <w:rPr>
          <w:rFonts w:hint="eastAsia" w:ascii="Times New Roman" w:hAnsi="Times New Roman" w:eastAsia="仿宋_GB2312"/>
          <w:color w:val="auto"/>
          <w:highlight w:val="none"/>
        </w:rPr>
        <w:t>团队的组织架构</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人员岗位职责、机制流程</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规范标准等</w:t>
      </w:r>
      <w:r>
        <w:rPr>
          <w:rFonts w:hint="eastAsia" w:ascii="Times New Roman" w:hAnsi="Times New Roman" w:eastAsia="仿宋_GB2312"/>
          <w:color w:val="auto"/>
          <w:highlight w:val="none"/>
          <w:lang w:val="en-US" w:eastAsia="zh-CN"/>
        </w:rPr>
        <w:t>要素</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确保</w:t>
      </w:r>
      <w:r>
        <w:rPr>
          <w:rFonts w:hint="eastAsia" w:ascii="Times New Roman" w:hAnsi="Times New Roman" w:eastAsia="仿宋_GB2312"/>
          <w:color w:val="auto"/>
          <w:highlight w:val="none"/>
        </w:rPr>
        <w:t>长期可操作性和运营支撑能力。</w:t>
      </w:r>
      <w:r>
        <w:rPr>
          <w:rFonts w:hint="eastAsia" w:ascii="Times New Roman" w:hAnsi="Times New Roman" w:eastAsia="仿宋_GB2312"/>
          <w:color w:val="auto"/>
          <w:highlight w:val="none"/>
          <w:lang w:val="en-US" w:eastAsia="zh-CN"/>
        </w:rPr>
        <w:t>同时，须</w:t>
      </w:r>
      <w:r>
        <w:rPr>
          <w:rFonts w:hint="eastAsia" w:ascii="Times New Roman" w:hAnsi="Times New Roman" w:eastAsia="仿宋_GB2312"/>
          <w:color w:val="auto"/>
          <w:highlight w:val="none"/>
        </w:rPr>
        <w:t>对项目服务运营及服务质量要求提供实质性响应方案，</w:t>
      </w:r>
      <w:r>
        <w:rPr>
          <w:rFonts w:hint="eastAsia" w:ascii="Times New Roman" w:hAnsi="Times New Roman" w:eastAsia="仿宋_GB2312"/>
          <w:color w:val="auto"/>
          <w:highlight w:val="none"/>
          <w:lang w:val="en-US" w:eastAsia="zh-CN"/>
        </w:rPr>
        <w:t>明确具体的</w:t>
      </w:r>
      <w:r>
        <w:rPr>
          <w:rFonts w:hint="eastAsia" w:ascii="Times New Roman" w:hAnsi="Times New Roman" w:eastAsia="仿宋_GB2312"/>
          <w:color w:val="auto"/>
          <w:highlight w:val="none"/>
        </w:rPr>
        <w:t>质量保证措施。</w:t>
      </w:r>
      <w:r>
        <w:rPr>
          <w:rFonts w:hint="eastAsia" w:ascii="Times New Roman" w:hAnsi="Times New Roman" w:eastAsia="仿宋_GB2312"/>
          <w:color w:val="auto"/>
          <w:szCs w:val="28"/>
          <w:highlight w:val="none"/>
        </w:rPr>
        <w:t>中标人提供的服务与运营安全管理均</w:t>
      </w:r>
      <w:r>
        <w:rPr>
          <w:rFonts w:hint="eastAsia" w:ascii="Times New Roman" w:hAnsi="Times New Roman" w:eastAsia="仿宋_GB2312"/>
          <w:color w:val="auto"/>
          <w:szCs w:val="28"/>
          <w:highlight w:val="none"/>
          <w:lang w:val="en-US" w:eastAsia="zh-CN"/>
        </w:rPr>
        <w:t>应满足全</w:t>
      </w:r>
      <w:r>
        <w:rPr>
          <w:rFonts w:hint="eastAsia" w:ascii="Times New Roman" w:hAnsi="Times New Roman" w:eastAsia="仿宋_GB2312"/>
          <w:color w:val="auto"/>
          <w:szCs w:val="28"/>
          <w:highlight w:val="none"/>
        </w:rPr>
        <w:t>流程闭环及内审监督要求。</w:t>
      </w:r>
    </w:p>
    <w:p w14:paraId="1790182A">
      <w:pPr>
        <w:pStyle w:val="3"/>
        <w:jc w:val="both"/>
        <w:rPr>
          <w:rFonts w:ascii="Times New Roman" w:hAnsi="Times New Roman"/>
          <w:color w:val="auto"/>
          <w:highlight w:val="none"/>
        </w:rPr>
      </w:pPr>
      <w:bookmarkStart w:id="20" w:name="_Toc22155"/>
      <w:r>
        <w:rPr>
          <w:rFonts w:hint="eastAsia" w:ascii="Times New Roman" w:hAnsi="Times New Roman"/>
          <w:color w:val="auto"/>
          <w:highlight w:val="none"/>
        </w:rPr>
        <w:t>保密要求</w:t>
      </w:r>
      <w:bookmarkEnd w:id="20"/>
    </w:p>
    <w:p w14:paraId="111050C8">
      <w:pPr>
        <w:pStyle w:val="63"/>
        <w:numPr>
          <w:ilvl w:val="0"/>
          <w:numId w:val="5"/>
        </w:numPr>
        <w:spacing w:line="560" w:lineRule="exact"/>
        <w:ind w:firstLine="56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中标人因履行本项目而知悉的所有数据、信息和资料（包括但不限于账号信息、图表、文字、计算过程、电子文件、访谈记录、现场实测数据、采购方相关工作程序等）以及因履行本项目而形成的数据、信息和任何形式的工作成果，均是采购人要求保密的信息。未经采购人书面同意，中标人不得对外泄露采购人要求保密的信息，不得用于其他用途，否则中标人需承担由此引起的法律责任和经济责任，包括但不限于直接损失、间接损失、律师费、诉讼费</w:t>
      </w:r>
      <w:r>
        <w:rPr>
          <w:rFonts w:ascii="Times New Roman" w:hAnsi="Times New Roman" w:eastAsia="仿宋_GB2312"/>
          <w:color w:val="auto"/>
          <w:sz w:val="28"/>
          <w:highlight w:val="none"/>
        </w:rPr>
        <w:t>/</w:t>
      </w:r>
      <w:r>
        <w:rPr>
          <w:rFonts w:hint="eastAsia" w:ascii="Times New Roman" w:hAnsi="Times New Roman" w:eastAsia="仿宋_GB2312"/>
          <w:color w:val="auto"/>
          <w:sz w:val="28"/>
          <w:highlight w:val="none"/>
        </w:rPr>
        <w:t>仲裁费、调查费、公证费等。</w:t>
      </w:r>
      <w:r>
        <w:rPr>
          <w:rFonts w:ascii="Times New Roman" w:hAnsi="Times New Roman" w:eastAsia="仿宋_GB2312"/>
          <w:color w:val="auto"/>
          <w:sz w:val="28"/>
          <w:highlight w:val="none"/>
        </w:rPr>
        <w:t xml:space="preserve"> </w:t>
      </w:r>
    </w:p>
    <w:p w14:paraId="36BD908B">
      <w:pPr>
        <w:pStyle w:val="63"/>
        <w:numPr>
          <w:ilvl w:val="0"/>
          <w:numId w:val="5"/>
        </w:numPr>
        <w:spacing w:line="560" w:lineRule="exact"/>
        <w:ind w:firstLine="56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构建于政务外网上的各部门业务系统、所有数据的拥有权及使用权均属于政府，中标人无权对其进行支配。若发现中标人未经许可对业务系统和数据进行支配，采购人将对中标人采取违约处理并追究其法律责任。</w:t>
      </w:r>
    </w:p>
    <w:p w14:paraId="2AF08576">
      <w:pPr>
        <w:pStyle w:val="63"/>
        <w:numPr>
          <w:ilvl w:val="0"/>
          <w:numId w:val="5"/>
        </w:numPr>
        <w:spacing w:line="560" w:lineRule="exact"/>
        <w:ind w:firstLine="56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中标人应采取必要的有效措施保证其参与本项目的人员（包括中标人聘用的人员、借调的人员、在中标人实习的人员）无论是在职或离职后，以及中标人的合作方无论是合作中或合作终止后，都能够履行本项目约定的保密义务。若中标人人员或中标人合作方违反本条规定，中标人应承担连带责任。</w:t>
      </w:r>
    </w:p>
    <w:p w14:paraId="4F5F605C">
      <w:pPr>
        <w:pStyle w:val="63"/>
        <w:numPr>
          <w:ilvl w:val="0"/>
          <w:numId w:val="5"/>
        </w:numPr>
        <w:spacing w:line="560" w:lineRule="exact"/>
        <w:ind w:firstLine="56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保密期限自中标人知悉保密信息起始至保密信息被合法公开之日止。</w:t>
      </w:r>
    </w:p>
    <w:p w14:paraId="41291F26">
      <w:pPr>
        <w:pStyle w:val="63"/>
        <w:numPr>
          <w:ilvl w:val="0"/>
          <w:numId w:val="5"/>
        </w:numPr>
        <w:spacing w:line="560" w:lineRule="exact"/>
        <w:ind w:firstLine="56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中标人（含中标人参与本项目的人员）未经采购人书面许可，不得以任何形式自行使用或以任何方式向第三方披露、转让、授权、出售与本项目有关的技术成果、计算机软件、源代码、策划文档、技术诀窍、秘密信息、技术资料和其他文件。</w:t>
      </w:r>
    </w:p>
    <w:p w14:paraId="5EC84F0F">
      <w:pPr>
        <w:pStyle w:val="63"/>
        <w:spacing w:line="560" w:lineRule="exact"/>
        <w:ind w:firstLine="560"/>
        <w:rPr>
          <w:rFonts w:ascii="Times New Roman" w:hAnsi="Times New Roman" w:eastAsia="仿宋_GB2312"/>
          <w:color w:val="auto"/>
          <w:sz w:val="32"/>
          <w:szCs w:val="32"/>
          <w:highlight w:val="none"/>
        </w:rPr>
      </w:pPr>
      <w:r>
        <w:rPr>
          <w:rFonts w:hint="eastAsia" w:ascii="Times New Roman" w:hAnsi="Times New Roman" w:eastAsia="仿宋_GB2312"/>
          <w:color w:val="auto"/>
          <w:sz w:val="28"/>
          <w:highlight w:val="none"/>
        </w:rPr>
        <w:t>在本项目终止或完成之后，项目各方在本项目中的保密义务并不随之终止，各方仍需依据本项目的保密规定履行保密义务。</w:t>
      </w:r>
    </w:p>
    <w:p w14:paraId="0D34AE28">
      <w:pPr>
        <w:pStyle w:val="3"/>
        <w:jc w:val="both"/>
        <w:rPr>
          <w:rFonts w:ascii="Times New Roman" w:hAnsi="Times New Roman"/>
          <w:color w:val="auto"/>
          <w:highlight w:val="none"/>
        </w:rPr>
      </w:pPr>
      <w:bookmarkStart w:id="21" w:name="_Toc8860"/>
      <w:bookmarkStart w:id="22" w:name="_Toc9429"/>
      <w:bookmarkStart w:id="23" w:name="_Toc32049"/>
      <w:bookmarkStart w:id="24" w:name="_Toc2615"/>
      <w:bookmarkStart w:id="25" w:name="_Toc21627"/>
      <w:bookmarkStart w:id="26" w:name="_Toc15432"/>
      <w:r>
        <w:rPr>
          <w:rFonts w:hint="eastAsia" w:ascii="Times New Roman" w:hAnsi="Times New Roman"/>
          <w:color w:val="auto"/>
          <w:highlight w:val="none"/>
        </w:rPr>
        <w:t>服务范围</w:t>
      </w:r>
      <w:bookmarkEnd w:id="21"/>
      <w:bookmarkEnd w:id="22"/>
    </w:p>
    <w:bookmarkEnd w:id="23"/>
    <w:bookmarkEnd w:id="24"/>
    <w:bookmarkEnd w:id="25"/>
    <w:bookmarkEnd w:id="26"/>
    <w:p w14:paraId="15193F45">
      <w:pPr>
        <w:pStyle w:val="63"/>
        <w:widowControl/>
        <w:numPr>
          <w:ilvl w:val="-1"/>
          <w:numId w:val="0"/>
        </w:numPr>
        <w:ind w:left="0" w:leftChars="0" w:firstLine="560"/>
        <w:rPr>
          <w:rFonts w:hint="default" w:ascii="Times New Roman" w:hAnsi="Times New Roman" w:eastAsia="仿宋_GB2312" w:cs="Times New Roman Regular"/>
          <w:color w:val="auto"/>
          <w:sz w:val="28"/>
          <w:highlight w:val="none"/>
        </w:rPr>
      </w:pPr>
      <w:r>
        <w:rPr>
          <w:rFonts w:hint="default" w:ascii="Times New Roman" w:hAnsi="Times New Roman" w:eastAsia="仿宋_GB2312" w:cs="Times New Roman Regular"/>
          <w:color w:val="auto"/>
          <w:sz w:val="28"/>
          <w:highlight w:val="none"/>
        </w:rPr>
        <w:t>中标人</w:t>
      </w:r>
      <w:r>
        <w:rPr>
          <w:rFonts w:hint="default" w:ascii="Times New Roman" w:hAnsi="Times New Roman" w:eastAsia="仿宋_GB2312" w:cs="Times New Roman Regular"/>
          <w:color w:val="auto"/>
          <w:sz w:val="28"/>
          <w:highlight w:val="none"/>
          <w:lang w:val="en-US" w:eastAsia="zh-CN"/>
        </w:rPr>
        <w:t>须</w:t>
      </w:r>
      <w:r>
        <w:rPr>
          <w:rFonts w:hint="default" w:ascii="Times New Roman" w:hAnsi="Times New Roman" w:eastAsia="仿宋_GB2312" w:cs="Times New Roman Regular"/>
          <w:color w:val="auto"/>
          <w:sz w:val="28"/>
          <w:highlight w:val="none"/>
        </w:rPr>
        <w:t>在上海市范围内提供城域专用通信网络，并在</w:t>
      </w:r>
      <w:r>
        <w:rPr>
          <w:rFonts w:hint="default" w:ascii="Times New Roman" w:hAnsi="Times New Roman" w:eastAsia="仿宋_GB2312" w:cs="Times New Roman Regular"/>
          <w:color w:val="auto"/>
          <w:sz w:val="28"/>
          <w:highlight w:val="none"/>
          <w:lang w:val="en-US" w:eastAsia="zh-CN"/>
        </w:rPr>
        <w:t>本服务期起始之日</w:t>
      </w:r>
      <w:r>
        <w:rPr>
          <w:rFonts w:hint="default" w:ascii="Times New Roman" w:hAnsi="Times New Roman" w:eastAsia="仿宋_GB2312" w:cs="Times New Roman Regular"/>
          <w:color w:val="auto"/>
          <w:sz w:val="28"/>
          <w:highlight w:val="none"/>
        </w:rPr>
        <w:t>前完成招标范围涉及的所有市级政务外网节点的开通及验收工作。具体节点明细待中标方签订合同后予以提供。</w:t>
      </w:r>
    </w:p>
    <w:p w14:paraId="660743DE">
      <w:pPr>
        <w:pStyle w:val="63"/>
        <w:widowControl/>
        <w:numPr>
          <w:ilvl w:val="-1"/>
          <w:numId w:val="0"/>
        </w:numPr>
        <w:ind w:left="0" w:leftChars="0" w:firstLine="560"/>
        <w:rPr>
          <w:rFonts w:hint="default" w:ascii="Times New Roman" w:hAnsi="Times New Roman" w:eastAsia="仿宋_GB2312" w:cs="Times New Roman Regular"/>
          <w:color w:val="auto"/>
          <w:sz w:val="28"/>
          <w:highlight w:val="none"/>
        </w:rPr>
      </w:pPr>
      <w:r>
        <w:rPr>
          <w:rFonts w:hint="default" w:ascii="Times New Roman" w:hAnsi="Times New Roman" w:eastAsia="仿宋_GB2312" w:cs="Times New Roman Regular"/>
          <w:color w:val="auto"/>
          <w:sz w:val="28"/>
          <w:highlight w:val="none"/>
        </w:rPr>
        <w:t>根据</w:t>
      </w:r>
      <w:r>
        <w:rPr>
          <w:rFonts w:hint="eastAsia" w:ascii="Times New Roman" w:hAnsi="Times New Roman" w:eastAsia="仿宋_GB2312" w:cs="Times New Roman Regular"/>
          <w:color w:val="auto"/>
          <w:sz w:val="28"/>
          <w:highlight w:val="none"/>
          <w:lang w:eastAsia="zh-CN"/>
        </w:rPr>
        <w:t>采购人</w:t>
      </w:r>
      <w:r>
        <w:rPr>
          <w:rFonts w:hint="default" w:ascii="Times New Roman" w:hAnsi="Times New Roman" w:eastAsia="仿宋_GB2312" w:cs="Times New Roman Regular"/>
          <w:color w:val="auto"/>
          <w:sz w:val="28"/>
          <w:highlight w:val="none"/>
        </w:rPr>
        <w:t>业务需求，在服务期内持续提供本次项目所涉及13</w:t>
      </w:r>
      <w:r>
        <w:rPr>
          <w:rFonts w:hint="default" w:ascii="Times New Roman" w:hAnsi="Times New Roman" w:eastAsia="仿宋_GB2312" w:cs="Times New Roman Regular"/>
          <w:color w:val="auto"/>
          <w:sz w:val="28"/>
          <w:highlight w:val="none"/>
          <w:lang w:val="en-US" w:eastAsia="zh-CN"/>
        </w:rPr>
        <w:t>31</w:t>
      </w:r>
      <w:r>
        <w:rPr>
          <w:rFonts w:hint="default" w:ascii="Times New Roman" w:hAnsi="Times New Roman" w:eastAsia="仿宋_GB2312" w:cs="Times New Roman Regular"/>
          <w:color w:val="auto"/>
          <w:sz w:val="28"/>
          <w:highlight w:val="none"/>
        </w:rPr>
        <w:t>个</w:t>
      </w:r>
      <w:r>
        <w:rPr>
          <w:rFonts w:hint="default" w:ascii="Times New Roman" w:hAnsi="Times New Roman" w:eastAsia="仿宋_GB2312" w:cs="Times New Roman Regular"/>
          <w:color w:val="auto"/>
          <w:sz w:val="28"/>
          <w:highlight w:val="none"/>
          <w:lang w:eastAsia="zh-CN"/>
        </w:rPr>
        <w:t>（</w:t>
      </w:r>
      <w:r>
        <w:rPr>
          <w:rFonts w:hint="default" w:ascii="Times New Roman" w:hAnsi="Times New Roman" w:eastAsia="仿宋_GB2312" w:cs="Times New Roman Regular"/>
          <w:color w:val="auto"/>
          <w:sz w:val="28"/>
          <w:highlight w:val="none"/>
        </w:rPr>
        <w:t>含</w:t>
      </w:r>
      <w:r>
        <w:rPr>
          <w:rFonts w:hint="default" w:ascii="Times New Roman" w:hAnsi="Times New Roman" w:eastAsia="仿宋_GB2312" w:cs="Times New Roman Regular"/>
          <w:color w:val="auto"/>
          <w:sz w:val="28"/>
          <w:highlight w:val="none"/>
          <w:lang w:val="en-US" w:eastAsia="zh-CN"/>
        </w:rPr>
        <w:t>5</w:t>
      </w:r>
      <w:r>
        <w:rPr>
          <w:rFonts w:hint="default" w:ascii="Times New Roman" w:hAnsi="Times New Roman" w:eastAsia="仿宋_GB2312" w:cs="Times New Roman Regular"/>
          <w:color w:val="auto"/>
          <w:sz w:val="28"/>
          <w:highlight w:val="none"/>
        </w:rPr>
        <w:t>个外省接入节点</w:t>
      </w:r>
      <w:r>
        <w:rPr>
          <w:rFonts w:hint="default" w:ascii="Times New Roman" w:hAnsi="Times New Roman" w:eastAsia="仿宋_GB2312" w:cs="Times New Roman Regular"/>
          <w:color w:val="auto"/>
          <w:sz w:val="28"/>
          <w:highlight w:val="none"/>
          <w:lang w:eastAsia="zh-CN"/>
        </w:rPr>
        <w:t>：</w:t>
      </w:r>
      <w:r>
        <w:rPr>
          <w:rFonts w:hint="default" w:ascii="Times New Roman" w:hAnsi="Times New Roman" w:eastAsia="仿宋_GB2312" w:cs="Times New Roman Regular"/>
          <w:color w:val="auto"/>
          <w:sz w:val="28"/>
          <w:highlight w:val="none"/>
        </w:rPr>
        <w:t>江苏盐城</w:t>
      </w:r>
      <w:r>
        <w:rPr>
          <w:rFonts w:hint="default" w:ascii="Times New Roman" w:hAnsi="Times New Roman" w:eastAsia="仿宋_GB2312" w:cs="Times New Roman Regular"/>
          <w:color w:val="auto"/>
          <w:sz w:val="28"/>
          <w:highlight w:val="none"/>
          <w:lang w:val="en-US" w:eastAsia="zh-CN"/>
        </w:rPr>
        <w:t>2个</w:t>
      </w:r>
      <w:r>
        <w:rPr>
          <w:rFonts w:hint="default" w:ascii="Times New Roman" w:hAnsi="Times New Roman" w:eastAsia="仿宋_GB2312" w:cs="Times New Roman Regular"/>
          <w:color w:val="auto"/>
          <w:sz w:val="28"/>
          <w:highlight w:val="none"/>
          <w:lang w:eastAsia="zh-CN"/>
        </w:rPr>
        <w:t>、</w:t>
      </w:r>
      <w:r>
        <w:rPr>
          <w:rFonts w:hint="default" w:ascii="Times New Roman" w:hAnsi="Times New Roman" w:eastAsia="仿宋_GB2312" w:cs="Times New Roman Regular"/>
          <w:color w:val="auto"/>
          <w:sz w:val="28"/>
          <w:highlight w:val="none"/>
          <w:lang w:val="en-US" w:eastAsia="zh-CN"/>
        </w:rPr>
        <w:t>无锡1</w:t>
      </w:r>
      <w:r>
        <w:rPr>
          <w:rFonts w:hint="default" w:ascii="Times New Roman" w:hAnsi="Times New Roman" w:eastAsia="仿宋_GB2312" w:cs="Times New Roman Regular"/>
          <w:color w:val="auto"/>
          <w:sz w:val="28"/>
          <w:highlight w:val="none"/>
        </w:rPr>
        <w:t>个</w:t>
      </w:r>
      <w:r>
        <w:rPr>
          <w:rFonts w:hint="default" w:ascii="Times New Roman" w:hAnsi="Times New Roman" w:eastAsia="仿宋_GB2312" w:cs="Times New Roman Regular"/>
          <w:color w:val="auto"/>
          <w:sz w:val="28"/>
          <w:highlight w:val="none"/>
          <w:lang w:eastAsia="zh-CN"/>
        </w:rPr>
        <w:t>，</w:t>
      </w:r>
      <w:r>
        <w:rPr>
          <w:rFonts w:hint="default" w:ascii="Times New Roman" w:hAnsi="Times New Roman" w:eastAsia="仿宋_GB2312" w:cs="Times New Roman Regular"/>
          <w:color w:val="auto"/>
          <w:sz w:val="28"/>
          <w:highlight w:val="none"/>
        </w:rPr>
        <w:t>安徽宣城</w:t>
      </w:r>
      <w:r>
        <w:rPr>
          <w:rFonts w:hint="default" w:ascii="Times New Roman" w:hAnsi="Times New Roman" w:eastAsia="仿宋_GB2312" w:cs="Times New Roman Regular"/>
          <w:color w:val="auto"/>
          <w:sz w:val="28"/>
          <w:highlight w:val="none"/>
          <w:lang w:val="en-US" w:eastAsia="zh-CN"/>
        </w:rPr>
        <w:t>2</w:t>
      </w:r>
      <w:r>
        <w:rPr>
          <w:rFonts w:hint="default" w:ascii="Times New Roman" w:hAnsi="Times New Roman" w:eastAsia="仿宋_GB2312" w:cs="Times New Roman Regular"/>
          <w:color w:val="auto"/>
          <w:sz w:val="28"/>
          <w:highlight w:val="none"/>
        </w:rPr>
        <w:t>个</w:t>
      </w:r>
      <w:r>
        <w:rPr>
          <w:rFonts w:hint="default" w:ascii="Times New Roman" w:hAnsi="Times New Roman" w:eastAsia="仿宋_GB2312" w:cs="Times New Roman Regular"/>
          <w:color w:val="auto"/>
          <w:sz w:val="28"/>
          <w:highlight w:val="none"/>
          <w:lang w:eastAsia="zh-CN"/>
        </w:rPr>
        <w:t>）</w:t>
      </w:r>
      <w:r>
        <w:rPr>
          <w:rFonts w:hint="default" w:ascii="Times New Roman" w:hAnsi="Times New Roman" w:eastAsia="仿宋_GB2312" w:cs="Times New Roman Regular"/>
          <w:color w:val="auto"/>
          <w:sz w:val="28"/>
          <w:highlight w:val="none"/>
        </w:rPr>
        <w:t>市级政务外网网络节点接入服务，满足用户带宽及网络通信要求。节点带宽分布如下：</w:t>
      </w:r>
    </w:p>
    <w:p w14:paraId="33DA96D5">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1M</w:t>
      </w:r>
      <w:r>
        <w:rPr>
          <w:rFonts w:hint="default" w:ascii="Times New Roman" w:hAnsi="Times New Roman" w:eastAsia="仿宋_GB2312" w:cs="Times New Roman Regular"/>
          <w:color w:val="auto"/>
          <w:highlight w:val="none"/>
          <w:lang w:val="en-US" w:eastAsia="zh-CN"/>
        </w:rPr>
        <w:t>~</w:t>
      </w:r>
      <w:r>
        <w:rPr>
          <w:rFonts w:hint="default" w:ascii="Times New Roman" w:hAnsi="Times New Roman" w:eastAsia="仿宋_GB2312" w:cs="Times New Roman Regular"/>
          <w:color w:val="auto"/>
          <w:highlight w:val="none"/>
        </w:rPr>
        <w:t>10M（含）带宽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highlight w:val="none"/>
        </w:rPr>
        <w:t>：704个</w:t>
      </w:r>
    </w:p>
    <w:p w14:paraId="398241E4">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10M</w:t>
      </w:r>
      <w:r>
        <w:rPr>
          <w:rFonts w:hint="default" w:ascii="Times New Roman" w:hAnsi="Times New Roman" w:eastAsia="仿宋_GB2312" w:cs="Times New Roman Regular"/>
          <w:color w:val="auto"/>
          <w:highlight w:val="none"/>
          <w:lang w:val="en-US" w:eastAsia="zh-CN"/>
        </w:rPr>
        <w:t>~</w:t>
      </w:r>
      <w:r>
        <w:rPr>
          <w:rFonts w:hint="default" w:ascii="Times New Roman" w:hAnsi="Times New Roman" w:eastAsia="仿宋_GB2312" w:cs="Times New Roman Regular"/>
          <w:color w:val="auto"/>
          <w:highlight w:val="none"/>
        </w:rPr>
        <w:t>100M（含）带宽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highlight w:val="none"/>
        </w:rPr>
        <w:t>：326个</w:t>
      </w:r>
    </w:p>
    <w:p w14:paraId="42963D3D">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100M</w:t>
      </w:r>
      <w:r>
        <w:rPr>
          <w:rFonts w:hint="default" w:ascii="Times New Roman" w:hAnsi="Times New Roman" w:eastAsia="仿宋_GB2312" w:cs="Times New Roman Regular"/>
          <w:color w:val="auto"/>
          <w:highlight w:val="none"/>
          <w:lang w:val="en-US" w:eastAsia="zh-CN"/>
        </w:rPr>
        <w:t>~</w:t>
      </w:r>
      <w:r>
        <w:rPr>
          <w:rFonts w:hint="default" w:ascii="Times New Roman" w:hAnsi="Times New Roman" w:eastAsia="仿宋_GB2312" w:cs="Times New Roman Regular"/>
          <w:color w:val="auto"/>
          <w:highlight w:val="none"/>
        </w:rPr>
        <w:t>1</w:t>
      </w:r>
      <w:r>
        <w:rPr>
          <w:rFonts w:hint="default" w:ascii="Times New Roman" w:hAnsi="Times New Roman" w:eastAsia="仿宋_GB2312" w:cs="Times New Roman Regular"/>
          <w:color w:val="auto"/>
          <w:highlight w:val="none"/>
          <w:lang w:val="en-US" w:eastAsia="zh-CN"/>
        </w:rPr>
        <w:t>G</w:t>
      </w:r>
      <w:r>
        <w:rPr>
          <w:rFonts w:hint="default" w:ascii="Times New Roman" w:hAnsi="Times New Roman" w:eastAsia="仿宋_GB2312" w:cs="Times New Roman Regular"/>
          <w:color w:val="auto"/>
          <w:highlight w:val="none"/>
        </w:rPr>
        <w:t>（含）带宽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highlight w:val="none"/>
        </w:rPr>
        <w:t>：269个</w:t>
      </w:r>
    </w:p>
    <w:p w14:paraId="19BAD247">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1</w:t>
      </w:r>
      <w:r>
        <w:rPr>
          <w:rFonts w:hint="default" w:ascii="Times New Roman" w:hAnsi="Times New Roman" w:eastAsia="仿宋_GB2312" w:cs="Times New Roman Regular"/>
          <w:color w:val="auto"/>
          <w:highlight w:val="none"/>
          <w:lang w:val="en-US" w:eastAsia="zh-CN"/>
        </w:rPr>
        <w:t>G~</w:t>
      </w:r>
      <w:r>
        <w:rPr>
          <w:rFonts w:hint="default" w:ascii="Times New Roman" w:hAnsi="Times New Roman" w:eastAsia="仿宋_GB2312" w:cs="Times New Roman Regular"/>
          <w:color w:val="auto"/>
          <w:highlight w:val="none"/>
        </w:rPr>
        <w:t>10</w:t>
      </w:r>
      <w:r>
        <w:rPr>
          <w:rFonts w:hint="default" w:ascii="Times New Roman" w:hAnsi="Times New Roman" w:eastAsia="仿宋_GB2312" w:cs="Times New Roman Regular"/>
          <w:color w:val="auto"/>
          <w:highlight w:val="none"/>
          <w:lang w:val="en-US" w:eastAsia="zh-CN"/>
        </w:rPr>
        <w:t>G</w:t>
      </w:r>
      <w:r>
        <w:rPr>
          <w:rFonts w:hint="default" w:ascii="Times New Roman" w:hAnsi="Times New Roman" w:eastAsia="仿宋_GB2312" w:cs="Times New Roman Regular"/>
          <w:color w:val="auto"/>
          <w:highlight w:val="none"/>
        </w:rPr>
        <w:t>（含）带宽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highlight w:val="none"/>
        </w:rPr>
        <w:t>：31个</w:t>
      </w:r>
    </w:p>
    <w:p w14:paraId="5BA4BA95">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10</w:t>
      </w:r>
      <w:r>
        <w:rPr>
          <w:rFonts w:hint="default" w:ascii="Times New Roman" w:hAnsi="Times New Roman" w:eastAsia="仿宋_GB2312" w:cs="Times New Roman Regular"/>
          <w:color w:val="auto"/>
          <w:highlight w:val="none"/>
          <w:lang w:val="en-US" w:eastAsia="zh-CN"/>
        </w:rPr>
        <w:t>G</w:t>
      </w:r>
      <w:r>
        <w:rPr>
          <w:rFonts w:hint="default" w:ascii="Times New Roman" w:hAnsi="Times New Roman" w:eastAsia="仿宋_GB2312" w:cs="Times New Roman Regular"/>
          <w:color w:val="auto"/>
          <w:highlight w:val="none"/>
        </w:rPr>
        <w:t>以上带宽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highlight w:val="none"/>
        </w:rPr>
        <w:t>：1个</w:t>
      </w:r>
    </w:p>
    <w:p w14:paraId="00E51A02">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除以上节点外，根据</w:t>
      </w:r>
      <w:r>
        <w:rPr>
          <w:rFonts w:hint="eastAsia" w:ascii="Times New Roman" w:hAnsi="Times New Roman" w:eastAsia="仿宋_GB2312" w:cs="Times New Roman Regular"/>
          <w:color w:val="auto"/>
          <w:highlight w:val="none"/>
          <w:lang w:eastAsia="zh-CN"/>
        </w:rPr>
        <w:t>采购人</w:t>
      </w:r>
      <w:r>
        <w:rPr>
          <w:rFonts w:hint="default" w:ascii="Times New Roman" w:hAnsi="Times New Roman" w:eastAsia="仿宋_GB2312" w:cs="Times New Roman Regular"/>
          <w:color w:val="auto"/>
          <w:highlight w:val="none"/>
        </w:rPr>
        <w:t>业务需求，在服务期内持续提供市级政务外网2</w:t>
      </w:r>
      <w:r>
        <w:rPr>
          <w:rFonts w:hint="default" w:ascii="Times New Roman" w:hAnsi="Times New Roman" w:eastAsia="仿宋_GB2312" w:cs="Times New Roman Regular"/>
          <w:color w:val="auto"/>
          <w:highlight w:val="none"/>
          <w:lang w:val="en-US" w:eastAsia="zh-CN"/>
        </w:rPr>
        <w:t>56</w:t>
      </w:r>
      <w:r>
        <w:rPr>
          <w:rFonts w:hint="default" w:ascii="Times New Roman" w:hAnsi="Times New Roman" w:eastAsia="仿宋_GB2312" w:cs="Times New Roman Regular"/>
          <w:color w:val="auto"/>
          <w:highlight w:val="none"/>
        </w:rPr>
        <w:t>个自付费用户节点的接入服务，满足自付费用户带宽及网络通信要求。节点带宽分布如下：</w:t>
      </w:r>
    </w:p>
    <w:p w14:paraId="3EA78594">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1M</w:t>
      </w:r>
      <w:r>
        <w:rPr>
          <w:rFonts w:hint="default" w:ascii="Times New Roman" w:hAnsi="Times New Roman" w:eastAsia="仿宋_GB2312" w:cs="Times New Roman Regular"/>
          <w:color w:val="auto"/>
          <w:highlight w:val="none"/>
          <w:lang w:val="en-US" w:eastAsia="zh-CN"/>
        </w:rPr>
        <w:t>~</w:t>
      </w:r>
      <w:r>
        <w:rPr>
          <w:rFonts w:hint="default" w:ascii="Times New Roman" w:hAnsi="Times New Roman" w:eastAsia="仿宋_GB2312" w:cs="Times New Roman Regular"/>
          <w:color w:val="auto"/>
          <w:highlight w:val="none"/>
        </w:rPr>
        <w:t>10M（含）带宽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highlight w:val="none"/>
        </w:rPr>
        <w:t>：178个</w:t>
      </w:r>
    </w:p>
    <w:p w14:paraId="548A5FBD">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10M</w:t>
      </w:r>
      <w:r>
        <w:rPr>
          <w:rFonts w:hint="default" w:ascii="Times New Roman" w:hAnsi="Times New Roman" w:eastAsia="仿宋_GB2312" w:cs="Times New Roman Regular"/>
          <w:color w:val="auto"/>
          <w:highlight w:val="none"/>
          <w:lang w:val="en-US" w:eastAsia="zh-CN"/>
        </w:rPr>
        <w:t>~</w:t>
      </w:r>
      <w:r>
        <w:rPr>
          <w:rFonts w:hint="default" w:ascii="Times New Roman" w:hAnsi="Times New Roman" w:eastAsia="仿宋_GB2312" w:cs="Times New Roman Regular"/>
          <w:color w:val="auto"/>
          <w:highlight w:val="none"/>
        </w:rPr>
        <w:t>100M（含）带宽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highlight w:val="none"/>
        </w:rPr>
        <w:t>：63个</w:t>
      </w:r>
    </w:p>
    <w:p w14:paraId="68EF67DE">
      <w:pPr>
        <w:jc w:val="both"/>
        <w:rPr>
          <w:rFonts w:hint="default" w:ascii="Times New Roman" w:hAnsi="Times New Roman" w:eastAsia="仿宋_GB2312" w:cs="Times New Roman Regular"/>
          <w:color w:val="auto"/>
          <w:highlight w:val="none"/>
        </w:rPr>
      </w:pPr>
      <w:r>
        <w:rPr>
          <w:rFonts w:hint="default" w:ascii="Times New Roman" w:hAnsi="Times New Roman" w:eastAsia="仿宋_GB2312" w:cs="Times New Roman Regular"/>
          <w:color w:val="auto"/>
          <w:highlight w:val="none"/>
        </w:rPr>
        <w:t>100M</w:t>
      </w:r>
      <w:r>
        <w:rPr>
          <w:rFonts w:hint="default" w:ascii="Times New Roman" w:hAnsi="Times New Roman" w:eastAsia="仿宋_GB2312" w:cs="Times New Roman Regular"/>
          <w:color w:val="auto"/>
          <w:highlight w:val="none"/>
          <w:lang w:val="en-US" w:eastAsia="zh-CN"/>
        </w:rPr>
        <w:t>~</w:t>
      </w:r>
      <w:r>
        <w:rPr>
          <w:rFonts w:hint="default" w:ascii="Times New Roman" w:hAnsi="Times New Roman" w:eastAsia="仿宋_GB2312" w:cs="Times New Roman Regular"/>
          <w:color w:val="auto"/>
          <w:highlight w:val="none"/>
        </w:rPr>
        <w:t>1</w:t>
      </w:r>
      <w:r>
        <w:rPr>
          <w:rFonts w:hint="default" w:ascii="Times New Roman" w:hAnsi="Times New Roman" w:eastAsia="仿宋_GB2312" w:cs="Times New Roman Regular"/>
          <w:color w:val="auto"/>
          <w:highlight w:val="none"/>
          <w:lang w:val="en-US" w:eastAsia="zh-CN"/>
        </w:rPr>
        <w:t>G</w:t>
      </w:r>
      <w:r>
        <w:rPr>
          <w:rFonts w:hint="default" w:ascii="Times New Roman" w:hAnsi="Times New Roman" w:eastAsia="仿宋_GB2312" w:cs="Times New Roman Regular"/>
          <w:color w:val="auto"/>
          <w:highlight w:val="none"/>
        </w:rPr>
        <w:t>（含）带宽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highlight w:val="none"/>
        </w:rPr>
        <w:t>：13个</w:t>
      </w:r>
    </w:p>
    <w:p w14:paraId="3A5D188C">
      <w:pPr>
        <w:pStyle w:val="63"/>
        <w:widowControl/>
        <w:numPr>
          <w:ilvl w:val="-1"/>
          <w:numId w:val="0"/>
        </w:numPr>
        <w:ind w:left="0" w:leftChars="0" w:firstLine="560"/>
        <w:rPr>
          <w:rFonts w:hint="default" w:ascii="Times New Roman" w:hAnsi="Times New Roman" w:eastAsia="仿宋_GB2312" w:cs="Times New Roman Regular"/>
          <w:color w:val="auto"/>
          <w:sz w:val="28"/>
          <w:highlight w:val="none"/>
        </w:rPr>
      </w:pPr>
      <w:r>
        <w:rPr>
          <w:rFonts w:hint="default" w:ascii="Times New Roman" w:hAnsi="Times New Roman" w:eastAsia="仿宋_GB2312" w:cs="Times New Roman Regular"/>
          <w:color w:val="auto"/>
          <w:sz w:val="28"/>
          <w:highlight w:val="none"/>
        </w:rPr>
        <w:t>1</w:t>
      </w:r>
      <w:r>
        <w:rPr>
          <w:rFonts w:hint="eastAsia" w:ascii="Times New Roman" w:hAnsi="Times New Roman" w:eastAsia="仿宋_GB2312" w:cs="Times New Roman Regular"/>
          <w:color w:val="auto"/>
          <w:sz w:val="28"/>
          <w:highlight w:val="none"/>
          <w:lang w:val="en-US" w:eastAsia="zh-CN"/>
        </w:rPr>
        <w:t>G</w:t>
      </w:r>
      <w:r>
        <w:rPr>
          <w:rFonts w:hint="default" w:ascii="Times New Roman" w:hAnsi="Times New Roman" w:eastAsia="仿宋_GB2312" w:cs="Times New Roman Regular"/>
          <w:color w:val="auto"/>
          <w:sz w:val="28"/>
          <w:highlight w:val="none"/>
          <w:lang w:val="en-US" w:eastAsia="zh-CN"/>
        </w:rPr>
        <w:t>~</w:t>
      </w:r>
      <w:r>
        <w:rPr>
          <w:rFonts w:hint="default" w:ascii="Times New Roman" w:hAnsi="Times New Roman" w:eastAsia="仿宋_GB2312" w:cs="Times New Roman Regular"/>
          <w:color w:val="auto"/>
          <w:sz w:val="28"/>
          <w:highlight w:val="none"/>
        </w:rPr>
        <w:t>10</w:t>
      </w:r>
      <w:r>
        <w:rPr>
          <w:rFonts w:hint="default" w:ascii="Times New Roman" w:hAnsi="Times New Roman" w:eastAsia="仿宋_GB2312" w:cs="Times New Roman Regular"/>
          <w:color w:val="auto"/>
          <w:sz w:val="28"/>
          <w:highlight w:val="none"/>
          <w:lang w:val="en-US" w:eastAsia="zh-CN"/>
        </w:rPr>
        <w:t>G</w:t>
      </w:r>
      <w:r>
        <w:rPr>
          <w:rFonts w:hint="default" w:ascii="Times New Roman" w:hAnsi="Times New Roman" w:eastAsia="仿宋_GB2312" w:cs="Times New Roman Regular"/>
          <w:color w:val="auto"/>
          <w:sz w:val="28"/>
          <w:highlight w:val="none"/>
        </w:rPr>
        <w:t>（含）带宽</w:t>
      </w:r>
      <w:r>
        <w:rPr>
          <w:rFonts w:hint="eastAsia" w:ascii="Times New Roman" w:hAnsi="Times New Roman" w:eastAsia="仿宋_GB2312" w:cs="Times New Roman Regular"/>
          <w:color w:val="auto"/>
          <w:highlight w:val="none"/>
          <w:lang w:val="en-US" w:eastAsia="zh-CN"/>
        </w:rPr>
        <w:t>节点</w:t>
      </w:r>
      <w:r>
        <w:rPr>
          <w:rFonts w:hint="default" w:ascii="Times New Roman" w:hAnsi="Times New Roman" w:eastAsia="仿宋_GB2312" w:cs="Times New Roman Regular"/>
          <w:color w:val="auto"/>
          <w:sz w:val="28"/>
          <w:highlight w:val="none"/>
        </w:rPr>
        <w:t>：2个</w:t>
      </w:r>
    </w:p>
    <w:p w14:paraId="1C677722">
      <w:pPr>
        <w:pStyle w:val="63"/>
        <w:ind w:firstLine="560"/>
        <w:rPr>
          <w:rFonts w:hint="default" w:ascii="Times New Roman" w:hAnsi="Times New Roman" w:eastAsia="仿宋_GB2312" w:cs="Times New Roman Regular"/>
          <w:color w:val="auto"/>
          <w:sz w:val="28"/>
          <w:szCs w:val="28"/>
          <w:highlight w:val="none"/>
        </w:rPr>
      </w:pPr>
      <w:r>
        <w:rPr>
          <w:rFonts w:hint="default" w:ascii="Times New Roman" w:hAnsi="Times New Roman" w:eastAsia="仿宋_GB2312" w:cs="Times New Roman Regular"/>
          <w:color w:val="auto"/>
          <w:sz w:val="28"/>
          <w:highlight w:val="none"/>
        </w:rPr>
        <w:t>中标人</w:t>
      </w:r>
      <w:r>
        <w:rPr>
          <w:rFonts w:hint="default" w:ascii="Times New Roman" w:hAnsi="Times New Roman" w:eastAsia="仿宋_GB2312" w:cs="Times New Roman Regular"/>
          <w:color w:val="auto"/>
          <w:sz w:val="28"/>
          <w:highlight w:val="none"/>
          <w:lang w:val="en-US" w:eastAsia="zh-CN"/>
        </w:rPr>
        <w:t>须</w:t>
      </w:r>
      <w:r>
        <w:rPr>
          <w:rFonts w:hint="default" w:ascii="Times New Roman" w:hAnsi="Times New Roman" w:eastAsia="仿宋_GB2312" w:cs="Times New Roman Regular"/>
          <w:color w:val="auto"/>
          <w:sz w:val="28"/>
          <w:highlight w:val="none"/>
        </w:rPr>
        <w:t>自</w:t>
      </w:r>
      <w:r>
        <w:rPr>
          <w:rFonts w:hint="default" w:ascii="Times New Roman" w:hAnsi="Times New Roman" w:eastAsia="仿宋_GB2312" w:cs="Times New Roman Regular"/>
          <w:color w:val="auto"/>
          <w:sz w:val="28"/>
          <w:highlight w:val="none"/>
          <w:lang w:val="en-US" w:eastAsia="zh-CN"/>
        </w:rPr>
        <w:t>本服务期起始之日起</w:t>
      </w:r>
      <w:r>
        <w:rPr>
          <w:rFonts w:hint="default" w:ascii="Times New Roman" w:hAnsi="Times New Roman" w:eastAsia="仿宋_GB2312" w:cs="Times New Roman Regular"/>
          <w:color w:val="auto"/>
          <w:sz w:val="28"/>
          <w:highlight w:val="none"/>
        </w:rPr>
        <w:t>，</w:t>
      </w:r>
      <w:r>
        <w:rPr>
          <w:rFonts w:hint="default" w:ascii="Times New Roman" w:hAnsi="Times New Roman" w:eastAsia="仿宋_GB2312" w:cs="Times New Roman Regular"/>
          <w:color w:val="auto"/>
          <w:sz w:val="28"/>
          <w:highlight w:val="none"/>
          <w:lang w:val="en-US" w:eastAsia="zh-CN"/>
        </w:rPr>
        <w:t>严格</w:t>
      </w:r>
      <w:r>
        <w:rPr>
          <w:rFonts w:hint="default" w:ascii="Times New Roman" w:hAnsi="Times New Roman" w:eastAsia="仿宋_GB2312" w:cs="Times New Roman Regular"/>
          <w:color w:val="auto"/>
          <w:sz w:val="28"/>
          <w:highlight w:val="none"/>
        </w:rPr>
        <w:t>按</w:t>
      </w:r>
      <w:r>
        <w:rPr>
          <w:rFonts w:hint="default" w:ascii="Times New Roman" w:hAnsi="Times New Roman" w:eastAsia="仿宋_GB2312" w:cs="Times New Roman Regular"/>
          <w:color w:val="auto"/>
          <w:sz w:val="28"/>
          <w:highlight w:val="none"/>
          <w:lang w:val="en-US" w:eastAsia="zh-CN"/>
        </w:rPr>
        <w:t>照</w:t>
      </w:r>
      <w:r>
        <w:rPr>
          <w:rFonts w:hint="default" w:ascii="Times New Roman" w:hAnsi="Times New Roman" w:eastAsia="仿宋_GB2312" w:cs="Times New Roman Regular"/>
          <w:color w:val="auto"/>
          <w:sz w:val="28"/>
          <w:highlight w:val="none"/>
        </w:rPr>
        <w:t>招标</w:t>
      </w:r>
      <w:r>
        <w:rPr>
          <w:rFonts w:hint="default" w:ascii="Times New Roman" w:hAnsi="Times New Roman" w:eastAsia="仿宋_GB2312" w:cs="Times New Roman Regular"/>
          <w:color w:val="auto"/>
          <w:sz w:val="28"/>
          <w:highlight w:val="none"/>
          <w:lang w:val="en-US" w:eastAsia="zh-CN"/>
        </w:rPr>
        <w:t>要</w:t>
      </w:r>
      <w:r>
        <w:rPr>
          <w:rFonts w:hint="default" w:ascii="Times New Roman" w:hAnsi="Times New Roman" w:eastAsia="仿宋_GB2312" w:cs="Times New Roman Regular"/>
          <w:color w:val="auto"/>
          <w:sz w:val="28"/>
          <w:highlight w:val="none"/>
        </w:rPr>
        <w:t>求</w:t>
      </w:r>
      <w:r>
        <w:rPr>
          <w:rFonts w:hint="default" w:ascii="Times New Roman" w:hAnsi="Times New Roman" w:eastAsia="仿宋_GB2312" w:cs="Times New Roman Regular"/>
          <w:color w:val="auto"/>
          <w:sz w:val="28"/>
          <w:highlight w:val="none"/>
          <w:lang w:eastAsia="zh-CN"/>
        </w:rPr>
        <w:t>，</w:t>
      </w:r>
      <w:r>
        <w:rPr>
          <w:rFonts w:hint="default" w:ascii="Times New Roman" w:hAnsi="Times New Roman" w:eastAsia="仿宋_GB2312" w:cs="Times New Roman Regular"/>
          <w:color w:val="auto"/>
          <w:sz w:val="28"/>
          <w:highlight w:val="none"/>
        </w:rPr>
        <w:t>为</w:t>
      </w:r>
      <w:r>
        <w:rPr>
          <w:rFonts w:hint="default" w:ascii="Times New Roman" w:hAnsi="Times New Roman" w:eastAsia="仿宋_GB2312" w:cs="Times New Roman Regular"/>
          <w:color w:val="auto"/>
          <w:sz w:val="28"/>
          <w:highlight w:val="none"/>
          <w:lang w:val="en-US" w:eastAsia="zh-CN"/>
        </w:rPr>
        <w:t>所有现网</w:t>
      </w:r>
      <w:r>
        <w:rPr>
          <w:rFonts w:hint="default" w:ascii="Times New Roman" w:hAnsi="Times New Roman" w:eastAsia="仿宋_GB2312" w:cs="Times New Roman Regular"/>
          <w:color w:val="auto"/>
          <w:sz w:val="28"/>
          <w:highlight w:val="none"/>
        </w:rPr>
        <w:t>政务外网用户</w:t>
      </w:r>
      <w:r>
        <w:rPr>
          <w:rFonts w:hint="default" w:ascii="Times New Roman" w:hAnsi="Times New Roman" w:eastAsia="仿宋_GB2312" w:cs="Times New Roman Regular"/>
          <w:color w:val="auto"/>
          <w:sz w:val="28"/>
          <w:highlight w:val="none"/>
          <w:lang w:val="en-US" w:eastAsia="zh-CN"/>
        </w:rPr>
        <w:t>节点</w:t>
      </w:r>
      <w:r>
        <w:rPr>
          <w:rFonts w:hint="default" w:ascii="Times New Roman" w:hAnsi="Times New Roman" w:eastAsia="仿宋_GB2312" w:cs="Times New Roman Regular"/>
          <w:color w:val="auto"/>
          <w:sz w:val="28"/>
          <w:highlight w:val="none"/>
        </w:rPr>
        <w:t>，</w:t>
      </w:r>
      <w:r>
        <w:rPr>
          <w:rFonts w:hint="default" w:ascii="Times New Roman" w:hAnsi="Times New Roman" w:eastAsia="仿宋_GB2312" w:cs="Times New Roman Regular"/>
          <w:color w:val="auto"/>
          <w:sz w:val="28"/>
          <w:highlight w:val="none"/>
          <w:lang w:val="en-US" w:eastAsia="zh-CN"/>
        </w:rPr>
        <w:t>以及后续</w:t>
      </w:r>
      <w:r>
        <w:rPr>
          <w:rFonts w:hint="default" w:ascii="Times New Roman" w:hAnsi="Times New Roman" w:eastAsia="仿宋_GB2312" w:cs="Times New Roman Regular"/>
          <w:color w:val="auto"/>
          <w:sz w:val="28"/>
          <w:highlight w:val="none"/>
        </w:rPr>
        <w:t>新增节点提供专用网络通信服务，并承诺在服务周期内，</w:t>
      </w:r>
      <w:r>
        <w:rPr>
          <w:rFonts w:hint="default" w:ascii="Times New Roman" w:hAnsi="Times New Roman" w:eastAsia="仿宋_GB2312" w:cs="Times New Roman Regular"/>
          <w:color w:val="auto"/>
          <w:sz w:val="28"/>
          <w:highlight w:val="none"/>
          <w:lang w:val="en-US" w:eastAsia="zh-CN"/>
        </w:rPr>
        <w:t>能够</w:t>
      </w:r>
      <w:r>
        <w:rPr>
          <w:rFonts w:hint="default" w:ascii="Times New Roman" w:hAnsi="Times New Roman" w:eastAsia="仿宋_GB2312" w:cs="Times New Roman Regular"/>
          <w:color w:val="auto"/>
          <w:sz w:val="28"/>
          <w:highlight w:val="none"/>
        </w:rPr>
        <w:t>根据政务外网用户的实际应用需</w:t>
      </w:r>
      <w:r>
        <w:rPr>
          <w:rFonts w:hint="default" w:ascii="Times New Roman" w:hAnsi="Times New Roman" w:eastAsia="仿宋_GB2312" w:cs="Times New Roman Regular"/>
          <w:color w:val="auto"/>
          <w:sz w:val="28"/>
          <w:highlight w:val="none"/>
          <w:lang w:val="en-US" w:eastAsia="zh-CN"/>
        </w:rPr>
        <w:t>求及</w:t>
      </w:r>
      <w:r>
        <w:rPr>
          <w:rFonts w:hint="default" w:ascii="Times New Roman" w:hAnsi="Times New Roman" w:eastAsia="仿宋_GB2312" w:cs="Times New Roman Regular"/>
          <w:color w:val="auto"/>
          <w:sz w:val="28"/>
          <w:highlight w:val="none"/>
        </w:rPr>
        <w:t>开通服务</w:t>
      </w:r>
      <w:r>
        <w:rPr>
          <w:rFonts w:hint="default" w:ascii="Times New Roman" w:hAnsi="Times New Roman" w:eastAsia="仿宋_GB2312" w:cs="Times New Roman Regular"/>
          <w:color w:val="auto"/>
          <w:sz w:val="28"/>
          <w:highlight w:val="none"/>
          <w:lang w:val="en-US" w:eastAsia="zh-CN"/>
        </w:rPr>
        <w:t>时限</w:t>
      </w:r>
      <w:r>
        <w:rPr>
          <w:rFonts w:hint="default" w:ascii="Times New Roman" w:hAnsi="Times New Roman" w:eastAsia="仿宋_GB2312" w:cs="Times New Roman Regular"/>
          <w:color w:val="auto"/>
          <w:sz w:val="28"/>
          <w:highlight w:val="none"/>
        </w:rPr>
        <w:t>要求，</w:t>
      </w:r>
      <w:r>
        <w:rPr>
          <w:rFonts w:hint="default" w:ascii="Times New Roman" w:hAnsi="Times New Roman" w:eastAsia="仿宋_GB2312" w:cs="Times New Roman Regular"/>
          <w:color w:val="auto"/>
          <w:sz w:val="28"/>
          <w:highlight w:val="none"/>
          <w:lang w:val="en-US" w:eastAsia="zh-CN"/>
        </w:rPr>
        <w:t>及时开通相应</w:t>
      </w:r>
      <w:r>
        <w:rPr>
          <w:rFonts w:hint="default" w:ascii="Times New Roman" w:hAnsi="Times New Roman" w:eastAsia="仿宋_GB2312" w:cs="Times New Roman Regular"/>
          <w:color w:val="auto"/>
          <w:sz w:val="28"/>
          <w:highlight w:val="none"/>
        </w:rPr>
        <w:t>服务。</w:t>
      </w:r>
    </w:p>
    <w:p w14:paraId="247C9AAD">
      <w:pPr>
        <w:pStyle w:val="2"/>
        <w:tabs>
          <w:tab w:val="left" w:pos="360"/>
        </w:tabs>
        <w:jc w:val="both"/>
        <w:rPr>
          <w:rFonts w:ascii="Times New Roman" w:hAnsi="Times New Roman"/>
          <w:color w:val="auto"/>
          <w:highlight w:val="none"/>
        </w:rPr>
      </w:pPr>
      <w:bookmarkStart w:id="27" w:name="_Toc6002"/>
      <w:bookmarkStart w:id="28" w:name="_Toc14434"/>
      <w:bookmarkStart w:id="29" w:name="_Toc26199"/>
      <w:bookmarkStart w:id="30" w:name="_Toc12643"/>
      <w:bookmarkStart w:id="31" w:name="_Toc15213"/>
      <w:bookmarkStart w:id="32" w:name="_Toc13243"/>
      <w:r>
        <w:rPr>
          <w:rFonts w:hint="eastAsia" w:ascii="Times New Roman" w:hAnsi="Times New Roman"/>
          <w:color w:val="auto"/>
          <w:highlight w:val="none"/>
        </w:rPr>
        <w:t>技术要求</w:t>
      </w:r>
      <w:bookmarkEnd w:id="27"/>
      <w:bookmarkEnd w:id="28"/>
      <w:bookmarkEnd w:id="29"/>
      <w:bookmarkEnd w:id="30"/>
      <w:bookmarkEnd w:id="31"/>
      <w:bookmarkEnd w:id="32"/>
    </w:p>
    <w:p w14:paraId="5B7D716C">
      <w:pPr>
        <w:pStyle w:val="3"/>
        <w:jc w:val="both"/>
        <w:rPr>
          <w:rFonts w:ascii="Times New Roman" w:hAnsi="Times New Roman"/>
          <w:color w:val="auto"/>
          <w:highlight w:val="none"/>
        </w:rPr>
      </w:pPr>
      <w:bookmarkStart w:id="33" w:name="_Toc1838"/>
      <w:bookmarkStart w:id="34" w:name="_Toc27415"/>
      <w:bookmarkStart w:id="35" w:name="_Toc15845"/>
      <w:bookmarkStart w:id="36" w:name="_Toc13761"/>
      <w:bookmarkStart w:id="37" w:name="_Toc26791"/>
      <w:bookmarkStart w:id="38" w:name="_Toc24894"/>
      <w:r>
        <w:rPr>
          <w:rFonts w:hint="eastAsia" w:ascii="Times New Roman" w:hAnsi="Times New Roman"/>
          <w:color w:val="auto"/>
          <w:highlight w:val="none"/>
        </w:rPr>
        <w:t>整体技术要求</w:t>
      </w:r>
      <w:bookmarkEnd w:id="33"/>
      <w:bookmarkEnd w:id="34"/>
      <w:bookmarkEnd w:id="35"/>
      <w:bookmarkEnd w:id="36"/>
      <w:bookmarkEnd w:id="37"/>
      <w:bookmarkEnd w:id="38"/>
    </w:p>
    <w:p w14:paraId="0B28B5DF">
      <w:pPr>
        <w:pStyle w:val="63"/>
        <w:spacing w:line="560" w:lineRule="exact"/>
        <w:ind w:firstLine="56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投标人</w:t>
      </w:r>
      <w:r>
        <w:rPr>
          <w:rFonts w:hint="eastAsia" w:ascii="Times New Roman" w:hAnsi="Times New Roman" w:eastAsia="仿宋_GB2312"/>
          <w:color w:val="auto"/>
          <w:sz w:val="28"/>
          <w:highlight w:val="none"/>
          <w:lang w:val="en-US" w:eastAsia="zh-CN"/>
        </w:rPr>
        <w:t>须深入理解</w:t>
      </w:r>
      <w:r>
        <w:rPr>
          <w:rFonts w:hint="eastAsia" w:ascii="Times New Roman" w:hAnsi="Times New Roman" w:eastAsia="仿宋_GB2312"/>
          <w:color w:val="auto"/>
          <w:sz w:val="28"/>
          <w:highlight w:val="none"/>
        </w:rPr>
        <w:t>政务外网业务需求</w:t>
      </w:r>
      <w:r>
        <w:rPr>
          <w:rFonts w:hint="eastAsia" w:ascii="Times New Roman" w:hAnsi="Times New Roman" w:eastAsia="仿宋_GB2312"/>
          <w:color w:val="auto"/>
          <w:sz w:val="28"/>
          <w:highlight w:val="none"/>
          <w:lang w:val="en-US" w:eastAsia="zh-CN"/>
        </w:rPr>
        <w:t>与</w:t>
      </w:r>
      <w:r>
        <w:rPr>
          <w:rFonts w:hint="eastAsia" w:ascii="Times New Roman" w:hAnsi="Times New Roman" w:eastAsia="仿宋_GB2312"/>
          <w:color w:val="auto"/>
          <w:sz w:val="28"/>
          <w:highlight w:val="none"/>
        </w:rPr>
        <w:t>发展</w:t>
      </w:r>
      <w:r>
        <w:rPr>
          <w:rFonts w:hint="eastAsia" w:ascii="Times New Roman" w:hAnsi="Times New Roman" w:eastAsia="仿宋_GB2312"/>
          <w:color w:val="auto"/>
          <w:sz w:val="28"/>
          <w:highlight w:val="none"/>
          <w:lang w:val="en-US" w:eastAsia="zh-CN"/>
        </w:rPr>
        <w:t>趋势</w:t>
      </w:r>
      <w:r>
        <w:rPr>
          <w:rFonts w:hint="eastAsia" w:ascii="Times New Roman" w:hAnsi="Times New Roman" w:eastAsia="仿宋_GB2312"/>
          <w:color w:val="auto"/>
          <w:sz w:val="28"/>
          <w:highlight w:val="none"/>
        </w:rPr>
        <w:t>，</w:t>
      </w:r>
      <w:r>
        <w:rPr>
          <w:rFonts w:hint="eastAsia" w:ascii="Times New Roman" w:hAnsi="Times New Roman" w:eastAsia="仿宋_GB2312"/>
          <w:color w:val="auto"/>
          <w:sz w:val="28"/>
          <w:highlight w:val="none"/>
          <w:lang w:val="en-US" w:eastAsia="zh-CN"/>
        </w:rPr>
        <w:t>准确把握</w:t>
      </w:r>
      <w:r>
        <w:rPr>
          <w:rFonts w:hint="eastAsia" w:ascii="Times New Roman" w:hAnsi="Times New Roman" w:eastAsia="仿宋_GB2312"/>
          <w:color w:val="auto"/>
          <w:sz w:val="28"/>
          <w:highlight w:val="none"/>
        </w:rPr>
        <w:t>本项目具体需求，提供</w:t>
      </w:r>
      <w:r>
        <w:rPr>
          <w:rFonts w:hint="eastAsia" w:ascii="Times New Roman" w:hAnsi="Times New Roman" w:eastAsia="仿宋_GB2312"/>
          <w:color w:val="auto"/>
          <w:sz w:val="28"/>
          <w:highlight w:val="none"/>
          <w:lang w:val="en-US" w:eastAsia="zh-CN"/>
        </w:rPr>
        <w:t>涵盖</w:t>
      </w:r>
      <w:r>
        <w:rPr>
          <w:rFonts w:hint="eastAsia" w:ascii="Times New Roman" w:hAnsi="Times New Roman" w:eastAsia="仿宋_GB2312"/>
          <w:color w:val="auto"/>
          <w:sz w:val="28"/>
          <w:highlight w:val="none"/>
        </w:rPr>
        <w:t>网络总体设计方案、技术架构、业务规划、拓扑设计、设备配置数量、分层设计及功能性能设计等</w:t>
      </w:r>
      <w:r>
        <w:rPr>
          <w:rFonts w:hint="eastAsia" w:ascii="Times New Roman" w:hAnsi="Times New Roman" w:eastAsia="仿宋_GB2312"/>
          <w:color w:val="auto"/>
          <w:sz w:val="28"/>
          <w:highlight w:val="none"/>
          <w:lang w:val="en-US" w:eastAsia="zh-CN"/>
        </w:rPr>
        <w:t>的完整技术方案。该方案需</w:t>
      </w:r>
      <w:r>
        <w:rPr>
          <w:rFonts w:hint="eastAsia" w:ascii="Times New Roman" w:hAnsi="Times New Roman" w:eastAsia="仿宋_GB2312"/>
          <w:color w:val="auto"/>
          <w:sz w:val="28"/>
          <w:highlight w:val="none"/>
        </w:rPr>
        <w:t>满足带宽需求，符合适度先进性、合理性、可靠性及安全隔离性等要求，</w:t>
      </w:r>
      <w:r>
        <w:rPr>
          <w:rFonts w:hint="eastAsia" w:ascii="Times New Roman" w:hAnsi="Times New Roman" w:eastAsia="仿宋_GB2312"/>
          <w:color w:val="auto"/>
          <w:sz w:val="28"/>
          <w:highlight w:val="none"/>
          <w:lang w:val="en-US" w:eastAsia="zh-CN"/>
        </w:rPr>
        <w:t>并确保服务</w:t>
      </w:r>
      <w:r>
        <w:rPr>
          <w:rFonts w:hint="eastAsia" w:ascii="Times New Roman" w:hAnsi="Times New Roman" w:eastAsia="仿宋_GB2312"/>
          <w:color w:val="auto"/>
          <w:sz w:val="28"/>
          <w:highlight w:val="none"/>
        </w:rPr>
        <w:t>有效</w:t>
      </w:r>
      <w:r>
        <w:rPr>
          <w:rFonts w:hint="eastAsia" w:ascii="Times New Roman" w:hAnsi="Times New Roman" w:eastAsia="仿宋_GB2312"/>
          <w:color w:val="auto"/>
          <w:sz w:val="28"/>
          <w:highlight w:val="none"/>
          <w:lang w:val="en-US" w:eastAsia="zh-CN"/>
        </w:rPr>
        <w:t>支撑构建一个</w:t>
      </w:r>
      <w:r>
        <w:rPr>
          <w:rFonts w:hint="eastAsia" w:ascii="Times New Roman" w:hAnsi="Times New Roman" w:eastAsia="仿宋_GB2312"/>
          <w:color w:val="auto"/>
          <w:sz w:val="28"/>
          <w:highlight w:val="none"/>
        </w:rPr>
        <w:t>高可用、强扩展、适度超前、管理功能优秀的市级政务外网。</w:t>
      </w:r>
    </w:p>
    <w:p w14:paraId="683F7025">
      <w:pPr>
        <w:pStyle w:val="63"/>
        <w:spacing w:line="560" w:lineRule="exact"/>
        <w:ind w:firstLine="560"/>
        <w:rPr>
          <w:rStyle w:val="42"/>
          <w:rFonts w:ascii="Times New Roman" w:hAnsi="Times New Roman"/>
          <w:color w:val="auto"/>
          <w:sz w:val="28"/>
          <w:szCs w:val="28"/>
          <w:highlight w:val="none"/>
        </w:rPr>
      </w:pPr>
      <w:r>
        <w:rPr>
          <w:rFonts w:hint="eastAsia" w:ascii="Times New Roman" w:hAnsi="Times New Roman" w:eastAsia="仿宋_GB2312"/>
          <w:color w:val="auto"/>
          <w:sz w:val="28"/>
          <w:highlight w:val="none"/>
        </w:rPr>
        <w:t>网络整体</w:t>
      </w:r>
      <w:r>
        <w:rPr>
          <w:rFonts w:hint="eastAsia" w:ascii="Times New Roman" w:hAnsi="Times New Roman" w:eastAsia="仿宋_GB2312"/>
          <w:color w:val="auto"/>
          <w:sz w:val="28"/>
          <w:highlight w:val="none"/>
          <w:lang w:val="en-US" w:eastAsia="zh-CN"/>
        </w:rPr>
        <w:t>采用</w:t>
      </w:r>
      <w:r>
        <w:rPr>
          <w:rFonts w:hint="eastAsia" w:ascii="Times New Roman" w:hAnsi="Times New Roman" w:eastAsia="仿宋_GB2312"/>
          <w:color w:val="auto"/>
          <w:sz w:val="28"/>
          <w:highlight w:val="none"/>
        </w:rPr>
        <w:t>核心层、汇聚层</w:t>
      </w:r>
      <w:r>
        <w:rPr>
          <w:rFonts w:hint="eastAsia" w:ascii="Times New Roman" w:hAnsi="Times New Roman" w:eastAsia="仿宋_GB2312"/>
          <w:color w:val="auto"/>
          <w:sz w:val="28"/>
          <w:highlight w:val="none"/>
          <w:lang w:val="en-US" w:eastAsia="zh-CN"/>
        </w:rPr>
        <w:t>与</w:t>
      </w:r>
      <w:r>
        <w:rPr>
          <w:rFonts w:hint="eastAsia" w:ascii="Times New Roman" w:hAnsi="Times New Roman" w:eastAsia="仿宋_GB2312"/>
          <w:color w:val="auto"/>
          <w:sz w:val="28"/>
          <w:highlight w:val="none"/>
        </w:rPr>
        <w:t>接入层三层</w:t>
      </w:r>
      <w:r>
        <w:rPr>
          <w:rFonts w:hint="eastAsia" w:ascii="Times New Roman" w:hAnsi="Times New Roman" w:eastAsia="仿宋_GB2312"/>
          <w:color w:val="auto"/>
          <w:sz w:val="28"/>
          <w:highlight w:val="none"/>
          <w:lang w:val="en-US" w:eastAsia="zh-CN"/>
        </w:rPr>
        <w:t>架构</w:t>
      </w:r>
      <w:r>
        <w:rPr>
          <w:rFonts w:hint="eastAsia" w:ascii="Times New Roman" w:hAnsi="Times New Roman" w:eastAsia="仿宋_GB2312"/>
          <w:color w:val="auto"/>
          <w:sz w:val="28"/>
          <w:highlight w:val="none"/>
        </w:rPr>
        <w:t>。</w:t>
      </w:r>
      <w:r>
        <w:rPr>
          <w:rFonts w:hint="eastAsia" w:ascii="Times New Roman" w:hAnsi="Times New Roman" w:eastAsia="仿宋_GB2312"/>
          <w:color w:val="auto"/>
          <w:sz w:val="28"/>
          <w:highlight w:val="none"/>
          <w:lang w:val="en-US" w:eastAsia="zh-CN"/>
        </w:rPr>
        <w:t>鉴于</w:t>
      </w:r>
      <w:r>
        <w:rPr>
          <w:rFonts w:hint="eastAsia" w:ascii="Times New Roman" w:hAnsi="Times New Roman" w:eastAsia="仿宋_GB2312"/>
          <w:color w:val="auto"/>
          <w:sz w:val="28"/>
          <w:highlight w:val="none"/>
        </w:rPr>
        <w:t>本项目服务区域覆盖上海市</w:t>
      </w:r>
      <w:r>
        <w:rPr>
          <w:rFonts w:hint="eastAsia" w:ascii="Times New Roman" w:hAnsi="Times New Roman" w:eastAsia="仿宋_GB2312"/>
          <w:color w:val="auto"/>
          <w:sz w:val="28"/>
          <w:highlight w:val="none"/>
          <w:lang w:val="en-US" w:eastAsia="zh-CN"/>
        </w:rPr>
        <w:t>全域</w:t>
      </w:r>
      <w:r>
        <w:rPr>
          <w:rFonts w:hint="eastAsia" w:ascii="Times New Roman" w:hAnsi="Times New Roman" w:eastAsia="仿宋_GB2312"/>
          <w:color w:val="auto"/>
          <w:sz w:val="28"/>
          <w:highlight w:val="none"/>
        </w:rPr>
        <w:t>，要求服务商</w:t>
      </w:r>
      <w:r>
        <w:rPr>
          <w:rFonts w:hint="eastAsia" w:ascii="Times New Roman" w:hAnsi="Times New Roman" w:eastAsia="仿宋_GB2312"/>
          <w:color w:val="auto"/>
          <w:sz w:val="28"/>
          <w:highlight w:val="none"/>
          <w:lang w:val="en-US" w:eastAsia="zh-CN"/>
        </w:rPr>
        <w:t>部署的</w:t>
      </w:r>
      <w:r>
        <w:rPr>
          <w:rFonts w:hint="eastAsia" w:ascii="Times New Roman" w:hAnsi="Times New Roman" w:eastAsia="仿宋_GB2312"/>
          <w:color w:val="auto"/>
          <w:sz w:val="28"/>
          <w:highlight w:val="none"/>
        </w:rPr>
        <w:t>核心节点不少于</w:t>
      </w:r>
      <w:r>
        <w:rPr>
          <w:rFonts w:ascii="Times New Roman" w:hAnsi="Times New Roman" w:eastAsia="仿宋_GB2312"/>
          <w:color w:val="auto"/>
          <w:sz w:val="28"/>
          <w:highlight w:val="none"/>
        </w:rPr>
        <w:t>4</w:t>
      </w:r>
      <w:r>
        <w:rPr>
          <w:rFonts w:hint="eastAsia" w:ascii="Times New Roman" w:hAnsi="Times New Roman" w:eastAsia="仿宋_GB2312"/>
          <w:color w:val="auto"/>
          <w:sz w:val="28"/>
          <w:highlight w:val="none"/>
        </w:rPr>
        <w:t>个（</w:t>
      </w:r>
      <w:r>
        <w:rPr>
          <w:rFonts w:hint="eastAsia" w:ascii="Times New Roman" w:hAnsi="Times New Roman" w:eastAsia="仿宋_GB2312"/>
          <w:color w:val="auto"/>
          <w:sz w:val="28"/>
          <w:highlight w:val="none"/>
          <w:lang w:val="en-US" w:eastAsia="zh-CN"/>
        </w:rPr>
        <w:t>以满足</w:t>
      </w:r>
      <w:r>
        <w:rPr>
          <w:rFonts w:hint="eastAsia" w:ascii="Times New Roman" w:hAnsi="Times New Roman" w:eastAsia="仿宋_GB2312"/>
          <w:color w:val="auto"/>
          <w:sz w:val="28"/>
          <w:highlight w:val="none"/>
        </w:rPr>
        <w:t>全网一网双平面主备设计及核心节点光传输成环要求），汇聚节点不少于</w:t>
      </w:r>
      <w:r>
        <w:rPr>
          <w:rFonts w:ascii="Times New Roman" w:hAnsi="Times New Roman" w:eastAsia="仿宋_GB2312"/>
          <w:color w:val="auto"/>
          <w:sz w:val="28"/>
          <w:highlight w:val="none"/>
        </w:rPr>
        <w:t>20</w:t>
      </w:r>
      <w:r>
        <w:rPr>
          <w:rFonts w:hint="eastAsia" w:ascii="Times New Roman" w:hAnsi="Times New Roman" w:eastAsia="仿宋_GB2312"/>
          <w:color w:val="auto"/>
          <w:sz w:val="28"/>
          <w:highlight w:val="none"/>
        </w:rPr>
        <w:t>个</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其中</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汇聚节点</w:t>
      </w:r>
      <w:r>
        <w:rPr>
          <w:rFonts w:hint="eastAsia" w:ascii="Times New Roman" w:hAnsi="Times New Roman" w:eastAsia="仿宋_GB2312"/>
          <w:color w:val="auto"/>
          <w:sz w:val="28"/>
          <w:highlight w:val="none"/>
          <w:lang w:val="en-US" w:eastAsia="zh-CN"/>
        </w:rPr>
        <w:t>需确保</w:t>
      </w:r>
      <w:r>
        <w:rPr>
          <w:rFonts w:hint="eastAsia" w:ascii="Times New Roman" w:hAnsi="Times New Roman" w:eastAsia="仿宋_GB2312"/>
          <w:color w:val="auto"/>
          <w:sz w:val="28"/>
          <w:highlight w:val="none"/>
        </w:rPr>
        <w:t>每区至少设置</w:t>
      </w:r>
      <w:r>
        <w:rPr>
          <w:rFonts w:ascii="Times New Roman" w:hAnsi="Times New Roman" w:eastAsia="仿宋_GB2312"/>
          <w:color w:val="auto"/>
          <w:sz w:val="28"/>
          <w:highlight w:val="none"/>
        </w:rPr>
        <w:t>1</w:t>
      </w:r>
      <w:r>
        <w:rPr>
          <w:rFonts w:hint="eastAsia" w:ascii="Times New Roman" w:hAnsi="Times New Roman" w:eastAsia="仿宋_GB2312"/>
          <w:color w:val="auto"/>
          <w:sz w:val="28"/>
          <w:highlight w:val="none"/>
        </w:rPr>
        <w:t>个（考虑</w:t>
      </w:r>
      <w:r>
        <w:rPr>
          <w:rFonts w:hint="eastAsia" w:ascii="Times New Roman" w:hAnsi="Times New Roman" w:eastAsia="仿宋_GB2312"/>
          <w:color w:val="auto"/>
          <w:sz w:val="28"/>
          <w:highlight w:val="none"/>
          <w:lang w:val="en-US" w:eastAsia="zh-CN"/>
        </w:rPr>
        <w:t>到</w:t>
      </w:r>
      <w:r>
        <w:rPr>
          <w:rFonts w:hint="eastAsia" w:ascii="Times New Roman" w:hAnsi="Times New Roman" w:eastAsia="仿宋_GB2312"/>
          <w:color w:val="auto"/>
          <w:sz w:val="28"/>
          <w:highlight w:val="none"/>
        </w:rPr>
        <w:t>中心城区接入密度较高及浦东新区等区域覆盖</w:t>
      </w:r>
      <w:r>
        <w:rPr>
          <w:rFonts w:hint="eastAsia" w:ascii="Times New Roman" w:hAnsi="Times New Roman" w:eastAsia="仿宋_GB2312"/>
          <w:color w:val="auto"/>
          <w:sz w:val="28"/>
          <w:highlight w:val="none"/>
          <w:lang w:val="en-US" w:eastAsia="zh-CN"/>
        </w:rPr>
        <w:t>范围较广</w:t>
      </w:r>
      <w:r>
        <w:rPr>
          <w:rFonts w:hint="eastAsia" w:ascii="Times New Roman" w:hAnsi="Times New Roman" w:eastAsia="仿宋_GB2312"/>
          <w:color w:val="auto"/>
          <w:sz w:val="28"/>
          <w:highlight w:val="none"/>
        </w:rPr>
        <w:t>等</w:t>
      </w:r>
      <w:r>
        <w:rPr>
          <w:rFonts w:hint="eastAsia" w:ascii="Times New Roman" w:hAnsi="Times New Roman" w:eastAsia="仿宋_GB2312"/>
          <w:color w:val="auto"/>
          <w:sz w:val="28"/>
          <w:highlight w:val="none"/>
          <w:lang w:val="en-US" w:eastAsia="zh-CN"/>
        </w:rPr>
        <w:t>因素</w:t>
      </w:r>
      <w:r>
        <w:rPr>
          <w:rFonts w:hint="eastAsia" w:ascii="Times New Roman" w:hAnsi="Times New Roman" w:eastAsia="仿宋_GB2312"/>
          <w:color w:val="auto"/>
          <w:sz w:val="28"/>
          <w:highlight w:val="none"/>
        </w:rPr>
        <w:t>，需</w:t>
      </w:r>
      <w:r>
        <w:rPr>
          <w:rFonts w:hint="eastAsia" w:ascii="Times New Roman" w:hAnsi="Times New Roman" w:eastAsia="仿宋_GB2312"/>
          <w:color w:val="auto"/>
          <w:sz w:val="28"/>
          <w:highlight w:val="none"/>
          <w:lang w:val="en-US" w:eastAsia="zh-CN"/>
        </w:rPr>
        <w:t>在基本配置基础上</w:t>
      </w:r>
      <w:r>
        <w:rPr>
          <w:rFonts w:hint="eastAsia" w:ascii="Times New Roman" w:hAnsi="Times New Roman" w:eastAsia="仿宋_GB2312"/>
          <w:color w:val="auto"/>
          <w:sz w:val="28"/>
          <w:highlight w:val="none"/>
        </w:rPr>
        <w:t>增</w:t>
      </w:r>
      <w:r>
        <w:rPr>
          <w:rFonts w:hint="eastAsia" w:ascii="Times New Roman" w:hAnsi="Times New Roman" w:eastAsia="仿宋_GB2312"/>
          <w:color w:val="auto"/>
          <w:sz w:val="28"/>
          <w:highlight w:val="none"/>
          <w:lang w:val="en-US" w:eastAsia="zh-CN"/>
        </w:rPr>
        <w:t>设</w:t>
      </w:r>
      <w:r>
        <w:rPr>
          <w:rFonts w:hint="eastAsia" w:ascii="Times New Roman" w:hAnsi="Times New Roman" w:eastAsia="仿宋_GB2312"/>
          <w:color w:val="auto"/>
          <w:sz w:val="28"/>
          <w:highlight w:val="none"/>
        </w:rPr>
        <w:t>汇聚节点）。</w:t>
      </w:r>
    </w:p>
    <w:p w14:paraId="2D837FDC">
      <w:pPr>
        <w:pStyle w:val="63"/>
        <w:spacing w:line="560" w:lineRule="exact"/>
        <w:ind w:firstLine="56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技术部分主要</w:t>
      </w:r>
      <w:r>
        <w:rPr>
          <w:rFonts w:hint="eastAsia" w:ascii="Times New Roman" w:hAnsi="Times New Roman" w:eastAsia="仿宋_GB2312" w:cs="仿宋_GB2312"/>
          <w:color w:val="auto"/>
          <w:sz w:val="28"/>
          <w:highlight w:val="none"/>
          <w:lang w:val="en-US" w:eastAsia="zh-CN"/>
        </w:rPr>
        <w:t>由</w:t>
      </w:r>
      <w:r>
        <w:rPr>
          <w:rFonts w:hint="eastAsia" w:ascii="Times New Roman" w:hAnsi="Times New Roman" w:eastAsia="仿宋_GB2312" w:cs="仿宋_GB2312"/>
          <w:color w:val="auto"/>
          <w:sz w:val="28"/>
          <w:highlight w:val="none"/>
        </w:rPr>
        <w:t>光传输网络、业务网络、边界安全、安全管理中心</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基础设施</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平台建设与对接、重点区域对接、网络质量监测、DNS域名解析、无线接入区及违规外联检测组成</w:t>
      </w:r>
      <w:r>
        <w:rPr>
          <w:rFonts w:hint="eastAsia" w:ascii="Times New Roman" w:hAnsi="Times New Roman" w:eastAsia="仿宋_GB2312" w:cs="仿宋_GB2312"/>
          <w:color w:val="auto"/>
          <w:sz w:val="28"/>
          <w:highlight w:val="none"/>
        </w:rPr>
        <w:t>。</w:t>
      </w:r>
    </w:p>
    <w:p w14:paraId="46F88F14">
      <w:pPr>
        <w:pStyle w:val="63"/>
        <w:spacing w:line="560" w:lineRule="exact"/>
        <w:ind w:firstLine="56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投标人</w:t>
      </w:r>
      <w:r>
        <w:rPr>
          <w:rFonts w:hint="eastAsia" w:ascii="Times New Roman" w:hAnsi="Times New Roman" w:eastAsia="仿宋_GB2312" w:cs="仿宋_GB2312"/>
          <w:color w:val="auto"/>
          <w:sz w:val="28"/>
          <w:highlight w:val="none"/>
          <w:lang w:val="en-US" w:eastAsia="zh-CN"/>
        </w:rPr>
        <w:t>须对本项目下述</w:t>
      </w:r>
      <w:r>
        <w:rPr>
          <w:rFonts w:hint="eastAsia" w:ascii="Times New Roman" w:hAnsi="Times New Roman" w:eastAsia="仿宋_GB2312" w:cs="仿宋_GB2312"/>
          <w:color w:val="auto"/>
          <w:sz w:val="28"/>
          <w:highlight w:val="none"/>
        </w:rPr>
        <w:t>主要技术要求</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包括但不限于</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逐条予以响应。</w:t>
      </w:r>
    </w:p>
    <w:p w14:paraId="689FBB18">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基于全网底层光传输网络组网架构，底层网络</w:t>
      </w:r>
      <w:r>
        <w:rPr>
          <w:rFonts w:hint="eastAsia" w:ascii="Times New Roman" w:hAnsi="Times New Roman" w:eastAsia="仿宋_GB2312" w:cs="仿宋_GB2312"/>
          <w:color w:val="auto"/>
          <w:sz w:val="28"/>
          <w:highlight w:val="none"/>
          <w:lang w:val="en-US" w:eastAsia="zh-CN"/>
        </w:rPr>
        <w:t>需</w:t>
      </w:r>
      <w:r>
        <w:rPr>
          <w:rFonts w:hint="eastAsia" w:ascii="Times New Roman" w:hAnsi="Times New Roman" w:eastAsia="仿宋_GB2312" w:cs="仿宋_GB2312"/>
          <w:color w:val="auto"/>
          <w:sz w:val="28"/>
          <w:highlight w:val="none"/>
        </w:rPr>
        <w:t>采用单波速率</w:t>
      </w:r>
      <w:r>
        <w:rPr>
          <w:rFonts w:hint="eastAsia" w:ascii="Times New Roman" w:hAnsi="Times New Roman" w:eastAsia="仿宋_GB2312" w:cs="仿宋_GB2312"/>
          <w:color w:val="auto"/>
          <w:sz w:val="28"/>
          <w:highlight w:val="none"/>
          <w:lang w:val="en-US" w:eastAsia="zh-CN"/>
        </w:rPr>
        <w:t>不低于</w:t>
      </w:r>
      <w:r>
        <w:rPr>
          <w:rFonts w:hint="eastAsia" w:ascii="Times New Roman" w:hAnsi="Times New Roman" w:eastAsia="仿宋_GB2312" w:cs="仿宋_GB2312"/>
          <w:color w:val="auto"/>
          <w:sz w:val="28"/>
          <w:highlight w:val="none"/>
        </w:rPr>
        <w:t>100G的OTN技术组网</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并</w:t>
      </w:r>
      <w:r>
        <w:rPr>
          <w:rFonts w:hint="eastAsia" w:ascii="Times New Roman" w:hAnsi="Times New Roman" w:eastAsia="仿宋_GB2312" w:cs="仿宋_GB2312"/>
          <w:color w:val="auto"/>
          <w:sz w:val="28"/>
          <w:highlight w:val="none"/>
        </w:rPr>
        <w:t>具备向200G及以上</w:t>
      </w:r>
      <w:r>
        <w:rPr>
          <w:rFonts w:hint="eastAsia" w:ascii="Times New Roman" w:hAnsi="Times New Roman" w:eastAsia="仿宋_GB2312" w:cs="仿宋_GB2312"/>
          <w:color w:val="auto"/>
          <w:sz w:val="28"/>
          <w:highlight w:val="none"/>
          <w:lang w:val="en-US" w:eastAsia="zh-CN"/>
        </w:rPr>
        <w:t>速率</w:t>
      </w:r>
      <w:r>
        <w:rPr>
          <w:rFonts w:hint="eastAsia" w:ascii="Times New Roman" w:hAnsi="Times New Roman" w:eastAsia="仿宋_GB2312" w:cs="仿宋_GB2312"/>
          <w:color w:val="auto"/>
          <w:sz w:val="28"/>
          <w:highlight w:val="none"/>
        </w:rPr>
        <w:t>平滑扩容的能力</w:t>
      </w:r>
      <w:r>
        <w:rPr>
          <w:rFonts w:hint="eastAsia" w:ascii="Times New Roman" w:hAnsi="Times New Roman" w:eastAsia="仿宋_GB2312" w:cs="仿宋_GB2312"/>
          <w:color w:val="auto"/>
          <w:sz w:val="28"/>
          <w:highlight w:val="none"/>
          <w:lang w:eastAsia="zh-CN"/>
        </w:rPr>
        <w:t>；</w:t>
      </w:r>
    </w:p>
    <w:p w14:paraId="716445D3">
      <w:pPr>
        <w:pStyle w:val="63"/>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业务网络需</w:t>
      </w:r>
      <w:r>
        <w:rPr>
          <w:rFonts w:hint="eastAsia" w:ascii="Times New Roman" w:hAnsi="Times New Roman" w:eastAsia="仿宋_GB2312" w:cs="仿宋_GB2312"/>
          <w:color w:val="auto"/>
          <w:sz w:val="28"/>
          <w:highlight w:val="none"/>
          <w:lang w:val="en-US" w:eastAsia="zh-CN"/>
        </w:rPr>
        <w:t>采用</w:t>
      </w:r>
      <w:r>
        <w:rPr>
          <w:rFonts w:hint="eastAsia" w:ascii="Times New Roman" w:hAnsi="Times New Roman" w:eastAsia="仿宋_GB2312" w:cs="仿宋_GB2312"/>
          <w:color w:val="auto"/>
          <w:sz w:val="28"/>
          <w:highlight w:val="none"/>
        </w:rPr>
        <w:t>核心层、汇聚层、接入层</w:t>
      </w:r>
      <w:r>
        <w:rPr>
          <w:rFonts w:hint="eastAsia" w:ascii="Times New Roman" w:hAnsi="Times New Roman" w:eastAsia="仿宋_GB2312" w:cs="仿宋_GB2312"/>
          <w:color w:val="auto"/>
          <w:sz w:val="28"/>
          <w:highlight w:val="none"/>
          <w:lang w:val="en-US" w:eastAsia="zh-CN"/>
        </w:rPr>
        <w:t>的</w:t>
      </w:r>
      <w:r>
        <w:rPr>
          <w:rFonts w:hint="eastAsia" w:ascii="Times New Roman" w:hAnsi="Times New Roman" w:eastAsia="仿宋_GB2312" w:cs="仿宋_GB2312"/>
          <w:color w:val="auto"/>
          <w:sz w:val="28"/>
          <w:highlight w:val="none"/>
        </w:rPr>
        <w:t>分层架构设计</w:t>
      </w:r>
      <w:r>
        <w:rPr>
          <w:rFonts w:hint="eastAsia" w:ascii="Times New Roman" w:hAnsi="Times New Roman" w:eastAsia="仿宋_GB2312" w:cs="仿宋_GB2312"/>
          <w:color w:val="auto"/>
          <w:sz w:val="28"/>
          <w:highlight w:val="none"/>
          <w:lang w:eastAsia="zh-CN"/>
        </w:rPr>
        <w:t>；</w:t>
      </w:r>
    </w:p>
    <w:p w14:paraId="5B60C5CC">
      <w:pPr>
        <w:pStyle w:val="63"/>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业务网络基于IP技术，采用数据平面和视频平面逻辑隔离、独立运行、互为备份的“一网双平面”高可靠架构，</w:t>
      </w:r>
      <w:r>
        <w:rPr>
          <w:rFonts w:hint="eastAsia" w:ascii="Times New Roman" w:hAnsi="Times New Roman" w:eastAsia="仿宋_GB2312" w:cs="仿宋_GB2312"/>
          <w:color w:val="auto"/>
          <w:sz w:val="28"/>
          <w:highlight w:val="none"/>
          <w:lang w:val="en-US" w:eastAsia="zh-CN"/>
        </w:rPr>
        <w:t>依托</w:t>
      </w:r>
      <w:r>
        <w:rPr>
          <w:rFonts w:hint="eastAsia" w:ascii="Times New Roman" w:hAnsi="Times New Roman" w:eastAsia="仿宋_GB2312" w:cs="仿宋_GB2312"/>
          <w:color w:val="auto"/>
          <w:sz w:val="28"/>
          <w:highlight w:val="none"/>
        </w:rPr>
        <w:t>SDN</w:t>
      </w:r>
      <w:r>
        <w:rPr>
          <w:rFonts w:hint="eastAsia" w:ascii="Times New Roman" w:hAnsi="Times New Roman" w:eastAsia="仿宋_GB2312" w:cs="仿宋_GB2312"/>
          <w:color w:val="auto"/>
          <w:sz w:val="28"/>
          <w:highlight w:val="none"/>
          <w:lang w:val="en-US" w:eastAsia="zh-CN"/>
        </w:rPr>
        <w:t>及</w:t>
      </w:r>
      <w:r>
        <w:rPr>
          <w:rFonts w:hint="eastAsia" w:ascii="Times New Roman" w:hAnsi="Times New Roman" w:eastAsia="仿宋_GB2312" w:cs="仿宋_GB2312"/>
          <w:color w:val="auto"/>
          <w:sz w:val="28"/>
          <w:highlight w:val="none"/>
        </w:rPr>
        <w:t>SR</w:t>
      </w:r>
      <w:r>
        <w:rPr>
          <w:rFonts w:hint="eastAsia" w:ascii="Times New Roman" w:hAnsi="Times New Roman" w:eastAsia="仿宋_GB2312" w:cs="仿宋_GB2312"/>
          <w:color w:val="auto"/>
          <w:sz w:val="28"/>
          <w:highlight w:val="none"/>
          <w:lang w:val="en-US" w:eastAsia="zh-CN"/>
        </w:rPr>
        <w:t>-</w:t>
      </w:r>
      <w:r>
        <w:rPr>
          <w:rFonts w:hint="eastAsia" w:ascii="Times New Roman" w:hAnsi="Times New Roman" w:eastAsia="仿宋_GB2312" w:cs="仿宋_GB2312"/>
          <w:color w:val="auto"/>
          <w:sz w:val="28"/>
          <w:highlight w:val="none"/>
        </w:rPr>
        <w:t>MPLS</w:t>
      </w:r>
      <w:r>
        <w:rPr>
          <w:rFonts w:hint="eastAsia" w:ascii="Times New Roman" w:hAnsi="Times New Roman" w:eastAsia="仿宋_GB2312" w:cs="仿宋_GB2312"/>
          <w:color w:val="auto"/>
          <w:sz w:val="28"/>
          <w:highlight w:val="none"/>
          <w:lang w:val="en-US" w:eastAsia="zh-CN"/>
        </w:rPr>
        <w:t>技术</w:t>
      </w:r>
      <w:r>
        <w:rPr>
          <w:rFonts w:hint="eastAsia" w:ascii="Times New Roman" w:hAnsi="Times New Roman" w:eastAsia="仿宋_GB2312" w:cs="仿宋_GB2312"/>
          <w:color w:val="auto"/>
          <w:sz w:val="28"/>
          <w:highlight w:val="none"/>
        </w:rPr>
        <w:t>承载L2VPN和L3VPN业务</w:t>
      </w:r>
      <w:r>
        <w:rPr>
          <w:rFonts w:hint="eastAsia" w:ascii="Times New Roman" w:hAnsi="Times New Roman" w:eastAsia="仿宋_GB2312" w:cs="仿宋_GB2312"/>
          <w:color w:val="auto"/>
          <w:sz w:val="28"/>
          <w:highlight w:val="none"/>
          <w:lang w:eastAsia="zh-CN"/>
        </w:rPr>
        <w:t>；</w:t>
      </w:r>
    </w:p>
    <w:p w14:paraId="00433589">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lang w:val="en-US" w:eastAsia="zh-CN"/>
        </w:rPr>
        <w:t>依托</w:t>
      </w:r>
      <w:r>
        <w:rPr>
          <w:rFonts w:hint="eastAsia" w:ascii="Times New Roman" w:hAnsi="Times New Roman" w:eastAsia="仿宋_GB2312" w:cs="仿宋_GB2312"/>
          <w:color w:val="auto"/>
          <w:sz w:val="28"/>
          <w:highlight w:val="none"/>
        </w:rPr>
        <w:t>底层光传输网，提供市、区两级政务外网管理系统承载网的规划设计</w:t>
      </w:r>
      <w:r>
        <w:rPr>
          <w:rFonts w:hint="eastAsia" w:ascii="Times New Roman" w:hAnsi="Times New Roman" w:eastAsia="仿宋_GB2312" w:cs="仿宋_GB2312"/>
          <w:color w:val="auto"/>
          <w:sz w:val="28"/>
          <w:highlight w:val="none"/>
          <w:lang w:val="en-US" w:eastAsia="zh-CN"/>
        </w:rPr>
        <w:t>与部署</w:t>
      </w:r>
      <w:r>
        <w:rPr>
          <w:rFonts w:hint="eastAsia" w:ascii="Times New Roman" w:hAnsi="Times New Roman" w:eastAsia="仿宋_GB2312" w:cs="仿宋_GB2312"/>
          <w:color w:val="auto"/>
          <w:sz w:val="28"/>
          <w:highlight w:val="none"/>
          <w:lang w:eastAsia="zh-CN"/>
        </w:rPr>
        <w:t>；</w:t>
      </w:r>
    </w:p>
    <w:p w14:paraId="65985A71">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全网</w:t>
      </w:r>
      <w:r>
        <w:rPr>
          <w:rFonts w:hint="eastAsia" w:ascii="Times New Roman" w:hAnsi="Times New Roman" w:eastAsia="仿宋_GB2312" w:cs="仿宋_GB2312"/>
          <w:color w:val="auto"/>
          <w:sz w:val="28"/>
          <w:highlight w:val="none"/>
          <w:lang w:val="en-US" w:eastAsia="zh-CN"/>
        </w:rPr>
        <w:t>应</w:t>
      </w:r>
      <w:r>
        <w:rPr>
          <w:rFonts w:hint="eastAsia" w:ascii="Times New Roman" w:hAnsi="Times New Roman" w:eastAsia="仿宋_GB2312" w:cs="仿宋_GB2312"/>
          <w:color w:val="auto"/>
          <w:sz w:val="28"/>
          <w:highlight w:val="none"/>
        </w:rPr>
        <w:t>支持IPv4/IPv6双栈</w:t>
      </w:r>
      <w:r>
        <w:rPr>
          <w:rFonts w:hint="eastAsia" w:ascii="Times New Roman" w:hAnsi="Times New Roman" w:eastAsia="仿宋_GB2312" w:cs="仿宋_GB2312"/>
          <w:color w:val="auto"/>
          <w:sz w:val="28"/>
          <w:highlight w:val="none"/>
          <w:lang w:val="en-US" w:eastAsia="zh-CN"/>
        </w:rPr>
        <w:t>协议</w:t>
      </w:r>
      <w:r>
        <w:rPr>
          <w:rFonts w:hint="eastAsia" w:ascii="Times New Roman" w:hAnsi="Times New Roman" w:eastAsia="仿宋_GB2312" w:cs="仿宋_GB2312"/>
          <w:color w:val="auto"/>
          <w:sz w:val="28"/>
          <w:highlight w:val="none"/>
        </w:rPr>
        <w:t>，提供网络</w:t>
      </w:r>
      <w:r>
        <w:rPr>
          <w:rFonts w:hint="eastAsia" w:ascii="Times New Roman" w:hAnsi="Times New Roman" w:eastAsia="仿宋_GB2312" w:cs="仿宋_GB2312"/>
          <w:color w:val="auto"/>
          <w:sz w:val="28"/>
          <w:highlight w:val="none"/>
          <w:lang w:val="en-US" w:eastAsia="zh-CN"/>
        </w:rPr>
        <w:t>IP</w:t>
      </w:r>
      <w:r>
        <w:rPr>
          <w:rFonts w:hint="eastAsia" w:ascii="Times New Roman" w:hAnsi="Times New Roman" w:eastAsia="仿宋_GB2312" w:cs="仿宋_GB2312"/>
          <w:color w:val="auto"/>
          <w:sz w:val="28"/>
          <w:highlight w:val="none"/>
        </w:rPr>
        <w:t>地址规划</w:t>
      </w:r>
      <w:r>
        <w:rPr>
          <w:rFonts w:hint="eastAsia" w:ascii="Times New Roman" w:hAnsi="Times New Roman" w:eastAsia="仿宋_GB2312" w:cs="仿宋_GB2312"/>
          <w:color w:val="auto"/>
          <w:sz w:val="28"/>
          <w:highlight w:val="none"/>
          <w:lang w:eastAsia="zh-CN"/>
        </w:rPr>
        <w:t>；</w:t>
      </w:r>
    </w:p>
    <w:p w14:paraId="0A13D4A5">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业务网络采用MPLS-VPN技术</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在</w:t>
      </w:r>
      <w:r>
        <w:rPr>
          <w:rFonts w:hint="eastAsia" w:ascii="Times New Roman" w:hAnsi="Times New Roman" w:eastAsia="仿宋_GB2312" w:cs="仿宋_GB2312"/>
          <w:color w:val="auto"/>
          <w:sz w:val="28"/>
          <w:highlight w:val="none"/>
        </w:rPr>
        <w:t>服务网络骨干网</w:t>
      </w:r>
      <w:r>
        <w:rPr>
          <w:rFonts w:hint="eastAsia" w:ascii="Times New Roman" w:hAnsi="Times New Roman" w:eastAsia="仿宋_GB2312" w:cs="仿宋_GB2312"/>
          <w:color w:val="auto"/>
          <w:sz w:val="28"/>
          <w:highlight w:val="none"/>
          <w:lang w:val="en-US" w:eastAsia="zh-CN"/>
        </w:rPr>
        <w:t>上</w:t>
      </w:r>
      <w:r>
        <w:rPr>
          <w:rFonts w:hint="eastAsia" w:ascii="Times New Roman" w:hAnsi="Times New Roman" w:eastAsia="仿宋_GB2312" w:cs="仿宋_GB2312"/>
          <w:color w:val="auto"/>
          <w:sz w:val="28"/>
          <w:highlight w:val="none"/>
        </w:rPr>
        <w:t>划分VPN层</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各VPN层之间逻辑隔离，路由互不可达，为政务业务建立分层分类的数据传输</w:t>
      </w:r>
      <w:r>
        <w:rPr>
          <w:rFonts w:hint="eastAsia" w:ascii="Times New Roman" w:hAnsi="Times New Roman" w:eastAsia="仿宋_GB2312" w:cs="仿宋_GB2312"/>
          <w:color w:val="auto"/>
          <w:sz w:val="28"/>
          <w:highlight w:val="none"/>
          <w:lang w:val="en-US" w:eastAsia="zh-CN"/>
        </w:rPr>
        <w:t>与</w:t>
      </w:r>
      <w:r>
        <w:rPr>
          <w:rFonts w:hint="eastAsia" w:ascii="Times New Roman" w:hAnsi="Times New Roman" w:eastAsia="仿宋_GB2312" w:cs="仿宋_GB2312"/>
          <w:color w:val="auto"/>
          <w:sz w:val="28"/>
          <w:highlight w:val="none"/>
        </w:rPr>
        <w:t>交换通道，满足不同政务业务的应用需</w:t>
      </w:r>
      <w:r>
        <w:rPr>
          <w:rFonts w:hint="eastAsia" w:ascii="Times New Roman" w:hAnsi="Times New Roman" w:eastAsia="仿宋_GB2312" w:cs="仿宋_GB2312"/>
          <w:color w:val="auto"/>
          <w:sz w:val="28"/>
          <w:highlight w:val="none"/>
          <w:lang w:val="en-US" w:eastAsia="zh-CN"/>
        </w:rPr>
        <w:t>求</w:t>
      </w:r>
      <w:r>
        <w:rPr>
          <w:rFonts w:hint="eastAsia" w:ascii="Times New Roman" w:hAnsi="Times New Roman" w:eastAsia="仿宋_GB2312" w:cs="仿宋_GB2312"/>
          <w:color w:val="auto"/>
          <w:sz w:val="28"/>
          <w:highlight w:val="none"/>
          <w:lang w:eastAsia="zh-CN"/>
        </w:rPr>
        <w:t>；</w:t>
      </w:r>
    </w:p>
    <w:p w14:paraId="47B2D5A2">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lang w:val="en-US" w:eastAsia="zh-CN"/>
        </w:rPr>
        <w:t>需</w:t>
      </w:r>
      <w:r>
        <w:rPr>
          <w:rFonts w:hint="eastAsia" w:ascii="Times New Roman" w:hAnsi="Times New Roman" w:eastAsia="仿宋_GB2312" w:cs="仿宋_GB2312"/>
          <w:color w:val="auto"/>
          <w:sz w:val="28"/>
          <w:highlight w:val="none"/>
        </w:rPr>
        <w:t>提供具</w:t>
      </w:r>
      <w:r>
        <w:rPr>
          <w:rFonts w:hint="eastAsia" w:ascii="Times New Roman" w:hAnsi="Times New Roman" w:eastAsia="仿宋_GB2312" w:cs="仿宋_GB2312"/>
          <w:color w:val="auto"/>
          <w:sz w:val="28"/>
          <w:highlight w:val="none"/>
          <w:lang w:val="en-US" w:eastAsia="zh-CN"/>
        </w:rPr>
        <w:t>备</w:t>
      </w:r>
      <w:r>
        <w:rPr>
          <w:rFonts w:hint="eastAsia" w:ascii="Times New Roman" w:hAnsi="Times New Roman" w:eastAsia="仿宋_GB2312" w:cs="仿宋_GB2312"/>
          <w:color w:val="auto"/>
          <w:sz w:val="28"/>
          <w:highlight w:val="none"/>
        </w:rPr>
        <w:t>网络管理功能的支撑系统，高效、可靠</w:t>
      </w:r>
      <w:r>
        <w:rPr>
          <w:rFonts w:hint="eastAsia" w:ascii="Times New Roman" w:hAnsi="Times New Roman" w:eastAsia="仿宋_GB2312" w:cs="仿宋_GB2312"/>
          <w:color w:val="auto"/>
          <w:sz w:val="28"/>
          <w:highlight w:val="none"/>
          <w:lang w:val="en-US" w:eastAsia="zh-CN"/>
        </w:rPr>
        <w:t>地保障</w:t>
      </w:r>
      <w:r>
        <w:rPr>
          <w:rFonts w:hint="eastAsia" w:ascii="Times New Roman" w:hAnsi="Times New Roman" w:eastAsia="仿宋_GB2312" w:cs="仿宋_GB2312"/>
          <w:color w:val="auto"/>
          <w:sz w:val="28"/>
          <w:highlight w:val="none"/>
        </w:rPr>
        <w:t>网络运行状态、运行质量及业务管理服务，</w:t>
      </w:r>
      <w:r>
        <w:rPr>
          <w:rFonts w:hint="eastAsia" w:ascii="Times New Roman" w:hAnsi="Times New Roman" w:eastAsia="仿宋_GB2312" w:cs="仿宋_GB2312"/>
          <w:color w:val="auto"/>
          <w:sz w:val="28"/>
          <w:highlight w:val="none"/>
          <w:lang w:val="en-US" w:eastAsia="zh-CN"/>
        </w:rPr>
        <w:t>并依</w:t>
      </w:r>
      <w:r>
        <w:rPr>
          <w:rFonts w:hint="eastAsia" w:ascii="Times New Roman" w:hAnsi="Times New Roman" w:eastAsia="仿宋_GB2312" w:cs="仿宋_GB2312"/>
          <w:color w:val="auto"/>
          <w:sz w:val="28"/>
          <w:highlight w:val="none"/>
        </w:rPr>
        <w:t>据</w:t>
      </w:r>
      <w:r>
        <w:rPr>
          <w:rFonts w:hint="eastAsia" w:ascii="Times New Roman" w:hAnsi="Times New Roman" w:eastAsia="仿宋_GB2312" w:cs="仿宋_GB2312"/>
          <w:color w:val="auto"/>
          <w:sz w:val="28"/>
          <w:highlight w:val="none"/>
          <w:lang w:eastAsia="zh-CN"/>
        </w:rPr>
        <w:t>采购人</w:t>
      </w:r>
      <w:r>
        <w:rPr>
          <w:rFonts w:hint="eastAsia" w:ascii="Times New Roman" w:hAnsi="Times New Roman" w:eastAsia="仿宋_GB2312" w:cs="仿宋_GB2312"/>
          <w:color w:val="auto"/>
          <w:sz w:val="28"/>
          <w:highlight w:val="none"/>
        </w:rPr>
        <w:t>对接规范</w:t>
      </w:r>
      <w:r>
        <w:rPr>
          <w:rFonts w:hint="eastAsia" w:ascii="Times New Roman" w:hAnsi="Times New Roman" w:eastAsia="仿宋_GB2312" w:cs="仿宋_GB2312"/>
          <w:color w:val="auto"/>
          <w:sz w:val="28"/>
          <w:highlight w:val="none"/>
          <w:lang w:val="en-US" w:eastAsia="zh-CN"/>
        </w:rPr>
        <w:t>要求</w:t>
      </w:r>
      <w:r>
        <w:rPr>
          <w:rFonts w:hint="eastAsia" w:ascii="Times New Roman" w:hAnsi="Times New Roman" w:eastAsia="仿宋_GB2312" w:cs="仿宋_GB2312"/>
          <w:color w:val="auto"/>
          <w:sz w:val="28"/>
          <w:highlight w:val="none"/>
        </w:rPr>
        <w:t>，与市政务外网运行和安全监测支撑系统及其他</w:t>
      </w:r>
      <w:r>
        <w:rPr>
          <w:rFonts w:hint="eastAsia" w:ascii="Times New Roman" w:hAnsi="Times New Roman" w:eastAsia="仿宋_GB2312" w:cs="仿宋_GB2312"/>
          <w:color w:val="auto"/>
          <w:sz w:val="28"/>
          <w:highlight w:val="none"/>
          <w:lang w:val="en-US" w:eastAsia="zh-CN"/>
        </w:rPr>
        <w:t>指定</w:t>
      </w:r>
      <w:r>
        <w:rPr>
          <w:rFonts w:hint="eastAsia" w:ascii="Times New Roman" w:hAnsi="Times New Roman" w:eastAsia="仿宋_GB2312" w:cs="仿宋_GB2312"/>
          <w:color w:val="auto"/>
          <w:sz w:val="28"/>
          <w:highlight w:val="none"/>
        </w:rPr>
        <w:t>系统完成</w:t>
      </w:r>
      <w:r>
        <w:rPr>
          <w:rFonts w:hint="eastAsia" w:ascii="Times New Roman" w:hAnsi="Times New Roman" w:eastAsia="仿宋_GB2312" w:cs="仿宋_GB2312"/>
          <w:color w:val="auto"/>
          <w:sz w:val="28"/>
          <w:highlight w:val="none"/>
          <w:lang w:val="en-US" w:eastAsia="zh-CN"/>
        </w:rPr>
        <w:t>按需</w:t>
      </w:r>
      <w:r>
        <w:rPr>
          <w:rFonts w:hint="eastAsia" w:ascii="Times New Roman" w:hAnsi="Times New Roman" w:eastAsia="仿宋_GB2312" w:cs="仿宋_GB2312"/>
          <w:color w:val="auto"/>
          <w:sz w:val="28"/>
          <w:highlight w:val="none"/>
        </w:rPr>
        <w:t>对接工作</w:t>
      </w:r>
      <w:r>
        <w:rPr>
          <w:rFonts w:hint="eastAsia" w:ascii="Times New Roman" w:hAnsi="Times New Roman" w:eastAsia="仿宋_GB2312" w:cs="仿宋_GB2312"/>
          <w:color w:val="auto"/>
          <w:sz w:val="28"/>
          <w:highlight w:val="none"/>
          <w:lang w:eastAsia="zh-CN"/>
        </w:rPr>
        <w:t>；</w:t>
      </w:r>
    </w:p>
    <w:p w14:paraId="53B21BA7">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lang w:val="en-US" w:eastAsia="zh-CN"/>
        </w:rPr>
        <w:t>需</w:t>
      </w:r>
      <w:r>
        <w:rPr>
          <w:rFonts w:hint="eastAsia" w:ascii="Times New Roman" w:hAnsi="Times New Roman" w:eastAsia="仿宋_GB2312" w:cs="仿宋_GB2312"/>
          <w:color w:val="auto"/>
          <w:sz w:val="28"/>
          <w:highlight w:val="none"/>
        </w:rPr>
        <w:t>提供</w:t>
      </w:r>
      <w:r>
        <w:rPr>
          <w:rFonts w:hint="eastAsia" w:ascii="Times New Roman" w:hAnsi="Times New Roman" w:eastAsia="仿宋_GB2312" w:cs="仿宋_GB2312"/>
          <w:color w:val="auto"/>
          <w:sz w:val="28"/>
          <w:highlight w:val="none"/>
          <w:lang w:val="en-US" w:eastAsia="zh-CN"/>
        </w:rPr>
        <w:t>完整的</w:t>
      </w:r>
      <w:r>
        <w:rPr>
          <w:rFonts w:hint="eastAsia" w:ascii="Times New Roman" w:hAnsi="Times New Roman" w:eastAsia="仿宋_GB2312" w:cs="仿宋_GB2312"/>
          <w:color w:val="auto"/>
          <w:sz w:val="28"/>
          <w:highlight w:val="none"/>
        </w:rPr>
        <w:t>安全设计方案，</w:t>
      </w:r>
      <w:r>
        <w:rPr>
          <w:rFonts w:hint="eastAsia" w:ascii="Times New Roman" w:hAnsi="Times New Roman" w:eastAsia="仿宋_GB2312" w:cs="仿宋_GB2312"/>
          <w:color w:val="auto"/>
          <w:sz w:val="28"/>
          <w:highlight w:val="none"/>
          <w:lang w:val="en-US" w:eastAsia="zh-CN"/>
        </w:rPr>
        <w:t>该</w:t>
      </w:r>
      <w:r>
        <w:rPr>
          <w:rFonts w:hint="eastAsia" w:ascii="Times New Roman" w:hAnsi="Times New Roman" w:eastAsia="仿宋_GB2312" w:cs="仿宋_GB2312"/>
          <w:color w:val="auto"/>
          <w:sz w:val="28"/>
          <w:highlight w:val="none"/>
        </w:rPr>
        <w:t>方案</w:t>
      </w:r>
      <w:r>
        <w:rPr>
          <w:rFonts w:hint="eastAsia" w:ascii="Times New Roman" w:hAnsi="Times New Roman" w:eastAsia="仿宋_GB2312" w:cs="仿宋_GB2312"/>
          <w:color w:val="auto"/>
          <w:sz w:val="28"/>
          <w:highlight w:val="none"/>
          <w:lang w:val="en-US" w:eastAsia="zh-CN"/>
        </w:rPr>
        <w:t>应涵盖</w:t>
      </w:r>
      <w:r>
        <w:rPr>
          <w:rFonts w:hint="eastAsia" w:ascii="Times New Roman" w:hAnsi="Times New Roman" w:eastAsia="仿宋_GB2312" w:cs="仿宋_GB2312"/>
          <w:color w:val="auto"/>
          <w:sz w:val="28"/>
          <w:highlight w:val="none"/>
        </w:rPr>
        <w:t>网络安全、传输安全、边界安全、接入安全</w:t>
      </w:r>
      <w:r>
        <w:rPr>
          <w:rFonts w:hint="eastAsia" w:ascii="Times New Roman" w:hAnsi="Times New Roman" w:eastAsia="仿宋_GB2312" w:cs="仿宋_GB2312"/>
          <w:color w:val="auto"/>
          <w:sz w:val="28"/>
          <w:highlight w:val="none"/>
          <w:lang w:val="en-US" w:eastAsia="zh-CN"/>
        </w:rPr>
        <w:t>等核心领域，并包含</w:t>
      </w:r>
      <w:r>
        <w:rPr>
          <w:rFonts w:hint="eastAsia" w:ascii="Times New Roman" w:hAnsi="Times New Roman" w:eastAsia="仿宋_GB2312" w:cs="仿宋_GB2312"/>
          <w:color w:val="auto"/>
          <w:sz w:val="28"/>
          <w:highlight w:val="none"/>
        </w:rPr>
        <w:t>相关安全平台建设及运营服务方案设计、</w:t>
      </w:r>
      <w:r>
        <w:rPr>
          <w:rFonts w:hint="eastAsia" w:ascii="Times New Roman" w:hAnsi="Times New Roman" w:eastAsia="仿宋_GB2312" w:cs="仿宋_GB2312"/>
          <w:color w:val="auto"/>
          <w:sz w:val="28"/>
          <w:highlight w:val="none"/>
          <w:lang w:val="en-US" w:eastAsia="zh-CN"/>
        </w:rPr>
        <w:t>配套</w:t>
      </w:r>
      <w:r>
        <w:rPr>
          <w:rFonts w:hint="eastAsia" w:ascii="Times New Roman" w:hAnsi="Times New Roman" w:eastAsia="仿宋_GB2312" w:cs="仿宋_GB2312"/>
          <w:color w:val="auto"/>
          <w:sz w:val="28"/>
          <w:highlight w:val="none"/>
        </w:rPr>
        <w:t>制度机制、规范标准</w:t>
      </w:r>
      <w:r>
        <w:rPr>
          <w:rFonts w:hint="eastAsia" w:ascii="Times New Roman" w:hAnsi="Times New Roman" w:eastAsia="仿宋_GB2312" w:cs="仿宋_GB2312"/>
          <w:color w:val="auto"/>
          <w:sz w:val="28"/>
          <w:highlight w:val="none"/>
          <w:lang w:val="en-US" w:eastAsia="zh-CN"/>
        </w:rPr>
        <w:t>以及专业</w:t>
      </w:r>
      <w:r>
        <w:rPr>
          <w:rFonts w:hint="eastAsia" w:ascii="Times New Roman" w:hAnsi="Times New Roman" w:eastAsia="仿宋_GB2312" w:cs="仿宋_GB2312"/>
          <w:color w:val="auto"/>
          <w:sz w:val="28"/>
          <w:highlight w:val="none"/>
        </w:rPr>
        <w:t>安全团队</w:t>
      </w:r>
      <w:r>
        <w:rPr>
          <w:rFonts w:hint="eastAsia" w:ascii="Times New Roman" w:hAnsi="Times New Roman" w:eastAsia="仿宋_GB2312" w:cs="仿宋_GB2312"/>
          <w:color w:val="auto"/>
          <w:sz w:val="28"/>
          <w:highlight w:val="none"/>
          <w:lang w:val="en-US" w:eastAsia="zh-CN"/>
        </w:rPr>
        <w:t>保障</w:t>
      </w:r>
      <w:r>
        <w:rPr>
          <w:rFonts w:hint="eastAsia" w:ascii="Times New Roman" w:hAnsi="Times New Roman" w:eastAsia="仿宋_GB2312" w:cs="仿宋_GB2312"/>
          <w:color w:val="auto"/>
          <w:sz w:val="28"/>
          <w:highlight w:val="none"/>
        </w:rPr>
        <w:t>等</w:t>
      </w:r>
      <w:r>
        <w:rPr>
          <w:rFonts w:hint="eastAsia" w:ascii="Times New Roman" w:hAnsi="Times New Roman" w:eastAsia="仿宋_GB2312" w:cs="仿宋_GB2312"/>
          <w:color w:val="auto"/>
          <w:sz w:val="28"/>
          <w:highlight w:val="none"/>
          <w:lang w:val="en-US" w:eastAsia="zh-CN"/>
        </w:rPr>
        <w:t>要素</w:t>
      </w:r>
      <w:r>
        <w:rPr>
          <w:rFonts w:hint="eastAsia" w:ascii="Times New Roman" w:hAnsi="Times New Roman" w:eastAsia="仿宋_GB2312" w:cs="仿宋_GB2312"/>
          <w:color w:val="auto"/>
          <w:sz w:val="28"/>
          <w:highlight w:val="none"/>
          <w:lang w:eastAsia="zh-CN"/>
        </w:rPr>
        <w:t>；</w:t>
      </w:r>
    </w:p>
    <w:p w14:paraId="563719FB">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lang w:val="en-US" w:eastAsia="zh-CN"/>
        </w:rPr>
        <w:t>需</w:t>
      </w:r>
      <w:r>
        <w:rPr>
          <w:rFonts w:hint="eastAsia" w:ascii="Times New Roman" w:hAnsi="Times New Roman" w:eastAsia="仿宋_GB2312" w:cs="仿宋_GB2312"/>
          <w:color w:val="auto"/>
          <w:sz w:val="28"/>
          <w:highlight w:val="none"/>
        </w:rPr>
        <w:t>提供</w:t>
      </w:r>
      <w:r>
        <w:rPr>
          <w:rFonts w:hint="eastAsia" w:ascii="Times New Roman" w:hAnsi="Times New Roman" w:eastAsia="仿宋_GB2312" w:cs="仿宋_GB2312"/>
          <w:color w:val="auto"/>
          <w:sz w:val="28"/>
          <w:highlight w:val="none"/>
          <w:lang w:val="en-US" w:eastAsia="zh-CN"/>
        </w:rPr>
        <w:t>具备</w:t>
      </w:r>
      <w:r>
        <w:rPr>
          <w:rFonts w:hint="eastAsia" w:ascii="Times New Roman" w:hAnsi="Times New Roman" w:eastAsia="仿宋_GB2312" w:cs="仿宋_GB2312"/>
          <w:color w:val="auto"/>
          <w:sz w:val="28"/>
          <w:highlight w:val="none"/>
        </w:rPr>
        <w:t>网络流量探针检测及安全态势感知</w:t>
      </w:r>
      <w:r>
        <w:rPr>
          <w:rFonts w:hint="eastAsia" w:ascii="Times New Roman" w:hAnsi="Times New Roman" w:eastAsia="仿宋_GB2312" w:cs="仿宋_GB2312"/>
          <w:color w:val="auto"/>
          <w:sz w:val="28"/>
          <w:highlight w:val="none"/>
          <w:lang w:val="en-US" w:eastAsia="zh-CN"/>
        </w:rPr>
        <w:t>能力的</w:t>
      </w:r>
      <w:r>
        <w:rPr>
          <w:rFonts w:hint="eastAsia" w:ascii="Times New Roman" w:hAnsi="Times New Roman" w:eastAsia="仿宋_GB2312" w:cs="仿宋_GB2312"/>
          <w:color w:val="auto"/>
          <w:sz w:val="28"/>
          <w:highlight w:val="none"/>
        </w:rPr>
        <w:t>大数据安全分析平台，</w:t>
      </w:r>
      <w:r>
        <w:rPr>
          <w:rFonts w:hint="eastAsia" w:ascii="Times New Roman" w:hAnsi="Times New Roman" w:eastAsia="仿宋_GB2312" w:cs="仿宋_GB2312"/>
          <w:color w:val="auto"/>
          <w:sz w:val="28"/>
          <w:highlight w:val="none"/>
          <w:lang w:val="en-US" w:eastAsia="zh-CN"/>
        </w:rPr>
        <w:t>覆盖</w:t>
      </w:r>
      <w:r>
        <w:rPr>
          <w:rFonts w:hint="eastAsia" w:ascii="Times New Roman" w:hAnsi="Times New Roman" w:eastAsia="仿宋_GB2312" w:cs="仿宋_GB2312"/>
          <w:color w:val="auto"/>
          <w:sz w:val="28"/>
          <w:highlight w:val="none"/>
        </w:rPr>
        <w:t>国家电子政务外网、各区政务外网、电子政务云、互联网安全接入、无线安全接入、公安</w:t>
      </w:r>
      <w:r>
        <w:rPr>
          <w:rFonts w:hint="eastAsia" w:ascii="Times New Roman" w:hAnsi="Times New Roman" w:eastAsia="仿宋_GB2312" w:cs="仿宋_GB2312"/>
          <w:color w:val="auto"/>
          <w:sz w:val="28"/>
          <w:highlight w:val="none"/>
          <w:lang w:val="en-US" w:eastAsia="zh-CN"/>
        </w:rPr>
        <w:t>业务专</w:t>
      </w:r>
      <w:r>
        <w:rPr>
          <w:rFonts w:hint="eastAsia" w:ascii="Times New Roman" w:hAnsi="Times New Roman" w:eastAsia="仿宋_GB2312" w:cs="仿宋_GB2312"/>
          <w:color w:val="auto"/>
          <w:sz w:val="28"/>
          <w:highlight w:val="none"/>
        </w:rPr>
        <w:t>网等重点接入区</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实施</w:t>
      </w:r>
      <w:r>
        <w:rPr>
          <w:rFonts w:hint="eastAsia" w:ascii="Times New Roman" w:hAnsi="Times New Roman" w:eastAsia="仿宋_GB2312" w:cs="仿宋_GB2312"/>
          <w:color w:val="auto"/>
          <w:sz w:val="28"/>
          <w:highlight w:val="none"/>
        </w:rPr>
        <w:t>访问控制、未知威胁分析、入侵防范、安全审计、恶意代码防护</w:t>
      </w:r>
      <w:r>
        <w:rPr>
          <w:rFonts w:hint="eastAsia" w:ascii="Times New Roman" w:hAnsi="Times New Roman" w:eastAsia="仿宋_GB2312" w:cs="仿宋_GB2312"/>
          <w:color w:val="auto"/>
          <w:sz w:val="28"/>
          <w:highlight w:val="none"/>
          <w:lang w:val="en-US" w:eastAsia="zh-CN"/>
        </w:rPr>
        <w:t>等安全措施</w:t>
      </w:r>
      <w:r>
        <w:rPr>
          <w:rFonts w:hint="eastAsia" w:ascii="Times New Roman" w:hAnsi="Times New Roman" w:eastAsia="仿宋_GB2312" w:cs="仿宋_GB2312"/>
          <w:color w:val="auto"/>
          <w:sz w:val="28"/>
          <w:highlight w:val="none"/>
        </w:rPr>
        <w:t>，</w:t>
      </w:r>
      <w:r>
        <w:rPr>
          <w:rFonts w:hint="eastAsia" w:ascii="Times New Roman" w:hAnsi="Times New Roman" w:eastAsia="仿宋_GB2312" w:cs="仿宋_GB2312"/>
          <w:color w:val="auto"/>
          <w:sz w:val="28"/>
          <w:highlight w:val="none"/>
          <w:lang w:val="en-US" w:eastAsia="zh-CN"/>
        </w:rPr>
        <w:t>同时完成与</w:t>
      </w:r>
      <w:r>
        <w:rPr>
          <w:rFonts w:hint="eastAsia" w:ascii="Times New Roman" w:hAnsi="Times New Roman" w:eastAsia="仿宋_GB2312" w:cs="仿宋_GB2312"/>
          <w:color w:val="auto"/>
          <w:sz w:val="28"/>
          <w:highlight w:val="none"/>
        </w:rPr>
        <w:t>市电子政务外网运行和安全监测系统的对接，实现全量网络安全运行数据上传</w:t>
      </w:r>
      <w:r>
        <w:rPr>
          <w:rFonts w:hint="eastAsia" w:ascii="Times New Roman" w:hAnsi="Times New Roman" w:eastAsia="仿宋_GB2312" w:cs="仿宋_GB2312"/>
          <w:color w:val="auto"/>
          <w:sz w:val="28"/>
          <w:highlight w:val="none"/>
          <w:lang w:eastAsia="zh-CN"/>
        </w:rPr>
        <w:t>；</w:t>
      </w:r>
    </w:p>
    <w:p w14:paraId="5A5EF25C">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rPr>
        <w:t>需提供符合</w:t>
      </w:r>
      <w:r>
        <w:rPr>
          <w:rFonts w:hint="eastAsia" w:ascii="Times New Roman" w:hAnsi="Times New Roman" w:eastAsia="仿宋_GB2312" w:cs="仿宋_GB2312"/>
          <w:color w:val="auto"/>
          <w:sz w:val="28"/>
          <w:highlight w:val="none"/>
          <w:lang w:val="en-US" w:eastAsia="zh-CN"/>
        </w:rPr>
        <w:t>本</w:t>
      </w:r>
      <w:r>
        <w:rPr>
          <w:rFonts w:hint="eastAsia" w:ascii="Times New Roman" w:hAnsi="Times New Roman" w:eastAsia="仿宋_GB2312" w:cs="仿宋_GB2312"/>
          <w:color w:val="auto"/>
          <w:sz w:val="28"/>
          <w:highlight w:val="none"/>
        </w:rPr>
        <w:t>采购需求中机房及光缆技术标准的基础资源设计</w:t>
      </w:r>
      <w:r>
        <w:rPr>
          <w:rFonts w:hint="eastAsia" w:ascii="Times New Roman" w:hAnsi="Times New Roman" w:eastAsia="仿宋_GB2312" w:cs="仿宋_GB2312"/>
          <w:color w:val="auto"/>
          <w:sz w:val="28"/>
          <w:highlight w:val="none"/>
          <w:lang w:val="en-US" w:eastAsia="zh-CN"/>
        </w:rPr>
        <w:t>方案，该方案应</w:t>
      </w:r>
      <w:r>
        <w:rPr>
          <w:rFonts w:hint="eastAsia" w:ascii="Times New Roman" w:hAnsi="Times New Roman" w:eastAsia="仿宋_GB2312" w:cs="仿宋_GB2312"/>
          <w:color w:val="auto"/>
          <w:sz w:val="28"/>
          <w:highlight w:val="none"/>
        </w:rPr>
        <w:t>为核心</w:t>
      </w:r>
      <w:r>
        <w:rPr>
          <w:rFonts w:hint="eastAsia" w:ascii="Times New Roman" w:hAnsi="Times New Roman" w:eastAsia="仿宋_GB2312" w:cs="仿宋_GB2312"/>
          <w:color w:val="auto"/>
          <w:sz w:val="28"/>
          <w:highlight w:val="none"/>
          <w:lang w:val="en-US" w:eastAsia="zh-CN"/>
        </w:rPr>
        <w:t>层</w:t>
      </w:r>
      <w:r>
        <w:rPr>
          <w:rFonts w:hint="eastAsia" w:ascii="Times New Roman" w:hAnsi="Times New Roman" w:eastAsia="仿宋_GB2312" w:cs="仿宋_GB2312"/>
          <w:color w:val="auto"/>
          <w:sz w:val="28"/>
          <w:highlight w:val="none"/>
        </w:rPr>
        <w:t>、汇聚</w:t>
      </w:r>
      <w:r>
        <w:rPr>
          <w:rFonts w:hint="eastAsia" w:ascii="Times New Roman" w:hAnsi="Times New Roman" w:eastAsia="仿宋_GB2312" w:cs="仿宋_GB2312"/>
          <w:color w:val="auto"/>
          <w:sz w:val="28"/>
          <w:highlight w:val="none"/>
          <w:lang w:val="en-US" w:eastAsia="zh-CN"/>
        </w:rPr>
        <w:t>层</w:t>
      </w:r>
      <w:r>
        <w:rPr>
          <w:rFonts w:hint="eastAsia" w:ascii="Times New Roman" w:hAnsi="Times New Roman" w:eastAsia="仿宋_GB2312" w:cs="仿宋_GB2312"/>
          <w:color w:val="auto"/>
          <w:sz w:val="28"/>
          <w:highlight w:val="none"/>
        </w:rPr>
        <w:t>、接入层设备部署</w:t>
      </w:r>
      <w:r>
        <w:rPr>
          <w:rFonts w:hint="eastAsia" w:ascii="Times New Roman" w:hAnsi="Times New Roman" w:eastAsia="仿宋_GB2312" w:cs="仿宋_GB2312"/>
          <w:color w:val="auto"/>
          <w:sz w:val="28"/>
          <w:highlight w:val="none"/>
          <w:lang w:val="en-US" w:eastAsia="zh-CN"/>
        </w:rPr>
        <w:t>提供支撑</w:t>
      </w:r>
      <w:r>
        <w:rPr>
          <w:rFonts w:hint="eastAsia" w:ascii="Times New Roman" w:hAnsi="Times New Roman" w:eastAsia="仿宋_GB2312" w:cs="仿宋_GB2312"/>
          <w:color w:val="auto"/>
          <w:sz w:val="28"/>
          <w:highlight w:val="none"/>
        </w:rPr>
        <w:t>，为各行政区划内用户接入及重点区域（</w:t>
      </w:r>
      <w:r>
        <w:rPr>
          <w:rFonts w:hint="eastAsia" w:ascii="Times New Roman" w:hAnsi="Times New Roman" w:eastAsia="仿宋_GB2312" w:cs="仿宋_GB2312"/>
          <w:color w:val="auto"/>
          <w:sz w:val="28"/>
          <w:highlight w:val="none"/>
          <w:lang w:val="en-US" w:eastAsia="zh-CN"/>
        </w:rPr>
        <w:t>如</w:t>
      </w:r>
      <w:r>
        <w:rPr>
          <w:rFonts w:hint="eastAsia" w:ascii="Times New Roman" w:hAnsi="Times New Roman" w:eastAsia="仿宋_GB2312" w:cs="仿宋_GB2312"/>
          <w:color w:val="auto"/>
          <w:sz w:val="28"/>
          <w:highlight w:val="none"/>
        </w:rPr>
        <w:t>电子政务云等）节点提供</w:t>
      </w:r>
      <w:r>
        <w:rPr>
          <w:rFonts w:hint="eastAsia" w:ascii="Times New Roman" w:hAnsi="Times New Roman" w:eastAsia="仿宋_GB2312" w:cs="仿宋_GB2312"/>
          <w:color w:val="auto"/>
          <w:sz w:val="28"/>
          <w:highlight w:val="none"/>
          <w:lang w:val="en-US" w:eastAsia="zh-CN"/>
        </w:rPr>
        <w:t>具备</w:t>
      </w:r>
      <w:r>
        <w:rPr>
          <w:rFonts w:hint="eastAsia" w:ascii="Times New Roman" w:hAnsi="Times New Roman" w:eastAsia="仿宋_GB2312" w:cs="仿宋_GB2312"/>
          <w:color w:val="auto"/>
          <w:sz w:val="28"/>
          <w:highlight w:val="none"/>
        </w:rPr>
        <w:t>可靠</w:t>
      </w:r>
      <w:r>
        <w:rPr>
          <w:rFonts w:hint="eastAsia" w:ascii="Times New Roman" w:hAnsi="Times New Roman" w:eastAsia="仿宋_GB2312" w:cs="仿宋_GB2312"/>
          <w:color w:val="auto"/>
          <w:sz w:val="28"/>
          <w:highlight w:val="none"/>
          <w:lang w:val="en-US" w:eastAsia="zh-CN"/>
        </w:rPr>
        <w:t>性</w:t>
      </w:r>
      <w:r>
        <w:rPr>
          <w:rFonts w:hint="eastAsia" w:ascii="Times New Roman" w:hAnsi="Times New Roman" w:eastAsia="仿宋_GB2312" w:cs="仿宋_GB2312"/>
          <w:color w:val="auto"/>
          <w:sz w:val="28"/>
          <w:highlight w:val="none"/>
        </w:rPr>
        <w:t>、可实施</w:t>
      </w:r>
      <w:r>
        <w:rPr>
          <w:rFonts w:hint="eastAsia" w:ascii="Times New Roman" w:hAnsi="Times New Roman" w:eastAsia="仿宋_GB2312" w:cs="仿宋_GB2312"/>
          <w:color w:val="auto"/>
          <w:sz w:val="28"/>
          <w:highlight w:val="none"/>
          <w:lang w:val="en-US" w:eastAsia="zh-CN"/>
        </w:rPr>
        <w:t>性</w:t>
      </w:r>
      <w:r>
        <w:rPr>
          <w:rFonts w:hint="eastAsia" w:ascii="Times New Roman" w:hAnsi="Times New Roman" w:eastAsia="仿宋_GB2312" w:cs="仿宋_GB2312"/>
          <w:color w:val="auto"/>
          <w:sz w:val="28"/>
          <w:highlight w:val="none"/>
        </w:rPr>
        <w:t>、时效性、冗余性</w:t>
      </w:r>
      <w:r>
        <w:rPr>
          <w:rFonts w:hint="eastAsia" w:ascii="Times New Roman" w:hAnsi="Times New Roman" w:eastAsia="仿宋_GB2312" w:cs="仿宋_GB2312"/>
          <w:color w:val="auto"/>
          <w:sz w:val="28"/>
          <w:highlight w:val="none"/>
          <w:lang w:val="en-US" w:eastAsia="zh-CN"/>
        </w:rPr>
        <w:t>与</w:t>
      </w:r>
      <w:r>
        <w:rPr>
          <w:rFonts w:hint="eastAsia" w:ascii="Times New Roman" w:hAnsi="Times New Roman" w:eastAsia="仿宋_GB2312" w:cs="仿宋_GB2312"/>
          <w:color w:val="auto"/>
          <w:sz w:val="28"/>
          <w:highlight w:val="none"/>
        </w:rPr>
        <w:t>长期</w:t>
      </w:r>
      <w:r>
        <w:rPr>
          <w:rFonts w:hint="eastAsia" w:ascii="Times New Roman" w:hAnsi="Times New Roman" w:eastAsia="仿宋_GB2312" w:cs="仿宋_GB2312"/>
          <w:color w:val="auto"/>
          <w:sz w:val="28"/>
          <w:highlight w:val="none"/>
          <w:lang w:val="en-US" w:eastAsia="zh-CN"/>
        </w:rPr>
        <w:t>良好</w:t>
      </w:r>
      <w:r>
        <w:rPr>
          <w:rFonts w:hint="eastAsia" w:ascii="Times New Roman" w:hAnsi="Times New Roman" w:eastAsia="仿宋_GB2312" w:cs="仿宋_GB2312"/>
          <w:color w:val="auto"/>
          <w:sz w:val="28"/>
          <w:highlight w:val="none"/>
        </w:rPr>
        <w:t>可扩展性的基础资源点位服务</w:t>
      </w:r>
      <w:r>
        <w:rPr>
          <w:rFonts w:hint="eastAsia" w:ascii="Times New Roman" w:hAnsi="Times New Roman" w:eastAsia="仿宋_GB2312" w:cs="仿宋_GB2312"/>
          <w:color w:val="auto"/>
          <w:sz w:val="28"/>
          <w:highlight w:val="none"/>
          <w:lang w:val="en-US" w:eastAsia="zh-CN"/>
        </w:rPr>
        <w:t>能力</w:t>
      </w:r>
      <w:r>
        <w:rPr>
          <w:rFonts w:hint="eastAsia" w:ascii="Times New Roman" w:hAnsi="Times New Roman" w:eastAsia="仿宋_GB2312" w:cs="仿宋_GB2312"/>
          <w:color w:val="auto"/>
          <w:sz w:val="28"/>
          <w:highlight w:val="none"/>
          <w:lang w:eastAsia="zh-CN"/>
        </w:rPr>
        <w:t>；</w:t>
      </w:r>
    </w:p>
    <w:p w14:paraId="32CC691D">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highlight w:val="none"/>
        </w:rPr>
      </w:pPr>
      <w:r>
        <w:rPr>
          <w:rFonts w:hint="eastAsia" w:ascii="Times New Roman" w:hAnsi="Times New Roman" w:eastAsia="仿宋_GB2312" w:cs="仿宋_GB2312"/>
          <w:color w:val="auto"/>
          <w:sz w:val="28"/>
          <w:highlight w:val="none"/>
          <w:lang w:val="en-US" w:eastAsia="zh-CN"/>
        </w:rPr>
        <w:t>需提供政务外网无线网接入区设计方案，实现运营商5G网络的安全接入，并提供相应的接入运营服务；</w:t>
      </w:r>
    </w:p>
    <w:p w14:paraId="7E209864">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highlight w:val="none"/>
          <w:lang w:val="en-US" w:eastAsia="zh-CN"/>
        </w:rPr>
        <w:t>需</w:t>
      </w:r>
      <w:r>
        <w:rPr>
          <w:rFonts w:hint="eastAsia" w:ascii="Times New Roman" w:hAnsi="Times New Roman" w:eastAsia="仿宋_GB2312" w:cs="仿宋_GB2312"/>
          <w:color w:val="auto"/>
          <w:sz w:val="28"/>
          <w:highlight w:val="none"/>
        </w:rPr>
        <w:t>针对网络重点区域、重点用户、应急开通</w:t>
      </w:r>
      <w:r>
        <w:rPr>
          <w:rFonts w:hint="eastAsia" w:ascii="Times New Roman" w:hAnsi="Times New Roman" w:eastAsia="仿宋_GB2312" w:cs="仿宋_GB2312"/>
          <w:color w:val="auto"/>
          <w:sz w:val="28"/>
          <w:highlight w:val="none"/>
          <w:lang w:val="en-US" w:eastAsia="zh-CN"/>
        </w:rPr>
        <w:t>及</w:t>
      </w:r>
      <w:r>
        <w:rPr>
          <w:rFonts w:hint="eastAsia" w:ascii="Times New Roman" w:hAnsi="Times New Roman" w:eastAsia="仿宋_GB2312" w:cs="仿宋_GB2312"/>
          <w:color w:val="auto"/>
          <w:sz w:val="28"/>
          <w:highlight w:val="none"/>
        </w:rPr>
        <w:t>终端互联网安全接入等场景</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提供相应</w:t>
      </w:r>
      <w:r>
        <w:rPr>
          <w:rFonts w:hint="eastAsia" w:ascii="Times New Roman" w:hAnsi="Times New Roman" w:eastAsia="仿宋_GB2312" w:cs="仿宋_GB2312"/>
          <w:color w:val="auto"/>
          <w:sz w:val="28"/>
          <w:highlight w:val="none"/>
          <w:lang w:val="en-US" w:eastAsia="zh-CN"/>
        </w:rPr>
        <w:t>的</w:t>
      </w:r>
      <w:r>
        <w:rPr>
          <w:rFonts w:hint="eastAsia" w:ascii="Times New Roman" w:hAnsi="Times New Roman" w:eastAsia="仿宋_GB2312" w:cs="仿宋_GB2312"/>
          <w:color w:val="auto"/>
          <w:sz w:val="28"/>
          <w:highlight w:val="none"/>
        </w:rPr>
        <w:t>技术方案</w:t>
      </w:r>
      <w:r>
        <w:rPr>
          <w:rFonts w:hint="eastAsia" w:ascii="Times New Roman" w:hAnsi="Times New Roman" w:eastAsia="仿宋_GB2312" w:cs="仿宋_GB2312"/>
          <w:color w:val="auto"/>
          <w:sz w:val="28"/>
          <w:highlight w:val="none"/>
          <w:lang w:val="en-US" w:eastAsia="zh-CN"/>
        </w:rPr>
        <w:t>与</w:t>
      </w:r>
      <w:r>
        <w:rPr>
          <w:rFonts w:hint="eastAsia" w:ascii="Times New Roman" w:hAnsi="Times New Roman" w:eastAsia="仿宋_GB2312" w:cs="仿宋_GB2312"/>
          <w:color w:val="auto"/>
          <w:sz w:val="28"/>
          <w:highlight w:val="none"/>
        </w:rPr>
        <w:t>网络保障措施</w:t>
      </w:r>
      <w:r>
        <w:rPr>
          <w:rFonts w:hint="eastAsia" w:ascii="Times New Roman" w:hAnsi="Times New Roman" w:eastAsia="仿宋_GB2312" w:cs="仿宋_GB2312"/>
          <w:color w:val="auto"/>
          <w:sz w:val="28"/>
          <w:highlight w:val="none"/>
          <w:lang w:eastAsia="zh-CN"/>
        </w:rPr>
        <w:t>；</w:t>
      </w:r>
    </w:p>
    <w:p w14:paraId="0D010AA3">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highlight w:val="none"/>
          <w:lang w:val="en-US" w:eastAsia="zh-CN"/>
        </w:rPr>
        <w:t>需提供高可靠的DNS域名解析服务，提供相应的技术方案；</w:t>
      </w:r>
    </w:p>
    <w:p w14:paraId="4DD5D37A">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szCs w:val="28"/>
          <w:highlight w:val="none"/>
          <w:lang w:val="en-US" w:eastAsia="zh-CN"/>
        </w:rPr>
        <w:t>需提供终端违规外联检测的技术方案；</w:t>
      </w:r>
    </w:p>
    <w:p w14:paraId="7E449D61">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highlight w:val="none"/>
        </w:rPr>
        <w:t>主要软硬件产品</w:t>
      </w:r>
      <w:r>
        <w:rPr>
          <w:rFonts w:hint="eastAsia" w:ascii="Times New Roman" w:hAnsi="Times New Roman" w:eastAsia="仿宋_GB2312" w:cs="仿宋_GB2312"/>
          <w:color w:val="auto"/>
          <w:sz w:val="28"/>
          <w:highlight w:val="none"/>
          <w:lang w:val="en-US" w:eastAsia="zh-CN"/>
        </w:rPr>
        <w:t>须</w:t>
      </w:r>
      <w:r>
        <w:rPr>
          <w:rFonts w:hint="eastAsia" w:ascii="Times New Roman" w:hAnsi="Times New Roman" w:eastAsia="仿宋_GB2312" w:cs="仿宋_GB2312"/>
          <w:color w:val="auto"/>
          <w:sz w:val="28"/>
          <w:highlight w:val="none"/>
        </w:rPr>
        <w:t>原厂授权证明</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lang w:val="en-US" w:eastAsia="zh-CN"/>
        </w:rPr>
        <w:t>若属于</w:t>
      </w:r>
      <w:r>
        <w:rPr>
          <w:rFonts w:hint="eastAsia" w:ascii="Times New Roman" w:hAnsi="Times New Roman" w:eastAsia="仿宋_GB2312" w:cs="仿宋_GB2312"/>
          <w:color w:val="auto"/>
          <w:sz w:val="28"/>
          <w:highlight w:val="none"/>
        </w:rPr>
        <w:t>现网设备</w:t>
      </w:r>
      <w:r>
        <w:rPr>
          <w:rFonts w:hint="eastAsia" w:ascii="Times New Roman" w:hAnsi="Times New Roman" w:eastAsia="仿宋_GB2312" w:cs="仿宋_GB2312"/>
          <w:color w:val="auto"/>
          <w:sz w:val="28"/>
          <w:highlight w:val="none"/>
          <w:lang w:eastAsia="zh-CN"/>
        </w:rPr>
        <w:t>，</w:t>
      </w:r>
      <w:r>
        <w:rPr>
          <w:rFonts w:hint="eastAsia" w:ascii="Times New Roman" w:hAnsi="Times New Roman" w:eastAsia="仿宋_GB2312" w:cs="仿宋_GB2312"/>
          <w:color w:val="auto"/>
          <w:sz w:val="28"/>
          <w:highlight w:val="none"/>
        </w:rPr>
        <w:t>则提供设备采购证明材料</w:t>
      </w:r>
      <w:r>
        <w:rPr>
          <w:rFonts w:hint="eastAsia" w:ascii="Times New Roman" w:hAnsi="Times New Roman" w:eastAsia="仿宋_GB2312" w:cs="仿宋_GB2312"/>
          <w:color w:val="auto"/>
          <w:sz w:val="28"/>
          <w:highlight w:val="none"/>
          <w:lang w:eastAsia="zh-CN"/>
        </w:rPr>
        <w:t>；</w:t>
      </w:r>
    </w:p>
    <w:p w14:paraId="53E24B5A">
      <w:pPr>
        <w:pStyle w:val="63"/>
        <w:widowControl/>
        <w:numPr>
          <w:ilvl w:val="0"/>
          <w:numId w:val="6"/>
        </w:numPr>
        <w:spacing w:line="560" w:lineRule="exact"/>
        <w:ind w:left="0" w:leftChars="0" w:firstLine="560" w:firstLineChars="200"/>
        <w:rPr>
          <w:rFonts w:hint="eastAsia" w:ascii="Times New Roman" w:hAnsi="Times New Roman" w:eastAsia="仿宋_GB2312" w:cs="仿宋_GB2312"/>
          <w:color w:val="auto"/>
          <w:sz w:val="28"/>
          <w:szCs w:val="28"/>
          <w:highlight w:val="none"/>
        </w:rPr>
      </w:pPr>
      <w:r>
        <w:rPr>
          <w:rFonts w:hint="eastAsia" w:ascii="Times New Roman" w:hAnsi="Times New Roman" w:eastAsia="仿宋_GB2312" w:cs="仿宋_GB2312"/>
          <w:color w:val="auto"/>
          <w:sz w:val="28"/>
          <w:highlight w:val="none"/>
          <w:lang w:val="en-US" w:eastAsia="zh-CN"/>
        </w:rPr>
        <w:t>需</w:t>
      </w:r>
      <w:r>
        <w:rPr>
          <w:rFonts w:hint="eastAsia" w:ascii="Times New Roman" w:hAnsi="Times New Roman" w:eastAsia="仿宋_GB2312" w:cs="仿宋_GB2312"/>
          <w:color w:val="auto"/>
          <w:sz w:val="28"/>
          <w:highlight w:val="none"/>
        </w:rPr>
        <w:t>提供所设计的安全及运营服务方案在省级（含直辖市）政务类网络服务中得到</w:t>
      </w:r>
      <w:r>
        <w:rPr>
          <w:rFonts w:hint="eastAsia" w:ascii="Times New Roman" w:hAnsi="Times New Roman" w:eastAsia="仿宋_GB2312" w:cs="仿宋_GB2312"/>
          <w:color w:val="auto"/>
          <w:sz w:val="28"/>
          <w:highlight w:val="none"/>
          <w:lang w:val="en-US" w:eastAsia="zh-CN"/>
        </w:rPr>
        <w:t>实际</w:t>
      </w:r>
      <w:r>
        <w:rPr>
          <w:rFonts w:hint="eastAsia" w:ascii="Times New Roman" w:hAnsi="Times New Roman" w:eastAsia="仿宋_GB2312" w:cs="仿宋_GB2312"/>
          <w:color w:val="auto"/>
          <w:sz w:val="28"/>
          <w:highlight w:val="none"/>
        </w:rPr>
        <w:t>验证的相关证明</w:t>
      </w:r>
      <w:r>
        <w:rPr>
          <w:rFonts w:hint="eastAsia" w:ascii="Times New Roman" w:hAnsi="Times New Roman" w:eastAsia="仿宋_GB2312" w:cs="仿宋_GB2312"/>
          <w:color w:val="auto"/>
          <w:sz w:val="28"/>
          <w:highlight w:val="none"/>
          <w:lang w:eastAsia="zh-CN"/>
        </w:rPr>
        <w:t>。</w:t>
      </w:r>
    </w:p>
    <w:p w14:paraId="5960FE08">
      <w:pPr>
        <w:pStyle w:val="3"/>
        <w:jc w:val="both"/>
        <w:rPr>
          <w:rFonts w:ascii="Times New Roman" w:hAnsi="Times New Roman"/>
          <w:color w:val="auto"/>
          <w:highlight w:val="none"/>
        </w:rPr>
      </w:pPr>
      <w:bookmarkStart w:id="39" w:name="_Toc29798"/>
      <w:bookmarkStart w:id="40" w:name="_Toc14366"/>
      <w:bookmarkStart w:id="41" w:name="_Toc6314"/>
      <w:bookmarkStart w:id="42" w:name="_Toc22478"/>
      <w:bookmarkStart w:id="43" w:name="_Toc18853"/>
      <w:bookmarkStart w:id="44" w:name="_Toc6048"/>
      <w:r>
        <w:rPr>
          <w:rFonts w:hint="eastAsia" w:ascii="Times New Roman" w:hAnsi="Times New Roman"/>
          <w:color w:val="auto"/>
          <w:highlight w:val="none"/>
        </w:rPr>
        <w:t>光传输网络技术要</w:t>
      </w:r>
      <w:bookmarkEnd w:id="39"/>
      <w:bookmarkEnd w:id="40"/>
      <w:bookmarkEnd w:id="41"/>
      <w:bookmarkEnd w:id="42"/>
      <w:bookmarkEnd w:id="43"/>
      <w:bookmarkEnd w:id="44"/>
    </w:p>
    <w:p w14:paraId="1CF30D63">
      <w:pPr>
        <w:pStyle w:val="4"/>
        <w:jc w:val="both"/>
        <w:rPr>
          <w:rFonts w:ascii="Times New Roman" w:hAnsi="Times New Roman"/>
          <w:color w:val="auto"/>
          <w:highlight w:val="none"/>
        </w:rPr>
      </w:pPr>
      <w:bookmarkStart w:id="45" w:name="_Toc12286"/>
      <w:bookmarkStart w:id="46" w:name="_Toc12626"/>
      <w:bookmarkStart w:id="47" w:name="_Toc20833"/>
      <w:bookmarkStart w:id="48" w:name="_Toc17370"/>
      <w:bookmarkStart w:id="49" w:name="_Toc21481"/>
      <w:bookmarkStart w:id="50" w:name="_Toc15133"/>
      <w:r>
        <w:rPr>
          <w:rFonts w:hint="eastAsia" w:ascii="Times New Roman" w:hAnsi="Times New Roman"/>
          <w:color w:val="auto"/>
          <w:highlight w:val="none"/>
        </w:rPr>
        <w:t>光传输网络整体构架要求</w:t>
      </w:r>
      <w:bookmarkEnd w:id="45"/>
      <w:bookmarkEnd w:id="46"/>
      <w:bookmarkEnd w:id="47"/>
      <w:bookmarkEnd w:id="48"/>
      <w:bookmarkEnd w:id="49"/>
      <w:bookmarkEnd w:id="50"/>
    </w:p>
    <w:p w14:paraId="68C520A0">
      <w:pPr>
        <w:spacing w:line="560" w:lineRule="exact"/>
        <w:ind w:firstLine="560" w:firstLineChars="200"/>
        <w:jc w:val="both"/>
        <w:rPr>
          <w:rFonts w:ascii="Times New Roman" w:hAnsi="Times New Roman"/>
          <w:color w:val="auto"/>
          <w:highlight w:val="none"/>
        </w:rPr>
      </w:pPr>
      <w:r>
        <w:rPr>
          <w:rFonts w:hint="eastAsia" w:ascii="Times New Roman" w:hAnsi="Times New Roman" w:eastAsia="仿宋_GB2312"/>
          <w:color w:val="auto"/>
          <w:highlight w:val="none"/>
        </w:rPr>
        <w:t>光传输网络</w:t>
      </w:r>
      <w:r>
        <w:rPr>
          <w:rFonts w:hint="eastAsia" w:ascii="Times New Roman" w:hAnsi="Times New Roman" w:eastAsia="仿宋_GB2312"/>
          <w:color w:val="auto"/>
          <w:highlight w:val="none"/>
          <w:lang w:val="en-US" w:eastAsia="zh-CN"/>
        </w:rPr>
        <w:t>基于</w:t>
      </w:r>
      <w:r>
        <w:rPr>
          <w:rFonts w:ascii="Times New Roman" w:hAnsi="Times New Roman" w:eastAsia="仿宋_GB2312"/>
          <w:color w:val="auto"/>
          <w:highlight w:val="none"/>
        </w:rPr>
        <w:t>OTN</w:t>
      </w:r>
      <w:r>
        <w:rPr>
          <w:rFonts w:hint="eastAsia" w:ascii="Times New Roman" w:hAnsi="Times New Roman" w:eastAsia="仿宋_GB2312"/>
          <w:color w:val="auto"/>
          <w:highlight w:val="none"/>
        </w:rPr>
        <w:t>技术组网，为上层业务网络提供大带宽、低时延、高可靠的传输通道</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通过</w:t>
      </w:r>
      <w:r>
        <w:rPr>
          <w:rFonts w:hint="eastAsia" w:ascii="Times New Roman" w:hAnsi="Times New Roman" w:eastAsia="仿宋_GB2312"/>
          <w:color w:val="auto"/>
          <w:highlight w:val="none"/>
          <w:lang w:val="en-US" w:eastAsia="zh-CN"/>
        </w:rPr>
        <w:t>具备</w:t>
      </w:r>
      <w:r>
        <w:rPr>
          <w:rFonts w:hint="eastAsia" w:ascii="Times New Roman" w:hAnsi="Times New Roman" w:eastAsia="仿宋_GB2312"/>
          <w:color w:val="auto"/>
          <w:highlight w:val="none"/>
        </w:rPr>
        <w:t>光链路保护、光监控等功能，</w:t>
      </w:r>
      <w:r>
        <w:rPr>
          <w:rFonts w:hint="eastAsia" w:ascii="Times New Roman" w:hAnsi="Times New Roman" w:eastAsia="仿宋_GB2312"/>
          <w:color w:val="auto"/>
          <w:highlight w:val="none"/>
          <w:lang w:val="en-US" w:eastAsia="zh-CN"/>
        </w:rPr>
        <w:t>有效保障</w:t>
      </w:r>
      <w:r>
        <w:rPr>
          <w:rFonts w:hint="eastAsia" w:ascii="Times New Roman" w:hAnsi="Times New Roman" w:eastAsia="仿宋_GB2312"/>
          <w:color w:val="auto"/>
          <w:highlight w:val="none"/>
        </w:rPr>
        <w:t>业务网络的传输安全</w:t>
      </w:r>
      <w:r>
        <w:rPr>
          <w:rFonts w:hint="eastAsia" w:ascii="Times New Roman" w:hAnsi="Times New Roman" w:eastAsia="仿宋_GB2312"/>
          <w:color w:val="auto"/>
          <w:highlight w:val="none"/>
          <w:lang w:val="en-US" w:eastAsia="zh-CN"/>
        </w:rPr>
        <w:t>并提升</w:t>
      </w:r>
      <w:r>
        <w:rPr>
          <w:rFonts w:hint="eastAsia" w:ascii="Times New Roman" w:hAnsi="Times New Roman" w:eastAsia="仿宋_GB2312"/>
          <w:color w:val="auto"/>
          <w:highlight w:val="none"/>
        </w:rPr>
        <w:t>运维管理能力。</w:t>
      </w:r>
      <w:r>
        <w:rPr>
          <w:rFonts w:hint="eastAsia" w:ascii="Times New Roman" w:hAnsi="Times New Roman" w:eastAsia="仿宋_GB2312"/>
          <w:color w:val="auto"/>
          <w:highlight w:val="none"/>
          <w:lang w:val="en-US" w:eastAsia="zh-CN"/>
        </w:rPr>
        <w:t>该</w:t>
      </w:r>
      <w:r>
        <w:rPr>
          <w:rFonts w:hint="eastAsia" w:ascii="Times New Roman" w:hAnsi="Times New Roman" w:eastAsia="仿宋_GB2312"/>
          <w:color w:val="auto"/>
          <w:highlight w:val="none"/>
        </w:rPr>
        <w:t>网络采用核心层、汇聚层的分层组网架构设计，可根据政务外网接入单位的物理位置分布、机房</w:t>
      </w:r>
      <w:r>
        <w:rPr>
          <w:rFonts w:hint="eastAsia" w:ascii="Times New Roman" w:hAnsi="Times New Roman" w:eastAsia="仿宋_GB2312"/>
          <w:color w:val="auto"/>
          <w:highlight w:val="none"/>
          <w:lang w:val="en-US" w:eastAsia="zh-CN"/>
        </w:rPr>
        <w:t>条件</w:t>
      </w:r>
      <w:r>
        <w:rPr>
          <w:rFonts w:hint="eastAsia" w:ascii="Times New Roman" w:hAnsi="Times New Roman" w:eastAsia="仿宋_GB2312"/>
          <w:color w:val="auto"/>
          <w:highlight w:val="none"/>
        </w:rPr>
        <w:t>和光纤链路资源等因素</w:t>
      </w:r>
      <w:r>
        <w:rPr>
          <w:rFonts w:hint="eastAsia" w:ascii="Times New Roman" w:hAnsi="Times New Roman" w:eastAsia="仿宋_GB2312"/>
          <w:color w:val="auto"/>
          <w:highlight w:val="none"/>
          <w:lang w:val="en-US" w:eastAsia="zh-CN"/>
        </w:rPr>
        <w:t>进行灵活配置</w:t>
      </w:r>
      <w:r>
        <w:rPr>
          <w:rFonts w:hint="eastAsia" w:ascii="Times New Roman" w:hAnsi="Times New Roman" w:eastAsia="仿宋_GB2312"/>
          <w:color w:val="auto"/>
          <w:highlight w:val="none"/>
        </w:rPr>
        <w:t>。</w:t>
      </w:r>
    </w:p>
    <w:p w14:paraId="5B716040">
      <w:pPr>
        <w:pStyle w:val="4"/>
        <w:jc w:val="both"/>
        <w:rPr>
          <w:rFonts w:ascii="Times New Roman" w:hAnsi="Times New Roman"/>
          <w:color w:val="auto"/>
          <w:highlight w:val="none"/>
        </w:rPr>
      </w:pPr>
      <w:bookmarkStart w:id="51" w:name="_Toc13721"/>
      <w:bookmarkStart w:id="52" w:name="_Toc27280"/>
      <w:bookmarkStart w:id="53" w:name="_Toc2139"/>
      <w:bookmarkStart w:id="54" w:name="_Toc14347"/>
      <w:bookmarkStart w:id="55" w:name="_Toc11898"/>
      <w:bookmarkStart w:id="56" w:name="_Toc2313"/>
      <w:r>
        <w:rPr>
          <w:rFonts w:hint="eastAsia" w:ascii="Times New Roman" w:hAnsi="Times New Roman"/>
          <w:color w:val="auto"/>
          <w:highlight w:val="none"/>
        </w:rPr>
        <w:t>光传输技术规范要求</w:t>
      </w:r>
      <w:bookmarkEnd w:id="51"/>
      <w:bookmarkEnd w:id="52"/>
      <w:bookmarkEnd w:id="53"/>
      <w:bookmarkEnd w:id="54"/>
      <w:bookmarkEnd w:id="55"/>
      <w:bookmarkEnd w:id="56"/>
    </w:p>
    <w:p w14:paraId="3D28EDA9">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核心</w:t>
      </w:r>
      <w:r>
        <w:rPr>
          <w:rFonts w:hint="eastAsia" w:ascii="Times New Roman" w:hAnsi="Times New Roman" w:eastAsia="仿宋_GB2312"/>
          <w:color w:val="auto"/>
          <w:sz w:val="28"/>
          <w:highlight w:val="none"/>
          <w:lang w:val="en-US" w:eastAsia="zh-CN"/>
        </w:rPr>
        <w:t>层与</w:t>
      </w:r>
      <w:r>
        <w:rPr>
          <w:rFonts w:hint="eastAsia" w:ascii="Times New Roman" w:hAnsi="Times New Roman" w:eastAsia="仿宋_GB2312"/>
          <w:color w:val="auto"/>
          <w:sz w:val="28"/>
          <w:highlight w:val="none"/>
        </w:rPr>
        <w:t>汇聚层应承载于政务外网光传输网络之上</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核心节点</w:t>
      </w:r>
      <w:r>
        <w:rPr>
          <w:rFonts w:hint="eastAsia" w:ascii="Times New Roman" w:hAnsi="Times New Roman" w:eastAsia="仿宋_GB2312"/>
          <w:color w:val="auto"/>
          <w:sz w:val="28"/>
          <w:highlight w:val="none"/>
          <w:lang w:val="en-US" w:eastAsia="zh-CN"/>
        </w:rPr>
        <w:t>及</w:t>
      </w:r>
      <w:r>
        <w:rPr>
          <w:rFonts w:hint="eastAsia" w:ascii="Times New Roman" w:hAnsi="Times New Roman" w:eastAsia="仿宋_GB2312"/>
          <w:color w:val="auto"/>
          <w:sz w:val="28"/>
          <w:highlight w:val="none"/>
        </w:rPr>
        <w:t>汇聚节点</w:t>
      </w:r>
      <w:r>
        <w:rPr>
          <w:rFonts w:hint="eastAsia" w:ascii="Times New Roman" w:hAnsi="Times New Roman" w:eastAsia="仿宋_GB2312"/>
          <w:color w:val="auto"/>
          <w:sz w:val="28"/>
          <w:highlight w:val="none"/>
          <w:lang w:val="en-US" w:eastAsia="zh-CN"/>
        </w:rPr>
        <w:t>应</w:t>
      </w:r>
      <w:r>
        <w:rPr>
          <w:rFonts w:hint="eastAsia" w:ascii="Times New Roman" w:hAnsi="Times New Roman" w:eastAsia="仿宋_GB2312"/>
          <w:color w:val="auto"/>
          <w:sz w:val="28"/>
          <w:highlight w:val="none"/>
        </w:rPr>
        <w:t>部署光传输网络站点设备；</w:t>
      </w:r>
    </w:p>
    <w:p w14:paraId="7DD6695A">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核心节点之间的互联应采用高可用组网架构</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相邻核心节点之间</w:t>
      </w:r>
      <w:r>
        <w:rPr>
          <w:rFonts w:hint="eastAsia" w:ascii="Times New Roman" w:hAnsi="Times New Roman" w:eastAsia="仿宋_GB2312"/>
          <w:color w:val="auto"/>
          <w:sz w:val="28"/>
          <w:highlight w:val="none"/>
          <w:lang w:val="en-US" w:eastAsia="zh-CN"/>
        </w:rPr>
        <w:t>应</w:t>
      </w:r>
      <w:r>
        <w:rPr>
          <w:rFonts w:hint="eastAsia" w:ascii="Times New Roman" w:hAnsi="Times New Roman" w:eastAsia="仿宋_GB2312"/>
          <w:color w:val="auto"/>
          <w:sz w:val="28"/>
          <w:highlight w:val="none"/>
        </w:rPr>
        <w:t>开通两个不同路由的光传输通道，</w:t>
      </w:r>
      <w:r>
        <w:rPr>
          <w:rFonts w:hint="eastAsia" w:ascii="Times New Roman" w:hAnsi="Times New Roman" w:eastAsia="仿宋_GB2312"/>
          <w:color w:val="auto"/>
          <w:sz w:val="28"/>
          <w:highlight w:val="none"/>
          <w:lang w:val="en-US" w:eastAsia="zh-CN"/>
        </w:rPr>
        <w:t>确保</w:t>
      </w:r>
      <w:r>
        <w:rPr>
          <w:rFonts w:hint="eastAsia" w:ascii="Times New Roman" w:hAnsi="Times New Roman" w:eastAsia="仿宋_GB2312"/>
          <w:color w:val="auto"/>
          <w:sz w:val="28"/>
          <w:highlight w:val="none"/>
        </w:rPr>
        <w:t>两点间多链路可达，</w:t>
      </w:r>
      <w:r>
        <w:rPr>
          <w:rFonts w:hint="eastAsia" w:ascii="Times New Roman" w:hAnsi="Times New Roman" w:eastAsia="仿宋_GB2312"/>
          <w:color w:val="auto"/>
          <w:sz w:val="28"/>
          <w:highlight w:val="none"/>
          <w:lang w:val="en-US" w:eastAsia="zh-CN"/>
        </w:rPr>
        <w:t>并</w:t>
      </w:r>
      <w:r>
        <w:rPr>
          <w:rFonts w:hint="eastAsia" w:ascii="Times New Roman" w:hAnsi="Times New Roman" w:eastAsia="仿宋_GB2312"/>
          <w:color w:val="auto"/>
          <w:sz w:val="28"/>
          <w:highlight w:val="none"/>
        </w:rPr>
        <w:t>对传输业务进行冗余保护；</w:t>
      </w:r>
    </w:p>
    <w:p w14:paraId="361E9B6D">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汇聚节点之间应采用环形组网架构</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每个汇聚节点到</w:t>
      </w:r>
      <w:r>
        <w:rPr>
          <w:rFonts w:hint="eastAsia" w:ascii="Times New Roman" w:hAnsi="Times New Roman" w:eastAsia="仿宋_GB2312"/>
          <w:color w:val="auto"/>
          <w:sz w:val="28"/>
          <w:highlight w:val="none"/>
          <w:lang w:val="en-US" w:eastAsia="zh-CN"/>
        </w:rPr>
        <w:t>其</w:t>
      </w:r>
      <w:r>
        <w:rPr>
          <w:rFonts w:hint="eastAsia" w:ascii="Times New Roman" w:hAnsi="Times New Roman" w:eastAsia="仿宋_GB2312"/>
          <w:color w:val="auto"/>
          <w:sz w:val="28"/>
          <w:highlight w:val="none"/>
        </w:rPr>
        <w:t>相邻的核心节点之间</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均</w:t>
      </w:r>
      <w:r>
        <w:rPr>
          <w:rFonts w:hint="eastAsia" w:ascii="Times New Roman" w:hAnsi="Times New Roman" w:eastAsia="仿宋_GB2312"/>
          <w:color w:val="auto"/>
          <w:sz w:val="28"/>
          <w:highlight w:val="none"/>
          <w:lang w:val="en-US" w:eastAsia="zh-CN"/>
        </w:rPr>
        <w:t>应</w:t>
      </w:r>
      <w:r>
        <w:rPr>
          <w:rFonts w:hint="eastAsia" w:ascii="Times New Roman" w:hAnsi="Times New Roman" w:eastAsia="仿宋_GB2312"/>
          <w:color w:val="auto"/>
          <w:sz w:val="28"/>
          <w:highlight w:val="none"/>
        </w:rPr>
        <w:t>开通两个不同路由的光传输通道</w:t>
      </w:r>
      <w:r>
        <w:rPr>
          <w:rFonts w:hint="eastAsia" w:ascii="Times New Roman" w:hAnsi="Times New Roman" w:eastAsia="仿宋_GB2312"/>
          <w:color w:val="auto"/>
          <w:sz w:val="28"/>
          <w:highlight w:val="none"/>
          <w:lang w:eastAsia="zh-CN"/>
        </w:rPr>
        <w:t>；</w:t>
      </w:r>
    </w:p>
    <w:p w14:paraId="44004DC1">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lang w:val="en-US" w:eastAsia="zh-CN"/>
        </w:rPr>
        <w:t>应</w:t>
      </w:r>
      <w:r>
        <w:rPr>
          <w:rFonts w:hint="eastAsia" w:ascii="Times New Roman" w:hAnsi="Times New Roman" w:eastAsia="仿宋_GB2312"/>
          <w:color w:val="auto"/>
          <w:sz w:val="28"/>
          <w:highlight w:val="none"/>
        </w:rPr>
        <w:t>采用单波速率</w:t>
      </w:r>
      <w:r>
        <w:rPr>
          <w:rFonts w:hint="eastAsia" w:ascii="Times New Roman" w:hAnsi="Times New Roman" w:eastAsia="仿宋_GB2312"/>
          <w:color w:val="auto"/>
          <w:sz w:val="28"/>
          <w:highlight w:val="none"/>
          <w:lang w:val="en-US" w:eastAsia="zh-CN"/>
        </w:rPr>
        <w:t>不低于</w:t>
      </w:r>
      <w:r>
        <w:rPr>
          <w:rFonts w:ascii="Times New Roman" w:hAnsi="Times New Roman" w:eastAsia="仿宋_GB2312"/>
          <w:color w:val="auto"/>
          <w:sz w:val="28"/>
          <w:highlight w:val="none"/>
        </w:rPr>
        <w:t>100G</w:t>
      </w:r>
      <w:r>
        <w:rPr>
          <w:rFonts w:hint="eastAsia" w:ascii="Times New Roman" w:hAnsi="Times New Roman" w:eastAsia="仿宋_GB2312"/>
          <w:color w:val="auto"/>
          <w:sz w:val="28"/>
          <w:highlight w:val="none"/>
          <w:lang w:val="en-US" w:eastAsia="zh-CN"/>
        </w:rPr>
        <w:t>的</w:t>
      </w:r>
      <w:r>
        <w:rPr>
          <w:rFonts w:ascii="Times New Roman" w:hAnsi="Times New Roman" w:eastAsia="仿宋_GB2312"/>
          <w:color w:val="auto"/>
          <w:sz w:val="28"/>
          <w:highlight w:val="none"/>
        </w:rPr>
        <w:t>OTN</w:t>
      </w:r>
      <w:r>
        <w:rPr>
          <w:rFonts w:hint="eastAsia" w:ascii="Times New Roman" w:hAnsi="Times New Roman" w:eastAsia="仿宋_GB2312"/>
          <w:color w:val="auto"/>
          <w:sz w:val="28"/>
          <w:highlight w:val="none"/>
        </w:rPr>
        <w:t>技术；</w:t>
      </w:r>
    </w:p>
    <w:p w14:paraId="338178DB">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lang w:val="en-US" w:eastAsia="zh-CN"/>
        </w:rPr>
        <w:t>网络应</w:t>
      </w:r>
      <w:r>
        <w:rPr>
          <w:rFonts w:hint="eastAsia" w:ascii="Times New Roman" w:hAnsi="Times New Roman" w:eastAsia="仿宋_GB2312"/>
          <w:color w:val="auto"/>
          <w:sz w:val="28"/>
          <w:highlight w:val="none"/>
        </w:rPr>
        <w:t>支持带宽平滑扩容，具备向</w:t>
      </w:r>
      <w:r>
        <w:rPr>
          <w:rFonts w:ascii="Times New Roman" w:hAnsi="Times New Roman" w:eastAsia="仿宋_GB2312"/>
          <w:color w:val="auto"/>
          <w:sz w:val="28"/>
          <w:highlight w:val="none"/>
        </w:rPr>
        <w:t>200G</w:t>
      </w:r>
      <w:r>
        <w:rPr>
          <w:rFonts w:hint="eastAsia" w:ascii="Times New Roman" w:hAnsi="Times New Roman" w:eastAsia="仿宋_GB2312"/>
          <w:color w:val="auto"/>
          <w:sz w:val="28"/>
          <w:highlight w:val="none"/>
        </w:rPr>
        <w:t>及以上带宽平滑扩容的能力；</w:t>
      </w:r>
    </w:p>
    <w:p w14:paraId="615A32B0">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lang w:val="en-US" w:eastAsia="zh-CN"/>
        </w:rPr>
        <w:t>应</w:t>
      </w:r>
      <w:r>
        <w:rPr>
          <w:rFonts w:hint="eastAsia" w:ascii="Times New Roman" w:hAnsi="Times New Roman" w:eastAsia="仿宋_GB2312"/>
          <w:color w:val="auto"/>
          <w:sz w:val="28"/>
          <w:highlight w:val="none"/>
        </w:rPr>
        <w:t>采用高可用组网架构，具备网络自愈能力，为各类政务应用提供安全</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可靠的传输网络支撑；</w:t>
      </w:r>
    </w:p>
    <w:p w14:paraId="264FDD9D">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lang w:val="en-US" w:eastAsia="zh-CN"/>
        </w:rPr>
        <w:t>应</w:t>
      </w:r>
      <w:r>
        <w:rPr>
          <w:rFonts w:hint="eastAsia" w:ascii="Times New Roman" w:hAnsi="Times New Roman" w:eastAsia="仿宋_GB2312"/>
          <w:color w:val="auto"/>
          <w:sz w:val="28"/>
          <w:highlight w:val="none"/>
        </w:rPr>
        <w:t>采用保护路径</w:t>
      </w:r>
      <w:r>
        <w:rPr>
          <w:rFonts w:hint="eastAsia" w:ascii="Times New Roman" w:hAnsi="Times New Roman" w:eastAsia="仿宋_GB2312"/>
          <w:color w:val="auto"/>
          <w:sz w:val="28"/>
          <w:highlight w:val="none"/>
          <w:lang w:val="en-US" w:eastAsia="zh-CN"/>
        </w:rPr>
        <w:t>与</w:t>
      </w:r>
      <w:r>
        <w:rPr>
          <w:rFonts w:hint="eastAsia" w:ascii="Times New Roman" w:hAnsi="Times New Roman" w:eastAsia="仿宋_GB2312"/>
          <w:color w:val="auto"/>
          <w:sz w:val="28"/>
          <w:highlight w:val="none"/>
        </w:rPr>
        <w:t>工作路径物理光纤分离的保护策略，端到端保护倒换时间小于</w:t>
      </w:r>
      <w:r>
        <w:rPr>
          <w:rFonts w:ascii="Times New Roman" w:hAnsi="Times New Roman" w:eastAsia="仿宋_GB2312"/>
          <w:color w:val="auto"/>
          <w:sz w:val="28"/>
          <w:highlight w:val="none"/>
        </w:rPr>
        <w:t>50ms</w:t>
      </w:r>
      <w:r>
        <w:rPr>
          <w:rFonts w:hint="eastAsia" w:ascii="Times New Roman" w:hAnsi="Times New Roman" w:eastAsia="仿宋_GB2312"/>
          <w:color w:val="auto"/>
          <w:sz w:val="28"/>
          <w:highlight w:val="none"/>
        </w:rPr>
        <w:t>；</w:t>
      </w:r>
    </w:p>
    <w:p w14:paraId="0B93D876">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lang w:val="en-US" w:eastAsia="zh-CN"/>
        </w:rPr>
        <w:t>应</w:t>
      </w:r>
      <w:r>
        <w:rPr>
          <w:rFonts w:hint="eastAsia" w:ascii="Times New Roman" w:hAnsi="Times New Roman" w:eastAsia="仿宋_GB2312"/>
          <w:color w:val="auto"/>
          <w:sz w:val="28"/>
          <w:highlight w:val="none"/>
        </w:rPr>
        <w:t>具</w:t>
      </w:r>
      <w:r>
        <w:rPr>
          <w:rFonts w:hint="eastAsia" w:ascii="Times New Roman" w:hAnsi="Times New Roman" w:eastAsia="仿宋_GB2312"/>
          <w:color w:val="auto"/>
          <w:sz w:val="28"/>
          <w:highlight w:val="none"/>
          <w:lang w:val="en-US" w:eastAsia="zh-CN"/>
        </w:rPr>
        <w:t>备</w:t>
      </w:r>
      <w:r>
        <w:rPr>
          <w:rFonts w:hint="eastAsia" w:ascii="Times New Roman" w:hAnsi="Times New Roman" w:eastAsia="仿宋_GB2312"/>
          <w:color w:val="auto"/>
          <w:sz w:val="28"/>
          <w:highlight w:val="none"/>
        </w:rPr>
        <w:t>统一承载</w:t>
      </w:r>
      <w:r>
        <w:rPr>
          <w:rFonts w:ascii="Times New Roman" w:hAnsi="Times New Roman" w:eastAsia="仿宋_GB2312"/>
          <w:color w:val="auto"/>
          <w:sz w:val="28"/>
          <w:highlight w:val="none"/>
        </w:rPr>
        <w:t>SDH</w:t>
      </w:r>
      <w:r>
        <w:rPr>
          <w:rFonts w:hint="eastAsia" w:ascii="Times New Roman" w:hAnsi="Times New Roman" w:eastAsia="仿宋_GB2312"/>
          <w:color w:val="auto"/>
          <w:sz w:val="28"/>
          <w:highlight w:val="none"/>
        </w:rPr>
        <w:t>、分组</w:t>
      </w:r>
      <w:r>
        <w:rPr>
          <w:rFonts w:hint="eastAsia" w:ascii="Times New Roman" w:hAnsi="Times New Roman" w:eastAsia="仿宋_GB2312"/>
          <w:color w:val="auto"/>
          <w:sz w:val="28"/>
          <w:highlight w:val="none"/>
          <w:lang w:val="en-US" w:eastAsia="zh-CN"/>
        </w:rPr>
        <w:t>及</w:t>
      </w:r>
      <w:r>
        <w:rPr>
          <w:rFonts w:ascii="Times New Roman" w:hAnsi="Times New Roman" w:eastAsia="仿宋_GB2312"/>
          <w:color w:val="auto"/>
          <w:sz w:val="28"/>
          <w:highlight w:val="none"/>
        </w:rPr>
        <w:t>OTN</w:t>
      </w:r>
      <w:r>
        <w:rPr>
          <w:rFonts w:hint="eastAsia" w:ascii="Times New Roman" w:hAnsi="Times New Roman" w:eastAsia="仿宋_GB2312"/>
          <w:color w:val="auto"/>
          <w:sz w:val="28"/>
          <w:highlight w:val="none"/>
        </w:rPr>
        <w:t>等多种业务的能力，能提供多种业务类型接口的接入能力，</w:t>
      </w:r>
      <w:r>
        <w:rPr>
          <w:rFonts w:hint="eastAsia" w:ascii="Times New Roman" w:hAnsi="Times New Roman" w:eastAsia="仿宋_GB2312"/>
          <w:color w:val="auto"/>
          <w:sz w:val="28"/>
          <w:highlight w:val="none"/>
          <w:lang w:val="en-US" w:eastAsia="zh-CN"/>
        </w:rPr>
        <w:t>并</w:t>
      </w:r>
      <w:r>
        <w:rPr>
          <w:rFonts w:hint="eastAsia" w:ascii="Times New Roman" w:hAnsi="Times New Roman" w:eastAsia="仿宋_GB2312"/>
          <w:color w:val="auto"/>
          <w:sz w:val="28"/>
          <w:highlight w:val="none"/>
        </w:rPr>
        <w:t>具备与已建网络互联互通的能力；</w:t>
      </w:r>
    </w:p>
    <w:p w14:paraId="13C0A0BC">
      <w:pPr>
        <w:pStyle w:val="63"/>
        <w:numPr>
          <w:ilvl w:val="0"/>
          <w:numId w:val="7"/>
        </w:numPr>
        <w:spacing w:line="560" w:lineRule="exact"/>
        <w:ind w:firstLine="560" w:firstLineChars="200"/>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应使用国内广泛应用的G.652型号</w:t>
      </w:r>
      <w:r>
        <w:rPr>
          <w:rFonts w:hint="eastAsia" w:ascii="Times New Roman" w:hAnsi="Times New Roman" w:eastAsia="仿宋_GB2312"/>
          <w:color w:val="auto"/>
          <w:sz w:val="28"/>
          <w:highlight w:val="none"/>
          <w:lang w:val="en-US" w:eastAsia="zh-CN"/>
        </w:rPr>
        <w:t>光纤</w:t>
      </w:r>
      <w:r>
        <w:rPr>
          <w:rFonts w:hint="eastAsia" w:ascii="Times New Roman" w:hAnsi="Times New Roman" w:eastAsia="仿宋_GB2312"/>
          <w:color w:val="auto"/>
          <w:sz w:val="28"/>
          <w:highlight w:val="none"/>
        </w:rPr>
        <w:t>，</w:t>
      </w:r>
      <w:r>
        <w:rPr>
          <w:rFonts w:hint="eastAsia" w:ascii="Times New Roman" w:hAnsi="Times New Roman" w:eastAsia="仿宋_GB2312"/>
          <w:color w:val="auto"/>
          <w:sz w:val="28"/>
          <w:highlight w:val="none"/>
          <w:lang w:val="en-US" w:eastAsia="zh-CN"/>
        </w:rPr>
        <w:t>其</w:t>
      </w:r>
      <w:r>
        <w:rPr>
          <w:rFonts w:hint="eastAsia" w:ascii="Times New Roman" w:hAnsi="Times New Roman" w:eastAsia="仿宋_GB2312"/>
          <w:color w:val="auto"/>
          <w:sz w:val="28"/>
          <w:highlight w:val="none"/>
        </w:rPr>
        <w:t>在1310nm波长的最大衰减系数</w:t>
      </w:r>
      <w:r>
        <w:rPr>
          <w:rFonts w:hint="eastAsia" w:ascii="Times New Roman" w:hAnsi="Times New Roman" w:eastAsia="仿宋_GB2312"/>
          <w:color w:val="auto"/>
          <w:sz w:val="28"/>
          <w:highlight w:val="none"/>
          <w:lang w:val="en-US" w:eastAsia="zh-CN"/>
        </w:rPr>
        <w:t>应不高于</w:t>
      </w:r>
      <w:r>
        <w:rPr>
          <w:rFonts w:hint="eastAsia" w:ascii="Times New Roman" w:hAnsi="Times New Roman" w:eastAsia="仿宋_GB2312"/>
          <w:color w:val="auto"/>
          <w:sz w:val="28"/>
          <w:highlight w:val="none"/>
        </w:rPr>
        <w:t>0.35dB/km，在1550nm波长的最大衰减系数</w:t>
      </w:r>
      <w:r>
        <w:rPr>
          <w:rFonts w:hint="eastAsia" w:ascii="Times New Roman" w:hAnsi="Times New Roman" w:eastAsia="仿宋_GB2312"/>
          <w:color w:val="auto"/>
          <w:sz w:val="28"/>
          <w:highlight w:val="none"/>
          <w:lang w:val="en-US" w:eastAsia="zh-CN"/>
        </w:rPr>
        <w:t>应不高于</w:t>
      </w:r>
      <w:r>
        <w:rPr>
          <w:rFonts w:hint="eastAsia" w:ascii="Times New Roman" w:hAnsi="Times New Roman" w:eastAsia="仿宋_GB2312"/>
          <w:color w:val="auto"/>
          <w:sz w:val="28"/>
          <w:highlight w:val="none"/>
        </w:rPr>
        <w:t>0.25dB/km；</w:t>
      </w:r>
    </w:p>
    <w:p w14:paraId="46F741EF">
      <w:pPr>
        <w:pStyle w:val="4"/>
        <w:rPr>
          <w:rFonts w:ascii="Times New Roman" w:hAnsi="Times New Roman"/>
          <w:color w:val="auto"/>
          <w:highlight w:val="none"/>
        </w:rPr>
      </w:pPr>
      <w:bookmarkStart w:id="57" w:name="_Toc9485"/>
      <w:bookmarkStart w:id="58" w:name="_Toc18602"/>
      <w:bookmarkStart w:id="59" w:name="_Toc6920"/>
      <w:bookmarkStart w:id="60" w:name="_Toc18172"/>
      <w:bookmarkStart w:id="61" w:name="_Toc21733"/>
      <w:bookmarkStart w:id="62" w:name="_Toc16759"/>
      <w:bookmarkStart w:id="63" w:name="_Hlk77498164"/>
      <w:r>
        <w:rPr>
          <w:rFonts w:hint="eastAsia" w:ascii="Times New Roman" w:hAnsi="Times New Roman"/>
          <w:color w:val="auto"/>
          <w:highlight w:val="none"/>
        </w:rPr>
        <w:t>光传输网络设备要求</w:t>
      </w:r>
      <w:bookmarkEnd w:id="57"/>
      <w:bookmarkEnd w:id="58"/>
      <w:bookmarkEnd w:id="59"/>
      <w:bookmarkEnd w:id="60"/>
      <w:bookmarkEnd w:id="61"/>
      <w:bookmarkEnd w:id="62"/>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2475"/>
        <w:gridCol w:w="1019"/>
        <w:gridCol w:w="1019"/>
        <w:gridCol w:w="3140"/>
      </w:tblGrid>
      <w:tr w14:paraId="212B2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pct"/>
            <w:shd w:val="clear" w:color="auto" w:fill="auto"/>
          </w:tcPr>
          <w:p w14:paraId="4DBDF26A">
            <w:pPr>
              <w:widowControl/>
              <w:autoSpaceDE w:val="0"/>
              <w:autoSpaceDN w:val="0"/>
              <w:spacing w:line="240" w:lineRule="auto"/>
              <w:ind w:firstLine="0" w:firstLineChars="0"/>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序号</w:t>
            </w:r>
          </w:p>
        </w:tc>
        <w:tc>
          <w:tcPr>
            <w:tcW w:w="1452" w:type="pct"/>
            <w:shd w:val="clear" w:color="auto" w:fill="auto"/>
          </w:tcPr>
          <w:p w14:paraId="6651A3B7">
            <w:pPr>
              <w:widowControl/>
              <w:autoSpaceDE w:val="0"/>
              <w:autoSpaceDN w:val="0"/>
              <w:spacing w:line="240" w:lineRule="auto"/>
              <w:ind w:firstLine="0" w:firstLineChars="0"/>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设备名称</w:t>
            </w:r>
          </w:p>
        </w:tc>
        <w:tc>
          <w:tcPr>
            <w:tcW w:w="598" w:type="pct"/>
            <w:shd w:val="clear" w:color="auto" w:fill="auto"/>
          </w:tcPr>
          <w:p w14:paraId="1AC462B7">
            <w:pPr>
              <w:widowControl/>
              <w:autoSpaceDE w:val="0"/>
              <w:autoSpaceDN w:val="0"/>
              <w:spacing w:line="240" w:lineRule="auto"/>
              <w:ind w:firstLine="0" w:firstLineChars="0"/>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单位</w:t>
            </w:r>
          </w:p>
        </w:tc>
        <w:tc>
          <w:tcPr>
            <w:tcW w:w="598" w:type="pct"/>
            <w:shd w:val="clear" w:color="auto" w:fill="auto"/>
          </w:tcPr>
          <w:p w14:paraId="21DDC469">
            <w:pPr>
              <w:widowControl/>
              <w:autoSpaceDE w:val="0"/>
              <w:autoSpaceDN w:val="0"/>
              <w:spacing w:line="240" w:lineRule="auto"/>
              <w:ind w:firstLine="0" w:firstLineChars="0"/>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数量</w:t>
            </w:r>
          </w:p>
        </w:tc>
        <w:tc>
          <w:tcPr>
            <w:tcW w:w="1842" w:type="pct"/>
          </w:tcPr>
          <w:p w14:paraId="2E28FE8A">
            <w:pPr>
              <w:widowControl/>
              <w:autoSpaceDE w:val="0"/>
              <w:autoSpaceDN w:val="0"/>
              <w:spacing w:line="240" w:lineRule="auto"/>
              <w:ind w:firstLine="0" w:firstLineChars="0"/>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备注</w:t>
            </w:r>
          </w:p>
        </w:tc>
      </w:tr>
      <w:tr w14:paraId="7F8D4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pct"/>
            <w:shd w:val="clear" w:color="auto" w:fill="auto"/>
            <w:vAlign w:val="center"/>
          </w:tcPr>
          <w:p w14:paraId="2D207E81">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1</w:t>
            </w:r>
          </w:p>
        </w:tc>
        <w:tc>
          <w:tcPr>
            <w:tcW w:w="1452" w:type="pct"/>
            <w:shd w:val="clear" w:color="auto" w:fill="auto"/>
            <w:vAlign w:val="center"/>
          </w:tcPr>
          <w:p w14:paraId="3B40EB82">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核心光传输网络站点</w:t>
            </w:r>
          </w:p>
        </w:tc>
        <w:tc>
          <w:tcPr>
            <w:tcW w:w="598" w:type="pct"/>
            <w:shd w:val="clear" w:color="auto" w:fill="auto"/>
            <w:vAlign w:val="center"/>
          </w:tcPr>
          <w:p w14:paraId="253A588D">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台</w:t>
            </w:r>
          </w:p>
        </w:tc>
        <w:tc>
          <w:tcPr>
            <w:tcW w:w="598" w:type="pct"/>
            <w:shd w:val="clear" w:color="auto" w:fill="auto"/>
            <w:vAlign w:val="center"/>
          </w:tcPr>
          <w:p w14:paraId="61E7376A">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4</w:t>
            </w:r>
          </w:p>
        </w:tc>
        <w:tc>
          <w:tcPr>
            <w:tcW w:w="1842" w:type="pct"/>
            <w:vAlign w:val="center"/>
          </w:tcPr>
          <w:p w14:paraId="531702AB">
            <w:pPr>
              <w:widowControl/>
              <w:autoSpaceDE w:val="0"/>
              <w:autoSpaceDN w:val="0"/>
              <w:spacing w:line="240" w:lineRule="auto"/>
              <w:ind w:firstLine="0" w:firstLineChars="0"/>
              <w:rPr>
                <w:rFonts w:hint="eastAsia" w:ascii="Times New Roman" w:hAnsi="Times New Roman" w:eastAsia="宋体" w:cs="宋体"/>
                <w:color w:val="auto"/>
                <w:sz w:val="21"/>
                <w:szCs w:val="21"/>
                <w:highlight w:val="none"/>
                <w:lang w:val="zh-TW"/>
              </w:rPr>
            </w:pPr>
            <w:r>
              <w:rPr>
                <w:rFonts w:hint="eastAsia" w:ascii="Times New Roman" w:hAnsi="Times New Roman" w:eastAsia="宋体" w:cs="宋体"/>
                <w:color w:val="auto"/>
                <w:sz w:val="21"/>
                <w:szCs w:val="21"/>
                <w:highlight w:val="none"/>
                <w:lang w:val="zh-TW" w:eastAsia="zh-TW"/>
              </w:rPr>
              <w:t>每个核心节点配置</w:t>
            </w:r>
            <w:r>
              <w:rPr>
                <w:rFonts w:hint="eastAsia" w:ascii="Times New Roman" w:hAnsi="Times New Roman" w:eastAsia="宋体" w:cs="宋体"/>
                <w:color w:val="auto"/>
                <w:sz w:val="21"/>
                <w:szCs w:val="21"/>
                <w:highlight w:val="none"/>
                <w:lang w:val="zh-TW"/>
              </w:rPr>
              <w:t>1台</w:t>
            </w:r>
            <w:r>
              <w:rPr>
                <w:rFonts w:hint="eastAsia" w:ascii="Times New Roman" w:hAnsi="Times New Roman" w:eastAsia="宋体" w:cs="宋体"/>
                <w:color w:val="auto"/>
                <w:sz w:val="21"/>
                <w:szCs w:val="21"/>
                <w:highlight w:val="none"/>
                <w:lang w:val="zh-TW" w:eastAsia="zh-TW"/>
              </w:rPr>
              <w:t>核心光传输网络站点</w:t>
            </w:r>
          </w:p>
        </w:tc>
      </w:tr>
      <w:tr w14:paraId="4BBFE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pct"/>
            <w:shd w:val="clear" w:color="auto" w:fill="auto"/>
            <w:vAlign w:val="center"/>
          </w:tcPr>
          <w:p w14:paraId="6FBD656A">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2</w:t>
            </w:r>
          </w:p>
        </w:tc>
        <w:tc>
          <w:tcPr>
            <w:tcW w:w="1452" w:type="pct"/>
            <w:shd w:val="clear" w:color="auto" w:fill="auto"/>
            <w:vAlign w:val="center"/>
          </w:tcPr>
          <w:p w14:paraId="35F1EE2A">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汇聚光传输网络站点</w:t>
            </w:r>
          </w:p>
        </w:tc>
        <w:tc>
          <w:tcPr>
            <w:tcW w:w="598" w:type="pct"/>
            <w:shd w:val="clear" w:color="auto" w:fill="auto"/>
            <w:vAlign w:val="center"/>
          </w:tcPr>
          <w:p w14:paraId="2ECC65C1">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台</w:t>
            </w:r>
          </w:p>
        </w:tc>
        <w:tc>
          <w:tcPr>
            <w:tcW w:w="598" w:type="pct"/>
            <w:shd w:val="clear" w:color="auto" w:fill="auto"/>
            <w:vAlign w:val="center"/>
          </w:tcPr>
          <w:p w14:paraId="351FEB5E">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20</w:t>
            </w:r>
          </w:p>
        </w:tc>
        <w:tc>
          <w:tcPr>
            <w:tcW w:w="1842" w:type="pct"/>
            <w:vAlign w:val="center"/>
          </w:tcPr>
          <w:p w14:paraId="6963D578">
            <w:pPr>
              <w:widowControl/>
              <w:autoSpaceDE w:val="0"/>
              <w:autoSpaceDN w:val="0"/>
              <w:spacing w:line="240" w:lineRule="auto"/>
              <w:ind w:firstLine="0" w:firstLineChars="0"/>
              <w:rPr>
                <w:rFonts w:hint="eastAsia" w:ascii="Times New Roman" w:hAnsi="Times New Roman" w:eastAsia="宋体" w:cs="宋体"/>
                <w:color w:val="auto"/>
                <w:sz w:val="21"/>
                <w:szCs w:val="21"/>
                <w:highlight w:val="none"/>
                <w:lang w:val="zh-TW"/>
              </w:rPr>
            </w:pPr>
            <w:r>
              <w:rPr>
                <w:rFonts w:hint="eastAsia" w:ascii="Times New Roman" w:hAnsi="Times New Roman" w:eastAsia="宋体" w:cs="宋体"/>
                <w:color w:val="auto"/>
                <w:sz w:val="21"/>
                <w:szCs w:val="21"/>
                <w:highlight w:val="none"/>
                <w:lang w:val="zh-TW" w:eastAsia="zh-TW"/>
              </w:rPr>
              <w:t>每个汇聚节点配置</w:t>
            </w:r>
            <w:r>
              <w:rPr>
                <w:rFonts w:hint="eastAsia" w:ascii="Times New Roman" w:hAnsi="Times New Roman" w:eastAsia="宋体" w:cs="宋体"/>
                <w:color w:val="auto"/>
                <w:sz w:val="21"/>
                <w:szCs w:val="21"/>
                <w:highlight w:val="none"/>
                <w:lang w:val="zh-TW"/>
              </w:rPr>
              <w:t>1台</w:t>
            </w:r>
            <w:r>
              <w:rPr>
                <w:rFonts w:hint="eastAsia" w:ascii="Times New Roman" w:hAnsi="Times New Roman" w:eastAsia="宋体" w:cs="宋体"/>
                <w:color w:val="auto"/>
                <w:sz w:val="21"/>
                <w:szCs w:val="21"/>
                <w:highlight w:val="none"/>
                <w:lang w:val="en-US" w:eastAsia="zh-CN"/>
              </w:rPr>
              <w:t>汇聚</w:t>
            </w:r>
            <w:r>
              <w:rPr>
                <w:rFonts w:hint="eastAsia" w:ascii="Times New Roman" w:hAnsi="Times New Roman" w:eastAsia="宋体" w:cs="宋体"/>
                <w:color w:val="auto"/>
                <w:sz w:val="21"/>
                <w:szCs w:val="21"/>
                <w:highlight w:val="none"/>
                <w:lang w:val="zh-TW" w:eastAsia="zh-TW"/>
              </w:rPr>
              <w:t>光传输网络站点</w:t>
            </w:r>
          </w:p>
        </w:tc>
      </w:tr>
      <w:tr w14:paraId="4810E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pct"/>
            <w:shd w:val="clear" w:color="auto" w:fill="auto"/>
            <w:vAlign w:val="center"/>
          </w:tcPr>
          <w:p w14:paraId="5EBD0BD6">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rPr>
            </w:pPr>
            <w:r>
              <w:rPr>
                <w:rFonts w:hint="eastAsia" w:ascii="Times New Roman" w:hAnsi="Times New Roman" w:eastAsia="宋体" w:cs="宋体"/>
                <w:color w:val="auto"/>
                <w:sz w:val="21"/>
                <w:szCs w:val="21"/>
                <w:highlight w:val="none"/>
                <w:lang w:val="zh-TW"/>
              </w:rPr>
              <w:t>3</w:t>
            </w:r>
          </w:p>
        </w:tc>
        <w:tc>
          <w:tcPr>
            <w:tcW w:w="1452" w:type="pct"/>
            <w:shd w:val="clear" w:color="auto" w:fill="auto"/>
            <w:vAlign w:val="center"/>
          </w:tcPr>
          <w:p w14:paraId="64178249">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光传输网络管理系统</w:t>
            </w:r>
          </w:p>
        </w:tc>
        <w:tc>
          <w:tcPr>
            <w:tcW w:w="598" w:type="pct"/>
            <w:shd w:val="clear" w:color="auto" w:fill="auto"/>
            <w:vAlign w:val="center"/>
          </w:tcPr>
          <w:p w14:paraId="66E01A7A">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套</w:t>
            </w:r>
          </w:p>
        </w:tc>
        <w:tc>
          <w:tcPr>
            <w:tcW w:w="598" w:type="pct"/>
            <w:shd w:val="clear" w:color="auto" w:fill="auto"/>
            <w:vAlign w:val="center"/>
          </w:tcPr>
          <w:p w14:paraId="5FF3492D">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zh-TW"/>
              </w:rPr>
            </w:pPr>
            <w:r>
              <w:rPr>
                <w:rFonts w:hint="eastAsia" w:ascii="Times New Roman" w:hAnsi="Times New Roman" w:eastAsia="宋体" w:cs="宋体"/>
                <w:color w:val="auto"/>
                <w:sz w:val="21"/>
                <w:szCs w:val="21"/>
                <w:highlight w:val="none"/>
                <w:lang w:val="zh-TW"/>
              </w:rPr>
              <w:t>1</w:t>
            </w:r>
          </w:p>
        </w:tc>
        <w:tc>
          <w:tcPr>
            <w:tcW w:w="1842" w:type="pct"/>
            <w:vAlign w:val="center"/>
          </w:tcPr>
          <w:p w14:paraId="7C8CAC9C">
            <w:pPr>
              <w:widowControl/>
              <w:autoSpaceDE w:val="0"/>
              <w:autoSpaceDN w:val="0"/>
              <w:spacing w:line="240" w:lineRule="auto"/>
              <w:ind w:firstLine="0" w:firstLineChars="0"/>
              <w:jc w:val="center"/>
              <w:rPr>
                <w:rFonts w:hint="eastAsia" w:ascii="Times New Roman" w:hAnsi="Times New Roman" w:eastAsia="宋体" w:cs="宋体"/>
                <w:color w:val="auto"/>
                <w:sz w:val="21"/>
                <w:szCs w:val="21"/>
                <w:highlight w:val="none"/>
                <w:lang w:val="en-US" w:eastAsia="zh-CN"/>
              </w:rPr>
            </w:pPr>
            <w:r>
              <w:rPr>
                <w:rFonts w:hint="eastAsia" w:ascii="Times New Roman" w:hAnsi="Times New Roman" w:eastAsia="宋体" w:cs="宋体"/>
                <w:color w:val="auto"/>
                <w:sz w:val="21"/>
                <w:szCs w:val="21"/>
                <w:highlight w:val="none"/>
                <w:lang w:val="en-US" w:eastAsia="zh-CN"/>
              </w:rPr>
              <w:t>/</w:t>
            </w:r>
          </w:p>
        </w:tc>
      </w:tr>
    </w:tbl>
    <w:p w14:paraId="5D2AB0D0">
      <w:pPr>
        <w:pStyle w:val="63"/>
        <w:autoSpaceDE w:val="0"/>
        <w:autoSpaceDN w:val="0"/>
        <w:ind w:firstLine="0" w:firstLineChars="0"/>
        <w:jc w:val="left"/>
        <w:rPr>
          <w:rFonts w:ascii="Times New Roman" w:hAnsi="Times New Roman"/>
          <w:color w:val="auto"/>
          <w:sz w:val="28"/>
          <w:highlight w:val="none"/>
        </w:rPr>
      </w:pPr>
      <w:r>
        <w:rPr>
          <w:rFonts w:ascii="Times New Roman" w:hAnsi="Times New Roman"/>
          <w:color w:val="auto"/>
          <w:sz w:val="28"/>
          <w:highlight w:val="none"/>
        </w:rPr>
        <w:t>1</w:t>
      </w:r>
      <w:r>
        <w:rPr>
          <w:rFonts w:hint="eastAsia" w:ascii="Times New Roman" w:hAnsi="Times New Roman"/>
          <w:color w:val="auto"/>
          <w:sz w:val="28"/>
          <w:highlight w:val="none"/>
        </w:rPr>
        <w:t>、核心光传输网络站点</w:t>
      </w:r>
    </w:p>
    <w:tbl>
      <w:tblPr>
        <w:tblStyle w:val="36"/>
        <w:tblW w:w="5209" w:type="pct"/>
        <w:jc w:val="center"/>
        <w:tblLayout w:type="autofit"/>
        <w:tblCellMar>
          <w:top w:w="0" w:type="dxa"/>
          <w:left w:w="108" w:type="dxa"/>
          <w:bottom w:w="0" w:type="dxa"/>
          <w:right w:w="108" w:type="dxa"/>
        </w:tblCellMar>
      </w:tblPr>
      <w:tblGrid>
        <w:gridCol w:w="1388"/>
        <w:gridCol w:w="7490"/>
      </w:tblGrid>
      <w:tr w14:paraId="53428513">
        <w:tblPrEx>
          <w:tblCellMar>
            <w:top w:w="0" w:type="dxa"/>
            <w:left w:w="108" w:type="dxa"/>
            <w:bottom w:w="0" w:type="dxa"/>
            <w:right w:w="108" w:type="dxa"/>
          </w:tblCellMar>
        </w:tblPrEx>
        <w:trPr>
          <w:trHeight w:val="364" w:hRule="atLeast"/>
          <w:jc w:val="center"/>
        </w:trPr>
        <w:tc>
          <w:tcPr>
            <w:tcW w:w="1351" w:type="dxa"/>
            <w:tcBorders>
              <w:top w:val="single" w:color="auto" w:sz="4" w:space="0"/>
              <w:left w:val="single" w:color="auto" w:sz="4" w:space="0"/>
              <w:bottom w:val="single" w:color="auto" w:sz="4" w:space="0"/>
              <w:right w:val="single" w:color="auto" w:sz="4" w:space="0"/>
            </w:tcBorders>
            <w:vAlign w:val="center"/>
          </w:tcPr>
          <w:p w14:paraId="077F37D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bCs/>
                <w:color w:val="auto"/>
                <w:kern w:val="0"/>
                <w:sz w:val="21"/>
                <w:szCs w:val="21"/>
                <w:highlight w:val="none"/>
              </w:rPr>
            </w:pPr>
            <w:r>
              <w:rPr>
                <w:rFonts w:hint="eastAsia" w:ascii="Times New Roman" w:hAnsi="Times New Roman" w:eastAsia="宋体" w:cs="宋体"/>
                <w:b/>
                <w:bCs/>
                <w:color w:val="auto"/>
                <w:kern w:val="0"/>
                <w:sz w:val="21"/>
                <w:szCs w:val="21"/>
                <w:highlight w:val="none"/>
              </w:rPr>
              <w:t>指标项</w:t>
            </w:r>
          </w:p>
        </w:tc>
        <w:tc>
          <w:tcPr>
            <w:tcW w:w="7291" w:type="dxa"/>
            <w:tcBorders>
              <w:top w:val="single" w:color="auto" w:sz="4" w:space="0"/>
              <w:left w:val="nil"/>
              <w:bottom w:val="single" w:color="auto" w:sz="4" w:space="0"/>
              <w:right w:val="single" w:color="auto" w:sz="4" w:space="0"/>
            </w:tcBorders>
            <w:vAlign w:val="center"/>
          </w:tcPr>
          <w:p w14:paraId="0D99204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bCs/>
                <w:color w:val="auto"/>
                <w:kern w:val="0"/>
                <w:sz w:val="21"/>
                <w:szCs w:val="21"/>
                <w:highlight w:val="none"/>
              </w:rPr>
            </w:pPr>
            <w:r>
              <w:rPr>
                <w:rFonts w:hint="eastAsia" w:ascii="Times New Roman" w:hAnsi="Times New Roman" w:eastAsia="宋体" w:cs="宋体"/>
                <w:b/>
                <w:bCs/>
                <w:color w:val="auto"/>
                <w:kern w:val="0"/>
                <w:sz w:val="21"/>
                <w:szCs w:val="21"/>
                <w:highlight w:val="none"/>
              </w:rPr>
              <w:t>指标要求</w:t>
            </w:r>
          </w:p>
        </w:tc>
      </w:tr>
      <w:tr w14:paraId="677F9C07">
        <w:tblPrEx>
          <w:tblCellMar>
            <w:top w:w="0" w:type="dxa"/>
            <w:left w:w="108" w:type="dxa"/>
            <w:bottom w:w="0" w:type="dxa"/>
            <w:right w:w="108" w:type="dxa"/>
          </w:tblCellMar>
        </w:tblPrEx>
        <w:trPr>
          <w:trHeight w:val="570" w:hRule="atLeast"/>
          <w:jc w:val="center"/>
        </w:trPr>
        <w:tc>
          <w:tcPr>
            <w:tcW w:w="1351" w:type="dxa"/>
            <w:tcBorders>
              <w:top w:val="nil"/>
              <w:left w:val="single" w:color="auto" w:sz="4" w:space="0"/>
              <w:bottom w:val="single" w:color="auto" w:sz="4" w:space="0"/>
              <w:right w:val="single" w:color="auto" w:sz="4" w:space="0"/>
            </w:tcBorders>
            <w:vAlign w:val="center"/>
          </w:tcPr>
          <w:p w14:paraId="7E327EC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架构</w:t>
            </w:r>
          </w:p>
        </w:tc>
        <w:tc>
          <w:tcPr>
            <w:tcW w:w="7291" w:type="dxa"/>
            <w:tcBorders>
              <w:top w:val="nil"/>
              <w:left w:val="nil"/>
              <w:bottom w:val="single" w:color="auto" w:sz="4" w:space="0"/>
              <w:right w:val="single" w:color="auto" w:sz="4" w:space="0"/>
            </w:tcBorders>
            <w:vAlign w:val="center"/>
          </w:tcPr>
          <w:p w14:paraId="112C3FF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支持光电分离架构；</w:t>
            </w:r>
          </w:p>
          <w:p w14:paraId="485F562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光层：实配提供至少单波100G*40波系统，光层配置完整，40波以内扩容只增加电层单板，未来支持升级到80波；</w:t>
            </w:r>
          </w:p>
          <w:p w14:paraId="77CF61B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电层：支路、线路分离架构，两者通过电交叉单元调度。</w:t>
            </w:r>
          </w:p>
        </w:tc>
      </w:tr>
      <w:tr w14:paraId="56838BB3">
        <w:tblPrEx>
          <w:tblCellMar>
            <w:top w:w="0" w:type="dxa"/>
            <w:left w:w="108" w:type="dxa"/>
            <w:bottom w:w="0" w:type="dxa"/>
            <w:right w:w="108" w:type="dxa"/>
          </w:tblCellMar>
        </w:tblPrEx>
        <w:trPr>
          <w:trHeight w:val="570" w:hRule="atLeast"/>
          <w:jc w:val="center"/>
        </w:trPr>
        <w:tc>
          <w:tcPr>
            <w:tcW w:w="1351" w:type="dxa"/>
            <w:tcBorders>
              <w:top w:val="single" w:color="auto" w:sz="4" w:space="0"/>
              <w:left w:val="single" w:color="auto" w:sz="4" w:space="0"/>
              <w:bottom w:val="single" w:color="auto" w:sz="4" w:space="0"/>
              <w:right w:val="single" w:color="auto" w:sz="4" w:space="0"/>
            </w:tcBorders>
            <w:vAlign w:val="center"/>
          </w:tcPr>
          <w:p w14:paraId="076C47F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电交叉</w:t>
            </w:r>
          </w:p>
        </w:tc>
        <w:tc>
          <w:tcPr>
            <w:tcW w:w="7291" w:type="dxa"/>
            <w:tcBorders>
              <w:top w:val="nil"/>
              <w:left w:val="nil"/>
              <w:bottom w:val="single" w:color="auto" w:sz="4" w:space="0"/>
              <w:right w:val="single" w:color="auto" w:sz="4" w:space="0"/>
            </w:tcBorders>
            <w:vAlign w:val="center"/>
          </w:tcPr>
          <w:p w14:paraId="4A438AE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支持OTN/SDH/PKT三种业务平面的统一交叉，统一线卡，统一调度。</w:t>
            </w:r>
          </w:p>
        </w:tc>
      </w:tr>
      <w:tr w14:paraId="69AABBF1">
        <w:tblPrEx>
          <w:tblCellMar>
            <w:top w:w="0" w:type="dxa"/>
            <w:left w:w="108" w:type="dxa"/>
            <w:bottom w:w="0" w:type="dxa"/>
            <w:right w:w="108" w:type="dxa"/>
          </w:tblCellMar>
        </w:tblPrEx>
        <w:trPr>
          <w:trHeight w:val="315" w:hRule="atLeast"/>
          <w:jc w:val="center"/>
        </w:trPr>
        <w:tc>
          <w:tcPr>
            <w:tcW w:w="1351" w:type="dxa"/>
            <w:tcBorders>
              <w:top w:val="nil"/>
              <w:left w:val="single" w:color="auto" w:sz="4" w:space="0"/>
              <w:bottom w:val="single" w:color="auto" w:sz="4" w:space="0"/>
              <w:right w:val="single" w:color="auto" w:sz="4" w:space="0"/>
            </w:tcBorders>
            <w:vAlign w:val="center"/>
          </w:tcPr>
          <w:p w14:paraId="6114F69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技术能力</w:t>
            </w:r>
          </w:p>
        </w:tc>
        <w:tc>
          <w:tcPr>
            <w:tcW w:w="7291" w:type="dxa"/>
            <w:tcBorders>
              <w:top w:val="nil"/>
              <w:left w:val="nil"/>
              <w:bottom w:val="single" w:color="auto" w:sz="4" w:space="0"/>
              <w:right w:val="single" w:color="auto" w:sz="4" w:space="0"/>
            </w:tcBorders>
            <w:vAlign w:val="center"/>
          </w:tcPr>
          <w:p w14:paraId="43EF747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支持客户侧信号封装映射到ODU0/ODU1/ODU2/ODU2e/ODUflex/ODU4信号。客户侧信号支持GE/10GE/100GE/FICON/STM-N等信号的接入，同时为满足容灾备份网络需求，客户侧信号需要支持FC1G/2G/4G/8G/16G和FC32G信号的接入。</w:t>
            </w:r>
          </w:p>
        </w:tc>
      </w:tr>
      <w:tr w14:paraId="58B68790">
        <w:tblPrEx>
          <w:tblCellMar>
            <w:top w:w="0" w:type="dxa"/>
            <w:left w:w="108" w:type="dxa"/>
            <w:bottom w:w="0" w:type="dxa"/>
            <w:right w:w="108" w:type="dxa"/>
          </w:tblCellMar>
        </w:tblPrEx>
        <w:trPr>
          <w:trHeight w:val="315" w:hRule="atLeast"/>
          <w:jc w:val="center"/>
        </w:trPr>
        <w:tc>
          <w:tcPr>
            <w:tcW w:w="1351" w:type="dxa"/>
            <w:tcBorders>
              <w:top w:val="nil"/>
              <w:left w:val="single" w:color="auto" w:sz="4" w:space="0"/>
              <w:bottom w:val="single" w:color="auto" w:sz="4" w:space="0"/>
              <w:right w:val="single" w:color="auto" w:sz="4" w:space="0"/>
            </w:tcBorders>
            <w:vAlign w:val="center"/>
          </w:tcPr>
          <w:p w14:paraId="75EAA2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保护</w:t>
            </w:r>
          </w:p>
        </w:tc>
        <w:tc>
          <w:tcPr>
            <w:tcW w:w="7291" w:type="dxa"/>
            <w:tcBorders>
              <w:top w:val="nil"/>
              <w:left w:val="nil"/>
              <w:bottom w:val="single" w:color="auto" w:sz="4" w:space="0"/>
              <w:right w:val="single" w:color="auto" w:sz="4" w:space="0"/>
            </w:tcBorders>
            <w:vAlign w:val="center"/>
          </w:tcPr>
          <w:p w14:paraId="5EC3B7C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支持主控1+1保护、电源1+1保护，交叉1+1或者M：N保护，业务支持子波长级保护。</w:t>
            </w:r>
          </w:p>
        </w:tc>
      </w:tr>
      <w:tr w14:paraId="46D90EF3">
        <w:tblPrEx>
          <w:tblCellMar>
            <w:top w:w="0" w:type="dxa"/>
            <w:left w:w="108" w:type="dxa"/>
            <w:bottom w:w="0" w:type="dxa"/>
            <w:right w:w="108" w:type="dxa"/>
          </w:tblCellMar>
        </w:tblPrEx>
        <w:trPr>
          <w:trHeight w:val="315" w:hRule="atLeast"/>
          <w:jc w:val="center"/>
        </w:trPr>
        <w:tc>
          <w:tcPr>
            <w:tcW w:w="1351" w:type="dxa"/>
            <w:tcBorders>
              <w:top w:val="single" w:color="auto" w:sz="4" w:space="0"/>
              <w:left w:val="single" w:color="auto" w:sz="4" w:space="0"/>
              <w:bottom w:val="single" w:color="auto" w:sz="4" w:space="0"/>
              <w:right w:val="single" w:color="auto" w:sz="4" w:space="0"/>
            </w:tcBorders>
            <w:vAlign w:val="center"/>
          </w:tcPr>
          <w:p w14:paraId="731DB82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槽位</w:t>
            </w:r>
          </w:p>
        </w:tc>
        <w:tc>
          <w:tcPr>
            <w:tcW w:w="7291" w:type="dxa"/>
            <w:tcBorders>
              <w:top w:val="single" w:color="auto" w:sz="4" w:space="0"/>
              <w:left w:val="nil"/>
              <w:bottom w:val="single" w:color="auto" w:sz="4" w:space="0"/>
              <w:right w:val="single" w:color="auto" w:sz="4" w:space="0"/>
            </w:tcBorders>
            <w:vAlign w:val="center"/>
          </w:tcPr>
          <w:p w14:paraId="0DD4702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≥64，单业务槽位调度容量≥1Tbit/s</w:t>
            </w:r>
          </w:p>
        </w:tc>
      </w:tr>
      <w:tr w14:paraId="4B5A9072">
        <w:tblPrEx>
          <w:tblCellMar>
            <w:top w:w="0" w:type="dxa"/>
            <w:left w:w="108" w:type="dxa"/>
            <w:bottom w:w="0" w:type="dxa"/>
            <w:right w:w="108" w:type="dxa"/>
          </w:tblCellMar>
        </w:tblPrEx>
        <w:trPr>
          <w:trHeight w:val="315" w:hRule="atLeast"/>
          <w:jc w:val="center"/>
        </w:trPr>
        <w:tc>
          <w:tcPr>
            <w:tcW w:w="1351" w:type="dxa"/>
            <w:tcBorders>
              <w:top w:val="single" w:color="auto" w:sz="4" w:space="0"/>
              <w:left w:val="single" w:color="auto" w:sz="4" w:space="0"/>
              <w:bottom w:val="single" w:color="auto" w:sz="4" w:space="0"/>
              <w:right w:val="single" w:color="auto" w:sz="4" w:space="0"/>
            </w:tcBorders>
            <w:vAlign w:val="center"/>
          </w:tcPr>
          <w:p w14:paraId="446FB60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高密单板</w:t>
            </w:r>
          </w:p>
        </w:tc>
        <w:tc>
          <w:tcPr>
            <w:tcW w:w="7291" w:type="dxa"/>
            <w:tcBorders>
              <w:top w:val="single" w:color="auto" w:sz="4" w:space="0"/>
              <w:left w:val="nil"/>
              <w:bottom w:val="single" w:color="auto" w:sz="4" w:space="0"/>
              <w:right w:val="single" w:color="auto" w:sz="4" w:space="0"/>
            </w:tcBorders>
            <w:vAlign w:val="center"/>
          </w:tcPr>
          <w:p w14:paraId="7304BD8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支持高密度高灵活性支路板，单槽位支路单板提供的端口密度不低于30，且每个端口都支持100M~10G任意业务接入</w:t>
            </w:r>
          </w:p>
        </w:tc>
      </w:tr>
    </w:tbl>
    <w:p w14:paraId="085C48ED">
      <w:pPr>
        <w:pStyle w:val="63"/>
        <w:autoSpaceDE w:val="0"/>
        <w:autoSpaceDN w:val="0"/>
        <w:ind w:firstLine="0" w:firstLineChars="0"/>
        <w:jc w:val="left"/>
        <w:rPr>
          <w:rFonts w:ascii="Times New Roman" w:hAnsi="Times New Roman"/>
          <w:color w:val="auto"/>
          <w:sz w:val="28"/>
          <w:highlight w:val="none"/>
        </w:rPr>
      </w:pPr>
      <w:r>
        <w:rPr>
          <w:rFonts w:ascii="Times New Roman" w:hAnsi="Times New Roman"/>
          <w:color w:val="auto"/>
          <w:sz w:val="28"/>
          <w:highlight w:val="none"/>
        </w:rPr>
        <w:t>2</w:t>
      </w:r>
      <w:r>
        <w:rPr>
          <w:rFonts w:hint="eastAsia" w:ascii="Times New Roman" w:hAnsi="Times New Roman"/>
          <w:color w:val="auto"/>
          <w:sz w:val="28"/>
          <w:highlight w:val="none"/>
        </w:rPr>
        <w:t>、汇聚光传输网络站点</w:t>
      </w:r>
    </w:p>
    <w:tbl>
      <w:tblPr>
        <w:tblStyle w:val="36"/>
        <w:tblW w:w="8647" w:type="dxa"/>
        <w:tblInd w:w="0" w:type="dxa"/>
        <w:tblLayout w:type="fixed"/>
        <w:tblCellMar>
          <w:top w:w="0" w:type="dxa"/>
          <w:left w:w="108" w:type="dxa"/>
          <w:bottom w:w="0" w:type="dxa"/>
          <w:right w:w="108" w:type="dxa"/>
        </w:tblCellMar>
      </w:tblPr>
      <w:tblGrid>
        <w:gridCol w:w="1418"/>
        <w:gridCol w:w="7229"/>
      </w:tblGrid>
      <w:tr w14:paraId="36DC5CBE">
        <w:tblPrEx>
          <w:tblCellMar>
            <w:top w:w="0" w:type="dxa"/>
            <w:left w:w="108" w:type="dxa"/>
            <w:bottom w:w="0" w:type="dxa"/>
            <w:right w:w="108" w:type="dxa"/>
          </w:tblCellMar>
        </w:tblPrEx>
        <w:trPr>
          <w:trHeight w:val="364" w:hRule="atLeast"/>
        </w:trPr>
        <w:tc>
          <w:tcPr>
            <w:tcW w:w="1418" w:type="dxa"/>
            <w:tcBorders>
              <w:top w:val="single" w:color="auto" w:sz="4" w:space="0"/>
              <w:left w:val="single" w:color="auto" w:sz="4" w:space="0"/>
              <w:bottom w:val="single" w:color="auto" w:sz="4" w:space="0"/>
              <w:right w:val="single" w:color="auto" w:sz="4" w:space="0"/>
            </w:tcBorders>
            <w:vAlign w:val="center"/>
          </w:tcPr>
          <w:p w14:paraId="4E47C2A5">
            <w:pPr>
              <w:spacing w:line="240" w:lineRule="auto"/>
              <w:ind w:firstLine="0" w:firstLineChars="0"/>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指标项</w:t>
            </w:r>
          </w:p>
        </w:tc>
        <w:tc>
          <w:tcPr>
            <w:tcW w:w="7229" w:type="dxa"/>
            <w:tcBorders>
              <w:top w:val="single" w:color="auto" w:sz="4" w:space="0"/>
              <w:left w:val="nil"/>
              <w:bottom w:val="single" w:color="auto" w:sz="4" w:space="0"/>
              <w:right w:val="single" w:color="auto" w:sz="4" w:space="0"/>
            </w:tcBorders>
            <w:vAlign w:val="center"/>
          </w:tcPr>
          <w:p w14:paraId="331CB18E">
            <w:pPr>
              <w:spacing w:line="240" w:lineRule="auto"/>
              <w:ind w:firstLine="0" w:firstLineChars="0"/>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指标要求</w:t>
            </w:r>
          </w:p>
        </w:tc>
      </w:tr>
      <w:tr w14:paraId="56B5A8B1">
        <w:tblPrEx>
          <w:tblCellMar>
            <w:top w:w="0" w:type="dxa"/>
            <w:left w:w="108" w:type="dxa"/>
            <w:bottom w:w="0" w:type="dxa"/>
            <w:right w:w="108" w:type="dxa"/>
          </w:tblCellMar>
        </w:tblPrEx>
        <w:trPr>
          <w:trHeight w:val="570" w:hRule="atLeast"/>
        </w:trPr>
        <w:tc>
          <w:tcPr>
            <w:tcW w:w="1418" w:type="dxa"/>
            <w:tcBorders>
              <w:top w:val="nil"/>
              <w:left w:val="single" w:color="auto" w:sz="4" w:space="0"/>
              <w:bottom w:val="single" w:color="auto" w:sz="4" w:space="0"/>
              <w:right w:val="single" w:color="auto" w:sz="4" w:space="0"/>
            </w:tcBorders>
            <w:vAlign w:val="center"/>
          </w:tcPr>
          <w:p w14:paraId="2A422432">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架构</w:t>
            </w:r>
          </w:p>
        </w:tc>
        <w:tc>
          <w:tcPr>
            <w:tcW w:w="7229" w:type="dxa"/>
            <w:tcBorders>
              <w:top w:val="nil"/>
              <w:left w:val="nil"/>
              <w:bottom w:val="single" w:color="auto" w:sz="4" w:space="0"/>
              <w:right w:val="single" w:color="auto" w:sz="4" w:space="0"/>
            </w:tcBorders>
            <w:vAlign w:val="center"/>
          </w:tcPr>
          <w:p w14:paraId="7FAD1216">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支持光电分离架构；</w:t>
            </w:r>
          </w:p>
          <w:p w14:paraId="29A6D850">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光层：实配提供至少单波100G*40波系统，光层配置完整，40波以内扩容只需增加电层单板，未来支持升级到80波；</w:t>
            </w:r>
          </w:p>
          <w:p w14:paraId="63BE64EF">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电层：支路、线路分离架构，两者通过电交叉单元调度。</w:t>
            </w:r>
          </w:p>
        </w:tc>
      </w:tr>
      <w:tr w14:paraId="7E21F52A">
        <w:tblPrEx>
          <w:tblCellMar>
            <w:top w:w="0" w:type="dxa"/>
            <w:left w:w="108" w:type="dxa"/>
            <w:bottom w:w="0" w:type="dxa"/>
            <w:right w:w="108" w:type="dxa"/>
          </w:tblCellMar>
        </w:tblPrEx>
        <w:trPr>
          <w:trHeight w:val="570" w:hRule="atLeast"/>
        </w:trPr>
        <w:tc>
          <w:tcPr>
            <w:tcW w:w="1418" w:type="dxa"/>
            <w:tcBorders>
              <w:top w:val="single" w:color="auto" w:sz="4" w:space="0"/>
              <w:left w:val="single" w:color="auto" w:sz="4" w:space="0"/>
              <w:bottom w:val="single" w:color="auto" w:sz="4" w:space="0"/>
              <w:right w:val="single" w:color="auto" w:sz="4" w:space="0"/>
            </w:tcBorders>
            <w:vAlign w:val="center"/>
          </w:tcPr>
          <w:p w14:paraId="76717046">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电交叉</w:t>
            </w:r>
          </w:p>
        </w:tc>
        <w:tc>
          <w:tcPr>
            <w:tcW w:w="7229" w:type="dxa"/>
            <w:tcBorders>
              <w:top w:val="nil"/>
              <w:left w:val="nil"/>
              <w:bottom w:val="single" w:color="auto" w:sz="4" w:space="0"/>
              <w:right w:val="single" w:color="auto" w:sz="4" w:space="0"/>
            </w:tcBorders>
            <w:vAlign w:val="center"/>
          </w:tcPr>
          <w:p w14:paraId="25776485">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支持OTN/SDH/PKT三种业务平面的统一交叉，统一线卡，统一调度。</w:t>
            </w:r>
          </w:p>
        </w:tc>
      </w:tr>
      <w:tr w14:paraId="3EF3F6CF">
        <w:tblPrEx>
          <w:tblCellMar>
            <w:top w:w="0" w:type="dxa"/>
            <w:left w:w="108" w:type="dxa"/>
            <w:bottom w:w="0" w:type="dxa"/>
            <w:right w:w="108" w:type="dxa"/>
          </w:tblCellMar>
        </w:tblPrEx>
        <w:trPr>
          <w:trHeight w:val="315" w:hRule="atLeast"/>
        </w:trPr>
        <w:tc>
          <w:tcPr>
            <w:tcW w:w="1418" w:type="dxa"/>
            <w:tcBorders>
              <w:top w:val="nil"/>
              <w:left w:val="single" w:color="auto" w:sz="4" w:space="0"/>
              <w:bottom w:val="single" w:color="auto" w:sz="4" w:space="0"/>
              <w:right w:val="single" w:color="auto" w:sz="4" w:space="0"/>
            </w:tcBorders>
            <w:vAlign w:val="center"/>
          </w:tcPr>
          <w:p w14:paraId="62634825">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技术能力</w:t>
            </w:r>
          </w:p>
        </w:tc>
        <w:tc>
          <w:tcPr>
            <w:tcW w:w="7229" w:type="dxa"/>
            <w:tcBorders>
              <w:top w:val="nil"/>
              <w:left w:val="nil"/>
              <w:bottom w:val="single" w:color="auto" w:sz="4" w:space="0"/>
              <w:right w:val="single" w:color="auto" w:sz="4" w:space="0"/>
            </w:tcBorders>
            <w:vAlign w:val="center"/>
          </w:tcPr>
          <w:p w14:paraId="7CC8A1FF">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支持客户侧信号封装映射到ODU0/ODU1/ODU2/ODU2e/ODUflex/ODU4信号。客户侧信号支持GE/10GE/100GE/FICON/STM-N等信号的接入，同时为满足容灾备份网络需求，客户侧信号需要支持FC1G/2G/4G/8G/16G和FC32G信号的接入。</w:t>
            </w:r>
          </w:p>
        </w:tc>
      </w:tr>
      <w:tr w14:paraId="0FDA5717">
        <w:tblPrEx>
          <w:tblCellMar>
            <w:top w:w="0" w:type="dxa"/>
            <w:left w:w="108" w:type="dxa"/>
            <w:bottom w:w="0" w:type="dxa"/>
            <w:right w:w="108" w:type="dxa"/>
          </w:tblCellMar>
        </w:tblPrEx>
        <w:trPr>
          <w:trHeight w:val="315" w:hRule="atLeast"/>
        </w:trPr>
        <w:tc>
          <w:tcPr>
            <w:tcW w:w="1418" w:type="dxa"/>
            <w:tcBorders>
              <w:top w:val="nil"/>
              <w:left w:val="single" w:color="auto" w:sz="4" w:space="0"/>
              <w:bottom w:val="single" w:color="auto" w:sz="4" w:space="0"/>
              <w:right w:val="single" w:color="auto" w:sz="4" w:space="0"/>
            </w:tcBorders>
            <w:vAlign w:val="center"/>
          </w:tcPr>
          <w:p w14:paraId="5E985216">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保护</w:t>
            </w:r>
          </w:p>
        </w:tc>
        <w:tc>
          <w:tcPr>
            <w:tcW w:w="7229" w:type="dxa"/>
            <w:tcBorders>
              <w:top w:val="nil"/>
              <w:left w:val="nil"/>
              <w:bottom w:val="single" w:color="auto" w:sz="4" w:space="0"/>
              <w:right w:val="single" w:color="auto" w:sz="4" w:space="0"/>
            </w:tcBorders>
            <w:vAlign w:val="center"/>
          </w:tcPr>
          <w:p w14:paraId="4542FE94">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支持主控1+1保护、电源1+1保护，交叉1+1或者M：N保护，业务支持子波长级保护。</w:t>
            </w:r>
          </w:p>
        </w:tc>
      </w:tr>
      <w:tr w14:paraId="512A31DE">
        <w:tblPrEx>
          <w:tblCellMar>
            <w:top w:w="0" w:type="dxa"/>
            <w:left w:w="108" w:type="dxa"/>
            <w:bottom w:w="0" w:type="dxa"/>
            <w:right w:w="108" w:type="dxa"/>
          </w:tblCellMar>
        </w:tblPrEx>
        <w:trPr>
          <w:trHeight w:val="315" w:hRule="atLeast"/>
        </w:trPr>
        <w:tc>
          <w:tcPr>
            <w:tcW w:w="1418" w:type="dxa"/>
            <w:tcBorders>
              <w:top w:val="single" w:color="auto" w:sz="4" w:space="0"/>
              <w:left w:val="single" w:color="auto" w:sz="4" w:space="0"/>
              <w:bottom w:val="single" w:color="auto" w:sz="4" w:space="0"/>
              <w:right w:val="single" w:color="auto" w:sz="4" w:space="0"/>
            </w:tcBorders>
            <w:vAlign w:val="center"/>
          </w:tcPr>
          <w:p w14:paraId="358417E0">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槽位</w:t>
            </w:r>
          </w:p>
        </w:tc>
        <w:tc>
          <w:tcPr>
            <w:tcW w:w="7229" w:type="dxa"/>
            <w:tcBorders>
              <w:top w:val="single" w:color="auto" w:sz="4" w:space="0"/>
              <w:left w:val="nil"/>
              <w:bottom w:val="single" w:color="auto" w:sz="4" w:space="0"/>
              <w:right w:val="single" w:color="auto" w:sz="4" w:space="0"/>
            </w:tcBorders>
            <w:vAlign w:val="center"/>
          </w:tcPr>
          <w:p w14:paraId="407B0D65">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≥24，单业务槽位调度容量≥0.4Tbit/s</w:t>
            </w:r>
          </w:p>
        </w:tc>
      </w:tr>
      <w:tr w14:paraId="1F1833CA">
        <w:tblPrEx>
          <w:tblCellMar>
            <w:top w:w="0" w:type="dxa"/>
            <w:left w:w="108" w:type="dxa"/>
            <w:bottom w:w="0" w:type="dxa"/>
            <w:right w:w="108" w:type="dxa"/>
          </w:tblCellMar>
        </w:tblPrEx>
        <w:trPr>
          <w:trHeight w:val="315" w:hRule="atLeast"/>
        </w:trPr>
        <w:tc>
          <w:tcPr>
            <w:tcW w:w="1418" w:type="dxa"/>
            <w:tcBorders>
              <w:top w:val="single" w:color="auto" w:sz="4" w:space="0"/>
              <w:left w:val="single" w:color="auto" w:sz="4" w:space="0"/>
              <w:bottom w:val="single" w:color="auto" w:sz="4" w:space="0"/>
              <w:right w:val="single" w:color="auto" w:sz="4" w:space="0"/>
            </w:tcBorders>
            <w:vAlign w:val="center"/>
          </w:tcPr>
          <w:p w14:paraId="57E5F427">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高密单板</w:t>
            </w:r>
          </w:p>
        </w:tc>
        <w:tc>
          <w:tcPr>
            <w:tcW w:w="7229" w:type="dxa"/>
            <w:tcBorders>
              <w:top w:val="single" w:color="auto" w:sz="4" w:space="0"/>
              <w:left w:val="nil"/>
              <w:bottom w:val="single" w:color="auto" w:sz="4" w:space="0"/>
              <w:right w:val="single" w:color="auto" w:sz="4" w:space="0"/>
            </w:tcBorders>
            <w:vAlign w:val="center"/>
          </w:tcPr>
          <w:p w14:paraId="3D8968F0">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支持高密度高灵活性支路板，单槽位支路单板提供的端口密度不低于10，且每个端口都支持100M~10G任意业务接入</w:t>
            </w:r>
          </w:p>
        </w:tc>
      </w:tr>
      <w:tr w14:paraId="6BFCFC79">
        <w:tblPrEx>
          <w:tblCellMar>
            <w:top w:w="0" w:type="dxa"/>
            <w:left w:w="108" w:type="dxa"/>
            <w:bottom w:w="0" w:type="dxa"/>
            <w:right w:w="108" w:type="dxa"/>
          </w:tblCellMar>
        </w:tblPrEx>
        <w:trPr>
          <w:trHeight w:val="315" w:hRule="atLeast"/>
        </w:trPr>
        <w:tc>
          <w:tcPr>
            <w:tcW w:w="1418" w:type="dxa"/>
            <w:tcBorders>
              <w:top w:val="single" w:color="auto" w:sz="4" w:space="0"/>
              <w:left w:val="single" w:color="auto" w:sz="4" w:space="0"/>
              <w:bottom w:val="single" w:color="auto" w:sz="4" w:space="0"/>
              <w:right w:val="single" w:color="auto" w:sz="4" w:space="0"/>
            </w:tcBorders>
            <w:vAlign w:val="center"/>
          </w:tcPr>
          <w:p w14:paraId="524656AB">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安装便利性</w:t>
            </w:r>
          </w:p>
        </w:tc>
        <w:tc>
          <w:tcPr>
            <w:tcW w:w="7229" w:type="dxa"/>
            <w:tcBorders>
              <w:top w:val="single" w:color="auto" w:sz="4" w:space="0"/>
              <w:left w:val="nil"/>
              <w:bottom w:val="single" w:color="auto" w:sz="4" w:space="0"/>
              <w:right w:val="single" w:color="auto" w:sz="4" w:space="0"/>
            </w:tcBorders>
            <w:vAlign w:val="center"/>
          </w:tcPr>
          <w:p w14:paraId="67FD13C9">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支持网络设备标准机柜安装</w:t>
            </w:r>
          </w:p>
        </w:tc>
      </w:tr>
    </w:tbl>
    <w:p w14:paraId="6FF8B626">
      <w:pPr>
        <w:pStyle w:val="63"/>
        <w:autoSpaceDE w:val="0"/>
        <w:autoSpaceDN w:val="0"/>
        <w:ind w:firstLine="0" w:firstLineChars="0"/>
        <w:jc w:val="left"/>
        <w:rPr>
          <w:rFonts w:ascii="Times New Roman" w:hAnsi="Times New Roman"/>
          <w:color w:val="auto"/>
          <w:sz w:val="28"/>
          <w:highlight w:val="none"/>
        </w:rPr>
      </w:pPr>
      <w:r>
        <w:rPr>
          <w:rFonts w:ascii="Times New Roman" w:hAnsi="Times New Roman"/>
          <w:color w:val="auto"/>
          <w:sz w:val="28"/>
          <w:highlight w:val="none"/>
        </w:rPr>
        <w:t>3</w:t>
      </w:r>
      <w:r>
        <w:rPr>
          <w:rFonts w:hint="eastAsia" w:ascii="Times New Roman" w:hAnsi="Times New Roman"/>
          <w:color w:val="auto"/>
          <w:sz w:val="28"/>
          <w:highlight w:val="none"/>
        </w:rPr>
        <w:t>、光传输网络管理系统</w:t>
      </w:r>
    </w:p>
    <w:tbl>
      <w:tblPr>
        <w:tblStyle w:val="36"/>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7710"/>
      </w:tblGrid>
      <w:tr w14:paraId="54AF4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988" w:type="dxa"/>
            <w:vAlign w:val="center"/>
          </w:tcPr>
          <w:p w14:paraId="2A91BEE4">
            <w:pPr>
              <w:spacing w:line="240" w:lineRule="auto"/>
              <w:ind w:firstLine="0" w:firstLineChars="0"/>
              <w:rPr>
                <w:rFonts w:hint="eastAsia" w:ascii="Times New Roman" w:hAnsi="Times New Roman" w:eastAsia="宋体" w:cs="宋体"/>
                <w:b/>
                <w:bCs/>
                <w:color w:val="auto"/>
                <w:kern w:val="0"/>
                <w:sz w:val="21"/>
                <w:szCs w:val="21"/>
                <w:highlight w:val="none"/>
              </w:rPr>
            </w:pPr>
            <w:r>
              <w:rPr>
                <w:rFonts w:hint="eastAsia" w:ascii="Times New Roman" w:hAnsi="Times New Roman" w:eastAsia="宋体" w:cs="宋体"/>
                <w:b/>
                <w:bCs/>
                <w:color w:val="auto"/>
                <w:kern w:val="0"/>
                <w:sz w:val="21"/>
                <w:szCs w:val="21"/>
                <w:highlight w:val="none"/>
              </w:rPr>
              <w:t>序号</w:t>
            </w:r>
          </w:p>
        </w:tc>
        <w:tc>
          <w:tcPr>
            <w:tcW w:w="7710" w:type="dxa"/>
            <w:vAlign w:val="center"/>
          </w:tcPr>
          <w:p w14:paraId="0C262E0A">
            <w:pPr>
              <w:spacing w:line="240" w:lineRule="auto"/>
              <w:ind w:firstLine="0" w:firstLineChars="0"/>
              <w:rPr>
                <w:rFonts w:hint="eastAsia" w:ascii="Times New Roman" w:hAnsi="Times New Roman" w:eastAsia="宋体" w:cs="宋体"/>
                <w:b/>
                <w:bCs/>
                <w:color w:val="auto"/>
                <w:kern w:val="0"/>
                <w:sz w:val="21"/>
                <w:szCs w:val="21"/>
                <w:highlight w:val="none"/>
              </w:rPr>
            </w:pPr>
            <w:r>
              <w:rPr>
                <w:rFonts w:hint="eastAsia" w:ascii="Times New Roman" w:hAnsi="Times New Roman" w:eastAsia="宋体" w:cs="宋体"/>
                <w:b/>
                <w:bCs/>
                <w:color w:val="auto"/>
                <w:kern w:val="0"/>
                <w:sz w:val="21"/>
                <w:szCs w:val="21"/>
                <w:highlight w:val="none"/>
              </w:rPr>
              <w:t>指标要求</w:t>
            </w:r>
          </w:p>
        </w:tc>
      </w:tr>
      <w:tr w14:paraId="70B0C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8" w:type="dxa"/>
            <w:vAlign w:val="center"/>
          </w:tcPr>
          <w:p w14:paraId="5DFE88DD">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7710" w:type="dxa"/>
            <w:vAlign w:val="center"/>
          </w:tcPr>
          <w:p w14:paraId="7542DC07">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OTN网元管理系统（EM）管理本项目的OTN设备，具备同时管理本项目40/80波满配置OTN设备的管理能力，并具备一定管理冗余能力；</w:t>
            </w:r>
          </w:p>
        </w:tc>
      </w:tr>
      <w:tr w14:paraId="41AD3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988" w:type="dxa"/>
            <w:vAlign w:val="center"/>
          </w:tcPr>
          <w:p w14:paraId="60C5999C">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w:t>
            </w:r>
          </w:p>
        </w:tc>
        <w:tc>
          <w:tcPr>
            <w:tcW w:w="7710" w:type="dxa"/>
            <w:vAlign w:val="center"/>
          </w:tcPr>
          <w:p w14:paraId="4CC9474B">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采用统一网管系统，并采用B/S架构，操作终端接入能力不小于10个；</w:t>
            </w:r>
          </w:p>
        </w:tc>
      </w:tr>
      <w:tr w14:paraId="1834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15" w:hRule="atLeast"/>
          <w:jc w:val="center"/>
        </w:trPr>
        <w:tc>
          <w:tcPr>
            <w:tcW w:w="988" w:type="dxa"/>
            <w:vAlign w:val="center"/>
          </w:tcPr>
          <w:p w14:paraId="32F23D1C">
            <w:pPr>
              <w:spacing w:line="240" w:lineRule="auto"/>
              <w:ind w:firstLine="0" w:firstLineChars="0"/>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3</w:t>
            </w:r>
          </w:p>
        </w:tc>
        <w:tc>
          <w:tcPr>
            <w:tcW w:w="7710" w:type="dxa"/>
            <w:vAlign w:val="center"/>
          </w:tcPr>
          <w:p w14:paraId="63246A5B">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网管系统需为中文操作界面；</w:t>
            </w:r>
          </w:p>
        </w:tc>
      </w:tr>
      <w:tr w14:paraId="734C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88" w:type="dxa"/>
            <w:vAlign w:val="center"/>
          </w:tcPr>
          <w:p w14:paraId="4D0F0889">
            <w:pPr>
              <w:spacing w:line="240" w:lineRule="auto"/>
              <w:ind w:firstLine="0" w:firstLineChars="0"/>
              <w:rPr>
                <w:rFonts w:hint="eastAsia" w:ascii="Times New Roman" w:hAnsi="Times New Roman" w:eastAsia="宋体" w:cs="宋体"/>
                <w:color w:val="auto"/>
                <w:kern w:val="0"/>
                <w:sz w:val="21"/>
                <w:szCs w:val="21"/>
                <w:highlight w:val="none"/>
              </w:rPr>
            </w:pPr>
            <w:bookmarkStart w:id="64" w:name="_Toc28210"/>
            <w:bookmarkStart w:id="65" w:name="_Toc17141"/>
            <w:bookmarkStart w:id="66" w:name="_Toc15877"/>
            <w:bookmarkStart w:id="67" w:name="_Toc9972"/>
            <w:bookmarkStart w:id="68" w:name="_Toc20672"/>
            <w:r>
              <w:rPr>
                <w:rFonts w:hint="eastAsia" w:ascii="Times New Roman" w:hAnsi="Times New Roman" w:eastAsia="宋体" w:cs="宋体"/>
                <w:color w:val="auto"/>
                <w:kern w:val="0"/>
                <w:sz w:val="21"/>
                <w:szCs w:val="21"/>
                <w:highlight w:val="none"/>
              </w:rPr>
              <w:t>4</w:t>
            </w:r>
          </w:p>
        </w:tc>
        <w:tc>
          <w:tcPr>
            <w:tcW w:w="7710" w:type="dxa"/>
            <w:vAlign w:val="center"/>
          </w:tcPr>
          <w:p w14:paraId="39DF5C50">
            <w:pPr>
              <w:spacing w:line="240" w:lineRule="auto"/>
              <w:ind w:firstLine="0" w:firstLineChars="0"/>
              <w:jc w:val="both"/>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网管系统要求具有分别从不同路由DCN通道收集网元信息的能力，各级网管设备之间应有保护通道。</w:t>
            </w:r>
          </w:p>
        </w:tc>
      </w:tr>
      <w:bookmarkEnd w:id="63"/>
    </w:tbl>
    <w:p w14:paraId="0E5FD7AD">
      <w:pPr>
        <w:pStyle w:val="3"/>
        <w:rPr>
          <w:rFonts w:ascii="Times New Roman" w:hAnsi="Times New Roman"/>
          <w:color w:val="auto"/>
          <w:highlight w:val="none"/>
        </w:rPr>
      </w:pPr>
      <w:bookmarkStart w:id="69" w:name="_Toc2028"/>
      <w:r>
        <w:rPr>
          <w:rFonts w:hint="eastAsia" w:ascii="Times New Roman" w:hAnsi="Times New Roman"/>
          <w:color w:val="auto"/>
          <w:highlight w:val="none"/>
        </w:rPr>
        <w:t>业务网络技术要求</w:t>
      </w:r>
      <w:bookmarkEnd w:id="64"/>
      <w:bookmarkEnd w:id="65"/>
      <w:bookmarkEnd w:id="66"/>
      <w:bookmarkEnd w:id="67"/>
      <w:bookmarkEnd w:id="68"/>
      <w:bookmarkEnd w:id="69"/>
    </w:p>
    <w:p w14:paraId="6FCFA88E">
      <w:pPr>
        <w:spacing w:line="560" w:lineRule="exact"/>
        <w:ind w:firstLine="560" w:firstLineChars="200"/>
        <w:jc w:val="both"/>
        <w:rPr>
          <w:rFonts w:ascii="Times New Roman" w:hAnsi="Times New Roman"/>
          <w:color w:val="auto"/>
          <w:highlight w:val="none"/>
        </w:rPr>
      </w:pPr>
      <w:r>
        <w:rPr>
          <w:rFonts w:hint="eastAsia" w:ascii="Times New Roman" w:hAnsi="Times New Roman" w:eastAsia="仿宋_GB2312"/>
          <w:color w:val="auto"/>
          <w:highlight w:val="none"/>
        </w:rPr>
        <w:t>业务网络采用核心层、汇聚层、接入层的分层架构设计。</w:t>
      </w:r>
    </w:p>
    <w:p w14:paraId="23652E24">
      <w:pPr>
        <w:spacing w:line="560" w:lineRule="exact"/>
        <w:jc w:val="both"/>
        <w:rPr>
          <w:rFonts w:hint="eastAsia" w:ascii="Times New Roman" w:hAnsi="Times New Roman" w:eastAsia="仿宋_GB2312"/>
          <w:color w:val="auto"/>
          <w:highlight w:val="none"/>
        </w:rPr>
      </w:pPr>
      <w:r>
        <w:rPr>
          <w:rFonts w:hint="eastAsia" w:ascii="Times New Roman" w:hAnsi="Times New Roman" w:eastAsia="仿宋_GB2312"/>
          <w:color w:val="auto"/>
          <w:highlight w:val="none"/>
        </w:rPr>
        <w:t>核心层主要承担高速数据交换任务，</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提供到上一级政务外网和互联网的连接。政务外网与互联网之间采用安全技术逻辑隔离。为提升网络可靠性，应至少设置四个核心节点，并确保各个核心节点部署</w:t>
      </w:r>
      <w:r>
        <w:rPr>
          <w:rFonts w:hint="eastAsia" w:ascii="Times New Roman" w:hAnsi="Times New Roman" w:eastAsia="仿宋_GB2312"/>
          <w:color w:val="auto"/>
          <w:highlight w:val="none"/>
          <w:lang w:val="en-US" w:eastAsia="zh-CN"/>
        </w:rPr>
        <w:t>于</w:t>
      </w:r>
      <w:r>
        <w:rPr>
          <w:rFonts w:hint="eastAsia" w:ascii="Times New Roman" w:hAnsi="Times New Roman" w:eastAsia="仿宋_GB2312"/>
          <w:color w:val="auto"/>
          <w:highlight w:val="none"/>
        </w:rPr>
        <w:t>不同物理位置的机房。</w:t>
      </w:r>
    </w:p>
    <w:p w14:paraId="380FF880">
      <w:pPr>
        <w:spacing w:line="560" w:lineRule="exact"/>
        <w:jc w:val="both"/>
        <w:rPr>
          <w:rFonts w:hint="eastAsia" w:ascii="Times New Roman" w:hAnsi="Times New Roman" w:eastAsia="仿宋_GB2312"/>
          <w:color w:val="auto"/>
          <w:highlight w:val="none"/>
        </w:rPr>
      </w:pPr>
      <w:r>
        <w:rPr>
          <w:rFonts w:hint="eastAsia" w:ascii="Times New Roman" w:hAnsi="Times New Roman" w:eastAsia="仿宋_GB2312"/>
          <w:color w:val="auto"/>
          <w:highlight w:val="none"/>
        </w:rPr>
        <w:t>汇聚层主要</w:t>
      </w:r>
      <w:r>
        <w:rPr>
          <w:rFonts w:hint="eastAsia" w:ascii="Times New Roman" w:hAnsi="Times New Roman" w:eastAsia="仿宋_GB2312"/>
          <w:color w:val="auto"/>
          <w:highlight w:val="none"/>
          <w:lang w:val="en-US" w:eastAsia="zh-CN"/>
        </w:rPr>
        <w:t>对</w:t>
      </w:r>
      <w:r>
        <w:rPr>
          <w:rFonts w:hint="eastAsia" w:ascii="Times New Roman" w:hAnsi="Times New Roman" w:eastAsia="仿宋_GB2312"/>
          <w:color w:val="auto"/>
          <w:highlight w:val="none"/>
        </w:rPr>
        <w:t>接入层访问</w:t>
      </w:r>
      <w:r>
        <w:rPr>
          <w:rFonts w:hint="eastAsia" w:ascii="Times New Roman" w:hAnsi="Times New Roman" w:eastAsia="仿宋_GB2312"/>
          <w:color w:val="auto"/>
          <w:highlight w:val="none"/>
          <w:lang w:val="en-US" w:eastAsia="zh-CN"/>
        </w:rPr>
        <w:t>流量</w:t>
      </w:r>
      <w:r>
        <w:rPr>
          <w:rFonts w:hint="eastAsia" w:ascii="Times New Roman" w:hAnsi="Times New Roman" w:eastAsia="仿宋_GB2312"/>
          <w:color w:val="auto"/>
          <w:highlight w:val="none"/>
        </w:rPr>
        <w:t>进行集中汇聚，承担路由聚合</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访问控制功能。汇聚层节点的位置</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数量</w:t>
      </w:r>
      <w:r>
        <w:rPr>
          <w:rFonts w:hint="eastAsia" w:ascii="Times New Roman" w:hAnsi="Times New Roman" w:eastAsia="仿宋_GB2312"/>
          <w:color w:val="auto"/>
          <w:highlight w:val="none"/>
          <w:lang w:val="en-US" w:eastAsia="zh-CN"/>
        </w:rPr>
        <w:t>可</w:t>
      </w:r>
      <w:r>
        <w:rPr>
          <w:rFonts w:hint="eastAsia" w:ascii="Times New Roman" w:hAnsi="Times New Roman" w:eastAsia="仿宋_GB2312"/>
          <w:color w:val="auto"/>
          <w:highlight w:val="none"/>
        </w:rPr>
        <w:t>基于机房</w:t>
      </w:r>
      <w:r>
        <w:rPr>
          <w:rFonts w:hint="eastAsia" w:ascii="Times New Roman" w:hAnsi="Times New Roman" w:eastAsia="仿宋_GB2312"/>
          <w:color w:val="auto"/>
          <w:highlight w:val="none"/>
          <w:lang w:val="en-US" w:eastAsia="zh-CN"/>
        </w:rPr>
        <w:t>分布</w:t>
      </w:r>
      <w:r>
        <w:rPr>
          <w:rFonts w:hint="eastAsia" w:ascii="Times New Roman" w:hAnsi="Times New Roman" w:eastAsia="仿宋_GB2312"/>
          <w:color w:val="auto"/>
          <w:highlight w:val="none"/>
        </w:rPr>
        <w:t>、传输资源及网络接入点地理</w:t>
      </w:r>
      <w:r>
        <w:rPr>
          <w:rFonts w:hint="eastAsia" w:ascii="Times New Roman" w:hAnsi="Times New Roman" w:eastAsia="仿宋_GB2312"/>
          <w:color w:val="auto"/>
          <w:highlight w:val="none"/>
          <w:lang w:val="en-US" w:eastAsia="zh-CN"/>
        </w:rPr>
        <w:t>布局</w:t>
      </w:r>
      <w:r>
        <w:rPr>
          <w:rFonts w:hint="eastAsia" w:ascii="Times New Roman" w:hAnsi="Times New Roman" w:eastAsia="仿宋_GB2312"/>
          <w:color w:val="auto"/>
          <w:highlight w:val="none"/>
        </w:rPr>
        <w:t>等因素</w:t>
      </w:r>
      <w:r>
        <w:rPr>
          <w:rFonts w:hint="eastAsia" w:ascii="Times New Roman" w:hAnsi="Times New Roman" w:eastAsia="仿宋_GB2312"/>
          <w:color w:val="auto"/>
          <w:highlight w:val="none"/>
          <w:lang w:val="en-US" w:eastAsia="zh-CN"/>
        </w:rPr>
        <w:t>综合确定</w:t>
      </w:r>
      <w:r>
        <w:rPr>
          <w:rFonts w:hint="eastAsia" w:ascii="Times New Roman" w:hAnsi="Times New Roman" w:eastAsia="仿宋_GB2312"/>
          <w:color w:val="auto"/>
          <w:highlight w:val="none"/>
        </w:rPr>
        <w:t>。</w:t>
      </w:r>
    </w:p>
    <w:p w14:paraId="2F693781">
      <w:pPr>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接入层主要提供各政务外网使用单位的网络接入</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包括：</w:t>
      </w:r>
      <w:r>
        <w:rPr>
          <w:rFonts w:ascii="Times New Roman" w:hAnsi="Times New Roman" w:eastAsia="仿宋_GB2312"/>
          <w:color w:val="auto"/>
          <w:highlight w:val="none"/>
        </w:rPr>
        <w:t>16</w:t>
      </w:r>
      <w:r>
        <w:rPr>
          <w:rFonts w:hint="eastAsia" w:ascii="Times New Roman" w:hAnsi="Times New Roman" w:eastAsia="仿宋_GB2312"/>
          <w:color w:val="auto"/>
          <w:highlight w:val="none"/>
        </w:rPr>
        <w:t>个区级政务外网、市级各部门网络</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以及其他重点区域、平台及网络的对接。接入层网络</w:t>
      </w:r>
      <w:r>
        <w:rPr>
          <w:rFonts w:hint="eastAsia" w:ascii="Times New Roman" w:hAnsi="Times New Roman" w:eastAsia="仿宋_GB2312"/>
          <w:color w:val="auto"/>
          <w:highlight w:val="none"/>
          <w:lang w:val="en-US" w:eastAsia="zh-CN"/>
        </w:rPr>
        <w:t>通过</w:t>
      </w:r>
      <w:r>
        <w:rPr>
          <w:rFonts w:hint="eastAsia" w:ascii="Times New Roman" w:hAnsi="Times New Roman" w:eastAsia="仿宋_GB2312"/>
          <w:color w:val="auto"/>
          <w:highlight w:val="none"/>
        </w:rPr>
        <w:t>单链路或双链路上行方式接入业务网络汇聚层。</w:t>
      </w:r>
    </w:p>
    <w:p w14:paraId="24ECF2A8">
      <w:pPr>
        <w:spacing w:line="560" w:lineRule="exact"/>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建立互联网安全接入及无线</w:t>
      </w:r>
      <w:r>
        <w:rPr>
          <w:rFonts w:hint="eastAsia" w:ascii="Times New Roman" w:hAnsi="Times New Roman" w:eastAsia="仿宋_GB2312"/>
          <w:color w:val="auto"/>
          <w:highlight w:val="none"/>
          <w:lang w:val="en-US" w:eastAsia="zh-CN"/>
        </w:rPr>
        <w:t>网</w:t>
      </w:r>
      <w:r>
        <w:rPr>
          <w:rFonts w:hint="eastAsia" w:ascii="Times New Roman" w:hAnsi="Times New Roman" w:eastAsia="仿宋_GB2312"/>
          <w:color w:val="auto"/>
          <w:highlight w:val="none"/>
        </w:rPr>
        <w:t>安全接入区，满足部分机构</w:t>
      </w:r>
      <w:r>
        <w:rPr>
          <w:rFonts w:hint="eastAsia" w:ascii="Times New Roman" w:hAnsi="Times New Roman" w:eastAsia="仿宋_GB2312"/>
          <w:color w:val="auto"/>
          <w:highlight w:val="none"/>
          <w:lang w:val="en-US" w:eastAsia="zh-CN"/>
        </w:rPr>
        <w:t>/</w:t>
      </w:r>
      <w:r>
        <w:rPr>
          <w:rFonts w:hint="eastAsia" w:ascii="Times New Roman" w:hAnsi="Times New Roman" w:eastAsia="仿宋_GB2312"/>
          <w:color w:val="auto"/>
          <w:highlight w:val="none"/>
        </w:rPr>
        <w:t>部门通过互联网、</w:t>
      </w:r>
      <w:r>
        <w:rPr>
          <w:rFonts w:ascii="Times New Roman" w:hAnsi="Times New Roman" w:eastAsia="仿宋_GB2312"/>
          <w:color w:val="auto"/>
          <w:highlight w:val="none"/>
        </w:rPr>
        <w:t>4G/5G</w:t>
      </w:r>
      <w:r>
        <w:rPr>
          <w:rFonts w:hint="eastAsia" w:ascii="Times New Roman" w:hAnsi="Times New Roman" w:eastAsia="仿宋_GB2312"/>
          <w:color w:val="auto"/>
          <w:highlight w:val="none"/>
        </w:rPr>
        <w:t>移动通信网等网络资源</w:t>
      </w:r>
      <w:r>
        <w:rPr>
          <w:rFonts w:hint="eastAsia" w:ascii="Times New Roman" w:hAnsi="Times New Roman" w:eastAsia="仿宋_GB2312"/>
          <w:color w:val="auto"/>
          <w:highlight w:val="none"/>
          <w:lang w:val="en-US" w:eastAsia="zh-CN"/>
        </w:rPr>
        <w:t>安全</w:t>
      </w:r>
      <w:r>
        <w:rPr>
          <w:rFonts w:hint="eastAsia" w:ascii="Times New Roman" w:hAnsi="Times New Roman" w:eastAsia="仿宋_GB2312"/>
          <w:color w:val="auto"/>
          <w:highlight w:val="none"/>
        </w:rPr>
        <w:t>接入政务外网进行数据交换的需求</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各</w:t>
      </w:r>
      <w:r>
        <w:rPr>
          <w:rFonts w:hint="eastAsia" w:ascii="Times New Roman" w:hAnsi="Times New Roman" w:eastAsia="仿宋_GB2312"/>
          <w:color w:val="auto"/>
          <w:highlight w:val="none"/>
        </w:rPr>
        <w:t>安全接入区应独立建设。</w:t>
      </w:r>
    </w:p>
    <w:p w14:paraId="42EEF59D">
      <w:pPr>
        <w:spacing w:line="560" w:lineRule="exact"/>
        <w:jc w:val="both"/>
        <w:rPr>
          <w:rFonts w:ascii="Times New Roman" w:hAnsi="Times New Roman" w:eastAsia="仿宋_GB2312"/>
          <w:color w:val="auto"/>
          <w:szCs w:val="28"/>
          <w:highlight w:val="none"/>
        </w:rPr>
      </w:pPr>
      <w:r>
        <w:rPr>
          <w:rFonts w:hint="eastAsia" w:ascii="Times New Roman" w:hAnsi="Times New Roman" w:eastAsia="仿宋_GB2312"/>
          <w:color w:val="auto"/>
          <w:highlight w:val="none"/>
        </w:rPr>
        <w:t>政务外网管理系统承载网应采用</w:t>
      </w:r>
      <w:r>
        <w:rPr>
          <w:rFonts w:ascii="Times New Roman" w:hAnsi="Times New Roman" w:eastAsia="仿宋_GB2312"/>
          <w:color w:val="auto"/>
          <w:highlight w:val="none"/>
        </w:rPr>
        <w:t>IP</w:t>
      </w:r>
      <w:r>
        <w:rPr>
          <w:rFonts w:hint="eastAsia" w:ascii="Times New Roman" w:hAnsi="Times New Roman" w:eastAsia="仿宋_GB2312"/>
          <w:color w:val="auto"/>
          <w:highlight w:val="none"/>
        </w:rPr>
        <w:t>技术组网，构</w:t>
      </w:r>
      <w:r>
        <w:rPr>
          <w:rFonts w:hint="eastAsia" w:ascii="Times New Roman" w:hAnsi="Times New Roman" w:eastAsia="仿宋_GB2312"/>
          <w:color w:val="auto"/>
          <w:highlight w:val="none"/>
          <w:lang w:val="en-US" w:eastAsia="zh-CN"/>
        </w:rPr>
        <w:t>建</w:t>
      </w:r>
      <w:r>
        <w:rPr>
          <w:rFonts w:hint="eastAsia" w:ascii="Times New Roman" w:hAnsi="Times New Roman" w:eastAsia="仿宋_GB2312"/>
          <w:color w:val="auto"/>
          <w:highlight w:val="none"/>
        </w:rPr>
        <w:t>于底层光传输网之上</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该承载网</w:t>
      </w:r>
      <w:r>
        <w:rPr>
          <w:rFonts w:hint="eastAsia" w:ascii="Times New Roman" w:hAnsi="Times New Roman" w:eastAsia="仿宋_GB2312"/>
          <w:color w:val="auto"/>
          <w:highlight w:val="none"/>
        </w:rPr>
        <w:t>基于市、区两级政务外网光传输网络实现互联互通，</w:t>
      </w:r>
      <w:r>
        <w:rPr>
          <w:rFonts w:hint="eastAsia" w:ascii="Times New Roman" w:hAnsi="Times New Roman" w:eastAsia="仿宋_GB2312"/>
          <w:color w:val="auto"/>
          <w:highlight w:val="none"/>
          <w:lang w:val="en-US" w:eastAsia="zh-CN"/>
        </w:rPr>
        <w:t>其数据传输须使用与</w:t>
      </w:r>
      <w:r>
        <w:rPr>
          <w:rFonts w:hint="eastAsia" w:ascii="Times New Roman" w:hAnsi="Times New Roman" w:eastAsia="仿宋_GB2312"/>
          <w:color w:val="auto"/>
          <w:highlight w:val="none"/>
        </w:rPr>
        <w:t>业务网络不同的光传输通道，实现波长级隔离部署。</w:t>
      </w:r>
      <w:r>
        <w:rPr>
          <w:rFonts w:hint="eastAsia" w:ascii="Times New Roman" w:hAnsi="Times New Roman" w:eastAsia="仿宋_GB2312" w:cs="Times New Roman"/>
          <w:color w:val="auto"/>
          <w:szCs w:val="28"/>
          <w:highlight w:val="none"/>
        </w:rPr>
        <w:t>管理系统承载网采用汇聚层、接入层两级组网架构</w:t>
      </w:r>
      <w:r>
        <w:rPr>
          <w:rFonts w:hint="eastAsia" w:ascii="Times New Roman" w:hAnsi="Times New Roman" w:eastAsia="仿宋_GB2312" w:cs="Times New Roman"/>
          <w:color w:val="auto"/>
          <w:szCs w:val="28"/>
          <w:highlight w:val="none"/>
          <w:lang w:eastAsia="zh-CN"/>
        </w:rPr>
        <w:t>：</w:t>
      </w:r>
      <w:r>
        <w:rPr>
          <w:rFonts w:hint="eastAsia" w:ascii="Times New Roman" w:hAnsi="Times New Roman" w:eastAsia="仿宋_GB2312" w:cs="Times New Roman"/>
          <w:color w:val="auto"/>
          <w:szCs w:val="28"/>
          <w:highlight w:val="none"/>
        </w:rPr>
        <w:t>接入层将市级政务外网和</w:t>
      </w:r>
      <w:r>
        <w:rPr>
          <w:rFonts w:ascii="Times New Roman" w:hAnsi="Times New Roman" w:eastAsia="仿宋_GB2312" w:cs="Times New Roman"/>
          <w:color w:val="auto"/>
          <w:szCs w:val="28"/>
          <w:highlight w:val="none"/>
        </w:rPr>
        <w:t>16</w:t>
      </w:r>
      <w:r>
        <w:rPr>
          <w:rFonts w:hint="eastAsia" w:ascii="Times New Roman" w:hAnsi="Times New Roman" w:eastAsia="仿宋_GB2312" w:cs="Times New Roman"/>
          <w:color w:val="auto"/>
          <w:szCs w:val="28"/>
          <w:highlight w:val="none"/>
        </w:rPr>
        <w:t>个区级政务外网统一接入，通过市、区两级光传输网络传送至管理系统承载网的汇聚层设备，再由汇聚层设备转发</w:t>
      </w:r>
      <w:r>
        <w:rPr>
          <w:rFonts w:hint="eastAsia" w:ascii="Times New Roman" w:hAnsi="Times New Roman" w:eastAsia="仿宋_GB2312" w:cs="Times New Roman"/>
          <w:color w:val="auto"/>
          <w:szCs w:val="28"/>
          <w:highlight w:val="none"/>
          <w:lang w:val="en-US" w:eastAsia="zh-CN"/>
        </w:rPr>
        <w:t>至</w:t>
      </w:r>
      <w:r>
        <w:rPr>
          <w:rFonts w:hint="eastAsia" w:ascii="Times New Roman" w:hAnsi="Times New Roman" w:eastAsia="仿宋_GB2312" w:cs="Times New Roman"/>
          <w:color w:val="auto"/>
          <w:szCs w:val="28"/>
          <w:highlight w:val="none"/>
        </w:rPr>
        <w:t>市政务外网运行</w:t>
      </w:r>
      <w:r>
        <w:rPr>
          <w:rFonts w:hint="eastAsia" w:ascii="Times New Roman" w:hAnsi="Times New Roman" w:eastAsia="仿宋_GB2312" w:cs="Times New Roman"/>
          <w:color w:val="auto"/>
          <w:szCs w:val="28"/>
          <w:highlight w:val="none"/>
          <w:lang w:val="en-US" w:eastAsia="zh-CN"/>
        </w:rPr>
        <w:t>和安全监测系统</w:t>
      </w:r>
      <w:r>
        <w:rPr>
          <w:rFonts w:hint="eastAsia" w:ascii="Times New Roman" w:hAnsi="Times New Roman" w:eastAsia="仿宋_GB2312" w:cs="Times New Roman"/>
          <w:color w:val="auto"/>
          <w:szCs w:val="28"/>
          <w:highlight w:val="none"/>
        </w:rPr>
        <w:t>。</w:t>
      </w:r>
    </w:p>
    <w:p w14:paraId="164E104C">
      <w:pPr>
        <w:pStyle w:val="4"/>
        <w:jc w:val="both"/>
        <w:rPr>
          <w:rFonts w:ascii="Times New Roman" w:hAnsi="Times New Roman"/>
          <w:color w:val="auto"/>
          <w:highlight w:val="none"/>
        </w:rPr>
      </w:pPr>
      <w:bookmarkStart w:id="70" w:name="_Toc32227"/>
      <w:bookmarkStart w:id="71" w:name="_Toc2781"/>
      <w:bookmarkStart w:id="72" w:name="_Toc5578"/>
      <w:bookmarkStart w:id="73" w:name="_Toc884"/>
      <w:bookmarkStart w:id="74" w:name="_Toc17984"/>
      <w:bookmarkStart w:id="75" w:name="_Toc3669"/>
      <w:r>
        <w:rPr>
          <w:rFonts w:hint="eastAsia" w:ascii="Times New Roman" w:hAnsi="Times New Roman"/>
          <w:color w:val="auto"/>
          <w:highlight w:val="none"/>
        </w:rPr>
        <w:t>业务网络技术规范</w:t>
      </w:r>
      <w:bookmarkEnd w:id="70"/>
      <w:bookmarkEnd w:id="71"/>
      <w:bookmarkEnd w:id="72"/>
      <w:bookmarkEnd w:id="73"/>
      <w:bookmarkEnd w:id="74"/>
      <w:bookmarkEnd w:id="75"/>
    </w:p>
    <w:p w14:paraId="28D791A6">
      <w:pPr>
        <w:spacing w:line="560" w:lineRule="exact"/>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业务网络应满足各接入点汇聚接入及灵活互通的需求，具体要求如下：</w:t>
      </w:r>
    </w:p>
    <w:p w14:paraId="12905B08">
      <w:pPr>
        <w:numPr>
          <w:ilvl w:val="0"/>
          <w:numId w:val="8"/>
        </w:numPr>
        <w:autoSpaceDE w:val="0"/>
        <w:autoSpaceDN w:val="0"/>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采用核心</w:t>
      </w:r>
      <w:r>
        <w:rPr>
          <w:rFonts w:hint="eastAsia" w:ascii="Times New Roman" w:hAnsi="Times New Roman" w:eastAsia="仿宋_GB2312"/>
          <w:color w:val="auto"/>
          <w:highlight w:val="none"/>
          <w:lang w:val="en-US" w:eastAsia="zh-CN"/>
        </w:rPr>
        <w:t>层</w:t>
      </w:r>
      <w:r>
        <w:rPr>
          <w:rFonts w:hint="eastAsia" w:ascii="Times New Roman" w:hAnsi="Times New Roman" w:eastAsia="仿宋_GB2312"/>
          <w:color w:val="auto"/>
          <w:highlight w:val="none"/>
        </w:rPr>
        <w:t>、汇聚</w:t>
      </w:r>
      <w:r>
        <w:rPr>
          <w:rFonts w:hint="eastAsia" w:ascii="Times New Roman" w:hAnsi="Times New Roman" w:eastAsia="仿宋_GB2312"/>
          <w:color w:val="auto"/>
          <w:highlight w:val="none"/>
          <w:lang w:val="en-US" w:eastAsia="zh-CN"/>
        </w:rPr>
        <w:t>层</w:t>
      </w:r>
      <w:r>
        <w:rPr>
          <w:rFonts w:hint="eastAsia" w:ascii="Times New Roman" w:hAnsi="Times New Roman" w:eastAsia="仿宋_GB2312"/>
          <w:color w:val="auto"/>
          <w:highlight w:val="none"/>
        </w:rPr>
        <w:t>、接入</w:t>
      </w:r>
      <w:r>
        <w:rPr>
          <w:rFonts w:hint="eastAsia" w:ascii="Times New Roman" w:hAnsi="Times New Roman" w:eastAsia="仿宋_GB2312"/>
          <w:color w:val="auto"/>
          <w:highlight w:val="none"/>
          <w:lang w:val="en-US" w:eastAsia="zh-CN"/>
        </w:rPr>
        <w:t>层</w:t>
      </w:r>
      <w:r>
        <w:rPr>
          <w:rFonts w:hint="eastAsia" w:ascii="Times New Roman" w:hAnsi="Times New Roman" w:eastAsia="仿宋_GB2312"/>
          <w:color w:val="auto"/>
          <w:highlight w:val="none"/>
        </w:rPr>
        <w:t>的三层架构设计；</w:t>
      </w:r>
    </w:p>
    <w:p w14:paraId="611AF33E">
      <w:pPr>
        <w:numPr>
          <w:ilvl w:val="0"/>
          <w:numId w:val="8"/>
        </w:numPr>
        <w:autoSpaceDE w:val="0"/>
        <w:autoSpaceDN w:val="0"/>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核心</w:t>
      </w:r>
      <w:r>
        <w:rPr>
          <w:rFonts w:hint="eastAsia" w:ascii="Times New Roman" w:hAnsi="Times New Roman" w:eastAsia="仿宋_GB2312"/>
          <w:color w:val="auto"/>
          <w:highlight w:val="none"/>
          <w:lang w:val="en-US" w:eastAsia="zh-CN"/>
        </w:rPr>
        <w:t>层与</w:t>
      </w:r>
      <w:r>
        <w:rPr>
          <w:rFonts w:hint="eastAsia" w:ascii="Times New Roman" w:hAnsi="Times New Roman" w:eastAsia="仿宋_GB2312"/>
          <w:color w:val="auto"/>
          <w:highlight w:val="none"/>
        </w:rPr>
        <w:t>汇聚层应承载于光传输网络之上；</w:t>
      </w:r>
    </w:p>
    <w:p w14:paraId="4B73E878">
      <w:pPr>
        <w:numPr>
          <w:ilvl w:val="0"/>
          <w:numId w:val="8"/>
        </w:numPr>
        <w:autoSpaceDE w:val="0"/>
        <w:autoSpaceDN w:val="0"/>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采用“一网双平面”架构设计。数据平面承载网络数据流量，视频平面承载网络视频流量，两个平面</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在政务外网上逻辑隔离、独立运行，</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互为冗余备份；</w:t>
      </w:r>
    </w:p>
    <w:p w14:paraId="7AB34822">
      <w:pPr>
        <w:numPr>
          <w:ilvl w:val="0"/>
          <w:numId w:val="8"/>
        </w:numPr>
        <w:autoSpaceDE w:val="0"/>
        <w:autoSpaceDN w:val="0"/>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应基于TCP/IP技术构建，网络设备</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支持IPv4/IPv6双栈</w:t>
      </w:r>
      <w:r>
        <w:rPr>
          <w:rFonts w:hint="eastAsia" w:ascii="Times New Roman" w:hAnsi="Times New Roman" w:eastAsia="仿宋_GB2312"/>
          <w:color w:val="auto"/>
          <w:highlight w:val="none"/>
          <w:lang w:val="en-US" w:eastAsia="zh-CN"/>
        </w:rPr>
        <w:t>协议</w:t>
      </w:r>
      <w:r>
        <w:rPr>
          <w:rFonts w:hint="eastAsia" w:ascii="Times New Roman" w:hAnsi="Times New Roman" w:eastAsia="仿宋_GB2312"/>
          <w:color w:val="auto"/>
          <w:highlight w:val="none"/>
        </w:rPr>
        <w:t>；</w:t>
      </w:r>
    </w:p>
    <w:p w14:paraId="3898E4C2">
      <w:pPr>
        <w:numPr>
          <w:ilvl w:val="0"/>
          <w:numId w:val="8"/>
        </w:numPr>
        <w:autoSpaceDE w:val="0"/>
        <w:autoSpaceDN w:val="0"/>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应</w:t>
      </w:r>
      <w:r>
        <w:rPr>
          <w:rFonts w:hint="eastAsia" w:ascii="Times New Roman" w:hAnsi="Times New Roman" w:eastAsia="仿宋_GB2312"/>
          <w:color w:val="auto"/>
          <w:highlight w:val="none"/>
          <w:lang w:val="en-US" w:eastAsia="zh-CN"/>
        </w:rPr>
        <w:t>确保</w:t>
      </w:r>
      <w:r>
        <w:rPr>
          <w:rFonts w:hint="eastAsia" w:ascii="Times New Roman" w:hAnsi="Times New Roman" w:eastAsia="仿宋_GB2312"/>
          <w:color w:val="auto"/>
          <w:highlight w:val="none"/>
        </w:rPr>
        <w:t>不同应用在业务网络</w:t>
      </w:r>
      <w:r>
        <w:rPr>
          <w:rFonts w:hint="eastAsia" w:ascii="Times New Roman" w:hAnsi="Times New Roman" w:eastAsia="仿宋_GB2312"/>
          <w:color w:val="auto"/>
          <w:highlight w:val="none"/>
          <w:lang w:val="en-US" w:eastAsia="zh-CN"/>
        </w:rPr>
        <w:t>中</w:t>
      </w:r>
      <w:r>
        <w:rPr>
          <w:rFonts w:hint="eastAsia" w:ascii="Times New Roman" w:hAnsi="Times New Roman" w:eastAsia="仿宋_GB2312"/>
          <w:color w:val="auto"/>
          <w:highlight w:val="none"/>
        </w:rPr>
        <w:t>的相互独立</w:t>
      </w:r>
      <w:r>
        <w:rPr>
          <w:rFonts w:hint="eastAsia" w:ascii="Times New Roman" w:hAnsi="Times New Roman" w:eastAsia="仿宋_GB2312"/>
          <w:color w:val="auto"/>
          <w:highlight w:val="none"/>
          <w:lang w:val="en-US" w:eastAsia="zh-CN"/>
        </w:rPr>
        <w:t>性</w:t>
      </w:r>
      <w:r>
        <w:rPr>
          <w:rFonts w:hint="eastAsia" w:ascii="Times New Roman" w:hAnsi="Times New Roman" w:eastAsia="仿宋_GB2312"/>
          <w:color w:val="auto"/>
          <w:highlight w:val="none"/>
        </w:rPr>
        <w:t>，可</w:t>
      </w:r>
      <w:r>
        <w:rPr>
          <w:rFonts w:hint="eastAsia" w:ascii="Times New Roman" w:hAnsi="Times New Roman" w:eastAsia="仿宋_GB2312"/>
          <w:color w:val="auto"/>
          <w:highlight w:val="none"/>
          <w:lang w:val="en-US" w:eastAsia="zh-CN"/>
        </w:rPr>
        <w:t>通过</w:t>
      </w:r>
      <w:r>
        <w:rPr>
          <w:rFonts w:hint="eastAsia" w:ascii="Times New Roman" w:hAnsi="Times New Roman" w:eastAsia="仿宋_GB2312"/>
          <w:color w:val="auto"/>
          <w:highlight w:val="none"/>
        </w:rPr>
        <w:t>VLAN、VPN等</w:t>
      </w:r>
      <w:r>
        <w:rPr>
          <w:rFonts w:hint="eastAsia" w:ascii="Times New Roman" w:hAnsi="Times New Roman" w:eastAsia="仿宋_GB2312"/>
          <w:color w:val="auto"/>
          <w:highlight w:val="none"/>
          <w:lang w:val="en-US" w:eastAsia="zh-CN"/>
        </w:rPr>
        <w:t>技术</w:t>
      </w:r>
      <w:r>
        <w:rPr>
          <w:rFonts w:hint="eastAsia" w:ascii="Times New Roman" w:hAnsi="Times New Roman" w:eastAsia="仿宋_GB2312"/>
          <w:color w:val="auto"/>
          <w:highlight w:val="none"/>
        </w:rPr>
        <w:t>实现业务隔离；</w:t>
      </w:r>
    </w:p>
    <w:p w14:paraId="773C7C79">
      <w:pPr>
        <w:numPr>
          <w:ilvl w:val="0"/>
          <w:numId w:val="8"/>
        </w:numPr>
        <w:autoSpaceDE w:val="0"/>
        <w:autoSpaceDN w:val="0"/>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应</w:t>
      </w:r>
      <w:r>
        <w:rPr>
          <w:rFonts w:hint="eastAsia" w:ascii="Times New Roman" w:hAnsi="Times New Roman" w:eastAsia="仿宋_GB2312"/>
          <w:color w:val="auto"/>
          <w:highlight w:val="none"/>
          <w:lang w:val="en-US" w:eastAsia="zh-CN"/>
        </w:rPr>
        <w:t>确保设备在安全性与</w:t>
      </w:r>
      <w:r>
        <w:rPr>
          <w:rFonts w:hint="eastAsia" w:ascii="Times New Roman" w:hAnsi="Times New Roman" w:eastAsia="仿宋_GB2312"/>
          <w:color w:val="auto"/>
          <w:highlight w:val="none"/>
        </w:rPr>
        <w:t>自主可控</w:t>
      </w:r>
      <w:r>
        <w:rPr>
          <w:rFonts w:hint="eastAsia" w:ascii="Times New Roman" w:hAnsi="Times New Roman" w:eastAsia="仿宋_GB2312"/>
          <w:color w:val="auto"/>
          <w:highlight w:val="none"/>
          <w:lang w:val="en-US" w:eastAsia="zh-CN"/>
        </w:rPr>
        <w:t>性方面满足要求</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优先</w:t>
      </w:r>
      <w:r>
        <w:rPr>
          <w:rFonts w:hint="eastAsia" w:ascii="Times New Roman" w:hAnsi="Times New Roman" w:eastAsia="仿宋_GB2312"/>
          <w:color w:val="auto"/>
          <w:highlight w:val="none"/>
        </w:rPr>
        <w:t>采用国产领先的网络</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安全设备；</w:t>
      </w:r>
    </w:p>
    <w:p w14:paraId="375B09F9">
      <w:pPr>
        <w:numPr>
          <w:ilvl w:val="0"/>
          <w:numId w:val="8"/>
        </w:numPr>
        <w:autoSpaceDE w:val="0"/>
        <w:autoSpaceDN w:val="0"/>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核心</w:t>
      </w:r>
      <w:r>
        <w:rPr>
          <w:rFonts w:hint="eastAsia" w:ascii="Times New Roman" w:hAnsi="Times New Roman" w:eastAsia="仿宋_GB2312"/>
          <w:color w:val="auto"/>
          <w:highlight w:val="none"/>
          <w:lang w:val="en-US" w:eastAsia="zh-CN"/>
        </w:rPr>
        <w:t>层与</w:t>
      </w:r>
      <w:r>
        <w:rPr>
          <w:rFonts w:hint="eastAsia" w:ascii="Times New Roman" w:hAnsi="Times New Roman" w:eastAsia="仿宋_GB2312"/>
          <w:color w:val="auto"/>
          <w:highlight w:val="none"/>
        </w:rPr>
        <w:t>汇聚层应采用SDN技术，具备流量工程和智能流量调整能力；</w:t>
      </w:r>
    </w:p>
    <w:p w14:paraId="337118D0">
      <w:pPr>
        <w:numPr>
          <w:ilvl w:val="0"/>
          <w:numId w:val="8"/>
        </w:numPr>
        <w:autoSpaceDE w:val="0"/>
        <w:autoSpaceDN w:val="0"/>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应对网络的运行状态及服务质量进行实时监控。</w:t>
      </w:r>
    </w:p>
    <w:p w14:paraId="5A90D265">
      <w:pPr>
        <w:pStyle w:val="5"/>
        <w:jc w:val="both"/>
        <w:rPr>
          <w:rFonts w:ascii="Times New Roman" w:hAnsi="Times New Roman"/>
          <w:color w:val="auto"/>
          <w:highlight w:val="none"/>
        </w:rPr>
      </w:pPr>
      <w:r>
        <w:rPr>
          <w:rFonts w:hint="eastAsia" w:ascii="Times New Roman" w:hAnsi="Times New Roman"/>
          <w:color w:val="auto"/>
          <w:highlight w:val="none"/>
        </w:rPr>
        <w:t>核心节点</w:t>
      </w:r>
      <w:r>
        <w:rPr>
          <w:rFonts w:hint="eastAsia" w:ascii="Times New Roman" w:hAnsi="Times New Roman"/>
          <w:color w:val="auto"/>
          <w:highlight w:val="none"/>
          <w:lang w:val="en-US" w:eastAsia="zh-CN"/>
        </w:rPr>
        <w:t>要求</w:t>
      </w:r>
    </w:p>
    <w:p w14:paraId="739BD53D">
      <w:pPr>
        <w:numPr>
          <w:ilvl w:val="0"/>
          <w:numId w:val="9"/>
        </w:numPr>
        <w:autoSpaceDE/>
        <w:autoSpaceDN/>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核心节点设备</w:t>
      </w:r>
      <w:r>
        <w:rPr>
          <w:rFonts w:hint="eastAsia" w:ascii="Times New Roman" w:hAnsi="Times New Roman" w:eastAsia="仿宋_GB2312"/>
          <w:color w:val="auto"/>
          <w:highlight w:val="none"/>
          <w:lang w:val="en-US" w:eastAsia="zh-CN"/>
        </w:rPr>
        <w:t>负责</w:t>
      </w:r>
      <w:r>
        <w:rPr>
          <w:rFonts w:hint="eastAsia" w:ascii="Times New Roman" w:hAnsi="Times New Roman" w:eastAsia="仿宋_GB2312"/>
          <w:color w:val="auto"/>
          <w:highlight w:val="none"/>
        </w:rPr>
        <w:t>用户流量安全、高速、可靠转发；</w:t>
      </w:r>
    </w:p>
    <w:p w14:paraId="2ACDEA10">
      <w:pPr>
        <w:numPr>
          <w:ilvl w:val="0"/>
          <w:numId w:val="9"/>
        </w:numPr>
        <w:autoSpaceDE/>
        <w:autoSpaceDN/>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核心节点设备选型</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能满足未来业务发展平滑扩展需</w:t>
      </w:r>
      <w:r>
        <w:rPr>
          <w:rFonts w:hint="eastAsia" w:ascii="Times New Roman" w:hAnsi="Times New Roman" w:eastAsia="仿宋_GB2312"/>
          <w:color w:val="auto"/>
          <w:highlight w:val="none"/>
          <w:lang w:val="en-US" w:eastAsia="zh-CN"/>
        </w:rPr>
        <w:t>求</w:t>
      </w:r>
      <w:r>
        <w:rPr>
          <w:rFonts w:hint="eastAsia" w:ascii="Times New Roman" w:hAnsi="Times New Roman" w:eastAsia="仿宋_GB2312"/>
          <w:color w:val="auto"/>
          <w:highlight w:val="none"/>
        </w:rPr>
        <w:t>；</w:t>
      </w:r>
    </w:p>
    <w:p w14:paraId="15C48D01">
      <w:pPr>
        <w:numPr>
          <w:ilvl w:val="0"/>
          <w:numId w:val="9"/>
        </w:numPr>
        <w:autoSpaceDE/>
        <w:autoSpaceDN/>
        <w:spacing w:line="560" w:lineRule="exact"/>
        <w:ind w:firstLine="560" w:firstLineChars="200"/>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核心节点</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采用高冗余设计，</w:t>
      </w:r>
      <w:r>
        <w:rPr>
          <w:rFonts w:hint="eastAsia" w:ascii="Times New Roman" w:hAnsi="Times New Roman" w:eastAsia="仿宋_GB2312"/>
          <w:color w:val="auto"/>
          <w:highlight w:val="none"/>
          <w:lang w:val="en-US" w:eastAsia="zh-CN"/>
        </w:rPr>
        <w:t>确保</w:t>
      </w:r>
      <w:r>
        <w:rPr>
          <w:rFonts w:hint="eastAsia" w:ascii="Times New Roman" w:hAnsi="Times New Roman" w:eastAsia="仿宋_GB2312"/>
          <w:color w:val="auto"/>
          <w:highlight w:val="none"/>
        </w:rPr>
        <w:t>网络高可靠性。</w:t>
      </w:r>
    </w:p>
    <w:p w14:paraId="771EB710">
      <w:pPr>
        <w:pStyle w:val="5"/>
        <w:jc w:val="both"/>
        <w:rPr>
          <w:rFonts w:ascii="Times New Roman" w:hAnsi="Times New Roman"/>
          <w:color w:val="auto"/>
          <w:highlight w:val="none"/>
        </w:rPr>
      </w:pPr>
      <w:r>
        <w:rPr>
          <w:rFonts w:hint="eastAsia" w:ascii="Times New Roman" w:hAnsi="Times New Roman"/>
          <w:color w:val="auto"/>
          <w:highlight w:val="none"/>
        </w:rPr>
        <w:t>汇聚节点</w:t>
      </w:r>
      <w:r>
        <w:rPr>
          <w:rFonts w:hint="eastAsia" w:ascii="Times New Roman" w:hAnsi="Times New Roman"/>
          <w:color w:val="auto"/>
          <w:highlight w:val="none"/>
          <w:lang w:val="en-US" w:eastAsia="zh-CN"/>
        </w:rPr>
        <w:t>要求</w:t>
      </w:r>
    </w:p>
    <w:p w14:paraId="5AC5CB93">
      <w:pPr>
        <w:autoSpaceDE w:val="0"/>
        <w:autoSpaceDN w:val="0"/>
        <w:spacing w:line="560" w:lineRule="exact"/>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汇聚节点连接核心节点与接入节点，采用双归方式接入核心节点以提高网络可靠性。</w:t>
      </w:r>
      <w:r>
        <w:rPr>
          <w:rFonts w:hint="eastAsia" w:ascii="Times New Roman" w:hAnsi="Times New Roman" w:eastAsia="仿宋_GB2312"/>
          <w:color w:val="auto"/>
          <w:highlight w:val="none"/>
          <w:lang w:val="en-US" w:eastAsia="zh-CN"/>
        </w:rPr>
        <w:t>应依据</w:t>
      </w:r>
      <w:r>
        <w:rPr>
          <w:rFonts w:hint="eastAsia" w:ascii="Times New Roman" w:hAnsi="Times New Roman" w:eastAsia="仿宋_GB2312"/>
          <w:color w:val="auto"/>
          <w:highlight w:val="none"/>
        </w:rPr>
        <w:t>各接入点地理位置分布情况设置汇聚节点。每个汇聚节点</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部署两台高端路由器设备，设备间</w:t>
      </w:r>
      <w:r>
        <w:rPr>
          <w:rFonts w:hint="eastAsia" w:ascii="Times New Roman" w:hAnsi="Times New Roman" w:eastAsia="仿宋_GB2312"/>
          <w:color w:val="auto"/>
          <w:highlight w:val="none"/>
          <w:lang w:val="en-US" w:eastAsia="zh-CN"/>
        </w:rPr>
        <w:t>配</w:t>
      </w:r>
      <w:r>
        <w:rPr>
          <w:rFonts w:hint="eastAsia" w:ascii="Times New Roman" w:hAnsi="Times New Roman" w:eastAsia="仿宋_GB2312"/>
          <w:color w:val="auto"/>
          <w:highlight w:val="none"/>
        </w:rPr>
        <w:t>置100Gbps互联链路。</w:t>
      </w:r>
    </w:p>
    <w:p w14:paraId="5681A0F2">
      <w:pPr>
        <w:autoSpaceDE w:val="0"/>
        <w:autoSpaceDN w:val="0"/>
        <w:spacing w:line="560" w:lineRule="exact"/>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汇聚节点向上</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通过100Gbps链路分别连接至两个核心节点，向下</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通过N×10Gbps链路连接各汇聚层防火墙或交换机。</w:t>
      </w:r>
    </w:p>
    <w:p w14:paraId="71963FB1">
      <w:pPr>
        <w:pStyle w:val="5"/>
        <w:rPr>
          <w:rFonts w:ascii="Times New Roman" w:hAnsi="Times New Roman"/>
          <w:color w:val="auto"/>
          <w:highlight w:val="none"/>
        </w:rPr>
      </w:pPr>
      <w:r>
        <w:rPr>
          <w:rFonts w:hint="eastAsia" w:ascii="Times New Roman" w:hAnsi="Times New Roman"/>
          <w:color w:val="auto"/>
          <w:highlight w:val="none"/>
        </w:rPr>
        <w:t>接入节点</w:t>
      </w:r>
      <w:r>
        <w:rPr>
          <w:rFonts w:hint="eastAsia" w:ascii="Times New Roman" w:hAnsi="Times New Roman"/>
          <w:color w:val="auto"/>
          <w:highlight w:val="none"/>
          <w:lang w:val="en-US" w:eastAsia="zh-CN"/>
        </w:rPr>
        <w:t>要求</w:t>
      </w:r>
    </w:p>
    <w:p w14:paraId="65E33121">
      <w:pPr>
        <w:autoSpaceDE w:val="0"/>
        <w:autoSpaceDN w:val="0"/>
        <w:spacing w:line="560" w:lineRule="exact"/>
        <w:jc w:val="both"/>
        <w:rPr>
          <w:rFonts w:ascii="Times New Roman" w:hAnsi="Times New Roman" w:eastAsia="仿宋_GB2312"/>
          <w:color w:val="auto"/>
          <w:highlight w:val="none"/>
        </w:rPr>
      </w:pPr>
      <w:r>
        <w:rPr>
          <w:rFonts w:hint="eastAsia" w:ascii="Times New Roman" w:hAnsi="Times New Roman" w:eastAsia="仿宋_GB2312"/>
          <w:color w:val="auto"/>
          <w:highlight w:val="none"/>
        </w:rPr>
        <w:t>接入设备</w:t>
      </w:r>
      <w:r>
        <w:rPr>
          <w:rFonts w:hint="eastAsia" w:ascii="Times New Roman" w:hAnsi="Times New Roman" w:eastAsia="仿宋_GB2312"/>
          <w:color w:val="auto"/>
          <w:highlight w:val="none"/>
          <w:lang w:val="en-US" w:eastAsia="zh-CN"/>
        </w:rPr>
        <w:t>通过</w:t>
      </w:r>
      <w:r>
        <w:rPr>
          <w:rFonts w:hint="eastAsia" w:ascii="Times New Roman" w:hAnsi="Times New Roman" w:eastAsia="仿宋_GB2312"/>
          <w:color w:val="auto"/>
          <w:highlight w:val="none"/>
        </w:rPr>
        <w:t>N×1Gbps或N×10Gbps链路</w:t>
      </w:r>
      <w:r>
        <w:rPr>
          <w:rFonts w:hint="eastAsia" w:ascii="Times New Roman" w:hAnsi="Times New Roman" w:eastAsia="仿宋_GB2312"/>
          <w:color w:val="auto"/>
          <w:highlight w:val="none"/>
          <w:lang w:val="en-US" w:eastAsia="zh-CN"/>
        </w:rPr>
        <w:t>上</w:t>
      </w:r>
      <w:r>
        <w:rPr>
          <w:rFonts w:hint="eastAsia" w:ascii="Times New Roman" w:hAnsi="Times New Roman" w:eastAsia="仿宋_GB2312"/>
          <w:color w:val="auto"/>
          <w:highlight w:val="none"/>
        </w:rPr>
        <w:t>连至汇聚节点，根据</w:t>
      </w:r>
      <w:r>
        <w:rPr>
          <w:rFonts w:hint="eastAsia" w:ascii="Times New Roman" w:hAnsi="Times New Roman" w:eastAsia="仿宋_GB2312"/>
          <w:color w:val="auto"/>
          <w:highlight w:val="none"/>
          <w:lang w:val="en-US" w:eastAsia="zh-CN"/>
        </w:rPr>
        <w:t>接入单位需求</w:t>
      </w:r>
      <w:r>
        <w:rPr>
          <w:rFonts w:hint="eastAsia" w:ascii="Times New Roman" w:hAnsi="Times New Roman" w:eastAsia="仿宋_GB2312"/>
          <w:color w:val="auto"/>
          <w:highlight w:val="none"/>
        </w:rPr>
        <w:t>选择单设备单链路、单设备双链路或双设备双链路</w:t>
      </w:r>
      <w:r>
        <w:rPr>
          <w:rFonts w:hint="eastAsia" w:ascii="Times New Roman" w:hAnsi="Times New Roman" w:eastAsia="仿宋_GB2312"/>
          <w:color w:val="auto"/>
          <w:highlight w:val="none"/>
          <w:lang w:val="en-US" w:eastAsia="zh-CN"/>
        </w:rPr>
        <w:t>部署</w:t>
      </w:r>
      <w:r>
        <w:rPr>
          <w:rFonts w:hint="eastAsia" w:ascii="Times New Roman" w:hAnsi="Times New Roman" w:eastAsia="仿宋_GB2312"/>
          <w:color w:val="auto"/>
          <w:highlight w:val="none"/>
        </w:rPr>
        <w:t>。</w:t>
      </w:r>
    </w:p>
    <w:p w14:paraId="01944F7B">
      <w:pPr>
        <w:pStyle w:val="4"/>
        <w:rPr>
          <w:rFonts w:ascii="Times New Roman" w:hAnsi="Times New Roman"/>
          <w:color w:val="auto"/>
          <w:highlight w:val="none"/>
        </w:rPr>
      </w:pPr>
      <w:bookmarkStart w:id="76" w:name="_Toc7207"/>
      <w:bookmarkStart w:id="77" w:name="_Toc10224"/>
      <w:bookmarkStart w:id="78" w:name="_Toc8540"/>
      <w:bookmarkStart w:id="79" w:name="_Toc19758"/>
      <w:bookmarkStart w:id="80" w:name="_Toc4004"/>
      <w:bookmarkStart w:id="81" w:name="_Toc5158"/>
      <w:r>
        <w:rPr>
          <w:rFonts w:hint="eastAsia" w:ascii="Times New Roman" w:hAnsi="Times New Roman"/>
          <w:color w:val="auto"/>
          <w:highlight w:val="none"/>
        </w:rPr>
        <w:t>业务网络设备要求</w:t>
      </w:r>
      <w:bookmarkEnd w:id="76"/>
      <w:bookmarkEnd w:id="77"/>
      <w:bookmarkEnd w:id="78"/>
      <w:bookmarkEnd w:id="79"/>
      <w:bookmarkEnd w:id="80"/>
      <w:bookmarkEnd w:id="81"/>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892"/>
        <w:gridCol w:w="1019"/>
        <w:gridCol w:w="874"/>
        <w:gridCol w:w="3868"/>
      </w:tblGrid>
      <w:tr w14:paraId="408E5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shd w:val="clear" w:color="auto" w:fill="auto"/>
            <w:vAlign w:val="center"/>
          </w:tcPr>
          <w:p w14:paraId="707EDD03">
            <w:pPr>
              <w:widowControl/>
              <w:autoSpaceDE w:val="0"/>
              <w:autoSpaceDN w:val="0"/>
              <w:spacing w:line="240" w:lineRule="auto"/>
              <w:ind w:firstLine="0" w:firstLineChars="0"/>
              <w:jc w:val="both"/>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序号</w:t>
            </w:r>
          </w:p>
        </w:tc>
        <w:tc>
          <w:tcPr>
            <w:tcW w:w="1110" w:type="pct"/>
            <w:shd w:val="clear" w:color="auto" w:fill="auto"/>
            <w:vAlign w:val="center"/>
          </w:tcPr>
          <w:p w14:paraId="6C8D41A3">
            <w:pPr>
              <w:widowControl/>
              <w:autoSpaceDE w:val="0"/>
              <w:autoSpaceDN w:val="0"/>
              <w:spacing w:line="240" w:lineRule="auto"/>
              <w:ind w:firstLine="0" w:firstLineChars="0"/>
              <w:jc w:val="both"/>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设备名称</w:t>
            </w:r>
          </w:p>
        </w:tc>
        <w:tc>
          <w:tcPr>
            <w:tcW w:w="598" w:type="pct"/>
            <w:shd w:val="clear" w:color="auto" w:fill="auto"/>
            <w:vAlign w:val="center"/>
          </w:tcPr>
          <w:p w14:paraId="0AA8B871">
            <w:pPr>
              <w:widowControl/>
              <w:autoSpaceDE w:val="0"/>
              <w:autoSpaceDN w:val="0"/>
              <w:spacing w:line="240" w:lineRule="auto"/>
              <w:ind w:firstLine="0" w:firstLineChars="0"/>
              <w:jc w:val="both"/>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单位</w:t>
            </w:r>
          </w:p>
        </w:tc>
        <w:tc>
          <w:tcPr>
            <w:tcW w:w="513" w:type="pct"/>
            <w:shd w:val="clear" w:color="auto" w:fill="auto"/>
            <w:vAlign w:val="center"/>
          </w:tcPr>
          <w:p w14:paraId="5403C9BF">
            <w:pPr>
              <w:widowControl/>
              <w:autoSpaceDE w:val="0"/>
              <w:autoSpaceDN w:val="0"/>
              <w:spacing w:line="240" w:lineRule="auto"/>
              <w:ind w:firstLine="0" w:firstLineChars="0"/>
              <w:jc w:val="both"/>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数量</w:t>
            </w:r>
          </w:p>
        </w:tc>
        <w:tc>
          <w:tcPr>
            <w:tcW w:w="2269" w:type="pct"/>
            <w:vAlign w:val="center"/>
          </w:tcPr>
          <w:p w14:paraId="49778760">
            <w:pPr>
              <w:widowControl/>
              <w:autoSpaceDE w:val="0"/>
              <w:autoSpaceDN w:val="0"/>
              <w:spacing w:line="240" w:lineRule="auto"/>
              <w:ind w:firstLine="0" w:firstLineChars="0"/>
              <w:jc w:val="both"/>
              <w:rPr>
                <w:rFonts w:hint="eastAsia" w:ascii="Times New Roman" w:hAnsi="Times New Roman" w:eastAsia="宋体" w:cs="宋体"/>
                <w:b/>
                <w:color w:val="auto"/>
                <w:sz w:val="21"/>
                <w:szCs w:val="21"/>
                <w:highlight w:val="none"/>
                <w:lang w:val="zh-TW" w:eastAsia="zh-TW"/>
              </w:rPr>
            </w:pPr>
            <w:r>
              <w:rPr>
                <w:rFonts w:hint="eastAsia" w:ascii="Times New Roman" w:hAnsi="Times New Roman" w:eastAsia="宋体" w:cs="宋体"/>
                <w:b/>
                <w:color w:val="auto"/>
                <w:sz w:val="21"/>
                <w:szCs w:val="21"/>
                <w:highlight w:val="none"/>
                <w:lang w:val="zh-TW" w:eastAsia="zh-TW"/>
              </w:rPr>
              <w:t>备注</w:t>
            </w:r>
          </w:p>
        </w:tc>
      </w:tr>
      <w:tr w14:paraId="0F94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shd w:val="clear" w:color="auto" w:fill="auto"/>
            <w:vAlign w:val="center"/>
          </w:tcPr>
          <w:p w14:paraId="4A7F228F">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1</w:t>
            </w:r>
          </w:p>
        </w:tc>
        <w:tc>
          <w:tcPr>
            <w:tcW w:w="1110" w:type="pct"/>
            <w:shd w:val="clear" w:color="auto" w:fill="auto"/>
            <w:vAlign w:val="center"/>
          </w:tcPr>
          <w:p w14:paraId="143A21F5">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核心路由器</w:t>
            </w:r>
          </w:p>
        </w:tc>
        <w:tc>
          <w:tcPr>
            <w:tcW w:w="598" w:type="pct"/>
            <w:shd w:val="clear" w:color="auto" w:fill="auto"/>
            <w:vAlign w:val="center"/>
          </w:tcPr>
          <w:p w14:paraId="49174C1A">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台</w:t>
            </w:r>
          </w:p>
        </w:tc>
        <w:tc>
          <w:tcPr>
            <w:tcW w:w="513" w:type="pct"/>
            <w:shd w:val="clear" w:color="auto" w:fill="auto"/>
            <w:vAlign w:val="center"/>
          </w:tcPr>
          <w:p w14:paraId="27A25908">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8</w:t>
            </w:r>
          </w:p>
        </w:tc>
        <w:tc>
          <w:tcPr>
            <w:tcW w:w="2269" w:type="pct"/>
            <w:vAlign w:val="center"/>
          </w:tcPr>
          <w:p w14:paraId="490DDCA4">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每个核心节点配置2台核心路由器</w:t>
            </w:r>
          </w:p>
        </w:tc>
      </w:tr>
      <w:tr w14:paraId="410D2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shd w:val="clear" w:color="auto" w:fill="auto"/>
            <w:vAlign w:val="center"/>
          </w:tcPr>
          <w:p w14:paraId="50E16340">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2</w:t>
            </w:r>
          </w:p>
        </w:tc>
        <w:tc>
          <w:tcPr>
            <w:tcW w:w="1110" w:type="pct"/>
            <w:shd w:val="clear" w:color="auto" w:fill="auto"/>
            <w:vAlign w:val="center"/>
          </w:tcPr>
          <w:p w14:paraId="7E91DE7B">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汇聚路由器</w:t>
            </w:r>
          </w:p>
        </w:tc>
        <w:tc>
          <w:tcPr>
            <w:tcW w:w="598" w:type="pct"/>
            <w:shd w:val="clear" w:color="auto" w:fill="auto"/>
            <w:vAlign w:val="center"/>
          </w:tcPr>
          <w:p w14:paraId="33DE5EB0">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台</w:t>
            </w:r>
          </w:p>
        </w:tc>
        <w:tc>
          <w:tcPr>
            <w:tcW w:w="513" w:type="pct"/>
            <w:shd w:val="clear" w:color="auto" w:fill="auto"/>
            <w:vAlign w:val="center"/>
          </w:tcPr>
          <w:p w14:paraId="0970676D">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40</w:t>
            </w:r>
          </w:p>
        </w:tc>
        <w:tc>
          <w:tcPr>
            <w:tcW w:w="2269" w:type="pct"/>
            <w:vAlign w:val="center"/>
          </w:tcPr>
          <w:p w14:paraId="715CAEE2">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每个汇聚节点配置2台汇聚路由器</w:t>
            </w:r>
          </w:p>
        </w:tc>
      </w:tr>
      <w:tr w14:paraId="0ED6D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shd w:val="clear" w:color="auto" w:fill="auto"/>
            <w:vAlign w:val="center"/>
          </w:tcPr>
          <w:p w14:paraId="76B9695E">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3</w:t>
            </w:r>
          </w:p>
        </w:tc>
        <w:tc>
          <w:tcPr>
            <w:tcW w:w="1110" w:type="pct"/>
            <w:shd w:val="clear" w:color="auto" w:fill="auto"/>
            <w:vAlign w:val="center"/>
          </w:tcPr>
          <w:p w14:paraId="55FC96DD">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汇聚交换机</w:t>
            </w:r>
          </w:p>
        </w:tc>
        <w:tc>
          <w:tcPr>
            <w:tcW w:w="598" w:type="pct"/>
            <w:shd w:val="clear" w:color="auto" w:fill="auto"/>
            <w:vAlign w:val="center"/>
          </w:tcPr>
          <w:p w14:paraId="7A5C4329">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台</w:t>
            </w:r>
          </w:p>
        </w:tc>
        <w:tc>
          <w:tcPr>
            <w:tcW w:w="513" w:type="pct"/>
            <w:shd w:val="clear" w:color="auto" w:fill="auto"/>
            <w:vAlign w:val="center"/>
          </w:tcPr>
          <w:p w14:paraId="6AD0FEDD">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40</w:t>
            </w:r>
          </w:p>
        </w:tc>
        <w:tc>
          <w:tcPr>
            <w:tcW w:w="2269" w:type="pct"/>
            <w:vAlign w:val="center"/>
          </w:tcPr>
          <w:p w14:paraId="2645861A">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rPr>
            </w:pPr>
            <w:r>
              <w:rPr>
                <w:rFonts w:hint="eastAsia" w:ascii="Times New Roman" w:hAnsi="Times New Roman" w:eastAsia="宋体" w:cs="宋体"/>
                <w:color w:val="auto"/>
                <w:sz w:val="21"/>
                <w:szCs w:val="21"/>
                <w:highlight w:val="none"/>
                <w:lang w:val="zh-TW" w:eastAsia="zh-TW"/>
              </w:rPr>
              <w:t>每个汇聚节点配置2台汇聚交换机</w:t>
            </w:r>
          </w:p>
        </w:tc>
      </w:tr>
      <w:tr w14:paraId="4AB6B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shd w:val="clear" w:color="auto" w:fill="auto"/>
            <w:vAlign w:val="center"/>
          </w:tcPr>
          <w:p w14:paraId="7CE7EF74">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4</w:t>
            </w:r>
          </w:p>
        </w:tc>
        <w:tc>
          <w:tcPr>
            <w:tcW w:w="1110" w:type="pct"/>
            <w:shd w:val="clear" w:color="auto" w:fill="auto"/>
            <w:vAlign w:val="center"/>
          </w:tcPr>
          <w:p w14:paraId="5019B2E0">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接入交换机</w:t>
            </w:r>
          </w:p>
        </w:tc>
        <w:tc>
          <w:tcPr>
            <w:tcW w:w="598" w:type="pct"/>
            <w:shd w:val="clear" w:color="auto" w:fill="auto"/>
            <w:vAlign w:val="center"/>
          </w:tcPr>
          <w:p w14:paraId="2190541B">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台</w:t>
            </w:r>
          </w:p>
        </w:tc>
        <w:tc>
          <w:tcPr>
            <w:tcW w:w="513" w:type="pct"/>
            <w:shd w:val="clear" w:color="auto" w:fill="auto"/>
            <w:vAlign w:val="center"/>
          </w:tcPr>
          <w:p w14:paraId="3562A08A">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rPr>
            </w:pPr>
            <w:r>
              <w:rPr>
                <w:rFonts w:hint="eastAsia" w:ascii="Times New Roman" w:hAnsi="Times New Roman" w:eastAsia="宋体" w:cs="宋体"/>
                <w:color w:val="auto"/>
                <w:sz w:val="21"/>
                <w:szCs w:val="21"/>
                <w:highlight w:val="none"/>
                <w:lang w:val="en-US" w:eastAsia="zh-CN"/>
              </w:rPr>
              <w:t>1700</w:t>
            </w:r>
          </w:p>
        </w:tc>
        <w:tc>
          <w:tcPr>
            <w:tcW w:w="2269" w:type="pct"/>
            <w:vAlign w:val="center"/>
          </w:tcPr>
          <w:p w14:paraId="24B19F2C">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每个接入点配置1-2台接入交换机</w:t>
            </w:r>
          </w:p>
        </w:tc>
      </w:tr>
      <w:tr w14:paraId="101FA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pct"/>
            <w:shd w:val="clear" w:color="auto" w:fill="auto"/>
            <w:vAlign w:val="center"/>
          </w:tcPr>
          <w:p w14:paraId="070113DA">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5</w:t>
            </w:r>
          </w:p>
        </w:tc>
        <w:tc>
          <w:tcPr>
            <w:tcW w:w="1110" w:type="pct"/>
            <w:shd w:val="clear" w:color="auto" w:fill="auto"/>
            <w:vAlign w:val="center"/>
          </w:tcPr>
          <w:p w14:paraId="584D65DA">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SDN控制器</w:t>
            </w:r>
          </w:p>
        </w:tc>
        <w:tc>
          <w:tcPr>
            <w:tcW w:w="598" w:type="pct"/>
            <w:shd w:val="clear" w:color="auto" w:fill="auto"/>
            <w:vAlign w:val="center"/>
          </w:tcPr>
          <w:p w14:paraId="38FFEFB9">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r>
              <w:rPr>
                <w:rFonts w:hint="eastAsia" w:ascii="Times New Roman" w:hAnsi="Times New Roman" w:eastAsia="宋体" w:cs="宋体"/>
                <w:color w:val="auto"/>
                <w:sz w:val="21"/>
                <w:szCs w:val="21"/>
                <w:highlight w:val="none"/>
                <w:lang w:val="zh-TW" w:eastAsia="zh-TW"/>
              </w:rPr>
              <w:t>套</w:t>
            </w:r>
          </w:p>
        </w:tc>
        <w:tc>
          <w:tcPr>
            <w:tcW w:w="513" w:type="pct"/>
            <w:shd w:val="clear" w:color="auto" w:fill="auto"/>
            <w:vAlign w:val="center"/>
          </w:tcPr>
          <w:p w14:paraId="27907DDE">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rPr>
            </w:pPr>
            <w:r>
              <w:rPr>
                <w:rFonts w:hint="eastAsia" w:ascii="Times New Roman" w:hAnsi="Times New Roman" w:eastAsia="宋体" w:cs="宋体"/>
                <w:color w:val="auto"/>
                <w:sz w:val="21"/>
                <w:szCs w:val="21"/>
                <w:highlight w:val="none"/>
                <w:lang w:val="zh-TW"/>
              </w:rPr>
              <w:t>1</w:t>
            </w:r>
          </w:p>
        </w:tc>
        <w:tc>
          <w:tcPr>
            <w:tcW w:w="2269" w:type="pct"/>
            <w:vAlign w:val="center"/>
          </w:tcPr>
          <w:p w14:paraId="446760CF">
            <w:pPr>
              <w:widowControl/>
              <w:autoSpaceDE w:val="0"/>
              <w:autoSpaceDN w:val="0"/>
              <w:spacing w:line="240" w:lineRule="auto"/>
              <w:ind w:firstLine="0" w:firstLineChars="0"/>
              <w:jc w:val="both"/>
              <w:rPr>
                <w:rFonts w:hint="eastAsia" w:ascii="Times New Roman" w:hAnsi="Times New Roman" w:eastAsia="宋体" w:cs="宋体"/>
                <w:color w:val="auto"/>
                <w:sz w:val="21"/>
                <w:szCs w:val="21"/>
                <w:highlight w:val="none"/>
                <w:lang w:val="zh-TW" w:eastAsia="zh-TW"/>
              </w:rPr>
            </w:pPr>
          </w:p>
        </w:tc>
      </w:tr>
    </w:tbl>
    <w:p w14:paraId="622AFED6">
      <w:pPr>
        <w:pStyle w:val="63"/>
        <w:autoSpaceDE w:val="0"/>
        <w:autoSpaceDN w:val="0"/>
        <w:ind w:firstLine="0" w:firstLineChars="0"/>
        <w:jc w:val="left"/>
        <w:rPr>
          <w:rFonts w:ascii="Times New Roman" w:hAnsi="Times New Roman"/>
          <w:color w:val="auto"/>
          <w:sz w:val="28"/>
          <w:highlight w:val="none"/>
        </w:rPr>
      </w:pPr>
      <w:r>
        <w:rPr>
          <w:rFonts w:ascii="Times New Roman" w:hAnsi="Times New Roman"/>
          <w:color w:val="auto"/>
          <w:sz w:val="28"/>
          <w:highlight w:val="none"/>
        </w:rPr>
        <w:t>1</w:t>
      </w:r>
      <w:r>
        <w:rPr>
          <w:rFonts w:hint="eastAsia" w:ascii="Times New Roman" w:hAnsi="Times New Roman"/>
          <w:color w:val="auto"/>
          <w:sz w:val="28"/>
          <w:highlight w:val="none"/>
        </w:rPr>
        <w:t>、核心设备功能要求：</w:t>
      </w:r>
    </w:p>
    <w:tbl>
      <w:tblPr>
        <w:tblStyle w:val="36"/>
        <w:tblW w:w="8392" w:type="dxa"/>
        <w:jc w:val="center"/>
        <w:tblLayout w:type="fixed"/>
        <w:tblCellMar>
          <w:top w:w="0" w:type="dxa"/>
          <w:left w:w="108" w:type="dxa"/>
          <w:bottom w:w="0" w:type="dxa"/>
          <w:right w:w="108" w:type="dxa"/>
        </w:tblCellMar>
      </w:tblPr>
      <w:tblGrid>
        <w:gridCol w:w="1394"/>
        <w:gridCol w:w="6998"/>
      </w:tblGrid>
      <w:tr w14:paraId="5DF95D0A">
        <w:tblPrEx>
          <w:tblCellMar>
            <w:top w:w="0" w:type="dxa"/>
            <w:left w:w="108" w:type="dxa"/>
            <w:bottom w:w="0" w:type="dxa"/>
            <w:right w:w="108" w:type="dxa"/>
          </w:tblCellMar>
        </w:tblPrEx>
        <w:trPr>
          <w:trHeight w:val="364"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25F9450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指标项</w:t>
            </w:r>
          </w:p>
        </w:tc>
        <w:tc>
          <w:tcPr>
            <w:tcW w:w="6998" w:type="dxa"/>
            <w:tcBorders>
              <w:top w:val="single" w:color="auto" w:sz="4" w:space="0"/>
              <w:left w:val="nil"/>
              <w:bottom w:val="single" w:color="auto" w:sz="4" w:space="0"/>
              <w:right w:val="single" w:color="auto" w:sz="4" w:space="0"/>
            </w:tcBorders>
            <w:vAlign w:val="center"/>
          </w:tcPr>
          <w:p w14:paraId="1124B8E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指标要求</w:t>
            </w:r>
          </w:p>
        </w:tc>
      </w:tr>
      <w:tr w14:paraId="02D0A7E3">
        <w:tblPrEx>
          <w:tblCellMar>
            <w:top w:w="0" w:type="dxa"/>
            <w:left w:w="108" w:type="dxa"/>
            <w:bottom w:w="0" w:type="dxa"/>
            <w:right w:w="108" w:type="dxa"/>
          </w:tblCellMar>
        </w:tblPrEx>
        <w:trPr>
          <w:trHeight w:val="570" w:hRule="atLeast"/>
          <w:jc w:val="center"/>
        </w:trPr>
        <w:tc>
          <w:tcPr>
            <w:tcW w:w="1394" w:type="dxa"/>
            <w:vMerge w:val="restart"/>
            <w:tcBorders>
              <w:top w:val="nil"/>
              <w:left w:val="single" w:color="auto" w:sz="4" w:space="0"/>
              <w:right w:val="single" w:color="auto" w:sz="4" w:space="0"/>
            </w:tcBorders>
            <w:vAlign w:val="center"/>
          </w:tcPr>
          <w:p w14:paraId="323C68E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主控引擎</w:t>
            </w:r>
          </w:p>
        </w:tc>
        <w:tc>
          <w:tcPr>
            <w:tcW w:w="6998" w:type="dxa"/>
            <w:tcBorders>
              <w:top w:val="nil"/>
              <w:left w:val="nil"/>
              <w:bottom w:val="single" w:color="auto" w:sz="4" w:space="0"/>
              <w:right w:val="single" w:color="auto" w:sz="4" w:space="0"/>
            </w:tcBorders>
            <w:vAlign w:val="center"/>
          </w:tcPr>
          <w:p w14:paraId="25A4666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≥2槽位，单槽引擎主控内存≥16G</w:t>
            </w:r>
          </w:p>
        </w:tc>
      </w:tr>
      <w:tr w14:paraId="408A853A">
        <w:tblPrEx>
          <w:tblCellMar>
            <w:top w:w="0" w:type="dxa"/>
            <w:left w:w="108" w:type="dxa"/>
            <w:bottom w:w="0" w:type="dxa"/>
            <w:right w:w="108" w:type="dxa"/>
          </w:tblCellMar>
        </w:tblPrEx>
        <w:trPr>
          <w:trHeight w:val="570" w:hRule="atLeast"/>
          <w:jc w:val="center"/>
        </w:trPr>
        <w:tc>
          <w:tcPr>
            <w:tcW w:w="1394" w:type="dxa"/>
            <w:vMerge w:val="continue"/>
            <w:tcBorders>
              <w:top w:val="nil"/>
              <w:left w:val="single" w:color="auto" w:sz="4" w:space="0"/>
              <w:right w:val="single" w:color="auto" w:sz="4" w:space="0"/>
            </w:tcBorders>
            <w:vAlign w:val="center"/>
          </w:tcPr>
          <w:p w14:paraId="0996CA8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59956D8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支持主控模块冗余，主控冗余时模块间支持状态化故障切换</w:t>
            </w:r>
          </w:p>
        </w:tc>
      </w:tr>
      <w:tr w14:paraId="546F3F58">
        <w:tblPrEx>
          <w:tblCellMar>
            <w:top w:w="0" w:type="dxa"/>
            <w:left w:w="108" w:type="dxa"/>
            <w:bottom w:w="0" w:type="dxa"/>
            <w:right w:w="108" w:type="dxa"/>
          </w:tblCellMar>
        </w:tblPrEx>
        <w:trPr>
          <w:trHeight w:val="570" w:hRule="atLeast"/>
          <w:jc w:val="center"/>
        </w:trPr>
        <w:tc>
          <w:tcPr>
            <w:tcW w:w="1394" w:type="dxa"/>
            <w:vMerge w:val="continue"/>
            <w:tcBorders>
              <w:left w:val="single" w:color="auto" w:sz="4" w:space="0"/>
              <w:bottom w:val="single" w:color="auto" w:sz="4" w:space="0"/>
              <w:right w:val="single" w:color="auto" w:sz="4" w:space="0"/>
            </w:tcBorders>
            <w:vAlign w:val="center"/>
          </w:tcPr>
          <w:p w14:paraId="2658CB3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7208215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本次配置冗余引擎，确保单引擎故障时，对本设备承载的业务流量不造成影响</w:t>
            </w:r>
          </w:p>
        </w:tc>
      </w:tr>
      <w:tr w14:paraId="74493CEC">
        <w:tblPrEx>
          <w:tblCellMar>
            <w:top w:w="0" w:type="dxa"/>
            <w:left w:w="108" w:type="dxa"/>
            <w:bottom w:w="0" w:type="dxa"/>
            <w:right w:w="108" w:type="dxa"/>
          </w:tblCellMar>
        </w:tblPrEx>
        <w:trPr>
          <w:trHeight w:val="315" w:hRule="atLeast"/>
          <w:jc w:val="center"/>
        </w:trPr>
        <w:tc>
          <w:tcPr>
            <w:tcW w:w="1394" w:type="dxa"/>
            <w:tcBorders>
              <w:top w:val="nil"/>
              <w:left w:val="single" w:color="auto" w:sz="4" w:space="0"/>
              <w:bottom w:val="single" w:color="auto" w:sz="4" w:space="0"/>
              <w:right w:val="single" w:color="auto" w:sz="4" w:space="0"/>
            </w:tcBorders>
            <w:vAlign w:val="center"/>
          </w:tcPr>
          <w:p w14:paraId="7DFA114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业务插槽</w:t>
            </w:r>
          </w:p>
        </w:tc>
        <w:tc>
          <w:tcPr>
            <w:tcW w:w="6998" w:type="dxa"/>
            <w:tcBorders>
              <w:top w:val="nil"/>
              <w:left w:val="nil"/>
              <w:bottom w:val="single" w:color="auto" w:sz="4" w:space="0"/>
              <w:right w:val="single" w:color="auto" w:sz="4" w:space="0"/>
            </w:tcBorders>
            <w:vAlign w:val="center"/>
          </w:tcPr>
          <w:p w14:paraId="68946A0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≥8槽位，单槽位端口容量≥1.2T （全尺寸业务卡槽位，非子卡槽位）</w:t>
            </w:r>
          </w:p>
        </w:tc>
      </w:tr>
      <w:tr w14:paraId="1D182F74">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38742BC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交换矩阵</w:t>
            </w:r>
          </w:p>
        </w:tc>
        <w:tc>
          <w:tcPr>
            <w:tcW w:w="6998" w:type="dxa"/>
            <w:tcBorders>
              <w:top w:val="nil"/>
              <w:left w:val="nil"/>
              <w:bottom w:val="single" w:color="auto" w:sz="4" w:space="0"/>
              <w:right w:val="single" w:color="auto" w:sz="4" w:space="0"/>
            </w:tcBorders>
            <w:vAlign w:val="center"/>
          </w:tcPr>
          <w:p w14:paraId="014AEDA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≥4，N+1冗余</w:t>
            </w:r>
          </w:p>
        </w:tc>
      </w:tr>
      <w:tr w14:paraId="5FAACD2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0C43C27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29ADB00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kern w:val="0"/>
                <w:sz w:val="21"/>
                <w:szCs w:val="21"/>
                <w:highlight w:val="none"/>
              </w:rPr>
              <w:t>交换矩阵数量，满足所有槽位均达到1.2T线速转发情况下的交换容量</w:t>
            </w:r>
          </w:p>
        </w:tc>
      </w:tr>
      <w:tr w14:paraId="2081FBE3">
        <w:tblPrEx>
          <w:tblCellMar>
            <w:top w:w="0" w:type="dxa"/>
            <w:left w:w="108" w:type="dxa"/>
            <w:bottom w:w="0" w:type="dxa"/>
            <w:right w:w="108" w:type="dxa"/>
          </w:tblCellMar>
        </w:tblPrEx>
        <w:trPr>
          <w:trHeight w:val="315" w:hRule="atLeast"/>
          <w:jc w:val="center"/>
        </w:trPr>
        <w:tc>
          <w:tcPr>
            <w:tcW w:w="1394" w:type="dxa"/>
            <w:tcBorders>
              <w:top w:val="nil"/>
              <w:left w:val="single" w:color="auto" w:sz="4" w:space="0"/>
              <w:bottom w:val="single" w:color="auto" w:sz="4" w:space="0"/>
              <w:right w:val="single" w:color="auto" w:sz="4" w:space="0"/>
            </w:tcBorders>
            <w:vAlign w:val="center"/>
          </w:tcPr>
          <w:p w14:paraId="14482F5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电源</w:t>
            </w:r>
          </w:p>
        </w:tc>
        <w:tc>
          <w:tcPr>
            <w:tcW w:w="6998" w:type="dxa"/>
            <w:tcBorders>
              <w:top w:val="nil"/>
              <w:left w:val="nil"/>
              <w:bottom w:val="single" w:color="auto" w:sz="4" w:space="0"/>
              <w:right w:val="single" w:color="auto" w:sz="4" w:space="0"/>
            </w:tcBorders>
            <w:vAlign w:val="center"/>
          </w:tcPr>
          <w:p w14:paraId="0416776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支持N+1冗余电源，满配交流电源模块且满足本次及后续扩容的所有业务板卡均能达到1.2T线速转发</w:t>
            </w:r>
          </w:p>
        </w:tc>
      </w:tr>
      <w:tr w14:paraId="66C979A6">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2F86CA5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风扇</w:t>
            </w:r>
          </w:p>
        </w:tc>
        <w:tc>
          <w:tcPr>
            <w:tcW w:w="6998" w:type="dxa"/>
            <w:tcBorders>
              <w:top w:val="nil"/>
              <w:left w:val="nil"/>
              <w:bottom w:val="single" w:color="auto" w:sz="4" w:space="0"/>
              <w:right w:val="single" w:color="auto" w:sz="4" w:space="0"/>
            </w:tcBorders>
            <w:vAlign w:val="center"/>
          </w:tcPr>
          <w:p w14:paraId="2CF89A1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支持风扇槽位≥2，满配机箱风扇</w:t>
            </w:r>
          </w:p>
        </w:tc>
      </w:tr>
      <w:tr w14:paraId="087FE85B">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vAlign w:val="center"/>
          </w:tcPr>
          <w:p w14:paraId="4822143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端口</w:t>
            </w:r>
          </w:p>
        </w:tc>
        <w:tc>
          <w:tcPr>
            <w:tcW w:w="6998" w:type="dxa"/>
            <w:tcBorders>
              <w:top w:val="nil"/>
              <w:left w:val="nil"/>
              <w:bottom w:val="single" w:color="auto" w:sz="4" w:space="0"/>
              <w:right w:val="single" w:color="auto" w:sz="4" w:space="0"/>
            </w:tcBorders>
            <w:vAlign w:val="center"/>
          </w:tcPr>
          <w:p w14:paraId="1158053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支持100G、10G全线速板卡，100G接口要求可自适应到40G、10G接口要求可自适应到1G</w:t>
            </w:r>
          </w:p>
        </w:tc>
      </w:tr>
      <w:tr w14:paraId="6B26AD83">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12831EC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2F1CF3C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支持单板卡10G全线速端口密度≥48</w:t>
            </w:r>
          </w:p>
        </w:tc>
      </w:tr>
      <w:tr w14:paraId="3CFE94F9">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3DB45EE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1CB5BF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支持单板卡100G全线速端口密度≥12</w:t>
            </w:r>
          </w:p>
        </w:tc>
      </w:tr>
      <w:tr w14:paraId="1E1260A6">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9BF043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0A8143D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支持整机最大10G全线速端口数≥384</w:t>
            </w:r>
          </w:p>
        </w:tc>
      </w:tr>
      <w:tr w14:paraId="326E43A9">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570C644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144717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支持整机最大100G全线速端口数≥96</w:t>
            </w:r>
          </w:p>
        </w:tc>
      </w:tr>
      <w:tr w14:paraId="426C9B03">
        <w:tblPrEx>
          <w:tblCellMar>
            <w:top w:w="0" w:type="dxa"/>
            <w:left w:w="108" w:type="dxa"/>
            <w:bottom w:w="0" w:type="dxa"/>
            <w:right w:w="108" w:type="dxa"/>
          </w:tblCellMar>
        </w:tblPrEx>
        <w:trPr>
          <w:trHeight w:val="266" w:hRule="atLeast"/>
          <w:jc w:val="center"/>
        </w:trPr>
        <w:tc>
          <w:tcPr>
            <w:tcW w:w="1394" w:type="dxa"/>
            <w:vMerge w:val="restart"/>
            <w:tcBorders>
              <w:top w:val="single" w:color="auto" w:sz="4" w:space="0"/>
              <w:left w:val="single" w:color="auto" w:sz="4" w:space="0"/>
              <w:right w:val="single" w:color="auto" w:sz="4" w:space="0"/>
            </w:tcBorders>
            <w:vAlign w:val="center"/>
          </w:tcPr>
          <w:p w14:paraId="6756727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可靠性</w:t>
            </w:r>
          </w:p>
        </w:tc>
        <w:tc>
          <w:tcPr>
            <w:tcW w:w="6998" w:type="dxa"/>
            <w:tcBorders>
              <w:top w:val="nil"/>
              <w:left w:val="nil"/>
              <w:bottom w:val="single" w:color="auto" w:sz="4" w:space="0"/>
              <w:right w:val="single" w:color="auto" w:sz="4" w:space="0"/>
            </w:tcBorders>
            <w:vAlign w:val="center"/>
          </w:tcPr>
          <w:p w14:paraId="66997C0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硬件支持不间断软件升级</w:t>
            </w:r>
          </w:p>
        </w:tc>
      </w:tr>
      <w:tr w14:paraId="7DA7E6BB">
        <w:tblPrEx>
          <w:tblCellMar>
            <w:top w:w="0" w:type="dxa"/>
            <w:left w:w="108" w:type="dxa"/>
            <w:bottom w:w="0" w:type="dxa"/>
            <w:right w:w="108" w:type="dxa"/>
          </w:tblCellMar>
        </w:tblPrEx>
        <w:trPr>
          <w:trHeight w:val="266" w:hRule="atLeast"/>
          <w:jc w:val="center"/>
        </w:trPr>
        <w:tc>
          <w:tcPr>
            <w:tcW w:w="1394" w:type="dxa"/>
            <w:vMerge w:val="continue"/>
            <w:tcBorders>
              <w:top w:val="single" w:color="auto" w:sz="4" w:space="0"/>
              <w:left w:val="single" w:color="auto" w:sz="4" w:space="0"/>
              <w:right w:val="single" w:color="auto" w:sz="4" w:space="0"/>
            </w:tcBorders>
            <w:vAlign w:val="center"/>
          </w:tcPr>
          <w:p w14:paraId="48250DF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E46AD6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支持误码倒换</w:t>
            </w:r>
          </w:p>
        </w:tc>
      </w:tr>
      <w:tr w14:paraId="4E9ACBF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5FAB20F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E00B29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独立的系统控制模块，能实现对整机机箱／电源／风扇的监控管理，要求冗余配置</w:t>
            </w:r>
          </w:p>
        </w:tc>
      </w:tr>
      <w:tr w14:paraId="1D8AE65B">
        <w:tblPrEx>
          <w:tblCellMar>
            <w:top w:w="0" w:type="dxa"/>
            <w:left w:w="108" w:type="dxa"/>
            <w:bottom w:w="0" w:type="dxa"/>
            <w:right w:w="108" w:type="dxa"/>
          </w:tblCellMar>
        </w:tblPrEx>
        <w:trPr>
          <w:trHeight w:val="570" w:hRule="atLeast"/>
          <w:jc w:val="center"/>
        </w:trPr>
        <w:tc>
          <w:tcPr>
            <w:tcW w:w="1394" w:type="dxa"/>
            <w:vMerge w:val="continue"/>
            <w:tcBorders>
              <w:left w:val="single" w:color="auto" w:sz="4" w:space="0"/>
              <w:right w:val="single" w:color="auto" w:sz="4" w:space="0"/>
            </w:tcBorders>
            <w:vAlign w:val="center"/>
          </w:tcPr>
          <w:p w14:paraId="1FA044F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5B1A7E6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要求所有关键模块（包括业务板卡、电源及风扇等）均可热插拔, 关键模块插拔时不影响其他部件的正常工作</w:t>
            </w:r>
          </w:p>
        </w:tc>
      </w:tr>
      <w:tr w14:paraId="3F19514F">
        <w:tblPrEx>
          <w:tblCellMar>
            <w:top w:w="0" w:type="dxa"/>
            <w:left w:w="108" w:type="dxa"/>
            <w:bottom w:w="0" w:type="dxa"/>
            <w:right w:w="108" w:type="dxa"/>
          </w:tblCellMar>
        </w:tblPrEx>
        <w:trPr>
          <w:trHeight w:val="320" w:hRule="atLeast"/>
          <w:jc w:val="center"/>
        </w:trPr>
        <w:tc>
          <w:tcPr>
            <w:tcW w:w="1394" w:type="dxa"/>
            <w:vMerge w:val="continue"/>
            <w:tcBorders>
              <w:left w:val="single" w:color="auto" w:sz="4" w:space="0"/>
              <w:right w:val="single" w:color="auto" w:sz="4" w:space="0"/>
            </w:tcBorders>
          </w:tcPr>
          <w:p w14:paraId="4B6C702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tcPr>
          <w:p w14:paraId="3EACF04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支持BFD故障探测技术</w:t>
            </w:r>
          </w:p>
        </w:tc>
      </w:tr>
      <w:tr w14:paraId="66823129">
        <w:tblPrEx>
          <w:tblCellMar>
            <w:top w:w="0" w:type="dxa"/>
            <w:left w:w="108" w:type="dxa"/>
            <w:bottom w:w="0" w:type="dxa"/>
            <w:right w:w="108" w:type="dxa"/>
          </w:tblCellMar>
        </w:tblPrEx>
        <w:trPr>
          <w:trHeight w:val="320" w:hRule="atLeast"/>
          <w:jc w:val="center"/>
        </w:trPr>
        <w:tc>
          <w:tcPr>
            <w:tcW w:w="1394" w:type="dxa"/>
            <w:vMerge w:val="continue"/>
            <w:tcBorders>
              <w:left w:val="single" w:color="auto" w:sz="4" w:space="0"/>
              <w:right w:val="single" w:color="auto" w:sz="4" w:space="0"/>
            </w:tcBorders>
          </w:tcPr>
          <w:p w14:paraId="244AFE5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tcPr>
          <w:p w14:paraId="3644246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支持IP/IPv6/LDP/TE/VPN/VPNv6 FRR快速重路由</w:t>
            </w:r>
          </w:p>
        </w:tc>
      </w:tr>
      <w:tr w14:paraId="5930EB27">
        <w:tblPrEx>
          <w:tblCellMar>
            <w:top w:w="0" w:type="dxa"/>
            <w:left w:w="108" w:type="dxa"/>
            <w:bottom w:w="0" w:type="dxa"/>
            <w:right w:w="108" w:type="dxa"/>
          </w:tblCellMar>
        </w:tblPrEx>
        <w:trPr>
          <w:trHeight w:val="320" w:hRule="atLeast"/>
          <w:jc w:val="center"/>
        </w:trPr>
        <w:tc>
          <w:tcPr>
            <w:tcW w:w="1394" w:type="dxa"/>
            <w:vMerge w:val="continue"/>
            <w:tcBorders>
              <w:left w:val="single" w:color="auto" w:sz="4" w:space="0"/>
              <w:right w:val="single" w:color="auto" w:sz="4" w:space="0"/>
            </w:tcBorders>
          </w:tcPr>
          <w:p w14:paraId="38AD81B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tcPr>
          <w:p w14:paraId="22BD3FF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支持不中断转发（NSF）</w:t>
            </w:r>
          </w:p>
        </w:tc>
      </w:tr>
      <w:tr w14:paraId="4BE888A4">
        <w:tblPrEx>
          <w:tblCellMar>
            <w:top w:w="0" w:type="dxa"/>
            <w:left w:w="108" w:type="dxa"/>
            <w:bottom w:w="0" w:type="dxa"/>
            <w:right w:w="108" w:type="dxa"/>
          </w:tblCellMar>
        </w:tblPrEx>
        <w:trPr>
          <w:trHeight w:val="269" w:hRule="atLeast"/>
          <w:jc w:val="center"/>
        </w:trPr>
        <w:tc>
          <w:tcPr>
            <w:tcW w:w="1394" w:type="dxa"/>
            <w:vMerge w:val="continue"/>
            <w:tcBorders>
              <w:left w:val="single" w:color="auto" w:sz="4" w:space="0"/>
              <w:bottom w:val="single" w:color="auto" w:sz="4" w:space="0"/>
              <w:right w:val="single" w:color="auto" w:sz="4" w:space="0"/>
            </w:tcBorders>
          </w:tcPr>
          <w:p w14:paraId="62B1A95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tcPr>
          <w:p w14:paraId="43F2B99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支持端口聚合、ECMP、UCMP、LDP、VRRP、NSR等</w:t>
            </w:r>
          </w:p>
        </w:tc>
      </w:tr>
      <w:tr w14:paraId="44D02903">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03F4E03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二层协议</w:t>
            </w:r>
          </w:p>
        </w:tc>
        <w:tc>
          <w:tcPr>
            <w:tcW w:w="6998" w:type="dxa"/>
            <w:tcBorders>
              <w:top w:val="nil"/>
              <w:left w:val="nil"/>
              <w:bottom w:val="single" w:color="auto" w:sz="4" w:space="0"/>
              <w:right w:val="single" w:color="auto" w:sz="4" w:space="0"/>
            </w:tcBorders>
            <w:vAlign w:val="center"/>
          </w:tcPr>
          <w:p w14:paraId="2C8B90B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MAC地址数量≥1000K</w:t>
            </w:r>
          </w:p>
        </w:tc>
      </w:tr>
      <w:tr w14:paraId="4DE86A52">
        <w:tblPrEx>
          <w:tblCellMar>
            <w:top w:w="0" w:type="dxa"/>
            <w:left w:w="108" w:type="dxa"/>
            <w:bottom w:w="0" w:type="dxa"/>
            <w:right w:w="108" w:type="dxa"/>
          </w:tblCellMar>
        </w:tblPrEx>
        <w:trPr>
          <w:trHeight w:val="349" w:hRule="atLeast"/>
          <w:jc w:val="center"/>
        </w:trPr>
        <w:tc>
          <w:tcPr>
            <w:tcW w:w="1394" w:type="dxa"/>
            <w:vMerge w:val="continue"/>
            <w:tcBorders>
              <w:left w:val="single" w:color="auto" w:sz="4" w:space="0"/>
              <w:right w:val="single" w:color="auto" w:sz="4" w:space="0"/>
            </w:tcBorders>
            <w:vAlign w:val="center"/>
          </w:tcPr>
          <w:p w14:paraId="3115448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DD2481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VLAN数量≥4096</w:t>
            </w:r>
          </w:p>
        </w:tc>
      </w:tr>
      <w:tr w14:paraId="5F17BDE9">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33ADE1E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43F6E5D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整机支持捆绑端口数≥256</w:t>
            </w:r>
          </w:p>
        </w:tc>
      </w:tr>
      <w:tr w14:paraId="3BD36265">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7C14621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MPLS</w:t>
            </w:r>
          </w:p>
        </w:tc>
        <w:tc>
          <w:tcPr>
            <w:tcW w:w="6998" w:type="dxa"/>
            <w:tcBorders>
              <w:top w:val="nil"/>
              <w:left w:val="nil"/>
              <w:bottom w:val="single" w:color="auto" w:sz="4" w:space="0"/>
              <w:right w:val="single" w:color="auto" w:sz="4" w:space="0"/>
            </w:tcBorders>
          </w:tcPr>
          <w:p w14:paraId="5A55A7E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支持L2VPN、L3VPN、EVPN、LDP LSP、RSVP-TE、SR-TE等MPLS技术</w:t>
            </w:r>
          </w:p>
        </w:tc>
      </w:tr>
      <w:tr w14:paraId="6F0AEB80">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vAlign w:val="center"/>
          </w:tcPr>
          <w:p w14:paraId="6BA08BE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IP路由（双栈）及扩展功能</w:t>
            </w:r>
          </w:p>
        </w:tc>
        <w:tc>
          <w:tcPr>
            <w:tcW w:w="6998" w:type="dxa"/>
            <w:tcBorders>
              <w:top w:val="nil"/>
              <w:left w:val="nil"/>
              <w:bottom w:val="single" w:color="auto" w:sz="4" w:space="0"/>
              <w:right w:val="single" w:color="auto" w:sz="4" w:space="0"/>
            </w:tcBorders>
            <w:vAlign w:val="center"/>
          </w:tcPr>
          <w:p w14:paraId="47104CF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支持IPv4、IPv6</w:t>
            </w:r>
          </w:p>
        </w:tc>
      </w:tr>
      <w:tr w14:paraId="1DA9D206">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7FDA40A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3746068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IPv4及IPv6线速转发不丢包</w:t>
            </w:r>
          </w:p>
        </w:tc>
      </w:tr>
      <w:tr w14:paraId="0D9DD2C4">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6225177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CEAECC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IPv4支持BGP、ISIS、OSPF、静态等路由，支持PBR策略路由</w:t>
            </w:r>
          </w:p>
        </w:tc>
      </w:tr>
      <w:tr w14:paraId="20C13595">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4263ED8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4701659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IPv6支持静态路由、BGP4/BGP4+、RIPng、OSPFv3、ISISv6等动态路由协议</w:t>
            </w:r>
          </w:p>
        </w:tc>
      </w:tr>
      <w:tr w14:paraId="7F447596">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7E593F0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236AC8D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支持VxLAN、GRE等隧道技术</w:t>
            </w:r>
          </w:p>
        </w:tc>
      </w:tr>
      <w:tr w14:paraId="55991DF2">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0F9410E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668BB1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VRF规格≥16K</w:t>
            </w:r>
          </w:p>
        </w:tc>
      </w:tr>
      <w:tr w14:paraId="4695F609">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72A6BBE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73C83CB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LDP LSP≥256K</w:t>
            </w:r>
          </w:p>
        </w:tc>
      </w:tr>
      <w:tr w14:paraId="4F66AE56">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6C215CF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4D979A4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L2VPN容量，MAC≥1000K</w:t>
            </w:r>
          </w:p>
        </w:tc>
      </w:tr>
      <w:tr w14:paraId="0E505313">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559B3C9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74B8C4E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 xml:space="preserve">L3VPN容量，VPN路由≥1.5M </w:t>
            </w:r>
          </w:p>
        </w:tc>
      </w:tr>
      <w:tr w14:paraId="3DE431E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3864202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4B8B99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支持BFD （支持BGP、ISIS、OSPF、RIP、VRRP、PIM等）</w:t>
            </w:r>
          </w:p>
        </w:tc>
      </w:tr>
      <w:tr w14:paraId="6D927D40">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06C697A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765D6CC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支持全面的快速重路由FRR功能（IP/IPv6/LDP/TE/VPN/VPNv6 FRR等）</w:t>
            </w:r>
          </w:p>
        </w:tc>
      </w:tr>
      <w:tr w14:paraId="42F077F2">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519144E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F58415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支持EVPN L2/L3 VPN，并配置对应EVPN软件许可</w:t>
            </w:r>
          </w:p>
        </w:tc>
      </w:tr>
      <w:tr w14:paraId="4C29D727">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F83086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7DB5320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支持EVPN VPWS/VPLS</w:t>
            </w:r>
          </w:p>
        </w:tc>
      </w:tr>
      <w:tr w14:paraId="3BD328E3">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C47AA6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B4E478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EVPN 隧道TI-LFA保护</w:t>
            </w:r>
          </w:p>
        </w:tc>
      </w:tr>
      <w:tr w14:paraId="5AC8726B">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shd w:val="clear" w:color="auto" w:fill="auto"/>
            <w:vAlign w:val="center"/>
          </w:tcPr>
          <w:p w14:paraId="09FFDB1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IPv6</w:t>
            </w:r>
          </w:p>
        </w:tc>
        <w:tc>
          <w:tcPr>
            <w:tcW w:w="6998" w:type="dxa"/>
            <w:tcBorders>
              <w:top w:val="nil"/>
              <w:left w:val="nil"/>
              <w:bottom w:val="single" w:color="auto" w:sz="4" w:space="0"/>
              <w:right w:val="single" w:color="auto" w:sz="4" w:space="0"/>
            </w:tcBorders>
            <w:shd w:val="clear" w:color="auto" w:fill="auto"/>
            <w:vAlign w:val="center"/>
          </w:tcPr>
          <w:p w14:paraId="0D253F3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支持IPv4向IPv6的过渡技术，包括但不限于手工配置隧道、自动配置隧道、6to4隧道、GRE隧道、ISATAP隧道等</w:t>
            </w:r>
          </w:p>
        </w:tc>
      </w:tr>
      <w:tr w14:paraId="0FBE41EA">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shd w:val="clear" w:color="auto" w:fill="auto"/>
            <w:vAlign w:val="center"/>
          </w:tcPr>
          <w:p w14:paraId="681008E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shd w:val="clear" w:color="auto" w:fill="auto"/>
            <w:vAlign w:val="center"/>
          </w:tcPr>
          <w:p w14:paraId="06BCBFD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 over IPv6隧道、6PE和6VPE</w:t>
            </w:r>
          </w:p>
        </w:tc>
      </w:tr>
      <w:tr w14:paraId="386E2CF6">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shd w:val="clear" w:color="auto" w:fill="auto"/>
            <w:vAlign w:val="center"/>
          </w:tcPr>
          <w:p w14:paraId="5196ECA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shd w:val="clear" w:color="auto" w:fill="auto"/>
            <w:vAlign w:val="center"/>
          </w:tcPr>
          <w:p w14:paraId="00AACB8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支持NAT444、NAT64，静态IPv6 DNS，指定IPv6 DNS服务器，TFTP IPv6 client</w:t>
            </w:r>
          </w:p>
        </w:tc>
      </w:tr>
      <w:tr w14:paraId="37CCA694">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shd w:val="clear" w:color="auto" w:fill="auto"/>
            <w:vAlign w:val="center"/>
          </w:tcPr>
          <w:p w14:paraId="5E7FF47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shd w:val="clear" w:color="auto" w:fill="auto"/>
            <w:vAlign w:val="center"/>
          </w:tcPr>
          <w:p w14:paraId="6320E05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支持IPv6邻居发现、PMTU发现、TCP6、ping IPv6、traceroute IPv6、socket IPv6、静态IPv6 DNS、指定IPv6 DNS服务器、TFTP IPv6 client、IPv6策略路由等</w:t>
            </w:r>
          </w:p>
        </w:tc>
      </w:tr>
      <w:tr w14:paraId="5FE8B020">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shd w:val="clear" w:color="auto" w:fill="auto"/>
            <w:vAlign w:val="center"/>
          </w:tcPr>
          <w:p w14:paraId="0832012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shd w:val="clear" w:color="auto" w:fill="auto"/>
            <w:vAlign w:val="center"/>
          </w:tcPr>
          <w:p w14:paraId="560E8EF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支持ICMPv6 MIB、UDP6 MIB、TCP6 MIB、IPv6 MIB等</w:t>
            </w:r>
          </w:p>
        </w:tc>
      </w:tr>
      <w:tr w14:paraId="16DA93BB">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318ED21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组播功能</w:t>
            </w:r>
          </w:p>
        </w:tc>
        <w:tc>
          <w:tcPr>
            <w:tcW w:w="6998" w:type="dxa"/>
            <w:tcBorders>
              <w:top w:val="nil"/>
              <w:left w:val="nil"/>
              <w:bottom w:val="single" w:color="auto" w:sz="4" w:space="0"/>
              <w:right w:val="single" w:color="auto" w:sz="4" w:space="0"/>
            </w:tcBorders>
            <w:vAlign w:val="center"/>
          </w:tcPr>
          <w:p w14:paraId="7A60265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组播路由≥32K</w:t>
            </w:r>
          </w:p>
        </w:tc>
      </w:tr>
      <w:tr w14:paraId="7FEA6297">
        <w:tblPrEx>
          <w:tblCellMar>
            <w:top w:w="0" w:type="dxa"/>
            <w:left w:w="108" w:type="dxa"/>
            <w:bottom w:w="0" w:type="dxa"/>
            <w:right w:w="108" w:type="dxa"/>
          </w:tblCellMar>
        </w:tblPrEx>
        <w:trPr>
          <w:trHeight w:val="257" w:hRule="atLeast"/>
          <w:jc w:val="center"/>
        </w:trPr>
        <w:tc>
          <w:tcPr>
            <w:tcW w:w="1394" w:type="dxa"/>
            <w:vMerge w:val="continue"/>
            <w:tcBorders>
              <w:left w:val="single" w:color="auto" w:sz="4" w:space="0"/>
              <w:right w:val="single" w:color="auto" w:sz="4" w:space="0"/>
            </w:tcBorders>
            <w:vAlign w:val="center"/>
          </w:tcPr>
          <w:p w14:paraId="24D3A1D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9BF6B6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支持IGMPv1、v2 和 v3</w:t>
            </w:r>
          </w:p>
        </w:tc>
      </w:tr>
      <w:tr w14:paraId="5ECA5C40">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4983F92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47AD384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支持独立组播协议 (PIM) 稀疏模式 (PIM-SM) 和任意源组播 (ASM)</w:t>
            </w:r>
          </w:p>
        </w:tc>
      </w:tr>
      <w:tr w14:paraId="73D0E831">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32475F7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231C990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支持任播路由协议（Anycast RP）</w:t>
            </w:r>
          </w:p>
        </w:tc>
      </w:tr>
      <w:tr w14:paraId="5AE812E3">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vAlign w:val="center"/>
          </w:tcPr>
          <w:p w14:paraId="65DC2D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SDN能力</w:t>
            </w:r>
          </w:p>
        </w:tc>
        <w:tc>
          <w:tcPr>
            <w:tcW w:w="6998" w:type="dxa"/>
            <w:tcBorders>
              <w:top w:val="single" w:color="auto" w:sz="4" w:space="0"/>
              <w:left w:val="nil"/>
              <w:bottom w:val="single" w:color="auto" w:sz="4" w:space="0"/>
              <w:right w:val="single" w:color="auto" w:sz="4" w:space="0"/>
            </w:tcBorders>
            <w:vAlign w:val="center"/>
          </w:tcPr>
          <w:p w14:paraId="7A1ECF2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支持基于TELEMETRY的大数据分析，实现链路质量全景分析及呈现</w:t>
            </w:r>
          </w:p>
        </w:tc>
      </w:tr>
      <w:tr w14:paraId="19E7B398">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A2B317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53A7D0F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支持广域网智能调优</w:t>
            </w:r>
          </w:p>
        </w:tc>
      </w:tr>
      <w:tr w14:paraId="0E190717">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300EAF9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250E3DA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支持业务带宽的按需部署和在线调整</w:t>
            </w:r>
          </w:p>
        </w:tc>
      </w:tr>
      <w:tr w14:paraId="0AEFCF72">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vAlign w:val="center"/>
          </w:tcPr>
          <w:p w14:paraId="1587367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Segment Routing</w:t>
            </w:r>
          </w:p>
        </w:tc>
        <w:tc>
          <w:tcPr>
            <w:tcW w:w="6998" w:type="dxa"/>
            <w:tcBorders>
              <w:top w:val="nil"/>
              <w:left w:val="nil"/>
              <w:bottom w:val="single" w:color="auto" w:sz="4" w:space="0"/>
              <w:right w:val="single" w:color="auto" w:sz="4" w:space="0"/>
            </w:tcBorders>
            <w:vAlign w:val="center"/>
          </w:tcPr>
          <w:p w14:paraId="725DB39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支持单域及跨BGP域的Segment Routing技术</w:t>
            </w:r>
          </w:p>
        </w:tc>
      </w:tr>
      <w:tr w14:paraId="71B050BD">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3BBB45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B44F90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支持Segment Routing与LDP混合组网</w:t>
            </w:r>
          </w:p>
        </w:tc>
      </w:tr>
      <w:tr w14:paraId="39D3C388">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6F2CBB8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7906BC1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支持对IPv4、IPv6、VPNv4业务进行流量工程，支持基于按需下一跳及自动引流，并与 SR 灵活算法联动</w:t>
            </w:r>
          </w:p>
        </w:tc>
      </w:tr>
      <w:tr w14:paraId="289F9FB1">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140D62F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244F014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支持TI-LFA，包括LINK保护、节点保护、SRLG保护以及对SR Policy保护，100% 覆盖Topology</w:t>
            </w:r>
          </w:p>
        </w:tc>
      </w:tr>
      <w:tr w14:paraId="79566091">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00E3FD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5166CC1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支持多种方法创建SR Policy（NETCONF/CLI/BGP）</w:t>
            </w:r>
          </w:p>
        </w:tc>
      </w:tr>
      <w:tr w14:paraId="706502B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5768359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37E58A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支持SRTE LSP ECMP/UCMP负载分担</w:t>
            </w:r>
          </w:p>
        </w:tc>
      </w:tr>
      <w:tr w14:paraId="36C663B2">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4337E03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5EA48EF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支持基于链路真实时延的SRTE</w:t>
            </w:r>
          </w:p>
        </w:tc>
      </w:tr>
      <w:tr w14:paraId="6FBE87B7">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vAlign w:val="center"/>
          </w:tcPr>
          <w:p w14:paraId="4752FB8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ACL能力</w:t>
            </w:r>
          </w:p>
        </w:tc>
        <w:tc>
          <w:tcPr>
            <w:tcW w:w="6998" w:type="dxa"/>
            <w:tcBorders>
              <w:top w:val="nil"/>
              <w:left w:val="nil"/>
              <w:bottom w:val="single" w:color="auto" w:sz="4" w:space="0"/>
              <w:right w:val="single" w:color="auto" w:sz="4" w:space="0"/>
            </w:tcBorders>
            <w:vAlign w:val="center"/>
          </w:tcPr>
          <w:p w14:paraId="7F1A71D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ACL在线最大运行条目≥单槽120K</w:t>
            </w:r>
          </w:p>
        </w:tc>
      </w:tr>
      <w:tr w14:paraId="2758BD35">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4C50E2C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0C4B350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使用第 2、3、4 层字段的入口和出口 ACL</w:t>
            </w:r>
          </w:p>
        </w:tc>
      </w:tr>
      <w:tr w14:paraId="00F849C8">
        <w:tblPrEx>
          <w:tblCellMar>
            <w:top w:w="0" w:type="dxa"/>
            <w:left w:w="108" w:type="dxa"/>
            <w:bottom w:w="0" w:type="dxa"/>
            <w:right w:w="108" w:type="dxa"/>
          </w:tblCellMar>
        </w:tblPrEx>
        <w:trPr>
          <w:trHeight w:val="357" w:hRule="atLeast"/>
          <w:jc w:val="center"/>
        </w:trPr>
        <w:tc>
          <w:tcPr>
            <w:tcW w:w="1394" w:type="dxa"/>
            <w:vMerge w:val="continue"/>
            <w:tcBorders>
              <w:top w:val="single" w:color="auto" w:sz="4" w:space="0"/>
              <w:left w:val="single" w:color="auto" w:sz="4" w:space="0"/>
              <w:right w:val="single" w:color="auto" w:sz="4" w:space="0"/>
            </w:tcBorders>
            <w:vAlign w:val="center"/>
          </w:tcPr>
          <w:p w14:paraId="3AE50A5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AD9747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支持扩展的 ACL、MAC 地址、端口 ACL、VLAN ACL和路由ACL</w:t>
            </w:r>
          </w:p>
        </w:tc>
      </w:tr>
      <w:tr w14:paraId="4AAD4F14">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4F87FAA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A4A126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支持ACL在线更新，更新ACL的同时不影响该ACL对流量的控制</w:t>
            </w:r>
          </w:p>
        </w:tc>
      </w:tr>
      <w:tr w14:paraId="06FC67C5">
        <w:tblPrEx>
          <w:tblCellMar>
            <w:top w:w="0" w:type="dxa"/>
            <w:left w:w="108" w:type="dxa"/>
            <w:bottom w:w="0" w:type="dxa"/>
            <w:right w:w="108" w:type="dxa"/>
          </w:tblCellMar>
        </w:tblPrEx>
        <w:trPr>
          <w:trHeight w:val="341" w:hRule="atLeast"/>
          <w:jc w:val="center"/>
        </w:trPr>
        <w:tc>
          <w:tcPr>
            <w:tcW w:w="1394" w:type="dxa"/>
            <w:vMerge w:val="continue"/>
            <w:tcBorders>
              <w:left w:val="single" w:color="auto" w:sz="4" w:space="0"/>
              <w:bottom w:val="single" w:color="000000" w:sz="4" w:space="0"/>
              <w:right w:val="single" w:color="auto" w:sz="4" w:space="0"/>
            </w:tcBorders>
            <w:vAlign w:val="center"/>
          </w:tcPr>
          <w:p w14:paraId="4E2C8B6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76C0ABD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支持ACL 计数器</w:t>
            </w:r>
          </w:p>
        </w:tc>
      </w:tr>
      <w:tr w14:paraId="134BE2E6">
        <w:tblPrEx>
          <w:tblCellMar>
            <w:top w:w="0" w:type="dxa"/>
            <w:left w:w="108" w:type="dxa"/>
            <w:bottom w:w="0" w:type="dxa"/>
            <w:right w:w="108" w:type="dxa"/>
          </w:tblCellMar>
        </w:tblPrEx>
        <w:trPr>
          <w:trHeight w:val="630" w:hRule="atLeast"/>
          <w:jc w:val="center"/>
        </w:trPr>
        <w:tc>
          <w:tcPr>
            <w:tcW w:w="1394" w:type="dxa"/>
            <w:vMerge w:val="restart"/>
            <w:tcBorders>
              <w:top w:val="nil"/>
              <w:left w:val="single" w:color="auto" w:sz="4" w:space="0"/>
              <w:bottom w:val="single" w:color="000000" w:sz="4" w:space="0"/>
              <w:right w:val="single" w:color="auto" w:sz="4" w:space="0"/>
            </w:tcBorders>
            <w:vAlign w:val="center"/>
          </w:tcPr>
          <w:p w14:paraId="0042B9B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身份验证、授权和记账</w:t>
            </w:r>
          </w:p>
        </w:tc>
        <w:tc>
          <w:tcPr>
            <w:tcW w:w="6998" w:type="dxa"/>
            <w:tcBorders>
              <w:top w:val="nil"/>
              <w:left w:val="nil"/>
              <w:bottom w:val="single" w:color="auto" w:sz="4" w:space="0"/>
              <w:right w:val="single" w:color="auto" w:sz="4" w:space="0"/>
            </w:tcBorders>
            <w:vAlign w:val="center"/>
          </w:tcPr>
          <w:p w14:paraId="599C2E3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 xml:space="preserve">支持基于角色的访问控制进行管理，用户和权限可以在本地设置，也可以在AAA服务器上设置 </w:t>
            </w:r>
          </w:p>
        </w:tc>
      </w:tr>
      <w:tr w14:paraId="6184E8B7">
        <w:tblPrEx>
          <w:tblCellMar>
            <w:top w:w="0" w:type="dxa"/>
            <w:left w:w="108" w:type="dxa"/>
            <w:bottom w:w="0" w:type="dxa"/>
            <w:right w:w="108" w:type="dxa"/>
          </w:tblCellMar>
        </w:tblPrEx>
        <w:trPr>
          <w:trHeight w:val="354" w:hRule="atLeast"/>
          <w:jc w:val="center"/>
        </w:trPr>
        <w:tc>
          <w:tcPr>
            <w:tcW w:w="1394" w:type="dxa"/>
            <w:vMerge w:val="continue"/>
            <w:tcBorders>
              <w:top w:val="nil"/>
              <w:left w:val="single" w:color="auto" w:sz="4" w:space="0"/>
              <w:bottom w:val="single" w:color="000000" w:sz="4" w:space="0"/>
              <w:right w:val="single" w:color="auto" w:sz="4" w:space="0"/>
            </w:tcBorders>
            <w:vAlign w:val="center"/>
          </w:tcPr>
          <w:p w14:paraId="5AE2773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06B88FF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支持RADIUS、 TACACS+</w:t>
            </w:r>
          </w:p>
        </w:tc>
      </w:tr>
      <w:tr w14:paraId="17F44E38">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175A86E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控制平面保护</w:t>
            </w:r>
          </w:p>
        </w:tc>
        <w:tc>
          <w:tcPr>
            <w:tcW w:w="6998" w:type="dxa"/>
            <w:tcBorders>
              <w:top w:val="nil"/>
              <w:left w:val="nil"/>
              <w:bottom w:val="single" w:color="auto" w:sz="4" w:space="0"/>
              <w:right w:val="single" w:color="auto" w:sz="4" w:space="0"/>
            </w:tcBorders>
            <w:vAlign w:val="center"/>
          </w:tcPr>
          <w:p w14:paraId="1F1E980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支持BFD for SR</w:t>
            </w:r>
          </w:p>
        </w:tc>
      </w:tr>
      <w:tr w14:paraId="5703F899">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07CD6FD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27F835A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支持BFD for SRv6</w:t>
            </w:r>
          </w:p>
        </w:tc>
      </w:tr>
      <w:tr w14:paraId="6D5970D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414E4D8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629212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支持CPU攻击溯源功能，可记录攻击源的MAC、IP等详细字段</w:t>
            </w:r>
          </w:p>
        </w:tc>
      </w:tr>
      <w:tr w14:paraId="6782A4C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0D962BF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5B48FAD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支持IPv6防攻击技术</w:t>
            </w:r>
          </w:p>
        </w:tc>
      </w:tr>
      <w:tr w14:paraId="7B6F115E">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671EAFB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528662A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支持通过端口镜像方式实现对流量的监控的能力，支持远程镜像功能</w:t>
            </w:r>
          </w:p>
        </w:tc>
      </w:tr>
      <w:tr w14:paraId="71FE599F">
        <w:tblPrEx>
          <w:tblCellMar>
            <w:top w:w="0" w:type="dxa"/>
            <w:left w:w="108" w:type="dxa"/>
            <w:bottom w:w="0" w:type="dxa"/>
            <w:right w:w="108" w:type="dxa"/>
          </w:tblCellMar>
        </w:tblPrEx>
        <w:trPr>
          <w:trHeight w:val="315" w:hRule="atLeast"/>
          <w:jc w:val="center"/>
        </w:trPr>
        <w:tc>
          <w:tcPr>
            <w:tcW w:w="1394" w:type="dxa"/>
            <w:vMerge w:val="restart"/>
            <w:tcBorders>
              <w:left w:val="single" w:color="auto" w:sz="4" w:space="0"/>
              <w:right w:val="single" w:color="auto" w:sz="4" w:space="0"/>
            </w:tcBorders>
            <w:vAlign w:val="center"/>
          </w:tcPr>
          <w:p w14:paraId="7083DB5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SRv6</w:t>
            </w:r>
          </w:p>
        </w:tc>
        <w:tc>
          <w:tcPr>
            <w:tcW w:w="6998" w:type="dxa"/>
            <w:tcBorders>
              <w:top w:val="nil"/>
              <w:left w:val="nil"/>
              <w:bottom w:val="single" w:color="auto" w:sz="4" w:space="0"/>
              <w:right w:val="single" w:color="auto" w:sz="4" w:space="0"/>
            </w:tcBorders>
            <w:vAlign w:val="center"/>
          </w:tcPr>
          <w:p w14:paraId="3DFB647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支持ISIS for SRv6</w:t>
            </w:r>
          </w:p>
        </w:tc>
      </w:tr>
      <w:tr w14:paraId="0A00B34E">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300FB7A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49BBA6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支持SRv6，支持SRv6承载VPN业务</w:t>
            </w:r>
          </w:p>
        </w:tc>
      </w:tr>
      <w:tr w14:paraId="65D105D6">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1CE0EC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5DF8767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支持IPv6 TI-LFA FRR for SRv6</w:t>
            </w:r>
          </w:p>
        </w:tc>
      </w:tr>
      <w:tr w14:paraId="5260A41D">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462A2D4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A24FE8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支持SRv6 OAM</w:t>
            </w:r>
          </w:p>
        </w:tc>
      </w:tr>
      <w:tr w14:paraId="16587BB5">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6A9B99A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711FEC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支持SRv6 TE policy,支持通过BGP协议创建Policy。支持基于Color、DSCP方式引流入SRv6 Policy</w:t>
            </w:r>
          </w:p>
        </w:tc>
      </w:tr>
      <w:tr w14:paraId="67FA9B2C">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3D81AA4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1F07F06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支持EVPN IPV4 L3VPN over SRv6 Policy,支持EVPN IPV6 L3VPN over SRv6 Policy,支持EVPN VPWS over SRv6 Policy,支持EVPN VPLS over SRv6 Policy</w:t>
            </w:r>
          </w:p>
        </w:tc>
      </w:tr>
      <w:tr w14:paraId="24A4B891">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6AAC238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D679FF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SRv6 Policy支持流量统计</w:t>
            </w:r>
          </w:p>
        </w:tc>
      </w:tr>
      <w:tr w14:paraId="22F82EAF">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4CBD48B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229F3DE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支持SRv6 Policy逃生到SRv6 BE</w:t>
            </w:r>
          </w:p>
        </w:tc>
      </w:tr>
      <w:tr w14:paraId="0CCCAC7D">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right w:val="single" w:color="auto" w:sz="4" w:space="0"/>
            </w:tcBorders>
            <w:vAlign w:val="center"/>
          </w:tcPr>
          <w:p w14:paraId="02B6560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w:t>
            </w:r>
          </w:p>
        </w:tc>
        <w:tc>
          <w:tcPr>
            <w:tcW w:w="6998" w:type="dxa"/>
            <w:tcBorders>
              <w:top w:val="nil"/>
              <w:left w:val="nil"/>
              <w:bottom w:val="single" w:color="auto" w:sz="4" w:space="0"/>
              <w:right w:val="single" w:color="auto" w:sz="4" w:space="0"/>
            </w:tcBorders>
            <w:vAlign w:val="center"/>
          </w:tcPr>
          <w:p w14:paraId="57D1F1B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支持多级MPLS H-QoS、MPLS VPN、VLL和PWE3的QoS调度，面向TE隧道的QoS</w:t>
            </w:r>
          </w:p>
        </w:tc>
      </w:tr>
      <w:tr w14:paraId="15695888">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1F1E5F4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QoS标记和分类</w:t>
            </w:r>
          </w:p>
        </w:tc>
        <w:tc>
          <w:tcPr>
            <w:tcW w:w="6998" w:type="dxa"/>
            <w:tcBorders>
              <w:top w:val="nil"/>
              <w:left w:val="nil"/>
              <w:bottom w:val="single" w:color="auto" w:sz="4" w:space="0"/>
              <w:right w:val="single" w:color="auto" w:sz="4" w:space="0"/>
            </w:tcBorders>
            <w:vAlign w:val="center"/>
          </w:tcPr>
          <w:p w14:paraId="7E78936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 DSCP，CoS，IP Precedence和ACL标记和分类</w:t>
            </w:r>
          </w:p>
        </w:tc>
      </w:tr>
      <w:tr w14:paraId="02BF160D">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24AEAE6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QoS策略管制</w:t>
            </w:r>
          </w:p>
        </w:tc>
        <w:tc>
          <w:tcPr>
            <w:tcW w:w="6998" w:type="dxa"/>
            <w:tcBorders>
              <w:top w:val="nil"/>
              <w:left w:val="nil"/>
              <w:bottom w:val="single" w:color="auto" w:sz="4" w:space="0"/>
              <w:right w:val="single" w:color="auto" w:sz="4" w:space="0"/>
            </w:tcBorders>
            <w:vAlign w:val="center"/>
          </w:tcPr>
          <w:p w14:paraId="2E20219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支持加权随机早期检测（WRED）</w:t>
            </w:r>
          </w:p>
        </w:tc>
      </w:tr>
      <w:tr w14:paraId="352740DA">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000000" w:sz="4" w:space="0"/>
              <w:right w:val="single" w:color="auto" w:sz="4" w:space="0"/>
            </w:tcBorders>
            <w:vAlign w:val="center"/>
          </w:tcPr>
          <w:p w14:paraId="45E02F0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0527134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支持优先级流量控制</w:t>
            </w:r>
          </w:p>
        </w:tc>
      </w:tr>
      <w:tr w14:paraId="0AE5B4AA">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bottom w:val="single" w:color="000000" w:sz="4" w:space="0"/>
              <w:right w:val="single" w:color="auto" w:sz="4" w:space="0"/>
            </w:tcBorders>
            <w:vAlign w:val="center"/>
          </w:tcPr>
          <w:p w14:paraId="3E5405D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QoS队列</w:t>
            </w:r>
          </w:p>
        </w:tc>
        <w:tc>
          <w:tcPr>
            <w:tcW w:w="6998" w:type="dxa"/>
            <w:tcBorders>
              <w:top w:val="nil"/>
              <w:left w:val="nil"/>
              <w:bottom w:val="single" w:color="auto" w:sz="4" w:space="0"/>
              <w:right w:val="single" w:color="auto" w:sz="4" w:space="0"/>
            </w:tcBorders>
            <w:vAlign w:val="center"/>
          </w:tcPr>
          <w:p w14:paraId="7DD3B8D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每个端口≥ 8个队</w:t>
            </w:r>
          </w:p>
        </w:tc>
      </w:tr>
      <w:tr w14:paraId="7C921D03">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bottom w:val="single" w:color="000000" w:sz="4" w:space="0"/>
              <w:right w:val="single" w:color="auto" w:sz="4" w:space="0"/>
            </w:tcBorders>
            <w:vAlign w:val="center"/>
          </w:tcPr>
          <w:p w14:paraId="37D30AF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7B6B32A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排队支持严格优先级(PR)、加权轮询(WRR)</w:t>
            </w:r>
          </w:p>
        </w:tc>
      </w:tr>
      <w:tr w14:paraId="02288904">
        <w:tblPrEx>
          <w:tblCellMar>
            <w:top w:w="0" w:type="dxa"/>
            <w:left w:w="108" w:type="dxa"/>
            <w:bottom w:w="0" w:type="dxa"/>
            <w:right w:w="108" w:type="dxa"/>
          </w:tblCellMar>
        </w:tblPrEx>
        <w:trPr>
          <w:trHeight w:val="315" w:hRule="atLeast"/>
          <w:jc w:val="center"/>
        </w:trPr>
        <w:tc>
          <w:tcPr>
            <w:tcW w:w="1394" w:type="dxa"/>
            <w:tcBorders>
              <w:top w:val="nil"/>
              <w:left w:val="single" w:color="auto" w:sz="4" w:space="0"/>
              <w:bottom w:val="single" w:color="auto" w:sz="4" w:space="0"/>
              <w:right w:val="single" w:color="auto" w:sz="4" w:space="0"/>
            </w:tcBorders>
            <w:vAlign w:val="center"/>
          </w:tcPr>
          <w:p w14:paraId="1B4F74D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流量统计</w:t>
            </w:r>
          </w:p>
        </w:tc>
        <w:tc>
          <w:tcPr>
            <w:tcW w:w="6998" w:type="dxa"/>
            <w:tcBorders>
              <w:top w:val="nil"/>
              <w:left w:val="nil"/>
              <w:bottom w:val="single" w:color="auto" w:sz="4" w:space="0"/>
              <w:right w:val="single" w:color="auto" w:sz="4" w:space="0"/>
            </w:tcBorders>
            <w:vAlign w:val="center"/>
          </w:tcPr>
          <w:p w14:paraId="259F54C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支持网络流量分析技术SFLOW或硬件NETFLOW或NETSTREAM流量统计协议</w:t>
            </w:r>
          </w:p>
        </w:tc>
      </w:tr>
      <w:tr w14:paraId="35524D39">
        <w:tblPrEx>
          <w:tblCellMar>
            <w:top w:w="0" w:type="dxa"/>
            <w:left w:w="108" w:type="dxa"/>
            <w:bottom w:w="0" w:type="dxa"/>
            <w:right w:w="108" w:type="dxa"/>
          </w:tblCellMar>
        </w:tblPrEx>
        <w:trPr>
          <w:trHeight w:val="315" w:hRule="atLeast"/>
          <w:jc w:val="center"/>
        </w:trPr>
        <w:tc>
          <w:tcPr>
            <w:tcW w:w="1394" w:type="dxa"/>
            <w:tcBorders>
              <w:top w:val="nil"/>
              <w:left w:val="single" w:color="auto" w:sz="4" w:space="0"/>
              <w:bottom w:val="single" w:color="auto" w:sz="4" w:space="0"/>
              <w:right w:val="single" w:color="auto" w:sz="4" w:space="0"/>
            </w:tcBorders>
            <w:vAlign w:val="center"/>
          </w:tcPr>
          <w:p w14:paraId="7DD90A9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网管能力</w:t>
            </w:r>
          </w:p>
        </w:tc>
        <w:tc>
          <w:tcPr>
            <w:tcW w:w="6998" w:type="dxa"/>
            <w:tcBorders>
              <w:top w:val="nil"/>
              <w:left w:val="nil"/>
              <w:bottom w:val="single" w:color="auto" w:sz="4" w:space="0"/>
              <w:right w:val="single" w:color="auto" w:sz="4" w:space="0"/>
            </w:tcBorders>
            <w:vAlign w:val="center"/>
          </w:tcPr>
          <w:p w14:paraId="66878C7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支持SNMP v1、v2和v3</w:t>
            </w:r>
          </w:p>
        </w:tc>
      </w:tr>
      <w:tr w14:paraId="19105B87">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bottom w:val="single" w:color="auto" w:sz="4" w:space="0"/>
              <w:right w:val="single" w:color="auto" w:sz="4" w:space="0"/>
            </w:tcBorders>
            <w:vAlign w:val="center"/>
          </w:tcPr>
          <w:p w14:paraId="4C49812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OAM</w:t>
            </w:r>
          </w:p>
        </w:tc>
        <w:tc>
          <w:tcPr>
            <w:tcW w:w="6998" w:type="dxa"/>
            <w:tcBorders>
              <w:top w:val="nil"/>
              <w:left w:val="nil"/>
              <w:bottom w:val="single" w:color="auto" w:sz="4" w:space="0"/>
              <w:right w:val="single" w:color="auto" w:sz="4" w:space="0"/>
            </w:tcBorders>
            <w:vAlign w:val="center"/>
          </w:tcPr>
          <w:p w14:paraId="4F06149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支持ETH OAM技术，包括EFM、CFM、Y.1731</w:t>
            </w:r>
          </w:p>
        </w:tc>
      </w:tr>
      <w:tr w14:paraId="68AE2E96">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bottom w:val="single" w:color="auto" w:sz="4" w:space="0"/>
              <w:right w:val="single" w:color="auto" w:sz="4" w:space="0"/>
            </w:tcBorders>
            <w:vAlign w:val="center"/>
          </w:tcPr>
          <w:p w14:paraId="4052F24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2080EE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支持基于IP五元组筛选追踪业务流，对丢包、误码类故障进行实时检测，精准定位到故障点</w:t>
            </w:r>
          </w:p>
        </w:tc>
      </w:tr>
      <w:tr w14:paraId="14F5F810">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bottom w:val="single" w:color="auto" w:sz="4" w:space="0"/>
              <w:right w:val="single" w:color="auto" w:sz="4" w:space="0"/>
            </w:tcBorders>
            <w:vAlign w:val="center"/>
          </w:tcPr>
          <w:p w14:paraId="58BA009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6F250B1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支持采用智能检测技术实现不同业务的服务质量检测</w:t>
            </w:r>
          </w:p>
        </w:tc>
      </w:tr>
      <w:tr w14:paraId="1EEEA5FE">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bottom w:val="single" w:color="auto" w:sz="4" w:space="0"/>
              <w:right w:val="single" w:color="auto" w:sz="4" w:space="0"/>
            </w:tcBorders>
            <w:vAlign w:val="center"/>
          </w:tcPr>
          <w:p w14:paraId="1E0ED8C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998" w:type="dxa"/>
            <w:tcBorders>
              <w:top w:val="nil"/>
              <w:left w:val="nil"/>
              <w:bottom w:val="single" w:color="auto" w:sz="4" w:space="0"/>
              <w:right w:val="single" w:color="auto" w:sz="4" w:space="0"/>
            </w:tcBorders>
            <w:vAlign w:val="center"/>
          </w:tcPr>
          <w:p w14:paraId="0FE9C8D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支持MPLS-TP</w:t>
            </w:r>
            <w:r>
              <w:rPr>
                <w:rFonts w:hint="eastAsia" w:ascii="Times New Roman" w:hAnsi="Times New Roman" w:eastAsia="宋体" w:cs="宋体"/>
                <w:color w:val="auto"/>
                <w:kern w:val="0"/>
                <w:sz w:val="21"/>
                <w:szCs w:val="21"/>
                <w:highlight w:val="none"/>
                <w:lang w:val="en-US" w:eastAsia="zh-CN"/>
              </w:rPr>
              <w:t xml:space="preserve"> </w:t>
            </w:r>
            <w:r>
              <w:rPr>
                <w:rFonts w:hint="eastAsia" w:ascii="Times New Roman" w:hAnsi="Times New Roman" w:eastAsia="宋体" w:cs="宋体"/>
                <w:color w:val="auto"/>
                <w:kern w:val="0"/>
                <w:sz w:val="21"/>
                <w:szCs w:val="21"/>
                <w:highlight w:val="none"/>
              </w:rPr>
              <w:t>OAM功能</w:t>
            </w:r>
          </w:p>
        </w:tc>
      </w:tr>
      <w:tr w14:paraId="18A6FA66">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63C9221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系统管理</w:t>
            </w:r>
          </w:p>
        </w:tc>
        <w:tc>
          <w:tcPr>
            <w:tcW w:w="6998" w:type="dxa"/>
            <w:tcBorders>
              <w:top w:val="nil"/>
              <w:left w:val="nil"/>
              <w:bottom w:val="single" w:color="auto" w:sz="4" w:space="0"/>
              <w:right w:val="single" w:color="auto" w:sz="4" w:space="0"/>
            </w:tcBorders>
            <w:vAlign w:val="center"/>
          </w:tcPr>
          <w:p w14:paraId="7CFA491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支持Console、Telnet、SSH、SNMP等管理方式</w:t>
            </w:r>
          </w:p>
        </w:tc>
      </w:tr>
      <w:tr w14:paraId="37A12C32">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59FABF0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其他特性</w:t>
            </w:r>
          </w:p>
        </w:tc>
        <w:tc>
          <w:tcPr>
            <w:tcW w:w="6998" w:type="dxa"/>
            <w:tcBorders>
              <w:top w:val="nil"/>
              <w:left w:val="nil"/>
              <w:bottom w:val="single" w:color="auto" w:sz="4" w:space="0"/>
              <w:right w:val="single" w:color="auto" w:sz="4" w:space="0"/>
            </w:tcBorders>
            <w:vAlign w:val="center"/>
          </w:tcPr>
          <w:p w14:paraId="04B59F5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sz w:val="21"/>
                <w:szCs w:val="21"/>
                <w:highlight w:val="none"/>
              </w:rPr>
              <w:t>支持BGP-LS、PCEP南向协议</w:t>
            </w:r>
          </w:p>
        </w:tc>
      </w:tr>
    </w:tbl>
    <w:p w14:paraId="79041E08">
      <w:pPr>
        <w:pStyle w:val="63"/>
        <w:autoSpaceDE w:val="0"/>
        <w:autoSpaceDN w:val="0"/>
        <w:ind w:firstLine="0" w:firstLineChars="0"/>
        <w:jc w:val="left"/>
        <w:rPr>
          <w:rFonts w:ascii="Times New Roman" w:hAnsi="Times New Roman"/>
          <w:color w:val="auto"/>
          <w:sz w:val="32"/>
          <w:szCs w:val="32"/>
          <w:highlight w:val="none"/>
        </w:rPr>
      </w:pPr>
      <w:r>
        <w:rPr>
          <w:rFonts w:ascii="Times New Roman" w:hAnsi="Times New Roman"/>
          <w:color w:val="auto"/>
          <w:sz w:val="28"/>
          <w:highlight w:val="none"/>
        </w:rPr>
        <w:t>2、汇聚路由器设备功能要求：</w:t>
      </w:r>
    </w:p>
    <w:tbl>
      <w:tblPr>
        <w:tblStyle w:val="36"/>
        <w:tblW w:w="8188" w:type="dxa"/>
        <w:jc w:val="center"/>
        <w:tblLayout w:type="fixed"/>
        <w:tblCellMar>
          <w:top w:w="0" w:type="dxa"/>
          <w:left w:w="108" w:type="dxa"/>
          <w:bottom w:w="0" w:type="dxa"/>
          <w:right w:w="108" w:type="dxa"/>
        </w:tblCellMar>
      </w:tblPr>
      <w:tblGrid>
        <w:gridCol w:w="1394"/>
        <w:gridCol w:w="6794"/>
      </w:tblGrid>
      <w:tr w14:paraId="459288B2">
        <w:tblPrEx>
          <w:tblCellMar>
            <w:top w:w="0" w:type="dxa"/>
            <w:left w:w="108" w:type="dxa"/>
            <w:bottom w:w="0" w:type="dxa"/>
            <w:right w:w="108" w:type="dxa"/>
          </w:tblCellMar>
        </w:tblPrEx>
        <w:trPr>
          <w:trHeight w:val="364"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5160BF9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指标项</w:t>
            </w:r>
          </w:p>
        </w:tc>
        <w:tc>
          <w:tcPr>
            <w:tcW w:w="6794" w:type="dxa"/>
            <w:tcBorders>
              <w:top w:val="single" w:color="auto" w:sz="4" w:space="0"/>
              <w:left w:val="nil"/>
              <w:bottom w:val="single" w:color="auto" w:sz="4" w:space="0"/>
              <w:right w:val="single" w:color="auto" w:sz="4" w:space="0"/>
            </w:tcBorders>
            <w:vAlign w:val="center"/>
          </w:tcPr>
          <w:p w14:paraId="1ACC50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指标要求</w:t>
            </w:r>
          </w:p>
        </w:tc>
      </w:tr>
      <w:tr w14:paraId="50B61974">
        <w:tblPrEx>
          <w:tblCellMar>
            <w:top w:w="0" w:type="dxa"/>
            <w:left w:w="108" w:type="dxa"/>
            <w:bottom w:w="0" w:type="dxa"/>
            <w:right w:w="108" w:type="dxa"/>
          </w:tblCellMar>
        </w:tblPrEx>
        <w:trPr>
          <w:trHeight w:val="570" w:hRule="atLeast"/>
          <w:jc w:val="center"/>
        </w:trPr>
        <w:tc>
          <w:tcPr>
            <w:tcW w:w="1394" w:type="dxa"/>
            <w:vMerge w:val="restart"/>
            <w:tcBorders>
              <w:top w:val="nil"/>
              <w:left w:val="single" w:color="auto" w:sz="4" w:space="0"/>
              <w:right w:val="single" w:color="auto" w:sz="4" w:space="0"/>
            </w:tcBorders>
            <w:vAlign w:val="center"/>
          </w:tcPr>
          <w:p w14:paraId="22A75C3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设备要求</w:t>
            </w:r>
          </w:p>
        </w:tc>
        <w:tc>
          <w:tcPr>
            <w:tcW w:w="6794" w:type="dxa"/>
            <w:tcBorders>
              <w:top w:val="nil"/>
              <w:left w:val="nil"/>
              <w:bottom w:val="single" w:color="auto" w:sz="4" w:space="0"/>
              <w:right w:val="single" w:color="auto" w:sz="4" w:space="0"/>
            </w:tcBorders>
            <w:vAlign w:val="center"/>
          </w:tcPr>
          <w:p w14:paraId="56D9CB3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交换容量≥9Tbps</w:t>
            </w:r>
          </w:p>
        </w:tc>
      </w:tr>
      <w:tr w14:paraId="0F87F4A4">
        <w:tblPrEx>
          <w:tblCellMar>
            <w:top w:w="0" w:type="dxa"/>
            <w:left w:w="108" w:type="dxa"/>
            <w:bottom w:w="0" w:type="dxa"/>
            <w:right w:w="108" w:type="dxa"/>
          </w:tblCellMar>
        </w:tblPrEx>
        <w:trPr>
          <w:trHeight w:val="570" w:hRule="atLeast"/>
          <w:jc w:val="center"/>
        </w:trPr>
        <w:tc>
          <w:tcPr>
            <w:tcW w:w="1394" w:type="dxa"/>
            <w:vMerge w:val="continue"/>
            <w:tcBorders>
              <w:left w:val="single" w:color="auto" w:sz="4" w:space="0"/>
              <w:right w:val="single" w:color="auto" w:sz="4" w:space="0"/>
            </w:tcBorders>
            <w:vAlign w:val="center"/>
          </w:tcPr>
          <w:p w14:paraId="5091526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7F5F2FC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转发性能≥900Mpps</w:t>
            </w:r>
          </w:p>
        </w:tc>
      </w:tr>
      <w:tr w14:paraId="35DBD922">
        <w:tblPrEx>
          <w:tblCellMar>
            <w:top w:w="0" w:type="dxa"/>
            <w:left w:w="108" w:type="dxa"/>
            <w:bottom w:w="0" w:type="dxa"/>
            <w:right w:w="108" w:type="dxa"/>
          </w:tblCellMar>
        </w:tblPrEx>
        <w:trPr>
          <w:trHeight w:val="570" w:hRule="atLeast"/>
          <w:jc w:val="center"/>
        </w:trPr>
        <w:tc>
          <w:tcPr>
            <w:tcW w:w="1394" w:type="dxa"/>
            <w:vMerge w:val="continue"/>
            <w:tcBorders>
              <w:left w:val="single" w:color="auto" w:sz="4" w:space="0"/>
              <w:bottom w:val="single" w:color="auto" w:sz="4" w:space="0"/>
              <w:right w:val="single" w:color="auto" w:sz="4" w:space="0"/>
            </w:tcBorders>
            <w:vAlign w:val="center"/>
          </w:tcPr>
          <w:p w14:paraId="5B74492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2DAAA98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整机不小于2T的端口容量</w:t>
            </w:r>
          </w:p>
        </w:tc>
      </w:tr>
      <w:tr w14:paraId="50B8461D">
        <w:tblPrEx>
          <w:tblCellMar>
            <w:top w:w="0" w:type="dxa"/>
            <w:left w:w="108" w:type="dxa"/>
            <w:bottom w:w="0" w:type="dxa"/>
            <w:right w:w="108" w:type="dxa"/>
          </w:tblCellMar>
        </w:tblPrEx>
        <w:trPr>
          <w:trHeight w:val="570" w:hRule="atLeast"/>
          <w:jc w:val="center"/>
        </w:trPr>
        <w:tc>
          <w:tcPr>
            <w:tcW w:w="1394" w:type="dxa"/>
            <w:vMerge w:val="restart"/>
            <w:tcBorders>
              <w:top w:val="single" w:color="auto" w:sz="4" w:space="0"/>
              <w:left w:val="single" w:color="auto" w:sz="4" w:space="0"/>
              <w:right w:val="single" w:color="auto" w:sz="4" w:space="0"/>
            </w:tcBorders>
            <w:vAlign w:val="center"/>
          </w:tcPr>
          <w:p w14:paraId="3BF5CDF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主控引擎</w:t>
            </w:r>
          </w:p>
        </w:tc>
        <w:tc>
          <w:tcPr>
            <w:tcW w:w="6794" w:type="dxa"/>
            <w:tcBorders>
              <w:top w:val="nil"/>
              <w:left w:val="nil"/>
              <w:bottom w:val="single" w:color="auto" w:sz="4" w:space="0"/>
              <w:right w:val="single" w:color="auto" w:sz="4" w:space="0"/>
            </w:tcBorders>
            <w:vAlign w:val="center"/>
          </w:tcPr>
          <w:p w14:paraId="48080DA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支持主控模块冗余，主控冗余时模块间支持状态化故障切换</w:t>
            </w:r>
          </w:p>
        </w:tc>
      </w:tr>
      <w:tr w14:paraId="27FC094C">
        <w:tblPrEx>
          <w:tblCellMar>
            <w:top w:w="0" w:type="dxa"/>
            <w:left w:w="108" w:type="dxa"/>
            <w:bottom w:w="0" w:type="dxa"/>
            <w:right w:w="108" w:type="dxa"/>
          </w:tblCellMar>
        </w:tblPrEx>
        <w:trPr>
          <w:trHeight w:val="570" w:hRule="atLeast"/>
          <w:jc w:val="center"/>
        </w:trPr>
        <w:tc>
          <w:tcPr>
            <w:tcW w:w="1394" w:type="dxa"/>
            <w:vMerge w:val="continue"/>
            <w:tcBorders>
              <w:top w:val="nil"/>
              <w:left w:val="single" w:color="auto" w:sz="4" w:space="0"/>
              <w:bottom w:val="single" w:color="auto" w:sz="4" w:space="0"/>
              <w:right w:val="single" w:color="auto" w:sz="4" w:space="0"/>
            </w:tcBorders>
            <w:vAlign w:val="center"/>
          </w:tcPr>
          <w:p w14:paraId="4D2F429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07255AC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本次配置冗余引擎，确保单引擎故障时，对本设备承载的业务流量不造成影响</w:t>
            </w:r>
          </w:p>
        </w:tc>
      </w:tr>
      <w:tr w14:paraId="13E68D52">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57CC82A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业务插槽</w:t>
            </w:r>
          </w:p>
        </w:tc>
        <w:tc>
          <w:tcPr>
            <w:tcW w:w="6794" w:type="dxa"/>
            <w:tcBorders>
              <w:top w:val="nil"/>
              <w:left w:val="nil"/>
              <w:bottom w:val="single" w:color="auto" w:sz="4" w:space="0"/>
              <w:right w:val="single" w:color="auto" w:sz="4" w:space="0"/>
            </w:tcBorders>
            <w:vAlign w:val="center"/>
          </w:tcPr>
          <w:p w14:paraId="058D58C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≥10槽位，支持单业务槽位200G端口容量线速转发不丢包</w:t>
            </w:r>
          </w:p>
        </w:tc>
      </w:tr>
      <w:tr w14:paraId="6C368F47">
        <w:tblPrEx>
          <w:tblCellMar>
            <w:top w:w="0" w:type="dxa"/>
            <w:left w:w="108" w:type="dxa"/>
            <w:bottom w:w="0" w:type="dxa"/>
            <w:right w:w="108" w:type="dxa"/>
          </w:tblCellMar>
        </w:tblPrEx>
        <w:trPr>
          <w:trHeight w:val="315" w:hRule="atLeast"/>
          <w:jc w:val="center"/>
        </w:trPr>
        <w:tc>
          <w:tcPr>
            <w:tcW w:w="1394" w:type="dxa"/>
            <w:tcBorders>
              <w:top w:val="nil"/>
              <w:left w:val="single" w:color="auto" w:sz="4" w:space="0"/>
              <w:bottom w:val="single" w:color="auto" w:sz="4" w:space="0"/>
              <w:right w:val="single" w:color="auto" w:sz="4" w:space="0"/>
            </w:tcBorders>
            <w:vAlign w:val="center"/>
          </w:tcPr>
          <w:p w14:paraId="52975C1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电源</w:t>
            </w:r>
          </w:p>
        </w:tc>
        <w:tc>
          <w:tcPr>
            <w:tcW w:w="6794" w:type="dxa"/>
            <w:tcBorders>
              <w:top w:val="nil"/>
              <w:left w:val="nil"/>
              <w:bottom w:val="single" w:color="auto" w:sz="4" w:space="0"/>
              <w:right w:val="single" w:color="auto" w:sz="4" w:space="0"/>
            </w:tcBorders>
            <w:vAlign w:val="center"/>
          </w:tcPr>
          <w:p w14:paraId="6053589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支持冗余电源，本次满配交流电源模块</w:t>
            </w:r>
          </w:p>
        </w:tc>
      </w:tr>
      <w:tr w14:paraId="75655C23">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3033399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风扇</w:t>
            </w:r>
          </w:p>
        </w:tc>
        <w:tc>
          <w:tcPr>
            <w:tcW w:w="6794" w:type="dxa"/>
            <w:tcBorders>
              <w:top w:val="nil"/>
              <w:left w:val="nil"/>
              <w:bottom w:val="single" w:color="auto" w:sz="4" w:space="0"/>
              <w:right w:val="single" w:color="auto" w:sz="4" w:space="0"/>
            </w:tcBorders>
            <w:vAlign w:val="center"/>
          </w:tcPr>
          <w:p w14:paraId="6E5DCF3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支持冗余风扇，本次满配机箱风扇</w:t>
            </w:r>
          </w:p>
        </w:tc>
      </w:tr>
      <w:tr w14:paraId="133EAC37">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right w:val="single" w:color="auto" w:sz="4" w:space="0"/>
            </w:tcBorders>
            <w:vAlign w:val="center"/>
          </w:tcPr>
          <w:p w14:paraId="67B0FA3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端口</w:t>
            </w:r>
          </w:p>
        </w:tc>
        <w:tc>
          <w:tcPr>
            <w:tcW w:w="6794" w:type="dxa"/>
            <w:tcBorders>
              <w:top w:val="nil"/>
              <w:left w:val="nil"/>
              <w:bottom w:val="single" w:color="auto" w:sz="4" w:space="0"/>
              <w:right w:val="single" w:color="auto" w:sz="4" w:space="0"/>
            </w:tcBorders>
            <w:vAlign w:val="center"/>
          </w:tcPr>
          <w:p w14:paraId="03993F7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支持100G、10G、GE、FE全线速板卡，100G接口要求可自适应到40G，10G接口要求可自适应到1G</w:t>
            </w:r>
          </w:p>
        </w:tc>
      </w:tr>
      <w:tr w14:paraId="1EB13973">
        <w:tblPrEx>
          <w:tblCellMar>
            <w:top w:w="0" w:type="dxa"/>
            <w:left w:w="108" w:type="dxa"/>
            <w:bottom w:w="0" w:type="dxa"/>
            <w:right w:w="108" w:type="dxa"/>
          </w:tblCellMar>
        </w:tblPrEx>
        <w:trPr>
          <w:trHeight w:val="457" w:hRule="atLeast"/>
          <w:jc w:val="center"/>
        </w:trPr>
        <w:tc>
          <w:tcPr>
            <w:tcW w:w="1394" w:type="dxa"/>
            <w:vMerge w:val="restart"/>
            <w:tcBorders>
              <w:top w:val="single" w:color="auto" w:sz="4" w:space="0"/>
              <w:left w:val="single" w:color="auto" w:sz="4" w:space="0"/>
              <w:right w:val="single" w:color="auto" w:sz="4" w:space="0"/>
            </w:tcBorders>
            <w:vAlign w:val="center"/>
          </w:tcPr>
          <w:p w14:paraId="57AD4A8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可靠性</w:t>
            </w:r>
          </w:p>
        </w:tc>
        <w:tc>
          <w:tcPr>
            <w:tcW w:w="6794" w:type="dxa"/>
            <w:tcBorders>
              <w:top w:val="nil"/>
              <w:left w:val="nil"/>
              <w:bottom w:val="single" w:color="auto" w:sz="4" w:space="0"/>
              <w:right w:val="single" w:color="auto" w:sz="4" w:space="0"/>
            </w:tcBorders>
            <w:vAlign w:val="center"/>
          </w:tcPr>
          <w:p w14:paraId="613E946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硬件支持不间断软件升级</w:t>
            </w:r>
          </w:p>
        </w:tc>
      </w:tr>
      <w:tr w14:paraId="0F451345">
        <w:tblPrEx>
          <w:tblCellMar>
            <w:top w:w="0" w:type="dxa"/>
            <w:left w:w="108" w:type="dxa"/>
            <w:bottom w:w="0" w:type="dxa"/>
            <w:right w:w="108" w:type="dxa"/>
          </w:tblCellMar>
        </w:tblPrEx>
        <w:trPr>
          <w:trHeight w:val="457" w:hRule="atLeast"/>
          <w:jc w:val="center"/>
        </w:trPr>
        <w:tc>
          <w:tcPr>
            <w:tcW w:w="1394" w:type="dxa"/>
            <w:vMerge w:val="continue"/>
            <w:tcBorders>
              <w:top w:val="single" w:color="auto" w:sz="4" w:space="0"/>
              <w:left w:val="single" w:color="auto" w:sz="4" w:space="0"/>
              <w:right w:val="single" w:color="auto" w:sz="4" w:space="0"/>
            </w:tcBorders>
            <w:vAlign w:val="center"/>
          </w:tcPr>
          <w:p w14:paraId="05D80FC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63CFE6E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支持误码倒换</w:t>
            </w:r>
          </w:p>
        </w:tc>
      </w:tr>
      <w:tr w14:paraId="642A7A46">
        <w:tblPrEx>
          <w:tblCellMar>
            <w:top w:w="0" w:type="dxa"/>
            <w:left w:w="108" w:type="dxa"/>
            <w:bottom w:w="0" w:type="dxa"/>
            <w:right w:w="108" w:type="dxa"/>
          </w:tblCellMar>
        </w:tblPrEx>
        <w:trPr>
          <w:trHeight w:val="570" w:hRule="atLeast"/>
          <w:jc w:val="center"/>
        </w:trPr>
        <w:tc>
          <w:tcPr>
            <w:tcW w:w="1394" w:type="dxa"/>
            <w:vMerge w:val="continue"/>
            <w:tcBorders>
              <w:left w:val="single" w:color="auto" w:sz="4" w:space="0"/>
              <w:right w:val="single" w:color="auto" w:sz="4" w:space="0"/>
            </w:tcBorders>
            <w:vAlign w:val="center"/>
          </w:tcPr>
          <w:p w14:paraId="351D3B3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621FFD2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所有关键模块（包括业务板卡、电源及风扇等）均可热插拔,关键模块插拔时不影响其他部件的正常工作</w:t>
            </w:r>
          </w:p>
        </w:tc>
      </w:tr>
      <w:tr w14:paraId="3CF25321">
        <w:tblPrEx>
          <w:tblCellMar>
            <w:top w:w="0" w:type="dxa"/>
            <w:left w:w="108" w:type="dxa"/>
            <w:bottom w:w="0" w:type="dxa"/>
            <w:right w:w="108" w:type="dxa"/>
          </w:tblCellMar>
        </w:tblPrEx>
        <w:trPr>
          <w:trHeight w:val="320" w:hRule="atLeast"/>
          <w:jc w:val="center"/>
        </w:trPr>
        <w:tc>
          <w:tcPr>
            <w:tcW w:w="1394" w:type="dxa"/>
            <w:vMerge w:val="continue"/>
            <w:tcBorders>
              <w:left w:val="single" w:color="auto" w:sz="4" w:space="0"/>
              <w:right w:val="single" w:color="auto" w:sz="4" w:space="0"/>
            </w:tcBorders>
          </w:tcPr>
          <w:p w14:paraId="15EF251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tcPr>
          <w:p w14:paraId="27EACAB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支持BFD故障探测技术</w:t>
            </w:r>
          </w:p>
        </w:tc>
      </w:tr>
      <w:tr w14:paraId="3EC92FE4">
        <w:tblPrEx>
          <w:tblCellMar>
            <w:top w:w="0" w:type="dxa"/>
            <w:left w:w="108" w:type="dxa"/>
            <w:bottom w:w="0" w:type="dxa"/>
            <w:right w:w="108" w:type="dxa"/>
          </w:tblCellMar>
        </w:tblPrEx>
        <w:trPr>
          <w:trHeight w:val="320" w:hRule="atLeast"/>
          <w:jc w:val="center"/>
        </w:trPr>
        <w:tc>
          <w:tcPr>
            <w:tcW w:w="1394" w:type="dxa"/>
            <w:vMerge w:val="continue"/>
            <w:tcBorders>
              <w:left w:val="single" w:color="auto" w:sz="4" w:space="0"/>
              <w:right w:val="single" w:color="auto" w:sz="4" w:space="0"/>
            </w:tcBorders>
          </w:tcPr>
          <w:p w14:paraId="3783D87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tcPr>
          <w:p w14:paraId="52608C4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支持IP/IPv6/LDP/TE/VPN/VPNv6 FRR快速重路由</w:t>
            </w:r>
          </w:p>
        </w:tc>
      </w:tr>
      <w:tr w14:paraId="2D002D9B">
        <w:tblPrEx>
          <w:tblCellMar>
            <w:top w:w="0" w:type="dxa"/>
            <w:left w:w="108" w:type="dxa"/>
            <w:bottom w:w="0" w:type="dxa"/>
            <w:right w:w="108" w:type="dxa"/>
          </w:tblCellMar>
        </w:tblPrEx>
        <w:trPr>
          <w:trHeight w:val="320" w:hRule="atLeast"/>
          <w:jc w:val="center"/>
        </w:trPr>
        <w:tc>
          <w:tcPr>
            <w:tcW w:w="1394" w:type="dxa"/>
            <w:vMerge w:val="continue"/>
            <w:tcBorders>
              <w:left w:val="single" w:color="auto" w:sz="4" w:space="0"/>
              <w:right w:val="single" w:color="auto" w:sz="4" w:space="0"/>
            </w:tcBorders>
          </w:tcPr>
          <w:p w14:paraId="499DC77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tcPr>
          <w:p w14:paraId="58188BD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支持不中断转发（NSF）</w:t>
            </w:r>
          </w:p>
        </w:tc>
      </w:tr>
      <w:tr w14:paraId="49AE9B0F">
        <w:tblPrEx>
          <w:tblCellMar>
            <w:top w:w="0" w:type="dxa"/>
            <w:left w:w="108" w:type="dxa"/>
            <w:bottom w:w="0" w:type="dxa"/>
            <w:right w:w="108" w:type="dxa"/>
          </w:tblCellMar>
        </w:tblPrEx>
        <w:trPr>
          <w:trHeight w:val="269" w:hRule="atLeast"/>
          <w:jc w:val="center"/>
        </w:trPr>
        <w:tc>
          <w:tcPr>
            <w:tcW w:w="1394" w:type="dxa"/>
            <w:vMerge w:val="continue"/>
            <w:tcBorders>
              <w:left w:val="single" w:color="auto" w:sz="4" w:space="0"/>
              <w:bottom w:val="single" w:color="auto" w:sz="4" w:space="0"/>
              <w:right w:val="single" w:color="auto" w:sz="4" w:space="0"/>
            </w:tcBorders>
          </w:tcPr>
          <w:p w14:paraId="3577333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tcPr>
          <w:p w14:paraId="45208F6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支持端口聚合、ECMP、UCMP、LDP、VRRP、NSR等</w:t>
            </w:r>
          </w:p>
        </w:tc>
      </w:tr>
      <w:tr w14:paraId="6695F53B">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vAlign w:val="center"/>
          </w:tcPr>
          <w:p w14:paraId="2CE88D2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二层协议</w:t>
            </w:r>
          </w:p>
        </w:tc>
        <w:tc>
          <w:tcPr>
            <w:tcW w:w="6794" w:type="dxa"/>
            <w:tcBorders>
              <w:top w:val="nil"/>
              <w:left w:val="nil"/>
              <w:bottom w:val="single" w:color="auto" w:sz="4" w:space="0"/>
              <w:right w:val="single" w:color="auto" w:sz="4" w:space="0"/>
            </w:tcBorders>
            <w:vAlign w:val="center"/>
          </w:tcPr>
          <w:p w14:paraId="32C45BD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MAC地址数量≥1000K</w:t>
            </w:r>
          </w:p>
        </w:tc>
      </w:tr>
      <w:tr w14:paraId="1B538F79">
        <w:tblPrEx>
          <w:tblCellMar>
            <w:top w:w="0" w:type="dxa"/>
            <w:left w:w="108" w:type="dxa"/>
            <w:bottom w:w="0" w:type="dxa"/>
            <w:right w:w="108" w:type="dxa"/>
          </w:tblCellMar>
        </w:tblPrEx>
        <w:trPr>
          <w:trHeight w:val="349" w:hRule="atLeast"/>
          <w:jc w:val="center"/>
        </w:trPr>
        <w:tc>
          <w:tcPr>
            <w:tcW w:w="1394" w:type="dxa"/>
            <w:vMerge w:val="continue"/>
            <w:tcBorders>
              <w:left w:val="single" w:color="auto" w:sz="4" w:space="0"/>
              <w:right w:val="single" w:color="auto" w:sz="4" w:space="0"/>
            </w:tcBorders>
            <w:vAlign w:val="center"/>
          </w:tcPr>
          <w:p w14:paraId="07556BE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0F2A8F1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VLAN数量≥4096</w:t>
            </w:r>
          </w:p>
        </w:tc>
      </w:tr>
      <w:tr w14:paraId="5C51D1BC">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000000" w:sz="4" w:space="0"/>
              <w:right w:val="single" w:color="auto" w:sz="4" w:space="0"/>
            </w:tcBorders>
            <w:vAlign w:val="center"/>
          </w:tcPr>
          <w:p w14:paraId="31AFA92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3131F65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整机支持捆绑端口数≥256</w:t>
            </w:r>
          </w:p>
        </w:tc>
      </w:tr>
      <w:tr w14:paraId="592FC97C">
        <w:tblPrEx>
          <w:tblCellMar>
            <w:top w:w="0" w:type="dxa"/>
            <w:left w:w="108" w:type="dxa"/>
            <w:bottom w:w="0" w:type="dxa"/>
            <w:right w:w="108" w:type="dxa"/>
          </w:tblCellMar>
        </w:tblPrEx>
        <w:trPr>
          <w:trHeight w:val="315" w:hRule="atLeast"/>
          <w:jc w:val="center"/>
        </w:trPr>
        <w:tc>
          <w:tcPr>
            <w:tcW w:w="1394" w:type="dxa"/>
            <w:tcBorders>
              <w:left w:val="single" w:color="auto" w:sz="4" w:space="0"/>
              <w:bottom w:val="single" w:color="auto" w:sz="4" w:space="0"/>
              <w:right w:val="single" w:color="auto" w:sz="4" w:space="0"/>
            </w:tcBorders>
            <w:vAlign w:val="center"/>
          </w:tcPr>
          <w:p w14:paraId="392012D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MPLS</w:t>
            </w:r>
          </w:p>
        </w:tc>
        <w:tc>
          <w:tcPr>
            <w:tcW w:w="6794" w:type="dxa"/>
            <w:tcBorders>
              <w:top w:val="nil"/>
              <w:left w:val="nil"/>
              <w:bottom w:val="single" w:color="auto" w:sz="4" w:space="0"/>
              <w:right w:val="single" w:color="auto" w:sz="4" w:space="0"/>
            </w:tcBorders>
          </w:tcPr>
          <w:p w14:paraId="3F98FE0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支持L2VPN、L3VPN、EVPN、LDP LSP、RSVP-TE、SR-TE等MPLS技术</w:t>
            </w:r>
          </w:p>
        </w:tc>
      </w:tr>
      <w:tr w14:paraId="53566EDF">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vAlign w:val="center"/>
          </w:tcPr>
          <w:p w14:paraId="659F046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IP路由（双栈）及扩展功能</w:t>
            </w:r>
          </w:p>
        </w:tc>
        <w:tc>
          <w:tcPr>
            <w:tcW w:w="6794" w:type="dxa"/>
            <w:tcBorders>
              <w:top w:val="nil"/>
              <w:left w:val="nil"/>
              <w:bottom w:val="single" w:color="auto" w:sz="4" w:space="0"/>
              <w:right w:val="single" w:color="auto" w:sz="4" w:space="0"/>
            </w:tcBorders>
            <w:vAlign w:val="center"/>
          </w:tcPr>
          <w:p w14:paraId="4587919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支持IPv4、IPv6</w:t>
            </w:r>
          </w:p>
        </w:tc>
      </w:tr>
      <w:tr w14:paraId="4F5F764F">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4034C14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6169FD5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IPv4路由表容量≥10M 、IPv6路由表容量≥4M</w:t>
            </w:r>
          </w:p>
        </w:tc>
      </w:tr>
      <w:tr w14:paraId="3525E241">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4B04FA4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31A022A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IPv4转发表容量（FIB）≥4M、IPv6转发表容量（FIB）≥2M</w:t>
            </w:r>
          </w:p>
        </w:tc>
      </w:tr>
      <w:tr w14:paraId="4D777F2C">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5999338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2A2EBFF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IPv4及IPv6线速转发不丢包</w:t>
            </w:r>
          </w:p>
        </w:tc>
      </w:tr>
      <w:tr w14:paraId="0CCFC2B0">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652800F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15FC271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IPv4支持BGP、ISIS、OSPF、静态等路由，支持PBR策略路由</w:t>
            </w:r>
          </w:p>
        </w:tc>
      </w:tr>
      <w:tr w14:paraId="61483D46">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636C712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14AFEC2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IPv6支持静态路由、BGP4/BGP4+、RIPng、OSPFv3、ISISv6等动态路由协议</w:t>
            </w:r>
          </w:p>
        </w:tc>
      </w:tr>
      <w:tr w14:paraId="08006171">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47D098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4147861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支持VxLAN、GRE等隧道技术</w:t>
            </w:r>
          </w:p>
        </w:tc>
      </w:tr>
      <w:tr w14:paraId="71CE5EEF">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0E46B12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7377202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VRF规格≥4K</w:t>
            </w:r>
          </w:p>
        </w:tc>
      </w:tr>
      <w:tr w14:paraId="661E3A45">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right w:val="single" w:color="auto" w:sz="4" w:space="0"/>
            </w:tcBorders>
            <w:vAlign w:val="center"/>
          </w:tcPr>
          <w:p w14:paraId="0F26824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4409CA6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LDP LSP≥128K</w:t>
            </w:r>
          </w:p>
        </w:tc>
      </w:tr>
      <w:tr w14:paraId="3BA47D8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491E63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6A45F92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L2VPN容量，MAC≥1000K</w:t>
            </w:r>
          </w:p>
        </w:tc>
      </w:tr>
      <w:tr w14:paraId="5C3B2F7F">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797D6C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196ECA2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L3VPN容量，VPN路由≥1.5M</w:t>
            </w:r>
          </w:p>
        </w:tc>
      </w:tr>
      <w:tr w14:paraId="1962D3CA">
        <w:tblPrEx>
          <w:tblCellMar>
            <w:top w:w="0" w:type="dxa"/>
            <w:left w:w="108" w:type="dxa"/>
            <w:bottom w:w="0" w:type="dxa"/>
            <w:right w:w="108" w:type="dxa"/>
          </w:tblCellMar>
        </w:tblPrEx>
        <w:trPr>
          <w:trHeight w:val="419" w:hRule="atLeast"/>
          <w:jc w:val="center"/>
        </w:trPr>
        <w:tc>
          <w:tcPr>
            <w:tcW w:w="1394" w:type="dxa"/>
            <w:vMerge w:val="continue"/>
            <w:tcBorders>
              <w:left w:val="single" w:color="auto" w:sz="4" w:space="0"/>
              <w:right w:val="single" w:color="auto" w:sz="4" w:space="0"/>
            </w:tcBorders>
            <w:vAlign w:val="center"/>
          </w:tcPr>
          <w:p w14:paraId="609E0A4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22EF5BE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支持路由协议Graceful Restart（BGP、OSPF、ISIS）</w:t>
            </w:r>
          </w:p>
        </w:tc>
      </w:tr>
      <w:tr w14:paraId="015ACF7E">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0205833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69A20B6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支持BFD （支持BGP、ISIS、OSPF、RIP、VRRP、PIM等）</w:t>
            </w:r>
          </w:p>
        </w:tc>
      </w:tr>
      <w:tr w14:paraId="61903705">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0D404B6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7A2F1B0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支持全面的快速重路由FRR功能（IP/IPv6/LDP/TE/VPN/VPNv6 FRR等）</w:t>
            </w:r>
          </w:p>
        </w:tc>
      </w:tr>
      <w:tr w14:paraId="592BD7F7">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16D2DAA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4E095F1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支持EVPN L2/L3 VPN，并配置对应EVPN软件许可</w:t>
            </w:r>
          </w:p>
        </w:tc>
      </w:tr>
      <w:tr w14:paraId="3F8329EF">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5D3AF32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48316F7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支持EVPN VPWS/VPLS</w:t>
            </w:r>
          </w:p>
        </w:tc>
      </w:tr>
      <w:tr w14:paraId="7E9DF97C">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4D2FECA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6104F67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EVPN 隧道TI-LFA保护</w:t>
            </w:r>
          </w:p>
        </w:tc>
      </w:tr>
      <w:tr w14:paraId="3EC14697">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right w:val="single" w:color="auto" w:sz="4" w:space="0"/>
            </w:tcBorders>
            <w:shd w:val="clear" w:color="auto" w:fill="auto"/>
            <w:vAlign w:val="center"/>
          </w:tcPr>
          <w:p w14:paraId="2777B7D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IPv6</w:t>
            </w:r>
          </w:p>
        </w:tc>
        <w:tc>
          <w:tcPr>
            <w:tcW w:w="6794" w:type="dxa"/>
            <w:tcBorders>
              <w:top w:val="nil"/>
              <w:left w:val="nil"/>
              <w:bottom w:val="single" w:color="auto" w:sz="4" w:space="0"/>
              <w:right w:val="single" w:color="auto" w:sz="4" w:space="0"/>
            </w:tcBorders>
            <w:shd w:val="clear" w:color="auto" w:fill="auto"/>
            <w:vAlign w:val="center"/>
          </w:tcPr>
          <w:p w14:paraId="03A44E1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支持IPv4向IPv6的过渡技术，包括但不限于手工配置隧道、自动配置隧道、6to4隧道、GRE隧道、ISATAP隧道等</w:t>
            </w:r>
          </w:p>
        </w:tc>
      </w:tr>
      <w:tr w14:paraId="293F7432">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shd w:val="clear" w:color="auto" w:fill="auto"/>
            <w:vAlign w:val="center"/>
          </w:tcPr>
          <w:p w14:paraId="126CE8C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shd w:val="clear" w:color="auto" w:fill="auto"/>
            <w:vAlign w:val="center"/>
          </w:tcPr>
          <w:p w14:paraId="76DC91E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 over IPv6隧道、6PE和6VPE</w:t>
            </w:r>
          </w:p>
        </w:tc>
      </w:tr>
      <w:tr w14:paraId="0E1B2C20">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shd w:val="clear" w:color="auto" w:fill="auto"/>
            <w:vAlign w:val="center"/>
          </w:tcPr>
          <w:p w14:paraId="0B7B05B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shd w:val="clear" w:color="auto" w:fill="auto"/>
            <w:vAlign w:val="center"/>
          </w:tcPr>
          <w:p w14:paraId="44DB7E2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支持NAT444、NAT64，静态IPv6 DNS，指定IPv6 DNS服务器，TFTP IPv6 client</w:t>
            </w:r>
          </w:p>
        </w:tc>
      </w:tr>
      <w:tr w14:paraId="2A3CA789">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shd w:val="clear" w:color="auto" w:fill="auto"/>
            <w:vAlign w:val="center"/>
          </w:tcPr>
          <w:p w14:paraId="2988290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shd w:val="clear" w:color="auto" w:fill="auto"/>
            <w:vAlign w:val="center"/>
          </w:tcPr>
          <w:p w14:paraId="139D177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支持IPv6邻居发现、PMTU发现、TCP6、ping IPv6、traceroute IPv6、socket IPv6、静态IPv6 DNS、指定IPv6 DNS服务器、TFTP IPv6 client、IPv6策略路由等</w:t>
            </w:r>
          </w:p>
        </w:tc>
      </w:tr>
      <w:tr w14:paraId="71273571">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shd w:val="clear" w:color="auto" w:fill="auto"/>
            <w:vAlign w:val="center"/>
          </w:tcPr>
          <w:p w14:paraId="6968D62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shd w:val="clear" w:color="auto" w:fill="auto"/>
            <w:vAlign w:val="center"/>
          </w:tcPr>
          <w:p w14:paraId="48EF982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支持ICMPv6 MIB、UDP6 MIB、TCP6 MIB、IPv6 MIB等</w:t>
            </w:r>
          </w:p>
        </w:tc>
      </w:tr>
      <w:tr w14:paraId="00018EB7">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077447F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组播功能</w:t>
            </w:r>
          </w:p>
        </w:tc>
        <w:tc>
          <w:tcPr>
            <w:tcW w:w="6794" w:type="dxa"/>
            <w:tcBorders>
              <w:top w:val="nil"/>
              <w:left w:val="nil"/>
              <w:bottom w:val="single" w:color="auto" w:sz="4" w:space="0"/>
              <w:right w:val="single" w:color="auto" w:sz="4" w:space="0"/>
            </w:tcBorders>
            <w:vAlign w:val="center"/>
          </w:tcPr>
          <w:p w14:paraId="1BB0C80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 xml:space="preserve">组播路由≥32K </w:t>
            </w:r>
          </w:p>
        </w:tc>
      </w:tr>
      <w:tr w14:paraId="7E84E45F">
        <w:tblPrEx>
          <w:tblCellMar>
            <w:top w:w="0" w:type="dxa"/>
            <w:left w:w="108" w:type="dxa"/>
            <w:bottom w:w="0" w:type="dxa"/>
            <w:right w:w="108" w:type="dxa"/>
          </w:tblCellMar>
        </w:tblPrEx>
        <w:trPr>
          <w:trHeight w:val="401" w:hRule="atLeast"/>
          <w:jc w:val="center"/>
        </w:trPr>
        <w:tc>
          <w:tcPr>
            <w:tcW w:w="1394" w:type="dxa"/>
            <w:vMerge w:val="continue"/>
            <w:tcBorders>
              <w:left w:val="single" w:color="auto" w:sz="4" w:space="0"/>
              <w:right w:val="single" w:color="auto" w:sz="4" w:space="0"/>
            </w:tcBorders>
            <w:vAlign w:val="center"/>
          </w:tcPr>
          <w:p w14:paraId="698FC5A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079BBB3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支持IGMPv1、v2和v3</w:t>
            </w:r>
          </w:p>
        </w:tc>
      </w:tr>
      <w:tr w14:paraId="571FEE50">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17E8B2D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3C0C9C2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支持独立组播协议(PIM)稀疏模式(PIM-SM)和任意源组播(ASM)</w:t>
            </w:r>
          </w:p>
        </w:tc>
      </w:tr>
      <w:tr w14:paraId="5E34F1E4">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5582009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3F4782D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支持任播路由协议（Anycast RP）</w:t>
            </w:r>
          </w:p>
        </w:tc>
      </w:tr>
      <w:tr w14:paraId="009566BD">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bottom w:val="single" w:color="auto" w:sz="4" w:space="0"/>
              <w:right w:val="single" w:color="auto" w:sz="4" w:space="0"/>
            </w:tcBorders>
            <w:vAlign w:val="center"/>
          </w:tcPr>
          <w:p w14:paraId="2BC3A7C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SDN能力</w:t>
            </w:r>
          </w:p>
        </w:tc>
        <w:tc>
          <w:tcPr>
            <w:tcW w:w="6794" w:type="dxa"/>
            <w:tcBorders>
              <w:top w:val="single" w:color="auto" w:sz="4" w:space="0"/>
              <w:left w:val="nil"/>
              <w:bottom w:val="single" w:color="auto" w:sz="4" w:space="0"/>
              <w:right w:val="single" w:color="auto" w:sz="4" w:space="0"/>
            </w:tcBorders>
            <w:vAlign w:val="center"/>
          </w:tcPr>
          <w:p w14:paraId="23666BD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支持基于TELEMETRY的大数据分析，实现链路质量全景分析及呈现</w:t>
            </w:r>
          </w:p>
        </w:tc>
      </w:tr>
      <w:tr w14:paraId="2383974D">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bottom w:val="single" w:color="auto" w:sz="4" w:space="0"/>
              <w:right w:val="single" w:color="auto" w:sz="4" w:space="0"/>
            </w:tcBorders>
            <w:vAlign w:val="center"/>
          </w:tcPr>
          <w:p w14:paraId="666A5E3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04AE438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支持广域网智能调优</w:t>
            </w:r>
          </w:p>
        </w:tc>
      </w:tr>
      <w:tr w14:paraId="4697F8DE">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bottom w:val="single" w:color="auto" w:sz="4" w:space="0"/>
              <w:right w:val="single" w:color="auto" w:sz="4" w:space="0"/>
            </w:tcBorders>
            <w:vAlign w:val="center"/>
          </w:tcPr>
          <w:p w14:paraId="7B440F4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7E21D90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支持业务带宽的按需部署和在线调整</w:t>
            </w:r>
          </w:p>
        </w:tc>
      </w:tr>
      <w:tr w14:paraId="6A797011">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bottom w:val="single" w:color="auto" w:sz="4" w:space="0"/>
              <w:right w:val="single" w:color="auto" w:sz="4" w:space="0"/>
            </w:tcBorders>
            <w:vAlign w:val="center"/>
          </w:tcPr>
          <w:p w14:paraId="1C5C75D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Segment Routing</w:t>
            </w:r>
          </w:p>
        </w:tc>
        <w:tc>
          <w:tcPr>
            <w:tcW w:w="6794" w:type="dxa"/>
            <w:tcBorders>
              <w:top w:val="single" w:color="auto" w:sz="4" w:space="0"/>
              <w:left w:val="nil"/>
              <w:bottom w:val="single" w:color="auto" w:sz="4" w:space="0"/>
              <w:right w:val="single" w:color="auto" w:sz="4" w:space="0"/>
            </w:tcBorders>
            <w:vAlign w:val="center"/>
          </w:tcPr>
          <w:p w14:paraId="56371EA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支持单域及跨BGP域的Segment Routing技术</w:t>
            </w:r>
          </w:p>
        </w:tc>
      </w:tr>
      <w:tr w14:paraId="09C75C8E">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right w:val="single" w:color="auto" w:sz="4" w:space="0"/>
            </w:tcBorders>
            <w:vAlign w:val="center"/>
          </w:tcPr>
          <w:p w14:paraId="5CD0234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0BAAE0F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支持Segment Routing与LDP混合组网</w:t>
            </w:r>
          </w:p>
        </w:tc>
      </w:tr>
      <w:tr w14:paraId="3826C6F9">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2EA6A93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4F6C480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支持对IPv4、IPv6、VPNv4业务进行流量工程，支持基于按需下一跳及自动引流，并与SR灵活算法联动</w:t>
            </w:r>
          </w:p>
        </w:tc>
      </w:tr>
      <w:tr w14:paraId="52DC7905">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68C6E4B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69A7090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支持TI-LFA，包括LINK保护、节点保护、SRLG保护以及对SR Policy保护，100%覆盖Topology</w:t>
            </w:r>
          </w:p>
        </w:tc>
      </w:tr>
      <w:tr w14:paraId="22DDB49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5C72F41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51EED84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支持多种方法创建SR Policy（NETCONF/CLI/BGP）</w:t>
            </w:r>
          </w:p>
        </w:tc>
      </w:tr>
      <w:tr w14:paraId="54C6028C">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52309B5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7DEA81B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支持SRTE LSP ECMP/UCMP负载分担</w:t>
            </w:r>
          </w:p>
        </w:tc>
      </w:tr>
      <w:tr w14:paraId="3030396B">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shd w:val="clear" w:color="auto" w:fill="auto"/>
            <w:vAlign w:val="center"/>
          </w:tcPr>
          <w:p w14:paraId="3561095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shd w:val="clear" w:color="auto" w:fill="auto"/>
            <w:vAlign w:val="center"/>
          </w:tcPr>
          <w:p w14:paraId="3D8FFC0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支持基于链路真实时延的SRTE</w:t>
            </w:r>
          </w:p>
        </w:tc>
      </w:tr>
      <w:tr w14:paraId="519AFC2B">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6FB292D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ACL能力</w:t>
            </w:r>
          </w:p>
        </w:tc>
        <w:tc>
          <w:tcPr>
            <w:tcW w:w="6794" w:type="dxa"/>
            <w:tcBorders>
              <w:top w:val="nil"/>
              <w:left w:val="nil"/>
              <w:bottom w:val="single" w:color="auto" w:sz="4" w:space="0"/>
              <w:right w:val="single" w:color="auto" w:sz="4" w:space="0"/>
            </w:tcBorders>
            <w:vAlign w:val="center"/>
          </w:tcPr>
          <w:p w14:paraId="25C686E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ACL在线最大运行条目≥单槽120K</w:t>
            </w:r>
          </w:p>
        </w:tc>
      </w:tr>
      <w:tr w14:paraId="0B25F263">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163FC47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23DA666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使用第 2、3、4层字段的入口和出口ACL</w:t>
            </w:r>
          </w:p>
        </w:tc>
      </w:tr>
      <w:tr w14:paraId="7D19E4FF">
        <w:tblPrEx>
          <w:tblCellMar>
            <w:top w:w="0" w:type="dxa"/>
            <w:left w:w="108" w:type="dxa"/>
            <w:bottom w:w="0" w:type="dxa"/>
            <w:right w:w="108" w:type="dxa"/>
          </w:tblCellMar>
        </w:tblPrEx>
        <w:trPr>
          <w:trHeight w:val="357" w:hRule="atLeast"/>
          <w:jc w:val="center"/>
        </w:trPr>
        <w:tc>
          <w:tcPr>
            <w:tcW w:w="1394" w:type="dxa"/>
            <w:vMerge w:val="continue"/>
            <w:tcBorders>
              <w:left w:val="single" w:color="auto" w:sz="4" w:space="0"/>
              <w:right w:val="single" w:color="auto" w:sz="4" w:space="0"/>
            </w:tcBorders>
            <w:vAlign w:val="center"/>
          </w:tcPr>
          <w:p w14:paraId="257F23D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776523A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支持扩展的ACL、MAC地址、端口ACL、VLAN ACL和路由ACL</w:t>
            </w:r>
          </w:p>
        </w:tc>
      </w:tr>
      <w:tr w14:paraId="6759D723">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22A289E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3D82D73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支持ACL在线更新，更新ACL的同时不影响该ACL对流量的控制</w:t>
            </w:r>
          </w:p>
        </w:tc>
      </w:tr>
      <w:tr w14:paraId="6861BA66">
        <w:tblPrEx>
          <w:tblCellMar>
            <w:top w:w="0" w:type="dxa"/>
            <w:left w:w="108" w:type="dxa"/>
            <w:bottom w:w="0" w:type="dxa"/>
            <w:right w:w="108" w:type="dxa"/>
          </w:tblCellMar>
        </w:tblPrEx>
        <w:trPr>
          <w:trHeight w:val="630" w:hRule="atLeast"/>
          <w:jc w:val="center"/>
        </w:trPr>
        <w:tc>
          <w:tcPr>
            <w:tcW w:w="1394" w:type="dxa"/>
            <w:vMerge w:val="continue"/>
            <w:tcBorders>
              <w:left w:val="single" w:color="auto" w:sz="4" w:space="0"/>
              <w:bottom w:val="single" w:color="000000" w:sz="4" w:space="0"/>
              <w:right w:val="single" w:color="auto" w:sz="4" w:space="0"/>
            </w:tcBorders>
            <w:vAlign w:val="center"/>
          </w:tcPr>
          <w:p w14:paraId="3A763AF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1FBD388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支持ACL计数器</w:t>
            </w:r>
          </w:p>
        </w:tc>
      </w:tr>
      <w:tr w14:paraId="4F6FAA93">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7983AEB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控制平面保护</w:t>
            </w:r>
          </w:p>
        </w:tc>
        <w:tc>
          <w:tcPr>
            <w:tcW w:w="6794" w:type="dxa"/>
            <w:tcBorders>
              <w:top w:val="nil"/>
              <w:left w:val="nil"/>
              <w:bottom w:val="single" w:color="auto" w:sz="4" w:space="0"/>
              <w:right w:val="single" w:color="auto" w:sz="4" w:space="0"/>
            </w:tcBorders>
            <w:vAlign w:val="center"/>
          </w:tcPr>
          <w:p w14:paraId="784AE64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支持BFD for SR</w:t>
            </w:r>
          </w:p>
        </w:tc>
      </w:tr>
      <w:tr w14:paraId="0C83D616">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right w:val="single" w:color="auto" w:sz="4" w:space="0"/>
            </w:tcBorders>
            <w:vAlign w:val="center"/>
          </w:tcPr>
          <w:p w14:paraId="442BF7B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0FAA84E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支持BFD for SRv6</w:t>
            </w:r>
          </w:p>
        </w:tc>
      </w:tr>
      <w:tr w14:paraId="05767BBA">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0CE6972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750C688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支持IPv6防攻击技术</w:t>
            </w:r>
          </w:p>
        </w:tc>
      </w:tr>
      <w:tr w14:paraId="2A3307CF">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4A75FF5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7B13939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支持通过端口镜像方式实现对流量的监控的能力，支持远程镜像功能</w:t>
            </w:r>
          </w:p>
        </w:tc>
      </w:tr>
      <w:tr w14:paraId="2D1B1748">
        <w:tblPrEx>
          <w:tblCellMar>
            <w:top w:w="0" w:type="dxa"/>
            <w:left w:w="108" w:type="dxa"/>
            <w:bottom w:w="0" w:type="dxa"/>
            <w:right w:w="108" w:type="dxa"/>
          </w:tblCellMar>
        </w:tblPrEx>
        <w:trPr>
          <w:trHeight w:val="315" w:hRule="atLeast"/>
          <w:jc w:val="center"/>
        </w:trPr>
        <w:tc>
          <w:tcPr>
            <w:tcW w:w="1394" w:type="dxa"/>
            <w:vMerge w:val="restart"/>
            <w:tcBorders>
              <w:left w:val="single" w:color="auto" w:sz="4" w:space="0"/>
              <w:right w:val="single" w:color="auto" w:sz="4" w:space="0"/>
            </w:tcBorders>
            <w:vAlign w:val="center"/>
          </w:tcPr>
          <w:p w14:paraId="5BBA795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SRv6</w:t>
            </w:r>
          </w:p>
        </w:tc>
        <w:tc>
          <w:tcPr>
            <w:tcW w:w="6794" w:type="dxa"/>
            <w:tcBorders>
              <w:top w:val="nil"/>
              <w:left w:val="nil"/>
              <w:bottom w:val="single" w:color="auto" w:sz="4" w:space="0"/>
              <w:right w:val="single" w:color="auto" w:sz="4" w:space="0"/>
            </w:tcBorders>
            <w:vAlign w:val="center"/>
          </w:tcPr>
          <w:p w14:paraId="20DA609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支持ISIS for SRv6</w:t>
            </w:r>
          </w:p>
        </w:tc>
      </w:tr>
      <w:tr w14:paraId="6DE877D7">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39CFAA6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37408FD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支持SRv6，支持SRv6承载VPN业务</w:t>
            </w:r>
          </w:p>
        </w:tc>
      </w:tr>
      <w:tr w14:paraId="43D6DC3D">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429BACA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4C1F843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支持IPv6 TI-LFA FRR for SRv6</w:t>
            </w:r>
          </w:p>
        </w:tc>
      </w:tr>
      <w:tr w14:paraId="4DE7E421">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09B553D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5E98E92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支持SRv6 OAM</w:t>
            </w:r>
          </w:p>
        </w:tc>
      </w:tr>
      <w:tr w14:paraId="094A611C">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4F90157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68BE827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支持SRv6 TE policy,支持通过BGP协议创建Policy。支持基于color、DSCP方式引流入SRv6 Policy</w:t>
            </w:r>
          </w:p>
        </w:tc>
      </w:tr>
      <w:tr w14:paraId="1066FCA8">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22B81F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2EE67F3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支持EVPN IPV4 L3VPN over SRv6 Policy,支持EVPN IPV6 L3VPN over SRv6 Policy,支持EVPN VPWS over SRv6 Policy,支持EVPN VPLS over SRv6 Policy</w:t>
            </w:r>
          </w:p>
        </w:tc>
      </w:tr>
      <w:tr w14:paraId="044EFE28">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right w:val="single" w:color="auto" w:sz="4" w:space="0"/>
            </w:tcBorders>
            <w:vAlign w:val="center"/>
          </w:tcPr>
          <w:p w14:paraId="715A91C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2103E1A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SRv6 Policy支持流量统计</w:t>
            </w:r>
          </w:p>
        </w:tc>
      </w:tr>
      <w:tr w14:paraId="460AA2B8">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auto" w:sz="4" w:space="0"/>
              <w:right w:val="single" w:color="auto" w:sz="4" w:space="0"/>
            </w:tcBorders>
            <w:vAlign w:val="center"/>
          </w:tcPr>
          <w:p w14:paraId="231ADC0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3F8144C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支持SRv6 Policy逃生到SRv6 BE</w:t>
            </w:r>
          </w:p>
        </w:tc>
      </w:tr>
      <w:tr w14:paraId="08F287A2">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right w:val="single" w:color="auto" w:sz="4" w:space="0"/>
            </w:tcBorders>
            <w:vAlign w:val="center"/>
          </w:tcPr>
          <w:p w14:paraId="3B32B4C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w:t>
            </w:r>
          </w:p>
        </w:tc>
        <w:tc>
          <w:tcPr>
            <w:tcW w:w="6794" w:type="dxa"/>
            <w:tcBorders>
              <w:top w:val="nil"/>
              <w:left w:val="nil"/>
              <w:bottom w:val="single" w:color="auto" w:sz="4" w:space="0"/>
              <w:right w:val="single" w:color="auto" w:sz="4" w:space="0"/>
            </w:tcBorders>
            <w:vAlign w:val="center"/>
          </w:tcPr>
          <w:p w14:paraId="67A9058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支持多级MPLS H-QoS、MPLS VPN、VLL和PWE3的QoS调度，面向TE隧道的QoS</w:t>
            </w:r>
          </w:p>
        </w:tc>
      </w:tr>
      <w:tr w14:paraId="6DDA5EF8">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610A2A9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QoS标记和分类</w:t>
            </w:r>
          </w:p>
        </w:tc>
        <w:tc>
          <w:tcPr>
            <w:tcW w:w="6794" w:type="dxa"/>
            <w:tcBorders>
              <w:top w:val="nil"/>
              <w:left w:val="nil"/>
              <w:bottom w:val="single" w:color="auto" w:sz="4" w:space="0"/>
              <w:right w:val="single" w:color="auto" w:sz="4" w:space="0"/>
            </w:tcBorders>
            <w:vAlign w:val="center"/>
          </w:tcPr>
          <w:p w14:paraId="59E7FC3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支持DSCP，CoS，IP Precedence和ACL标记和分类</w:t>
            </w:r>
          </w:p>
        </w:tc>
      </w:tr>
      <w:tr w14:paraId="434FE32E">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right w:val="single" w:color="auto" w:sz="4" w:space="0"/>
            </w:tcBorders>
            <w:vAlign w:val="center"/>
          </w:tcPr>
          <w:p w14:paraId="6C9F103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QoS策略管制</w:t>
            </w:r>
          </w:p>
        </w:tc>
        <w:tc>
          <w:tcPr>
            <w:tcW w:w="6794" w:type="dxa"/>
            <w:tcBorders>
              <w:top w:val="nil"/>
              <w:left w:val="nil"/>
              <w:bottom w:val="single" w:color="auto" w:sz="4" w:space="0"/>
              <w:right w:val="single" w:color="auto" w:sz="4" w:space="0"/>
            </w:tcBorders>
            <w:vAlign w:val="center"/>
          </w:tcPr>
          <w:p w14:paraId="76ACD3D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支持加权随机早期检测（WRED）</w:t>
            </w:r>
          </w:p>
        </w:tc>
      </w:tr>
      <w:tr w14:paraId="47698BBE">
        <w:tblPrEx>
          <w:tblCellMar>
            <w:top w:w="0" w:type="dxa"/>
            <w:left w:w="108" w:type="dxa"/>
            <w:bottom w:w="0" w:type="dxa"/>
            <w:right w:w="108" w:type="dxa"/>
          </w:tblCellMar>
        </w:tblPrEx>
        <w:trPr>
          <w:trHeight w:val="315" w:hRule="atLeast"/>
          <w:jc w:val="center"/>
        </w:trPr>
        <w:tc>
          <w:tcPr>
            <w:tcW w:w="1394" w:type="dxa"/>
            <w:vMerge w:val="continue"/>
            <w:tcBorders>
              <w:left w:val="single" w:color="auto" w:sz="4" w:space="0"/>
              <w:bottom w:val="single" w:color="000000" w:sz="4" w:space="0"/>
              <w:right w:val="single" w:color="auto" w:sz="4" w:space="0"/>
            </w:tcBorders>
            <w:vAlign w:val="center"/>
          </w:tcPr>
          <w:p w14:paraId="4A7275F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4C7CF09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支持优先级流量控制</w:t>
            </w:r>
          </w:p>
        </w:tc>
      </w:tr>
      <w:tr w14:paraId="6B5B9E29">
        <w:tblPrEx>
          <w:tblCellMar>
            <w:top w:w="0" w:type="dxa"/>
            <w:left w:w="108" w:type="dxa"/>
            <w:bottom w:w="0" w:type="dxa"/>
            <w:right w:w="108" w:type="dxa"/>
          </w:tblCellMar>
        </w:tblPrEx>
        <w:trPr>
          <w:trHeight w:val="315" w:hRule="atLeast"/>
          <w:jc w:val="center"/>
        </w:trPr>
        <w:tc>
          <w:tcPr>
            <w:tcW w:w="1394" w:type="dxa"/>
            <w:vMerge w:val="restart"/>
            <w:tcBorders>
              <w:top w:val="nil"/>
              <w:left w:val="single" w:color="auto" w:sz="4" w:space="0"/>
              <w:bottom w:val="single" w:color="000000" w:sz="4" w:space="0"/>
              <w:right w:val="single" w:color="auto" w:sz="4" w:space="0"/>
            </w:tcBorders>
            <w:vAlign w:val="center"/>
          </w:tcPr>
          <w:p w14:paraId="513B8DD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QoS队列</w:t>
            </w:r>
          </w:p>
        </w:tc>
        <w:tc>
          <w:tcPr>
            <w:tcW w:w="6794" w:type="dxa"/>
            <w:tcBorders>
              <w:top w:val="nil"/>
              <w:left w:val="nil"/>
              <w:bottom w:val="single" w:color="auto" w:sz="4" w:space="0"/>
              <w:right w:val="single" w:color="auto" w:sz="4" w:space="0"/>
            </w:tcBorders>
            <w:vAlign w:val="center"/>
          </w:tcPr>
          <w:p w14:paraId="3563276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每个端口≥ 8个队</w:t>
            </w:r>
          </w:p>
        </w:tc>
      </w:tr>
      <w:tr w14:paraId="0135DF4F">
        <w:tblPrEx>
          <w:tblCellMar>
            <w:top w:w="0" w:type="dxa"/>
            <w:left w:w="108" w:type="dxa"/>
            <w:bottom w:w="0" w:type="dxa"/>
            <w:right w:w="108" w:type="dxa"/>
          </w:tblCellMar>
        </w:tblPrEx>
        <w:trPr>
          <w:trHeight w:val="315" w:hRule="atLeast"/>
          <w:jc w:val="center"/>
        </w:trPr>
        <w:tc>
          <w:tcPr>
            <w:tcW w:w="1394" w:type="dxa"/>
            <w:vMerge w:val="continue"/>
            <w:tcBorders>
              <w:top w:val="nil"/>
              <w:left w:val="single" w:color="auto" w:sz="4" w:space="0"/>
              <w:bottom w:val="single" w:color="000000" w:sz="4" w:space="0"/>
              <w:right w:val="single" w:color="auto" w:sz="4" w:space="0"/>
            </w:tcBorders>
            <w:vAlign w:val="center"/>
          </w:tcPr>
          <w:p w14:paraId="4874221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nil"/>
              <w:left w:val="nil"/>
              <w:bottom w:val="single" w:color="auto" w:sz="4" w:space="0"/>
              <w:right w:val="single" w:color="auto" w:sz="4" w:space="0"/>
            </w:tcBorders>
            <w:vAlign w:val="center"/>
          </w:tcPr>
          <w:p w14:paraId="79D187F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排队支持严格优先级(PR)、加权轮询(WRR)</w:t>
            </w:r>
          </w:p>
        </w:tc>
      </w:tr>
      <w:tr w14:paraId="45780E7A">
        <w:tblPrEx>
          <w:tblCellMar>
            <w:top w:w="0" w:type="dxa"/>
            <w:left w:w="108" w:type="dxa"/>
            <w:bottom w:w="0" w:type="dxa"/>
            <w:right w:w="108" w:type="dxa"/>
          </w:tblCellMar>
        </w:tblPrEx>
        <w:trPr>
          <w:trHeight w:val="315" w:hRule="atLeast"/>
          <w:jc w:val="center"/>
        </w:trPr>
        <w:tc>
          <w:tcPr>
            <w:tcW w:w="1394" w:type="dxa"/>
            <w:tcBorders>
              <w:top w:val="nil"/>
              <w:left w:val="single" w:color="auto" w:sz="4" w:space="0"/>
              <w:bottom w:val="single" w:color="auto" w:sz="4" w:space="0"/>
              <w:right w:val="single" w:color="auto" w:sz="4" w:space="0"/>
            </w:tcBorders>
            <w:vAlign w:val="center"/>
          </w:tcPr>
          <w:p w14:paraId="3BEA51B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流量统计</w:t>
            </w:r>
          </w:p>
        </w:tc>
        <w:tc>
          <w:tcPr>
            <w:tcW w:w="6794" w:type="dxa"/>
            <w:tcBorders>
              <w:top w:val="nil"/>
              <w:left w:val="nil"/>
              <w:bottom w:val="single" w:color="auto" w:sz="4" w:space="0"/>
              <w:right w:val="single" w:color="auto" w:sz="4" w:space="0"/>
            </w:tcBorders>
            <w:vAlign w:val="center"/>
          </w:tcPr>
          <w:p w14:paraId="14EF076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支持网络流量分析技术SFLOW或硬件NETFLOW或NETSTREAM流量统计协议</w:t>
            </w:r>
          </w:p>
        </w:tc>
      </w:tr>
      <w:tr w14:paraId="0CAD9D26">
        <w:tblPrEx>
          <w:tblCellMar>
            <w:top w:w="0" w:type="dxa"/>
            <w:left w:w="108" w:type="dxa"/>
            <w:bottom w:w="0" w:type="dxa"/>
            <w:right w:w="108" w:type="dxa"/>
          </w:tblCellMar>
        </w:tblPrEx>
        <w:trPr>
          <w:trHeight w:val="315" w:hRule="atLeast"/>
          <w:jc w:val="center"/>
        </w:trPr>
        <w:tc>
          <w:tcPr>
            <w:tcW w:w="1394" w:type="dxa"/>
            <w:tcBorders>
              <w:top w:val="nil"/>
              <w:left w:val="single" w:color="auto" w:sz="4" w:space="0"/>
              <w:bottom w:val="single" w:color="auto" w:sz="4" w:space="0"/>
              <w:right w:val="single" w:color="auto" w:sz="4" w:space="0"/>
            </w:tcBorders>
            <w:vAlign w:val="center"/>
          </w:tcPr>
          <w:p w14:paraId="44CF9C8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网管能力</w:t>
            </w:r>
          </w:p>
        </w:tc>
        <w:tc>
          <w:tcPr>
            <w:tcW w:w="6794" w:type="dxa"/>
            <w:tcBorders>
              <w:top w:val="nil"/>
              <w:left w:val="nil"/>
              <w:bottom w:val="single" w:color="auto" w:sz="4" w:space="0"/>
              <w:right w:val="single" w:color="auto" w:sz="4" w:space="0"/>
            </w:tcBorders>
            <w:vAlign w:val="center"/>
          </w:tcPr>
          <w:p w14:paraId="38ADF80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支持SNMP v1、v2和v3</w:t>
            </w:r>
          </w:p>
        </w:tc>
      </w:tr>
      <w:tr w14:paraId="7E5B3304">
        <w:tblPrEx>
          <w:tblCellMar>
            <w:top w:w="0" w:type="dxa"/>
            <w:left w:w="108" w:type="dxa"/>
            <w:bottom w:w="0" w:type="dxa"/>
            <w:right w:w="108" w:type="dxa"/>
          </w:tblCellMar>
        </w:tblPrEx>
        <w:trPr>
          <w:trHeight w:val="315" w:hRule="atLeast"/>
          <w:jc w:val="center"/>
        </w:trPr>
        <w:tc>
          <w:tcPr>
            <w:tcW w:w="1394" w:type="dxa"/>
            <w:vMerge w:val="restart"/>
            <w:tcBorders>
              <w:top w:val="single" w:color="auto" w:sz="4" w:space="0"/>
              <w:left w:val="single" w:color="auto" w:sz="4" w:space="0"/>
              <w:bottom w:val="single" w:color="auto" w:sz="4" w:space="0"/>
              <w:right w:val="single" w:color="auto" w:sz="4" w:space="0"/>
            </w:tcBorders>
            <w:vAlign w:val="center"/>
          </w:tcPr>
          <w:p w14:paraId="3B8C94F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OAM</w:t>
            </w:r>
          </w:p>
        </w:tc>
        <w:tc>
          <w:tcPr>
            <w:tcW w:w="6794" w:type="dxa"/>
            <w:tcBorders>
              <w:top w:val="single" w:color="auto" w:sz="4" w:space="0"/>
              <w:left w:val="nil"/>
              <w:bottom w:val="single" w:color="auto" w:sz="4" w:space="0"/>
              <w:right w:val="single" w:color="auto" w:sz="4" w:space="0"/>
            </w:tcBorders>
            <w:vAlign w:val="center"/>
          </w:tcPr>
          <w:p w14:paraId="436D74A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 xml:space="preserve">支持ETH OAM技术，包括EFM、CFM、Y.1731 </w:t>
            </w:r>
          </w:p>
        </w:tc>
      </w:tr>
      <w:tr w14:paraId="3B5D40D5">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bottom w:val="single" w:color="auto" w:sz="4" w:space="0"/>
              <w:right w:val="single" w:color="auto" w:sz="4" w:space="0"/>
            </w:tcBorders>
            <w:vAlign w:val="center"/>
          </w:tcPr>
          <w:p w14:paraId="26D54DA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5DFC829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支持基于IP五元组筛选追踪业务流，对丢包、误码类故障进行实时检测，精准定位到故障点</w:t>
            </w:r>
          </w:p>
        </w:tc>
      </w:tr>
      <w:tr w14:paraId="18E2C91B">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bottom w:val="single" w:color="auto" w:sz="4" w:space="0"/>
              <w:right w:val="single" w:color="auto" w:sz="4" w:space="0"/>
            </w:tcBorders>
            <w:vAlign w:val="center"/>
          </w:tcPr>
          <w:p w14:paraId="52EBB69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7EC53CE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支持采用智能检测技术实现不同业务的服务质量检测</w:t>
            </w:r>
          </w:p>
        </w:tc>
      </w:tr>
      <w:tr w14:paraId="5BBBE794">
        <w:tblPrEx>
          <w:tblCellMar>
            <w:top w:w="0" w:type="dxa"/>
            <w:left w:w="108" w:type="dxa"/>
            <w:bottom w:w="0" w:type="dxa"/>
            <w:right w:w="108" w:type="dxa"/>
          </w:tblCellMar>
        </w:tblPrEx>
        <w:trPr>
          <w:trHeight w:val="315" w:hRule="atLeast"/>
          <w:jc w:val="center"/>
        </w:trPr>
        <w:tc>
          <w:tcPr>
            <w:tcW w:w="1394" w:type="dxa"/>
            <w:vMerge w:val="continue"/>
            <w:tcBorders>
              <w:top w:val="single" w:color="auto" w:sz="4" w:space="0"/>
              <w:left w:val="single" w:color="auto" w:sz="4" w:space="0"/>
              <w:bottom w:val="single" w:color="auto" w:sz="4" w:space="0"/>
              <w:right w:val="single" w:color="auto" w:sz="4" w:space="0"/>
            </w:tcBorders>
            <w:vAlign w:val="center"/>
          </w:tcPr>
          <w:p w14:paraId="27E1CB7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338D78B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支持MPLS-TP OAM功能</w:t>
            </w:r>
          </w:p>
        </w:tc>
      </w:tr>
      <w:tr w14:paraId="7924EBC8">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6B506AE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系统管理</w:t>
            </w:r>
          </w:p>
        </w:tc>
        <w:tc>
          <w:tcPr>
            <w:tcW w:w="6794" w:type="dxa"/>
            <w:tcBorders>
              <w:top w:val="single" w:color="auto" w:sz="4" w:space="0"/>
              <w:left w:val="nil"/>
              <w:bottom w:val="single" w:color="auto" w:sz="4" w:space="0"/>
              <w:right w:val="single" w:color="auto" w:sz="4" w:space="0"/>
            </w:tcBorders>
            <w:vAlign w:val="center"/>
          </w:tcPr>
          <w:p w14:paraId="662BBDB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支持Console、Telnet、SSH、SNMP等管理方式</w:t>
            </w:r>
          </w:p>
        </w:tc>
      </w:tr>
      <w:tr w14:paraId="49ECAFD5">
        <w:tblPrEx>
          <w:tblCellMar>
            <w:top w:w="0" w:type="dxa"/>
            <w:left w:w="108" w:type="dxa"/>
            <w:bottom w:w="0" w:type="dxa"/>
            <w:right w:w="108" w:type="dxa"/>
          </w:tblCellMar>
        </w:tblPrEx>
        <w:trPr>
          <w:trHeight w:val="315"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7260DF9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其他特性</w:t>
            </w:r>
          </w:p>
        </w:tc>
        <w:tc>
          <w:tcPr>
            <w:tcW w:w="6794" w:type="dxa"/>
            <w:tcBorders>
              <w:top w:val="single" w:color="auto" w:sz="4" w:space="0"/>
              <w:left w:val="nil"/>
              <w:bottom w:val="single" w:color="auto" w:sz="4" w:space="0"/>
              <w:right w:val="single" w:color="auto" w:sz="4" w:space="0"/>
            </w:tcBorders>
            <w:vAlign w:val="center"/>
          </w:tcPr>
          <w:p w14:paraId="5587D6C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支持BGP-LS、PCEP南向协议</w:t>
            </w:r>
          </w:p>
        </w:tc>
      </w:tr>
    </w:tbl>
    <w:p w14:paraId="053AA88E">
      <w:pPr>
        <w:pStyle w:val="63"/>
        <w:autoSpaceDE w:val="0"/>
        <w:autoSpaceDN w:val="0"/>
        <w:ind w:firstLine="0" w:firstLineChars="0"/>
        <w:jc w:val="left"/>
        <w:rPr>
          <w:rFonts w:ascii="Times New Roman" w:hAnsi="Times New Roman"/>
          <w:color w:val="auto"/>
          <w:sz w:val="32"/>
          <w:szCs w:val="32"/>
          <w:highlight w:val="none"/>
        </w:rPr>
      </w:pPr>
      <w:r>
        <w:rPr>
          <w:rFonts w:ascii="Times New Roman" w:hAnsi="Times New Roman"/>
          <w:color w:val="auto"/>
          <w:sz w:val="28"/>
          <w:highlight w:val="none"/>
        </w:rPr>
        <w:t>3、汇聚交换机设备功能要求：</w:t>
      </w:r>
    </w:p>
    <w:tbl>
      <w:tblPr>
        <w:tblStyle w:val="36"/>
        <w:tblW w:w="8188" w:type="dxa"/>
        <w:jc w:val="center"/>
        <w:tblLayout w:type="fixed"/>
        <w:tblCellMar>
          <w:top w:w="0" w:type="dxa"/>
          <w:left w:w="108" w:type="dxa"/>
          <w:bottom w:w="0" w:type="dxa"/>
          <w:right w:w="108" w:type="dxa"/>
        </w:tblCellMar>
      </w:tblPr>
      <w:tblGrid>
        <w:gridCol w:w="1394"/>
        <w:gridCol w:w="6794"/>
      </w:tblGrid>
      <w:tr w14:paraId="20D49B34">
        <w:tblPrEx>
          <w:tblCellMar>
            <w:top w:w="0" w:type="dxa"/>
            <w:left w:w="108" w:type="dxa"/>
            <w:bottom w:w="0" w:type="dxa"/>
            <w:right w:w="108" w:type="dxa"/>
          </w:tblCellMar>
        </w:tblPrEx>
        <w:trPr>
          <w:trHeight w:val="364"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67A1B99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指标项</w:t>
            </w:r>
          </w:p>
        </w:tc>
        <w:tc>
          <w:tcPr>
            <w:tcW w:w="6794" w:type="dxa"/>
            <w:tcBorders>
              <w:top w:val="single" w:color="auto" w:sz="4" w:space="0"/>
              <w:left w:val="nil"/>
              <w:bottom w:val="single" w:color="auto" w:sz="4" w:space="0"/>
              <w:right w:val="single" w:color="auto" w:sz="4" w:space="0"/>
            </w:tcBorders>
            <w:vAlign w:val="center"/>
          </w:tcPr>
          <w:p w14:paraId="77373C6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指标要求</w:t>
            </w:r>
          </w:p>
        </w:tc>
      </w:tr>
      <w:tr w14:paraId="7AB237F3">
        <w:trPr>
          <w:trHeight w:val="364" w:hRule="atLeast"/>
          <w:jc w:val="center"/>
        </w:trPr>
        <w:tc>
          <w:tcPr>
            <w:tcW w:w="1394" w:type="dxa"/>
            <w:vMerge w:val="restart"/>
            <w:tcBorders>
              <w:top w:val="single" w:color="auto" w:sz="4" w:space="0"/>
              <w:left w:val="single" w:color="auto" w:sz="4" w:space="0"/>
              <w:right w:val="single" w:color="auto" w:sz="4" w:space="0"/>
            </w:tcBorders>
            <w:vAlign w:val="center"/>
          </w:tcPr>
          <w:p w14:paraId="47E174B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设备要求</w:t>
            </w:r>
          </w:p>
        </w:tc>
        <w:tc>
          <w:tcPr>
            <w:tcW w:w="6794" w:type="dxa"/>
            <w:tcBorders>
              <w:top w:val="single" w:color="auto" w:sz="4" w:space="0"/>
              <w:left w:val="nil"/>
              <w:bottom w:val="single" w:color="auto" w:sz="4" w:space="0"/>
              <w:right w:val="single" w:color="auto" w:sz="4" w:space="0"/>
            </w:tcBorders>
            <w:vAlign w:val="center"/>
          </w:tcPr>
          <w:p w14:paraId="283B796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交换容量≥2Tbps</w:t>
            </w:r>
          </w:p>
        </w:tc>
      </w:tr>
      <w:tr w14:paraId="4C6E7EE7">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79731BB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05569EC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包转发率≥1600Mpps</w:t>
            </w:r>
          </w:p>
        </w:tc>
      </w:tr>
      <w:tr w14:paraId="2ABC9AE1">
        <w:trPr>
          <w:trHeight w:val="364" w:hRule="atLeast"/>
          <w:jc w:val="center"/>
        </w:trPr>
        <w:tc>
          <w:tcPr>
            <w:tcW w:w="1394" w:type="dxa"/>
            <w:vMerge w:val="continue"/>
            <w:tcBorders>
              <w:left w:val="single" w:color="auto" w:sz="4" w:space="0"/>
              <w:right w:val="single" w:color="auto" w:sz="4" w:space="0"/>
            </w:tcBorders>
            <w:vAlign w:val="center"/>
          </w:tcPr>
          <w:p w14:paraId="1A23812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3520FC9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支持≥48个万兆SFP光接口，10G接口要求可自适应到1G</w:t>
            </w:r>
          </w:p>
        </w:tc>
      </w:tr>
      <w:tr w14:paraId="6E11253A">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66B2A3C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58F841A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支持≥6个100G QSFP28光接口，100G接口要求可自适应到40G</w:t>
            </w:r>
          </w:p>
        </w:tc>
      </w:tr>
      <w:tr w14:paraId="75A0F6FC">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4C7F8AB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046A169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支持冗余电源，配置冗余电源</w:t>
            </w:r>
          </w:p>
        </w:tc>
      </w:tr>
      <w:tr w14:paraId="61B09273">
        <w:trPr>
          <w:trHeight w:val="364" w:hRule="atLeast"/>
          <w:jc w:val="center"/>
        </w:trPr>
        <w:tc>
          <w:tcPr>
            <w:tcW w:w="1394" w:type="dxa"/>
            <w:vMerge w:val="continue"/>
            <w:tcBorders>
              <w:left w:val="single" w:color="auto" w:sz="4" w:space="0"/>
              <w:right w:val="single" w:color="auto" w:sz="4" w:space="0"/>
            </w:tcBorders>
            <w:vAlign w:val="center"/>
          </w:tcPr>
          <w:p w14:paraId="368F540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4D17ABD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支持冗余风扇，配置冗余电源</w:t>
            </w:r>
          </w:p>
        </w:tc>
      </w:tr>
      <w:tr w14:paraId="5C3C57E7">
        <w:tblPrEx>
          <w:tblCellMar>
            <w:top w:w="0" w:type="dxa"/>
            <w:left w:w="108" w:type="dxa"/>
            <w:bottom w:w="0" w:type="dxa"/>
            <w:right w:w="108" w:type="dxa"/>
          </w:tblCellMar>
        </w:tblPrEx>
        <w:trPr>
          <w:trHeight w:val="364" w:hRule="atLeast"/>
          <w:jc w:val="center"/>
        </w:trPr>
        <w:tc>
          <w:tcPr>
            <w:tcW w:w="1394" w:type="dxa"/>
            <w:vMerge w:val="restart"/>
            <w:tcBorders>
              <w:top w:val="single" w:color="auto" w:sz="4" w:space="0"/>
              <w:left w:val="single" w:color="auto" w:sz="4" w:space="0"/>
              <w:right w:val="single" w:color="auto" w:sz="4" w:space="0"/>
            </w:tcBorders>
            <w:vAlign w:val="center"/>
          </w:tcPr>
          <w:p w14:paraId="71F9978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二层能力</w:t>
            </w:r>
          </w:p>
        </w:tc>
        <w:tc>
          <w:tcPr>
            <w:tcW w:w="6794" w:type="dxa"/>
            <w:tcBorders>
              <w:top w:val="single" w:color="auto" w:sz="4" w:space="0"/>
              <w:left w:val="nil"/>
              <w:bottom w:val="single" w:color="auto" w:sz="4" w:space="0"/>
              <w:right w:val="single" w:color="auto" w:sz="4" w:space="0"/>
            </w:tcBorders>
            <w:vAlign w:val="center"/>
          </w:tcPr>
          <w:p w14:paraId="65CF8E9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支持MAC表项≥128K</w:t>
            </w:r>
          </w:p>
        </w:tc>
      </w:tr>
      <w:tr w14:paraId="1F6ABF03">
        <w:trPr>
          <w:trHeight w:val="364" w:hRule="atLeast"/>
          <w:jc w:val="center"/>
        </w:trPr>
        <w:tc>
          <w:tcPr>
            <w:tcW w:w="1394" w:type="dxa"/>
            <w:vMerge w:val="continue"/>
            <w:tcBorders>
              <w:left w:val="single" w:color="auto" w:sz="4" w:space="0"/>
              <w:bottom w:val="single" w:color="auto" w:sz="4" w:space="0"/>
              <w:right w:val="single" w:color="auto" w:sz="4" w:space="0"/>
            </w:tcBorders>
            <w:vAlign w:val="center"/>
          </w:tcPr>
          <w:p w14:paraId="3FE2D8B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1F8AC43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支持4K个VLAN，支持Guest VLAN、Voice VLAN，支持基于MAC/协议/IP子网/策略/端口的VLAN</w:t>
            </w:r>
          </w:p>
        </w:tc>
      </w:tr>
      <w:tr w14:paraId="18F75B8A">
        <w:trPr>
          <w:trHeight w:val="364" w:hRule="atLeast"/>
          <w:jc w:val="center"/>
        </w:trPr>
        <w:tc>
          <w:tcPr>
            <w:tcW w:w="1394" w:type="dxa"/>
            <w:vMerge w:val="restart"/>
            <w:tcBorders>
              <w:top w:val="single" w:color="auto" w:sz="4" w:space="0"/>
              <w:left w:val="single" w:color="auto" w:sz="4" w:space="0"/>
              <w:right w:val="single" w:color="auto" w:sz="4" w:space="0"/>
            </w:tcBorders>
            <w:vAlign w:val="center"/>
          </w:tcPr>
          <w:p w14:paraId="0407340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三层能力</w:t>
            </w:r>
          </w:p>
        </w:tc>
        <w:tc>
          <w:tcPr>
            <w:tcW w:w="6794" w:type="dxa"/>
            <w:tcBorders>
              <w:top w:val="single" w:color="auto" w:sz="4" w:space="0"/>
              <w:left w:val="nil"/>
              <w:bottom w:val="single" w:color="auto" w:sz="4" w:space="0"/>
              <w:right w:val="single" w:color="auto" w:sz="4" w:space="0"/>
            </w:tcBorders>
          </w:tcPr>
          <w:p w14:paraId="7D316A2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支持静态路由、RIP V1/2、URPF、OSPF、IS-IS、BGP、RIPng、OSPFv3、BGP4+、ISISv6</w:t>
            </w:r>
          </w:p>
        </w:tc>
      </w:tr>
      <w:tr w14:paraId="6D9CB1C5">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bottom w:val="single" w:color="auto" w:sz="4" w:space="0"/>
              <w:right w:val="single" w:color="auto" w:sz="4" w:space="0"/>
            </w:tcBorders>
            <w:vAlign w:val="center"/>
          </w:tcPr>
          <w:p w14:paraId="5EC70D6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tcPr>
          <w:p w14:paraId="4DE6A80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支持IPv4路由表项≥128K</w:t>
            </w:r>
          </w:p>
        </w:tc>
      </w:tr>
      <w:tr w14:paraId="15A38CDB">
        <w:trPr>
          <w:trHeight w:val="364"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78DFA69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用户管理</w:t>
            </w:r>
          </w:p>
        </w:tc>
        <w:tc>
          <w:tcPr>
            <w:tcW w:w="6794" w:type="dxa"/>
            <w:tcBorders>
              <w:top w:val="single" w:color="auto" w:sz="4" w:space="0"/>
              <w:left w:val="nil"/>
              <w:bottom w:val="single" w:color="auto" w:sz="4" w:space="0"/>
              <w:right w:val="single" w:color="auto" w:sz="4" w:space="0"/>
            </w:tcBorders>
            <w:vAlign w:val="center"/>
          </w:tcPr>
          <w:p w14:paraId="145113C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支持统一用户管理功能，支持802.1X/MAC/Portal等多种认证方式，支持对用户进行分组/分域/分时的管理，用户、业务可视可控</w:t>
            </w:r>
          </w:p>
        </w:tc>
      </w:tr>
      <w:tr w14:paraId="39B985AE">
        <w:tblPrEx>
          <w:tblCellMar>
            <w:top w:w="0" w:type="dxa"/>
            <w:left w:w="108" w:type="dxa"/>
            <w:bottom w:w="0" w:type="dxa"/>
            <w:right w:w="108" w:type="dxa"/>
          </w:tblCellMar>
        </w:tblPrEx>
        <w:trPr>
          <w:trHeight w:val="364" w:hRule="atLeast"/>
          <w:jc w:val="center"/>
        </w:trPr>
        <w:tc>
          <w:tcPr>
            <w:tcW w:w="1394" w:type="dxa"/>
            <w:tcBorders>
              <w:top w:val="single" w:color="auto" w:sz="4" w:space="0"/>
              <w:left w:val="single" w:color="auto" w:sz="4" w:space="0"/>
              <w:bottom w:val="single" w:color="auto" w:sz="4" w:space="0"/>
              <w:right w:val="single" w:color="auto" w:sz="4" w:space="0"/>
            </w:tcBorders>
            <w:vAlign w:val="center"/>
          </w:tcPr>
          <w:p w14:paraId="5F6528B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VxLAN</w:t>
            </w:r>
          </w:p>
        </w:tc>
        <w:tc>
          <w:tcPr>
            <w:tcW w:w="6794" w:type="dxa"/>
            <w:tcBorders>
              <w:top w:val="single" w:color="auto" w:sz="4" w:space="0"/>
              <w:left w:val="nil"/>
              <w:bottom w:val="single" w:color="auto" w:sz="4" w:space="0"/>
              <w:right w:val="single" w:color="auto" w:sz="4" w:space="0"/>
            </w:tcBorders>
            <w:vAlign w:val="center"/>
          </w:tcPr>
          <w:p w14:paraId="1BE0D2D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支持VxLAN功能，支持VxLAN二层网关、三层网关，支持BGP EVPN，实现自动建立隧道</w:t>
            </w:r>
          </w:p>
        </w:tc>
      </w:tr>
      <w:tr w14:paraId="5738A8C4">
        <w:tblPrEx>
          <w:tblCellMar>
            <w:top w:w="0" w:type="dxa"/>
            <w:left w:w="108" w:type="dxa"/>
            <w:bottom w:w="0" w:type="dxa"/>
            <w:right w:w="108" w:type="dxa"/>
          </w:tblCellMar>
        </w:tblPrEx>
        <w:trPr>
          <w:trHeight w:val="364" w:hRule="atLeast"/>
          <w:jc w:val="center"/>
        </w:trPr>
        <w:tc>
          <w:tcPr>
            <w:tcW w:w="1394" w:type="dxa"/>
            <w:tcBorders>
              <w:top w:val="single" w:color="auto" w:sz="4" w:space="0"/>
              <w:left w:val="single" w:color="auto" w:sz="4" w:space="0"/>
              <w:right w:val="single" w:color="auto" w:sz="4" w:space="0"/>
            </w:tcBorders>
            <w:vAlign w:val="center"/>
          </w:tcPr>
          <w:p w14:paraId="6A9A2D6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堆叠</w:t>
            </w:r>
          </w:p>
        </w:tc>
        <w:tc>
          <w:tcPr>
            <w:tcW w:w="6794" w:type="dxa"/>
            <w:tcBorders>
              <w:top w:val="single" w:color="auto" w:sz="4" w:space="0"/>
              <w:left w:val="nil"/>
              <w:bottom w:val="single" w:color="auto" w:sz="4" w:space="0"/>
              <w:right w:val="single" w:color="auto" w:sz="4" w:space="0"/>
            </w:tcBorders>
            <w:vAlign w:val="center"/>
          </w:tcPr>
          <w:p w14:paraId="208F110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支持横向堆叠，主机堆叠数不小于8台</w:t>
            </w:r>
          </w:p>
        </w:tc>
      </w:tr>
      <w:tr w14:paraId="5C062F11">
        <w:tblPrEx>
          <w:tblCellMar>
            <w:top w:w="0" w:type="dxa"/>
            <w:left w:w="108" w:type="dxa"/>
            <w:bottom w:w="0" w:type="dxa"/>
            <w:right w:w="108" w:type="dxa"/>
          </w:tblCellMar>
        </w:tblPrEx>
        <w:trPr>
          <w:trHeight w:val="364" w:hRule="atLeast"/>
          <w:jc w:val="center"/>
        </w:trPr>
        <w:tc>
          <w:tcPr>
            <w:tcW w:w="1394" w:type="dxa"/>
            <w:vMerge w:val="restart"/>
            <w:tcBorders>
              <w:top w:val="single" w:color="auto" w:sz="4" w:space="0"/>
              <w:left w:val="single" w:color="auto" w:sz="4" w:space="0"/>
              <w:right w:val="single" w:color="auto" w:sz="4" w:space="0"/>
            </w:tcBorders>
            <w:vAlign w:val="center"/>
          </w:tcPr>
          <w:p w14:paraId="75399A7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QoS/ACL</w:t>
            </w:r>
          </w:p>
        </w:tc>
        <w:tc>
          <w:tcPr>
            <w:tcW w:w="6794" w:type="dxa"/>
            <w:tcBorders>
              <w:top w:val="single" w:color="auto" w:sz="4" w:space="0"/>
              <w:left w:val="nil"/>
              <w:bottom w:val="single" w:color="auto" w:sz="4" w:space="0"/>
              <w:right w:val="single" w:color="auto" w:sz="4" w:space="0"/>
            </w:tcBorders>
            <w:vAlign w:val="center"/>
          </w:tcPr>
          <w:p w14:paraId="562C2B1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支持WRR、DRR、SP、WRR＋SP、DRR+SP队列调度算法</w:t>
            </w:r>
          </w:p>
        </w:tc>
      </w:tr>
      <w:tr w14:paraId="43C84B93">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0FE7A7B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4BC761C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支持报文的802.1p和DSCP优先级重新标记</w:t>
            </w:r>
          </w:p>
        </w:tc>
      </w:tr>
      <w:tr w14:paraId="63CE6CEC">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4DD9720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104992E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支持二层至四层包过滤功能，提供基于源MAC地址、目的MAC地址、源IP地址、目的IP地址、端口、协议、VLAN的非法帧过滤功能</w:t>
            </w:r>
          </w:p>
        </w:tc>
      </w:tr>
      <w:tr w14:paraId="2CEC0BB7">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bottom w:val="single" w:color="auto" w:sz="4" w:space="0"/>
              <w:right w:val="single" w:color="auto" w:sz="4" w:space="0"/>
            </w:tcBorders>
            <w:vAlign w:val="center"/>
          </w:tcPr>
          <w:p w14:paraId="2DB977C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2D1551C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ACL条目数不少于3000条</w:t>
            </w:r>
          </w:p>
        </w:tc>
      </w:tr>
      <w:tr w14:paraId="518B4DF7">
        <w:tblPrEx>
          <w:tblCellMar>
            <w:top w:w="0" w:type="dxa"/>
            <w:left w:w="108" w:type="dxa"/>
            <w:bottom w:w="0" w:type="dxa"/>
            <w:right w:w="108" w:type="dxa"/>
          </w:tblCellMar>
        </w:tblPrEx>
        <w:trPr>
          <w:trHeight w:val="364" w:hRule="atLeast"/>
          <w:jc w:val="center"/>
        </w:trPr>
        <w:tc>
          <w:tcPr>
            <w:tcW w:w="1394" w:type="dxa"/>
            <w:vMerge w:val="restart"/>
            <w:tcBorders>
              <w:left w:val="single" w:color="auto" w:sz="4" w:space="0"/>
              <w:right w:val="single" w:color="auto" w:sz="4" w:space="0"/>
            </w:tcBorders>
            <w:vAlign w:val="center"/>
          </w:tcPr>
          <w:p w14:paraId="096101E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生成树</w:t>
            </w:r>
          </w:p>
        </w:tc>
        <w:tc>
          <w:tcPr>
            <w:tcW w:w="6794" w:type="dxa"/>
            <w:tcBorders>
              <w:top w:val="single" w:color="auto" w:sz="4" w:space="0"/>
              <w:left w:val="nil"/>
              <w:bottom w:val="single" w:color="auto" w:sz="4" w:space="0"/>
              <w:right w:val="single" w:color="auto" w:sz="4" w:space="0"/>
            </w:tcBorders>
            <w:vAlign w:val="center"/>
          </w:tcPr>
          <w:p w14:paraId="7BE3F04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支持STP（IEEE 802.1d）、RSTP（IEEE 802.1w）、MSTP（IEEE 802.1s）协议</w:t>
            </w:r>
          </w:p>
        </w:tc>
      </w:tr>
      <w:tr w14:paraId="23871635">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368136B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05D97D9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支持BPDU保护、根保护等</w:t>
            </w:r>
          </w:p>
        </w:tc>
      </w:tr>
      <w:tr w14:paraId="0EDED783">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bottom w:val="single" w:color="auto" w:sz="4" w:space="0"/>
              <w:right w:val="single" w:color="auto" w:sz="4" w:space="0"/>
            </w:tcBorders>
            <w:vAlign w:val="center"/>
          </w:tcPr>
          <w:p w14:paraId="4ED1542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1BC0908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支持配置BPDU过滤功能，使端口不处理且不发送BPDU报文，避免其他网络产生震荡</w:t>
            </w:r>
          </w:p>
        </w:tc>
      </w:tr>
      <w:tr w14:paraId="37067C6A">
        <w:tblPrEx>
          <w:tblCellMar>
            <w:top w:w="0" w:type="dxa"/>
            <w:left w:w="108" w:type="dxa"/>
            <w:bottom w:w="0" w:type="dxa"/>
            <w:right w:w="108" w:type="dxa"/>
          </w:tblCellMar>
        </w:tblPrEx>
        <w:trPr>
          <w:trHeight w:val="364" w:hRule="atLeast"/>
          <w:jc w:val="center"/>
        </w:trPr>
        <w:tc>
          <w:tcPr>
            <w:tcW w:w="1394" w:type="dxa"/>
            <w:vMerge w:val="restart"/>
            <w:tcBorders>
              <w:top w:val="single" w:color="auto" w:sz="4" w:space="0"/>
              <w:left w:val="single" w:color="auto" w:sz="4" w:space="0"/>
              <w:right w:val="single" w:color="auto" w:sz="4" w:space="0"/>
            </w:tcBorders>
            <w:vAlign w:val="center"/>
          </w:tcPr>
          <w:p w14:paraId="1918585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管理维护</w:t>
            </w:r>
          </w:p>
        </w:tc>
        <w:tc>
          <w:tcPr>
            <w:tcW w:w="6794" w:type="dxa"/>
            <w:tcBorders>
              <w:top w:val="single" w:color="auto" w:sz="4" w:space="0"/>
              <w:left w:val="nil"/>
              <w:bottom w:val="single" w:color="auto" w:sz="4" w:space="0"/>
              <w:right w:val="single" w:color="auto" w:sz="4" w:space="0"/>
            </w:tcBorders>
            <w:vAlign w:val="center"/>
          </w:tcPr>
          <w:p w14:paraId="6FD7D9C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支持以太网OAM（802.3ah和802.1ag）</w:t>
            </w:r>
          </w:p>
        </w:tc>
      </w:tr>
      <w:tr w14:paraId="450E1A2F">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607316E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429C174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支持SNMPv1/v2c/v3，支持RMON</w:t>
            </w:r>
          </w:p>
        </w:tc>
      </w:tr>
      <w:tr w14:paraId="73003CCE">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2A2E32C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0C272BC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支持NetStream</w:t>
            </w:r>
          </w:p>
        </w:tc>
      </w:tr>
      <w:tr w14:paraId="26A6EABF">
        <w:tblPrEx>
          <w:tblCellMar>
            <w:top w:w="0" w:type="dxa"/>
            <w:left w:w="108" w:type="dxa"/>
            <w:bottom w:w="0" w:type="dxa"/>
            <w:right w:w="108" w:type="dxa"/>
          </w:tblCellMar>
        </w:tblPrEx>
        <w:trPr>
          <w:trHeight w:val="364" w:hRule="atLeast"/>
          <w:jc w:val="center"/>
        </w:trPr>
        <w:tc>
          <w:tcPr>
            <w:tcW w:w="1394" w:type="dxa"/>
            <w:vMerge w:val="restart"/>
            <w:tcBorders>
              <w:top w:val="single" w:color="auto" w:sz="4" w:space="0"/>
              <w:left w:val="single" w:color="auto" w:sz="4" w:space="0"/>
              <w:right w:val="single" w:color="auto" w:sz="4" w:space="0"/>
            </w:tcBorders>
            <w:vAlign w:val="center"/>
          </w:tcPr>
          <w:p w14:paraId="5BC9B9C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w:t>
            </w:r>
          </w:p>
        </w:tc>
        <w:tc>
          <w:tcPr>
            <w:tcW w:w="6794" w:type="dxa"/>
            <w:tcBorders>
              <w:top w:val="single" w:color="auto" w:sz="4" w:space="0"/>
              <w:left w:val="nil"/>
              <w:bottom w:val="single" w:color="auto" w:sz="4" w:space="0"/>
              <w:right w:val="single" w:color="auto" w:sz="4" w:space="0"/>
            </w:tcBorders>
            <w:vAlign w:val="center"/>
          </w:tcPr>
          <w:p w14:paraId="4F8F2D9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支持DHCP Snooping，IP Source Guard，SAVI等安全特性</w:t>
            </w:r>
          </w:p>
        </w:tc>
      </w:tr>
      <w:tr w14:paraId="4DB68A54">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bottom w:val="single" w:color="auto" w:sz="4" w:space="0"/>
              <w:right w:val="single" w:color="auto" w:sz="4" w:space="0"/>
            </w:tcBorders>
            <w:vAlign w:val="center"/>
          </w:tcPr>
          <w:p w14:paraId="474BEEF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08D8AF7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支持防ARP攻击、DOS攻击、ICMP防攻击、CPU防攻击</w:t>
            </w:r>
          </w:p>
        </w:tc>
      </w:tr>
      <w:tr w14:paraId="266DDC53">
        <w:tblPrEx>
          <w:tblCellMar>
            <w:top w:w="0" w:type="dxa"/>
            <w:left w:w="108" w:type="dxa"/>
            <w:bottom w:w="0" w:type="dxa"/>
            <w:right w:w="108" w:type="dxa"/>
          </w:tblCellMar>
        </w:tblPrEx>
        <w:trPr>
          <w:trHeight w:val="364" w:hRule="atLeast"/>
          <w:jc w:val="center"/>
        </w:trPr>
        <w:tc>
          <w:tcPr>
            <w:tcW w:w="1394" w:type="dxa"/>
            <w:vMerge w:val="restart"/>
            <w:tcBorders>
              <w:left w:val="single" w:color="auto" w:sz="4" w:space="0"/>
              <w:right w:val="single" w:color="auto" w:sz="4" w:space="0"/>
            </w:tcBorders>
            <w:vAlign w:val="center"/>
          </w:tcPr>
          <w:p w14:paraId="662708D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端口镜像</w:t>
            </w:r>
          </w:p>
        </w:tc>
        <w:tc>
          <w:tcPr>
            <w:tcW w:w="6794" w:type="dxa"/>
            <w:tcBorders>
              <w:top w:val="single" w:color="auto" w:sz="4" w:space="0"/>
              <w:left w:val="nil"/>
              <w:bottom w:val="single" w:color="auto" w:sz="4" w:space="0"/>
              <w:right w:val="single" w:color="auto" w:sz="4" w:space="0"/>
            </w:tcBorders>
            <w:vAlign w:val="center"/>
          </w:tcPr>
          <w:p w14:paraId="4491641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支持不少于8个端口镜像SESSION</w:t>
            </w:r>
          </w:p>
        </w:tc>
      </w:tr>
      <w:tr w14:paraId="1668F830">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7E6ED69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79599F5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支持本地端口镜像和二层远程端口镜像</w:t>
            </w:r>
          </w:p>
        </w:tc>
      </w:tr>
      <w:tr w14:paraId="575237C7">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right w:val="single" w:color="auto" w:sz="4" w:space="0"/>
            </w:tcBorders>
            <w:vAlign w:val="center"/>
          </w:tcPr>
          <w:p w14:paraId="21C384F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4448D67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支持一对多、多对一、多对多的端口镜像</w:t>
            </w:r>
          </w:p>
        </w:tc>
      </w:tr>
      <w:tr w14:paraId="54E59E35">
        <w:tblPrEx>
          <w:tblCellMar>
            <w:top w:w="0" w:type="dxa"/>
            <w:left w:w="108" w:type="dxa"/>
            <w:bottom w:w="0" w:type="dxa"/>
            <w:right w:w="108" w:type="dxa"/>
          </w:tblCellMar>
        </w:tblPrEx>
        <w:trPr>
          <w:trHeight w:val="364" w:hRule="atLeast"/>
          <w:jc w:val="center"/>
        </w:trPr>
        <w:tc>
          <w:tcPr>
            <w:tcW w:w="1394" w:type="dxa"/>
            <w:vMerge w:val="continue"/>
            <w:tcBorders>
              <w:left w:val="single" w:color="auto" w:sz="4" w:space="0"/>
              <w:bottom w:val="single" w:color="auto" w:sz="4" w:space="0"/>
              <w:right w:val="single" w:color="auto" w:sz="4" w:space="0"/>
            </w:tcBorders>
            <w:vAlign w:val="center"/>
          </w:tcPr>
          <w:p w14:paraId="1D0C050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6794" w:type="dxa"/>
            <w:tcBorders>
              <w:top w:val="single" w:color="auto" w:sz="4" w:space="0"/>
              <w:left w:val="nil"/>
              <w:bottom w:val="single" w:color="auto" w:sz="4" w:space="0"/>
              <w:right w:val="single" w:color="auto" w:sz="4" w:space="0"/>
            </w:tcBorders>
            <w:vAlign w:val="center"/>
          </w:tcPr>
          <w:p w14:paraId="69D12A6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支持端口镜像组</w:t>
            </w:r>
          </w:p>
        </w:tc>
      </w:tr>
    </w:tbl>
    <w:p w14:paraId="20783B60">
      <w:pPr>
        <w:pStyle w:val="63"/>
        <w:autoSpaceDE w:val="0"/>
        <w:autoSpaceDN w:val="0"/>
        <w:ind w:firstLine="0" w:firstLineChars="0"/>
        <w:jc w:val="left"/>
        <w:rPr>
          <w:rFonts w:ascii="Times New Roman" w:hAnsi="Times New Roman"/>
          <w:color w:val="auto"/>
          <w:sz w:val="32"/>
          <w:szCs w:val="32"/>
          <w:highlight w:val="none"/>
        </w:rPr>
      </w:pPr>
      <w:r>
        <w:rPr>
          <w:rFonts w:ascii="Times New Roman" w:hAnsi="Times New Roman"/>
          <w:color w:val="auto"/>
          <w:sz w:val="28"/>
          <w:highlight w:val="none"/>
        </w:rPr>
        <w:t>4、接入交换机设备功能要求：</w:t>
      </w:r>
    </w:p>
    <w:tbl>
      <w:tblPr>
        <w:tblStyle w:val="3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263"/>
        <w:gridCol w:w="6033"/>
      </w:tblGrid>
      <w:tr w14:paraId="4E6651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44DEF5E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w:t>
            </w:r>
          </w:p>
        </w:tc>
        <w:tc>
          <w:tcPr>
            <w:tcW w:w="6033" w:type="dxa"/>
            <w:vAlign w:val="center"/>
          </w:tcPr>
          <w:p w14:paraId="15F6AB5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指标要求</w:t>
            </w:r>
          </w:p>
        </w:tc>
      </w:tr>
      <w:tr w14:paraId="16BA0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0E7473D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安装方式</w:t>
            </w:r>
          </w:p>
        </w:tc>
        <w:tc>
          <w:tcPr>
            <w:tcW w:w="6033" w:type="dxa"/>
            <w:vAlign w:val="center"/>
          </w:tcPr>
          <w:p w14:paraId="75E9477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支持网络设备标准机柜安装</w:t>
            </w:r>
          </w:p>
        </w:tc>
      </w:tr>
      <w:tr w14:paraId="08FAD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10175C7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接口类型</w:t>
            </w:r>
          </w:p>
        </w:tc>
        <w:tc>
          <w:tcPr>
            <w:tcW w:w="6033" w:type="dxa"/>
            <w:vAlign w:val="center"/>
          </w:tcPr>
          <w:p w14:paraId="2041141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10/100/1000M电口≥24个，千兆SFP光口≥4个</w:t>
            </w:r>
          </w:p>
        </w:tc>
      </w:tr>
      <w:tr w14:paraId="5747DF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263" w:type="dxa"/>
            <w:vAlign w:val="center"/>
          </w:tcPr>
          <w:p w14:paraId="24BADB1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性能</w:t>
            </w:r>
          </w:p>
        </w:tc>
        <w:tc>
          <w:tcPr>
            <w:tcW w:w="6033" w:type="dxa"/>
            <w:vAlign w:val="center"/>
          </w:tcPr>
          <w:p w14:paraId="382FEFD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背板带宽≥336Gbps；包转发率≥126Mpps</w:t>
            </w:r>
          </w:p>
        </w:tc>
      </w:tr>
      <w:tr w14:paraId="6C26F6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7C31F5B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三层路由功能</w:t>
            </w:r>
          </w:p>
        </w:tc>
        <w:tc>
          <w:tcPr>
            <w:tcW w:w="6033" w:type="dxa"/>
            <w:vAlign w:val="center"/>
          </w:tcPr>
          <w:p w14:paraId="7761303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支持静态路由、RIP1/2、OSPF</w:t>
            </w:r>
          </w:p>
        </w:tc>
      </w:tr>
      <w:tr w14:paraId="72B630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3158BB8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支持VLAN数量</w:t>
            </w:r>
          </w:p>
        </w:tc>
        <w:tc>
          <w:tcPr>
            <w:tcW w:w="6033" w:type="dxa"/>
            <w:vAlign w:val="center"/>
          </w:tcPr>
          <w:p w14:paraId="2F0A0A8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≥4K</w:t>
            </w:r>
          </w:p>
        </w:tc>
      </w:tr>
      <w:tr w14:paraId="61722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5B0E2FC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MAC地址容量</w:t>
            </w:r>
          </w:p>
        </w:tc>
        <w:tc>
          <w:tcPr>
            <w:tcW w:w="6033" w:type="dxa"/>
            <w:vAlign w:val="center"/>
          </w:tcPr>
          <w:p w14:paraId="5878017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≥8K</w:t>
            </w:r>
          </w:p>
        </w:tc>
      </w:tr>
      <w:tr w14:paraId="2E85D9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19C1278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可靠性</w:t>
            </w:r>
          </w:p>
        </w:tc>
        <w:tc>
          <w:tcPr>
            <w:tcW w:w="6033" w:type="dxa"/>
            <w:vAlign w:val="center"/>
          </w:tcPr>
          <w:p w14:paraId="1060194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支持STP、RSTP、MSTP，支持ERPS、EAPS环网保护</w:t>
            </w:r>
          </w:p>
        </w:tc>
      </w:tr>
      <w:tr w14:paraId="74A84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205ED22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访问控制</w:t>
            </w:r>
          </w:p>
        </w:tc>
        <w:tc>
          <w:tcPr>
            <w:tcW w:w="6033" w:type="dxa"/>
            <w:vAlign w:val="center"/>
          </w:tcPr>
          <w:p w14:paraId="61C5AA9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 MAC、IP、端口、协议端口号的ACL流识别与过滤安全机制</w:t>
            </w:r>
          </w:p>
        </w:tc>
      </w:tr>
      <w:tr w14:paraId="160904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76E7F0C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安全性</w:t>
            </w:r>
          </w:p>
        </w:tc>
        <w:tc>
          <w:tcPr>
            <w:tcW w:w="6033" w:type="dxa"/>
            <w:vAlign w:val="center"/>
          </w:tcPr>
          <w:p w14:paraId="4E15AED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支持防DOS攻击、TCP的SYN Flood攻击、UDP Flood攻击等；支持端口隔离，端口安全、IP+MAC+端口绑定；支持DHCP Snooping、DHCP Option 82，支持IEEE 802.1x认证，支持Radius、Tacacs+认证</w:t>
            </w:r>
          </w:p>
        </w:tc>
      </w:tr>
      <w:tr w14:paraId="23B29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263" w:type="dxa"/>
            <w:vAlign w:val="center"/>
          </w:tcPr>
          <w:p w14:paraId="5501119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802.3ad端口聚合</w:t>
            </w:r>
          </w:p>
        </w:tc>
        <w:tc>
          <w:tcPr>
            <w:tcW w:w="6033" w:type="dxa"/>
            <w:vAlign w:val="center"/>
          </w:tcPr>
          <w:p w14:paraId="56F4E34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每组支持端口≥8个，支持动态LACP或静态聚合</w:t>
            </w:r>
          </w:p>
        </w:tc>
      </w:tr>
      <w:tr w14:paraId="7D2FEB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37F51A5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风暴抑制</w:t>
            </w:r>
          </w:p>
        </w:tc>
        <w:tc>
          <w:tcPr>
            <w:tcW w:w="6033" w:type="dxa"/>
            <w:vAlign w:val="center"/>
          </w:tcPr>
          <w:p w14:paraId="274540C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支持对组播、广播、未知单播报文的抑制功能</w:t>
            </w:r>
          </w:p>
        </w:tc>
      </w:tr>
      <w:tr w14:paraId="338833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5726348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镜像</w:t>
            </w:r>
          </w:p>
        </w:tc>
        <w:tc>
          <w:tcPr>
            <w:tcW w:w="6033" w:type="dxa"/>
            <w:vAlign w:val="center"/>
          </w:tcPr>
          <w:p w14:paraId="31DCF0A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支持一对一、多对一的流量镜像</w:t>
            </w:r>
          </w:p>
        </w:tc>
      </w:tr>
      <w:tr w14:paraId="5B808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0EB810E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QOS</w:t>
            </w:r>
          </w:p>
        </w:tc>
        <w:tc>
          <w:tcPr>
            <w:tcW w:w="6033" w:type="dxa"/>
            <w:vAlign w:val="center"/>
          </w:tcPr>
          <w:p w14:paraId="011562A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每端口队列数≥8</w:t>
            </w:r>
          </w:p>
        </w:tc>
      </w:tr>
      <w:tr w14:paraId="6091E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047C4AE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实时查看端口流量</w:t>
            </w:r>
          </w:p>
        </w:tc>
        <w:tc>
          <w:tcPr>
            <w:tcW w:w="6033" w:type="dxa"/>
            <w:vAlign w:val="center"/>
          </w:tcPr>
          <w:p w14:paraId="402668A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支持基于端口的实时流量查看</w:t>
            </w:r>
          </w:p>
        </w:tc>
      </w:tr>
      <w:tr w14:paraId="42598D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263" w:type="dxa"/>
            <w:vAlign w:val="center"/>
          </w:tcPr>
          <w:p w14:paraId="0AEFE57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SYSLOG/TRAP</w:t>
            </w:r>
          </w:p>
        </w:tc>
        <w:tc>
          <w:tcPr>
            <w:tcW w:w="6033" w:type="dxa"/>
            <w:vAlign w:val="center"/>
          </w:tcPr>
          <w:p w14:paraId="1603D78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支持远程发送SYSLOG记录（符合RFC3164），其中SYSLOG信息至少包含设备操作信息、设备报警信息等关键信息</w:t>
            </w:r>
          </w:p>
        </w:tc>
      </w:tr>
      <w:tr w14:paraId="761334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263" w:type="dxa"/>
            <w:vAlign w:val="center"/>
          </w:tcPr>
          <w:p w14:paraId="56584F7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管理方式</w:t>
            </w:r>
          </w:p>
        </w:tc>
        <w:tc>
          <w:tcPr>
            <w:tcW w:w="6033" w:type="dxa"/>
            <w:vAlign w:val="center"/>
          </w:tcPr>
          <w:p w14:paraId="2A80DC6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支持console、telnet、SSH、SNMP、Web界面等</w:t>
            </w:r>
          </w:p>
        </w:tc>
      </w:tr>
    </w:tbl>
    <w:p w14:paraId="42FD88BA">
      <w:pPr>
        <w:pStyle w:val="63"/>
        <w:autoSpaceDE w:val="0"/>
        <w:autoSpaceDN w:val="0"/>
        <w:ind w:firstLine="0" w:firstLineChars="0"/>
        <w:jc w:val="left"/>
        <w:rPr>
          <w:rFonts w:ascii="Times New Roman" w:hAnsi="Times New Roman"/>
          <w:color w:val="auto"/>
          <w:sz w:val="32"/>
          <w:szCs w:val="32"/>
          <w:highlight w:val="none"/>
        </w:rPr>
      </w:pPr>
      <w:r>
        <w:rPr>
          <w:rFonts w:ascii="Times New Roman" w:hAnsi="Times New Roman"/>
          <w:color w:val="auto"/>
          <w:sz w:val="28"/>
          <w:highlight w:val="none"/>
        </w:rPr>
        <w:t>5、SDN控制器</w:t>
      </w:r>
    </w:p>
    <w:tbl>
      <w:tblPr>
        <w:tblStyle w:val="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8"/>
        <w:gridCol w:w="6668"/>
      </w:tblGrid>
      <w:tr w14:paraId="54AF3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shd w:val="clear" w:color="auto" w:fill="auto"/>
          </w:tcPr>
          <w:p w14:paraId="350902C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特性</w:t>
            </w:r>
          </w:p>
        </w:tc>
        <w:tc>
          <w:tcPr>
            <w:tcW w:w="6668" w:type="dxa"/>
            <w:shd w:val="clear" w:color="auto" w:fill="auto"/>
          </w:tcPr>
          <w:p w14:paraId="732F4AD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详细描述</w:t>
            </w:r>
          </w:p>
        </w:tc>
      </w:tr>
      <w:tr w14:paraId="27478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shd w:val="clear" w:color="auto" w:fill="auto"/>
            <w:vAlign w:val="center"/>
          </w:tcPr>
          <w:p w14:paraId="0B6AED1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配置要求</w:t>
            </w:r>
          </w:p>
        </w:tc>
        <w:tc>
          <w:tcPr>
            <w:tcW w:w="6668" w:type="dxa"/>
            <w:shd w:val="clear" w:color="auto" w:fill="auto"/>
            <w:vAlign w:val="center"/>
          </w:tcPr>
          <w:p w14:paraId="7FA072FF">
            <w:pPr>
              <w:pStyle w:val="4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 实配网络管理能力不低于200个网元节点，满足网络业务规模扩展需求</w:t>
            </w:r>
            <w:r>
              <w:rPr>
                <w:rFonts w:hint="eastAsia" w:ascii="Times New Roman" w:hAnsi="Times New Roman" w:eastAsia="宋体" w:cs="宋体"/>
                <w:color w:val="auto"/>
                <w:sz w:val="21"/>
                <w:szCs w:val="21"/>
                <w:highlight w:val="none"/>
                <w:lang w:eastAsia="zh-CN"/>
              </w:rPr>
              <w:t>；</w:t>
            </w:r>
          </w:p>
          <w:p w14:paraId="7565F54B">
            <w:pPr>
              <w:pStyle w:val="4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2. 须采用标准机架式服务器，按高可用冗余架构部署，设备数量≥6台；</w:t>
            </w:r>
          </w:p>
          <w:p w14:paraId="10F001F1">
            <w:pPr>
              <w:pStyle w:val="4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3. 单台服务器配置指标不低于以下要求：</w:t>
            </w:r>
          </w:p>
          <w:p w14:paraId="55083C30">
            <w:pPr>
              <w:pStyle w:val="4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处理器：≥2×12核CPU，单核心主频≥2.3GHz；</w:t>
            </w:r>
          </w:p>
          <w:p w14:paraId="51E1613C">
            <w:pPr>
              <w:pStyle w:val="4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内存：≥8×32GB，总容量≥256GB；</w:t>
            </w:r>
          </w:p>
          <w:p w14:paraId="31CA2734">
            <w:pPr>
              <w:pStyle w:val="4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存储：≥24×1.2TB硬盘；</w:t>
            </w:r>
          </w:p>
          <w:p w14:paraId="710DA107">
            <w:pPr>
              <w:pStyle w:val="43"/>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网卡：配置双万兆网卡。</w:t>
            </w:r>
          </w:p>
        </w:tc>
      </w:tr>
      <w:tr w14:paraId="7809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shd w:val="clear" w:color="auto" w:fill="auto"/>
            <w:vAlign w:val="center"/>
          </w:tcPr>
          <w:p w14:paraId="12CD429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IP/MPLS连接自动化</w:t>
            </w:r>
          </w:p>
        </w:tc>
        <w:tc>
          <w:tcPr>
            <w:tcW w:w="6668" w:type="dxa"/>
            <w:shd w:val="clear" w:color="auto" w:fill="auto"/>
            <w:vAlign w:val="center"/>
          </w:tcPr>
          <w:p w14:paraId="5CB9C7E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lang w:val="en-US" w:eastAsia="zh-CN"/>
              </w:rPr>
              <w:t>支持</w:t>
            </w:r>
            <w:r>
              <w:rPr>
                <w:rFonts w:hint="eastAsia" w:ascii="Times New Roman" w:hAnsi="Times New Roman" w:eastAsia="宋体" w:cs="宋体"/>
                <w:color w:val="auto"/>
                <w:sz w:val="21"/>
                <w:szCs w:val="21"/>
                <w:highlight w:val="none"/>
              </w:rPr>
              <w:t>VPN专线业务自动化发放；支持对物理设备、网络隧道、VPN等的发现</w:t>
            </w:r>
          </w:p>
        </w:tc>
      </w:tr>
      <w:tr w14:paraId="5218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shd w:val="clear" w:color="auto" w:fill="auto"/>
            <w:vAlign w:val="center"/>
          </w:tcPr>
          <w:p w14:paraId="2F83B77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资源可视</w:t>
            </w:r>
          </w:p>
        </w:tc>
        <w:tc>
          <w:tcPr>
            <w:tcW w:w="6668" w:type="dxa"/>
            <w:shd w:val="clear" w:color="auto" w:fill="auto"/>
            <w:vAlign w:val="center"/>
          </w:tcPr>
          <w:p w14:paraId="3CF2D9D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lang w:val="en-US" w:eastAsia="zh-CN"/>
              </w:rPr>
              <w:t>支持</w:t>
            </w:r>
            <w:r>
              <w:rPr>
                <w:rFonts w:hint="eastAsia" w:ascii="Times New Roman" w:hAnsi="Times New Roman" w:eastAsia="宋体" w:cs="宋体"/>
                <w:color w:val="auto"/>
                <w:sz w:val="21"/>
                <w:szCs w:val="21"/>
                <w:highlight w:val="none"/>
              </w:rPr>
              <w:t>物理拓扑、逻辑拓扑</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隧道拓扑</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VPN业务拓扑可视；</w:t>
            </w:r>
            <w:r>
              <w:rPr>
                <w:rFonts w:hint="eastAsia" w:ascii="Times New Roman" w:hAnsi="Times New Roman" w:eastAsia="宋体" w:cs="宋体"/>
                <w:color w:val="auto"/>
                <w:sz w:val="21"/>
                <w:szCs w:val="21"/>
                <w:highlight w:val="none"/>
                <w:lang w:val="en-US" w:eastAsia="zh-CN"/>
              </w:rPr>
              <w:t>支持</w:t>
            </w:r>
            <w:r>
              <w:rPr>
                <w:rFonts w:hint="eastAsia" w:ascii="Times New Roman" w:hAnsi="Times New Roman" w:eastAsia="宋体" w:cs="宋体"/>
                <w:color w:val="auto"/>
                <w:sz w:val="21"/>
                <w:szCs w:val="21"/>
                <w:highlight w:val="none"/>
              </w:rPr>
              <w:t>链路、隧道、VPN的连通性检测；</w:t>
            </w:r>
            <w:r>
              <w:rPr>
                <w:rFonts w:hint="eastAsia" w:ascii="Times New Roman" w:hAnsi="Times New Roman" w:eastAsia="宋体" w:cs="宋体"/>
                <w:color w:val="auto"/>
                <w:sz w:val="21"/>
                <w:szCs w:val="21"/>
                <w:highlight w:val="none"/>
                <w:lang w:val="en-US" w:eastAsia="zh-CN"/>
              </w:rPr>
              <w:t>实现</w:t>
            </w:r>
            <w:r>
              <w:rPr>
                <w:rFonts w:hint="eastAsia" w:ascii="Times New Roman" w:hAnsi="Times New Roman" w:eastAsia="宋体" w:cs="宋体"/>
                <w:color w:val="auto"/>
                <w:sz w:val="21"/>
                <w:szCs w:val="21"/>
                <w:highlight w:val="none"/>
              </w:rPr>
              <w:t>网络资源、隧道路径、业务路径及业务SLA的可视可管</w:t>
            </w:r>
          </w:p>
        </w:tc>
      </w:tr>
      <w:tr w14:paraId="38BC9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shd w:val="clear" w:color="auto" w:fill="auto"/>
            <w:vAlign w:val="center"/>
          </w:tcPr>
          <w:p w14:paraId="55F07D2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网络优化</w:t>
            </w:r>
          </w:p>
        </w:tc>
        <w:tc>
          <w:tcPr>
            <w:tcW w:w="6668" w:type="dxa"/>
            <w:shd w:val="clear" w:color="auto" w:fill="auto"/>
            <w:vAlign w:val="center"/>
          </w:tcPr>
          <w:p w14:paraId="1C369FB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lang w:val="en-US" w:eastAsia="zh-CN"/>
              </w:rPr>
              <w:t>支持</w:t>
            </w:r>
            <w:r>
              <w:rPr>
                <w:rFonts w:hint="eastAsia" w:ascii="Times New Roman" w:hAnsi="Times New Roman" w:eastAsia="宋体" w:cs="宋体"/>
                <w:color w:val="auto"/>
                <w:sz w:val="21"/>
                <w:szCs w:val="21"/>
                <w:highlight w:val="none"/>
              </w:rPr>
              <w:t>广域链路智能调优；</w:t>
            </w:r>
            <w:r>
              <w:rPr>
                <w:rFonts w:hint="eastAsia" w:ascii="Times New Roman" w:hAnsi="Times New Roman" w:eastAsia="宋体" w:cs="宋体"/>
                <w:color w:val="auto"/>
                <w:sz w:val="21"/>
                <w:szCs w:val="21"/>
                <w:highlight w:val="none"/>
                <w:lang w:val="en-US" w:eastAsia="zh-CN"/>
              </w:rPr>
              <w:t>支持</w:t>
            </w:r>
            <w:r>
              <w:rPr>
                <w:rFonts w:hint="eastAsia" w:ascii="Times New Roman" w:hAnsi="Times New Roman" w:eastAsia="宋体" w:cs="宋体"/>
                <w:color w:val="auto"/>
                <w:sz w:val="21"/>
                <w:szCs w:val="21"/>
                <w:highlight w:val="none"/>
              </w:rPr>
              <w:t>MPLS隧道全局优化算路</w:t>
            </w:r>
            <w:r>
              <w:rPr>
                <w:rFonts w:hint="eastAsia" w:ascii="Times New Roman" w:hAnsi="Times New Roman" w:eastAsia="宋体" w:cs="宋体"/>
                <w:color w:val="auto"/>
                <w:sz w:val="21"/>
                <w:szCs w:val="21"/>
                <w:highlight w:val="none"/>
                <w:lang w:val="en-US" w:eastAsia="zh-CN"/>
              </w:rPr>
              <w:t>及</w:t>
            </w:r>
            <w:r>
              <w:rPr>
                <w:rFonts w:hint="eastAsia" w:ascii="Times New Roman" w:hAnsi="Times New Roman" w:eastAsia="宋体" w:cs="宋体"/>
                <w:color w:val="auto"/>
                <w:sz w:val="21"/>
                <w:szCs w:val="21"/>
                <w:highlight w:val="none"/>
              </w:rPr>
              <w:t>单业务路径优化</w:t>
            </w:r>
          </w:p>
        </w:tc>
      </w:tr>
      <w:tr w14:paraId="2E9A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8" w:type="dxa"/>
            <w:shd w:val="clear" w:color="auto" w:fill="auto"/>
            <w:vAlign w:val="center"/>
          </w:tcPr>
          <w:p w14:paraId="64A1977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接口开放</w:t>
            </w:r>
          </w:p>
        </w:tc>
        <w:tc>
          <w:tcPr>
            <w:tcW w:w="6668" w:type="dxa"/>
            <w:shd w:val="clear" w:color="auto" w:fill="auto"/>
            <w:vAlign w:val="center"/>
          </w:tcPr>
          <w:p w14:paraId="43094E2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lang w:val="en-US" w:eastAsia="zh-CN"/>
              </w:rPr>
            </w:pPr>
            <w:r>
              <w:rPr>
                <w:rFonts w:hint="eastAsia" w:ascii="Times New Roman" w:hAnsi="Times New Roman" w:eastAsia="宋体" w:cs="宋体"/>
                <w:color w:val="auto"/>
                <w:sz w:val="21"/>
                <w:szCs w:val="21"/>
                <w:highlight w:val="none"/>
                <w:lang w:val="en-US" w:eastAsia="zh-CN"/>
              </w:rPr>
              <w:t>支持</w:t>
            </w:r>
            <w:r>
              <w:rPr>
                <w:rFonts w:hint="eastAsia" w:ascii="Times New Roman" w:hAnsi="Times New Roman" w:eastAsia="宋体" w:cs="宋体"/>
                <w:color w:val="auto"/>
                <w:sz w:val="21"/>
                <w:szCs w:val="21"/>
                <w:highlight w:val="none"/>
              </w:rPr>
              <w:t>Restful、Netconf、SNMP等接口协议；</w:t>
            </w:r>
            <w:r>
              <w:rPr>
                <w:rFonts w:hint="eastAsia" w:ascii="Times New Roman" w:hAnsi="Times New Roman" w:eastAsia="宋体" w:cs="宋体"/>
                <w:color w:val="auto"/>
                <w:sz w:val="21"/>
                <w:szCs w:val="21"/>
                <w:highlight w:val="none"/>
                <w:lang w:val="en-US" w:eastAsia="zh-CN"/>
              </w:rPr>
              <w:t>提供面向</w:t>
            </w:r>
            <w:r>
              <w:rPr>
                <w:rFonts w:hint="eastAsia" w:ascii="Times New Roman" w:hAnsi="Times New Roman" w:eastAsia="宋体" w:cs="宋体"/>
                <w:color w:val="auto"/>
                <w:sz w:val="21"/>
                <w:szCs w:val="21"/>
                <w:highlight w:val="none"/>
              </w:rPr>
              <w:t>网络运维、</w:t>
            </w:r>
            <w:r>
              <w:rPr>
                <w:rFonts w:hint="eastAsia" w:ascii="Times New Roman" w:hAnsi="Times New Roman" w:eastAsia="宋体" w:cs="宋体"/>
                <w:color w:val="auto"/>
                <w:sz w:val="21"/>
                <w:szCs w:val="21"/>
                <w:highlight w:val="none"/>
                <w:lang w:val="en-US" w:eastAsia="zh-CN"/>
              </w:rPr>
              <w:t>网络</w:t>
            </w:r>
            <w:r>
              <w:rPr>
                <w:rFonts w:hint="eastAsia" w:ascii="Times New Roman" w:hAnsi="Times New Roman" w:eastAsia="宋体" w:cs="宋体"/>
                <w:color w:val="auto"/>
                <w:sz w:val="21"/>
                <w:szCs w:val="21"/>
                <w:highlight w:val="none"/>
              </w:rPr>
              <w:t>优化</w:t>
            </w:r>
            <w:r>
              <w:rPr>
                <w:rFonts w:hint="eastAsia" w:ascii="Times New Roman" w:hAnsi="Times New Roman" w:eastAsia="宋体" w:cs="宋体"/>
                <w:color w:val="auto"/>
                <w:sz w:val="21"/>
                <w:szCs w:val="21"/>
                <w:highlight w:val="none"/>
                <w:lang w:val="en-US" w:eastAsia="zh-CN"/>
              </w:rPr>
              <w:t>及</w:t>
            </w:r>
            <w:r>
              <w:rPr>
                <w:rFonts w:hint="eastAsia" w:ascii="Times New Roman" w:hAnsi="Times New Roman" w:eastAsia="宋体" w:cs="宋体"/>
                <w:color w:val="auto"/>
                <w:sz w:val="21"/>
                <w:szCs w:val="21"/>
                <w:highlight w:val="none"/>
              </w:rPr>
              <w:t>业务随需的北向API</w:t>
            </w:r>
            <w:r>
              <w:rPr>
                <w:rFonts w:hint="eastAsia" w:ascii="Times New Roman" w:hAnsi="Times New Roman" w:eastAsia="宋体" w:cs="宋体"/>
                <w:color w:val="auto"/>
                <w:sz w:val="21"/>
                <w:szCs w:val="21"/>
                <w:highlight w:val="none"/>
                <w:lang w:val="en-US" w:eastAsia="zh-CN"/>
              </w:rPr>
              <w:t>能力</w:t>
            </w:r>
          </w:p>
        </w:tc>
      </w:tr>
      <w:tr w14:paraId="0B70B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28" w:type="dxa"/>
            <w:shd w:val="clear" w:color="auto" w:fill="auto"/>
            <w:vAlign w:val="center"/>
          </w:tcPr>
          <w:p w14:paraId="26DFD7F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高可用性</w:t>
            </w:r>
          </w:p>
        </w:tc>
        <w:tc>
          <w:tcPr>
            <w:tcW w:w="6668" w:type="dxa"/>
            <w:shd w:val="clear" w:color="auto" w:fill="auto"/>
            <w:vAlign w:val="center"/>
          </w:tcPr>
          <w:p w14:paraId="2965D94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本地</w:t>
            </w:r>
            <w:r>
              <w:rPr>
                <w:rFonts w:hint="eastAsia" w:ascii="Times New Roman" w:hAnsi="Times New Roman" w:eastAsia="宋体" w:cs="宋体"/>
                <w:color w:val="auto"/>
                <w:sz w:val="21"/>
                <w:szCs w:val="21"/>
                <w:highlight w:val="none"/>
                <w:lang w:val="en-US" w:eastAsia="zh-CN"/>
              </w:rPr>
              <w:t>高可用</w:t>
            </w:r>
            <w:r>
              <w:rPr>
                <w:rFonts w:hint="eastAsia" w:ascii="Times New Roman" w:hAnsi="Times New Roman" w:eastAsia="宋体" w:cs="宋体"/>
                <w:color w:val="auto"/>
                <w:sz w:val="21"/>
                <w:szCs w:val="21"/>
                <w:highlight w:val="none"/>
              </w:rPr>
              <w:t>保护</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如集群</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和异地容灾部署；</w:t>
            </w:r>
            <w:r>
              <w:rPr>
                <w:rFonts w:hint="eastAsia" w:ascii="Times New Roman" w:hAnsi="Times New Roman" w:eastAsia="宋体" w:cs="宋体"/>
                <w:color w:val="auto"/>
                <w:sz w:val="21"/>
                <w:szCs w:val="21"/>
                <w:highlight w:val="none"/>
                <w:lang w:val="en-US" w:eastAsia="zh-CN"/>
              </w:rPr>
              <w:t>保障</w:t>
            </w:r>
            <w:r>
              <w:rPr>
                <w:rFonts w:hint="eastAsia" w:ascii="Times New Roman" w:hAnsi="Times New Roman" w:eastAsia="宋体" w:cs="宋体"/>
                <w:color w:val="auto"/>
                <w:sz w:val="21"/>
                <w:szCs w:val="21"/>
                <w:highlight w:val="none"/>
              </w:rPr>
              <w:t>主备</w:t>
            </w:r>
            <w:r>
              <w:rPr>
                <w:rFonts w:hint="eastAsia" w:ascii="Times New Roman" w:hAnsi="Times New Roman" w:eastAsia="宋体" w:cs="宋体"/>
                <w:color w:val="auto"/>
                <w:sz w:val="21"/>
                <w:szCs w:val="21"/>
                <w:highlight w:val="none"/>
                <w:lang w:val="en-US" w:eastAsia="zh-CN"/>
              </w:rPr>
              <w:t>节点间</w:t>
            </w:r>
            <w:r>
              <w:rPr>
                <w:rFonts w:hint="eastAsia" w:ascii="Times New Roman" w:hAnsi="Times New Roman" w:eastAsia="宋体" w:cs="宋体"/>
                <w:color w:val="auto"/>
                <w:sz w:val="21"/>
                <w:szCs w:val="21"/>
                <w:highlight w:val="none"/>
              </w:rPr>
              <w:t>业务数据</w:t>
            </w:r>
            <w:r>
              <w:rPr>
                <w:rFonts w:hint="eastAsia" w:ascii="Times New Roman" w:hAnsi="Times New Roman" w:eastAsia="宋体" w:cs="宋体"/>
                <w:color w:val="auto"/>
                <w:sz w:val="21"/>
                <w:szCs w:val="21"/>
                <w:highlight w:val="none"/>
                <w:lang w:val="en-US" w:eastAsia="zh-CN"/>
              </w:rPr>
              <w:t>的</w:t>
            </w:r>
            <w:r>
              <w:rPr>
                <w:rFonts w:hint="eastAsia" w:ascii="Times New Roman" w:hAnsi="Times New Roman" w:eastAsia="宋体" w:cs="宋体"/>
                <w:color w:val="auto"/>
                <w:sz w:val="21"/>
                <w:szCs w:val="21"/>
                <w:highlight w:val="none"/>
              </w:rPr>
              <w:t>一致性</w:t>
            </w:r>
            <w:r>
              <w:rPr>
                <w:rFonts w:hint="eastAsia" w:ascii="Times New Roman" w:hAnsi="Times New Roman" w:eastAsia="宋体" w:cs="宋体"/>
                <w:color w:val="auto"/>
                <w:sz w:val="21"/>
                <w:szCs w:val="21"/>
                <w:highlight w:val="none"/>
                <w:lang w:eastAsia="zh-CN"/>
              </w:rPr>
              <w:t>。</w:t>
            </w:r>
          </w:p>
        </w:tc>
      </w:tr>
    </w:tbl>
    <w:p w14:paraId="02BF651F">
      <w:pPr>
        <w:pStyle w:val="4"/>
        <w:rPr>
          <w:rFonts w:ascii="Times New Roman" w:hAnsi="Times New Roman"/>
          <w:color w:val="auto"/>
          <w:highlight w:val="none"/>
        </w:rPr>
      </w:pPr>
      <w:bookmarkStart w:id="82" w:name="_Toc30927"/>
      <w:bookmarkStart w:id="83" w:name="_Toc10624"/>
      <w:bookmarkStart w:id="84" w:name="_Toc17073"/>
      <w:bookmarkStart w:id="85" w:name="_Toc12857"/>
      <w:bookmarkStart w:id="86" w:name="_Toc26124"/>
      <w:bookmarkStart w:id="87" w:name="_Toc31853"/>
      <w:r>
        <w:rPr>
          <w:rFonts w:hint="eastAsia" w:ascii="Times New Roman" w:hAnsi="Times New Roman"/>
          <w:color w:val="auto"/>
          <w:highlight w:val="none"/>
        </w:rPr>
        <w:t>业务网络带宽</w:t>
      </w:r>
      <w:r>
        <w:rPr>
          <w:rFonts w:hint="eastAsia" w:ascii="Times New Roman" w:hAnsi="Times New Roman"/>
          <w:color w:val="auto"/>
          <w:highlight w:val="none"/>
          <w:lang w:val="en-US" w:eastAsia="zh-CN"/>
        </w:rPr>
        <w:t>要求</w:t>
      </w:r>
      <w:bookmarkEnd w:id="82"/>
      <w:bookmarkEnd w:id="83"/>
      <w:bookmarkEnd w:id="84"/>
      <w:bookmarkEnd w:id="85"/>
      <w:bookmarkEnd w:id="86"/>
      <w:bookmarkEnd w:id="87"/>
    </w:p>
    <w:tbl>
      <w:tblPr>
        <w:tblStyle w:val="36"/>
        <w:tblW w:w="852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15"/>
        <w:gridCol w:w="3707"/>
      </w:tblGrid>
      <w:tr w14:paraId="0D4BCA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815" w:type="dxa"/>
            <w:shd w:val="clear" w:color="auto" w:fill="auto"/>
            <w:tcMar>
              <w:top w:w="0" w:type="dxa"/>
              <w:left w:w="108" w:type="dxa"/>
              <w:bottom w:w="0" w:type="dxa"/>
              <w:right w:w="108" w:type="dxa"/>
            </w:tcMar>
          </w:tcPr>
          <w:p w14:paraId="249E2CC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链路类型</w:t>
            </w:r>
          </w:p>
        </w:tc>
        <w:tc>
          <w:tcPr>
            <w:tcW w:w="3707" w:type="dxa"/>
            <w:shd w:val="clear" w:color="auto" w:fill="auto"/>
            <w:tcMar>
              <w:top w:w="0" w:type="dxa"/>
              <w:left w:w="108" w:type="dxa"/>
              <w:bottom w:w="0" w:type="dxa"/>
              <w:right w:w="108" w:type="dxa"/>
            </w:tcMar>
          </w:tcPr>
          <w:p w14:paraId="7E82820D">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速率</w:t>
            </w:r>
          </w:p>
        </w:tc>
      </w:tr>
      <w:tr w14:paraId="2D7D13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815" w:type="dxa"/>
            <w:shd w:val="clear" w:color="auto" w:fill="auto"/>
            <w:tcMar>
              <w:top w:w="0" w:type="dxa"/>
              <w:left w:w="108" w:type="dxa"/>
              <w:bottom w:w="0" w:type="dxa"/>
              <w:right w:w="108" w:type="dxa"/>
            </w:tcMar>
          </w:tcPr>
          <w:p w14:paraId="5F2E954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核心节点之间</w:t>
            </w:r>
          </w:p>
        </w:tc>
        <w:tc>
          <w:tcPr>
            <w:tcW w:w="3707" w:type="dxa"/>
            <w:shd w:val="clear" w:color="auto" w:fill="auto"/>
            <w:tcMar>
              <w:top w:w="0" w:type="dxa"/>
              <w:left w:w="108" w:type="dxa"/>
              <w:bottom w:w="0" w:type="dxa"/>
              <w:right w:w="108" w:type="dxa"/>
            </w:tcMar>
          </w:tcPr>
          <w:p w14:paraId="3C0ECCD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100Gbps</w:t>
            </w:r>
          </w:p>
        </w:tc>
      </w:tr>
      <w:tr w14:paraId="095A15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815" w:type="dxa"/>
            <w:shd w:val="clear" w:color="auto" w:fill="auto"/>
            <w:tcMar>
              <w:top w:w="0" w:type="dxa"/>
              <w:left w:w="108" w:type="dxa"/>
              <w:bottom w:w="0" w:type="dxa"/>
              <w:right w:w="108" w:type="dxa"/>
            </w:tcMar>
          </w:tcPr>
          <w:p w14:paraId="346D73B8">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核心节点与汇聚节点之间</w:t>
            </w:r>
          </w:p>
        </w:tc>
        <w:tc>
          <w:tcPr>
            <w:tcW w:w="3707" w:type="dxa"/>
            <w:shd w:val="clear" w:color="auto" w:fill="auto"/>
            <w:tcMar>
              <w:top w:w="0" w:type="dxa"/>
              <w:left w:w="108" w:type="dxa"/>
              <w:bottom w:w="0" w:type="dxa"/>
              <w:right w:w="108" w:type="dxa"/>
            </w:tcMar>
          </w:tcPr>
          <w:p w14:paraId="112E73AC">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100Gbps</w:t>
            </w:r>
          </w:p>
        </w:tc>
      </w:tr>
      <w:tr w14:paraId="75E1E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815" w:type="dxa"/>
            <w:shd w:val="clear" w:color="auto" w:fill="auto"/>
            <w:tcMar>
              <w:top w:w="0" w:type="dxa"/>
              <w:left w:w="108" w:type="dxa"/>
              <w:bottom w:w="0" w:type="dxa"/>
              <w:right w:w="108" w:type="dxa"/>
            </w:tcMar>
          </w:tcPr>
          <w:p w14:paraId="185FCDC2">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同一汇聚节点内主备冗余设备之间</w:t>
            </w:r>
          </w:p>
        </w:tc>
        <w:tc>
          <w:tcPr>
            <w:tcW w:w="3707" w:type="dxa"/>
            <w:shd w:val="clear" w:color="auto" w:fill="auto"/>
            <w:tcMar>
              <w:top w:w="0" w:type="dxa"/>
              <w:left w:w="108" w:type="dxa"/>
              <w:bottom w:w="0" w:type="dxa"/>
              <w:right w:w="108" w:type="dxa"/>
            </w:tcMar>
          </w:tcPr>
          <w:p w14:paraId="54A60405">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100Gbps</w:t>
            </w:r>
          </w:p>
        </w:tc>
      </w:tr>
      <w:tr w14:paraId="3B02A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815" w:type="dxa"/>
            <w:shd w:val="clear" w:color="auto" w:fill="auto"/>
            <w:tcMar>
              <w:top w:w="0" w:type="dxa"/>
              <w:left w:w="108" w:type="dxa"/>
              <w:bottom w:w="0" w:type="dxa"/>
              <w:right w:w="108" w:type="dxa"/>
            </w:tcMar>
          </w:tcPr>
          <w:p w14:paraId="712B37A6">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汇聚节点与接入节点之间</w:t>
            </w:r>
          </w:p>
        </w:tc>
        <w:tc>
          <w:tcPr>
            <w:tcW w:w="3707" w:type="dxa"/>
            <w:shd w:val="clear" w:color="auto" w:fill="auto"/>
            <w:tcMar>
              <w:top w:w="0" w:type="dxa"/>
              <w:left w:w="108" w:type="dxa"/>
              <w:bottom w:w="0" w:type="dxa"/>
              <w:right w:w="108" w:type="dxa"/>
            </w:tcMar>
          </w:tcPr>
          <w:p w14:paraId="146149A7">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N×1Gbps或N×10Gbps</w:t>
            </w:r>
          </w:p>
        </w:tc>
      </w:tr>
      <w:tr w14:paraId="5584E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815" w:type="dxa"/>
            <w:shd w:val="clear" w:color="auto" w:fill="auto"/>
            <w:tcMar>
              <w:top w:w="0" w:type="dxa"/>
              <w:left w:w="108" w:type="dxa"/>
              <w:bottom w:w="0" w:type="dxa"/>
              <w:right w:w="108" w:type="dxa"/>
            </w:tcMar>
          </w:tcPr>
          <w:p w14:paraId="2337AC38">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bookmarkStart w:id="88" w:name="_Toc2353"/>
            <w:bookmarkStart w:id="89" w:name="_Toc6416"/>
            <w:r>
              <w:rPr>
                <w:rFonts w:hint="eastAsia" w:ascii="Times New Roman" w:hAnsi="Times New Roman" w:eastAsia="宋体" w:cs="宋体"/>
                <w:color w:val="auto"/>
                <w:sz w:val="21"/>
                <w:szCs w:val="21"/>
                <w:highlight w:val="none"/>
              </w:rPr>
              <w:t>与市政务云之间</w:t>
            </w:r>
          </w:p>
        </w:tc>
        <w:tc>
          <w:tcPr>
            <w:tcW w:w="3707" w:type="dxa"/>
            <w:shd w:val="clear" w:color="auto" w:fill="auto"/>
            <w:tcMar>
              <w:top w:w="0" w:type="dxa"/>
              <w:left w:w="108" w:type="dxa"/>
              <w:bottom w:w="0" w:type="dxa"/>
              <w:right w:w="108" w:type="dxa"/>
            </w:tcMar>
          </w:tcPr>
          <w:p w14:paraId="66134910">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100Gbps</w:t>
            </w:r>
          </w:p>
        </w:tc>
      </w:tr>
      <w:tr w14:paraId="13F114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c>
          <w:tcPr>
            <w:tcW w:w="4815" w:type="dxa"/>
            <w:shd w:val="clear" w:color="auto" w:fill="auto"/>
            <w:tcMar>
              <w:top w:w="0" w:type="dxa"/>
              <w:left w:w="108" w:type="dxa"/>
              <w:bottom w:w="0" w:type="dxa"/>
              <w:right w:w="108" w:type="dxa"/>
            </w:tcMar>
          </w:tcPr>
          <w:p w14:paraId="139E501E">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bookmarkStart w:id="90" w:name="_Toc1584"/>
            <w:r>
              <w:rPr>
                <w:rFonts w:hint="eastAsia" w:ascii="Times New Roman" w:hAnsi="Times New Roman" w:eastAsia="宋体" w:cs="宋体"/>
                <w:color w:val="auto"/>
                <w:sz w:val="21"/>
                <w:szCs w:val="21"/>
                <w:highlight w:val="none"/>
              </w:rPr>
              <w:t>市</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lang w:val="en-US" w:eastAsia="zh-CN"/>
              </w:rPr>
              <w:t>区</w:t>
            </w:r>
            <w:r>
              <w:rPr>
                <w:rFonts w:hint="eastAsia" w:ascii="Times New Roman" w:hAnsi="Times New Roman" w:eastAsia="宋体" w:cs="宋体"/>
                <w:color w:val="auto"/>
                <w:sz w:val="21"/>
                <w:szCs w:val="21"/>
                <w:highlight w:val="none"/>
              </w:rPr>
              <w:t>承载网之间</w:t>
            </w:r>
          </w:p>
        </w:tc>
        <w:tc>
          <w:tcPr>
            <w:tcW w:w="3707" w:type="dxa"/>
            <w:shd w:val="clear" w:color="auto" w:fill="auto"/>
            <w:tcMar>
              <w:top w:w="0" w:type="dxa"/>
              <w:left w:w="108" w:type="dxa"/>
              <w:bottom w:w="0" w:type="dxa"/>
              <w:right w:w="108" w:type="dxa"/>
            </w:tcMar>
          </w:tcPr>
          <w:p w14:paraId="0D32E6A3">
            <w:pPr>
              <w:keepNext w:val="0"/>
              <w:keepLines w:val="0"/>
              <w:pageBreakBefore w:val="0"/>
              <w:widowControl w:val="0"/>
              <w:kinsoku/>
              <w:wordWrap/>
              <w:overflowPunct/>
              <w:topLinePunct w:val="0"/>
              <w:autoSpaceDE w:val="0"/>
              <w:autoSpaceDN w:val="0"/>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N×1Gbps</w:t>
            </w:r>
          </w:p>
        </w:tc>
      </w:tr>
    </w:tbl>
    <w:p w14:paraId="0058E09D">
      <w:pPr>
        <w:pStyle w:val="4"/>
        <w:rPr>
          <w:rFonts w:ascii="Times New Roman" w:hAnsi="Times New Roman"/>
          <w:color w:val="auto"/>
          <w:highlight w:val="none"/>
        </w:rPr>
      </w:pPr>
      <w:bookmarkStart w:id="91" w:name="_Toc8398"/>
      <w:bookmarkStart w:id="92" w:name="_Toc8118"/>
      <w:bookmarkStart w:id="93" w:name="_Toc5787"/>
      <w:r>
        <w:rPr>
          <w:rFonts w:hint="eastAsia" w:ascii="Times New Roman" w:hAnsi="Times New Roman"/>
          <w:color w:val="auto"/>
          <w:highlight w:val="none"/>
        </w:rPr>
        <w:t>业务网络管理系统承载网要求</w:t>
      </w:r>
      <w:bookmarkEnd w:id="91"/>
      <w:bookmarkEnd w:id="92"/>
      <w:bookmarkEnd w:id="93"/>
    </w:p>
    <w:p w14:paraId="6BF38168">
      <w:pPr>
        <w:keepNext w:val="0"/>
        <w:keepLines w:val="0"/>
        <w:pageBreakBefore w:val="0"/>
        <w:widowControl w:val="0"/>
        <w:numPr>
          <w:ilvl w:val="0"/>
          <w:numId w:val="10"/>
        </w:numPr>
        <w:tabs>
          <w:tab w:val="left" w:pos="709"/>
        </w:tabs>
        <w:kinsoku/>
        <w:wordWrap/>
        <w:overflowPunct/>
        <w:topLinePunct w:val="0"/>
        <w:autoSpaceDE w:val="0"/>
        <w:autoSpaceDN w:val="0"/>
        <w:bidi w:val="0"/>
        <w:adjustRightInd/>
        <w:snapToGrid/>
        <w:spacing w:line="560" w:lineRule="exact"/>
        <w:ind w:left="0"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汇聚路由器</w:t>
      </w:r>
      <w:r>
        <w:rPr>
          <w:rFonts w:hint="eastAsia" w:ascii="Times New Roman" w:hAnsi="Times New Roman" w:eastAsia="仿宋_GB2312"/>
          <w:color w:val="auto"/>
          <w:highlight w:val="none"/>
          <w:lang w:val="en-US" w:eastAsia="zh-CN"/>
        </w:rPr>
        <w:t>与接入路由器的</w:t>
      </w:r>
      <w:r>
        <w:rPr>
          <w:rFonts w:hint="eastAsia" w:ascii="Times New Roman" w:hAnsi="Times New Roman" w:eastAsia="仿宋_GB2312"/>
          <w:color w:val="auto"/>
          <w:highlight w:val="none"/>
        </w:rPr>
        <w:t>的关键器件</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包括</w:t>
      </w:r>
      <w:r>
        <w:rPr>
          <w:rFonts w:hint="eastAsia" w:ascii="Times New Roman" w:hAnsi="Times New Roman" w:eastAsia="仿宋_GB2312"/>
          <w:color w:val="auto"/>
          <w:highlight w:val="none"/>
        </w:rPr>
        <w:t>主控板</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交换板</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电源等</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应冗余部署，实现设备级冗余保护。</w:t>
      </w:r>
    </w:p>
    <w:p w14:paraId="1F1838A3">
      <w:pPr>
        <w:keepNext w:val="0"/>
        <w:keepLines w:val="0"/>
        <w:pageBreakBefore w:val="0"/>
        <w:widowControl w:val="0"/>
        <w:numPr>
          <w:ilvl w:val="0"/>
          <w:numId w:val="10"/>
        </w:numPr>
        <w:tabs>
          <w:tab w:val="left" w:pos="709"/>
        </w:tabs>
        <w:kinsoku/>
        <w:wordWrap/>
        <w:overflowPunct/>
        <w:topLinePunct w:val="0"/>
        <w:autoSpaceDE w:val="0"/>
        <w:autoSpaceDN w:val="0"/>
        <w:bidi w:val="0"/>
        <w:adjustRightInd/>
        <w:snapToGrid/>
        <w:spacing w:line="560" w:lineRule="exact"/>
        <w:ind w:left="0"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应由各区政务外网核心层的光传输环网设备与</w:t>
      </w:r>
      <w:r>
        <w:rPr>
          <w:rFonts w:hint="eastAsia" w:ascii="Times New Roman" w:hAnsi="Times New Roman" w:eastAsia="仿宋_GB2312"/>
          <w:color w:val="auto"/>
          <w:highlight w:val="none"/>
          <w:lang w:val="en-US" w:eastAsia="zh-CN"/>
        </w:rPr>
        <w:t>就</w:t>
      </w:r>
      <w:r>
        <w:rPr>
          <w:rFonts w:hint="eastAsia" w:ascii="Times New Roman" w:hAnsi="Times New Roman" w:eastAsia="仿宋_GB2312"/>
          <w:color w:val="auto"/>
          <w:highlight w:val="none"/>
        </w:rPr>
        <w:t>近的市级政务外网光传输环网设备互联，形成管理系统承载网的市、区互通</w:t>
      </w:r>
      <w:r>
        <w:rPr>
          <w:rFonts w:hint="eastAsia" w:ascii="Times New Roman" w:hAnsi="Times New Roman" w:eastAsia="仿宋_GB2312"/>
          <w:color w:val="auto"/>
          <w:highlight w:val="none"/>
          <w:lang w:val="en-US" w:eastAsia="zh-CN"/>
        </w:rPr>
        <w:t>通道</w:t>
      </w:r>
      <w:r>
        <w:rPr>
          <w:rFonts w:hint="eastAsia" w:ascii="Times New Roman" w:hAnsi="Times New Roman" w:eastAsia="仿宋_GB2312"/>
          <w:color w:val="auto"/>
          <w:highlight w:val="none"/>
        </w:rPr>
        <w:t>。</w:t>
      </w:r>
    </w:p>
    <w:p w14:paraId="3857BCC8">
      <w:pPr>
        <w:keepNext w:val="0"/>
        <w:keepLines w:val="0"/>
        <w:pageBreakBefore w:val="0"/>
        <w:widowControl w:val="0"/>
        <w:numPr>
          <w:ilvl w:val="0"/>
          <w:numId w:val="10"/>
        </w:numPr>
        <w:tabs>
          <w:tab w:val="left" w:pos="709"/>
        </w:tabs>
        <w:kinsoku/>
        <w:wordWrap/>
        <w:overflowPunct/>
        <w:topLinePunct w:val="0"/>
        <w:autoSpaceDE w:val="0"/>
        <w:autoSpaceDN w:val="0"/>
        <w:bidi w:val="0"/>
        <w:adjustRightInd/>
        <w:snapToGrid/>
        <w:spacing w:line="560" w:lineRule="exact"/>
        <w:ind w:left="0"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应支持IPv4/IPv6双栈</w:t>
      </w:r>
      <w:r>
        <w:rPr>
          <w:rFonts w:hint="eastAsia" w:ascii="Times New Roman" w:hAnsi="Times New Roman" w:eastAsia="仿宋_GB2312"/>
          <w:color w:val="auto"/>
          <w:highlight w:val="none"/>
          <w:lang w:val="en-US" w:eastAsia="zh-CN"/>
        </w:rPr>
        <w:t>协议</w:t>
      </w:r>
      <w:r>
        <w:rPr>
          <w:rFonts w:hint="eastAsia" w:ascii="Times New Roman" w:hAnsi="Times New Roman" w:eastAsia="仿宋_GB2312"/>
          <w:color w:val="auto"/>
          <w:highlight w:val="none"/>
        </w:rPr>
        <w:t>，并</w:t>
      </w:r>
      <w:r>
        <w:rPr>
          <w:rFonts w:hint="eastAsia" w:ascii="Times New Roman" w:hAnsi="Times New Roman" w:eastAsia="仿宋_GB2312"/>
          <w:color w:val="auto"/>
          <w:highlight w:val="none"/>
          <w:lang w:val="en-US" w:eastAsia="zh-CN"/>
        </w:rPr>
        <w:t>支持</w:t>
      </w:r>
      <w:r>
        <w:rPr>
          <w:rFonts w:hint="eastAsia" w:ascii="Times New Roman" w:hAnsi="Times New Roman" w:eastAsia="仿宋_GB2312"/>
          <w:color w:val="auto"/>
          <w:highlight w:val="none"/>
        </w:rPr>
        <w:t>通过SRv6隧道实现端到端</w:t>
      </w:r>
      <w:r>
        <w:rPr>
          <w:rFonts w:hint="eastAsia" w:ascii="Times New Roman" w:hAnsi="Times New Roman" w:eastAsia="仿宋_GB2312"/>
          <w:color w:val="auto"/>
          <w:highlight w:val="none"/>
          <w:lang w:val="en-US" w:eastAsia="zh-CN"/>
        </w:rPr>
        <w:t>业务</w:t>
      </w:r>
      <w:r>
        <w:rPr>
          <w:rFonts w:hint="eastAsia" w:ascii="Times New Roman" w:hAnsi="Times New Roman" w:eastAsia="仿宋_GB2312"/>
          <w:color w:val="auto"/>
          <w:highlight w:val="none"/>
        </w:rPr>
        <w:t>直达。</w:t>
      </w:r>
    </w:p>
    <w:p w14:paraId="7F79A06B">
      <w:pPr>
        <w:keepNext w:val="0"/>
        <w:keepLines w:val="0"/>
        <w:pageBreakBefore w:val="0"/>
        <w:widowControl w:val="0"/>
        <w:numPr>
          <w:ilvl w:val="0"/>
          <w:numId w:val="10"/>
        </w:numPr>
        <w:tabs>
          <w:tab w:val="left" w:pos="709"/>
        </w:tabs>
        <w:kinsoku/>
        <w:wordWrap/>
        <w:overflowPunct/>
        <w:topLinePunct w:val="0"/>
        <w:autoSpaceDE w:val="0"/>
        <w:autoSpaceDN w:val="0"/>
        <w:bidi w:val="0"/>
        <w:adjustRightInd/>
        <w:snapToGrid/>
        <w:spacing w:line="560" w:lineRule="exact"/>
        <w:ind w:left="0"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应支持智能</w:t>
      </w:r>
      <w:r>
        <w:rPr>
          <w:rFonts w:hint="eastAsia" w:ascii="Times New Roman" w:hAnsi="Times New Roman" w:eastAsia="仿宋_GB2312"/>
          <w:color w:val="auto"/>
          <w:highlight w:val="none"/>
          <w:lang w:val="en-US" w:eastAsia="zh-CN"/>
        </w:rPr>
        <w:t>运维</w:t>
      </w:r>
      <w:r>
        <w:rPr>
          <w:rFonts w:hint="eastAsia" w:ascii="Times New Roman" w:hAnsi="Times New Roman" w:eastAsia="仿宋_GB2312"/>
          <w:color w:val="auto"/>
          <w:highlight w:val="none"/>
        </w:rPr>
        <w:t>检测技术,实现网络智能</w:t>
      </w:r>
      <w:r>
        <w:rPr>
          <w:rFonts w:hint="eastAsia" w:ascii="Times New Roman" w:hAnsi="Times New Roman" w:eastAsia="仿宋_GB2312"/>
          <w:color w:val="auto"/>
          <w:highlight w:val="none"/>
          <w:lang w:val="en-US" w:eastAsia="zh-CN"/>
        </w:rPr>
        <w:t>化</w:t>
      </w:r>
      <w:r>
        <w:rPr>
          <w:rFonts w:hint="eastAsia" w:ascii="Times New Roman" w:hAnsi="Times New Roman" w:eastAsia="仿宋_GB2312"/>
          <w:color w:val="auto"/>
          <w:highlight w:val="none"/>
        </w:rPr>
        <w:t>运维</w:t>
      </w:r>
      <w:r>
        <w:rPr>
          <w:rFonts w:hint="eastAsia" w:ascii="Times New Roman" w:hAnsi="Times New Roman" w:eastAsia="仿宋_GB2312"/>
          <w:color w:val="auto"/>
          <w:highlight w:val="none"/>
          <w:lang w:val="en-US" w:eastAsia="zh-CN"/>
        </w:rPr>
        <w:t>管理</w:t>
      </w:r>
      <w:r>
        <w:rPr>
          <w:rFonts w:hint="eastAsia" w:ascii="Times New Roman" w:hAnsi="Times New Roman" w:eastAsia="仿宋_GB2312"/>
          <w:color w:val="auto"/>
          <w:highlight w:val="none"/>
        </w:rPr>
        <w:t>。</w:t>
      </w:r>
    </w:p>
    <w:p w14:paraId="5F2DB1AE">
      <w:pPr>
        <w:keepNext w:val="0"/>
        <w:keepLines w:val="0"/>
        <w:pageBreakBefore w:val="0"/>
        <w:widowControl w:val="0"/>
        <w:numPr>
          <w:ilvl w:val="0"/>
          <w:numId w:val="10"/>
        </w:numPr>
        <w:tabs>
          <w:tab w:val="left" w:pos="709"/>
        </w:tabs>
        <w:kinsoku/>
        <w:wordWrap/>
        <w:overflowPunct/>
        <w:topLinePunct w:val="0"/>
        <w:autoSpaceDE w:val="0"/>
        <w:autoSpaceDN w:val="0"/>
        <w:bidi w:val="0"/>
        <w:adjustRightInd/>
        <w:snapToGrid/>
        <w:spacing w:line="560" w:lineRule="exact"/>
        <w:ind w:left="0"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应在部署独立的SDN</w:t>
      </w:r>
      <w:r>
        <w:rPr>
          <w:rFonts w:hint="eastAsia" w:ascii="Times New Roman" w:hAnsi="Times New Roman" w:eastAsia="仿宋_GB2312"/>
          <w:color w:val="auto"/>
          <w:highlight w:val="none"/>
          <w:lang w:val="en-US" w:eastAsia="zh-CN"/>
        </w:rPr>
        <w:t>控制器</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实现</w:t>
      </w:r>
      <w:r>
        <w:rPr>
          <w:rFonts w:hint="eastAsia" w:ascii="Times New Roman" w:hAnsi="Times New Roman" w:eastAsia="仿宋_GB2312"/>
          <w:color w:val="auto"/>
          <w:highlight w:val="none"/>
        </w:rPr>
        <w:t>汇聚层</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接入层路由设备的统一管理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网</w:t>
      </w:r>
      <w:r>
        <w:rPr>
          <w:rFonts w:hint="eastAsia" w:ascii="Times New Roman" w:hAnsi="Times New Roman" w:eastAsia="仿宋_GB2312"/>
          <w:color w:val="auto"/>
          <w:highlight w:val="none"/>
        </w:rPr>
        <w:t>络策略灵活配置</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各类管理业务的高效调度。</w:t>
      </w:r>
    </w:p>
    <w:p w14:paraId="5425A5A6">
      <w:pPr>
        <w:keepNext w:val="0"/>
        <w:keepLines w:val="0"/>
        <w:pageBreakBefore w:val="0"/>
        <w:widowControl w:val="0"/>
        <w:numPr>
          <w:ilvl w:val="0"/>
          <w:numId w:val="10"/>
        </w:numPr>
        <w:tabs>
          <w:tab w:val="left" w:pos="709"/>
        </w:tabs>
        <w:kinsoku/>
        <w:wordWrap/>
        <w:overflowPunct/>
        <w:topLinePunct w:val="0"/>
        <w:autoSpaceDE w:val="0"/>
        <w:autoSpaceDN w:val="0"/>
        <w:bidi w:val="0"/>
        <w:adjustRightInd/>
        <w:snapToGrid/>
        <w:spacing w:line="560" w:lineRule="exact"/>
        <w:ind w:left="0"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应具备为数据传输提供</w:t>
      </w:r>
      <w:r>
        <w:rPr>
          <w:rFonts w:hint="eastAsia" w:ascii="Times New Roman" w:hAnsi="Times New Roman" w:eastAsia="仿宋_GB2312"/>
          <w:color w:val="auto"/>
          <w:highlight w:val="none"/>
          <w:lang w:val="en-US" w:eastAsia="zh-CN"/>
        </w:rPr>
        <w:t>可扩展的</w:t>
      </w:r>
      <w:r>
        <w:rPr>
          <w:rFonts w:hint="eastAsia" w:ascii="Times New Roman" w:hAnsi="Times New Roman" w:eastAsia="仿宋_GB2312"/>
          <w:color w:val="auto"/>
          <w:highlight w:val="none"/>
        </w:rPr>
        <w:t>有序</w:t>
      </w:r>
      <w:r>
        <w:rPr>
          <w:rFonts w:hint="eastAsia" w:ascii="Times New Roman" w:hAnsi="Times New Roman" w:eastAsia="仿宋_GB2312"/>
          <w:color w:val="auto"/>
          <w:highlight w:val="none"/>
          <w:lang w:val="en-US" w:eastAsia="zh-CN"/>
        </w:rPr>
        <w:t>承载</w:t>
      </w:r>
      <w:r>
        <w:rPr>
          <w:rFonts w:hint="eastAsia" w:ascii="Times New Roman" w:hAnsi="Times New Roman" w:eastAsia="仿宋_GB2312"/>
          <w:color w:val="auto"/>
          <w:highlight w:val="none"/>
        </w:rPr>
        <w:t>支撑，逐步建立网络主备设备</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链路的冗余保护机制，确保网络具备面向未来的带宽升级能力和业务</w:t>
      </w:r>
      <w:r>
        <w:rPr>
          <w:rFonts w:hint="eastAsia" w:ascii="Times New Roman" w:hAnsi="Times New Roman" w:eastAsia="仿宋_GB2312"/>
          <w:color w:val="auto"/>
          <w:highlight w:val="none"/>
          <w:lang w:val="en-US" w:eastAsia="zh-CN"/>
        </w:rPr>
        <w:t>灵活</w:t>
      </w:r>
      <w:r>
        <w:rPr>
          <w:rFonts w:hint="eastAsia" w:ascii="Times New Roman" w:hAnsi="Times New Roman" w:eastAsia="仿宋_GB2312"/>
          <w:color w:val="auto"/>
          <w:highlight w:val="none"/>
        </w:rPr>
        <w:t>调度管理能力。</w:t>
      </w:r>
    </w:p>
    <w:p w14:paraId="6B922E91">
      <w:pPr>
        <w:keepNext w:val="0"/>
        <w:keepLines w:val="0"/>
        <w:pageBreakBefore w:val="0"/>
        <w:widowControl w:val="0"/>
        <w:numPr>
          <w:ilvl w:val="0"/>
          <w:numId w:val="10"/>
        </w:numPr>
        <w:tabs>
          <w:tab w:val="left" w:pos="709"/>
        </w:tabs>
        <w:kinsoku/>
        <w:wordWrap/>
        <w:overflowPunct/>
        <w:topLinePunct w:val="0"/>
        <w:autoSpaceDE w:val="0"/>
        <w:autoSpaceDN w:val="0"/>
        <w:bidi w:val="0"/>
        <w:adjustRightInd/>
        <w:snapToGrid/>
        <w:spacing w:line="560" w:lineRule="exact"/>
        <w:ind w:left="0"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承载网汇聚与接入</w:t>
      </w:r>
      <w:r>
        <w:rPr>
          <w:rFonts w:hint="eastAsia" w:ascii="Times New Roman" w:hAnsi="Times New Roman" w:eastAsia="仿宋_GB2312"/>
          <w:color w:val="auto"/>
          <w:highlight w:val="none"/>
        </w:rPr>
        <w:t>设备功能要求：</w:t>
      </w:r>
    </w:p>
    <w:tbl>
      <w:tblPr>
        <w:tblStyle w:val="36"/>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3402"/>
        <w:gridCol w:w="3648"/>
      </w:tblGrid>
      <w:tr w14:paraId="7F507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op w:val="single" w:color="auto" w:sz="4" w:space="0"/>
              <w:left w:val="single" w:color="auto" w:sz="4" w:space="0"/>
              <w:bottom w:val="single" w:color="auto" w:sz="4" w:space="0"/>
              <w:right w:val="single" w:color="auto" w:sz="4" w:space="0"/>
            </w:tcBorders>
            <w:shd w:val="clear" w:color="auto" w:fill="auto"/>
          </w:tcPr>
          <w:p w14:paraId="00B664F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特性</w:t>
            </w:r>
          </w:p>
        </w:tc>
        <w:tc>
          <w:tcPr>
            <w:tcW w:w="3402" w:type="dxa"/>
            <w:tcBorders>
              <w:top w:val="single" w:color="auto" w:sz="4" w:space="0"/>
              <w:left w:val="single" w:color="auto" w:sz="4" w:space="0"/>
              <w:bottom w:val="single" w:color="auto" w:sz="4" w:space="0"/>
              <w:right w:val="single" w:color="auto" w:sz="4" w:space="0"/>
            </w:tcBorders>
            <w:shd w:val="clear" w:color="auto" w:fill="auto"/>
          </w:tcPr>
          <w:p w14:paraId="53C80F1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汇聚路由器</w:t>
            </w:r>
          </w:p>
        </w:tc>
        <w:tc>
          <w:tcPr>
            <w:tcW w:w="3648" w:type="dxa"/>
            <w:tcBorders>
              <w:top w:val="single" w:color="auto" w:sz="4" w:space="0"/>
              <w:left w:val="single" w:color="auto" w:sz="4" w:space="0"/>
              <w:bottom w:val="single" w:color="auto" w:sz="4" w:space="0"/>
              <w:right w:val="single" w:color="auto" w:sz="4" w:space="0"/>
            </w:tcBorders>
            <w:shd w:val="clear" w:color="auto" w:fill="auto"/>
          </w:tcPr>
          <w:p w14:paraId="2EFFE15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接入路由器</w:t>
            </w:r>
          </w:p>
        </w:tc>
      </w:tr>
      <w:tr w14:paraId="0812C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65A6BEF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接口类型</w:t>
            </w:r>
          </w:p>
        </w:tc>
        <w:tc>
          <w:tcPr>
            <w:tcW w:w="3402" w:type="dxa"/>
            <w:tcBorders>
              <w:top w:val="single" w:color="auto" w:sz="4" w:space="0"/>
              <w:left w:val="single" w:color="auto" w:sz="4" w:space="0"/>
              <w:bottom w:val="single" w:color="auto" w:sz="4" w:space="0"/>
              <w:right w:val="single" w:color="auto" w:sz="4" w:space="0"/>
            </w:tcBorders>
          </w:tcPr>
          <w:p w14:paraId="3545D14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100GE/40GE/10GE/GE</w:t>
            </w:r>
          </w:p>
        </w:tc>
        <w:tc>
          <w:tcPr>
            <w:tcW w:w="3648" w:type="dxa"/>
            <w:tcBorders>
              <w:top w:val="single" w:color="auto" w:sz="4" w:space="0"/>
              <w:left w:val="single" w:color="auto" w:sz="4" w:space="0"/>
              <w:bottom w:val="single" w:color="auto" w:sz="4" w:space="0"/>
              <w:right w:val="single" w:color="auto" w:sz="4" w:space="0"/>
            </w:tcBorders>
          </w:tcPr>
          <w:p w14:paraId="21B0D45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lang w:val="da-DK"/>
              </w:rPr>
            </w:pPr>
            <w:r>
              <w:rPr>
                <w:rFonts w:hint="eastAsia" w:ascii="Times New Roman" w:hAnsi="Times New Roman" w:eastAsia="宋体" w:cs="宋体"/>
                <w:color w:val="auto"/>
                <w:sz w:val="21"/>
                <w:szCs w:val="21"/>
                <w:highlight w:val="none"/>
                <w:lang w:val="da-DK"/>
              </w:rPr>
              <w:t>100GE/40GE/10GE/GE/FE</w:t>
            </w:r>
          </w:p>
        </w:tc>
      </w:tr>
      <w:tr w14:paraId="78869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57281CA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IPv4</w:t>
            </w:r>
          </w:p>
        </w:tc>
        <w:tc>
          <w:tcPr>
            <w:tcW w:w="7050" w:type="dxa"/>
            <w:gridSpan w:val="2"/>
            <w:tcBorders>
              <w:top w:val="single" w:color="auto" w:sz="4" w:space="0"/>
              <w:left w:val="single" w:color="auto" w:sz="4" w:space="0"/>
              <w:bottom w:val="single" w:color="auto" w:sz="4" w:space="0"/>
              <w:right w:val="single" w:color="auto" w:sz="4" w:space="0"/>
            </w:tcBorders>
          </w:tcPr>
          <w:p w14:paraId="113F1B8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IPv4静态路由、OSPF、IS-IS、BGP等路由协议，VxLAN、GRE等隧道技术</w:t>
            </w:r>
          </w:p>
        </w:tc>
      </w:tr>
      <w:tr w14:paraId="1A770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51BE7B0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IPv6</w:t>
            </w:r>
          </w:p>
        </w:tc>
        <w:tc>
          <w:tcPr>
            <w:tcW w:w="7050" w:type="dxa"/>
            <w:gridSpan w:val="2"/>
            <w:tcBorders>
              <w:top w:val="single" w:color="auto" w:sz="4" w:space="0"/>
              <w:left w:val="single" w:color="auto" w:sz="4" w:space="0"/>
              <w:bottom w:val="single" w:color="auto" w:sz="4" w:space="0"/>
              <w:right w:val="single" w:color="auto" w:sz="4" w:space="0"/>
            </w:tcBorders>
          </w:tcPr>
          <w:p w14:paraId="3F32D89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IPv6静态路由，BGP4+、OSPFv3、IS-ISv6等动态路由协议，IPv4 over IPv6隧道和6PE，NAT444、NAT64，静态IPv6 DNS，指定IPv6 DNS服务器，TFTP IPv6 client</w:t>
            </w:r>
          </w:p>
        </w:tc>
      </w:tr>
      <w:tr w14:paraId="48388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05A6BFF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MPLS</w:t>
            </w:r>
          </w:p>
        </w:tc>
        <w:tc>
          <w:tcPr>
            <w:tcW w:w="7050" w:type="dxa"/>
            <w:gridSpan w:val="2"/>
            <w:tcBorders>
              <w:top w:val="single" w:color="auto" w:sz="4" w:space="0"/>
              <w:left w:val="single" w:color="auto" w:sz="4" w:space="0"/>
              <w:bottom w:val="single" w:color="auto" w:sz="4" w:space="0"/>
              <w:right w:val="single" w:color="auto" w:sz="4" w:space="0"/>
            </w:tcBorders>
          </w:tcPr>
          <w:p w14:paraId="3E918CE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 xml:space="preserve">L2VPN、L3VPN、EVPN，LDP LSP、RSVP-TE等MPLS技术，宜支持SR-TE </w:t>
            </w:r>
          </w:p>
        </w:tc>
      </w:tr>
      <w:tr w14:paraId="4F4E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1F644DA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SR</w:t>
            </w:r>
          </w:p>
        </w:tc>
        <w:tc>
          <w:tcPr>
            <w:tcW w:w="7050" w:type="dxa"/>
            <w:gridSpan w:val="2"/>
            <w:tcBorders>
              <w:top w:val="single" w:color="auto" w:sz="4" w:space="0"/>
              <w:left w:val="single" w:color="auto" w:sz="4" w:space="0"/>
              <w:bottom w:val="single" w:color="auto" w:sz="4" w:space="0"/>
              <w:right w:val="single" w:color="auto" w:sz="4" w:space="0"/>
            </w:tcBorders>
          </w:tcPr>
          <w:p w14:paraId="6FF76A1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宜支持如下SR技术：单域及跨BGP域的Segment Routing技术，Segment Routing与LDP混合组网，SR policy技术，SRv6承载VPN业务，SR的TI-LFA FRR技术，BFD for SR、BFD for SRv6</w:t>
            </w:r>
          </w:p>
        </w:tc>
      </w:tr>
      <w:tr w14:paraId="2B3F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5BCF704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可靠性</w:t>
            </w:r>
          </w:p>
        </w:tc>
        <w:tc>
          <w:tcPr>
            <w:tcW w:w="7050" w:type="dxa"/>
            <w:gridSpan w:val="2"/>
            <w:tcBorders>
              <w:top w:val="single" w:color="auto" w:sz="4" w:space="0"/>
              <w:left w:val="single" w:color="auto" w:sz="4" w:space="0"/>
              <w:bottom w:val="single" w:color="auto" w:sz="4" w:space="0"/>
              <w:right w:val="single" w:color="auto" w:sz="4" w:space="0"/>
            </w:tcBorders>
          </w:tcPr>
          <w:p w14:paraId="0B4B94F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BFD故障探测技术，误码倒换，IP/IPv6/LDP/TE/VPN/VPNv6 FRR快速重路由， 端口聚合，ECMP、UCMP，LDP，VRRP，NSR，关键部件冗余备份，组件可热拔插，平滑重启（GR），不中断转发（NSF），ISSU</w:t>
            </w:r>
          </w:p>
        </w:tc>
      </w:tr>
      <w:tr w14:paraId="61DE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3BC89BF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QoS</w:t>
            </w:r>
          </w:p>
        </w:tc>
        <w:tc>
          <w:tcPr>
            <w:tcW w:w="7050" w:type="dxa"/>
            <w:gridSpan w:val="2"/>
            <w:tcBorders>
              <w:top w:val="single" w:color="auto" w:sz="4" w:space="0"/>
              <w:left w:val="single" w:color="auto" w:sz="4" w:space="0"/>
              <w:bottom w:val="single" w:color="auto" w:sz="4" w:space="0"/>
              <w:right w:val="single" w:color="auto" w:sz="4" w:space="0"/>
            </w:tcBorders>
          </w:tcPr>
          <w:p w14:paraId="6A5AC03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多级MPLS H-QoS，MPLS VPN、VLL和PWE3的QoS调度，面向TE隧道的QoS</w:t>
            </w:r>
          </w:p>
        </w:tc>
      </w:tr>
      <w:tr w14:paraId="5BD3E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03436B6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OAM</w:t>
            </w:r>
          </w:p>
        </w:tc>
        <w:tc>
          <w:tcPr>
            <w:tcW w:w="7050" w:type="dxa"/>
            <w:gridSpan w:val="2"/>
            <w:tcBorders>
              <w:top w:val="single" w:color="auto" w:sz="4" w:space="0"/>
              <w:left w:val="single" w:color="auto" w:sz="4" w:space="0"/>
              <w:bottom w:val="single" w:color="auto" w:sz="4" w:space="0"/>
              <w:right w:val="single" w:color="auto" w:sz="4" w:space="0"/>
            </w:tcBorders>
          </w:tcPr>
          <w:p w14:paraId="423C8EA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基于IP五元组筛选追踪业务流，对丢包、误码类故障进行实时检测，精准定位到故障点；支持EFM、CFM、Y.1731、MPLS-TP OAM技术</w:t>
            </w:r>
          </w:p>
        </w:tc>
      </w:tr>
      <w:tr w14:paraId="5B291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9" w:type="dxa"/>
            <w:tcBorders>
              <w:top w:val="single" w:color="auto" w:sz="4" w:space="0"/>
              <w:left w:val="single" w:color="auto" w:sz="4" w:space="0"/>
              <w:bottom w:val="single" w:color="auto" w:sz="4" w:space="0"/>
              <w:right w:val="single" w:color="auto" w:sz="4" w:space="0"/>
            </w:tcBorders>
            <w:vAlign w:val="center"/>
          </w:tcPr>
          <w:p w14:paraId="2887BBE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其它特性</w:t>
            </w:r>
          </w:p>
        </w:tc>
        <w:tc>
          <w:tcPr>
            <w:tcW w:w="7050" w:type="dxa"/>
            <w:gridSpan w:val="2"/>
            <w:tcBorders>
              <w:top w:val="single" w:color="auto" w:sz="4" w:space="0"/>
              <w:left w:val="single" w:color="auto" w:sz="4" w:space="0"/>
              <w:bottom w:val="single" w:color="auto" w:sz="4" w:space="0"/>
              <w:right w:val="single" w:color="auto" w:sz="4" w:space="0"/>
            </w:tcBorders>
          </w:tcPr>
          <w:p w14:paraId="35561D6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国密算法，BGP-LS、PCEP南向协议；基于Telemetry的大数据分析</w:t>
            </w:r>
          </w:p>
        </w:tc>
      </w:tr>
    </w:tbl>
    <w:p w14:paraId="5C53CBA1">
      <w:pPr>
        <w:numPr>
          <w:ilvl w:val="0"/>
          <w:numId w:val="10"/>
        </w:numPr>
        <w:tabs>
          <w:tab w:val="left" w:pos="709"/>
        </w:tabs>
        <w:rPr>
          <w:rFonts w:ascii="Times New Roman" w:hAnsi="Times New Roman" w:eastAsia="仿宋"/>
          <w:color w:val="auto"/>
          <w:sz w:val="28"/>
          <w:highlight w:val="none"/>
        </w:rPr>
      </w:pPr>
      <w:r>
        <w:rPr>
          <w:rFonts w:hint="eastAsia" w:ascii="Times New Roman" w:hAnsi="Times New Roman" w:eastAsia="仿宋"/>
          <w:color w:val="auto"/>
          <w:sz w:val="28"/>
          <w:highlight w:val="none"/>
        </w:rPr>
        <w:t>承载网SDN控制器功能要求：</w:t>
      </w:r>
    </w:p>
    <w:tbl>
      <w:tblPr>
        <w:tblStyle w:val="36"/>
        <w:tblW w:w="8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9"/>
        <w:gridCol w:w="7191"/>
      </w:tblGrid>
      <w:tr w14:paraId="7F0B2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309" w:type="dxa"/>
            <w:shd w:val="clear" w:color="auto" w:fill="auto"/>
          </w:tcPr>
          <w:p w14:paraId="379330F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特性</w:t>
            </w:r>
          </w:p>
        </w:tc>
        <w:tc>
          <w:tcPr>
            <w:tcW w:w="7191" w:type="dxa"/>
            <w:shd w:val="clear" w:color="auto" w:fill="auto"/>
          </w:tcPr>
          <w:p w14:paraId="705D6A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详细描述</w:t>
            </w:r>
          </w:p>
        </w:tc>
      </w:tr>
      <w:tr w14:paraId="2EED4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Align w:val="center"/>
          </w:tcPr>
          <w:p w14:paraId="6CA3628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IP/MPLS连接自动化</w:t>
            </w:r>
          </w:p>
        </w:tc>
        <w:tc>
          <w:tcPr>
            <w:tcW w:w="7191" w:type="dxa"/>
            <w:vAlign w:val="center"/>
          </w:tcPr>
          <w:p w14:paraId="2163DBB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VPN专线业务自动化发放；支持对物理设备、网络隧道、VPN等的发现</w:t>
            </w:r>
          </w:p>
        </w:tc>
      </w:tr>
      <w:tr w14:paraId="4E721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Align w:val="center"/>
          </w:tcPr>
          <w:p w14:paraId="469F6F1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资源可视</w:t>
            </w:r>
          </w:p>
        </w:tc>
        <w:tc>
          <w:tcPr>
            <w:tcW w:w="7191" w:type="dxa"/>
            <w:vAlign w:val="center"/>
          </w:tcPr>
          <w:p w14:paraId="6996B60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物理拓扑、逻辑拓扑可视；隧道拓扑可视；VPN业务拓扑可视；链路、隧道、VPN的连通性检测；网络资源、隧道路径、业务路径、及业务SLA的可视可管</w:t>
            </w:r>
          </w:p>
        </w:tc>
      </w:tr>
      <w:tr w14:paraId="21B9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09" w:type="dxa"/>
            <w:vAlign w:val="center"/>
          </w:tcPr>
          <w:p w14:paraId="32FDA97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网络优化</w:t>
            </w:r>
          </w:p>
        </w:tc>
        <w:tc>
          <w:tcPr>
            <w:tcW w:w="7191" w:type="dxa"/>
            <w:vAlign w:val="center"/>
          </w:tcPr>
          <w:p w14:paraId="7F65C8D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广域链路智能调优；MPLS隧道全局优化算路和单业务路径优化</w:t>
            </w:r>
          </w:p>
        </w:tc>
      </w:tr>
      <w:tr w14:paraId="277EF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Align w:val="center"/>
          </w:tcPr>
          <w:p w14:paraId="3DE628C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接口开放</w:t>
            </w:r>
          </w:p>
        </w:tc>
        <w:tc>
          <w:tcPr>
            <w:tcW w:w="7191" w:type="dxa"/>
            <w:vAlign w:val="center"/>
          </w:tcPr>
          <w:p w14:paraId="6C75EE1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Restful、Netconf、SNMP等接口协议；网络运维、优化、业务随需的北向API</w:t>
            </w:r>
          </w:p>
        </w:tc>
      </w:tr>
      <w:tr w14:paraId="3814C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09" w:type="dxa"/>
            <w:vAlign w:val="center"/>
          </w:tcPr>
          <w:p w14:paraId="044DA85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高可用性</w:t>
            </w:r>
          </w:p>
        </w:tc>
        <w:tc>
          <w:tcPr>
            <w:tcW w:w="7191" w:type="dxa"/>
            <w:vAlign w:val="center"/>
          </w:tcPr>
          <w:p w14:paraId="79607EA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本地保护和异地容灾部署；主备业务的数据一致性</w:t>
            </w:r>
          </w:p>
        </w:tc>
      </w:tr>
    </w:tbl>
    <w:p w14:paraId="104DBBD0">
      <w:pPr>
        <w:pStyle w:val="3"/>
        <w:rPr>
          <w:rFonts w:ascii="Times New Roman" w:hAnsi="Times New Roman"/>
          <w:color w:val="auto"/>
          <w:highlight w:val="none"/>
        </w:rPr>
      </w:pPr>
      <w:bookmarkStart w:id="94" w:name="_Toc20504"/>
      <w:bookmarkStart w:id="95" w:name="_Toc9120"/>
      <w:bookmarkStart w:id="96" w:name="_Toc24888"/>
      <w:r>
        <w:rPr>
          <w:rFonts w:hint="eastAsia" w:ascii="Times New Roman" w:hAnsi="Times New Roman"/>
          <w:color w:val="auto"/>
          <w:highlight w:val="none"/>
        </w:rPr>
        <w:t>边界安全技术要求</w:t>
      </w:r>
      <w:bookmarkEnd w:id="88"/>
      <w:bookmarkEnd w:id="89"/>
      <w:bookmarkEnd w:id="90"/>
      <w:bookmarkEnd w:id="94"/>
      <w:bookmarkEnd w:id="95"/>
      <w:bookmarkEnd w:id="96"/>
    </w:p>
    <w:p w14:paraId="6F00345E">
      <w:pPr>
        <w:pStyle w:val="4"/>
        <w:rPr>
          <w:rFonts w:ascii="Times New Roman" w:hAnsi="Times New Roman"/>
          <w:color w:val="auto"/>
          <w:highlight w:val="none"/>
        </w:rPr>
      </w:pPr>
      <w:bookmarkStart w:id="97" w:name="_Toc5335"/>
      <w:bookmarkStart w:id="98" w:name="_Toc27890"/>
      <w:bookmarkStart w:id="99" w:name="_Toc30898"/>
      <w:bookmarkStart w:id="100" w:name="_Toc5895"/>
      <w:bookmarkStart w:id="101" w:name="_Toc5134"/>
      <w:bookmarkStart w:id="102" w:name="_Toc21943"/>
      <w:r>
        <w:rPr>
          <w:rFonts w:hint="eastAsia" w:ascii="Times New Roman" w:hAnsi="Times New Roman"/>
          <w:color w:val="auto"/>
          <w:highlight w:val="none"/>
        </w:rPr>
        <w:t>边界安全整体要求</w:t>
      </w:r>
      <w:bookmarkEnd w:id="97"/>
      <w:bookmarkEnd w:id="98"/>
      <w:bookmarkEnd w:id="99"/>
      <w:bookmarkEnd w:id="100"/>
      <w:bookmarkEnd w:id="101"/>
      <w:bookmarkEnd w:id="102"/>
    </w:p>
    <w:p w14:paraId="3FA24A45">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color w:val="auto"/>
          <w:highlight w:val="none"/>
        </w:rPr>
      </w:pPr>
      <w:r>
        <w:rPr>
          <w:rFonts w:hint="eastAsia" w:ascii="Times New Roman" w:hAnsi="Times New Roman" w:eastAsia="仿宋_GB2312"/>
          <w:color w:val="auto"/>
          <w:highlight w:val="none"/>
        </w:rPr>
        <w:t>分级分域保护原则</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应根据联接网络对象及承载信息系统的安全等级，划分不同的安全区域</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边界，并</w:t>
      </w:r>
      <w:r>
        <w:rPr>
          <w:rFonts w:hint="eastAsia" w:ascii="Times New Roman" w:hAnsi="Times New Roman" w:eastAsia="仿宋_GB2312"/>
          <w:color w:val="auto"/>
          <w:highlight w:val="none"/>
          <w:lang w:val="en-US" w:eastAsia="zh-CN"/>
        </w:rPr>
        <w:t>依据</w:t>
      </w:r>
      <w:r>
        <w:rPr>
          <w:rFonts w:hint="eastAsia" w:ascii="Times New Roman" w:hAnsi="Times New Roman" w:eastAsia="仿宋_GB2312"/>
          <w:color w:val="auto"/>
          <w:highlight w:val="none"/>
        </w:rPr>
        <w:t>据等保</w:t>
      </w:r>
      <w:r>
        <w:rPr>
          <w:rFonts w:hint="eastAsia" w:ascii="Times New Roman" w:hAnsi="Times New Roman" w:eastAsia="仿宋_GB2312"/>
          <w:color w:val="auto"/>
          <w:highlight w:val="none"/>
          <w:lang w:val="en-US" w:eastAsia="zh-CN"/>
        </w:rPr>
        <w:t>三级</w:t>
      </w:r>
      <w:r>
        <w:rPr>
          <w:rFonts w:hint="eastAsia" w:ascii="Times New Roman" w:hAnsi="Times New Roman" w:eastAsia="仿宋_GB2312"/>
          <w:color w:val="auto"/>
          <w:highlight w:val="none"/>
        </w:rPr>
        <w:t>要求，实施</w:t>
      </w:r>
      <w:r>
        <w:rPr>
          <w:rFonts w:hint="eastAsia" w:ascii="Times New Roman" w:hAnsi="Times New Roman" w:eastAsia="仿宋_GB2312"/>
          <w:color w:val="auto"/>
          <w:highlight w:val="none"/>
          <w:lang w:val="en-US" w:eastAsia="zh-CN"/>
        </w:rPr>
        <w:t>相应</w:t>
      </w:r>
      <w:r>
        <w:rPr>
          <w:rFonts w:hint="eastAsia" w:ascii="Times New Roman" w:hAnsi="Times New Roman" w:eastAsia="仿宋_GB2312"/>
          <w:color w:val="auto"/>
          <w:highlight w:val="none"/>
        </w:rPr>
        <w:t>的安全保护</w:t>
      </w:r>
      <w:r>
        <w:rPr>
          <w:rFonts w:hint="eastAsia" w:ascii="Times New Roman" w:hAnsi="Times New Roman" w:eastAsia="仿宋_GB2312"/>
          <w:color w:val="auto"/>
          <w:highlight w:val="none"/>
          <w:lang w:val="en-US" w:eastAsia="zh-CN"/>
        </w:rPr>
        <w:t>措施</w:t>
      </w:r>
      <w:r>
        <w:rPr>
          <w:rFonts w:hint="eastAsia" w:ascii="Times New Roman" w:hAnsi="Times New Roman" w:eastAsia="仿宋_GB2312"/>
          <w:color w:val="auto"/>
          <w:highlight w:val="none"/>
        </w:rPr>
        <w:t>。网络设备与</w:t>
      </w:r>
      <w:r>
        <w:rPr>
          <w:rFonts w:hint="eastAsia" w:ascii="Times New Roman" w:hAnsi="Times New Roman" w:eastAsia="仿宋_GB2312"/>
          <w:color w:val="auto"/>
          <w:highlight w:val="none"/>
          <w:lang w:val="en-US" w:eastAsia="zh-CN"/>
        </w:rPr>
        <w:t>安全</w:t>
      </w:r>
      <w:r>
        <w:rPr>
          <w:rFonts w:hint="eastAsia" w:ascii="Times New Roman" w:hAnsi="Times New Roman" w:eastAsia="仿宋_GB2312"/>
          <w:color w:val="auto"/>
          <w:highlight w:val="none"/>
        </w:rPr>
        <w:t>设备应对源地址、目的地址、源端口、目的端口</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协议等</w:t>
      </w:r>
      <w:r>
        <w:rPr>
          <w:rFonts w:hint="eastAsia" w:ascii="Times New Roman" w:hAnsi="Times New Roman" w:eastAsia="仿宋_GB2312"/>
          <w:color w:val="auto"/>
          <w:highlight w:val="none"/>
          <w:lang w:val="en-US" w:eastAsia="zh-CN"/>
        </w:rPr>
        <w:t>要素</w:t>
      </w:r>
      <w:r>
        <w:rPr>
          <w:rFonts w:hint="eastAsia" w:ascii="Times New Roman" w:hAnsi="Times New Roman" w:eastAsia="仿宋_GB2312"/>
          <w:color w:val="auto"/>
          <w:highlight w:val="none"/>
        </w:rPr>
        <w:t>进行</w:t>
      </w:r>
      <w:r>
        <w:rPr>
          <w:rFonts w:hint="eastAsia" w:ascii="Times New Roman" w:hAnsi="Times New Roman" w:eastAsia="仿宋_GB2312"/>
          <w:color w:val="auto"/>
          <w:highlight w:val="none"/>
          <w:lang w:val="en-US" w:eastAsia="zh-CN"/>
        </w:rPr>
        <w:t>访问控制</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精确控制</w:t>
      </w:r>
      <w:r>
        <w:rPr>
          <w:rFonts w:hint="eastAsia" w:ascii="Times New Roman" w:hAnsi="Times New Roman" w:eastAsia="仿宋_GB2312"/>
          <w:color w:val="auto"/>
          <w:highlight w:val="none"/>
        </w:rPr>
        <w:t>数据包</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进出。</w:t>
      </w:r>
    </w:p>
    <w:p w14:paraId="43552E0C">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leftChars="0" w:firstLine="560" w:firstLineChars="200"/>
        <w:jc w:val="both"/>
        <w:textAlignment w:val="auto"/>
        <w:outlineLvl w:val="9"/>
        <w:rPr>
          <w:rFonts w:hint="eastAsia" w:ascii="Times New Roman" w:hAnsi="Times New Roman" w:eastAsia="仿宋_GB2312"/>
          <w:color w:val="auto"/>
          <w:highlight w:val="none"/>
        </w:rPr>
      </w:pPr>
      <w:r>
        <w:rPr>
          <w:rFonts w:hint="eastAsia" w:ascii="Times New Roman" w:hAnsi="Times New Roman" w:eastAsia="仿宋_GB2312"/>
          <w:color w:val="auto"/>
          <w:highlight w:val="none"/>
        </w:rPr>
        <w:t>网络边界</w:t>
      </w:r>
      <w:r>
        <w:rPr>
          <w:rFonts w:hint="eastAsia" w:ascii="Times New Roman" w:hAnsi="Times New Roman" w:eastAsia="仿宋_GB2312"/>
          <w:color w:val="auto"/>
          <w:highlight w:val="none"/>
          <w:lang w:val="en-US" w:eastAsia="zh-CN"/>
        </w:rPr>
        <w:t>安全防护</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应将</w:t>
      </w:r>
      <w:r>
        <w:rPr>
          <w:rFonts w:hint="eastAsia" w:ascii="Times New Roman" w:hAnsi="Times New Roman" w:eastAsia="仿宋_GB2312"/>
          <w:color w:val="auto"/>
          <w:highlight w:val="none"/>
          <w:lang w:val="en-US" w:eastAsia="zh-CN"/>
        </w:rPr>
        <w:t>根据业务将网络边界划分为以下安全区域：互联网接入区、国家网出口、电子政务云、各接入单位、无线接入区、公安业务专网接入区、管理区、DNS区，</w:t>
      </w:r>
      <w:r>
        <w:rPr>
          <w:rFonts w:hint="eastAsia" w:ascii="Times New Roman" w:hAnsi="Times New Roman" w:eastAsia="仿宋_GB2312"/>
          <w:color w:val="auto"/>
          <w:highlight w:val="none"/>
        </w:rPr>
        <w:t>并部署符合等保三级要求的安全设备</w:t>
      </w:r>
      <w:r>
        <w:rPr>
          <w:rFonts w:hint="eastAsia" w:ascii="Times New Roman" w:hAnsi="Times New Roman" w:eastAsia="仿宋_GB2312"/>
          <w:color w:val="auto"/>
          <w:highlight w:val="none"/>
          <w:lang w:val="en-US" w:eastAsia="zh-CN"/>
        </w:rPr>
        <w:t>进行</w:t>
      </w:r>
      <w:r>
        <w:rPr>
          <w:rFonts w:hint="eastAsia" w:ascii="Times New Roman" w:hAnsi="Times New Roman" w:eastAsia="仿宋_GB2312"/>
          <w:color w:val="auto"/>
          <w:highlight w:val="none"/>
        </w:rPr>
        <w:t>保护</w:t>
      </w:r>
      <w:r>
        <w:rPr>
          <w:rFonts w:hint="eastAsia" w:ascii="Times New Roman" w:hAnsi="Times New Roman" w:eastAsia="仿宋_GB2312"/>
          <w:color w:val="auto"/>
          <w:highlight w:val="none"/>
          <w:lang w:eastAsia="zh-CN"/>
        </w:rPr>
        <w:t>。</w:t>
      </w:r>
    </w:p>
    <w:p w14:paraId="29B22508">
      <w:pPr>
        <w:keepNext w:val="0"/>
        <w:keepLines w:val="0"/>
        <w:pageBreakBefore w:val="0"/>
        <w:widowControl w:val="0"/>
        <w:numPr>
          <w:ilvl w:val="0"/>
          <w:numId w:val="11"/>
        </w:numPr>
        <w:kinsoku/>
        <w:wordWrap/>
        <w:overflowPunct/>
        <w:topLinePunct w:val="0"/>
        <w:autoSpaceDE/>
        <w:autoSpaceDN/>
        <w:bidi w:val="0"/>
        <w:adjustRightInd/>
        <w:snapToGrid/>
        <w:spacing w:line="560" w:lineRule="exact"/>
        <w:ind w:firstLine="560" w:firstLineChars="200"/>
        <w:jc w:val="both"/>
        <w:textAlignment w:val="auto"/>
        <w:outlineLvl w:val="9"/>
        <w:rPr>
          <w:rFonts w:ascii="Times New Roman" w:hAnsi="Times New Roman"/>
          <w:color w:val="auto"/>
          <w:highlight w:val="none"/>
        </w:rPr>
      </w:pPr>
      <w:r>
        <w:rPr>
          <w:rFonts w:hint="eastAsia" w:ascii="Times New Roman" w:hAnsi="Times New Roman" w:eastAsia="仿宋_GB2312"/>
          <w:color w:val="auto"/>
          <w:highlight w:val="none"/>
        </w:rPr>
        <w:t>异构原则</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网络边界</w:t>
      </w:r>
      <w:r>
        <w:rPr>
          <w:rFonts w:hint="eastAsia" w:ascii="Times New Roman" w:hAnsi="Times New Roman" w:eastAsia="仿宋_GB2312"/>
          <w:color w:val="auto"/>
          <w:highlight w:val="none"/>
          <w:lang w:val="en-US" w:eastAsia="zh-CN"/>
        </w:rPr>
        <w:t>部署的</w:t>
      </w:r>
      <w:r>
        <w:rPr>
          <w:rFonts w:hint="eastAsia" w:ascii="Times New Roman" w:hAnsi="Times New Roman" w:eastAsia="仿宋_GB2312"/>
          <w:color w:val="auto"/>
          <w:highlight w:val="none"/>
        </w:rPr>
        <w:t>主要类型安全设备</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包括入侵防御</w:t>
      </w:r>
      <w:r>
        <w:rPr>
          <w:rFonts w:hint="eastAsia" w:ascii="Times New Roman" w:hAnsi="Times New Roman" w:eastAsia="仿宋_GB2312"/>
          <w:color w:val="auto"/>
          <w:highlight w:val="none"/>
          <w:lang w:val="en-US" w:eastAsia="zh-CN"/>
        </w:rPr>
        <w:t>系统</w:t>
      </w:r>
      <w:r>
        <w:rPr>
          <w:rFonts w:hint="eastAsia" w:ascii="Times New Roman" w:hAnsi="Times New Roman" w:eastAsia="仿宋_GB2312"/>
          <w:color w:val="auto"/>
          <w:highlight w:val="none"/>
        </w:rPr>
        <w:t>、防病毒、探针</w:t>
      </w:r>
      <w:r>
        <w:rPr>
          <w:rFonts w:hint="eastAsia" w:ascii="Times New Roman" w:hAnsi="Times New Roman" w:eastAsia="仿宋_GB2312"/>
          <w:color w:val="auto"/>
          <w:highlight w:val="none"/>
          <w:lang w:val="en-US" w:eastAsia="zh-CN"/>
        </w:rPr>
        <w:t>等</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应采用</w:t>
      </w:r>
      <w:r>
        <w:rPr>
          <w:rFonts w:hint="eastAsia" w:ascii="Times New Roman" w:hAnsi="Times New Roman" w:eastAsia="仿宋_GB2312"/>
          <w:color w:val="auto"/>
          <w:highlight w:val="none"/>
        </w:rPr>
        <w:t>异构设计，</w:t>
      </w:r>
      <w:r>
        <w:rPr>
          <w:rFonts w:hint="eastAsia" w:ascii="Times New Roman" w:hAnsi="Times New Roman" w:eastAsia="仿宋_GB2312"/>
          <w:color w:val="auto"/>
          <w:highlight w:val="none"/>
          <w:lang w:val="en-US" w:eastAsia="zh-CN"/>
        </w:rPr>
        <w:t>所选产品品牌应</w:t>
      </w:r>
      <w:r>
        <w:rPr>
          <w:rFonts w:hint="eastAsia" w:ascii="Times New Roman" w:hAnsi="Times New Roman" w:eastAsia="仿宋_GB2312"/>
          <w:color w:val="auto"/>
          <w:highlight w:val="none"/>
        </w:rPr>
        <w:t>不少于3个。</w:t>
      </w:r>
    </w:p>
    <w:p w14:paraId="7EC6C5F3">
      <w:pPr>
        <w:pStyle w:val="4"/>
        <w:jc w:val="both"/>
        <w:rPr>
          <w:rFonts w:ascii="Times New Roman" w:hAnsi="Times New Roman"/>
          <w:color w:val="auto"/>
          <w:highlight w:val="none"/>
        </w:rPr>
      </w:pPr>
      <w:bookmarkStart w:id="103" w:name="_Toc14266"/>
      <w:bookmarkStart w:id="104" w:name="_Toc6699"/>
      <w:bookmarkStart w:id="105" w:name="_Toc32678"/>
      <w:bookmarkStart w:id="106" w:name="_Toc31248"/>
      <w:bookmarkStart w:id="107" w:name="_Toc816"/>
      <w:bookmarkStart w:id="108" w:name="_Toc28354"/>
      <w:r>
        <w:rPr>
          <w:rFonts w:hint="eastAsia" w:ascii="Times New Roman" w:hAnsi="Times New Roman"/>
          <w:color w:val="auto"/>
          <w:highlight w:val="none"/>
        </w:rPr>
        <w:t>边界安全规范要求</w:t>
      </w:r>
      <w:bookmarkEnd w:id="103"/>
      <w:bookmarkEnd w:id="104"/>
      <w:bookmarkEnd w:id="105"/>
      <w:bookmarkEnd w:id="106"/>
      <w:bookmarkEnd w:id="107"/>
      <w:bookmarkEnd w:id="108"/>
    </w:p>
    <w:p w14:paraId="76DA99E2">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Chars="200" w:firstLine="0" w:firstLineChars="0"/>
        <w:jc w:val="both"/>
        <w:textAlignment w:val="auto"/>
        <w:outlineLvl w:val="9"/>
        <w:rPr>
          <w:rFonts w:hint="eastAsia"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各边界区域应具备如下功能：</w:t>
      </w:r>
    </w:p>
    <w:tbl>
      <w:tblPr>
        <w:tblStyle w:val="36"/>
        <w:tblW w:w="560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79"/>
        <w:gridCol w:w="1699"/>
        <w:gridCol w:w="1075"/>
        <w:gridCol w:w="1095"/>
        <w:gridCol w:w="1191"/>
        <w:gridCol w:w="769"/>
        <w:gridCol w:w="826"/>
        <w:gridCol w:w="769"/>
        <w:gridCol w:w="706"/>
        <w:gridCol w:w="750"/>
      </w:tblGrid>
      <w:tr w14:paraId="7903AA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19"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36A70">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序号</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BD1C2">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安全边界区</w:t>
            </w:r>
          </w:p>
        </w:tc>
        <w:tc>
          <w:tcPr>
            <w:tcW w:w="5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33489">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抗DDoS攻击</w:t>
            </w:r>
          </w:p>
        </w:tc>
        <w:tc>
          <w:tcPr>
            <w:tcW w:w="5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5EFFF0">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网络访问控制</w:t>
            </w:r>
          </w:p>
        </w:tc>
        <w:tc>
          <w:tcPr>
            <w:tcW w:w="6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00249">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入侵检测与防御</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E507E">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防病毒</w:t>
            </w:r>
          </w:p>
        </w:tc>
        <w:tc>
          <w:tcPr>
            <w:tcW w:w="4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B63E9">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APT检测</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9F72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VPN网关</w:t>
            </w:r>
          </w:p>
        </w:tc>
        <w:tc>
          <w:tcPr>
            <w:tcW w:w="3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EF214">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探针</w:t>
            </w:r>
          </w:p>
        </w:tc>
        <w:tc>
          <w:tcPr>
            <w:tcW w:w="3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6ED215">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日志审计</w:t>
            </w:r>
          </w:p>
        </w:tc>
      </w:tr>
      <w:tr w14:paraId="7620A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B530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6C5C3">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互联网接入区</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54CC6">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8ADA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7655E">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5835E">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5718">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032A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lang w:val="en-US"/>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DD2C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E68C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r>
      <w:tr w14:paraId="32472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A9155">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5584">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国家网出口</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AA78">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E7255">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0515D">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6AC58">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42AF3">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54C5A">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3F13D">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1B8E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r>
      <w:tr w14:paraId="7C2FD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6145D">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3</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ED278">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电子政务云区</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78563">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8F420">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2666">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C41F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C2C2A">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2312A">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F04BD">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75992">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r>
      <w:tr w14:paraId="24C9D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2EBD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4</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BBF09">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公安业务专网接入区</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5EB6E">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DCA5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640DD">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2E078">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AC87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C2BD9">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4D9D2">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D1A42">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r>
      <w:tr w14:paraId="7E12D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78AA">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5</w:t>
            </w:r>
          </w:p>
        </w:tc>
        <w:tc>
          <w:tcPr>
            <w:tcW w:w="8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C4FCA">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各接入单位</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0409C">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72E23">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D91B5">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5356">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C8297">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46879">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8E006">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4283">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r>
      <w:tr w14:paraId="30EE42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30EFC">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6</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18C26">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无线接入区</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D2E1D">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96D86">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97C09">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474B1">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4B0D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670F7">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7EFB">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5D41A">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r>
      <w:tr w14:paraId="184C97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7"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1CD5D">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7</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C35F9">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管理区</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8774">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AE4F2">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69BAE">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97485">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3935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360794">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9494D">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39FAE">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r>
      <w:tr w14:paraId="238320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0" w:hRule="atLeast"/>
          <w:jc w:val="center"/>
        </w:trPr>
        <w:tc>
          <w:tcPr>
            <w:tcW w:w="35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375A3">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8</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70AB7">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DNS区域</w:t>
            </w:r>
          </w:p>
        </w:tc>
        <w:tc>
          <w:tcPr>
            <w:tcW w:w="56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65E9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5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552A8">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6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F86FC">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191F3">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3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910C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c>
          <w:tcPr>
            <w:tcW w:w="40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7BC73">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2F5C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w:t>
            </w:r>
          </w:p>
        </w:tc>
        <w:tc>
          <w:tcPr>
            <w:tcW w:w="3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D5A3F">
            <w:pPr>
              <w:keepNext w:val="0"/>
              <w:keepLines w:val="0"/>
              <w:widowControl/>
              <w:suppressLineNumbers w:val="0"/>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具备</w:t>
            </w:r>
          </w:p>
        </w:tc>
      </w:tr>
    </w:tbl>
    <w:p w14:paraId="5A5A134F">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left="0" w:leftChars="0" w:firstLine="560" w:firstLineChars="200"/>
        <w:jc w:val="both"/>
        <w:textAlignment w:val="auto"/>
        <w:outlineLvl w:val="9"/>
        <w:rPr>
          <w:rFonts w:ascii="Times New Roman" w:hAnsi="Times New Roman" w:eastAsia="仿宋_GB2312"/>
          <w:color w:val="auto"/>
          <w:highlight w:val="none"/>
        </w:rPr>
      </w:pPr>
      <w:r>
        <w:rPr>
          <w:rFonts w:hint="eastAsia" w:ascii="Times New Roman" w:hAnsi="Times New Roman" w:eastAsia="仿宋_GB2312"/>
          <w:color w:val="auto"/>
          <w:highlight w:val="none"/>
        </w:rPr>
        <w:t>抗DDoS攻击</w:t>
      </w:r>
      <w:r>
        <w:rPr>
          <w:rFonts w:hint="eastAsia" w:ascii="Times New Roman" w:hAnsi="Times New Roman" w:eastAsia="仿宋_GB2312"/>
          <w:color w:val="auto"/>
          <w:highlight w:val="none"/>
          <w:lang w:val="en-US" w:eastAsia="zh-CN"/>
        </w:rPr>
        <w:t>能力</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应</w:t>
      </w:r>
      <w:r>
        <w:rPr>
          <w:rFonts w:hint="eastAsia" w:ascii="Times New Roman" w:hAnsi="Times New Roman" w:eastAsia="仿宋_GB2312"/>
          <w:color w:val="auto"/>
          <w:highlight w:val="none"/>
          <w:lang w:val="en-US" w:eastAsia="zh-CN"/>
        </w:rPr>
        <w:t>支持</w:t>
      </w:r>
      <w:r>
        <w:rPr>
          <w:rFonts w:hint="eastAsia" w:ascii="Times New Roman" w:hAnsi="Times New Roman" w:eastAsia="仿宋_GB2312"/>
          <w:color w:val="auto"/>
          <w:highlight w:val="none"/>
        </w:rPr>
        <w:t>DDoS</w:t>
      </w:r>
      <w:r>
        <w:rPr>
          <w:rFonts w:hint="eastAsia" w:ascii="Times New Roman" w:hAnsi="Times New Roman" w:eastAsia="仿宋_GB2312"/>
          <w:color w:val="auto"/>
          <w:highlight w:val="none"/>
          <w:lang w:val="en-US" w:eastAsia="zh-CN"/>
        </w:rPr>
        <w:t>攻击</w:t>
      </w:r>
      <w:r>
        <w:rPr>
          <w:rFonts w:hint="eastAsia" w:ascii="Times New Roman" w:hAnsi="Times New Roman" w:eastAsia="仿宋_GB2312"/>
          <w:color w:val="auto"/>
          <w:highlight w:val="none"/>
        </w:rPr>
        <w:t>检测</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清洗</w:t>
      </w:r>
      <w:r>
        <w:rPr>
          <w:rFonts w:hint="eastAsia" w:ascii="Times New Roman" w:hAnsi="Times New Roman" w:eastAsia="仿宋_GB2312"/>
          <w:color w:val="auto"/>
          <w:highlight w:val="none"/>
          <w:lang w:val="en-US" w:eastAsia="zh-CN"/>
        </w:rPr>
        <w:t>，有效防御包括但不限于</w:t>
      </w:r>
      <w:r>
        <w:rPr>
          <w:rFonts w:hint="eastAsia" w:ascii="Times New Roman" w:hAnsi="Times New Roman" w:eastAsia="仿宋_GB2312"/>
          <w:color w:val="auto"/>
          <w:highlight w:val="none"/>
        </w:rPr>
        <w:t>SYN Flood、ACK Flood、FIN/RST Flood</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HTTP</w:t>
      </w:r>
      <w:r>
        <w:rPr>
          <w:rFonts w:hint="eastAsia" w:ascii="Times New Roman" w:hAnsi="Times New Roman" w:eastAsia="仿宋_GB2312"/>
          <w:color w:val="auto"/>
          <w:highlight w:val="none"/>
          <w:lang w:val="en-US" w:eastAsia="zh-CN"/>
        </w:rPr>
        <w:t xml:space="preserve"> Flood</w:t>
      </w:r>
      <w:r>
        <w:rPr>
          <w:rFonts w:hint="eastAsia" w:ascii="Times New Roman" w:hAnsi="Times New Roman" w:eastAsia="仿宋_GB2312"/>
          <w:color w:val="auto"/>
          <w:highlight w:val="none"/>
        </w:rPr>
        <w:t>、HTTPS Flood</w:t>
      </w:r>
      <w:r>
        <w:rPr>
          <w:rFonts w:hint="eastAsia" w:ascii="Times New Roman" w:hAnsi="Times New Roman" w:eastAsia="仿宋_GB2312"/>
          <w:color w:val="auto"/>
          <w:highlight w:val="none"/>
          <w:lang w:val="en-US" w:eastAsia="zh-CN"/>
        </w:rPr>
        <w:t>等常见攻击类型</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并具备</w:t>
      </w:r>
      <w:r>
        <w:rPr>
          <w:rFonts w:hint="eastAsia" w:ascii="Times New Roman" w:hAnsi="Times New Roman" w:eastAsia="仿宋_GB2312"/>
          <w:color w:val="auto"/>
          <w:highlight w:val="none"/>
        </w:rPr>
        <w:t>流量自学习能</w:t>
      </w:r>
      <w:r>
        <w:rPr>
          <w:rFonts w:hint="eastAsia" w:ascii="Times New Roman" w:hAnsi="Times New Roman" w:eastAsia="仿宋_GB2312"/>
          <w:color w:val="auto"/>
          <w:highlight w:val="none"/>
          <w:lang w:val="en-US" w:eastAsia="zh-CN"/>
        </w:rPr>
        <w:t>力</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可</w:t>
      </w:r>
      <w:r>
        <w:rPr>
          <w:rFonts w:hint="eastAsia" w:ascii="Times New Roman" w:hAnsi="Times New Roman" w:eastAsia="仿宋_GB2312"/>
          <w:color w:val="auto"/>
          <w:highlight w:val="none"/>
        </w:rPr>
        <w:t>识别</w:t>
      </w:r>
      <w:r>
        <w:rPr>
          <w:rFonts w:hint="eastAsia" w:ascii="Times New Roman" w:hAnsi="Times New Roman" w:eastAsia="仿宋_GB2312"/>
          <w:color w:val="auto"/>
          <w:highlight w:val="none"/>
          <w:lang w:val="en-US" w:eastAsia="zh-CN"/>
        </w:rPr>
        <w:t>并清洗</w:t>
      </w:r>
      <w:r>
        <w:rPr>
          <w:rFonts w:hint="eastAsia" w:ascii="Times New Roman" w:hAnsi="Times New Roman" w:eastAsia="仿宋_GB2312"/>
          <w:color w:val="auto"/>
          <w:highlight w:val="none"/>
        </w:rPr>
        <w:t>超过防御阈值的攻击流量。</w:t>
      </w:r>
    </w:p>
    <w:p w14:paraId="068675D0">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网络访问控制</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应部署防火墙，</w:t>
      </w:r>
      <w:r>
        <w:rPr>
          <w:rFonts w:hint="eastAsia" w:ascii="Times New Roman" w:hAnsi="Times New Roman" w:eastAsia="仿宋_GB2312"/>
          <w:color w:val="auto"/>
          <w:highlight w:val="none"/>
          <w:lang w:val="en-US" w:eastAsia="zh-CN"/>
        </w:rPr>
        <w:t>实现</w:t>
      </w:r>
      <w:r>
        <w:rPr>
          <w:rFonts w:hint="eastAsia" w:ascii="Times New Roman" w:hAnsi="Times New Roman" w:eastAsia="仿宋_GB2312"/>
          <w:color w:val="auto"/>
          <w:highlight w:val="none"/>
        </w:rPr>
        <w:t>网络边界保护</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访问控制。防火墙应</w:t>
      </w:r>
      <w:r>
        <w:rPr>
          <w:rFonts w:hint="eastAsia" w:ascii="Times New Roman" w:hAnsi="Times New Roman" w:eastAsia="仿宋_GB2312"/>
          <w:color w:val="auto"/>
          <w:highlight w:val="none"/>
          <w:lang w:val="en-US" w:eastAsia="zh-CN"/>
        </w:rPr>
        <w:t>仅</w:t>
      </w:r>
      <w:r>
        <w:rPr>
          <w:rFonts w:hint="eastAsia" w:ascii="Times New Roman" w:hAnsi="Times New Roman" w:eastAsia="仿宋_GB2312"/>
          <w:color w:val="auto"/>
          <w:highlight w:val="none"/>
        </w:rPr>
        <w:t>开放政务外网接入服务必需的服务端口，</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对流经</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网络数据进行合法性检查。为</w:t>
      </w:r>
      <w:r>
        <w:rPr>
          <w:rFonts w:hint="eastAsia" w:ascii="Times New Roman" w:hAnsi="Times New Roman" w:eastAsia="仿宋_GB2312"/>
          <w:color w:val="auto"/>
          <w:highlight w:val="none"/>
          <w:lang w:val="en-US" w:eastAsia="zh-CN"/>
        </w:rPr>
        <w:t>保障</w:t>
      </w:r>
      <w:r>
        <w:rPr>
          <w:rFonts w:hint="eastAsia" w:ascii="Times New Roman" w:hAnsi="Times New Roman" w:eastAsia="仿宋_GB2312"/>
          <w:color w:val="auto"/>
          <w:highlight w:val="none"/>
        </w:rPr>
        <w:t>业务</w:t>
      </w:r>
      <w:r>
        <w:rPr>
          <w:rFonts w:hint="eastAsia" w:ascii="Times New Roman" w:hAnsi="Times New Roman" w:eastAsia="仿宋_GB2312"/>
          <w:color w:val="auto"/>
          <w:highlight w:val="none"/>
          <w:lang w:val="en-US" w:eastAsia="zh-CN"/>
        </w:rPr>
        <w:t>连续性</w:t>
      </w:r>
      <w:r>
        <w:rPr>
          <w:rFonts w:hint="eastAsia" w:ascii="Times New Roman" w:hAnsi="Times New Roman" w:eastAsia="仿宋_GB2312"/>
          <w:color w:val="auto"/>
          <w:highlight w:val="none"/>
        </w:rPr>
        <w:t>，防火墙需</w:t>
      </w:r>
      <w:r>
        <w:rPr>
          <w:rFonts w:hint="eastAsia" w:ascii="Times New Roman" w:hAnsi="Times New Roman" w:eastAsia="仿宋_GB2312"/>
          <w:color w:val="auto"/>
          <w:highlight w:val="none"/>
          <w:lang w:val="en-US" w:eastAsia="zh-CN"/>
        </w:rPr>
        <w:t>采用</w:t>
      </w:r>
      <w:r>
        <w:rPr>
          <w:rFonts w:hint="eastAsia" w:ascii="Times New Roman" w:hAnsi="Times New Roman" w:eastAsia="仿宋_GB2312"/>
          <w:color w:val="auto"/>
          <w:highlight w:val="none"/>
        </w:rPr>
        <w:t>双机部署，</w:t>
      </w:r>
      <w:r>
        <w:rPr>
          <w:rFonts w:hint="eastAsia" w:ascii="Times New Roman" w:hAnsi="Times New Roman" w:eastAsia="仿宋_GB2312"/>
          <w:color w:val="auto"/>
          <w:highlight w:val="none"/>
          <w:lang w:val="en-US" w:eastAsia="zh-CN"/>
        </w:rPr>
        <w:t>并支持</w:t>
      </w:r>
      <w:r>
        <w:rPr>
          <w:rFonts w:hint="eastAsia" w:ascii="Times New Roman" w:hAnsi="Times New Roman" w:eastAsia="仿宋_GB2312"/>
          <w:color w:val="auto"/>
          <w:highlight w:val="none"/>
        </w:rPr>
        <w:t>性能可扩容。</w:t>
      </w:r>
      <w:r>
        <w:rPr>
          <w:rFonts w:hint="eastAsia" w:ascii="Times New Roman" w:hAnsi="Times New Roman" w:eastAsia="仿宋_GB2312"/>
          <w:color w:val="auto"/>
          <w:highlight w:val="none"/>
          <w:lang w:val="en-US" w:eastAsia="zh-CN"/>
        </w:rPr>
        <w:t>同时，</w:t>
      </w:r>
      <w:r>
        <w:rPr>
          <w:rFonts w:hint="eastAsia" w:ascii="Times New Roman" w:hAnsi="Times New Roman" w:eastAsia="仿宋_GB2312"/>
          <w:color w:val="auto"/>
          <w:highlight w:val="none"/>
        </w:rPr>
        <w:t>防火墙</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支持IPv6协议栈</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NAT64转换技术。</w:t>
      </w:r>
    </w:p>
    <w:p w14:paraId="27DE211C">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入侵检测</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防御</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应能</w:t>
      </w:r>
      <w:r>
        <w:rPr>
          <w:rFonts w:hint="eastAsia" w:ascii="Times New Roman" w:hAnsi="Times New Roman" w:eastAsia="仿宋_GB2312"/>
          <w:color w:val="auto"/>
          <w:highlight w:val="none"/>
        </w:rPr>
        <w:t>动态检测</w:t>
      </w:r>
      <w:r>
        <w:rPr>
          <w:rFonts w:hint="eastAsia" w:ascii="Times New Roman" w:hAnsi="Times New Roman" w:eastAsia="仿宋_GB2312"/>
          <w:color w:val="auto"/>
          <w:highlight w:val="none"/>
          <w:lang w:val="en-US" w:eastAsia="zh-CN"/>
        </w:rPr>
        <w:t>流经</w:t>
      </w:r>
      <w:r>
        <w:rPr>
          <w:rFonts w:hint="eastAsia" w:ascii="Times New Roman" w:hAnsi="Times New Roman" w:eastAsia="仿宋_GB2312"/>
          <w:color w:val="auto"/>
          <w:highlight w:val="none"/>
        </w:rPr>
        <w:t>网络</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所有数据包</w:t>
      </w:r>
      <w:r>
        <w:rPr>
          <w:rFonts w:hint="eastAsia" w:ascii="Times New Roman" w:hAnsi="Times New Roman" w:eastAsia="仿宋_GB2312"/>
          <w:color w:val="auto"/>
          <w:highlight w:val="none"/>
          <w:lang w:val="en-US" w:eastAsia="zh-CN"/>
        </w:rPr>
        <w:t>进行实时深度检测</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系统须支持</w:t>
      </w:r>
      <w:r>
        <w:rPr>
          <w:rFonts w:hint="eastAsia" w:ascii="Times New Roman" w:hAnsi="Times New Roman" w:eastAsia="仿宋_GB2312"/>
          <w:color w:val="auto"/>
          <w:highlight w:val="none"/>
        </w:rPr>
        <w:t>特征库每周更新</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并</w:t>
      </w:r>
      <w:r>
        <w:rPr>
          <w:rFonts w:hint="eastAsia" w:ascii="Times New Roman" w:hAnsi="Times New Roman" w:eastAsia="仿宋_GB2312"/>
          <w:color w:val="auto"/>
          <w:highlight w:val="none"/>
          <w:lang w:val="en-US" w:eastAsia="zh-CN"/>
        </w:rPr>
        <w:t>具备</w:t>
      </w:r>
      <w:r>
        <w:rPr>
          <w:rFonts w:hint="eastAsia" w:ascii="Times New Roman" w:hAnsi="Times New Roman" w:eastAsia="仿宋_GB2312"/>
          <w:color w:val="auto"/>
          <w:highlight w:val="none"/>
        </w:rPr>
        <w:t>实时检测</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分析</w:t>
      </w:r>
      <w:r>
        <w:rPr>
          <w:rFonts w:hint="eastAsia" w:ascii="Times New Roman" w:hAnsi="Times New Roman" w:eastAsia="仿宋_GB2312"/>
          <w:color w:val="auto"/>
          <w:highlight w:val="none"/>
          <w:lang w:val="en-US" w:eastAsia="zh-CN"/>
        </w:rPr>
        <w:t>能力</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精准识别</w:t>
      </w:r>
      <w:r>
        <w:rPr>
          <w:rFonts w:hint="eastAsia" w:ascii="Times New Roman" w:hAnsi="Times New Roman" w:eastAsia="仿宋_GB2312"/>
          <w:color w:val="auto"/>
          <w:highlight w:val="none"/>
        </w:rPr>
        <w:t>漏洞</w:t>
      </w:r>
      <w:r>
        <w:rPr>
          <w:rFonts w:hint="eastAsia" w:ascii="Times New Roman" w:hAnsi="Times New Roman" w:eastAsia="仿宋_GB2312"/>
          <w:color w:val="auto"/>
          <w:highlight w:val="none"/>
          <w:lang w:val="en-US" w:eastAsia="zh-CN"/>
        </w:rPr>
        <w:t>利用</w:t>
      </w:r>
      <w:r>
        <w:rPr>
          <w:rFonts w:hint="eastAsia" w:ascii="Times New Roman" w:hAnsi="Times New Roman" w:eastAsia="仿宋_GB2312"/>
          <w:color w:val="auto"/>
          <w:highlight w:val="none"/>
        </w:rPr>
        <w:t>、蠕虫、木马等非法</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异常行为</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同时应具备自动</w:t>
      </w:r>
      <w:r>
        <w:rPr>
          <w:rFonts w:hint="eastAsia" w:ascii="Times New Roman" w:hAnsi="Times New Roman" w:eastAsia="仿宋_GB2312"/>
          <w:color w:val="auto"/>
          <w:highlight w:val="none"/>
        </w:rPr>
        <w:t>告警</w:t>
      </w:r>
      <w:r>
        <w:rPr>
          <w:rFonts w:hint="eastAsia" w:ascii="Times New Roman" w:hAnsi="Times New Roman" w:eastAsia="仿宋_GB2312"/>
          <w:color w:val="auto"/>
          <w:highlight w:val="none"/>
          <w:lang w:val="en-US" w:eastAsia="zh-CN"/>
        </w:rPr>
        <w:t>与攻击</w:t>
      </w:r>
      <w:r>
        <w:rPr>
          <w:rFonts w:hint="eastAsia" w:ascii="Times New Roman" w:hAnsi="Times New Roman" w:eastAsia="仿宋_GB2312"/>
          <w:color w:val="auto"/>
          <w:highlight w:val="none"/>
        </w:rPr>
        <w:t>阻断等功能。</w:t>
      </w:r>
    </w:p>
    <w:p w14:paraId="2D941C2A">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防病毒</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须具备防病毒功能</w:t>
      </w:r>
      <w:r>
        <w:rPr>
          <w:rFonts w:hint="eastAsia" w:ascii="Times New Roman" w:hAnsi="Times New Roman" w:eastAsia="仿宋_GB2312"/>
          <w:color w:val="auto"/>
          <w:highlight w:val="none"/>
        </w:rPr>
        <w:t>，每周更新病毒库，</w:t>
      </w:r>
      <w:r>
        <w:rPr>
          <w:rFonts w:hint="eastAsia" w:ascii="Times New Roman" w:hAnsi="Times New Roman" w:eastAsia="仿宋_GB2312"/>
          <w:color w:val="auto"/>
          <w:highlight w:val="none"/>
          <w:lang w:val="en-US" w:eastAsia="zh-CN"/>
        </w:rPr>
        <w:t>实时</w:t>
      </w:r>
      <w:r>
        <w:rPr>
          <w:rFonts w:hint="eastAsia" w:ascii="Times New Roman" w:hAnsi="Times New Roman" w:eastAsia="仿宋_GB2312"/>
          <w:color w:val="auto"/>
          <w:highlight w:val="none"/>
        </w:rPr>
        <w:t>阻</w:t>
      </w:r>
      <w:r>
        <w:rPr>
          <w:rFonts w:hint="eastAsia" w:ascii="Times New Roman" w:hAnsi="Times New Roman" w:eastAsia="仿宋_GB2312"/>
          <w:color w:val="auto"/>
          <w:highlight w:val="none"/>
          <w:lang w:val="en-US" w:eastAsia="zh-CN"/>
        </w:rPr>
        <w:t>断</w:t>
      </w:r>
      <w:r>
        <w:rPr>
          <w:rFonts w:hint="eastAsia" w:ascii="Times New Roman" w:hAnsi="Times New Roman" w:eastAsia="仿宋_GB2312"/>
          <w:color w:val="auto"/>
          <w:highlight w:val="none"/>
        </w:rPr>
        <w:t>病毒传播，</w:t>
      </w:r>
      <w:r>
        <w:rPr>
          <w:rFonts w:hint="eastAsia" w:ascii="Times New Roman" w:hAnsi="Times New Roman" w:eastAsia="仿宋_GB2312"/>
          <w:color w:val="auto"/>
          <w:highlight w:val="none"/>
          <w:lang w:val="en-US" w:eastAsia="zh-CN"/>
        </w:rPr>
        <w:t>并对检测到的病毒执行</w:t>
      </w:r>
      <w:r>
        <w:rPr>
          <w:rFonts w:hint="eastAsia" w:ascii="Times New Roman" w:hAnsi="Times New Roman" w:eastAsia="仿宋_GB2312"/>
          <w:color w:val="auto"/>
          <w:highlight w:val="none"/>
        </w:rPr>
        <w:t>查杀</w:t>
      </w:r>
      <w:r>
        <w:rPr>
          <w:rFonts w:hint="eastAsia" w:ascii="Times New Roman" w:hAnsi="Times New Roman" w:eastAsia="仿宋_GB2312"/>
          <w:color w:val="auto"/>
          <w:highlight w:val="none"/>
          <w:lang w:val="en-US" w:eastAsia="zh-CN"/>
        </w:rPr>
        <w:t>处置；该功能</w:t>
      </w:r>
      <w:r>
        <w:rPr>
          <w:rFonts w:hint="eastAsia" w:ascii="Times New Roman" w:hAnsi="Times New Roman" w:eastAsia="仿宋_GB2312"/>
          <w:color w:val="auto"/>
          <w:highlight w:val="none"/>
        </w:rPr>
        <w:t>可以集成</w:t>
      </w:r>
      <w:r>
        <w:rPr>
          <w:rFonts w:hint="eastAsia" w:ascii="Times New Roman" w:hAnsi="Times New Roman" w:eastAsia="仿宋_GB2312"/>
          <w:color w:val="auto"/>
          <w:highlight w:val="none"/>
          <w:lang w:val="en-US" w:eastAsia="zh-CN"/>
        </w:rPr>
        <w:t>于</w:t>
      </w:r>
      <w:r>
        <w:rPr>
          <w:rFonts w:hint="eastAsia" w:ascii="Times New Roman" w:hAnsi="Times New Roman" w:eastAsia="仿宋_GB2312"/>
          <w:color w:val="auto"/>
          <w:highlight w:val="none"/>
        </w:rPr>
        <w:t>防火墙内</w:t>
      </w:r>
      <w:r>
        <w:rPr>
          <w:rFonts w:hint="eastAsia" w:ascii="Times New Roman" w:hAnsi="Times New Roman" w:eastAsia="仿宋_GB2312"/>
          <w:color w:val="auto"/>
          <w:highlight w:val="none"/>
          <w:lang w:val="en-US" w:eastAsia="zh-CN"/>
        </w:rPr>
        <w:t>实现</w:t>
      </w:r>
      <w:r>
        <w:rPr>
          <w:rFonts w:hint="eastAsia" w:ascii="Times New Roman" w:hAnsi="Times New Roman" w:eastAsia="仿宋_GB2312"/>
          <w:color w:val="auto"/>
          <w:highlight w:val="none"/>
        </w:rPr>
        <w:t>。</w:t>
      </w:r>
    </w:p>
    <w:p w14:paraId="7C932C0C">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APT检测</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利用沙箱多引擎虚拟检测技术及传统安全检测技术，</w:t>
      </w:r>
      <w:r>
        <w:rPr>
          <w:rFonts w:hint="eastAsia" w:ascii="Times New Roman" w:hAnsi="Times New Roman" w:eastAsia="仿宋_GB2312"/>
          <w:color w:val="auto"/>
          <w:highlight w:val="none"/>
          <w:lang w:val="en-US" w:eastAsia="zh-CN"/>
        </w:rPr>
        <w:t>实现对</w:t>
      </w:r>
      <w:r>
        <w:rPr>
          <w:rFonts w:hint="eastAsia" w:ascii="Times New Roman" w:hAnsi="Times New Roman" w:eastAsia="仿宋_GB2312"/>
          <w:color w:val="auto"/>
          <w:highlight w:val="none"/>
        </w:rPr>
        <w:t>APT高级持续威胁</w:t>
      </w:r>
      <w:r>
        <w:rPr>
          <w:rFonts w:hint="eastAsia" w:ascii="Times New Roman" w:hAnsi="Times New Roman" w:eastAsia="仿宋_GB2312"/>
          <w:color w:val="auto"/>
          <w:highlight w:val="none"/>
          <w:lang w:val="en-US" w:eastAsia="zh-CN"/>
        </w:rPr>
        <w:t>的检测</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有效</w:t>
      </w:r>
      <w:r>
        <w:rPr>
          <w:rFonts w:hint="eastAsia" w:ascii="Times New Roman" w:hAnsi="Times New Roman" w:eastAsia="仿宋_GB2312"/>
          <w:color w:val="auto"/>
          <w:highlight w:val="none"/>
        </w:rPr>
        <w:t>识别网络中传输的恶意文件</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C&amp;C攻击</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支持</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防火墙</w:t>
      </w:r>
      <w:r>
        <w:rPr>
          <w:rFonts w:hint="eastAsia" w:ascii="Times New Roman" w:hAnsi="Times New Roman" w:eastAsia="仿宋_GB2312"/>
          <w:color w:val="auto"/>
          <w:highlight w:val="none"/>
          <w:lang w:val="en-US" w:eastAsia="zh-CN"/>
        </w:rPr>
        <w:t>设备</w:t>
      </w:r>
      <w:r>
        <w:rPr>
          <w:rFonts w:hint="eastAsia" w:ascii="Times New Roman" w:hAnsi="Times New Roman" w:eastAsia="仿宋_GB2312"/>
          <w:color w:val="auto"/>
          <w:highlight w:val="none"/>
        </w:rPr>
        <w:t>联动</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实</w:t>
      </w:r>
      <w:r>
        <w:rPr>
          <w:rFonts w:hint="eastAsia" w:ascii="Times New Roman" w:hAnsi="Times New Roman" w:eastAsia="仿宋_GB2312"/>
          <w:color w:val="auto"/>
          <w:highlight w:val="none"/>
          <w:lang w:val="en-US" w:eastAsia="zh-CN"/>
        </w:rPr>
        <w:t>时</w:t>
      </w:r>
      <w:r>
        <w:rPr>
          <w:rFonts w:hint="eastAsia" w:ascii="Times New Roman" w:hAnsi="Times New Roman" w:eastAsia="仿宋_GB2312"/>
          <w:color w:val="auto"/>
          <w:highlight w:val="none"/>
        </w:rPr>
        <w:t>阻断</w:t>
      </w:r>
      <w:r>
        <w:rPr>
          <w:rFonts w:hint="eastAsia" w:ascii="Times New Roman" w:hAnsi="Times New Roman" w:eastAsia="仿宋_GB2312"/>
          <w:color w:val="auto"/>
          <w:highlight w:val="none"/>
          <w:lang w:val="en-US" w:eastAsia="zh-CN"/>
        </w:rPr>
        <w:t>已识别</w:t>
      </w:r>
      <w:r>
        <w:rPr>
          <w:rFonts w:hint="eastAsia" w:ascii="Times New Roman" w:hAnsi="Times New Roman" w:eastAsia="仿宋_GB2312"/>
          <w:color w:val="auto"/>
          <w:highlight w:val="none"/>
        </w:rPr>
        <w:t>威胁。</w:t>
      </w:r>
    </w:p>
    <w:p w14:paraId="2D5ED531">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VPN网关</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应通过VPN网关为</w:t>
      </w:r>
      <w:r>
        <w:rPr>
          <w:rFonts w:hint="eastAsia" w:ascii="Times New Roman" w:hAnsi="Times New Roman" w:eastAsia="仿宋_GB2312"/>
          <w:color w:val="auto"/>
          <w:highlight w:val="none"/>
        </w:rPr>
        <w:t>互联网接入的</w:t>
      </w:r>
      <w:r>
        <w:rPr>
          <w:rFonts w:hint="eastAsia" w:ascii="Times New Roman" w:hAnsi="Times New Roman" w:eastAsia="仿宋_GB2312"/>
          <w:color w:val="auto"/>
          <w:highlight w:val="none"/>
          <w:lang w:val="en-US" w:eastAsia="zh-CN"/>
        </w:rPr>
        <w:t>运维人员</w:t>
      </w:r>
      <w:r>
        <w:rPr>
          <w:rFonts w:hint="eastAsia" w:ascii="Times New Roman" w:hAnsi="Times New Roman" w:eastAsia="仿宋_GB2312"/>
          <w:color w:val="auto"/>
          <w:highlight w:val="none"/>
        </w:rPr>
        <w:t>提供SSL</w:t>
      </w:r>
      <w:r>
        <w:rPr>
          <w:rFonts w:hint="eastAsia" w:ascii="Times New Roman" w:hAnsi="Times New Roman" w:eastAsia="仿宋_GB2312"/>
          <w:color w:val="auto"/>
          <w:highlight w:val="none"/>
          <w:lang w:val="en-US" w:eastAsia="zh-CN"/>
        </w:rPr>
        <w:t xml:space="preserve"> VPN、</w:t>
      </w:r>
      <w:r>
        <w:rPr>
          <w:rFonts w:hint="eastAsia" w:ascii="Times New Roman" w:hAnsi="Times New Roman" w:eastAsia="仿宋_GB2312"/>
          <w:color w:val="auto"/>
          <w:highlight w:val="none"/>
        </w:rPr>
        <w:t>IPSec</w:t>
      </w:r>
      <w:r>
        <w:rPr>
          <w:rFonts w:hint="eastAsia" w:ascii="Times New Roman" w:hAnsi="Times New Roman" w:eastAsia="仿宋_GB2312"/>
          <w:color w:val="auto"/>
          <w:highlight w:val="none"/>
          <w:lang w:val="en-US" w:eastAsia="zh-CN"/>
        </w:rPr>
        <w:t xml:space="preserve"> </w:t>
      </w:r>
      <w:r>
        <w:rPr>
          <w:rFonts w:hint="eastAsia" w:ascii="Times New Roman" w:hAnsi="Times New Roman" w:eastAsia="仿宋_GB2312"/>
          <w:color w:val="auto"/>
          <w:highlight w:val="none"/>
        </w:rPr>
        <w:t>VPN接入</w:t>
      </w:r>
      <w:r>
        <w:rPr>
          <w:rFonts w:hint="eastAsia" w:ascii="Times New Roman" w:hAnsi="Times New Roman" w:eastAsia="仿宋_GB2312"/>
          <w:color w:val="auto"/>
          <w:highlight w:val="none"/>
          <w:lang w:val="en-US" w:eastAsia="zh-CN"/>
        </w:rPr>
        <w:t>服务</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且</w:t>
      </w:r>
      <w:r>
        <w:rPr>
          <w:rFonts w:hint="eastAsia" w:ascii="Times New Roman" w:hAnsi="Times New Roman" w:eastAsia="仿宋_GB2312"/>
          <w:color w:val="auto"/>
          <w:highlight w:val="none"/>
        </w:rPr>
        <w:t>VPN网关</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支持国密算法。</w:t>
      </w:r>
    </w:p>
    <w:p w14:paraId="0505DB0F">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探针</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部署探针，对流经网络边界的流量进行提取</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还原，</w:t>
      </w:r>
      <w:r>
        <w:rPr>
          <w:rFonts w:hint="eastAsia" w:ascii="Times New Roman" w:hAnsi="Times New Roman" w:eastAsia="仿宋_GB2312"/>
          <w:color w:val="auto"/>
          <w:highlight w:val="none"/>
          <w:lang w:val="en-US" w:eastAsia="zh-CN"/>
        </w:rPr>
        <w:t>并将数据传送</w:t>
      </w:r>
      <w:r>
        <w:rPr>
          <w:rFonts w:hint="eastAsia" w:ascii="Times New Roman" w:hAnsi="Times New Roman" w:eastAsia="仿宋_GB2312"/>
          <w:color w:val="auto"/>
          <w:highlight w:val="none"/>
        </w:rPr>
        <w:t>至后端大数据分析系统进行安全分析，</w:t>
      </w:r>
      <w:r>
        <w:rPr>
          <w:rFonts w:hint="eastAsia" w:ascii="Times New Roman" w:hAnsi="Times New Roman" w:eastAsia="仿宋_GB2312"/>
          <w:color w:val="auto"/>
          <w:highlight w:val="none"/>
          <w:lang w:val="en-US" w:eastAsia="zh-CN"/>
        </w:rPr>
        <w:t>以</w:t>
      </w:r>
      <w:r>
        <w:rPr>
          <w:rFonts w:hint="eastAsia" w:ascii="Times New Roman" w:hAnsi="Times New Roman" w:eastAsia="仿宋_GB2312"/>
          <w:color w:val="auto"/>
          <w:highlight w:val="none"/>
        </w:rPr>
        <w:t>识别潜在安全攻击风险。</w:t>
      </w:r>
    </w:p>
    <w:p w14:paraId="62863115">
      <w:pPr>
        <w:keepNext w:val="0"/>
        <w:keepLines w:val="0"/>
        <w:pageBreakBefore w:val="0"/>
        <w:widowControl w:val="0"/>
        <w:numPr>
          <w:ilvl w:val="0"/>
          <w:numId w:val="1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日志审计</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应具备</w:t>
      </w:r>
      <w:r>
        <w:rPr>
          <w:rFonts w:hint="eastAsia" w:ascii="Times New Roman" w:hAnsi="Times New Roman" w:eastAsia="仿宋_GB2312"/>
          <w:color w:val="auto"/>
          <w:highlight w:val="none"/>
        </w:rPr>
        <w:t>日志审计</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管理</w:t>
      </w:r>
      <w:r>
        <w:rPr>
          <w:rFonts w:hint="eastAsia" w:ascii="Times New Roman" w:hAnsi="Times New Roman" w:eastAsia="仿宋_GB2312"/>
          <w:color w:val="auto"/>
          <w:highlight w:val="none"/>
          <w:lang w:val="en-US" w:eastAsia="zh-CN"/>
        </w:rPr>
        <w:t>功能、</w:t>
      </w:r>
      <w:r>
        <w:rPr>
          <w:rFonts w:hint="eastAsia" w:ascii="Times New Roman" w:hAnsi="Times New Roman" w:eastAsia="仿宋_GB2312"/>
          <w:color w:val="auto"/>
          <w:highlight w:val="none"/>
        </w:rPr>
        <w:t>统一格式输出</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报表自动生成</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图形化展示</w:t>
      </w:r>
      <w:r>
        <w:rPr>
          <w:rFonts w:hint="eastAsia" w:ascii="Times New Roman" w:hAnsi="Times New Roman" w:eastAsia="仿宋_GB2312"/>
          <w:color w:val="auto"/>
          <w:highlight w:val="none"/>
          <w:lang w:val="en-US" w:eastAsia="zh-CN"/>
        </w:rPr>
        <w:t>能力</w:t>
      </w:r>
      <w:r>
        <w:rPr>
          <w:rFonts w:hint="eastAsia" w:ascii="Times New Roman" w:hAnsi="Times New Roman" w:eastAsia="仿宋_GB2312"/>
          <w:color w:val="auto"/>
          <w:highlight w:val="none"/>
        </w:rPr>
        <w:t>，并</w:t>
      </w:r>
      <w:r>
        <w:rPr>
          <w:rFonts w:hint="eastAsia" w:ascii="Times New Roman" w:hAnsi="Times New Roman" w:eastAsia="仿宋_GB2312"/>
          <w:color w:val="auto"/>
          <w:highlight w:val="none"/>
          <w:lang w:val="en-US" w:eastAsia="zh-CN"/>
        </w:rPr>
        <w:t>须确保</w:t>
      </w:r>
      <w:r>
        <w:rPr>
          <w:rFonts w:hint="eastAsia" w:ascii="Times New Roman" w:hAnsi="Times New Roman" w:eastAsia="仿宋_GB2312"/>
          <w:color w:val="auto"/>
          <w:highlight w:val="none"/>
        </w:rPr>
        <w:t>审计日志至少保存6个月。</w:t>
      </w:r>
    </w:p>
    <w:p w14:paraId="4ADCEF2B">
      <w:pPr>
        <w:pStyle w:val="4"/>
        <w:rPr>
          <w:rFonts w:ascii="Times New Roman" w:hAnsi="Times New Roman"/>
          <w:color w:val="auto"/>
          <w:highlight w:val="none"/>
        </w:rPr>
      </w:pPr>
      <w:bookmarkStart w:id="109" w:name="_Toc12634"/>
      <w:bookmarkStart w:id="110" w:name="_Toc17516"/>
      <w:bookmarkStart w:id="111" w:name="_Toc26583"/>
      <w:bookmarkStart w:id="112" w:name="_Toc7746"/>
      <w:bookmarkStart w:id="113" w:name="_Toc8495"/>
      <w:bookmarkStart w:id="114" w:name="_Toc9508"/>
      <w:r>
        <w:rPr>
          <w:rFonts w:hint="eastAsia" w:ascii="Times New Roman" w:hAnsi="Times New Roman"/>
          <w:color w:val="auto"/>
          <w:highlight w:val="none"/>
        </w:rPr>
        <w:t>边界</w:t>
      </w:r>
      <w:r>
        <w:rPr>
          <w:rFonts w:hint="eastAsia" w:ascii="Times New Roman" w:hAnsi="Times New Roman"/>
          <w:color w:val="auto"/>
          <w:highlight w:val="none"/>
          <w:lang w:val="en-US" w:eastAsia="zh-CN"/>
        </w:rPr>
        <w:t>安全</w:t>
      </w:r>
      <w:r>
        <w:rPr>
          <w:rFonts w:hint="eastAsia" w:ascii="Times New Roman" w:hAnsi="Times New Roman"/>
          <w:color w:val="auto"/>
          <w:highlight w:val="none"/>
        </w:rPr>
        <w:t>设备要求</w:t>
      </w:r>
      <w:bookmarkEnd w:id="109"/>
      <w:bookmarkEnd w:id="110"/>
      <w:bookmarkEnd w:id="111"/>
      <w:bookmarkEnd w:id="112"/>
      <w:bookmarkEnd w:id="113"/>
      <w:bookmarkEnd w:id="114"/>
    </w:p>
    <w:tbl>
      <w:tblPr>
        <w:tblStyle w:val="36"/>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4"/>
        <w:gridCol w:w="1336"/>
        <w:gridCol w:w="497"/>
        <w:gridCol w:w="445"/>
        <w:gridCol w:w="5450"/>
      </w:tblGrid>
      <w:tr w14:paraId="06E34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blHeader/>
        </w:trPr>
        <w:tc>
          <w:tcPr>
            <w:tcW w:w="0" w:type="auto"/>
            <w:tcBorders>
              <w:top w:val="single" w:color="000000" w:sz="4" w:space="0"/>
              <w:left w:val="single" w:color="000000" w:sz="4" w:space="0"/>
              <w:bottom w:val="single" w:color="000000" w:sz="4" w:space="0"/>
              <w:right w:val="single" w:color="000000" w:sz="4" w:space="0"/>
            </w:tcBorders>
            <w:shd w:val="clear" w:color="auto" w:fill="D9D9D9"/>
            <w:vAlign w:val="center"/>
          </w:tcPr>
          <w:p w14:paraId="26D1017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i w:val="0"/>
                <w:iCs w:val="0"/>
                <w:color w:val="auto"/>
                <w:sz w:val="21"/>
                <w:szCs w:val="21"/>
                <w:highlight w:val="none"/>
                <w:u w:val="none"/>
              </w:rPr>
            </w:pPr>
            <w:bookmarkStart w:id="115" w:name="_Toc14332"/>
            <w:bookmarkStart w:id="116" w:name="_Toc11311"/>
            <w:bookmarkStart w:id="117" w:name="_Toc28396"/>
            <w:r>
              <w:rPr>
                <w:rFonts w:hint="eastAsia" w:ascii="Times New Roman" w:hAnsi="Times New Roman" w:eastAsia="宋体" w:cs="宋体"/>
                <w:b/>
                <w:bCs/>
                <w:i w:val="0"/>
                <w:iCs w:val="0"/>
                <w:color w:val="auto"/>
                <w:kern w:val="0"/>
                <w:sz w:val="21"/>
                <w:szCs w:val="21"/>
                <w:highlight w:val="none"/>
                <w:u w:val="none"/>
                <w:lang w:val="en-US" w:eastAsia="zh-CN" w:bidi="ar"/>
              </w:rPr>
              <w:t>部署位置</w:t>
            </w:r>
          </w:p>
        </w:tc>
        <w:tc>
          <w:tcPr>
            <w:tcW w:w="0" w:type="auto"/>
            <w:tcBorders>
              <w:top w:val="single" w:color="000000" w:sz="4" w:space="0"/>
              <w:left w:val="single" w:color="000000" w:sz="4" w:space="0"/>
              <w:bottom w:val="single" w:color="000000" w:sz="4" w:space="0"/>
              <w:right w:val="single" w:color="000000" w:sz="4" w:space="0"/>
            </w:tcBorders>
            <w:shd w:val="clear" w:color="auto" w:fill="D9D9D9"/>
            <w:vAlign w:val="center"/>
          </w:tcPr>
          <w:p w14:paraId="7172A2B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品类</w:t>
            </w:r>
          </w:p>
        </w:tc>
        <w:tc>
          <w:tcPr>
            <w:tcW w:w="0" w:type="auto"/>
            <w:tcBorders>
              <w:top w:val="single" w:color="000000" w:sz="4" w:space="0"/>
              <w:left w:val="single" w:color="000000" w:sz="4" w:space="0"/>
              <w:bottom w:val="single" w:color="000000" w:sz="4" w:space="0"/>
              <w:right w:val="single" w:color="000000" w:sz="4" w:space="0"/>
            </w:tcBorders>
            <w:shd w:val="clear" w:color="auto" w:fill="D9D9D9"/>
            <w:vAlign w:val="center"/>
          </w:tcPr>
          <w:p w14:paraId="2EBD51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D9D9D9"/>
            <w:vAlign w:val="center"/>
          </w:tcPr>
          <w:p w14:paraId="4E02B87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D9D9D9"/>
            <w:vAlign w:val="center"/>
          </w:tcPr>
          <w:p w14:paraId="0B7E40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i w:val="0"/>
                <w:iCs w:val="0"/>
                <w:color w:val="auto"/>
                <w:sz w:val="21"/>
                <w:szCs w:val="21"/>
                <w:highlight w:val="none"/>
                <w:u w:val="none"/>
              </w:rPr>
            </w:pPr>
            <w:r>
              <w:rPr>
                <w:rFonts w:hint="eastAsia" w:ascii="Times New Roman" w:hAnsi="Times New Roman" w:eastAsia="宋体" w:cs="宋体"/>
                <w:b/>
                <w:bCs/>
                <w:i w:val="0"/>
                <w:iCs w:val="0"/>
                <w:color w:val="auto"/>
                <w:kern w:val="0"/>
                <w:sz w:val="21"/>
                <w:szCs w:val="21"/>
                <w:highlight w:val="none"/>
                <w:u w:val="none"/>
                <w:lang w:val="en-US" w:eastAsia="zh-CN" w:bidi="ar"/>
              </w:rPr>
              <w:t>规格配置</w:t>
            </w:r>
          </w:p>
        </w:tc>
      </w:tr>
      <w:tr w14:paraId="27848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3C15A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互联网接入区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F74A0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Anti-DDoS攻击</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F090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5E68D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D336D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kern w:val="0"/>
                <w:sz w:val="21"/>
                <w:szCs w:val="21"/>
                <w:highlight w:val="none"/>
                <w:u w:val="none"/>
                <w:lang w:val="en-US" w:eastAsia="zh-CN" w:bidi="ar"/>
              </w:rPr>
            </w:pPr>
            <w:r>
              <w:rPr>
                <w:rFonts w:hint="eastAsia" w:ascii="Times New Roman" w:hAnsi="Times New Roman" w:eastAsia="宋体" w:cs="宋体"/>
                <w:i w:val="0"/>
                <w:iCs w:val="0"/>
                <w:color w:val="auto"/>
                <w:kern w:val="0"/>
                <w:sz w:val="21"/>
                <w:szCs w:val="21"/>
                <w:highlight w:val="none"/>
                <w:u w:val="none"/>
                <w:lang w:val="en-US" w:eastAsia="zh-CN" w:bidi="ar"/>
              </w:rPr>
              <w:t>1. 配置不少于4个万兆光口；</w:t>
            </w:r>
          </w:p>
          <w:p w14:paraId="17B68B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kern w:val="0"/>
                <w:sz w:val="21"/>
                <w:szCs w:val="21"/>
                <w:highlight w:val="none"/>
                <w:u w:val="none"/>
                <w:lang w:val="en-US" w:eastAsia="zh-CN" w:bidi="ar"/>
              </w:rPr>
            </w:pPr>
            <w:r>
              <w:rPr>
                <w:rFonts w:hint="eastAsia" w:ascii="Times New Roman" w:hAnsi="Times New Roman" w:eastAsia="宋体" w:cs="宋体"/>
                <w:i w:val="0"/>
                <w:iCs w:val="0"/>
                <w:color w:val="auto"/>
                <w:kern w:val="0"/>
                <w:sz w:val="21"/>
                <w:szCs w:val="21"/>
                <w:highlight w:val="none"/>
                <w:u w:val="none"/>
                <w:lang w:val="en-US" w:eastAsia="zh-CN" w:bidi="ar"/>
              </w:rPr>
              <w:t>2. 抗攻击吞吐量不小于10Gbps；</w:t>
            </w:r>
          </w:p>
          <w:p w14:paraId="24BACC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3. 支持防御流量型flood攻击：SYN Flood 、SYN-ACK Flood、 ACK Flood、FIN/RST Flood、ICMP Flood、UDP Flood、IP Fragment Flood、Stream flood等；</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4. 支持防御应用型flood攻击：DNS Query Flood、DNS Reply Flood、Connection Flood、HTTP Get Flood、HTTP Post Flood、CC等；</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5. 支持防御DOS攻击 ：Ping of death、Land、Teardrop、Smurf等；</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6. 支持智能UDP防护，智能ICMP防护、智能HTTP-CC防护、智能GAME-CC防护.</w:t>
            </w:r>
          </w:p>
        </w:tc>
      </w:tr>
      <w:tr w14:paraId="34FCF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5A8866">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6D98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3F22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211E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A5253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配置不少于10个10G光接口；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支持千兆电口≥16，千兆光口≥6，10G接口≥6，SSL VPN并发数≥2000，IPSec VPN隧道≥7500，虚拟防火墙数量≥400；</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吞吐量≥20Gbps，最大并发连接数≥600万，每秒新建连接数≥17万，IPSec吞吐量≥15Gbps；</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4. 支持访问控制.</w:t>
            </w:r>
          </w:p>
        </w:tc>
      </w:tr>
      <w:tr w14:paraId="4AD0E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83E96">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FB71B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入侵防御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2904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7919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2FDB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配置不少于6个10G光接口；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入侵防御吞吐能力≥20Gbps，最大并发TCP会话数≥800万；每秒新增TCP会话数≥40万；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支持针对网络病毒、蠕虫、间谍软件、木马后门、扫描探测、暴力破解等恶意流量进行检测和阻断.</w:t>
            </w:r>
          </w:p>
        </w:tc>
      </w:tr>
      <w:tr w14:paraId="01C89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4F0C72">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30EB74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防病毒墙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89D29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88A0E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E49A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配置不少于6个10G光接口；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防病毒处理能力不低于20Gbps；</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防护已知恶意软件 (病毒、木马、蠕虫、后门、加密勒索软件、间谍软件、灰色软件、Rootkits等).</w:t>
            </w:r>
          </w:p>
        </w:tc>
      </w:tr>
      <w:tr w14:paraId="5565C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86C09C">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7CF75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安全探针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4FB3A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11B29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B129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7"/>
                <w:rFonts w:ascii="Times New Roman" w:hAnsi="Times New Roman" w:eastAsia="宋体" w:cs="宋体"/>
                <w:color w:val="auto"/>
                <w:sz w:val="21"/>
                <w:szCs w:val="21"/>
                <w:highlight w:val="none"/>
                <w:lang w:val="en-US" w:eastAsia="zh-CN" w:bidi="ar"/>
              </w:rPr>
              <w:t>1. 配置10G端口不少于2个；</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2. 流量检测能力不低于10G；</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3. 支持VXLAN、GRE、VLAN、CAPWAP报文解析进行解析；</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4. 支持对对网络病毒、蠕虫、间谍软件、木马后门、扫描探测、暴力破解等恶意流量进行检测；</w:t>
            </w:r>
            <w:r>
              <w:rPr>
                <w:rStyle w:val="97"/>
                <w:rFonts w:ascii="Times New Roman" w:hAnsi="Times New Roman" w:eastAsia="宋体" w:cs="宋体"/>
                <w:color w:val="auto"/>
                <w:sz w:val="21"/>
                <w:szCs w:val="21"/>
                <w:highlight w:val="none"/>
                <w:lang w:val="en-US" w:eastAsia="zh-CN" w:bidi="ar"/>
              </w:rPr>
              <w:br w:type="textWrapping"/>
            </w:r>
            <w:r>
              <w:rPr>
                <w:rStyle w:val="98"/>
                <w:rFonts w:ascii="Times New Roman" w:hAnsi="Times New Roman" w:eastAsia="宋体" w:cs="宋体"/>
                <w:color w:val="auto"/>
                <w:sz w:val="21"/>
                <w:szCs w:val="21"/>
                <w:highlight w:val="none"/>
                <w:lang w:val="en-US" w:eastAsia="zh-CN" w:bidi="ar"/>
              </w:rPr>
              <w:t>5. 攻击特征库数量至少为9000+，IPS库覆盖漏洞：12000+.</w:t>
            </w:r>
          </w:p>
        </w:tc>
      </w:tr>
      <w:tr w14:paraId="19837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C3DC6D">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AAF1B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SSLVPN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56BB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99787A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838B7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7"/>
                <w:rFonts w:ascii="Times New Roman" w:hAnsi="Times New Roman" w:eastAsia="宋体" w:cs="宋体"/>
                <w:color w:val="auto"/>
                <w:sz w:val="21"/>
                <w:szCs w:val="21"/>
                <w:highlight w:val="none"/>
                <w:lang w:val="en-US" w:eastAsia="zh-CN" w:bidi="ar"/>
              </w:rPr>
              <w:t>1. 配置不少于4个千兆光接口；</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2. SSLVPN吞吐量≥1Gbps，</w:t>
            </w:r>
            <w:r>
              <w:rPr>
                <w:rStyle w:val="98"/>
                <w:rFonts w:ascii="Times New Roman" w:hAnsi="Times New Roman" w:eastAsia="宋体" w:cs="宋体"/>
                <w:color w:val="auto"/>
                <w:sz w:val="21"/>
                <w:szCs w:val="21"/>
                <w:highlight w:val="none"/>
                <w:lang w:val="en-US" w:eastAsia="zh-CN" w:bidi="ar"/>
              </w:rPr>
              <w:t>不少于100个SSLVPN用户许可；</w:t>
            </w:r>
            <w:r>
              <w:rPr>
                <w:rStyle w:val="98"/>
                <w:rFonts w:ascii="Times New Roman" w:hAnsi="Times New Roman" w:eastAsia="宋体" w:cs="宋体"/>
                <w:color w:val="auto"/>
                <w:sz w:val="21"/>
                <w:szCs w:val="21"/>
                <w:highlight w:val="none"/>
                <w:lang w:val="en-US" w:eastAsia="zh-CN" w:bidi="ar"/>
              </w:rPr>
              <w:br w:type="textWrapping"/>
            </w:r>
            <w:r>
              <w:rPr>
                <w:rStyle w:val="99"/>
                <w:rFonts w:ascii="Times New Roman" w:hAnsi="Times New Roman" w:eastAsia="宋体" w:cs="宋体"/>
                <w:color w:val="auto"/>
                <w:sz w:val="21"/>
                <w:szCs w:val="21"/>
                <w:highlight w:val="none"/>
                <w:lang w:val="en-US" w:eastAsia="zh-CN" w:bidi="ar"/>
              </w:rPr>
              <w:t>3. 支</w:t>
            </w:r>
            <w:r>
              <w:rPr>
                <w:rStyle w:val="97"/>
                <w:rFonts w:ascii="Times New Roman" w:hAnsi="Times New Roman" w:eastAsia="宋体" w:cs="宋体"/>
                <w:color w:val="auto"/>
                <w:sz w:val="21"/>
                <w:szCs w:val="21"/>
                <w:highlight w:val="none"/>
                <w:lang w:val="en-US" w:eastAsia="zh-CN" w:bidi="ar"/>
              </w:rPr>
              <w:t>持对常见应用服务（HTTP、FTP、SSH、SMTP、IMAP）和数据库软件（MySQL、Oracle）的口令暴力破解防护功能，支持HTTP、FTP、SMTP、POP3、IMAP、NFS等协议的病毒防护.</w:t>
            </w:r>
          </w:p>
        </w:tc>
      </w:tr>
      <w:tr w14:paraId="69D62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F3030">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6336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上网行为管理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F4D01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4C02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7887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配置不少于2个10G光接口；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整机吞吐量≥20G，设备并发连接数≥320万，每秒新建连接数≥8万；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支持显示接入用户人数、终端类型、认证方式；带宽质量分析、实时流量排名.</w:t>
            </w:r>
          </w:p>
        </w:tc>
      </w:tr>
      <w:tr w14:paraId="7AE6F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25868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国家网出口区域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C4BA4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82336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4F21C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7571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支持访问控制、入侵防御、恶意代码防护；</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支持1G、10G、40G、100G接口，实配100G端口不少于4个、10G端口不少于6个，防火墙吞吐≥200Gbps，新建连接数≥160万/s，最大并发连接数≥16000万；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配置应用层协议识别及流量控制功能、配置IPS、防病毒、URL过滤功能，配置IPS处理能力≥200Gbps、防病毒处理能力≥200Gbps.</w:t>
            </w:r>
          </w:p>
        </w:tc>
      </w:tr>
      <w:tr w14:paraId="2A375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91C74">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138B8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沙箱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B04E1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FE1D48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7910D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配置不少于2个10G端口；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支持采集IPv4、IPv6流量并进行协议解析，支持对各种格式的应用文档进行威胁检测，包括Word、Excel、PPT、PDF、HTML、JS、EXE、JPG、GIF、PNG等.</w:t>
            </w:r>
          </w:p>
        </w:tc>
      </w:tr>
      <w:tr w14:paraId="1CBBE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2A5367">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1BB7E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安全探针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94F1F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C766B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06A5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9"/>
                <w:rFonts w:ascii="Times New Roman" w:hAnsi="Times New Roman" w:eastAsia="宋体" w:cs="宋体"/>
                <w:color w:val="auto"/>
                <w:sz w:val="21"/>
                <w:szCs w:val="21"/>
                <w:highlight w:val="none"/>
                <w:lang w:val="en-US" w:eastAsia="zh-CN" w:bidi="ar"/>
              </w:rPr>
              <w:t>1. 配置不少于2个10G端口；</w:t>
            </w:r>
            <w:r>
              <w:rPr>
                <w:rStyle w:val="99"/>
                <w:rFonts w:ascii="Times New Roman" w:hAnsi="Times New Roman" w:eastAsia="宋体" w:cs="宋体"/>
                <w:color w:val="auto"/>
                <w:sz w:val="21"/>
                <w:szCs w:val="21"/>
                <w:highlight w:val="none"/>
                <w:lang w:val="en-US" w:eastAsia="zh-CN" w:bidi="ar"/>
              </w:rPr>
              <w:br w:type="textWrapping"/>
            </w:r>
            <w:r>
              <w:rPr>
                <w:rStyle w:val="99"/>
                <w:rFonts w:ascii="Times New Roman" w:hAnsi="Times New Roman" w:eastAsia="宋体" w:cs="宋体"/>
                <w:color w:val="auto"/>
                <w:sz w:val="21"/>
                <w:szCs w:val="21"/>
                <w:highlight w:val="none"/>
                <w:lang w:val="en-US" w:eastAsia="zh-CN" w:bidi="ar"/>
              </w:rPr>
              <w:t>2. 流量检测能力不低于10G；</w:t>
            </w:r>
            <w:r>
              <w:rPr>
                <w:rStyle w:val="99"/>
                <w:rFonts w:ascii="Times New Roman" w:hAnsi="Times New Roman" w:eastAsia="宋体" w:cs="宋体"/>
                <w:color w:val="auto"/>
                <w:sz w:val="21"/>
                <w:szCs w:val="21"/>
                <w:highlight w:val="none"/>
                <w:lang w:val="en-US" w:eastAsia="zh-CN" w:bidi="ar"/>
              </w:rPr>
              <w:br w:type="textWrapping"/>
            </w:r>
            <w:r>
              <w:rPr>
                <w:rStyle w:val="99"/>
                <w:rFonts w:ascii="Times New Roman" w:hAnsi="Times New Roman" w:eastAsia="宋体" w:cs="宋体"/>
                <w:color w:val="auto"/>
                <w:sz w:val="21"/>
                <w:szCs w:val="21"/>
                <w:highlight w:val="none"/>
                <w:lang w:val="en-US" w:eastAsia="zh-CN" w:bidi="ar"/>
              </w:rPr>
              <w:t>3. 支持VXLAN、GRE、VLAN、CAPWAP报文解析进行解析；</w:t>
            </w:r>
            <w:r>
              <w:rPr>
                <w:rStyle w:val="99"/>
                <w:rFonts w:ascii="Times New Roman" w:hAnsi="Times New Roman" w:eastAsia="宋体" w:cs="宋体"/>
                <w:color w:val="auto"/>
                <w:sz w:val="21"/>
                <w:szCs w:val="21"/>
                <w:highlight w:val="none"/>
                <w:lang w:val="en-US" w:eastAsia="zh-CN" w:bidi="ar"/>
              </w:rPr>
              <w:br w:type="textWrapping"/>
            </w:r>
            <w:r>
              <w:rPr>
                <w:rStyle w:val="99"/>
                <w:rFonts w:ascii="Times New Roman" w:hAnsi="Times New Roman" w:eastAsia="宋体" w:cs="宋体"/>
                <w:color w:val="auto"/>
                <w:sz w:val="21"/>
                <w:szCs w:val="21"/>
                <w:highlight w:val="none"/>
                <w:lang w:val="en-US" w:eastAsia="zh-CN" w:bidi="ar"/>
              </w:rPr>
              <w:t>4. 支持对对网络病毒、蠕虫、间谍软件、木马后门、扫描探测、暴力破解等恶意流量进行检测；</w:t>
            </w:r>
            <w:r>
              <w:rPr>
                <w:rStyle w:val="99"/>
                <w:rFonts w:ascii="Times New Roman" w:hAnsi="Times New Roman" w:eastAsia="宋体" w:cs="宋体"/>
                <w:color w:val="auto"/>
                <w:sz w:val="21"/>
                <w:szCs w:val="21"/>
                <w:highlight w:val="none"/>
                <w:lang w:val="en-US" w:eastAsia="zh-CN" w:bidi="ar"/>
              </w:rPr>
              <w:br w:type="textWrapping"/>
            </w:r>
            <w:r>
              <w:rPr>
                <w:rStyle w:val="98"/>
                <w:rFonts w:ascii="Times New Roman" w:hAnsi="Times New Roman" w:eastAsia="宋体" w:cs="宋体"/>
                <w:color w:val="auto"/>
                <w:sz w:val="21"/>
                <w:szCs w:val="21"/>
                <w:highlight w:val="none"/>
                <w:lang w:val="en-US" w:eastAsia="zh-CN" w:bidi="ar"/>
              </w:rPr>
              <w:t>5. 攻击特征库数量至少为9000+，IPS库覆盖漏洞：12000+.</w:t>
            </w:r>
          </w:p>
        </w:tc>
      </w:tr>
      <w:tr w14:paraId="04111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48E55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电子政务云区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727C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23A84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BF1BC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7EE5C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支持100G、40G、10G接口。配置100G接口数量不少于6个、10G接口数量不少于4个；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吞吐量≥200Gbps，并可平滑升级至600Gbps；</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最大并发连接数≥16000万、配置每秒新建连接数≥160万；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4. 支持访问控制.</w:t>
            </w:r>
          </w:p>
        </w:tc>
      </w:tr>
      <w:tr w14:paraId="1D639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584E58">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44ED4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入侵防御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C14532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31C3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5DF6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配置100G端口≥6；</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入侵防御吞吐能力≥200Gbps，最大并发TCP会话数≥8000万；每秒新增TCP会话数≥180万;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能对网络病毒、蠕虫、间谍软件、木马后门、扫描探测、暴力破解等恶意流量进行检测和阻断.</w:t>
            </w:r>
          </w:p>
        </w:tc>
      </w:tr>
      <w:tr w14:paraId="30AD1B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34920">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80652E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入侵检测</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FEEE3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27EB3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B1C2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配置10G端口不少于2个；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入侵检测吞吐能力≥10Gbps，最大并发TCP会话数≥500万；每秒新增TCP会话数≥15万；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能对网络病毒、蠕虫、间谍软件、木马后门、扫描探测、暴力破解等恶意流量进行检测和阻断.</w:t>
            </w:r>
          </w:p>
        </w:tc>
      </w:tr>
      <w:tr w14:paraId="1E058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704D6">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0B393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防病毒墙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46F6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1E63B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9D2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支持100G接口数量不少于6个、10G接口数量不少于4个；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吞吐量≥200Gbps、最大并发连接数≥16000万、配置每秒新建连接数≥160万；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支持HTTP,SMTP,FTP,PO3P,IMAP等多种应用协议下病毒防护，具备自定义非标准端口下应用协议的病毒防护.</w:t>
            </w:r>
          </w:p>
        </w:tc>
      </w:tr>
      <w:tr w14:paraId="5286C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36BF63">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06452D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沙箱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44CD3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5311B0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299A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配置10G接口数量不少于2个；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支持HTTP、FTP、SMTP、POP3、IMAP4、NFS、SMB等协议的流量还原，通过解析主流的应用协议，对协议传输中承载的文件及关键字段信息进行分析还原；</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支持检测文件大类包括：OFFICE、PE、ELF、PDF、RTF、JAVA、CHM、IMAGE（tiff、bmp、gif、jpg等）、COMPRESS（ZIP、TAR等）、HTML、JS、SCRIPT、CSS；</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4. PE、PDF、Office、图像文件、脚本文件检测性能≥10万文件/天；Web文件检测性能≥10万文件/小时.</w:t>
            </w:r>
          </w:p>
        </w:tc>
      </w:tr>
      <w:tr w14:paraId="7689B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AC514">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B6985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网络审计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34A381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07C0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8CC0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配置10G光接口不少于4个；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支持通过分光设备实现200G（数据和视频混合）流量情况下的安全审计；</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对HTTP协议进行审计，审计内容包括：访问域，URL引用页、URL分类、http请求类型、http响应类型、请求文件、请求参数、访问行为、发布内容、请求结果、浏览器、服务器、、HTTP响应时间、源目的地址、MAC地址等；</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4. 支持FTP文件传输协议审计，可针对FTP协议进行文件传输的网络行为进行审计，审计内容包括但不限于文件名、FTP命令、传输用户等，可以对上传下载的文件进行还原.</w:t>
            </w:r>
          </w:p>
        </w:tc>
      </w:tr>
      <w:tr w14:paraId="539B9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4077D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公安业务专网接入区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53D9C7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61563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9553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3C5E40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配置千兆光口不少于4个，千兆电口不少于5个；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整机吞吐≥5G，最大并发连接数≥300万，每秒新建连接数≥10万；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支持基于源/目的IP地址、MAC地址、域名、端口或协议、服务、网口、时间、用户的访问控制.</w:t>
            </w:r>
          </w:p>
        </w:tc>
      </w:tr>
      <w:tr w14:paraId="5E163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F3EAF">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E887BE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入侵防御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CA91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C8300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57A5B0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配置不少于6个10G光接口；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入侵防御吞吐能力≥20Gbps，最大并发TCP会话数≥500万；每秒新增TCP会话数≥40万；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可针对网络病毒、蠕虫、间谍软件、木马后门、扫描探测、暴力破解等恶意流量进行检测和阻断.</w:t>
            </w:r>
          </w:p>
        </w:tc>
      </w:tr>
      <w:tr w14:paraId="53B72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3E1522">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F2391E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防病毒墙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531062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999BE7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30C72A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配置不少于6个10G光接口；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支持防病毒处理能力不低于20Gbps，防护已知恶意软件 、病毒、木马、蠕虫、后门、加密勒索软件、灰色软件、Rootkits等.</w:t>
            </w:r>
          </w:p>
        </w:tc>
      </w:tr>
      <w:tr w14:paraId="37959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55E73C">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FC41F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沙箱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0BBF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77C4F4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BBCDD2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7"/>
                <w:rFonts w:ascii="Times New Roman" w:hAnsi="Times New Roman" w:eastAsia="宋体" w:cs="宋体"/>
                <w:color w:val="auto"/>
                <w:sz w:val="21"/>
                <w:szCs w:val="21"/>
                <w:highlight w:val="none"/>
                <w:lang w:val="en-US" w:eastAsia="zh-CN" w:bidi="ar"/>
              </w:rPr>
              <w:t>1. 配置10G接口不少于2个；</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2. 支持HTTP、FTP、SMTP、POP3、IMAP4、NFS、SMB等协议的流量还原，通过解析主流的应用协议，对协议传输中承载的文件及关键字段信息进行分析还原；</w:t>
            </w:r>
            <w:r>
              <w:rPr>
                <w:rStyle w:val="97"/>
                <w:rFonts w:ascii="Times New Roman" w:hAnsi="Times New Roman" w:eastAsia="宋体" w:cs="宋体"/>
                <w:color w:val="auto"/>
                <w:sz w:val="21"/>
                <w:szCs w:val="21"/>
                <w:highlight w:val="none"/>
                <w:lang w:val="en-US" w:eastAsia="zh-CN" w:bidi="ar"/>
              </w:rPr>
              <w:br w:type="textWrapping"/>
            </w:r>
            <w:r>
              <w:rPr>
                <w:rStyle w:val="98"/>
                <w:rFonts w:ascii="Times New Roman" w:hAnsi="Times New Roman" w:eastAsia="宋体" w:cs="宋体"/>
                <w:color w:val="auto"/>
                <w:sz w:val="21"/>
                <w:szCs w:val="21"/>
                <w:highlight w:val="none"/>
                <w:lang w:val="en-US" w:eastAsia="zh-CN" w:bidi="ar"/>
              </w:rPr>
              <w:t>3. 支持检测文件大类包括：OFFICE、PE、ELF、PDF、RTF、JAVA、CHM、IMAGE（tiff、bmp、gif、jpg等）、COMPRESS（ZIP、TAR等）、HTML、JS、SCRIPT、CSS.</w:t>
            </w:r>
          </w:p>
        </w:tc>
      </w:tr>
      <w:tr w14:paraId="7BA83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C62990">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A077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网络审计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F616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6A781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24D5C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配置不少于4个10G光接口；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对HTTP协议进行审计，审计内容包括访问域，URL引用页、URL分类、http请求类型、http响应类型、请求文件、请求参数、访问行为、发布内容、请求结果、浏览器、服务器、HTTP响应时间、源目的地址、MAC地址等；</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支持FTP文件传输协议审计，可针对FTP协议进行文件传输的网络行为进行审计，审计内容包括但不限于文件名、FTP命令、传输用户等.</w:t>
            </w:r>
          </w:p>
        </w:tc>
      </w:tr>
      <w:tr w14:paraId="18771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ACFDF6">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D8DD35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安全探针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1700B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EEA0DE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6920B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7"/>
                <w:rFonts w:ascii="Times New Roman" w:hAnsi="Times New Roman" w:eastAsia="宋体" w:cs="宋体"/>
                <w:color w:val="auto"/>
                <w:sz w:val="21"/>
                <w:szCs w:val="21"/>
                <w:highlight w:val="none"/>
                <w:lang w:val="en-US" w:eastAsia="zh-CN" w:bidi="ar"/>
              </w:rPr>
              <w:t>1. 配置10G端口不少于2个；</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2. 流量检测能力不低于10G；</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3. 支持VXLAN、GRE、VLAN、CAPWAP报文解析进行解析；</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4. 支持对对网络病毒、蠕虫、间谍软件、木马后门、扫描探测、暴力破解等恶意流量进行检测；</w:t>
            </w:r>
            <w:r>
              <w:rPr>
                <w:rStyle w:val="97"/>
                <w:rFonts w:ascii="Times New Roman" w:hAnsi="Times New Roman" w:eastAsia="宋体" w:cs="宋体"/>
                <w:color w:val="auto"/>
                <w:sz w:val="21"/>
                <w:szCs w:val="21"/>
                <w:highlight w:val="none"/>
                <w:lang w:val="en-US" w:eastAsia="zh-CN" w:bidi="ar"/>
              </w:rPr>
              <w:br w:type="textWrapping"/>
            </w:r>
            <w:r>
              <w:rPr>
                <w:rStyle w:val="98"/>
                <w:rFonts w:ascii="Times New Roman" w:hAnsi="Times New Roman" w:eastAsia="宋体" w:cs="宋体"/>
                <w:color w:val="auto"/>
                <w:sz w:val="21"/>
                <w:szCs w:val="21"/>
                <w:highlight w:val="none"/>
                <w:lang w:val="en-US" w:eastAsia="zh-CN" w:bidi="ar"/>
              </w:rPr>
              <w:t>5. 攻击特征库数量至少为9000+，IPS库覆盖漏洞：12000+.</w:t>
            </w:r>
          </w:p>
        </w:tc>
      </w:tr>
      <w:tr w14:paraId="0F268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49F1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各接入单位区域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ACB14D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7B7C0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C41943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51DD5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支持访问控制、入侵防御、恶意代码防护；</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支持1G、10G、40G、100G接口，实配100G端口不少于4个、10G端口不少于6个，防火墙吞吐≥200Gbps，新建连接数≥160万/s，最大并发连接数≥16000万；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配置应用层协议识别及流量控制功能、配置IPS、防病毒、URL过滤功能，配置IPS处理能力≥200Gbps、防病毒处理能力≥200Gbps.</w:t>
            </w:r>
          </w:p>
        </w:tc>
      </w:tr>
      <w:tr w14:paraId="24D88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EA1A8A">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31516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沙箱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86F8C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B244F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F5F9A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配置不少于2个万兆光接口；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支持采集IPv4、IPv6流量并进行协议解析，支持对各种格式的应用文档进行威胁检测，包括Word、Excel、PPT、PDF、HTML、JS、EXE、JPG、GIF、PNG等；</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PE、PDF、Office、图像文件、脚本文件检测性能≥10万文件/天；Web文件检测性能≥10万文件/小时.</w:t>
            </w:r>
          </w:p>
        </w:tc>
      </w:tr>
      <w:tr w14:paraId="78BFB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C860B0">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AA0F2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安全探针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5379F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85359E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6305F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7"/>
                <w:rFonts w:ascii="Times New Roman" w:hAnsi="Times New Roman" w:eastAsia="宋体" w:cs="宋体"/>
                <w:color w:val="auto"/>
                <w:sz w:val="21"/>
                <w:szCs w:val="21"/>
                <w:highlight w:val="none"/>
                <w:lang w:val="en-US" w:eastAsia="zh-CN" w:bidi="ar"/>
              </w:rPr>
              <w:t>1. 配置不少于2个10G端口；</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2. 流量检测能力不低于10G；</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3. 支持VXLAN、GRE、VLAN、CAPWAP报文解析；</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4. 支持对网络病毒、蠕虫、间谍软件、木马后门、扫描探测、暴力破解等恶意流量进行检测；</w:t>
            </w:r>
            <w:r>
              <w:rPr>
                <w:rStyle w:val="97"/>
                <w:rFonts w:ascii="Times New Roman" w:hAnsi="Times New Roman" w:eastAsia="宋体" w:cs="宋体"/>
                <w:color w:val="auto"/>
                <w:sz w:val="21"/>
                <w:szCs w:val="21"/>
                <w:highlight w:val="none"/>
                <w:lang w:val="en-US" w:eastAsia="zh-CN" w:bidi="ar"/>
              </w:rPr>
              <w:br w:type="textWrapping"/>
            </w:r>
            <w:r>
              <w:rPr>
                <w:rStyle w:val="98"/>
                <w:rFonts w:ascii="Times New Roman" w:hAnsi="Times New Roman" w:eastAsia="宋体" w:cs="宋体"/>
                <w:color w:val="auto"/>
                <w:sz w:val="21"/>
                <w:szCs w:val="21"/>
                <w:highlight w:val="none"/>
                <w:lang w:val="en-US" w:eastAsia="zh-CN" w:bidi="ar"/>
              </w:rPr>
              <w:t>5. 攻击特征库数量至少为9000+，IPS库覆盖漏洞：12000+.</w:t>
            </w:r>
          </w:p>
        </w:tc>
      </w:tr>
      <w:tr w14:paraId="14F18D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7CF51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无线接入区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C3F04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6387C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FF8FF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BB8B60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配置不少于6个10G端口；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吞吐量≥20Gbps，最大并发连接数≥600万，每秒新建连接数≥17万；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支持能够基于时间、用户/用户组/安全组、应用层协议、IP地址、端口、域名组、URL分类、接入类型、终端类型、设备组、内容安全统一界面进行安全策略配置.</w:t>
            </w:r>
          </w:p>
        </w:tc>
      </w:tr>
      <w:tr w14:paraId="7C8092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5"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1F120B">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49045F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入侵防御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D16ECB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A9D421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E56ADB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配置不少于4个10G光接口；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入侵防御吞吐能力≥20Gbps，最大并发TCP会话数≥500万；每秒新增TCP会话数≥40万；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针对网络病毒、蠕虫、间谍软件、木马后门、扫描探测、暴力破解等恶意流量进行检测和阻断.</w:t>
            </w:r>
          </w:p>
        </w:tc>
      </w:tr>
      <w:tr w14:paraId="3352A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E783EA">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88E838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防病毒墙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02F7DB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9C34BF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224D2D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配置不少于4个10G光接口；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防病毒处理能力不低于20Gbps；</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防护已知恶意软件(病毒、木马、蠕虫、后门、加密勒索软件、间谍软件、灰色软件、Rootkits等).</w:t>
            </w:r>
          </w:p>
        </w:tc>
      </w:tr>
      <w:tr w14:paraId="7CC69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DBDCB7">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857A0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网络审计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091784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37428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FA64D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配置不少于4个10G光接口；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对HTTP协议进行审计，审计内容包括：访问域，URL引用页、URL分类、http请求类型、http响应类型、请求文件、请求参数、访问行为、发布内容、请求结果、浏览器、服务器、HTTP响应时间、源目的地址、MAC地址等；</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支持FTP文件传输协议审计，可针对FTP协议进行文件传输的网络行为进行审计，审计内容包括但不限于文件名、FTP命令、传输用户等.</w:t>
            </w:r>
          </w:p>
        </w:tc>
      </w:tr>
      <w:tr w14:paraId="0946F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064B1">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67AB4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沙箱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26DB1F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BF2DB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9A9858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配置不少于2个10GE光口；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网络吞吐量:10Gbps，处理性能≥60000文件/天。</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支持协议还原与威胁检测，具备包完整性校验与碎片重组能力，可识别扫描探测、暴力破解、命令执行、黑客工具、异常SSL、可疑下载行为、异常协议、异常心跳等可疑流量行为.</w:t>
            </w:r>
          </w:p>
        </w:tc>
      </w:tr>
      <w:tr w14:paraId="59C7B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0AF331">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44A6CB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探针</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775B93C">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6CCD07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C847F7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配置不少于4个10G端口；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吞吐量10Gbps；</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支持对威胁流量与协议异常等恶意行为检测 ，如零日攻击、网络蠕虫、数据泄密、网络漏洞、网页威胁 、钓鱼攻击、暴力攻击、数据库注入攻击等.</w:t>
            </w:r>
          </w:p>
        </w:tc>
      </w:tr>
      <w:tr w14:paraId="3C130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6"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A517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安全管理区域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FE7CCA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8D6CCE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E573B2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10A066D">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7"/>
                <w:rFonts w:ascii="Times New Roman" w:hAnsi="Times New Roman" w:eastAsia="宋体" w:cs="宋体"/>
                <w:color w:val="auto"/>
                <w:sz w:val="21"/>
                <w:szCs w:val="21"/>
                <w:highlight w:val="none"/>
                <w:lang w:val="en-US" w:eastAsia="zh-CN" w:bidi="ar"/>
              </w:rPr>
              <w:t>1. 配置不少于4个千兆光口；</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2. 新建连接数≥3万 、并发连接数≥250万；</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3. 支持安全区域划分，访问控制列表，配置对象及策略，动态包过滤，黑名单，MAC和IP绑定功能，基于MAC的访问控制列表，802.1q VLAN 透传等功能；</w:t>
            </w:r>
            <w:r>
              <w:rPr>
                <w:rStyle w:val="97"/>
                <w:rFonts w:ascii="Times New Roman" w:hAnsi="Times New Roman" w:eastAsia="宋体" w:cs="宋体"/>
                <w:color w:val="auto"/>
                <w:sz w:val="21"/>
                <w:szCs w:val="21"/>
                <w:highlight w:val="none"/>
                <w:lang w:val="en-US" w:eastAsia="zh-CN" w:bidi="ar"/>
              </w:rPr>
              <w:br w:type="textWrapping"/>
            </w:r>
            <w:r>
              <w:rPr>
                <w:rStyle w:val="98"/>
                <w:rFonts w:ascii="Times New Roman" w:hAnsi="Times New Roman" w:eastAsia="宋体" w:cs="宋体"/>
                <w:color w:val="auto"/>
                <w:sz w:val="21"/>
                <w:szCs w:val="21"/>
                <w:highlight w:val="none"/>
                <w:lang w:val="en-US" w:eastAsia="zh-CN" w:bidi="ar"/>
              </w:rPr>
              <w:t>4. 配置应用层协议识别及流量控制功能、配置IPS、防病毒、URL过滤功能.</w:t>
            </w:r>
          </w:p>
        </w:tc>
      </w:tr>
      <w:tr w14:paraId="4959C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EC17E">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2D3C9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沙箱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9A890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41498B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511C66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配置万兆端口不少于2个；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吞吐量≥2Gbps，日样本分析能力≥20000个；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具有文件处理、病毒检测、静态检测以及动态检测等功能.</w:t>
            </w:r>
          </w:p>
        </w:tc>
      </w:tr>
      <w:tr w14:paraId="03ADD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1491CC">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E1EDD3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堡垒机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50281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57C5D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4C686C1">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配置不少于2个万兆光口；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字符协议不低于600个、图形协议不低于200个；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通过应用发布实现字符协议和文件传输协议的命令级审计和图形审计的双重审计效果，命令级审计，并支持通过搜索操作语句或执行结果中关键字定位审计回放，支持RDP、VNC图形操作行为的审计，图形回放形式还原真实操作过程.</w:t>
            </w:r>
          </w:p>
        </w:tc>
      </w:tr>
      <w:tr w14:paraId="06AD50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3156F5">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F45E84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网闸</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2437A4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88C469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BCD8F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内端机≥4个万兆端口、外端机≥4个万兆端口；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网络吞吐量≥10Gbps，并发连接数≥60万；</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支持基于文件大小和文件修改时间的同步策略，支持全库表同步，可直接映射两个独立数据库进行同步，支持每策略映射表数量控制，支持每策略映射同步方向控制.</w:t>
            </w:r>
          </w:p>
        </w:tc>
      </w:tr>
      <w:tr w14:paraId="33A2C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C9AADB">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14AC0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SSLVPN</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41AA6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06EA3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1695B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配置不少于4个千兆光接口；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SSLVPN吞吐量≥1Gbps，不少于100个SSLVPN用户许可；</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支持对常见应用服务（HTTP、FTP、SSH、SMTP、IMAP）和数据库软件（MySQL、Oracle）的口令暴力破解防护功能，支持HTTP、FTP、SMTP、POP3、IMAP、NFS等协议的病毒防护.</w:t>
            </w:r>
          </w:p>
        </w:tc>
      </w:tr>
      <w:tr w14:paraId="2B0BE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8E8D4">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EF04AB4">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态势感知</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576D8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150A1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套</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21E2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8"/>
                <w:rFonts w:ascii="Times New Roman" w:hAnsi="Times New Roman" w:eastAsia="宋体" w:cs="宋体"/>
                <w:color w:val="auto"/>
                <w:sz w:val="21"/>
                <w:szCs w:val="21"/>
                <w:highlight w:val="none"/>
                <w:lang w:val="en-US" w:eastAsia="zh-CN" w:bidi="ar"/>
              </w:rPr>
              <w:t>1. 支持ipv4\ipv6、多种协议的数据接入，包括但不限于FTP、SFTP、UDP、TCP、Netflow、本地文件系统、KAFKA、JDBC/ODBC，支持接入日志源不少于100个，支持扩容；</w:t>
            </w:r>
            <w:r>
              <w:rPr>
                <w:rStyle w:val="98"/>
                <w:rFonts w:ascii="Times New Roman" w:hAnsi="Times New Roman" w:eastAsia="宋体" w:cs="宋体"/>
                <w:color w:val="auto"/>
                <w:sz w:val="21"/>
                <w:szCs w:val="21"/>
                <w:highlight w:val="none"/>
                <w:lang w:val="en-US" w:eastAsia="zh-CN" w:bidi="ar"/>
              </w:rPr>
              <w:br w:type="textWrapping"/>
            </w:r>
            <w:r>
              <w:rPr>
                <w:rStyle w:val="98"/>
                <w:rFonts w:ascii="Times New Roman" w:hAnsi="Times New Roman" w:eastAsia="宋体" w:cs="宋体"/>
                <w:color w:val="auto"/>
                <w:sz w:val="21"/>
                <w:szCs w:val="21"/>
                <w:highlight w:val="none"/>
                <w:lang w:val="en-US" w:eastAsia="zh-CN" w:bidi="ar"/>
              </w:rPr>
              <w:t>2. 支持多源异构安全设备、网络设备、全流量设备、终端设备、APT威胁检测设备、漏洞扫描设备、网站安全检测、VPN设备等数据接入与威胁分析，输出可疑威胁事件；</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3. 支持使用DSL、SQL语句、字符串关键字等对历史流量进行回溯分析与检测，以发现规则漏检的攻击行为，可自定义时间范围、规则特征、流量数据、攻击阶段、严重程度、处置建议等;持安全事件的查询分析能力，支持提供快捷的全文检索条件，也支持通过时间范围、IP地址、事件类型、来源设备、威胁等级等条件进行查询.</w:t>
            </w:r>
          </w:p>
        </w:tc>
      </w:tr>
      <w:tr w14:paraId="67CB3D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A1B6F">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755ECF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通报预警</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867EB">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5F4AC">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12A773">
            <w:pPr>
              <w:keepNext w:val="0"/>
              <w:keepLines w:val="0"/>
              <w:pageBreakBefore w:val="0"/>
              <w:kinsoku/>
              <w:wordWrap/>
              <w:overflowPunct/>
              <w:topLinePunct w:val="0"/>
              <w:autoSpaceDE/>
              <w:autoSpaceDN/>
              <w:bidi w:val="0"/>
              <w:adjustRightInd/>
              <w:snapToGrid/>
              <w:spacing w:line="240" w:lineRule="auto"/>
              <w:jc w:val="both"/>
              <w:rPr>
                <w:rFonts w:hint="eastAsia" w:ascii="Times New Roman" w:hAnsi="Times New Roman" w:eastAsia="宋体" w:cs="宋体"/>
                <w:i w:val="0"/>
                <w:iCs w:val="0"/>
                <w:color w:val="auto"/>
                <w:sz w:val="21"/>
                <w:szCs w:val="21"/>
                <w:highlight w:val="none"/>
                <w:u w:val="none"/>
              </w:rPr>
            </w:pPr>
          </w:p>
        </w:tc>
      </w:tr>
      <w:tr w14:paraId="51BA9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58F8C9">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1F2DFD8">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威胁情报共享</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57FC96">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61FFB5">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2358B1">
            <w:pPr>
              <w:keepNext w:val="0"/>
              <w:keepLines w:val="0"/>
              <w:pageBreakBefore w:val="0"/>
              <w:kinsoku/>
              <w:wordWrap/>
              <w:overflowPunct/>
              <w:topLinePunct w:val="0"/>
              <w:autoSpaceDE/>
              <w:autoSpaceDN/>
              <w:bidi w:val="0"/>
              <w:adjustRightInd/>
              <w:snapToGrid/>
              <w:spacing w:line="240" w:lineRule="auto"/>
              <w:jc w:val="both"/>
              <w:rPr>
                <w:rFonts w:hint="eastAsia" w:ascii="Times New Roman" w:hAnsi="Times New Roman" w:eastAsia="宋体" w:cs="宋体"/>
                <w:i w:val="0"/>
                <w:iCs w:val="0"/>
                <w:color w:val="auto"/>
                <w:sz w:val="21"/>
                <w:szCs w:val="21"/>
                <w:highlight w:val="none"/>
                <w:u w:val="none"/>
              </w:rPr>
            </w:pPr>
          </w:p>
        </w:tc>
      </w:tr>
      <w:tr w14:paraId="7D6EC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374B1D">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041E83F">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安全管理控制</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1B3E36">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E5E8D">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B1A395">
            <w:pPr>
              <w:keepNext w:val="0"/>
              <w:keepLines w:val="0"/>
              <w:pageBreakBefore w:val="0"/>
              <w:kinsoku/>
              <w:wordWrap/>
              <w:overflowPunct/>
              <w:topLinePunct w:val="0"/>
              <w:autoSpaceDE/>
              <w:autoSpaceDN/>
              <w:bidi w:val="0"/>
              <w:adjustRightInd/>
              <w:snapToGrid/>
              <w:spacing w:line="240" w:lineRule="auto"/>
              <w:jc w:val="both"/>
              <w:rPr>
                <w:rFonts w:hint="eastAsia" w:ascii="Times New Roman" w:hAnsi="Times New Roman" w:eastAsia="宋体" w:cs="宋体"/>
                <w:i w:val="0"/>
                <w:iCs w:val="0"/>
                <w:color w:val="auto"/>
                <w:sz w:val="21"/>
                <w:szCs w:val="21"/>
                <w:highlight w:val="none"/>
                <w:u w:val="none"/>
              </w:rPr>
            </w:pPr>
          </w:p>
        </w:tc>
      </w:tr>
      <w:tr w14:paraId="3A261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286C46">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9603A6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漏洞扫描</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1355B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336DB6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043551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支持100/1000M端口；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支持IPv4/IPv6双协议栈地址场景漏洞扫描，授权无限IP地址数；</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安全性：用户多次登录失败时，自动锁定，允许自定义超时时间及登陆失败次数，设备日志支持本地保存以及通过syslog方式外发至日志服务器.</w:t>
            </w:r>
          </w:p>
        </w:tc>
      </w:tr>
      <w:tr w14:paraId="65A46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A0915">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B86DBE0">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日志审计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209418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C010A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879022">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支持单独建设安全日志系统，提供集中化统一日志管理，采集政务外网各安全边界设备的日志信息。</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支持高性能日志处理能力：千兆接入，事件入库性能不低于4000EPS，日志源不少于1024个；</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支持对流量日志、威胁日志、系统日志、管理员运维日志等进行审计，支持日志统一格式输出、报表自动生成及图形化展示，并按等保要求确保审计日志留存时间至少6个月.</w:t>
            </w:r>
          </w:p>
        </w:tc>
      </w:tr>
      <w:tr w14:paraId="3B54C2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B292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DNS区域</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A4183A6">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防火墙</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F99E6F5">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50656EB">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F063B27">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Style w:val="97"/>
                <w:rFonts w:ascii="Times New Roman" w:hAnsi="Times New Roman" w:eastAsia="宋体" w:cs="宋体"/>
                <w:color w:val="auto"/>
                <w:sz w:val="21"/>
                <w:szCs w:val="21"/>
                <w:highlight w:val="none"/>
                <w:lang w:val="en-US" w:eastAsia="zh-CN" w:bidi="ar"/>
              </w:rPr>
              <w:t>1. 配置不少于</w:t>
            </w:r>
            <w:r>
              <w:rPr>
                <w:rStyle w:val="98"/>
                <w:rFonts w:ascii="Times New Roman" w:hAnsi="Times New Roman" w:eastAsia="宋体" w:cs="宋体"/>
                <w:color w:val="auto"/>
                <w:sz w:val="21"/>
                <w:szCs w:val="21"/>
                <w:highlight w:val="none"/>
                <w:lang w:val="en-US" w:eastAsia="zh-CN" w:bidi="ar"/>
              </w:rPr>
              <w:t>4</w:t>
            </w:r>
            <w:r>
              <w:rPr>
                <w:rStyle w:val="97"/>
                <w:rFonts w:ascii="Times New Roman" w:hAnsi="Times New Roman" w:eastAsia="宋体" w:cs="宋体"/>
                <w:color w:val="auto"/>
                <w:sz w:val="21"/>
                <w:szCs w:val="21"/>
                <w:highlight w:val="none"/>
                <w:lang w:val="en-US" w:eastAsia="zh-CN" w:bidi="ar"/>
              </w:rPr>
              <w:t>个万兆光口；</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2. 新建连接数≥24万 、并发连接数≥1000万；</w:t>
            </w:r>
            <w:r>
              <w:rPr>
                <w:rStyle w:val="97"/>
                <w:rFonts w:ascii="Times New Roman" w:hAnsi="Times New Roman" w:eastAsia="宋体" w:cs="宋体"/>
                <w:color w:val="auto"/>
                <w:sz w:val="21"/>
                <w:szCs w:val="21"/>
                <w:highlight w:val="none"/>
                <w:lang w:val="en-US" w:eastAsia="zh-CN" w:bidi="ar"/>
              </w:rPr>
              <w:br w:type="textWrapping"/>
            </w:r>
            <w:r>
              <w:rPr>
                <w:rStyle w:val="97"/>
                <w:rFonts w:ascii="Times New Roman" w:hAnsi="Times New Roman" w:eastAsia="宋体" w:cs="宋体"/>
                <w:color w:val="auto"/>
                <w:sz w:val="21"/>
                <w:szCs w:val="21"/>
                <w:highlight w:val="none"/>
                <w:lang w:val="en-US" w:eastAsia="zh-CN" w:bidi="ar"/>
              </w:rPr>
              <w:t>3. 支持安全区域划分，访问控制列表，配置对象及策略，动态包过滤，黑名单，MAC 和 IP 绑定功能，基于MAC的访问控制列表，802.1q VLAN 透传等功能.</w:t>
            </w:r>
          </w:p>
        </w:tc>
      </w:tr>
      <w:tr w14:paraId="084EEB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85151F">
            <w:pPr>
              <w:keepNext w:val="0"/>
              <w:keepLines w:val="0"/>
              <w:pageBreakBefore w:val="0"/>
              <w:kinsoku/>
              <w:wordWrap/>
              <w:overflowPunct/>
              <w:topLinePunct w:val="0"/>
              <w:autoSpaceDE/>
              <w:autoSpaceDN/>
              <w:bidi w:val="0"/>
              <w:adjustRightInd/>
              <w:snapToGrid/>
              <w:spacing w:line="240" w:lineRule="auto"/>
              <w:jc w:val="center"/>
              <w:rPr>
                <w:rFonts w:hint="eastAsia" w:ascii="Times New Roman" w:hAnsi="Times New Roman" w:eastAsia="宋体" w:cs="宋体"/>
                <w:i w:val="0"/>
                <w:iCs w:val="0"/>
                <w:color w:val="auto"/>
                <w:sz w:val="21"/>
                <w:szCs w:val="21"/>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DB1E193">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沙箱</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4E6005E">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BE5A299">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7EA16BA">
            <w:pPr>
              <w:keepNext w:val="0"/>
              <w:keepLines w:val="0"/>
              <w:pageBreakBefore w:val="0"/>
              <w:widowControl/>
              <w:suppressLineNumbers w:val="0"/>
              <w:kinsoku/>
              <w:wordWrap/>
              <w:overflowPunct/>
              <w:topLinePunct w:val="0"/>
              <w:autoSpaceDE/>
              <w:autoSpaceDN/>
              <w:bidi w:val="0"/>
              <w:adjustRightInd/>
              <w:snapToGrid/>
              <w:spacing w:line="240" w:lineRule="auto"/>
              <w:ind w:firstLine="0" w:firstLineChars="0"/>
              <w:jc w:val="both"/>
              <w:textAlignment w:val="center"/>
              <w:rPr>
                <w:rFonts w:hint="eastAsia" w:ascii="Times New Roman" w:hAnsi="Times New Roman" w:eastAsia="宋体" w:cs="宋体"/>
                <w:i w:val="0"/>
                <w:iCs w:val="0"/>
                <w:color w:val="auto"/>
                <w:sz w:val="21"/>
                <w:szCs w:val="21"/>
                <w:highlight w:val="none"/>
                <w:u w:val="none"/>
              </w:rPr>
            </w:pPr>
            <w:r>
              <w:rPr>
                <w:rFonts w:hint="eastAsia" w:ascii="Times New Roman" w:hAnsi="Times New Roman" w:eastAsia="宋体" w:cs="宋体"/>
                <w:i w:val="0"/>
                <w:iCs w:val="0"/>
                <w:color w:val="auto"/>
                <w:kern w:val="0"/>
                <w:sz w:val="21"/>
                <w:szCs w:val="21"/>
                <w:highlight w:val="none"/>
                <w:u w:val="none"/>
                <w:lang w:val="en-US" w:eastAsia="zh-CN" w:bidi="ar"/>
              </w:rPr>
              <w:t>1. 配置不少于2个万兆光接口；</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2. 支持采集IPv4、IPv6流量并进行协议解析，支持对各种格式的应用文档进行威胁检测，包括Word、Excel、PPT、PDF、HTML、JS、EXE、JPG、GIF、PNG等；</w:t>
            </w:r>
            <w:r>
              <w:rPr>
                <w:rFonts w:hint="eastAsia" w:ascii="Times New Roman" w:hAnsi="Times New Roman" w:eastAsia="宋体" w:cs="宋体"/>
                <w:i w:val="0"/>
                <w:iCs w:val="0"/>
                <w:color w:val="auto"/>
                <w:kern w:val="0"/>
                <w:sz w:val="21"/>
                <w:szCs w:val="21"/>
                <w:highlight w:val="none"/>
                <w:u w:val="none"/>
                <w:lang w:val="en-US" w:eastAsia="zh-CN" w:bidi="ar"/>
              </w:rPr>
              <w:br w:type="textWrapping"/>
            </w:r>
            <w:r>
              <w:rPr>
                <w:rFonts w:hint="eastAsia" w:ascii="Times New Roman" w:hAnsi="Times New Roman" w:eastAsia="宋体" w:cs="宋体"/>
                <w:i w:val="0"/>
                <w:iCs w:val="0"/>
                <w:color w:val="auto"/>
                <w:kern w:val="0"/>
                <w:sz w:val="21"/>
                <w:szCs w:val="21"/>
                <w:highlight w:val="none"/>
                <w:u w:val="none"/>
                <w:lang w:val="en-US" w:eastAsia="zh-CN" w:bidi="ar"/>
              </w:rPr>
              <w:t>3. PE、PDF、Office、图像文件、脚本文件检测性能≥10万文件/天；Web文件检测性能≥10万文件/小时.</w:t>
            </w:r>
          </w:p>
        </w:tc>
      </w:tr>
    </w:tbl>
    <w:p w14:paraId="467BBA69">
      <w:pPr>
        <w:spacing w:line="240" w:lineRule="auto"/>
        <w:ind w:firstLine="480"/>
        <w:rPr>
          <w:rFonts w:ascii="Times New Roman" w:hAnsi="Times New Roman" w:eastAsia="仿宋_GB2312"/>
          <w:color w:val="auto"/>
          <w:sz w:val="24"/>
          <w:szCs w:val="24"/>
          <w:highlight w:val="none"/>
        </w:rPr>
      </w:pPr>
    </w:p>
    <w:p w14:paraId="02F15B4A">
      <w:pPr>
        <w:pStyle w:val="3"/>
        <w:rPr>
          <w:rFonts w:ascii="Times New Roman" w:hAnsi="Times New Roman"/>
          <w:color w:val="auto"/>
          <w:highlight w:val="none"/>
        </w:rPr>
      </w:pPr>
      <w:bookmarkStart w:id="118" w:name="_Toc3077"/>
      <w:bookmarkStart w:id="119" w:name="_Toc24445"/>
      <w:bookmarkStart w:id="120" w:name="_Toc5411"/>
      <w:r>
        <w:rPr>
          <w:rFonts w:hint="eastAsia" w:ascii="Times New Roman" w:hAnsi="Times New Roman"/>
          <w:color w:val="auto"/>
          <w:highlight w:val="none"/>
        </w:rPr>
        <w:t>安全管理中心技术要求</w:t>
      </w:r>
      <w:bookmarkEnd w:id="115"/>
      <w:bookmarkEnd w:id="116"/>
      <w:bookmarkEnd w:id="117"/>
      <w:bookmarkEnd w:id="118"/>
      <w:bookmarkEnd w:id="119"/>
      <w:bookmarkEnd w:id="120"/>
    </w:p>
    <w:p w14:paraId="33270EFE">
      <w:pPr>
        <w:pStyle w:val="4"/>
        <w:ind w:firstLine="561"/>
        <w:rPr>
          <w:rFonts w:ascii="Times New Roman" w:hAnsi="Times New Roman"/>
          <w:color w:val="auto"/>
          <w:highlight w:val="none"/>
        </w:rPr>
      </w:pPr>
      <w:bookmarkStart w:id="121" w:name="_Toc13885"/>
      <w:bookmarkStart w:id="122" w:name="_Toc25870"/>
      <w:bookmarkStart w:id="123" w:name="_Toc23682"/>
      <w:bookmarkStart w:id="124" w:name="_Toc13692"/>
      <w:bookmarkStart w:id="125" w:name="_Toc284"/>
      <w:bookmarkStart w:id="126" w:name="_Toc16786"/>
      <w:r>
        <w:rPr>
          <w:rFonts w:hint="eastAsia" w:ascii="Times New Roman" w:hAnsi="Times New Roman"/>
          <w:color w:val="auto"/>
          <w:highlight w:val="none"/>
        </w:rPr>
        <w:t>安全管理中心规范要求</w:t>
      </w:r>
      <w:bookmarkEnd w:id="121"/>
      <w:bookmarkEnd w:id="122"/>
      <w:bookmarkEnd w:id="123"/>
      <w:bookmarkEnd w:id="124"/>
      <w:bookmarkEnd w:id="125"/>
      <w:bookmarkEnd w:id="126"/>
    </w:p>
    <w:p w14:paraId="0AF920E6">
      <w:pPr>
        <w:keepNext w:val="0"/>
        <w:keepLines w:val="0"/>
        <w:pageBreakBefore w:val="0"/>
        <w:widowControl w:val="0"/>
        <w:kinsoku/>
        <w:wordWrap/>
        <w:overflowPunct/>
        <w:topLinePunct w:val="0"/>
        <w:autoSpaceDE/>
        <w:autoSpaceDN/>
        <w:bidi w:val="0"/>
        <w:adjustRightInd/>
        <w:snapToGrid/>
        <w:spacing w:line="560" w:lineRule="exact"/>
        <w:ind w:firstLine="560" w:firstLineChars="0"/>
        <w:jc w:val="both"/>
        <w:textAlignment w:val="auto"/>
        <w:rPr>
          <w:rFonts w:hint="eastAsia" w:ascii="Times New Roman" w:hAnsi="Times New Roman" w:eastAsia="仿宋_GB2312"/>
          <w:color w:val="auto"/>
          <w:sz w:val="24"/>
          <w:szCs w:val="24"/>
          <w:highlight w:val="none"/>
          <w:lang w:eastAsia="zh-CN"/>
        </w:rPr>
      </w:pPr>
      <w:r>
        <w:rPr>
          <w:rFonts w:hint="eastAsia" w:ascii="Times New Roman" w:hAnsi="Times New Roman" w:eastAsia="仿宋_GB2312"/>
          <w:color w:val="auto"/>
          <w:highlight w:val="none"/>
        </w:rPr>
        <w:t>根据等保三级规范要求，应建设安全管理中心，</w:t>
      </w:r>
      <w:r>
        <w:rPr>
          <w:rFonts w:hint="eastAsia" w:ascii="Times New Roman" w:hAnsi="Times New Roman" w:eastAsia="仿宋_GB2312"/>
          <w:color w:val="auto"/>
          <w:highlight w:val="none"/>
          <w:lang w:val="en-US" w:eastAsia="zh-CN"/>
        </w:rPr>
        <w:t>实现</w:t>
      </w:r>
      <w:r>
        <w:rPr>
          <w:rFonts w:hint="eastAsia" w:ascii="Times New Roman" w:hAnsi="Times New Roman" w:eastAsia="仿宋_GB2312"/>
          <w:color w:val="auto"/>
          <w:highlight w:val="none"/>
        </w:rPr>
        <w:t>对网络设备、安全设备</w:t>
      </w:r>
      <w:r>
        <w:rPr>
          <w:rFonts w:hint="eastAsia" w:ascii="Times New Roman" w:hAnsi="Times New Roman" w:eastAsia="仿宋_GB2312"/>
          <w:color w:val="auto"/>
          <w:highlight w:val="none"/>
          <w:lang w:val="en-US" w:eastAsia="zh-CN"/>
        </w:rPr>
        <w:t>的统一</w:t>
      </w:r>
      <w:r>
        <w:rPr>
          <w:rFonts w:hint="eastAsia" w:ascii="Times New Roman" w:hAnsi="Times New Roman" w:eastAsia="仿宋_GB2312"/>
          <w:color w:val="auto"/>
          <w:highlight w:val="none"/>
        </w:rPr>
        <w:t>运维管理，</w:t>
      </w:r>
      <w:r>
        <w:rPr>
          <w:rFonts w:hint="eastAsia" w:ascii="Times New Roman" w:hAnsi="Times New Roman" w:eastAsia="仿宋_GB2312"/>
          <w:color w:val="auto"/>
          <w:highlight w:val="none"/>
          <w:lang w:val="en-US" w:eastAsia="zh-CN"/>
        </w:rPr>
        <w:t>并具备</w:t>
      </w:r>
      <w:r>
        <w:rPr>
          <w:rFonts w:hint="eastAsia" w:ascii="Times New Roman" w:hAnsi="Times New Roman" w:eastAsia="仿宋_GB2312"/>
          <w:color w:val="auto"/>
          <w:highlight w:val="none"/>
        </w:rPr>
        <w:t>安全事件分析、风险分析、通报</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预警</w:t>
      </w:r>
      <w:r>
        <w:rPr>
          <w:rFonts w:hint="eastAsia" w:ascii="Times New Roman" w:hAnsi="Times New Roman" w:eastAsia="仿宋_GB2312"/>
          <w:color w:val="auto"/>
          <w:highlight w:val="none"/>
          <w:lang w:val="en-US" w:eastAsia="zh-CN"/>
        </w:rPr>
        <w:t>等功能</w:t>
      </w:r>
      <w:r>
        <w:rPr>
          <w:rFonts w:hint="eastAsia" w:ascii="Times New Roman" w:hAnsi="Times New Roman" w:eastAsia="仿宋_GB2312"/>
          <w:color w:val="auto"/>
          <w:highlight w:val="none"/>
        </w:rPr>
        <w:t>。安全管理中心应在系统管理、审计管理、安全管理（</w:t>
      </w:r>
      <w:r>
        <w:rPr>
          <w:rFonts w:hint="eastAsia" w:ascii="Times New Roman" w:hAnsi="Times New Roman" w:eastAsia="仿宋_GB2312"/>
          <w:color w:val="auto"/>
          <w:highlight w:val="none"/>
          <w:lang w:val="en-US" w:eastAsia="zh-CN"/>
        </w:rPr>
        <w:t>包括</w:t>
      </w:r>
      <w:r>
        <w:rPr>
          <w:rFonts w:hint="eastAsia" w:ascii="Times New Roman" w:hAnsi="Times New Roman" w:eastAsia="仿宋_GB2312"/>
          <w:color w:val="auto"/>
          <w:highlight w:val="none"/>
        </w:rPr>
        <w:t>系统防病毒软件</w:t>
      </w:r>
      <w:r>
        <w:rPr>
          <w:rFonts w:hint="eastAsia" w:ascii="Times New Roman" w:hAnsi="Times New Roman" w:eastAsia="仿宋_GB2312"/>
          <w:color w:val="auto"/>
          <w:highlight w:val="none"/>
          <w:lang w:val="en-US" w:eastAsia="zh-CN"/>
        </w:rPr>
        <w:t>安装</w:t>
      </w:r>
      <w:r>
        <w:rPr>
          <w:rFonts w:hint="eastAsia" w:ascii="Times New Roman" w:hAnsi="Times New Roman" w:eastAsia="仿宋_GB2312"/>
          <w:color w:val="auto"/>
          <w:highlight w:val="none"/>
        </w:rPr>
        <w:t>及补丁升级等）</w:t>
      </w:r>
      <w:r>
        <w:rPr>
          <w:rFonts w:hint="eastAsia" w:ascii="Times New Roman" w:hAnsi="Times New Roman" w:eastAsia="仿宋_GB2312"/>
          <w:color w:val="auto"/>
          <w:highlight w:val="none"/>
          <w:lang w:val="en-US" w:eastAsia="zh-CN"/>
        </w:rPr>
        <w:t>以及</w:t>
      </w:r>
      <w:r>
        <w:rPr>
          <w:rFonts w:hint="eastAsia" w:ascii="Times New Roman" w:hAnsi="Times New Roman" w:eastAsia="仿宋_GB2312"/>
          <w:color w:val="auto"/>
          <w:highlight w:val="none"/>
        </w:rPr>
        <w:t>集中管控四个方面</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满足</w:t>
      </w:r>
      <w:r>
        <w:rPr>
          <w:rFonts w:hint="eastAsia" w:ascii="Times New Roman" w:hAnsi="Times New Roman" w:eastAsia="仿宋_GB2312"/>
          <w:color w:val="auto"/>
          <w:highlight w:val="none"/>
        </w:rPr>
        <w:t>相应等级的</w:t>
      </w:r>
      <w:r>
        <w:rPr>
          <w:rFonts w:hint="eastAsia" w:ascii="Times New Roman" w:hAnsi="Times New Roman" w:eastAsia="仿宋_GB2312"/>
          <w:color w:val="auto"/>
          <w:highlight w:val="none"/>
          <w:lang w:val="en-US" w:eastAsia="zh-CN"/>
        </w:rPr>
        <w:t>安全</w:t>
      </w:r>
      <w:r>
        <w:rPr>
          <w:rFonts w:hint="eastAsia" w:ascii="Times New Roman" w:hAnsi="Times New Roman" w:eastAsia="仿宋_GB2312"/>
          <w:color w:val="auto"/>
          <w:highlight w:val="none"/>
        </w:rPr>
        <w:t>测评指标。</w:t>
      </w:r>
    </w:p>
    <w:p w14:paraId="03BBC25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安全管理中心包含态势感知、通报预警、威胁情报共享、漏洞扫描、安全管理控制、日志审计系统共</w:t>
      </w:r>
      <w:r>
        <w:rPr>
          <w:rFonts w:hint="eastAsia" w:ascii="Times New Roman" w:hAnsi="Times New Roman" w:eastAsia="仿宋_GB2312"/>
          <w:color w:val="auto"/>
          <w:highlight w:val="none"/>
          <w:lang w:val="en-US" w:eastAsia="zh-CN"/>
        </w:rPr>
        <w:t>六</w:t>
      </w:r>
      <w:r>
        <w:rPr>
          <w:rFonts w:hint="eastAsia" w:ascii="Times New Roman" w:hAnsi="Times New Roman" w:eastAsia="仿宋_GB2312"/>
          <w:color w:val="auto"/>
          <w:highlight w:val="none"/>
        </w:rPr>
        <w:t>个</w:t>
      </w:r>
      <w:r>
        <w:rPr>
          <w:rFonts w:hint="eastAsia" w:ascii="Times New Roman" w:hAnsi="Times New Roman" w:eastAsia="仿宋_GB2312"/>
          <w:color w:val="auto"/>
          <w:highlight w:val="none"/>
          <w:lang w:val="en-US" w:eastAsia="zh-CN"/>
        </w:rPr>
        <w:t>功能</w:t>
      </w:r>
      <w:r>
        <w:rPr>
          <w:rFonts w:hint="eastAsia" w:ascii="Times New Roman" w:hAnsi="Times New Roman" w:eastAsia="仿宋_GB2312"/>
          <w:color w:val="auto"/>
          <w:highlight w:val="none"/>
        </w:rPr>
        <w:t>模块，</w:t>
      </w:r>
      <w:r>
        <w:rPr>
          <w:rFonts w:hint="eastAsia" w:ascii="Times New Roman" w:hAnsi="Times New Roman" w:eastAsia="仿宋_GB2312"/>
          <w:color w:val="auto"/>
          <w:highlight w:val="none"/>
          <w:lang w:val="en-US" w:eastAsia="zh-CN"/>
        </w:rPr>
        <w:t>旨在</w:t>
      </w:r>
      <w:r>
        <w:rPr>
          <w:rFonts w:hint="eastAsia" w:ascii="Times New Roman" w:hAnsi="Times New Roman" w:eastAsia="仿宋_GB2312"/>
          <w:color w:val="auto"/>
          <w:highlight w:val="none"/>
        </w:rPr>
        <w:t>实现政务外网的全网威胁可视化、通报预警</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统一安全运营。其中，态势感知、通报预警、威胁情报共享</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漏洞扫描作为安全监测系统的关键</w:t>
      </w:r>
      <w:r>
        <w:rPr>
          <w:rFonts w:hint="eastAsia" w:ascii="Times New Roman" w:hAnsi="Times New Roman" w:eastAsia="仿宋_GB2312"/>
          <w:color w:val="auto"/>
          <w:highlight w:val="none"/>
          <w:lang w:val="en-US" w:eastAsia="zh-CN"/>
        </w:rPr>
        <w:t>组成部分</w:t>
      </w:r>
      <w:r>
        <w:rPr>
          <w:rFonts w:hint="eastAsia" w:ascii="Times New Roman" w:hAnsi="Times New Roman" w:eastAsia="仿宋_GB2312"/>
          <w:color w:val="auto"/>
          <w:highlight w:val="none"/>
        </w:rPr>
        <w:t>，需实现与国家政务外网安全监测系统的互通与信息共享。各模块的建设要求如下：</w:t>
      </w:r>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594"/>
        <w:gridCol w:w="6000"/>
      </w:tblGrid>
      <w:tr w14:paraId="46619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509" w:type="pct"/>
            <w:shd w:val="clear" w:color="auto" w:fill="auto"/>
            <w:tcMar>
              <w:top w:w="72" w:type="dxa"/>
              <w:left w:w="144" w:type="dxa"/>
              <w:bottom w:w="72" w:type="dxa"/>
              <w:right w:w="144" w:type="dxa"/>
            </w:tcMar>
            <w:vAlign w:val="center"/>
          </w:tcPr>
          <w:p w14:paraId="4495386E">
            <w:pPr>
              <w:spacing w:line="240" w:lineRule="auto"/>
              <w:ind w:firstLine="0" w:firstLineChars="0"/>
              <w:jc w:val="both"/>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模块</w:t>
            </w:r>
          </w:p>
        </w:tc>
        <w:tc>
          <w:tcPr>
            <w:tcW w:w="3491" w:type="pct"/>
            <w:shd w:val="clear" w:color="auto" w:fill="auto"/>
            <w:tcMar>
              <w:top w:w="72" w:type="dxa"/>
              <w:left w:w="144" w:type="dxa"/>
              <w:bottom w:w="72" w:type="dxa"/>
              <w:right w:w="144" w:type="dxa"/>
            </w:tcMar>
            <w:vAlign w:val="center"/>
          </w:tcPr>
          <w:p w14:paraId="637611DF">
            <w:pPr>
              <w:spacing w:line="240" w:lineRule="auto"/>
              <w:ind w:firstLine="0" w:firstLineChars="0"/>
              <w:jc w:val="both"/>
              <w:rPr>
                <w:rFonts w:hint="eastAsia" w:ascii="Times New Roman" w:hAnsi="Times New Roman" w:eastAsia="宋体" w:cs="宋体"/>
                <w:b/>
                <w:color w:val="auto"/>
                <w:sz w:val="21"/>
                <w:szCs w:val="21"/>
                <w:highlight w:val="none"/>
              </w:rPr>
            </w:pPr>
            <w:r>
              <w:rPr>
                <w:rFonts w:hint="eastAsia" w:ascii="Times New Roman" w:hAnsi="Times New Roman" w:eastAsia="宋体" w:cs="宋体"/>
                <w:b/>
                <w:color w:val="auto"/>
                <w:sz w:val="21"/>
                <w:szCs w:val="21"/>
                <w:highlight w:val="none"/>
              </w:rPr>
              <w:t>包含组件</w:t>
            </w:r>
          </w:p>
        </w:tc>
      </w:tr>
      <w:tr w14:paraId="24333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00" w:hRule="atLeast"/>
          <w:jc w:val="center"/>
        </w:trPr>
        <w:tc>
          <w:tcPr>
            <w:tcW w:w="1509" w:type="pct"/>
            <w:tcMar>
              <w:top w:w="72" w:type="dxa"/>
              <w:left w:w="144" w:type="dxa"/>
              <w:bottom w:w="72" w:type="dxa"/>
              <w:right w:w="144" w:type="dxa"/>
            </w:tcMar>
            <w:vAlign w:val="center"/>
          </w:tcPr>
          <w:p w14:paraId="4587B915">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态势感知</w:t>
            </w:r>
          </w:p>
        </w:tc>
        <w:tc>
          <w:tcPr>
            <w:tcW w:w="3491" w:type="pct"/>
            <w:tcMar>
              <w:top w:w="72" w:type="dxa"/>
              <w:left w:w="144" w:type="dxa"/>
              <w:bottom w:w="72" w:type="dxa"/>
              <w:right w:w="144" w:type="dxa"/>
            </w:tcMar>
            <w:vAlign w:val="center"/>
          </w:tcPr>
          <w:p w14:paraId="34670030">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探针、大数据分析、安全分析、可视化展示</w:t>
            </w:r>
          </w:p>
        </w:tc>
      </w:tr>
      <w:tr w14:paraId="6EC48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4" w:hRule="atLeast"/>
          <w:jc w:val="center"/>
        </w:trPr>
        <w:tc>
          <w:tcPr>
            <w:tcW w:w="1509" w:type="pct"/>
            <w:tcMar>
              <w:top w:w="72" w:type="dxa"/>
              <w:left w:w="144" w:type="dxa"/>
              <w:bottom w:w="72" w:type="dxa"/>
              <w:right w:w="144" w:type="dxa"/>
            </w:tcMar>
            <w:vAlign w:val="center"/>
          </w:tcPr>
          <w:p w14:paraId="13FBE060">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通报预警</w:t>
            </w:r>
          </w:p>
        </w:tc>
        <w:tc>
          <w:tcPr>
            <w:tcW w:w="3491" w:type="pct"/>
            <w:tcMar>
              <w:top w:w="72" w:type="dxa"/>
              <w:left w:w="144" w:type="dxa"/>
              <w:bottom w:w="72" w:type="dxa"/>
              <w:right w:w="144" w:type="dxa"/>
            </w:tcMar>
            <w:vAlign w:val="center"/>
          </w:tcPr>
          <w:p w14:paraId="5E027B0F">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可由态势感知子系统提供通报预警接口</w:t>
            </w:r>
          </w:p>
        </w:tc>
      </w:tr>
      <w:tr w14:paraId="6ACCF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7" w:hRule="atLeast"/>
          <w:jc w:val="center"/>
        </w:trPr>
        <w:tc>
          <w:tcPr>
            <w:tcW w:w="1509" w:type="pct"/>
            <w:tcMar>
              <w:top w:w="72" w:type="dxa"/>
              <w:left w:w="144" w:type="dxa"/>
              <w:bottom w:w="72" w:type="dxa"/>
              <w:right w:w="144" w:type="dxa"/>
            </w:tcMar>
            <w:vAlign w:val="center"/>
          </w:tcPr>
          <w:p w14:paraId="48AE3528">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威胁情报共享</w:t>
            </w:r>
          </w:p>
        </w:tc>
        <w:tc>
          <w:tcPr>
            <w:tcW w:w="3491" w:type="pct"/>
            <w:tcMar>
              <w:top w:w="72" w:type="dxa"/>
              <w:left w:w="144" w:type="dxa"/>
              <w:bottom w:w="72" w:type="dxa"/>
              <w:right w:w="144" w:type="dxa"/>
            </w:tcMar>
            <w:vAlign w:val="center"/>
          </w:tcPr>
          <w:p w14:paraId="51AF1DB2">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可由态势感知子系统提供威胁情报共享接口</w:t>
            </w:r>
          </w:p>
        </w:tc>
      </w:tr>
      <w:tr w14:paraId="4761F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83" w:hRule="atLeast"/>
          <w:jc w:val="center"/>
        </w:trPr>
        <w:tc>
          <w:tcPr>
            <w:tcW w:w="1509" w:type="pct"/>
            <w:tcMar>
              <w:top w:w="72" w:type="dxa"/>
              <w:left w:w="144" w:type="dxa"/>
              <w:bottom w:w="72" w:type="dxa"/>
              <w:right w:w="144" w:type="dxa"/>
            </w:tcMar>
            <w:vAlign w:val="center"/>
          </w:tcPr>
          <w:p w14:paraId="586F8726">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漏洞扫描</w:t>
            </w:r>
          </w:p>
        </w:tc>
        <w:tc>
          <w:tcPr>
            <w:tcW w:w="3491" w:type="pct"/>
            <w:tcMar>
              <w:top w:w="72" w:type="dxa"/>
              <w:left w:w="144" w:type="dxa"/>
              <w:bottom w:w="72" w:type="dxa"/>
              <w:right w:w="144" w:type="dxa"/>
            </w:tcMar>
            <w:vAlign w:val="center"/>
          </w:tcPr>
          <w:p w14:paraId="1C6C8D34">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漏洞扫描设备</w:t>
            </w:r>
          </w:p>
        </w:tc>
      </w:tr>
      <w:tr w14:paraId="2B6DD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79" w:hRule="atLeast"/>
          <w:jc w:val="center"/>
        </w:trPr>
        <w:tc>
          <w:tcPr>
            <w:tcW w:w="1509" w:type="pct"/>
            <w:tcMar>
              <w:top w:w="72" w:type="dxa"/>
              <w:left w:w="144" w:type="dxa"/>
              <w:bottom w:w="72" w:type="dxa"/>
              <w:right w:w="144" w:type="dxa"/>
            </w:tcMar>
            <w:vAlign w:val="center"/>
          </w:tcPr>
          <w:p w14:paraId="4FCD88DF">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安全管理控制</w:t>
            </w:r>
          </w:p>
        </w:tc>
        <w:tc>
          <w:tcPr>
            <w:tcW w:w="3491" w:type="pct"/>
            <w:tcMar>
              <w:top w:w="72" w:type="dxa"/>
              <w:left w:w="144" w:type="dxa"/>
              <w:bottom w:w="72" w:type="dxa"/>
              <w:right w:w="144" w:type="dxa"/>
            </w:tcMar>
            <w:vAlign w:val="center"/>
          </w:tcPr>
          <w:p w14:paraId="30B197FA">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安全管理软件</w:t>
            </w:r>
          </w:p>
        </w:tc>
      </w:tr>
      <w:tr w14:paraId="27CC5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1" w:hRule="atLeast"/>
          <w:jc w:val="center"/>
        </w:trPr>
        <w:tc>
          <w:tcPr>
            <w:tcW w:w="1509" w:type="pct"/>
            <w:tcMar>
              <w:top w:w="72" w:type="dxa"/>
              <w:left w:w="144" w:type="dxa"/>
              <w:bottom w:w="72" w:type="dxa"/>
              <w:right w:w="144" w:type="dxa"/>
            </w:tcMar>
            <w:vAlign w:val="center"/>
          </w:tcPr>
          <w:p w14:paraId="223A6CA7">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日志审计系统</w:t>
            </w:r>
          </w:p>
        </w:tc>
        <w:tc>
          <w:tcPr>
            <w:tcW w:w="3491" w:type="pct"/>
            <w:tcMar>
              <w:top w:w="72" w:type="dxa"/>
              <w:left w:w="144" w:type="dxa"/>
              <w:bottom w:w="72" w:type="dxa"/>
              <w:right w:w="144" w:type="dxa"/>
            </w:tcMar>
            <w:vAlign w:val="center"/>
          </w:tcPr>
          <w:p w14:paraId="2102DAC6">
            <w:pPr>
              <w:spacing w:line="240" w:lineRule="auto"/>
              <w:ind w:firstLine="0" w:firstLineChars="0"/>
              <w:jc w:val="both"/>
              <w:rPr>
                <w:rFonts w:hint="eastAsia" w:ascii="Times New Roman" w:hAnsi="Times New Roman" w:eastAsia="宋体" w:cs="宋体"/>
                <w:color w:val="auto"/>
                <w:sz w:val="21"/>
                <w:szCs w:val="21"/>
                <w:highlight w:val="none"/>
              </w:rPr>
            </w:pPr>
            <w:r>
              <w:rPr>
                <w:rFonts w:hint="eastAsia" w:ascii="Times New Roman" w:hAnsi="Times New Roman" w:eastAsia="宋体" w:cs="宋体"/>
                <w:color w:val="auto"/>
                <w:sz w:val="21"/>
                <w:szCs w:val="21"/>
                <w:highlight w:val="none"/>
              </w:rPr>
              <w:t>日志审计软件</w:t>
            </w:r>
            <w:r>
              <w:rPr>
                <w:rFonts w:hint="eastAsia" w:ascii="Times New Roman" w:hAnsi="Times New Roman" w:eastAsia="宋体" w:cs="宋体"/>
                <w:color w:val="auto"/>
                <w:sz w:val="21"/>
                <w:szCs w:val="21"/>
                <w:highlight w:val="none"/>
                <w:lang w:eastAsia="zh-CN"/>
              </w:rPr>
              <w:t>、</w:t>
            </w:r>
            <w:r>
              <w:rPr>
                <w:rFonts w:hint="eastAsia" w:ascii="Times New Roman" w:hAnsi="Times New Roman" w:eastAsia="宋体" w:cs="宋体"/>
                <w:color w:val="auto"/>
                <w:sz w:val="21"/>
                <w:szCs w:val="21"/>
                <w:highlight w:val="none"/>
              </w:rPr>
              <w:t>服务器</w:t>
            </w:r>
          </w:p>
        </w:tc>
      </w:tr>
    </w:tbl>
    <w:p w14:paraId="31C003F1">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color w:val="auto"/>
          <w:sz w:val="28"/>
          <w:szCs w:val="28"/>
          <w:highlight w:val="none"/>
        </w:rPr>
      </w:pPr>
      <w:r>
        <w:rPr>
          <w:rFonts w:hint="eastAsia" w:ascii="Times New Roman" w:hAnsi="Times New Roman"/>
          <w:color w:val="auto"/>
          <w:sz w:val="28"/>
          <w:szCs w:val="28"/>
          <w:highlight w:val="none"/>
        </w:rPr>
        <w:t>态势感知</w:t>
      </w:r>
    </w:p>
    <w:p w14:paraId="6D5C216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态势感知子系统</w:t>
      </w:r>
      <w:r>
        <w:rPr>
          <w:rFonts w:hint="eastAsia" w:ascii="Times New Roman" w:hAnsi="Times New Roman" w:eastAsia="仿宋_GB2312"/>
          <w:color w:val="auto"/>
          <w:sz w:val="28"/>
          <w:szCs w:val="28"/>
          <w:highlight w:val="none"/>
          <w:lang w:val="en-US" w:eastAsia="zh-CN"/>
        </w:rPr>
        <w:t>应基于</w:t>
      </w:r>
      <w:r>
        <w:rPr>
          <w:rFonts w:hint="eastAsia" w:ascii="Times New Roman" w:hAnsi="Times New Roman" w:eastAsia="仿宋_GB2312"/>
          <w:color w:val="auto"/>
          <w:sz w:val="28"/>
          <w:szCs w:val="28"/>
          <w:highlight w:val="none"/>
        </w:rPr>
        <w:t>可视化</w:t>
      </w:r>
      <w:r>
        <w:rPr>
          <w:rFonts w:hint="eastAsia" w:ascii="Times New Roman" w:hAnsi="Times New Roman" w:eastAsia="仿宋_GB2312"/>
          <w:color w:val="auto"/>
          <w:sz w:val="28"/>
          <w:szCs w:val="28"/>
          <w:highlight w:val="none"/>
          <w:lang w:val="en-US" w:eastAsia="zh-CN"/>
        </w:rPr>
        <w:t>技术，</w:t>
      </w:r>
      <w:r>
        <w:rPr>
          <w:rFonts w:hint="eastAsia" w:ascii="Times New Roman" w:hAnsi="Times New Roman" w:eastAsia="仿宋_GB2312"/>
          <w:color w:val="auto"/>
          <w:sz w:val="28"/>
          <w:szCs w:val="28"/>
          <w:highlight w:val="none"/>
        </w:rPr>
        <w:t>从多维度对市级政务外网进行全方位、全天候安全威胁感知</w:t>
      </w:r>
      <w:r>
        <w:rPr>
          <w:rFonts w:hint="eastAsia" w:ascii="Times New Roman" w:hAnsi="Times New Roman" w:eastAsia="仿宋_GB2312"/>
          <w:color w:val="auto"/>
          <w:sz w:val="28"/>
          <w:szCs w:val="28"/>
          <w:highlight w:val="none"/>
          <w:lang w:val="en-US" w:eastAsia="zh-CN"/>
        </w:rPr>
        <w:t>与</w:t>
      </w:r>
      <w:r>
        <w:rPr>
          <w:rFonts w:hint="eastAsia" w:ascii="Times New Roman" w:hAnsi="Times New Roman" w:eastAsia="仿宋_GB2312"/>
          <w:color w:val="auto"/>
          <w:sz w:val="28"/>
          <w:szCs w:val="28"/>
          <w:highlight w:val="none"/>
        </w:rPr>
        <w:t>呈现。</w:t>
      </w:r>
      <w:r>
        <w:rPr>
          <w:rFonts w:hint="eastAsia" w:ascii="Times New Roman" w:hAnsi="Times New Roman" w:eastAsia="仿宋_GB2312"/>
          <w:color w:val="auto"/>
          <w:sz w:val="28"/>
          <w:szCs w:val="28"/>
          <w:highlight w:val="none"/>
          <w:lang w:val="en-US" w:eastAsia="zh-CN"/>
        </w:rPr>
        <w:t>该</w:t>
      </w:r>
      <w:r>
        <w:rPr>
          <w:rFonts w:hint="eastAsia" w:ascii="Times New Roman" w:hAnsi="Times New Roman" w:eastAsia="仿宋_GB2312"/>
          <w:color w:val="auto"/>
          <w:sz w:val="28"/>
          <w:szCs w:val="28"/>
          <w:highlight w:val="none"/>
        </w:rPr>
        <w:t>系统应</w:t>
      </w:r>
      <w:r>
        <w:rPr>
          <w:rFonts w:hint="eastAsia" w:ascii="Times New Roman" w:hAnsi="Times New Roman" w:eastAsia="仿宋_GB2312"/>
          <w:color w:val="auto"/>
          <w:sz w:val="28"/>
          <w:szCs w:val="28"/>
          <w:highlight w:val="none"/>
          <w:lang w:val="en-US" w:eastAsia="zh-CN"/>
        </w:rPr>
        <w:t>具备</w:t>
      </w:r>
      <w:r>
        <w:rPr>
          <w:rFonts w:hint="eastAsia" w:ascii="Times New Roman" w:hAnsi="Times New Roman" w:eastAsia="仿宋_GB2312"/>
          <w:color w:val="auto"/>
          <w:sz w:val="28"/>
          <w:szCs w:val="28"/>
          <w:highlight w:val="none"/>
        </w:rPr>
        <w:t>多视角态势感知</w:t>
      </w:r>
      <w:r>
        <w:rPr>
          <w:rFonts w:hint="eastAsia" w:ascii="Times New Roman" w:hAnsi="Times New Roman" w:eastAsia="仿宋_GB2312"/>
          <w:color w:val="auto"/>
          <w:sz w:val="28"/>
          <w:szCs w:val="28"/>
          <w:highlight w:val="none"/>
          <w:lang w:val="en-US" w:eastAsia="zh-CN"/>
        </w:rPr>
        <w:t>能力，能有效识别和呈现包括但不限于以下安全威胁事件：</w:t>
      </w:r>
      <w:r>
        <w:rPr>
          <w:rFonts w:hint="eastAsia" w:ascii="Times New Roman" w:hAnsi="Times New Roman" w:eastAsia="仿宋_GB2312"/>
          <w:color w:val="auto"/>
          <w:sz w:val="28"/>
          <w:szCs w:val="28"/>
          <w:highlight w:val="none"/>
        </w:rPr>
        <w:t>网站及主机漏洞、流量异常、扫描探</w:t>
      </w:r>
      <w:r>
        <w:rPr>
          <w:rFonts w:hint="eastAsia" w:ascii="Times New Roman" w:hAnsi="Times New Roman" w:eastAsia="仿宋_GB2312"/>
          <w:color w:val="auto"/>
          <w:sz w:val="28"/>
          <w:szCs w:val="28"/>
          <w:highlight w:val="none"/>
          <w:lang w:val="en-US" w:eastAsia="zh-CN"/>
        </w:rPr>
        <w:t>测</w:t>
      </w:r>
      <w:r>
        <w:rPr>
          <w:rFonts w:hint="eastAsia" w:ascii="Times New Roman" w:hAnsi="Times New Roman" w:eastAsia="仿宋_GB2312"/>
          <w:color w:val="auto"/>
          <w:sz w:val="28"/>
          <w:szCs w:val="28"/>
          <w:highlight w:val="none"/>
        </w:rPr>
        <w:t>、弱点攻击、僵尸网络、数据泄露、APT攻击等，</w:t>
      </w:r>
      <w:r>
        <w:rPr>
          <w:rFonts w:hint="eastAsia" w:ascii="Times New Roman" w:hAnsi="Times New Roman" w:eastAsia="仿宋_GB2312"/>
          <w:color w:val="auto"/>
          <w:sz w:val="28"/>
          <w:szCs w:val="28"/>
          <w:highlight w:val="none"/>
          <w:lang w:val="en-US" w:eastAsia="zh-CN"/>
        </w:rPr>
        <w:t>并实现以下核心功能：</w:t>
      </w:r>
      <w:r>
        <w:rPr>
          <w:rFonts w:hint="eastAsia" w:ascii="Times New Roman" w:hAnsi="Times New Roman" w:eastAsia="仿宋_GB2312"/>
          <w:color w:val="auto"/>
          <w:sz w:val="28"/>
          <w:szCs w:val="28"/>
          <w:highlight w:val="none"/>
        </w:rPr>
        <w:t>网站安全态势感知、内网威胁态势感知、Web站点态势感知、脆弱性态势感知。</w:t>
      </w:r>
    </w:p>
    <w:p w14:paraId="4C2DA7B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lang w:val="en-US" w:eastAsia="zh-CN"/>
        </w:rPr>
        <w:t>该</w:t>
      </w:r>
      <w:r>
        <w:rPr>
          <w:rFonts w:hint="eastAsia" w:ascii="Times New Roman" w:hAnsi="Times New Roman" w:eastAsia="仿宋_GB2312"/>
          <w:color w:val="auto"/>
          <w:sz w:val="28"/>
          <w:szCs w:val="28"/>
          <w:highlight w:val="none"/>
        </w:rPr>
        <w:t>系统包括数据采集层、数据存储</w:t>
      </w:r>
      <w:r>
        <w:rPr>
          <w:rFonts w:hint="eastAsia" w:ascii="Times New Roman" w:hAnsi="Times New Roman" w:eastAsia="仿宋_GB2312"/>
          <w:color w:val="auto"/>
          <w:sz w:val="28"/>
          <w:szCs w:val="28"/>
          <w:highlight w:val="none"/>
          <w:lang w:val="en-US" w:eastAsia="zh-CN"/>
        </w:rPr>
        <w:t>与</w:t>
      </w:r>
      <w:r>
        <w:rPr>
          <w:rFonts w:hint="eastAsia" w:ascii="Times New Roman" w:hAnsi="Times New Roman" w:eastAsia="仿宋_GB2312"/>
          <w:color w:val="auto"/>
          <w:sz w:val="28"/>
          <w:szCs w:val="28"/>
          <w:highlight w:val="none"/>
        </w:rPr>
        <w:t>挖掘层、态势展现层。数据采集层通过部署探针</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覆盖所有汇聚节点及网络区域边界</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、接收安全设备日志</w:t>
      </w:r>
      <w:r>
        <w:rPr>
          <w:rFonts w:hint="eastAsia" w:ascii="Times New Roman" w:hAnsi="Times New Roman" w:eastAsia="仿宋_GB2312"/>
          <w:color w:val="auto"/>
          <w:sz w:val="28"/>
          <w:szCs w:val="28"/>
          <w:highlight w:val="none"/>
          <w:lang w:val="en-US" w:eastAsia="zh-CN"/>
        </w:rPr>
        <w:t>及</w:t>
      </w:r>
      <w:r>
        <w:rPr>
          <w:rFonts w:hint="eastAsia" w:ascii="Times New Roman" w:hAnsi="Times New Roman" w:eastAsia="仿宋_GB2312"/>
          <w:color w:val="auto"/>
          <w:sz w:val="28"/>
          <w:szCs w:val="28"/>
          <w:highlight w:val="none"/>
        </w:rPr>
        <w:t>漏洞扫描设备扫描日志等方式获取原始数据；数据存储</w:t>
      </w:r>
      <w:r>
        <w:rPr>
          <w:rFonts w:hint="eastAsia" w:ascii="Times New Roman" w:hAnsi="Times New Roman" w:eastAsia="仿宋_GB2312"/>
          <w:color w:val="auto"/>
          <w:sz w:val="28"/>
          <w:szCs w:val="28"/>
          <w:highlight w:val="none"/>
          <w:lang w:val="en-US" w:eastAsia="zh-CN"/>
        </w:rPr>
        <w:t>与</w:t>
      </w:r>
      <w:r>
        <w:rPr>
          <w:rFonts w:hint="eastAsia" w:ascii="Times New Roman" w:hAnsi="Times New Roman" w:eastAsia="仿宋_GB2312"/>
          <w:color w:val="auto"/>
          <w:sz w:val="28"/>
          <w:szCs w:val="28"/>
          <w:highlight w:val="none"/>
        </w:rPr>
        <w:t>挖掘层</w:t>
      </w:r>
      <w:r>
        <w:rPr>
          <w:rFonts w:hint="eastAsia" w:ascii="Times New Roman" w:hAnsi="Times New Roman" w:eastAsia="仿宋_GB2312"/>
          <w:color w:val="auto"/>
          <w:sz w:val="28"/>
          <w:szCs w:val="28"/>
          <w:highlight w:val="none"/>
          <w:lang w:val="en-US" w:eastAsia="zh-CN"/>
        </w:rPr>
        <w:t>基于</w:t>
      </w:r>
      <w:r>
        <w:rPr>
          <w:rFonts w:hint="eastAsia" w:ascii="Times New Roman" w:hAnsi="Times New Roman" w:eastAsia="仿宋_GB2312"/>
          <w:color w:val="auto"/>
          <w:sz w:val="28"/>
          <w:szCs w:val="28"/>
          <w:highlight w:val="none"/>
        </w:rPr>
        <w:t>大数据分析系统，对IP地址库、GIS地图库、恶意IP</w:t>
      </w:r>
      <w:r>
        <w:rPr>
          <w:rFonts w:hint="eastAsia" w:ascii="Times New Roman" w:hAnsi="Times New Roman" w:eastAsia="仿宋_GB2312"/>
          <w:color w:val="auto"/>
          <w:sz w:val="28"/>
          <w:szCs w:val="28"/>
          <w:highlight w:val="none"/>
          <w:lang w:val="en-US" w:eastAsia="zh-CN"/>
        </w:rPr>
        <w:t>库</w:t>
      </w:r>
      <w:r>
        <w:rPr>
          <w:rFonts w:hint="eastAsia" w:ascii="Times New Roman" w:hAnsi="Times New Roman" w:eastAsia="仿宋_GB2312"/>
          <w:color w:val="auto"/>
          <w:sz w:val="28"/>
          <w:szCs w:val="28"/>
          <w:highlight w:val="none"/>
        </w:rPr>
        <w:t>、恶意文件库、资产库等基础信息进行安全</w:t>
      </w:r>
      <w:r>
        <w:rPr>
          <w:rFonts w:hint="eastAsia" w:ascii="Times New Roman" w:hAnsi="Times New Roman" w:eastAsia="仿宋_GB2312"/>
          <w:color w:val="auto"/>
          <w:sz w:val="28"/>
          <w:szCs w:val="28"/>
          <w:highlight w:val="none"/>
          <w:lang w:val="en-US" w:eastAsia="zh-CN"/>
        </w:rPr>
        <w:t>与</w:t>
      </w:r>
      <w:r>
        <w:rPr>
          <w:rFonts w:hint="eastAsia" w:ascii="Times New Roman" w:hAnsi="Times New Roman" w:eastAsia="仿宋_GB2312"/>
          <w:color w:val="auto"/>
          <w:sz w:val="28"/>
          <w:szCs w:val="28"/>
          <w:highlight w:val="none"/>
        </w:rPr>
        <w:t>威胁的深度挖掘</w:t>
      </w:r>
      <w:r>
        <w:rPr>
          <w:rFonts w:hint="eastAsia" w:ascii="Times New Roman" w:hAnsi="Times New Roman" w:eastAsia="仿宋_GB2312"/>
          <w:color w:val="auto"/>
          <w:sz w:val="28"/>
          <w:szCs w:val="28"/>
          <w:highlight w:val="none"/>
          <w:lang w:val="en-US" w:eastAsia="zh-CN"/>
        </w:rPr>
        <w:t>分析</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态势展现层对安全分析结果进行威胁态势可视化呈现、通报预警</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并支持</w:t>
      </w:r>
      <w:r>
        <w:rPr>
          <w:rFonts w:hint="eastAsia" w:ascii="Times New Roman" w:hAnsi="Times New Roman" w:eastAsia="仿宋_GB2312"/>
          <w:color w:val="auto"/>
          <w:sz w:val="28"/>
          <w:szCs w:val="28"/>
          <w:highlight w:val="none"/>
        </w:rPr>
        <w:t>威胁情报的共享和发布</w:t>
      </w:r>
    </w:p>
    <w:p w14:paraId="522131D5">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通报</w:t>
      </w:r>
      <w:r>
        <w:rPr>
          <w:rFonts w:hint="eastAsia" w:ascii="Times New Roman" w:hAnsi="Times New Roman" w:eastAsia="仿宋"/>
          <w:color w:val="auto"/>
          <w:sz w:val="28"/>
          <w:szCs w:val="28"/>
          <w:highlight w:val="none"/>
        </w:rPr>
        <w:t>预警</w:t>
      </w:r>
    </w:p>
    <w:p w14:paraId="61CB2CA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通报预警子系统可</w:t>
      </w:r>
      <w:r>
        <w:rPr>
          <w:rFonts w:hint="eastAsia" w:ascii="Times New Roman" w:hAnsi="Times New Roman" w:eastAsia="仿宋_GB2312"/>
          <w:color w:val="auto"/>
          <w:sz w:val="28"/>
          <w:szCs w:val="28"/>
          <w:highlight w:val="none"/>
          <w:lang w:val="en-US" w:eastAsia="zh-CN"/>
        </w:rPr>
        <w:t>通过</w:t>
      </w:r>
      <w:r>
        <w:rPr>
          <w:rFonts w:hint="eastAsia" w:ascii="Times New Roman" w:hAnsi="Times New Roman" w:eastAsia="仿宋_GB2312"/>
          <w:color w:val="auto"/>
          <w:sz w:val="28"/>
          <w:szCs w:val="28"/>
          <w:highlight w:val="none"/>
        </w:rPr>
        <w:t>态势感知子系统的态势展现模块进行接口开发或单独建设开发。</w:t>
      </w:r>
      <w:r>
        <w:rPr>
          <w:rFonts w:hint="eastAsia" w:ascii="Times New Roman" w:hAnsi="Times New Roman" w:eastAsia="仿宋_GB2312"/>
          <w:color w:val="auto"/>
          <w:sz w:val="28"/>
          <w:szCs w:val="28"/>
          <w:highlight w:val="none"/>
          <w:lang w:val="en-US" w:eastAsia="zh-CN"/>
        </w:rPr>
        <w:t>该</w:t>
      </w:r>
      <w:r>
        <w:rPr>
          <w:rFonts w:hint="eastAsia" w:ascii="Times New Roman" w:hAnsi="Times New Roman" w:eastAsia="仿宋_GB2312"/>
          <w:color w:val="auto"/>
          <w:sz w:val="28"/>
          <w:szCs w:val="28"/>
          <w:highlight w:val="none"/>
        </w:rPr>
        <w:t>子系统</w:t>
      </w:r>
      <w:r>
        <w:rPr>
          <w:rFonts w:hint="eastAsia" w:ascii="Times New Roman" w:hAnsi="Times New Roman" w:eastAsia="仿宋_GB2312"/>
          <w:color w:val="auto"/>
          <w:sz w:val="28"/>
          <w:szCs w:val="28"/>
          <w:highlight w:val="none"/>
          <w:lang w:val="en-US" w:eastAsia="zh-CN"/>
        </w:rPr>
        <w:t>负责</w:t>
      </w:r>
      <w:r>
        <w:rPr>
          <w:rFonts w:hint="eastAsia" w:ascii="Times New Roman" w:hAnsi="Times New Roman" w:eastAsia="仿宋_GB2312"/>
          <w:color w:val="auto"/>
          <w:sz w:val="28"/>
          <w:szCs w:val="28"/>
          <w:highlight w:val="none"/>
        </w:rPr>
        <w:t>对安全态势、威胁</w:t>
      </w:r>
      <w:r>
        <w:rPr>
          <w:rFonts w:hint="eastAsia" w:ascii="Times New Roman" w:hAnsi="Times New Roman" w:eastAsia="仿宋_GB2312"/>
          <w:color w:val="auto"/>
          <w:sz w:val="28"/>
          <w:szCs w:val="28"/>
          <w:highlight w:val="none"/>
          <w:lang w:val="en-US" w:eastAsia="zh-CN"/>
        </w:rPr>
        <w:t>及</w:t>
      </w:r>
      <w:r>
        <w:rPr>
          <w:rFonts w:hint="eastAsia" w:ascii="Times New Roman" w:hAnsi="Times New Roman" w:eastAsia="仿宋_GB2312"/>
          <w:color w:val="auto"/>
          <w:sz w:val="28"/>
          <w:szCs w:val="28"/>
          <w:highlight w:val="none"/>
        </w:rPr>
        <w:t>漏洞</w:t>
      </w:r>
      <w:r>
        <w:rPr>
          <w:rFonts w:hint="eastAsia" w:ascii="Times New Roman" w:hAnsi="Times New Roman" w:eastAsia="仿宋_GB2312"/>
          <w:color w:val="auto"/>
          <w:sz w:val="28"/>
          <w:szCs w:val="28"/>
          <w:highlight w:val="none"/>
          <w:lang w:val="en-US" w:eastAsia="zh-CN"/>
        </w:rPr>
        <w:t>信息</w:t>
      </w:r>
      <w:r>
        <w:rPr>
          <w:rFonts w:hint="eastAsia" w:ascii="Times New Roman" w:hAnsi="Times New Roman" w:eastAsia="仿宋_GB2312"/>
          <w:color w:val="auto"/>
          <w:sz w:val="28"/>
          <w:szCs w:val="28"/>
          <w:highlight w:val="none"/>
        </w:rPr>
        <w:t>进行汇总、分类、分级和研判</w:t>
      </w:r>
      <w:r>
        <w:rPr>
          <w:rFonts w:hint="eastAsia" w:ascii="Times New Roman" w:hAnsi="Times New Roman" w:eastAsia="仿宋_GB2312"/>
          <w:color w:val="auto"/>
          <w:sz w:val="28"/>
          <w:szCs w:val="28"/>
          <w:highlight w:val="none"/>
          <w:lang w:val="en-US" w:eastAsia="zh-CN"/>
        </w:rPr>
        <w:t>分析</w:t>
      </w:r>
      <w:r>
        <w:rPr>
          <w:rFonts w:hint="eastAsia" w:ascii="Times New Roman" w:hAnsi="Times New Roman" w:eastAsia="仿宋_GB2312"/>
          <w:color w:val="auto"/>
          <w:sz w:val="28"/>
          <w:szCs w:val="28"/>
          <w:highlight w:val="none"/>
        </w:rPr>
        <w:t>，自动</w:t>
      </w:r>
      <w:r>
        <w:rPr>
          <w:rFonts w:hint="eastAsia" w:ascii="Times New Roman" w:hAnsi="Times New Roman" w:eastAsia="仿宋_GB2312"/>
          <w:color w:val="auto"/>
          <w:sz w:val="28"/>
          <w:szCs w:val="28"/>
          <w:highlight w:val="none"/>
          <w:lang w:val="en-US" w:eastAsia="zh-CN"/>
        </w:rPr>
        <w:t>生成</w:t>
      </w:r>
      <w:r>
        <w:rPr>
          <w:rFonts w:hint="eastAsia" w:ascii="Times New Roman" w:hAnsi="Times New Roman" w:eastAsia="仿宋_GB2312"/>
          <w:color w:val="auto"/>
          <w:sz w:val="28"/>
          <w:szCs w:val="28"/>
          <w:highlight w:val="none"/>
        </w:rPr>
        <w:t>通报报告，并于</w:t>
      </w:r>
      <w:r>
        <w:rPr>
          <w:rFonts w:ascii="Times New Roman" w:hAnsi="Times New Roman" w:eastAsia="仿宋_GB2312"/>
          <w:color w:val="auto"/>
          <w:sz w:val="28"/>
          <w:szCs w:val="28"/>
          <w:highlight w:val="none"/>
        </w:rPr>
        <w:t>12</w:t>
      </w:r>
      <w:r>
        <w:rPr>
          <w:rFonts w:hint="eastAsia" w:ascii="Times New Roman" w:hAnsi="Times New Roman" w:eastAsia="仿宋_GB2312"/>
          <w:color w:val="auto"/>
          <w:sz w:val="28"/>
          <w:szCs w:val="28"/>
          <w:highlight w:val="none"/>
        </w:rPr>
        <w:t>小时内将</w:t>
      </w:r>
      <w:r>
        <w:rPr>
          <w:rFonts w:hint="eastAsia" w:ascii="Times New Roman" w:hAnsi="Times New Roman" w:eastAsia="仿宋_GB2312"/>
          <w:color w:val="auto"/>
          <w:sz w:val="28"/>
          <w:szCs w:val="28"/>
          <w:highlight w:val="none"/>
          <w:lang w:val="en-US" w:eastAsia="zh-CN"/>
        </w:rPr>
        <w:t>相关</w:t>
      </w:r>
      <w:r>
        <w:rPr>
          <w:rFonts w:hint="eastAsia" w:ascii="Times New Roman" w:hAnsi="Times New Roman" w:eastAsia="仿宋_GB2312"/>
          <w:color w:val="auto"/>
          <w:sz w:val="28"/>
          <w:szCs w:val="28"/>
          <w:highlight w:val="none"/>
        </w:rPr>
        <w:t>情况上报</w:t>
      </w:r>
      <w:r>
        <w:rPr>
          <w:rFonts w:hint="eastAsia" w:ascii="Times New Roman" w:hAnsi="Times New Roman" w:eastAsia="仿宋_GB2312"/>
          <w:color w:val="auto"/>
          <w:sz w:val="28"/>
          <w:szCs w:val="28"/>
          <w:highlight w:val="none"/>
          <w:lang w:val="en-US" w:eastAsia="zh-CN"/>
        </w:rPr>
        <w:t>至</w:t>
      </w:r>
      <w:r>
        <w:rPr>
          <w:rFonts w:hint="eastAsia" w:ascii="Times New Roman" w:hAnsi="Times New Roman" w:eastAsia="仿宋_GB2312"/>
          <w:color w:val="auto"/>
          <w:sz w:val="28"/>
          <w:szCs w:val="28"/>
          <w:highlight w:val="none"/>
        </w:rPr>
        <w:t>上级安全管理中心，</w:t>
      </w:r>
      <w:r>
        <w:rPr>
          <w:rFonts w:hint="eastAsia" w:ascii="Times New Roman" w:hAnsi="Times New Roman" w:eastAsia="仿宋_GB2312"/>
          <w:color w:val="auto"/>
          <w:sz w:val="28"/>
          <w:szCs w:val="28"/>
          <w:highlight w:val="none"/>
          <w:lang w:val="en-US" w:eastAsia="zh-CN"/>
        </w:rPr>
        <w:t>同时</w:t>
      </w:r>
      <w:r>
        <w:rPr>
          <w:rFonts w:hint="eastAsia" w:ascii="Times New Roman" w:hAnsi="Times New Roman" w:eastAsia="仿宋_GB2312"/>
          <w:color w:val="auto"/>
          <w:sz w:val="28"/>
          <w:szCs w:val="28"/>
          <w:highlight w:val="none"/>
        </w:rPr>
        <w:t>通告本级政务外网主管单位和接入单位。从而实现对使用部门、上级单位、下级单位的</w:t>
      </w:r>
      <w:r>
        <w:rPr>
          <w:rFonts w:hint="eastAsia" w:ascii="Times New Roman" w:hAnsi="Times New Roman" w:eastAsia="仿宋_GB2312"/>
          <w:color w:val="auto"/>
          <w:sz w:val="28"/>
          <w:szCs w:val="28"/>
          <w:highlight w:val="none"/>
          <w:lang w:val="en-US" w:eastAsia="zh-CN"/>
        </w:rPr>
        <w:t>安全</w:t>
      </w:r>
      <w:r>
        <w:rPr>
          <w:rFonts w:hint="eastAsia" w:ascii="Times New Roman" w:hAnsi="Times New Roman" w:eastAsia="仿宋_GB2312"/>
          <w:color w:val="auto"/>
          <w:sz w:val="28"/>
          <w:szCs w:val="28"/>
          <w:highlight w:val="none"/>
        </w:rPr>
        <w:t>通告</w:t>
      </w:r>
      <w:r>
        <w:rPr>
          <w:rFonts w:hint="eastAsia" w:ascii="Times New Roman" w:hAnsi="Times New Roman" w:eastAsia="仿宋_GB2312"/>
          <w:color w:val="auto"/>
          <w:sz w:val="28"/>
          <w:szCs w:val="28"/>
          <w:highlight w:val="none"/>
          <w:lang w:val="en-US" w:eastAsia="zh-CN"/>
        </w:rPr>
        <w:t>与</w:t>
      </w:r>
      <w:r>
        <w:rPr>
          <w:rFonts w:hint="eastAsia" w:ascii="Times New Roman" w:hAnsi="Times New Roman" w:eastAsia="仿宋_GB2312"/>
          <w:color w:val="auto"/>
          <w:sz w:val="28"/>
          <w:szCs w:val="28"/>
          <w:highlight w:val="none"/>
        </w:rPr>
        <w:t>预警。通报预警</w:t>
      </w:r>
      <w:r>
        <w:rPr>
          <w:rFonts w:hint="eastAsia" w:ascii="Times New Roman" w:hAnsi="Times New Roman" w:eastAsia="仿宋_GB2312"/>
          <w:color w:val="auto"/>
          <w:sz w:val="28"/>
          <w:szCs w:val="28"/>
          <w:highlight w:val="none"/>
          <w:lang w:val="en-US" w:eastAsia="zh-CN"/>
        </w:rPr>
        <w:t>事件依据</w:t>
      </w:r>
      <w:r>
        <w:rPr>
          <w:rFonts w:hint="eastAsia" w:ascii="Times New Roman" w:hAnsi="Times New Roman" w:eastAsia="仿宋_GB2312"/>
          <w:color w:val="auto"/>
          <w:sz w:val="28"/>
          <w:szCs w:val="28"/>
          <w:highlight w:val="none"/>
        </w:rPr>
        <w:t>安全风险</w:t>
      </w:r>
      <w:r>
        <w:rPr>
          <w:rFonts w:hint="eastAsia" w:ascii="Times New Roman" w:hAnsi="Times New Roman" w:eastAsia="仿宋_GB2312"/>
          <w:color w:val="auto"/>
          <w:sz w:val="28"/>
          <w:szCs w:val="28"/>
          <w:highlight w:val="none"/>
          <w:lang w:val="en-US" w:eastAsia="zh-CN"/>
        </w:rPr>
        <w:t>及</w:t>
      </w:r>
      <w:r>
        <w:rPr>
          <w:rFonts w:hint="eastAsia" w:ascii="Times New Roman" w:hAnsi="Times New Roman" w:eastAsia="仿宋_GB2312"/>
          <w:color w:val="auto"/>
          <w:sz w:val="28"/>
          <w:szCs w:val="28"/>
          <w:highlight w:val="none"/>
        </w:rPr>
        <w:t>影响程度</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划</w:t>
      </w:r>
      <w:r>
        <w:rPr>
          <w:rFonts w:hint="eastAsia" w:ascii="Times New Roman" w:hAnsi="Times New Roman" w:eastAsia="仿宋_GB2312"/>
          <w:color w:val="auto"/>
          <w:sz w:val="28"/>
          <w:szCs w:val="28"/>
          <w:highlight w:val="none"/>
        </w:rPr>
        <w:t>分为高危、中危和低危</w:t>
      </w:r>
      <w:r>
        <w:rPr>
          <w:rFonts w:hint="eastAsia" w:ascii="Times New Roman" w:hAnsi="Times New Roman" w:eastAsia="仿宋_GB2312"/>
          <w:color w:val="auto"/>
          <w:sz w:val="28"/>
          <w:szCs w:val="28"/>
          <w:highlight w:val="none"/>
          <w:lang w:val="en-US" w:eastAsia="zh-CN"/>
        </w:rPr>
        <w:t>三个等级</w:t>
      </w:r>
      <w:r>
        <w:rPr>
          <w:rFonts w:hint="eastAsia" w:ascii="Times New Roman" w:hAnsi="Times New Roman" w:eastAsia="仿宋_GB2312"/>
          <w:color w:val="auto"/>
          <w:sz w:val="28"/>
          <w:szCs w:val="28"/>
          <w:highlight w:val="none"/>
        </w:rPr>
        <w:t>。</w:t>
      </w:r>
    </w:p>
    <w:p w14:paraId="695D999C">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威胁情报</w:t>
      </w:r>
      <w:r>
        <w:rPr>
          <w:rFonts w:hint="default" w:ascii="Times New Roman" w:hAnsi="Times New Roman" w:eastAsia="仿宋"/>
          <w:color w:val="auto"/>
          <w:sz w:val="28"/>
          <w:szCs w:val="28"/>
          <w:highlight w:val="none"/>
        </w:rPr>
        <w:t>共享</w:t>
      </w:r>
    </w:p>
    <w:p w14:paraId="19C0547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威胁情报共享子系统可基于态势感知子系统的态势展现模块进行开发，或单独建设开发。威胁情报共享子系统实现安全情报的收集、情报分析与处理、情报数据管理等。情报信息主要包括恶意样本病毒、恶意IP/URL/MD5库，黑客组织信息、攻击方法手段、安全资讯等。</w:t>
      </w:r>
    </w:p>
    <w:p w14:paraId="1F585F5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威胁情报共享子系统应能通过多种通道和技术搜集政务外网的安全情报信息，并共享给安全管理控制系统用于实时阻断、隔离相关攻击源。</w:t>
      </w:r>
    </w:p>
    <w:p w14:paraId="4D380BB1">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漏洞扫描</w:t>
      </w:r>
    </w:p>
    <w:p w14:paraId="62C9E08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漏洞扫描子系统可部署</w:t>
      </w:r>
      <w:r>
        <w:rPr>
          <w:rFonts w:hint="eastAsia" w:ascii="Times New Roman" w:hAnsi="Times New Roman" w:eastAsia="仿宋_GB2312"/>
          <w:color w:val="auto"/>
          <w:sz w:val="28"/>
          <w:szCs w:val="28"/>
          <w:highlight w:val="none"/>
          <w:lang w:val="en-US" w:eastAsia="zh-CN"/>
        </w:rPr>
        <w:t>为独立</w:t>
      </w:r>
      <w:r>
        <w:rPr>
          <w:rFonts w:hint="eastAsia" w:ascii="Times New Roman" w:hAnsi="Times New Roman" w:eastAsia="仿宋_GB2312"/>
          <w:color w:val="auto"/>
          <w:sz w:val="28"/>
          <w:szCs w:val="28"/>
          <w:highlight w:val="none"/>
        </w:rPr>
        <w:t>设备或集成</w:t>
      </w:r>
      <w:r>
        <w:rPr>
          <w:rFonts w:hint="eastAsia" w:ascii="Times New Roman" w:hAnsi="Times New Roman" w:eastAsia="仿宋_GB2312"/>
          <w:color w:val="auto"/>
          <w:sz w:val="28"/>
          <w:szCs w:val="28"/>
          <w:highlight w:val="none"/>
          <w:lang w:val="en-US" w:eastAsia="zh-CN"/>
        </w:rPr>
        <w:t>于</w:t>
      </w:r>
      <w:r>
        <w:rPr>
          <w:rFonts w:hint="eastAsia" w:ascii="Times New Roman" w:hAnsi="Times New Roman" w:eastAsia="仿宋_GB2312"/>
          <w:color w:val="auto"/>
          <w:sz w:val="28"/>
          <w:szCs w:val="28"/>
          <w:highlight w:val="none"/>
        </w:rPr>
        <w:t>态势感知系统内。</w:t>
      </w:r>
      <w:r>
        <w:rPr>
          <w:rFonts w:hint="eastAsia" w:ascii="Times New Roman" w:hAnsi="Times New Roman" w:eastAsia="仿宋_GB2312"/>
          <w:color w:val="auto"/>
          <w:sz w:val="28"/>
          <w:szCs w:val="28"/>
          <w:highlight w:val="none"/>
          <w:lang w:val="en-US" w:eastAsia="zh-CN"/>
        </w:rPr>
        <w:t>该</w:t>
      </w:r>
      <w:r>
        <w:rPr>
          <w:rFonts w:hint="eastAsia" w:ascii="Times New Roman" w:hAnsi="Times New Roman" w:eastAsia="仿宋_GB2312"/>
          <w:color w:val="auto"/>
          <w:sz w:val="28"/>
          <w:szCs w:val="28"/>
          <w:highlight w:val="none"/>
        </w:rPr>
        <w:t>系统应</w:t>
      </w:r>
      <w:r>
        <w:rPr>
          <w:rFonts w:hint="eastAsia" w:ascii="Times New Roman" w:hAnsi="Times New Roman" w:eastAsia="仿宋_GB2312"/>
          <w:color w:val="auto"/>
          <w:sz w:val="28"/>
          <w:szCs w:val="28"/>
          <w:highlight w:val="none"/>
          <w:lang w:val="en-US" w:eastAsia="zh-CN"/>
        </w:rPr>
        <w:t>具备以下功能：</w:t>
      </w:r>
      <w:r>
        <w:rPr>
          <w:rFonts w:hint="eastAsia" w:ascii="Times New Roman" w:hAnsi="Times New Roman" w:eastAsia="仿宋_GB2312"/>
          <w:color w:val="auto"/>
          <w:sz w:val="28"/>
          <w:szCs w:val="28"/>
          <w:highlight w:val="none"/>
        </w:rPr>
        <w:t>对操作系统、数据库、网络设备、安全设备、Web系统</w:t>
      </w:r>
      <w:r>
        <w:rPr>
          <w:rFonts w:hint="eastAsia" w:ascii="Times New Roman" w:hAnsi="Times New Roman" w:eastAsia="仿宋_GB2312"/>
          <w:color w:val="auto"/>
          <w:sz w:val="28"/>
          <w:szCs w:val="28"/>
          <w:highlight w:val="none"/>
          <w:lang w:val="en-US" w:eastAsia="zh-CN"/>
        </w:rPr>
        <w:t>及</w:t>
      </w:r>
      <w:r>
        <w:rPr>
          <w:rFonts w:hint="eastAsia" w:ascii="Times New Roman" w:hAnsi="Times New Roman" w:eastAsia="仿宋_GB2312"/>
          <w:color w:val="auto"/>
          <w:sz w:val="28"/>
          <w:szCs w:val="28"/>
          <w:highlight w:val="none"/>
        </w:rPr>
        <w:t>弱口令等</w:t>
      </w:r>
      <w:r>
        <w:rPr>
          <w:rFonts w:hint="eastAsia" w:ascii="Times New Roman" w:hAnsi="Times New Roman" w:eastAsia="仿宋_GB2312"/>
          <w:color w:val="auto"/>
          <w:sz w:val="28"/>
          <w:szCs w:val="28"/>
          <w:highlight w:val="none"/>
          <w:lang w:val="en-US" w:eastAsia="zh-CN"/>
        </w:rPr>
        <w:t>进行</w:t>
      </w:r>
      <w:r>
        <w:rPr>
          <w:rFonts w:hint="eastAsia" w:ascii="Times New Roman" w:hAnsi="Times New Roman" w:eastAsia="仿宋_GB2312"/>
          <w:color w:val="auto"/>
          <w:sz w:val="28"/>
          <w:szCs w:val="28"/>
          <w:highlight w:val="none"/>
        </w:rPr>
        <w:t>漏洞扫描</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对系统配置进行</w:t>
      </w:r>
      <w:r>
        <w:rPr>
          <w:rFonts w:hint="eastAsia" w:ascii="Times New Roman" w:hAnsi="Times New Roman" w:eastAsia="仿宋_GB2312"/>
          <w:color w:val="auto"/>
          <w:sz w:val="28"/>
          <w:szCs w:val="28"/>
          <w:highlight w:val="none"/>
          <w:lang w:val="en-US" w:eastAsia="zh-CN"/>
        </w:rPr>
        <w:t>安全</w:t>
      </w:r>
      <w:r>
        <w:rPr>
          <w:rFonts w:hint="eastAsia" w:ascii="Times New Roman" w:hAnsi="Times New Roman" w:eastAsia="仿宋_GB2312"/>
          <w:color w:val="auto"/>
          <w:sz w:val="28"/>
          <w:szCs w:val="28"/>
          <w:highlight w:val="none"/>
        </w:rPr>
        <w:t>基线</w:t>
      </w:r>
      <w:r>
        <w:rPr>
          <w:rFonts w:hint="eastAsia" w:ascii="Times New Roman" w:hAnsi="Times New Roman" w:eastAsia="仿宋_GB2312"/>
          <w:color w:val="auto"/>
          <w:sz w:val="28"/>
          <w:szCs w:val="28"/>
          <w:highlight w:val="none"/>
          <w:lang w:val="en-US" w:eastAsia="zh-CN"/>
        </w:rPr>
        <w:t>符合性</w:t>
      </w:r>
      <w:r>
        <w:rPr>
          <w:rFonts w:hint="eastAsia" w:ascii="Times New Roman" w:hAnsi="Times New Roman" w:eastAsia="仿宋_GB2312"/>
          <w:color w:val="auto"/>
          <w:sz w:val="28"/>
          <w:szCs w:val="28"/>
          <w:highlight w:val="none"/>
        </w:rPr>
        <w:t>核查</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为系统管理员提供</w:t>
      </w:r>
      <w:r>
        <w:rPr>
          <w:rFonts w:hint="eastAsia" w:ascii="Times New Roman" w:hAnsi="Times New Roman" w:eastAsia="仿宋_GB2312"/>
          <w:color w:val="auto"/>
          <w:sz w:val="28"/>
          <w:szCs w:val="28"/>
          <w:highlight w:val="none"/>
          <w:lang w:val="en-US" w:eastAsia="zh-CN"/>
        </w:rPr>
        <w:t>包含</w:t>
      </w:r>
      <w:r>
        <w:rPr>
          <w:rFonts w:hint="eastAsia" w:ascii="Times New Roman" w:hAnsi="Times New Roman" w:eastAsia="仿宋_GB2312"/>
          <w:color w:val="auto"/>
          <w:sz w:val="28"/>
          <w:szCs w:val="28"/>
          <w:highlight w:val="none"/>
        </w:rPr>
        <w:t>漏洞</w:t>
      </w:r>
      <w:r>
        <w:rPr>
          <w:rFonts w:hint="eastAsia" w:ascii="Times New Roman" w:hAnsi="Times New Roman" w:eastAsia="仿宋_GB2312"/>
          <w:color w:val="auto"/>
          <w:sz w:val="28"/>
          <w:szCs w:val="28"/>
          <w:highlight w:val="none"/>
          <w:lang w:val="en-US" w:eastAsia="zh-CN"/>
        </w:rPr>
        <w:t>详情及修复方案的报告</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支持资产自动发现功能</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支持远程自动升级</w:t>
      </w:r>
      <w:r>
        <w:rPr>
          <w:rFonts w:hint="eastAsia" w:ascii="Times New Roman" w:hAnsi="Times New Roman" w:eastAsia="仿宋_GB2312"/>
          <w:color w:val="auto"/>
          <w:sz w:val="28"/>
          <w:szCs w:val="28"/>
          <w:highlight w:val="none"/>
          <w:lang w:val="en-US" w:eastAsia="zh-CN"/>
        </w:rPr>
        <w:t>与</w:t>
      </w:r>
      <w:r>
        <w:rPr>
          <w:rFonts w:hint="eastAsia" w:ascii="Times New Roman" w:hAnsi="Times New Roman" w:eastAsia="仿宋_GB2312"/>
          <w:color w:val="auto"/>
          <w:sz w:val="28"/>
          <w:szCs w:val="28"/>
          <w:highlight w:val="none"/>
        </w:rPr>
        <w:t>本地</w:t>
      </w:r>
      <w:r>
        <w:rPr>
          <w:rFonts w:hint="eastAsia" w:ascii="Times New Roman" w:hAnsi="Times New Roman" w:eastAsia="仿宋_GB2312"/>
          <w:color w:val="auto"/>
          <w:sz w:val="28"/>
          <w:szCs w:val="28"/>
          <w:highlight w:val="none"/>
          <w:lang w:val="en-US" w:eastAsia="zh-CN"/>
        </w:rPr>
        <w:t>手动</w:t>
      </w:r>
      <w:r>
        <w:rPr>
          <w:rFonts w:hint="eastAsia" w:ascii="Times New Roman" w:hAnsi="Times New Roman" w:eastAsia="仿宋_GB2312"/>
          <w:color w:val="auto"/>
          <w:sz w:val="28"/>
          <w:szCs w:val="28"/>
          <w:highlight w:val="none"/>
        </w:rPr>
        <w:t>升级漏洞</w:t>
      </w:r>
      <w:r>
        <w:rPr>
          <w:rFonts w:hint="eastAsia" w:ascii="Times New Roman" w:hAnsi="Times New Roman" w:eastAsia="仿宋_GB2312"/>
          <w:color w:val="auto"/>
          <w:sz w:val="28"/>
          <w:szCs w:val="28"/>
          <w:highlight w:val="none"/>
          <w:lang w:val="en-US" w:eastAsia="zh-CN"/>
        </w:rPr>
        <w:t>特征</w:t>
      </w:r>
      <w:r>
        <w:rPr>
          <w:rFonts w:hint="eastAsia" w:ascii="Times New Roman" w:hAnsi="Times New Roman" w:eastAsia="仿宋_GB2312"/>
          <w:color w:val="auto"/>
          <w:sz w:val="28"/>
          <w:szCs w:val="28"/>
          <w:highlight w:val="none"/>
        </w:rPr>
        <w:t>库。</w:t>
      </w:r>
    </w:p>
    <w:p w14:paraId="764BBDB1">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安全</w:t>
      </w:r>
      <w:r>
        <w:rPr>
          <w:rFonts w:hint="default" w:ascii="Times New Roman" w:hAnsi="Times New Roman" w:eastAsia="仿宋"/>
          <w:color w:val="auto"/>
          <w:sz w:val="28"/>
          <w:szCs w:val="28"/>
          <w:highlight w:val="none"/>
        </w:rPr>
        <w:t>管理</w:t>
      </w:r>
      <w:r>
        <w:rPr>
          <w:rFonts w:hint="eastAsia" w:ascii="Times New Roman" w:hAnsi="Times New Roman" w:eastAsia="仿宋_GB2312"/>
          <w:color w:val="auto"/>
          <w:sz w:val="28"/>
          <w:szCs w:val="28"/>
          <w:highlight w:val="none"/>
        </w:rPr>
        <w:t>控制</w:t>
      </w:r>
    </w:p>
    <w:p w14:paraId="76E1115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应部署安全管理控制子系统，以独立软件形式部署</w:t>
      </w:r>
      <w:r>
        <w:rPr>
          <w:rFonts w:hint="eastAsia" w:ascii="Times New Roman" w:hAnsi="Times New Roman" w:eastAsia="仿宋_GB2312"/>
          <w:color w:val="auto"/>
          <w:sz w:val="28"/>
          <w:szCs w:val="28"/>
          <w:highlight w:val="none"/>
          <w:lang w:val="en-US" w:eastAsia="zh-CN"/>
        </w:rPr>
        <w:t>于</w:t>
      </w:r>
      <w:r>
        <w:rPr>
          <w:rFonts w:hint="eastAsia" w:ascii="Times New Roman" w:hAnsi="Times New Roman" w:eastAsia="仿宋_GB2312"/>
          <w:color w:val="auto"/>
          <w:sz w:val="28"/>
          <w:szCs w:val="28"/>
          <w:highlight w:val="none"/>
        </w:rPr>
        <w:t>服务器或虚拟机</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并</w:t>
      </w:r>
      <w:r>
        <w:rPr>
          <w:rFonts w:hint="eastAsia" w:ascii="Times New Roman" w:hAnsi="Times New Roman" w:eastAsia="仿宋_GB2312"/>
          <w:color w:val="auto"/>
          <w:sz w:val="28"/>
          <w:szCs w:val="28"/>
          <w:highlight w:val="none"/>
        </w:rPr>
        <w:t>具备以下</w:t>
      </w:r>
      <w:r>
        <w:rPr>
          <w:rFonts w:hint="eastAsia" w:ascii="Times New Roman" w:hAnsi="Times New Roman" w:eastAsia="仿宋_GB2312"/>
          <w:color w:val="auto"/>
          <w:sz w:val="28"/>
          <w:szCs w:val="28"/>
          <w:highlight w:val="none"/>
          <w:lang w:val="en-US" w:eastAsia="zh-CN"/>
        </w:rPr>
        <w:t>功能</w:t>
      </w:r>
      <w:r>
        <w:rPr>
          <w:rFonts w:hint="eastAsia" w:ascii="Times New Roman" w:hAnsi="Times New Roman" w:eastAsia="仿宋_GB2312"/>
          <w:color w:val="auto"/>
          <w:sz w:val="28"/>
          <w:szCs w:val="28"/>
          <w:highlight w:val="none"/>
        </w:rPr>
        <w:t>：</w:t>
      </w:r>
    </w:p>
    <w:p w14:paraId="42025ED3">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（1）设备管理</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支持</w:t>
      </w:r>
      <w:r>
        <w:rPr>
          <w:rFonts w:hint="eastAsia" w:ascii="Times New Roman" w:hAnsi="Times New Roman" w:eastAsia="仿宋_GB2312"/>
          <w:color w:val="auto"/>
          <w:sz w:val="28"/>
          <w:szCs w:val="28"/>
          <w:highlight w:val="none"/>
        </w:rPr>
        <w:t>设备的统一管理</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主要功能包括，</w:t>
      </w:r>
      <w:r>
        <w:rPr>
          <w:rFonts w:hint="eastAsia" w:ascii="Times New Roman" w:hAnsi="Times New Roman" w:eastAsia="仿宋_GB2312"/>
          <w:color w:val="auto"/>
          <w:sz w:val="28"/>
          <w:szCs w:val="28"/>
          <w:highlight w:val="none"/>
        </w:rPr>
        <w:t>设备自动发现、设备</w:t>
      </w:r>
      <w:r>
        <w:rPr>
          <w:rFonts w:hint="eastAsia" w:ascii="Times New Roman" w:hAnsi="Times New Roman" w:eastAsia="仿宋_GB2312"/>
          <w:color w:val="auto"/>
          <w:sz w:val="28"/>
          <w:szCs w:val="28"/>
          <w:highlight w:val="none"/>
          <w:lang w:val="en-US" w:eastAsia="zh-CN"/>
        </w:rPr>
        <w:t>信息</w:t>
      </w:r>
      <w:r>
        <w:rPr>
          <w:rFonts w:hint="eastAsia" w:ascii="Times New Roman" w:hAnsi="Times New Roman" w:eastAsia="仿宋_GB2312"/>
          <w:color w:val="auto"/>
          <w:sz w:val="28"/>
          <w:szCs w:val="28"/>
          <w:highlight w:val="none"/>
        </w:rPr>
        <w:t>增删改查、设备组增删改查</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含双机热备组创建与维护</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、设备配置一致性对比、设备单点登录</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设备版本升级</w:t>
      </w:r>
      <w:r>
        <w:rPr>
          <w:rFonts w:hint="eastAsia" w:ascii="Times New Roman" w:hAnsi="Times New Roman" w:eastAsia="仿宋_GB2312"/>
          <w:color w:val="auto"/>
          <w:sz w:val="28"/>
          <w:szCs w:val="28"/>
          <w:highlight w:val="none"/>
          <w:lang w:val="en-US" w:eastAsia="zh-CN"/>
        </w:rPr>
        <w:t>及</w:t>
      </w:r>
      <w:r>
        <w:rPr>
          <w:rFonts w:hint="eastAsia" w:ascii="Times New Roman" w:hAnsi="Times New Roman" w:eastAsia="仿宋_GB2312"/>
          <w:color w:val="auto"/>
          <w:sz w:val="28"/>
          <w:szCs w:val="28"/>
          <w:highlight w:val="none"/>
        </w:rPr>
        <w:t>配置文件备份。</w:t>
      </w:r>
    </w:p>
    <w:p w14:paraId="25F58EC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（2）安全策略管理</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支持</w:t>
      </w:r>
      <w:r>
        <w:rPr>
          <w:rFonts w:hint="eastAsia" w:ascii="Times New Roman" w:hAnsi="Times New Roman" w:eastAsia="仿宋_GB2312"/>
          <w:color w:val="auto"/>
          <w:sz w:val="28"/>
          <w:szCs w:val="28"/>
          <w:highlight w:val="none"/>
        </w:rPr>
        <w:t>通过设置匹配条件</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包括源/目的安全区域、源/目的地址、服务、时间段</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实现安全策略管控</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执行动作可设置</w:t>
      </w:r>
      <w:r>
        <w:rPr>
          <w:rFonts w:hint="eastAsia" w:ascii="Times New Roman" w:hAnsi="Times New Roman" w:eastAsia="仿宋_GB2312"/>
          <w:color w:val="auto"/>
          <w:sz w:val="28"/>
          <w:szCs w:val="28"/>
          <w:highlight w:val="none"/>
          <w:lang w:val="en-US" w:eastAsia="zh-CN"/>
        </w:rPr>
        <w:t>为</w:t>
      </w:r>
      <w:r>
        <w:rPr>
          <w:rFonts w:hint="eastAsia" w:ascii="Times New Roman" w:hAnsi="Times New Roman" w:eastAsia="仿宋_GB2312"/>
          <w:color w:val="auto"/>
          <w:sz w:val="28"/>
          <w:szCs w:val="28"/>
          <w:highlight w:val="none"/>
        </w:rPr>
        <w:t>允许或禁止。同时</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支持</w:t>
      </w:r>
      <w:r>
        <w:rPr>
          <w:rFonts w:hint="eastAsia" w:ascii="Times New Roman" w:hAnsi="Times New Roman" w:eastAsia="仿宋_GB2312"/>
          <w:color w:val="auto"/>
          <w:sz w:val="28"/>
          <w:szCs w:val="28"/>
          <w:highlight w:val="none"/>
        </w:rPr>
        <w:t>配置安全配置文件</w:t>
      </w:r>
      <w:r>
        <w:rPr>
          <w:rFonts w:hint="eastAsia" w:ascii="Times New Roman" w:hAnsi="Times New Roman" w:eastAsia="仿宋_GB2312"/>
          <w:color w:val="auto"/>
          <w:sz w:val="28"/>
          <w:szCs w:val="28"/>
          <w:highlight w:val="none"/>
          <w:lang w:val="en-US" w:eastAsia="zh-CN"/>
        </w:rPr>
        <w:t>实现</w:t>
      </w:r>
      <w:r>
        <w:rPr>
          <w:rFonts w:hint="eastAsia" w:ascii="Times New Roman" w:hAnsi="Times New Roman" w:eastAsia="仿宋_GB2312"/>
          <w:color w:val="auto"/>
          <w:sz w:val="28"/>
          <w:szCs w:val="28"/>
          <w:highlight w:val="none"/>
        </w:rPr>
        <w:t>内容安全防护，</w:t>
      </w:r>
      <w:r>
        <w:rPr>
          <w:rFonts w:hint="eastAsia" w:ascii="Times New Roman" w:hAnsi="Times New Roman" w:eastAsia="仿宋_GB2312"/>
          <w:color w:val="auto"/>
          <w:sz w:val="28"/>
          <w:szCs w:val="28"/>
          <w:highlight w:val="none"/>
          <w:lang w:val="en-US" w:eastAsia="zh-CN"/>
        </w:rPr>
        <w:t>并具备</w:t>
      </w:r>
      <w:r>
        <w:rPr>
          <w:rFonts w:hint="eastAsia" w:ascii="Times New Roman" w:hAnsi="Times New Roman" w:eastAsia="仿宋_GB2312"/>
          <w:color w:val="auto"/>
          <w:sz w:val="28"/>
          <w:szCs w:val="28"/>
          <w:highlight w:val="none"/>
        </w:rPr>
        <w:t>策略组视图</w:t>
      </w:r>
      <w:r>
        <w:rPr>
          <w:rFonts w:hint="eastAsia" w:ascii="Times New Roman" w:hAnsi="Times New Roman" w:eastAsia="仿宋_GB2312"/>
          <w:color w:val="auto"/>
          <w:sz w:val="28"/>
          <w:szCs w:val="28"/>
          <w:highlight w:val="none"/>
          <w:lang w:val="en-US" w:eastAsia="zh-CN"/>
        </w:rPr>
        <w:t>与</w:t>
      </w:r>
      <w:r>
        <w:rPr>
          <w:rFonts w:hint="eastAsia" w:ascii="Times New Roman" w:hAnsi="Times New Roman" w:eastAsia="仿宋_GB2312"/>
          <w:color w:val="auto"/>
          <w:sz w:val="28"/>
          <w:szCs w:val="28"/>
          <w:highlight w:val="none"/>
        </w:rPr>
        <w:t>设备视图</w:t>
      </w:r>
      <w:r>
        <w:rPr>
          <w:rFonts w:hint="eastAsia" w:ascii="Times New Roman" w:hAnsi="Times New Roman" w:eastAsia="仿宋_GB2312"/>
          <w:color w:val="auto"/>
          <w:sz w:val="28"/>
          <w:szCs w:val="28"/>
          <w:highlight w:val="none"/>
          <w:lang w:val="en-US" w:eastAsia="zh-CN"/>
        </w:rPr>
        <w:t>的</w:t>
      </w:r>
      <w:r>
        <w:rPr>
          <w:rFonts w:hint="eastAsia" w:ascii="Times New Roman" w:hAnsi="Times New Roman" w:eastAsia="仿宋_GB2312"/>
          <w:color w:val="auto"/>
          <w:sz w:val="28"/>
          <w:szCs w:val="28"/>
          <w:highlight w:val="none"/>
        </w:rPr>
        <w:t>策略快速管理</w:t>
      </w:r>
      <w:r>
        <w:rPr>
          <w:rFonts w:hint="eastAsia" w:ascii="Times New Roman" w:hAnsi="Times New Roman" w:eastAsia="仿宋_GB2312"/>
          <w:color w:val="auto"/>
          <w:sz w:val="28"/>
          <w:szCs w:val="28"/>
          <w:highlight w:val="none"/>
          <w:lang w:val="en-US" w:eastAsia="zh-CN"/>
        </w:rPr>
        <w:t>功能</w:t>
      </w:r>
      <w:r>
        <w:rPr>
          <w:rFonts w:hint="eastAsia" w:ascii="Times New Roman" w:hAnsi="Times New Roman"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提供</w:t>
      </w:r>
      <w:r>
        <w:rPr>
          <w:rFonts w:hint="eastAsia" w:ascii="Times New Roman" w:hAnsi="Times New Roman" w:eastAsia="仿宋_GB2312"/>
          <w:color w:val="auto"/>
          <w:sz w:val="28"/>
          <w:szCs w:val="28"/>
          <w:highlight w:val="none"/>
        </w:rPr>
        <w:t>策略变更统计、配置一致性统计、部署状态统计等</w:t>
      </w:r>
      <w:r>
        <w:rPr>
          <w:rFonts w:hint="eastAsia" w:ascii="Times New Roman" w:hAnsi="Times New Roman" w:eastAsia="仿宋_GB2312"/>
          <w:color w:val="auto"/>
          <w:sz w:val="28"/>
          <w:szCs w:val="28"/>
          <w:highlight w:val="none"/>
          <w:lang w:val="en-US" w:eastAsia="zh-CN"/>
        </w:rPr>
        <w:t>功能</w:t>
      </w:r>
      <w:r>
        <w:rPr>
          <w:rFonts w:hint="eastAsia" w:ascii="Times New Roman" w:hAnsi="Times New Roman" w:eastAsia="仿宋_GB2312"/>
          <w:color w:val="auto"/>
          <w:sz w:val="28"/>
          <w:szCs w:val="28"/>
          <w:highlight w:val="none"/>
        </w:rPr>
        <w:t>。</w:t>
      </w:r>
    </w:p>
    <w:p w14:paraId="6F8B53E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（3）策略合规性检查</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支持定义白名单、风险规则、混合规则等</w:t>
      </w:r>
      <w:r>
        <w:rPr>
          <w:rFonts w:hint="eastAsia" w:ascii="Times New Roman" w:hAnsi="Times New Roman" w:eastAsia="仿宋_GB2312"/>
          <w:color w:val="auto"/>
          <w:sz w:val="28"/>
          <w:szCs w:val="28"/>
          <w:highlight w:val="none"/>
          <w:lang w:val="en-US" w:eastAsia="zh-CN"/>
        </w:rPr>
        <w:t>多种</w:t>
      </w:r>
      <w:r>
        <w:rPr>
          <w:rFonts w:hint="eastAsia" w:ascii="Times New Roman" w:hAnsi="Times New Roman" w:eastAsia="仿宋_GB2312"/>
          <w:color w:val="auto"/>
          <w:sz w:val="28"/>
          <w:szCs w:val="28"/>
          <w:highlight w:val="none"/>
        </w:rPr>
        <w:t>检查方式。策略提交后，</w:t>
      </w:r>
      <w:r>
        <w:rPr>
          <w:rFonts w:hint="eastAsia" w:ascii="Times New Roman" w:hAnsi="Times New Roman" w:eastAsia="仿宋_GB2312"/>
          <w:color w:val="auto"/>
          <w:sz w:val="28"/>
          <w:szCs w:val="28"/>
          <w:highlight w:val="none"/>
          <w:lang w:val="en-US" w:eastAsia="zh-CN"/>
        </w:rPr>
        <w:t>即时</w:t>
      </w:r>
      <w:r>
        <w:rPr>
          <w:rFonts w:hint="eastAsia" w:ascii="Times New Roman" w:hAnsi="Times New Roman" w:eastAsia="仿宋_GB2312"/>
          <w:color w:val="auto"/>
          <w:sz w:val="28"/>
          <w:szCs w:val="28"/>
          <w:highlight w:val="none"/>
        </w:rPr>
        <w:t>匹配</w:t>
      </w:r>
      <w:r>
        <w:rPr>
          <w:rFonts w:hint="eastAsia" w:ascii="Times New Roman" w:hAnsi="Times New Roman" w:eastAsia="仿宋_GB2312"/>
          <w:color w:val="auto"/>
          <w:sz w:val="28"/>
          <w:szCs w:val="28"/>
          <w:highlight w:val="none"/>
          <w:lang w:val="en-US" w:eastAsia="zh-CN"/>
        </w:rPr>
        <w:t>预设</w:t>
      </w:r>
      <w:r>
        <w:rPr>
          <w:rFonts w:hint="eastAsia" w:ascii="Times New Roman" w:hAnsi="Times New Roman" w:eastAsia="仿宋_GB2312"/>
          <w:color w:val="auto"/>
          <w:sz w:val="28"/>
          <w:szCs w:val="28"/>
          <w:highlight w:val="none"/>
        </w:rPr>
        <w:t>检查规则，</w:t>
      </w:r>
      <w:r>
        <w:rPr>
          <w:rFonts w:hint="eastAsia" w:ascii="Times New Roman" w:hAnsi="Times New Roman" w:eastAsia="仿宋_GB2312"/>
          <w:color w:val="auto"/>
          <w:sz w:val="28"/>
          <w:szCs w:val="28"/>
          <w:highlight w:val="none"/>
          <w:lang w:val="en-US" w:eastAsia="zh-CN"/>
        </w:rPr>
        <w:t>并将</w:t>
      </w:r>
      <w:r>
        <w:rPr>
          <w:rFonts w:hint="eastAsia" w:ascii="Times New Roman" w:hAnsi="Times New Roman" w:eastAsia="仿宋_GB2312"/>
          <w:color w:val="auto"/>
          <w:sz w:val="28"/>
          <w:szCs w:val="28"/>
          <w:highlight w:val="none"/>
        </w:rPr>
        <w:t>检查结果、安全等级等信息</w:t>
      </w:r>
      <w:r>
        <w:rPr>
          <w:rFonts w:hint="eastAsia" w:ascii="Times New Roman" w:hAnsi="Times New Roman" w:eastAsia="仿宋_GB2312"/>
          <w:color w:val="auto"/>
          <w:sz w:val="28"/>
          <w:szCs w:val="28"/>
          <w:highlight w:val="none"/>
          <w:lang w:val="en-US" w:eastAsia="zh-CN"/>
        </w:rPr>
        <w:t>实时反馈至</w:t>
      </w:r>
      <w:r>
        <w:rPr>
          <w:rFonts w:hint="eastAsia" w:ascii="Times New Roman" w:hAnsi="Times New Roman" w:eastAsia="仿宋_GB2312"/>
          <w:color w:val="auto"/>
          <w:sz w:val="28"/>
          <w:szCs w:val="28"/>
          <w:highlight w:val="none"/>
        </w:rPr>
        <w:t>安全审批责任人</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同时，应实现</w:t>
      </w:r>
      <w:r>
        <w:rPr>
          <w:rFonts w:hint="eastAsia" w:ascii="Times New Roman" w:hAnsi="Times New Roman" w:eastAsia="仿宋_GB2312"/>
          <w:color w:val="auto"/>
          <w:sz w:val="28"/>
          <w:szCs w:val="28"/>
          <w:highlight w:val="none"/>
        </w:rPr>
        <w:t>低风险策略</w:t>
      </w:r>
      <w:r>
        <w:rPr>
          <w:rFonts w:hint="eastAsia" w:ascii="Times New Roman" w:hAnsi="Times New Roman" w:eastAsia="仿宋_GB2312"/>
          <w:color w:val="auto"/>
          <w:sz w:val="28"/>
          <w:szCs w:val="28"/>
          <w:highlight w:val="none"/>
          <w:lang w:val="en-US" w:eastAsia="zh-CN"/>
        </w:rPr>
        <w:t>的</w:t>
      </w:r>
      <w:r>
        <w:rPr>
          <w:rFonts w:hint="eastAsia" w:ascii="Times New Roman" w:hAnsi="Times New Roman" w:eastAsia="仿宋_GB2312"/>
          <w:color w:val="auto"/>
          <w:sz w:val="28"/>
          <w:szCs w:val="28"/>
          <w:highlight w:val="none"/>
        </w:rPr>
        <w:t>自动审批</w:t>
      </w:r>
      <w:r>
        <w:rPr>
          <w:rFonts w:hint="eastAsia" w:ascii="Times New Roman" w:hAnsi="Times New Roman" w:eastAsia="仿宋_GB2312"/>
          <w:color w:val="auto"/>
          <w:sz w:val="28"/>
          <w:szCs w:val="28"/>
          <w:highlight w:val="none"/>
          <w:lang w:val="en-US" w:eastAsia="zh-CN"/>
        </w:rPr>
        <w:t>功能</w:t>
      </w:r>
      <w:r>
        <w:rPr>
          <w:rFonts w:hint="eastAsia" w:ascii="Times New Roman" w:hAnsi="Times New Roman" w:eastAsia="仿宋_GB2312"/>
          <w:color w:val="auto"/>
          <w:sz w:val="28"/>
          <w:szCs w:val="28"/>
          <w:highlight w:val="none"/>
        </w:rPr>
        <w:t>。</w:t>
      </w:r>
    </w:p>
    <w:p w14:paraId="58C7FDD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（4）策略仿真</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应通过学习业务互访关系，对比待部署策略，以模拟部署方式在策略部署前评估</w:t>
      </w:r>
      <w:r>
        <w:rPr>
          <w:rFonts w:hint="eastAsia" w:ascii="Times New Roman" w:hAnsi="Times New Roman" w:eastAsia="仿宋_GB2312"/>
          <w:color w:val="auto"/>
          <w:sz w:val="28"/>
          <w:szCs w:val="28"/>
          <w:highlight w:val="none"/>
          <w:lang w:val="en-US" w:eastAsia="zh-CN"/>
        </w:rPr>
        <w:t>其</w:t>
      </w:r>
      <w:r>
        <w:rPr>
          <w:rFonts w:hint="eastAsia" w:ascii="Times New Roman" w:hAnsi="Times New Roman" w:eastAsia="仿宋_GB2312"/>
          <w:color w:val="auto"/>
          <w:sz w:val="28"/>
          <w:szCs w:val="28"/>
          <w:highlight w:val="none"/>
        </w:rPr>
        <w:t>对业务的影响，</w:t>
      </w:r>
      <w:r>
        <w:rPr>
          <w:rFonts w:hint="eastAsia" w:ascii="Times New Roman" w:hAnsi="Times New Roman" w:eastAsia="仿宋_GB2312"/>
          <w:color w:val="auto"/>
          <w:sz w:val="28"/>
          <w:szCs w:val="28"/>
          <w:highlight w:val="none"/>
          <w:lang w:val="en-US" w:eastAsia="zh-CN"/>
        </w:rPr>
        <w:t>从而</w:t>
      </w:r>
      <w:r>
        <w:rPr>
          <w:rFonts w:hint="eastAsia" w:ascii="Times New Roman" w:hAnsi="Times New Roman" w:eastAsia="仿宋_GB2312"/>
          <w:color w:val="auto"/>
          <w:sz w:val="28"/>
          <w:szCs w:val="28"/>
          <w:highlight w:val="none"/>
        </w:rPr>
        <w:t>降低策略部署后</w:t>
      </w:r>
      <w:r>
        <w:rPr>
          <w:rFonts w:hint="eastAsia" w:ascii="Times New Roman" w:hAnsi="Times New Roman" w:eastAsia="仿宋_GB2312"/>
          <w:color w:val="auto"/>
          <w:sz w:val="28"/>
          <w:szCs w:val="28"/>
          <w:highlight w:val="none"/>
          <w:lang w:val="en-US" w:eastAsia="zh-CN"/>
        </w:rPr>
        <w:t>带来的</w:t>
      </w:r>
      <w:r>
        <w:rPr>
          <w:rFonts w:hint="eastAsia" w:ascii="Times New Roman" w:hAnsi="Times New Roman" w:eastAsia="仿宋_GB2312"/>
          <w:color w:val="auto"/>
          <w:sz w:val="28"/>
          <w:szCs w:val="28"/>
          <w:highlight w:val="none"/>
        </w:rPr>
        <w:t>业务风险。</w:t>
      </w:r>
    </w:p>
    <w:p w14:paraId="24C06A4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（5）协同联动</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rPr>
        <w:t>应支持安全管理控制系统</w:t>
      </w:r>
      <w:r>
        <w:rPr>
          <w:rFonts w:hint="eastAsia" w:ascii="Times New Roman" w:hAnsi="Times New Roman" w:eastAsia="仿宋_GB2312"/>
          <w:color w:val="auto"/>
          <w:sz w:val="28"/>
          <w:szCs w:val="28"/>
          <w:highlight w:val="none"/>
          <w:lang w:val="en-US" w:eastAsia="zh-CN"/>
        </w:rPr>
        <w:t>与</w:t>
      </w:r>
      <w:r>
        <w:rPr>
          <w:rFonts w:hint="eastAsia" w:ascii="Times New Roman" w:hAnsi="Times New Roman" w:eastAsia="仿宋_GB2312"/>
          <w:color w:val="auto"/>
          <w:sz w:val="28"/>
          <w:szCs w:val="28"/>
          <w:highlight w:val="none"/>
        </w:rPr>
        <w:t>态势感知子系统</w:t>
      </w:r>
      <w:r>
        <w:rPr>
          <w:rFonts w:hint="eastAsia" w:ascii="Times New Roman" w:hAnsi="Times New Roman" w:eastAsia="仿宋_GB2312"/>
          <w:color w:val="auto"/>
          <w:sz w:val="28"/>
          <w:szCs w:val="28"/>
          <w:highlight w:val="none"/>
          <w:lang w:val="en-US" w:eastAsia="zh-CN"/>
        </w:rPr>
        <w:t>联动</w:t>
      </w:r>
      <w:r>
        <w:rPr>
          <w:rFonts w:hint="eastAsia" w:ascii="Times New Roman" w:hAnsi="Times New Roman" w:eastAsia="仿宋_GB2312"/>
          <w:color w:val="auto"/>
          <w:sz w:val="28"/>
          <w:szCs w:val="28"/>
          <w:highlight w:val="none"/>
        </w:rPr>
        <w:t>，实现威胁检测结果自动转化为安全策略，并将安全策略下发到安全设备，</w:t>
      </w:r>
      <w:r>
        <w:rPr>
          <w:rFonts w:hint="eastAsia" w:ascii="Times New Roman" w:hAnsi="Times New Roman" w:eastAsia="仿宋_GB2312"/>
          <w:color w:val="auto"/>
          <w:sz w:val="28"/>
          <w:szCs w:val="28"/>
          <w:highlight w:val="none"/>
          <w:lang w:val="en-US" w:eastAsia="zh-CN"/>
        </w:rPr>
        <w:t>完成</w:t>
      </w:r>
      <w:r>
        <w:rPr>
          <w:rFonts w:hint="eastAsia" w:ascii="Times New Roman" w:hAnsi="Times New Roman" w:eastAsia="仿宋_GB2312"/>
          <w:color w:val="auto"/>
          <w:sz w:val="28"/>
          <w:szCs w:val="28"/>
          <w:highlight w:val="none"/>
        </w:rPr>
        <w:t>闭环联动处置。</w:t>
      </w:r>
    </w:p>
    <w:p w14:paraId="7223B99B">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日志</w:t>
      </w:r>
      <w:r>
        <w:rPr>
          <w:rFonts w:hint="default" w:ascii="Times New Roman" w:hAnsi="Times New Roman" w:eastAsia="仿宋"/>
          <w:color w:val="auto"/>
          <w:sz w:val="28"/>
          <w:szCs w:val="28"/>
          <w:highlight w:val="none"/>
        </w:rPr>
        <w:t>审计</w:t>
      </w:r>
      <w:r>
        <w:rPr>
          <w:rFonts w:hint="eastAsia" w:ascii="Times New Roman" w:hAnsi="Times New Roman" w:eastAsia="仿宋_GB2312"/>
          <w:color w:val="auto"/>
          <w:sz w:val="28"/>
          <w:szCs w:val="28"/>
          <w:highlight w:val="none"/>
        </w:rPr>
        <w:t>系统</w:t>
      </w:r>
    </w:p>
    <w:p w14:paraId="7F06731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安全日志系统</w:t>
      </w:r>
      <w:r>
        <w:rPr>
          <w:rFonts w:hint="eastAsia" w:ascii="Times New Roman" w:hAnsi="Times New Roman" w:eastAsia="仿宋_GB2312"/>
          <w:color w:val="auto"/>
          <w:sz w:val="28"/>
          <w:szCs w:val="28"/>
          <w:highlight w:val="none"/>
          <w:lang w:val="en-US" w:eastAsia="zh-CN"/>
        </w:rPr>
        <w:t>应独立</w:t>
      </w:r>
      <w:r>
        <w:rPr>
          <w:rFonts w:hint="eastAsia" w:ascii="Times New Roman" w:hAnsi="Times New Roman" w:eastAsia="仿宋_GB2312"/>
          <w:color w:val="auto"/>
          <w:sz w:val="28"/>
          <w:szCs w:val="28"/>
          <w:highlight w:val="none"/>
        </w:rPr>
        <w:t>建设，</w:t>
      </w:r>
      <w:r>
        <w:rPr>
          <w:rFonts w:hint="eastAsia" w:ascii="Times New Roman" w:hAnsi="Times New Roman" w:eastAsia="仿宋_GB2312"/>
          <w:color w:val="auto"/>
          <w:sz w:val="28"/>
          <w:szCs w:val="28"/>
          <w:highlight w:val="none"/>
          <w:lang w:val="en-US" w:eastAsia="zh-CN"/>
        </w:rPr>
        <w:t>部署</w:t>
      </w:r>
      <w:r>
        <w:rPr>
          <w:rFonts w:hint="eastAsia" w:ascii="Times New Roman" w:hAnsi="Times New Roman" w:eastAsia="仿宋_GB2312"/>
          <w:color w:val="auto"/>
          <w:sz w:val="28"/>
          <w:szCs w:val="28"/>
          <w:highlight w:val="none"/>
        </w:rPr>
        <w:t>集中化统一日志管理</w:t>
      </w:r>
      <w:r>
        <w:rPr>
          <w:rFonts w:hint="eastAsia" w:ascii="Times New Roman" w:hAnsi="Times New Roman" w:eastAsia="仿宋_GB2312"/>
          <w:color w:val="auto"/>
          <w:sz w:val="28"/>
          <w:szCs w:val="28"/>
          <w:highlight w:val="none"/>
          <w:lang w:val="en-US" w:eastAsia="zh-CN"/>
        </w:rPr>
        <w:t>平台</w:t>
      </w:r>
      <w:r>
        <w:rPr>
          <w:rFonts w:hint="eastAsia" w:ascii="Times New Roman" w:hAnsi="Times New Roman"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负责</w:t>
      </w:r>
      <w:r>
        <w:rPr>
          <w:rFonts w:hint="eastAsia" w:ascii="Times New Roman" w:hAnsi="Times New Roman" w:eastAsia="仿宋_GB2312"/>
          <w:color w:val="auto"/>
          <w:sz w:val="28"/>
          <w:szCs w:val="28"/>
          <w:highlight w:val="none"/>
        </w:rPr>
        <w:t>收集政务外网</w:t>
      </w:r>
      <w:r>
        <w:rPr>
          <w:rFonts w:hint="eastAsia" w:ascii="Times New Roman" w:hAnsi="Times New Roman" w:eastAsia="仿宋_GB2312"/>
          <w:color w:val="auto"/>
          <w:sz w:val="28"/>
          <w:szCs w:val="28"/>
          <w:highlight w:val="none"/>
          <w:lang w:val="en-US" w:eastAsia="zh-CN"/>
        </w:rPr>
        <w:t>相关</w:t>
      </w:r>
      <w:r>
        <w:rPr>
          <w:rFonts w:hint="eastAsia" w:ascii="Times New Roman" w:hAnsi="Times New Roman" w:eastAsia="仿宋_GB2312"/>
          <w:color w:val="auto"/>
          <w:sz w:val="28"/>
          <w:szCs w:val="28"/>
          <w:highlight w:val="none"/>
        </w:rPr>
        <w:t>设备的日志信息，提供流量日志、威胁日志、系统日志</w:t>
      </w:r>
      <w:r>
        <w:rPr>
          <w:rFonts w:hint="eastAsia" w:ascii="Times New Roman" w:hAnsi="Times New Roman" w:eastAsia="仿宋_GB2312"/>
          <w:color w:val="auto"/>
          <w:sz w:val="28"/>
          <w:szCs w:val="28"/>
          <w:highlight w:val="none"/>
          <w:lang w:val="en-US" w:eastAsia="zh-CN"/>
        </w:rPr>
        <w:t>及</w:t>
      </w:r>
      <w:r>
        <w:rPr>
          <w:rFonts w:hint="eastAsia" w:ascii="Times New Roman" w:hAnsi="Times New Roman" w:eastAsia="仿宋_GB2312"/>
          <w:color w:val="auto"/>
          <w:sz w:val="28"/>
          <w:szCs w:val="28"/>
          <w:highlight w:val="none"/>
        </w:rPr>
        <w:t>管理员运维日志的审计功能，并</w:t>
      </w:r>
      <w:r>
        <w:rPr>
          <w:rFonts w:hint="eastAsia" w:ascii="Times New Roman" w:hAnsi="Times New Roman" w:eastAsia="仿宋_GB2312"/>
          <w:color w:val="auto"/>
          <w:sz w:val="28"/>
          <w:szCs w:val="28"/>
          <w:highlight w:val="none"/>
          <w:lang w:val="en-US" w:eastAsia="zh-CN"/>
        </w:rPr>
        <w:t>依据</w:t>
      </w:r>
      <w:r>
        <w:rPr>
          <w:rFonts w:hint="eastAsia" w:ascii="Times New Roman" w:hAnsi="Times New Roman" w:eastAsia="仿宋_GB2312"/>
          <w:color w:val="auto"/>
          <w:sz w:val="28"/>
          <w:szCs w:val="28"/>
          <w:highlight w:val="none"/>
        </w:rPr>
        <w:t>等级保护</w:t>
      </w:r>
      <w:r>
        <w:rPr>
          <w:rFonts w:hint="eastAsia" w:ascii="Times New Roman" w:hAnsi="Times New Roman" w:eastAsia="仿宋_GB2312"/>
          <w:color w:val="auto"/>
          <w:sz w:val="28"/>
          <w:szCs w:val="28"/>
          <w:highlight w:val="none"/>
          <w:lang w:val="en-US" w:eastAsia="zh-CN"/>
        </w:rPr>
        <w:t>三级</w:t>
      </w:r>
      <w:r>
        <w:rPr>
          <w:rFonts w:hint="eastAsia" w:ascii="Times New Roman" w:hAnsi="Times New Roman" w:eastAsia="仿宋_GB2312"/>
          <w:color w:val="auto"/>
          <w:sz w:val="28"/>
          <w:szCs w:val="28"/>
          <w:highlight w:val="none"/>
        </w:rPr>
        <w:t>要求，对审计过程产生的数据</w:t>
      </w:r>
      <w:r>
        <w:rPr>
          <w:rFonts w:hint="eastAsia" w:ascii="Times New Roman" w:hAnsi="Times New Roman" w:eastAsia="仿宋_GB2312"/>
          <w:color w:val="auto"/>
          <w:sz w:val="28"/>
          <w:szCs w:val="28"/>
          <w:highlight w:val="none"/>
          <w:lang w:val="en-US" w:eastAsia="zh-CN"/>
        </w:rPr>
        <w:t>实施有效</w:t>
      </w:r>
      <w:r>
        <w:rPr>
          <w:rFonts w:hint="eastAsia" w:ascii="Times New Roman" w:hAnsi="Times New Roman" w:eastAsia="仿宋_GB2312"/>
          <w:color w:val="auto"/>
          <w:sz w:val="28"/>
          <w:szCs w:val="28"/>
          <w:highlight w:val="none"/>
        </w:rPr>
        <w:t>保护。</w:t>
      </w:r>
    </w:p>
    <w:p w14:paraId="0CAD8E85">
      <w:pPr>
        <w:keepNext w:val="0"/>
        <w:keepLines w:val="0"/>
        <w:pageBreakBefore w:val="0"/>
        <w:widowControl w:val="0"/>
        <w:numPr>
          <w:ilvl w:val="0"/>
          <w:numId w:val="1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安全</w:t>
      </w:r>
      <w:r>
        <w:rPr>
          <w:rFonts w:hint="eastAsia" w:ascii="Times New Roman" w:hAnsi="Times New Roman" w:eastAsia="仿宋"/>
          <w:color w:val="auto"/>
          <w:sz w:val="28"/>
          <w:szCs w:val="28"/>
          <w:highlight w:val="none"/>
        </w:rPr>
        <w:t>日志</w:t>
      </w:r>
      <w:r>
        <w:rPr>
          <w:rFonts w:hint="eastAsia" w:ascii="Times New Roman" w:hAnsi="Times New Roman" w:eastAsia="仿宋_GB2312"/>
          <w:color w:val="auto"/>
          <w:sz w:val="28"/>
          <w:szCs w:val="28"/>
          <w:highlight w:val="none"/>
        </w:rPr>
        <w:t>可回溯</w:t>
      </w:r>
    </w:p>
    <w:p w14:paraId="30C4725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sz w:val="28"/>
          <w:szCs w:val="28"/>
          <w:highlight w:val="none"/>
        </w:rPr>
        <w:t>网络安全管理中心</w:t>
      </w:r>
      <w:r>
        <w:rPr>
          <w:rFonts w:hint="eastAsia" w:ascii="Times New Roman" w:hAnsi="Times New Roman" w:eastAsia="仿宋_GB2312"/>
          <w:color w:val="auto"/>
          <w:sz w:val="28"/>
          <w:szCs w:val="28"/>
          <w:highlight w:val="none"/>
          <w:lang w:val="en-US" w:eastAsia="zh-CN"/>
        </w:rPr>
        <w:t>应</w:t>
      </w:r>
      <w:r>
        <w:rPr>
          <w:rFonts w:hint="eastAsia" w:ascii="Times New Roman" w:hAnsi="Times New Roman" w:eastAsia="仿宋_GB2312"/>
          <w:color w:val="auto"/>
          <w:sz w:val="28"/>
          <w:szCs w:val="28"/>
          <w:highlight w:val="none"/>
        </w:rPr>
        <w:t>确保市级政务外网运行</w:t>
      </w:r>
      <w:r>
        <w:rPr>
          <w:rFonts w:hint="eastAsia" w:ascii="Times New Roman" w:hAnsi="Times New Roman" w:eastAsia="仿宋_GB2312"/>
          <w:color w:val="auto"/>
          <w:sz w:val="28"/>
          <w:szCs w:val="28"/>
          <w:highlight w:val="none"/>
          <w:lang w:val="en-US" w:eastAsia="zh-CN"/>
        </w:rPr>
        <w:t>过程中</w:t>
      </w:r>
      <w:r>
        <w:rPr>
          <w:rFonts w:hint="eastAsia" w:ascii="Times New Roman" w:hAnsi="Times New Roman" w:eastAsia="仿宋_GB2312"/>
          <w:color w:val="auto"/>
          <w:sz w:val="28"/>
          <w:szCs w:val="28"/>
          <w:highlight w:val="none"/>
        </w:rPr>
        <w:t>积累的历史安全日志</w:t>
      </w:r>
      <w:r>
        <w:rPr>
          <w:rFonts w:hint="eastAsia" w:ascii="Times New Roman" w:hAnsi="Times New Roman" w:eastAsia="仿宋_GB2312"/>
          <w:color w:val="auto"/>
          <w:sz w:val="28"/>
          <w:szCs w:val="28"/>
          <w:highlight w:val="none"/>
          <w:lang w:eastAsia="zh-CN"/>
        </w:rPr>
        <w:t>，</w:t>
      </w:r>
      <w:r>
        <w:rPr>
          <w:rFonts w:hint="eastAsia" w:ascii="Times New Roman" w:hAnsi="Times New Roman" w:eastAsia="仿宋_GB2312"/>
          <w:color w:val="auto"/>
          <w:sz w:val="28"/>
          <w:szCs w:val="28"/>
          <w:highlight w:val="none"/>
          <w:lang w:val="en-US" w:eastAsia="zh-CN"/>
        </w:rPr>
        <w:t>具备不</w:t>
      </w:r>
      <w:r>
        <w:rPr>
          <w:rFonts w:hint="eastAsia" w:ascii="Times New Roman" w:hAnsi="Times New Roman" w:eastAsia="仿宋_GB2312"/>
          <w:color w:val="auto"/>
          <w:sz w:val="28"/>
          <w:szCs w:val="28"/>
          <w:highlight w:val="none"/>
        </w:rPr>
        <w:t>少</w:t>
      </w:r>
      <w:r>
        <w:rPr>
          <w:rFonts w:hint="eastAsia" w:ascii="Times New Roman" w:hAnsi="Times New Roman" w:eastAsia="仿宋_GB2312"/>
          <w:color w:val="auto"/>
          <w:sz w:val="28"/>
          <w:szCs w:val="28"/>
          <w:highlight w:val="none"/>
          <w:lang w:val="en-US" w:eastAsia="zh-CN"/>
        </w:rPr>
        <w:t>于</w:t>
      </w:r>
      <w:r>
        <w:rPr>
          <w:rFonts w:ascii="Times New Roman" w:hAnsi="Times New Roman" w:eastAsia="仿宋_GB2312"/>
          <w:color w:val="auto"/>
          <w:sz w:val="28"/>
          <w:szCs w:val="28"/>
          <w:highlight w:val="none"/>
        </w:rPr>
        <w:t>180天的回溯调用</w:t>
      </w:r>
      <w:r>
        <w:rPr>
          <w:rFonts w:hint="eastAsia" w:ascii="Times New Roman" w:hAnsi="Times New Roman" w:eastAsia="仿宋_GB2312"/>
          <w:color w:val="auto"/>
          <w:sz w:val="28"/>
          <w:szCs w:val="28"/>
          <w:highlight w:val="none"/>
          <w:lang w:val="en-US" w:eastAsia="zh-CN"/>
        </w:rPr>
        <w:t>能力</w:t>
      </w:r>
      <w:r>
        <w:rPr>
          <w:rFonts w:ascii="Times New Roman" w:hAnsi="Times New Roman" w:eastAsia="仿宋_GB2312"/>
          <w:color w:val="auto"/>
          <w:sz w:val="28"/>
          <w:szCs w:val="28"/>
          <w:highlight w:val="none"/>
        </w:rPr>
        <w:t>。</w:t>
      </w:r>
    </w:p>
    <w:p w14:paraId="4833FE7D">
      <w:pPr>
        <w:pStyle w:val="4"/>
        <w:rPr>
          <w:rFonts w:ascii="Times New Roman" w:hAnsi="Times New Roman"/>
          <w:color w:val="auto"/>
          <w:highlight w:val="none"/>
        </w:rPr>
      </w:pPr>
      <w:bookmarkStart w:id="127" w:name="_Toc6030"/>
      <w:bookmarkStart w:id="128" w:name="_Toc2548"/>
      <w:bookmarkStart w:id="129" w:name="_Toc8129"/>
      <w:bookmarkStart w:id="130" w:name="_Toc21404"/>
      <w:bookmarkStart w:id="131" w:name="_Toc30676"/>
      <w:bookmarkStart w:id="132" w:name="_Toc15052"/>
      <w:r>
        <w:rPr>
          <w:rFonts w:hint="eastAsia" w:ascii="Times New Roman" w:hAnsi="Times New Roman"/>
          <w:bCs w:val="0"/>
          <w:color w:val="auto"/>
          <w:highlight w:val="none"/>
        </w:rPr>
        <w:t>安全管理中心设备要求</w:t>
      </w:r>
      <w:bookmarkEnd w:id="127"/>
      <w:bookmarkEnd w:id="128"/>
      <w:bookmarkEnd w:id="129"/>
      <w:bookmarkEnd w:id="130"/>
      <w:bookmarkEnd w:id="131"/>
      <w:bookmarkEnd w:id="132"/>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6"/>
        <w:gridCol w:w="3866"/>
        <w:gridCol w:w="1531"/>
        <w:gridCol w:w="1529"/>
      </w:tblGrid>
      <w:tr w14:paraId="552AD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37" w:type="pct"/>
          </w:tcPr>
          <w:p w14:paraId="73127256">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序号</w:t>
            </w:r>
          </w:p>
        </w:tc>
        <w:tc>
          <w:tcPr>
            <w:tcW w:w="2268" w:type="pct"/>
            <w:shd w:val="clear" w:color="auto" w:fill="auto"/>
            <w:vAlign w:val="center"/>
          </w:tcPr>
          <w:p w14:paraId="7F666F0E">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设备名称</w:t>
            </w:r>
          </w:p>
        </w:tc>
        <w:tc>
          <w:tcPr>
            <w:tcW w:w="898" w:type="pct"/>
            <w:shd w:val="clear" w:color="auto" w:fill="auto"/>
            <w:vAlign w:val="center"/>
          </w:tcPr>
          <w:p w14:paraId="59C75CC9">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单位</w:t>
            </w:r>
          </w:p>
        </w:tc>
        <w:tc>
          <w:tcPr>
            <w:tcW w:w="897" w:type="pct"/>
            <w:shd w:val="clear" w:color="auto" w:fill="auto"/>
            <w:vAlign w:val="center"/>
          </w:tcPr>
          <w:p w14:paraId="37FBEDED">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数量</w:t>
            </w:r>
          </w:p>
        </w:tc>
      </w:tr>
      <w:tr w14:paraId="56DFB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37" w:type="pct"/>
            <w:vMerge w:val="restart"/>
            <w:vAlign w:val="center"/>
          </w:tcPr>
          <w:p w14:paraId="1169843A">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2268" w:type="pct"/>
            <w:shd w:val="clear" w:color="auto" w:fill="auto"/>
          </w:tcPr>
          <w:p w14:paraId="1CC8D4D8">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态势感知模块</w:t>
            </w:r>
          </w:p>
        </w:tc>
        <w:tc>
          <w:tcPr>
            <w:tcW w:w="898" w:type="pct"/>
            <w:vMerge w:val="restart"/>
            <w:vAlign w:val="center"/>
          </w:tcPr>
          <w:p w14:paraId="663A7CE5">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套</w:t>
            </w:r>
          </w:p>
        </w:tc>
        <w:tc>
          <w:tcPr>
            <w:tcW w:w="897" w:type="pct"/>
            <w:vMerge w:val="restart"/>
            <w:vAlign w:val="center"/>
          </w:tcPr>
          <w:p w14:paraId="5DD957C1">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r>
      <w:tr w14:paraId="6AC01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37" w:type="pct"/>
            <w:vMerge w:val="continue"/>
            <w:vAlign w:val="center"/>
          </w:tcPr>
          <w:p w14:paraId="3949D105">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2268" w:type="pct"/>
            <w:shd w:val="clear" w:color="auto" w:fill="auto"/>
          </w:tcPr>
          <w:p w14:paraId="61E1D986">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通报预警模块</w:t>
            </w:r>
          </w:p>
        </w:tc>
        <w:tc>
          <w:tcPr>
            <w:tcW w:w="898" w:type="pct"/>
            <w:vMerge w:val="continue"/>
            <w:vAlign w:val="center"/>
          </w:tcPr>
          <w:p w14:paraId="752078F0">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897" w:type="pct"/>
            <w:vMerge w:val="continue"/>
            <w:vAlign w:val="center"/>
          </w:tcPr>
          <w:p w14:paraId="1F65383B">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r>
      <w:tr w14:paraId="3727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37" w:type="pct"/>
            <w:vMerge w:val="continue"/>
            <w:vAlign w:val="center"/>
          </w:tcPr>
          <w:p w14:paraId="2AED6EFD">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2268" w:type="pct"/>
            <w:shd w:val="clear" w:color="auto" w:fill="auto"/>
          </w:tcPr>
          <w:p w14:paraId="74DA6CE7">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威胁情报共享模块</w:t>
            </w:r>
          </w:p>
        </w:tc>
        <w:tc>
          <w:tcPr>
            <w:tcW w:w="898" w:type="pct"/>
            <w:vMerge w:val="continue"/>
            <w:vAlign w:val="center"/>
          </w:tcPr>
          <w:p w14:paraId="0E2C4DC9">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897" w:type="pct"/>
            <w:vMerge w:val="continue"/>
            <w:vAlign w:val="center"/>
          </w:tcPr>
          <w:p w14:paraId="49E08758">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r>
      <w:tr w14:paraId="7FA4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37" w:type="pct"/>
            <w:vMerge w:val="continue"/>
            <w:vAlign w:val="center"/>
          </w:tcPr>
          <w:p w14:paraId="42F40152">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2268" w:type="pct"/>
            <w:shd w:val="clear" w:color="auto" w:fill="auto"/>
          </w:tcPr>
          <w:p w14:paraId="4F81CFD7">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安全管理控制模块</w:t>
            </w:r>
          </w:p>
        </w:tc>
        <w:tc>
          <w:tcPr>
            <w:tcW w:w="898" w:type="pct"/>
            <w:vMerge w:val="continue"/>
            <w:vAlign w:val="center"/>
          </w:tcPr>
          <w:p w14:paraId="64E93328">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897" w:type="pct"/>
            <w:vMerge w:val="continue"/>
            <w:vAlign w:val="center"/>
          </w:tcPr>
          <w:p w14:paraId="1E06CEA3">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r>
      <w:tr w14:paraId="5110C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37" w:type="pct"/>
            <w:vAlign w:val="center"/>
          </w:tcPr>
          <w:p w14:paraId="3FE4E339">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w:t>
            </w:r>
          </w:p>
        </w:tc>
        <w:tc>
          <w:tcPr>
            <w:tcW w:w="2268" w:type="pct"/>
            <w:shd w:val="clear" w:color="auto" w:fill="auto"/>
            <w:vAlign w:val="center"/>
          </w:tcPr>
          <w:p w14:paraId="77B91BFD">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漏洞扫描</w:t>
            </w:r>
          </w:p>
        </w:tc>
        <w:tc>
          <w:tcPr>
            <w:tcW w:w="898" w:type="pct"/>
            <w:shd w:val="clear" w:color="auto" w:fill="auto"/>
            <w:vAlign w:val="center"/>
          </w:tcPr>
          <w:p w14:paraId="4256474B">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台</w:t>
            </w:r>
          </w:p>
        </w:tc>
        <w:tc>
          <w:tcPr>
            <w:tcW w:w="897" w:type="pct"/>
            <w:shd w:val="clear" w:color="auto" w:fill="auto"/>
            <w:vAlign w:val="center"/>
          </w:tcPr>
          <w:p w14:paraId="50D72FEE">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w:t>
            </w:r>
          </w:p>
        </w:tc>
      </w:tr>
      <w:tr w14:paraId="3565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937" w:type="pct"/>
            <w:vAlign w:val="center"/>
          </w:tcPr>
          <w:p w14:paraId="2587C210">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3</w:t>
            </w:r>
          </w:p>
        </w:tc>
        <w:tc>
          <w:tcPr>
            <w:tcW w:w="2268" w:type="pct"/>
            <w:shd w:val="clear" w:color="auto" w:fill="auto"/>
            <w:vAlign w:val="center"/>
          </w:tcPr>
          <w:p w14:paraId="32216F72">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日志审计</w:t>
            </w:r>
          </w:p>
        </w:tc>
        <w:tc>
          <w:tcPr>
            <w:tcW w:w="898" w:type="pct"/>
            <w:shd w:val="clear" w:color="auto" w:fill="auto"/>
            <w:vAlign w:val="center"/>
          </w:tcPr>
          <w:p w14:paraId="6D88EC31">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台</w:t>
            </w:r>
          </w:p>
        </w:tc>
        <w:tc>
          <w:tcPr>
            <w:tcW w:w="897" w:type="pct"/>
            <w:shd w:val="clear" w:color="auto" w:fill="auto"/>
            <w:vAlign w:val="center"/>
          </w:tcPr>
          <w:p w14:paraId="08606F40">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r>
    </w:tbl>
    <w:p w14:paraId="0BE21AAF">
      <w:pPr>
        <w:keepNext w:val="0"/>
        <w:keepLines w:val="0"/>
        <w:pageBreakBefore w:val="0"/>
        <w:widowControl w:val="0"/>
        <w:numPr>
          <w:ilvl w:val="0"/>
          <w:numId w:val="14"/>
        </w:numPr>
        <w:kinsoku/>
        <w:wordWrap/>
        <w:overflowPunct/>
        <w:topLinePunct w:val="0"/>
        <w:autoSpaceDE/>
        <w:autoSpaceDN/>
        <w:bidi w:val="0"/>
        <w:adjustRightInd/>
        <w:snapToGrid/>
        <w:spacing w:line="560" w:lineRule="exact"/>
        <w:ind w:firstLine="560" w:firstLineChars="200"/>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安全分析平台（态势感知、通报预警、威胁情报共享、安全管理控制模块）</w:t>
      </w:r>
    </w:p>
    <w:tbl>
      <w:tblPr>
        <w:tblStyle w:val="37"/>
        <w:tblW w:w="823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1559"/>
        <w:gridCol w:w="5401"/>
      </w:tblGrid>
      <w:tr w14:paraId="733775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Align w:val="center"/>
          </w:tcPr>
          <w:p w14:paraId="2650C64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w:t>
            </w:r>
          </w:p>
        </w:tc>
        <w:tc>
          <w:tcPr>
            <w:tcW w:w="1559" w:type="dxa"/>
            <w:vAlign w:val="center"/>
          </w:tcPr>
          <w:p w14:paraId="51C59EE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指标项</w:t>
            </w:r>
          </w:p>
        </w:tc>
        <w:tc>
          <w:tcPr>
            <w:tcW w:w="5401" w:type="dxa"/>
          </w:tcPr>
          <w:p w14:paraId="7808CB4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指标要求</w:t>
            </w:r>
          </w:p>
        </w:tc>
      </w:tr>
      <w:tr w14:paraId="321EE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restart"/>
            <w:vAlign w:val="center"/>
          </w:tcPr>
          <w:p w14:paraId="7753201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基本要求</w:t>
            </w:r>
          </w:p>
        </w:tc>
        <w:tc>
          <w:tcPr>
            <w:tcW w:w="1559" w:type="dxa"/>
            <w:vMerge w:val="restart"/>
            <w:vAlign w:val="center"/>
          </w:tcPr>
          <w:p w14:paraId="696977B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平台架构</w:t>
            </w:r>
          </w:p>
        </w:tc>
        <w:tc>
          <w:tcPr>
            <w:tcW w:w="5401" w:type="dxa"/>
          </w:tcPr>
          <w:p w14:paraId="6783714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基于B/S架构，通过WEB方式使用和管理</w:t>
            </w:r>
          </w:p>
        </w:tc>
      </w:tr>
      <w:tr w14:paraId="5CAD1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4674AB8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351C51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049599A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满足软硬一体化形态和纯软件形态部署模式，软件形态支持部署在物理机/虚拟机/云环境</w:t>
            </w:r>
          </w:p>
        </w:tc>
      </w:tr>
      <w:tr w14:paraId="62B619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371F99B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1189D31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139C1CD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支持集群技术，实现平台的高可用性</w:t>
            </w:r>
          </w:p>
        </w:tc>
      </w:tr>
      <w:tr w14:paraId="50CD0A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2D8FA6B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7A23A3D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16D4434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支持横向平滑扩展，可以通过增加硬件服务器数量的方式增加平台集群的计算处理性能</w:t>
            </w:r>
          </w:p>
        </w:tc>
      </w:tr>
      <w:tr w14:paraId="0C4AA6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3DF24F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042ECC3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日志采集能力</w:t>
            </w:r>
          </w:p>
        </w:tc>
        <w:tc>
          <w:tcPr>
            <w:tcW w:w="5401" w:type="dxa"/>
          </w:tcPr>
          <w:p w14:paraId="54322B9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支持IPv4/IPv6、多种协议的数据接入，包括但不限于FTP、SFTP、UDP、TCP、Netflow、本地文件系统、KAFKA、JDBC/ODBC</w:t>
            </w:r>
          </w:p>
        </w:tc>
      </w:tr>
      <w:tr w14:paraId="00179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6134F57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57D194D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03010E7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支持通过WEBUI快速配套以syslog方式传递的第三方日志，可以通过key-vlaue、分隔符以及正则表达式的方式提取第三方日志的数据字段，字段映射完成并下发配置至采集设备，完成第三方日志格式化转换</w:t>
            </w:r>
          </w:p>
        </w:tc>
      </w:tr>
      <w:tr w14:paraId="0DE5A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67D7AEA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6F90D1C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29BEE4E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支持接入应用服务器的性能类数据，包括但不限于CPU、内存和磁盘的性能告警数据</w:t>
            </w:r>
          </w:p>
        </w:tc>
      </w:tr>
      <w:tr w14:paraId="53007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6A6B45B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1B8F27E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2619592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内置安全设备解析规则支持主流安全厂商，支持定制开发解析规则</w:t>
            </w:r>
          </w:p>
        </w:tc>
      </w:tr>
      <w:tr w14:paraId="4B06D1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389873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1BAED49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64447C3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支持接入日志源不少于100个，支持扩容</w:t>
            </w:r>
          </w:p>
        </w:tc>
      </w:tr>
      <w:tr w14:paraId="3DC68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0A74C6A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016B526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6E5D216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支持数据采集时可配置允许接入日志的IP白名单、数据源的日志采集上限速率、来源设备IP以及日志编码（包括但不限于UTF-8、GBK、GB2312）</w:t>
            </w:r>
          </w:p>
        </w:tc>
      </w:tr>
      <w:tr w14:paraId="12F51B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15E501C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443816B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01D5195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日志进行解析，解析后的日志数据字段包括但不限于日期、发生时间、接收时间、设备类型、日志类型、日志来源、源地址、目的地址、事件类型、时间范围、操作主体、操作对象、行为方式、技术动作、技术效果、攻击类型、特征类型、协议、地理信息等</w:t>
            </w:r>
          </w:p>
        </w:tc>
      </w:tr>
      <w:tr w14:paraId="2D23D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4EB19F9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746E594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6D67F5E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具备同时保存事件原始日志数据和解析后的日志数据的能力</w:t>
            </w:r>
          </w:p>
        </w:tc>
      </w:tr>
      <w:tr w14:paraId="48666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63D06BC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11FBBEC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流量检测能力</w:t>
            </w:r>
          </w:p>
        </w:tc>
        <w:tc>
          <w:tcPr>
            <w:tcW w:w="5401" w:type="dxa"/>
          </w:tcPr>
          <w:p w14:paraId="47C0B53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具备流量会话还原能力，支持还原所有流量数据并支持外送，包括流ID、会话开始时间、会话结束时间、来源IP、来源端口、目的IP、目的端口、传输协议、应用协议、上下行流量、上下行数据包个数、会话时长、是否触发告警等</w:t>
            </w:r>
          </w:p>
        </w:tc>
      </w:tr>
      <w:tr w14:paraId="34491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2A9AE40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071C60E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69CC717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具备网络入侵攻击报文检测能力，触发告警并记录入侵攻击事件，事件内容包括但不限于事件名称、来源IP、来源端口、目的IP、目的端口、原始流ID、攻击报文、传输协议、应用协议、原始内容等</w:t>
            </w:r>
          </w:p>
        </w:tc>
      </w:tr>
      <w:tr w14:paraId="2D43E6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58052CA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2512A97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185199E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支持日志审计、漏洞利用、可疑通信、DDoS、恶意程序、配置风险、账号异常、主机异常、Web攻击等攻击检测规则</w:t>
            </w:r>
          </w:p>
        </w:tc>
      </w:tr>
      <w:tr w14:paraId="41BBD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AEFE3F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619AAF9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32FF78D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支持对系统CPU、内存、磁盘、网口状态、网口流量、外送流量等指标进行可视化监控</w:t>
            </w:r>
          </w:p>
        </w:tc>
      </w:tr>
      <w:tr w14:paraId="7B8F2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2BA6F51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14F622C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4BE9E34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支持异构环境下的流量检测能力</w:t>
            </w:r>
          </w:p>
        </w:tc>
      </w:tr>
      <w:tr w14:paraId="7E306B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000DFFD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1C866A6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数据接入</w:t>
            </w:r>
          </w:p>
        </w:tc>
        <w:tc>
          <w:tcPr>
            <w:tcW w:w="5401" w:type="dxa"/>
          </w:tcPr>
          <w:p w14:paraId="73EFE09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支持通过多种类型的安全类数据接入采集，包括但不限于设备日志数据、流量数据、弱点漏洞数据、系统性能数据、威胁情报数据、资产人员数据等</w:t>
            </w:r>
          </w:p>
        </w:tc>
      </w:tr>
      <w:tr w14:paraId="764375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118CB7D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380B0B0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33CB478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支持通过流量采集设备采集接入流量数据，包含流量中的请求包和返回包等信息，并可在数据检索中体现包信息</w:t>
            </w:r>
          </w:p>
        </w:tc>
      </w:tr>
      <w:tr w14:paraId="421D4E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FD13CF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0D69512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29084A1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支持接入文本格式、CSV等格式的文件数据，可通过模板文件的填写导入实现资产数据的导入和管理</w:t>
            </w:r>
          </w:p>
        </w:tc>
      </w:tr>
      <w:tr w14:paraId="575108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24CA4C8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0E09F39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6B15090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支持通过本地导入或手动编辑的方式，接入威胁情报数据</w:t>
            </w:r>
          </w:p>
        </w:tc>
      </w:tr>
      <w:tr w14:paraId="316C13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163800E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Align w:val="center"/>
          </w:tcPr>
          <w:p w14:paraId="57CFBEC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PCAP包取证</w:t>
            </w:r>
          </w:p>
        </w:tc>
        <w:tc>
          <w:tcPr>
            <w:tcW w:w="5401" w:type="dxa"/>
          </w:tcPr>
          <w:p w14:paraId="6ED7FE6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支持接入还原的流量包数据，并在关联的流量日志查询页面提供下载</w:t>
            </w:r>
          </w:p>
        </w:tc>
      </w:tr>
      <w:tr w14:paraId="7DE9F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0E1E580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2253CC4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数据存储</w:t>
            </w:r>
          </w:p>
        </w:tc>
        <w:tc>
          <w:tcPr>
            <w:tcW w:w="5401" w:type="dxa"/>
          </w:tcPr>
          <w:p w14:paraId="0AB4215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支持数据存储至ElasticSearch、HDFS</w:t>
            </w:r>
          </w:p>
        </w:tc>
      </w:tr>
      <w:tr w14:paraId="5D12B4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4B51B0A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341C9CD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790F917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支持基于分布式文件系统实现各类数据的存储，包括用于日志、文件、文本文档类型的数据存储</w:t>
            </w:r>
          </w:p>
        </w:tc>
      </w:tr>
      <w:tr w14:paraId="182C79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2B2485A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59C4449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713E04E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支持保留原始日志数据，日志数据存储不少于6个月</w:t>
            </w:r>
          </w:p>
        </w:tc>
      </w:tr>
      <w:tr w14:paraId="73D0F1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B669FA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Align w:val="center"/>
          </w:tcPr>
          <w:p w14:paraId="6628433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联动能力</w:t>
            </w:r>
          </w:p>
        </w:tc>
        <w:tc>
          <w:tcPr>
            <w:tcW w:w="5401" w:type="dxa"/>
          </w:tcPr>
          <w:p w14:paraId="2B363E4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支持与网络安全设备（如防火墙、入侵检测）、网络控制器设备（如网络控制器）、终端EDR设备等联动阻断发现的威胁，并支持针对威胁事件触发手动联动、自动联动等联动响应方式</w:t>
            </w:r>
          </w:p>
        </w:tc>
      </w:tr>
      <w:tr w14:paraId="67A29C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3C0EA01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Align w:val="center"/>
          </w:tcPr>
          <w:p w14:paraId="7B8F43E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平台性能</w:t>
            </w:r>
          </w:p>
        </w:tc>
        <w:tc>
          <w:tcPr>
            <w:tcW w:w="5401" w:type="dxa"/>
          </w:tcPr>
          <w:p w14:paraId="37D9724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百G流量（数据和视频混合流量）情况下数据采集和处理性能≥50000EPS，每条数据大小&gt;1KB</w:t>
            </w:r>
          </w:p>
        </w:tc>
      </w:tr>
      <w:tr w14:paraId="362AF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restart"/>
            <w:vAlign w:val="center"/>
          </w:tcPr>
          <w:p w14:paraId="3179201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安全检测能力</w:t>
            </w:r>
          </w:p>
        </w:tc>
        <w:tc>
          <w:tcPr>
            <w:tcW w:w="1559" w:type="dxa"/>
            <w:vMerge w:val="restart"/>
            <w:vAlign w:val="center"/>
          </w:tcPr>
          <w:p w14:paraId="6EC2351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威胁检测</w:t>
            </w:r>
          </w:p>
        </w:tc>
        <w:tc>
          <w:tcPr>
            <w:tcW w:w="5401" w:type="dxa"/>
          </w:tcPr>
          <w:p w14:paraId="2321F6F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支持多源异构安全设备、网络设备、全流量设备、终端设备、APT威胁检测设备、漏洞扫描设备、网站安全检测、VPN设备等数据接入与威胁分析，输出可疑威胁事件</w:t>
            </w:r>
          </w:p>
        </w:tc>
      </w:tr>
      <w:tr w14:paraId="1DFCFF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3EB743E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2173B16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2BFAD7B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支持不少于300种内置威胁分析规则及界面化的内置规则的月度升级</w:t>
            </w:r>
          </w:p>
        </w:tc>
      </w:tr>
      <w:tr w14:paraId="18EE6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FB3A79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7319D2B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3009AE9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支持安全事件的查询分析能力，支持提供快捷的全文检索条件，也支持通过时间范围、IP地址、事件类型、来源设备、威胁等级等条件进行查询， 并对查询结果提供按时间分段的统计图，查询结果以列表形式进行展示，支持自定义列表中展示的列，查询结果支持导出为Excel文件。支持在页面内展示事件详细信息，事件详情包括但不限于：事件摘要、事件关键属性，攻击过程，涉及的攻击者、受害者详情，还包括关联的日志信息、情报信息，并展示攻击者使用的ATT&amp;CK中定义的战术及技术</w:t>
            </w:r>
          </w:p>
        </w:tc>
      </w:tr>
      <w:tr w14:paraId="03081F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22682E9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03BC500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高危风险行为分析</w:t>
            </w:r>
          </w:p>
        </w:tc>
        <w:tc>
          <w:tcPr>
            <w:tcW w:w="5401" w:type="dxa"/>
          </w:tcPr>
          <w:p w14:paraId="35F0E1A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支持主机、应用等弱口令访问行为的检测，弱密码应加密展示且需要管理员的二次独立认证授权后方可查阅明文弱口令。同时支持批量导出弱口令帐号能力以便于弱口令帐号的分发整改</w:t>
            </w:r>
          </w:p>
        </w:tc>
      </w:tr>
      <w:tr w14:paraId="4FE67C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0B8BFAA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6575679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1C9354D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支持网络代理软件等代理翻墙风险行为的检测</w:t>
            </w:r>
          </w:p>
        </w:tc>
      </w:tr>
      <w:tr w14:paraId="23ED3E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39E7B4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79A2FCA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4177AA5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支持远程控制控制风险行为的检测，如向日葵、TeamViewer、远程连接windows命令行、远程控制工具等</w:t>
            </w:r>
          </w:p>
        </w:tc>
      </w:tr>
      <w:tr w14:paraId="58845A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42823B3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3533EA4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4388AAE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支持资产外联风险行为的检测，可检测存在外联行为的风险资产，可查看风险资产的IP、访问次数以及外联地域端口等的行为</w:t>
            </w:r>
          </w:p>
        </w:tc>
      </w:tr>
      <w:tr w14:paraId="6BBF7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restart"/>
            <w:vAlign w:val="center"/>
          </w:tcPr>
          <w:p w14:paraId="1A11860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溯源分析</w:t>
            </w:r>
          </w:p>
        </w:tc>
        <w:tc>
          <w:tcPr>
            <w:tcW w:w="1559" w:type="dxa"/>
            <w:vMerge w:val="restart"/>
            <w:vAlign w:val="center"/>
          </w:tcPr>
          <w:p w14:paraId="4ADE4E4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全流量回溯检测</w:t>
            </w:r>
          </w:p>
        </w:tc>
        <w:tc>
          <w:tcPr>
            <w:tcW w:w="5401" w:type="dxa"/>
          </w:tcPr>
          <w:p w14:paraId="6A5D300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支持使用DSL、SQL语句、字符串关键字等对历史流量进行回溯分析与检测，以发现规则漏检的攻击行为，可自定义时间范围、规则特征、流量数据、攻击阶段、严重程度、处置建议等，并可配置回溯分析的执行周期</w:t>
            </w:r>
          </w:p>
        </w:tc>
      </w:tr>
      <w:tr w14:paraId="68010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48830A8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29973C3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109E242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支持基于全流量数据进行流量纬度的可视化统计，包括流量趋势、应用分布、主机流量、端口访问、境外访问、主机外联、域名访问、DNS请求、高频访问页面、低频访问TOP10</w:t>
            </w:r>
          </w:p>
        </w:tc>
      </w:tr>
      <w:tr w14:paraId="7ED58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70" w:hRule="atLeast"/>
          <w:jc w:val="center"/>
        </w:trPr>
        <w:tc>
          <w:tcPr>
            <w:tcW w:w="1271" w:type="dxa"/>
            <w:vMerge w:val="restart"/>
            <w:vAlign w:val="center"/>
          </w:tcPr>
          <w:p w14:paraId="44F471F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可视化分析</w:t>
            </w:r>
          </w:p>
        </w:tc>
        <w:tc>
          <w:tcPr>
            <w:tcW w:w="1559" w:type="dxa"/>
            <w:vMerge w:val="restart"/>
            <w:vAlign w:val="center"/>
          </w:tcPr>
          <w:p w14:paraId="763DC1F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安全态势可视化仪表盘</w:t>
            </w:r>
          </w:p>
        </w:tc>
        <w:tc>
          <w:tcPr>
            <w:tcW w:w="5401" w:type="dxa"/>
            <w:vAlign w:val="center"/>
          </w:tcPr>
          <w:p w14:paraId="092CEB3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支持以地图、指数、雷达图、柱状图、趋势图等形式展示监测网络安全的整体安全态势，可投放大屏并兼容分辨率要求、易于操作，可动态提醒当前网络最新的安全威胁态；</w:t>
            </w:r>
          </w:p>
          <w:p w14:paraId="63C7FBF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支持可视化图表，包括但不限于时序图、饼图、柱状图等</w:t>
            </w:r>
          </w:p>
        </w:tc>
      </w:tr>
      <w:tr w14:paraId="42DD8A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76B54B3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72C4D14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vAlign w:val="center"/>
          </w:tcPr>
          <w:p w14:paraId="1945485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从网络风险状况及健康状态纬度对网络的综合风险态势进行量化评估感知及可视化呈现，包括但不限于网络风险综合评分及评分指数、网络健康状态评分以及日志、漏洞、资产、设备接入数，攻击链威胁分布、威胁场景分类统计、攻击意图TOP、资产脆弱性统计和影响资产漏洞TOP、最近重点事件等</w:t>
            </w:r>
          </w:p>
        </w:tc>
      </w:tr>
      <w:tr w14:paraId="38C554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1E55D4A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7C86D8C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vAlign w:val="center"/>
          </w:tcPr>
          <w:p w14:paraId="7D546D8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网络内外部威胁态势感知与可视化呈现，包括但不限于外部攻击与外部攻击类型TOP、内部攻击类型TOP、行为分析机器学习以及多源分析的威胁感知事件数、僵木蠕态势的详细分布、网络入侵事件分布、网站安全事件分布以及APT攻击事件TOP等</w:t>
            </w:r>
          </w:p>
        </w:tc>
      </w:tr>
      <w:tr w14:paraId="404803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196045B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2E2AC13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vAlign w:val="center"/>
          </w:tcPr>
          <w:p w14:paraId="5CB60B9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支持对网络内资产脆弱性的态势感知与可视化呈现，包括但不限于资产脆弱性TOP、漏洞脆弱性TOP、漏洞情报TOP、服务系统威胁分布、风险等级及漏洞分布趋势和脆弱性趋势、WASC漏洞分布、漏洞分布等</w:t>
            </w:r>
          </w:p>
        </w:tc>
      </w:tr>
      <w:tr w14:paraId="2D84B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restart"/>
            <w:vAlign w:val="center"/>
          </w:tcPr>
          <w:p w14:paraId="497B446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安全应用和运营</w:t>
            </w:r>
          </w:p>
        </w:tc>
        <w:tc>
          <w:tcPr>
            <w:tcW w:w="1559" w:type="dxa"/>
            <w:vMerge w:val="restart"/>
            <w:vAlign w:val="center"/>
          </w:tcPr>
          <w:p w14:paraId="29F8B0D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安全运营门户</w:t>
            </w:r>
          </w:p>
        </w:tc>
        <w:tc>
          <w:tcPr>
            <w:tcW w:w="5401" w:type="dxa"/>
          </w:tcPr>
          <w:p w14:paraId="564D81E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平台应具有统一的安全运营门户，作为多个安全态势分析与感知功能的统一入口，集成态势感知、威胁狩猎、通报预警、异常监测、运行监测等多个功能模块</w:t>
            </w:r>
          </w:p>
        </w:tc>
      </w:tr>
      <w:tr w14:paraId="21127B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082F881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24DEB5C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41B142C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平台支持为每个用户配置自定义的门户，可配置项包括门户名称、应用名称、应用图标等</w:t>
            </w:r>
          </w:p>
        </w:tc>
      </w:tr>
      <w:tr w14:paraId="16F83C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1271" w:type="dxa"/>
            <w:vMerge w:val="continue"/>
            <w:vAlign w:val="center"/>
          </w:tcPr>
          <w:p w14:paraId="5B5D9DF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Align w:val="center"/>
          </w:tcPr>
          <w:p w14:paraId="1E41702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智能检索</w:t>
            </w:r>
          </w:p>
        </w:tc>
        <w:tc>
          <w:tcPr>
            <w:tcW w:w="5401" w:type="dxa"/>
          </w:tcPr>
          <w:p w14:paraId="36C26CB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检索内容区分为日志和流量元数据，可通过关键字、条件表达式、时间范围对事件和流量元数据进行快速检索，快速定位到管理员关注的威胁和上下文数据，支持查看数量趋势统计和检索结果详细数据，并支持用户自定义显示关注的字段；</w:t>
            </w:r>
          </w:p>
        </w:tc>
      </w:tr>
      <w:tr w14:paraId="1EC5B1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7D778F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4A38ED7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数据字典管理</w:t>
            </w:r>
          </w:p>
        </w:tc>
        <w:tc>
          <w:tcPr>
            <w:tcW w:w="5401" w:type="dxa"/>
          </w:tcPr>
          <w:p w14:paraId="78EE2E6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支持对系统中原始日志、异常记录、安全告警的所有字段和取值进行管理，每个字段均有明确定义的说明</w:t>
            </w:r>
            <w:r>
              <w:rPr>
                <w:rFonts w:hint="eastAsia" w:ascii="Times New Roman" w:hAnsi="Times New Roman" w:eastAsia="宋体" w:cs="宋体"/>
                <w:color w:val="auto"/>
                <w:sz w:val="21"/>
                <w:szCs w:val="21"/>
                <w:highlight w:val="none"/>
              </w:rPr>
              <w:fldChar w:fldCharType="begin"/>
            </w:r>
            <w:r>
              <w:rPr>
                <w:rFonts w:hint="eastAsia" w:ascii="Times New Roman" w:hAnsi="Times New Roman" w:eastAsia="宋体" w:cs="宋体"/>
                <w:color w:val="auto"/>
                <w:sz w:val="21"/>
                <w:szCs w:val="21"/>
                <w:highlight w:val="none"/>
              </w:rPr>
              <w:instrText xml:space="preserve"> HYPERLINK \l "证明材料12" </w:instrText>
            </w:r>
            <w:r>
              <w:rPr>
                <w:rFonts w:hint="eastAsia" w:ascii="Times New Roman" w:hAnsi="Times New Roman" w:eastAsia="宋体" w:cs="宋体"/>
                <w:color w:val="auto"/>
                <w:sz w:val="21"/>
                <w:szCs w:val="21"/>
                <w:highlight w:val="none"/>
              </w:rPr>
              <w:fldChar w:fldCharType="separate"/>
            </w:r>
            <w:r>
              <w:rPr>
                <w:rFonts w:hint="eastAsia" w:ascii="Times New Roman" w:hAnsi="Times New Roman" w:eastAsia="宋体" w:cs="宋体"/>
                <w:color w:val="auto"/>
                <w:sz w:val="21"/>
                <w:szCs w:val="21"/>
                <w:highlight w:val="none"/>
              </w:rPr>
              <w:fldChar w:fldCharType="end"/>
            </w:r>
          </w:p>
        </w:tc>
      </w:tr>
      <w:tr w14:paraId="0A6C2A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44AA6FD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4BD28A7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4DD7618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支持数据标准管理，可以根据实际需求，对字典进行编辑，支持手动修改、增加或删除相应的字段</w:t>
            </w:r>
          </w:p>
        </w:tc>
      </w:tr>
      <w:tr w14:paraId="141CA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01BB6DC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51EA05F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566F951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数据字典支持管理系统中原始日志和告警数据中所有字段的类型、取值范围、字段说明，支持数值、字符串、枚举、IP等</w:t>
            </w:r>
          </w:p>
        </w:tc>
      </w:tr>
      <w:tr w14:paraId="652264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0BFD18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37F9535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31C43B5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基于IP、URL、文件的可视化交互威胁狩猎能力，辅助安全运营人员发现未知威胁线索。包括攻击命中信息、攻击目标模型、攻击类型模型、攻击路径模型、流量命中信息，流量趋势模型、会话协议模型、端口模型、资产信息，资产开放端口、服务以及资产外联、资产被攻击事件、命中情报信息，情报命中信息及情报历史信息、同网段攻击者IP TOP推荐、IP命中的告警日志详情、恶意文件名称、恶意文件检测报告、恶意文件情报命中信息等</w:t>
            </w:r>
          </w:p>
        </w:tc>
      </w:tr>
      <w:tr w14:paraId="3B6B9F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3F1EB2A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Align w:val="center"/>
          </w:tcPr>
          <w:p w14:paraId="6B46B98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漏洞和资产管理</w:t>
            </w:r>
          </w:p>
        </w:tc>
        <w:tc>
          <w:tcPr>
            <w:tcW w:w="5401" w:type="dxa"/>
          </w:tcPr>
          <w:p w14:paraId="6F92937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平台应支持对于漏洞库和资产的全生命周期管理，支持联动漏洞扫描设备发现资产和漏洞。</w:t>
            </w:r>
          </w:p>
        </w:tc>
      </w:tr>
      <w:tr w14:paraId="2C099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3294EB9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63D10E7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业务拓扑监控</w:t>
            </w:r>
          </w:p>
        </w:tc>
        <w:tc>
          <w:tcPr>
            <w:tcW w:w="5401" w:type="dxa"/>
          </w:tcPr>
          <w:p w14:paraId="035349F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支持拓扑图的增加、修改、删除、导入、导出，支持创建多个业务或网络拓扑，支持建立平面拓扑和3D拓扑</w:t>
            </w:r>
          </w:p>
        </w:tc>
      </w:tr>
      <w:tr w14:paraId="78B26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118092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20DB28A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058A589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支持监控安全域、Web业务系统、服务器、终端、安全设备等至少5种网络实体类型</w:t>
            </w:r>
          </w:p>
        </w:tc>
      </w:tr>
      <w:tr w14:paraId="3887A4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3BFAF1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572BEA4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0629A05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支持在拓扑图上一键点击跳转查询相应网络实体的安全日志</w:t>
            </w:r>
          </w:p>
        </w:tc>
      </w:tr>
      <w:tr w14:paraId="7A381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5C508A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0AA08B4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安全运营</w:t>
            </w:r>
          </w:p>
        </w:tc>
        <w:tc>
          <w:tcPr>
            <w:tcW w:w="5401" w:type="dxa"/>
          </w:tcPr>
          <w:p w14:paraId="28C7A575">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支持统一的安全运营工作台，在工作台可以集中查看当前待办工单、最新通报预警状态</w:t>
            </w:r>
          </w:p>
        </w:tc>
      </w:tr>
      <w:tr w14:paraId="73A273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075B6B8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35D7DC3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7661D42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工单详情与备注支持多种内容格式，包括但不限于文字、图片、超链接、表格、代码片段、附件等类型</w:t>
            </w:r>
          </w:p>
        </w:tc>
      </w:tr>
      <w:tr w14:paraId="0E29C3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1E1E6E7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1EA811D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638A35E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支持直接定位到工单关联的原始信息进行查看</w:t>
            </w:r>
          </w:p>
        </w:tc>
      </w:tr>
      <w:tr w14:paraId="34087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67B639D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6E1A0EF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13BE8E9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支持通过安全告警自动派发工单到对应的人员，支持自定义编辑预警信息内容</w:t>
            </w:r>
          </w:p>
        </w:tc>
      </w:tr>
      <w:tr w14:paraId="05AF6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ED9243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Align w:val="center"/>
          </w:tcPr>
          <w:p w14:paraId="79DD847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分析报告</w:t>
            </w:r>
          </w:p>
        </w:tc>
        <w:tc>
          <w:tcPr>
            <w:tcW w:w="5401" w:type="dxa"/>
          </w:tcPr>
          <w:p w14:paraId="53D47BA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支持用户自定义编辑报告模板，根据实际的业务需求自定义统计分析的指标对象，生成有针对性的分析报告，安全分析中的所有字段内容，都可以作为报告的统计对象，并自定义时间范围实现报告导出</w:t>
            </w:r>
          </w:p>
        </w:tc>
      </w:tr>
      <w:tr w14:paraId="0E0C48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3AC4B83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6950977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事件管理</w:t>
            </w:r>
          </w:p>
        </w:tc>
        <w:tc>
          <w:tcPr>
            <w:tcW w:w="5401" w:type="dxa"/>
          </w:tcPr>
          <w:p w14:paraId="63FEEB4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事件详情中的事件为聚合前的事件；聚合事件页面可以根据将短时间内发生的相关事件聚合为一条信息展示，对聚合事件进行钻取，可以查看到全面的威胁取证信息，恶意payload，恶意请求响应码，恶意流量包等。</w:t>
            </w:r>
          </w:p>
        </w:tc>
      </w:tr>
      <w:tr w14:paraId="0B91D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23C8ED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7C11299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6F281046">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支持任意保障区域和系统，支持设置保障监控拓扑，支持重大保障态势大屏实时监测</w:t>
            </w:r>
          </w:p>
        </w:tc>
      </w:tr>
      <w:tr w14:paraId="083AF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E5308D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639CE17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037121B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在事件管理中的告警事件需要支持对攻击结果状态的判断，包括但不限于攻击成功、攻击尝试等</w:t>
            </w:r>
          </w:p>
        </w:tc>
      </w:tr>
      <w:tr w14:paraId="6DAC56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283C800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73843E0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联动封堵</w:t>
            </w:r>
          </w:p>
        </w:tc>
        <w:tc>
          <w:tcPr>
            <w:tcW w:w="5401" w:type="dxa"/>
          </w:tcPr>
          <w:p w14:paraId="3C902C4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可视化编排的方式对安全事件或者安全日志进行可视化分析可自动化响应以提升响应效率和响应精准度。支持通过可视化拖拽连线方式生成案例，支持对安全事件、安全日志的威胁分析、研判取证、逻辑判定、响应处置等编排流程，可支持全局封堵、主机隔离、工单、自定义通用剧本等多种响应处置方式</w:t>
            </w:r>
          </w:p>
        </w:tc>
      </w:tr>
      <w:tr w14:paraId="7DEC43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1183456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11A995A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5EFE88C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支持通过可视化编排连线方式创建通用剧本，编排流程为：编排开始、响应动作（研判取证/全局封堵/主机隔离/工单/通知预警/逻辑判定）、编排完成</w:t>
            </w:r>
          </w:p>
        </w:tc>
      </w:tr>
      <w:tr w14:paraId="7276E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tcBorders>
              <w:bottom w:val="single" w:color="auto" w:sz="4" w:space="0"/>
            </w:tcBorders>
            <w:vAlign w:val="center"/>
          </w:tcPr>
          <w:p w14:paraId="4DFCA4C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tcBorders>
              <w:bottom w:val="single" w:color="auto" w:sz="4" w:space="0"/>
            </w:tcBorders>
            <w:vAlign w:val="center"/>
          </w:tcPr>
          <w:p w14:paraId="6C24854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bottom w:val="single" w:color="auto" w:sz="4" w:space="0"/>
            </w:tcBorders>
          </w:tcPr>
          <w:p w14:paraId="112C0DD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支持对案例编排过程中涉及到的安全日志+内置规则、安全事件及研判等元素不同结果进行逻辑判定，不同执行结果可以选择不同的执行处置方法</w:t>
            </w:r>
          </w:p>
        </w:tc>
      </w:tr>
      <w:tr w14:paraId="76A40F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restart"/>
            <w:tcBorders>
              <w:top w:val="single" w:color="auto" w:sz="4" w:space="0"/>
              <w:left w:val="single" w:color="auto" w:sz="4" w:space="0"/>
              <w:bottom w:val="single" w:color="auto" w:sz="4" w:space="0"/>
              <w:right w:val="single" w:color="auto" w:sz="4" w:space="0"/>
            </w:tcBorders>
            <w:vAlign w:val="center"/>
          </w:tcPr>
          <w:p w14:paraId="6825130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通报预警</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1BFCC0D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通报预警</w:t>
            </w:r>
          </w:p>
        </w:tc>
        <w:tc>
          <w:tcPr>
            <w:tcW w:w="5401" w:type="dxa"/>
            <w:tcBorders>
              <w:top w:val="single" w:color="auto" w:sz="4" w:space="0"/>
              <w:left w:val="single" w:color="auto" w:sz="4" w:space="0"/>
              <w:bottom w:val="single" w:color="auto" w:sz="4" w:space="0"/>
              <w:right w:val="single" w:color="auto" w:sz="4" w:space="0"/>
            </w:tcBorders>
          </w:tcPr>
          <w:p w14:paraId="41094591">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支持审计终端、服务器、数据库、云平台日志数据采集、转换、上报</w:t>
            </w:r>
          </w:p>
        </w:tc>
      </w:tr>
      <w:tr w14:paraId="7B35FD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tcBorders>
              <w:top w:val="single" w:color="auto" w:sz="4" w:space="0"/>
            </w:tcBorders>
            <w:vAlign w:val="center"/>
          </w:tcPr>
          <w:p w14:paraId="0222708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tcBorders>
              <w:top w:val="single" w:color="auto" w:sz="4" w:space="0"/>
            </w:tcBorders>
            <w:vAlign w:val="center"/>
          </w:tcPr>
          <w:p w14:paraId="55515B2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tcBorders>
          </w:tcPr>
          <w:p w14:paraId="65937A7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支持与国家信息中心中央平台的对接，包括注册认证、状态上报、告警日志上报。</w:t>
            </w:r>
          </w:p>
        </w:tc>
      </w:tr>
      <w:tr w14:paraId="5537F9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26EED87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6E52F1E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70A8E3A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支持与下级平台的对接，包括下级平台的注册认证、接收下级节点状态、接收下级平台的告警日志。</w:t>
            </w:r>
          </w:p>
        </w:tc>
      </w:tr>
      <w:tr w14:paraId="5E678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restart"/>
            <w:vAlign w:val="center"/>
          </w:tcPr>
          <w:p w14:paraId="00CEE9F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系统管理</w:t>
            </w:r>
          </w:p>
        </w:tc>
        <w:tc>
          <w:tcPr>
            <w:tcW w:w="1559" w:type="dxa"/>
            <w:vMerge w:val="restart"/>
            <w:vAlign w:val="center"/>
          </w:tcPr>
          <w:p w14:paraId="2DC41AD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系统运维</w:t>
            </w:r>
          </w:p>
        </w:tc>
        <w:tc>
          <w:tcPr>
            <w:tcW w:w="5401" w:type="dxa"/>
          </w:tcPr>
          <w:p w14:paraId="6EBA520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支持平台本身的计算、存储资源利用率监控</w:t>
            </w:r>
          </w:p>
        </w:tc>
      </w:tr>
      <w:tr w14:paraId="2486A6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116DA4E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2895A9D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005F398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支持数据集与数据索引健康度监控</w:t>
            </w:r>
          </w:p>
        </w:tc>
      </w:tr>
      <w:tr w14:paraId="7B9FAA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65C906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5D4F6F4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0584D40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支持对平台各组件运行健康状态的集中监控</w:t>
            </w:r>
          </w:p>
        </w:tc>
      </w:tr>
      <w:tr w14:paraId="6EFEDA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D43A82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2D4E9A6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6283F93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支持平台运行状态告警，运行监测引擎可独立于安全分析引擎工作，展示运维告警趋势、分布等</w:t>
            </w:r>
          </w:p>
        </w:tc>
      </w:tr>
      <w:tr w14:paraId="72FF08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65551C3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13FBF7B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Pr>
          <w:p w14:paraId="7877863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平台健康性巡检，巡检检查内容包括但不限于数据健康、探针健康检查、大数据集群健康、搜索引擎健康、实时流计算引擎健康、管理服务健康、服务器节点健康等多种维度检查，并能提供处置建议，导出各类服务的故障日志，包括但不限于全文搜索引擎、实时计算引擎、操作系统等</w:t>
            </w:r>
          </w:p>
        </w:tc>
      </w:tr>
      <w:tr w14:paraId="303EA7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1271" w:type="dxa"/>
            <w:vMerge w:val="continue"/>
            <w:vAlign w:val="center"/>
          </w:tcPr>
          <w:p w14:paraId="1BB82F3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vAlign w:val="center"/>
          </w:tcPr>
          <w:p w14:paraId="7A38678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集群管理</w:t>
            </w:r>
          </w:p>
        </w:tc>
        <w:tc>
          <w:tcPr>
            <w:tcW w:w="5401" w:type="dxa"/>
            <w:vAlign w:val="center"/>
          </w:tcPr>
          <w:p w14:paraId="2AC9CB42">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支持通过WEBUI监控集群节点及探针的运行状态，可实时监控设备的CPU、内存、存储空间使用情况</w:t>
            </w:r>
          </w:p>
        </w:tc>
      </w:tr>
      <w:tr w14:paraId="61336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28F8F86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continue"/>
            <w:vAlign w:val="center"/>
          </w:tcPr>
          <w:p w14:paraId="0131026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vAlign w:val="center"/>
          </w:tcPr>
          <w:p w14:paraId="136DEFA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支持通过WEBUI管理流探针</w:t>
            </w:r>
          </w:p>
        </w:tc>
      </w:tr>
      <w:tr w14:paraId="5C9490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54FCB0A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Align w:val="center"/>
          </w:tcPr>
          <w:p w14:paraId="240DECA5">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用户管理</w:t>
            </w:r>
          </w:p>
        </w:tc>
        <w:tc>
          <w:tcPr>
            <w:tcW w:w="5401" w:type="dxa"/>
          </w:tcPr>
          <w:p w14:paraId="0FD86FD0">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支持提供三权分立的用户管理能力（配置员、用户管理员、审计员相互独立），支持根据对象属性自定义划分系统管理角色和一般用户角色，按照数据和功能分级灵活设置用户权限</w:t>
            </w:r>
          </w:p>
        </w:tc>
      </w:tr>
      <w:tr w14:paraId="6CB6E1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1271" w:type="dxa"/>
            <w:vMerge w:val="continue"/>
            <w:vAlign w:val="center"/>
          </w:tcPr>
          <w:p w14:paraId="7C809AE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Align w:val="center"/>
          </w:tcPr>
          <w:p w14:paraId="3A1B330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个性化配置管理</w:t>
            </w:r>
          </w:p>
        </w:tc>
        <w:tc>
          <w:tcPr>
            <w:tcW w:w="5401" w:type="dxa"/>
          </w:tcPr>
          <w:p w14:paraId="00571F9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支持常用配置参数的可视化修改，如信任IP、页面嵌套开关、首页缓存开关、告警推送主题、测试告警推送内容、搜索引擎集群IP、告警聚合条数上限配置、字体、主题皮肤颜色、LOGO等的可视化配置</w:t>
            </w:r>
          </w:p>
        </w:tc>
      </w:tr>
    </w:tbl>
    <w:p w14:paraId="07313883">
      <w:pPr>
        <w:numPr>
          <w:ilvl w:val="0"/>
          <w:numId w:val="14"/>
        </w:numPr>
        <w:ind w:firstLine="560" w:firstLineChars="200"/>
        <w:rPr>
          <w:rFonts w:ascii="Times New Roman" w:hAnsi="Times New Roman" w:eastAsia="仿宋_GB2312"/>
          <w:color w:val="auto"/>
          <w:highlight w:val="none"/>
        </w:rPr>
      </w:pPr>
      <w:r>
        <w:rPr>
          <w:rFonts w:hint="eastAsia" w:ascii="Times New Roman" w:hAnsi="Times New Roman" w:eastAsia="仿宋_GB2312"/>
          <w:color w:val="auto"/>
          <w:highlight w:val="none"/>
        </w:rPr>
        <w:t>漏洞扫描设备要求</w:t>
      </w:r>
    </w:p>
    <w:tbl>
      <w:tblPr>
        <w:tblStyle w:val="37"/>
        <w:tblW w:w="823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271"/>
        <w:gridCol w:w="1559"/>
        <w:gridCol w:w="5401"/>
      </w:tblGrid>
      <w:tr w14:paraId="11D6C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tcBorders>
              <w:top w:val="single" w:color="auto" w:sz="4" w:space="0"/>
              <w:left w:val="single" w:color="auto" w:sz="4" w:space="0"/>
              <w:bottom w:val="single" w:color="auto" w:sz="4" w:space="0"/>
              <w:right w:val="single" w:color="auto" w:sz="4" w:space="0"/>
            </w:tcBorders>
          </w:tcPr>
          <w:p w14:paraId="132B3F7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w:t>
            </w:r>
          </w:p>
        </w:tc>
        <w:tc>
          <w:tcPr>
            <w:tcW w:w="1559" w:type="dxa"/>
            <w:tcBorders>
              <w:top w:val="single" w:color="auto" w:sz="4" w:space="0"/>
              <w:left w:val="single" w:color="auto" w:sz="4" w:space="0"/>
              <w:bottom w:val="single" w:color="auto" w:sz="4" w:space="0"/>
              <w:right w:val="single" w:color="auto" w:sz="4" w:space="0"/>
            </w:tcBorders>
          </w:tcPr>
          <w:p w14:paraId="6E68FF2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指标项</w:t>
            </w:r>
          </w:p>
        </w:tc>
        <w:tc>
          <w:tcPr>
            <w:tcW w:w="5401" w:type="dxa"/>
            <w:tcBorders>
              <w:top w:val="single" w:color="auto" w:sz="4" w:space="0"/>
              <w:left w:val="single" w:color="auto" w:sz="4" w:space="0"/>
              <w:bottom w:val="single" w:color="auto" w:sz="4" w:space="0"/>
              <w:right w:val="single" w:color="auto" w:sz="4" w:space="0"/>
            </w:tcBorders>
          </w:tcPr>
          <w:p w14:paraId="3E70763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b/>
                <w:color w:val="auto"/>
                <w:kern w:val="0"/>
                <w:sz w:val="21"/>
                <w:szCs w:val="21"/>
                <w:highlight w:val="none"/>
              </w:rPr>
            </w:pPr>
            <w:r>
              <w:rPr>
                <w:rFonts w:hint="eastAsia" w:ascii="Times New Roman" w:hAnsi="Times New Roman" w:eastAsia="宋体" w:cs="宋体"/>
                <w:b/>
                <w:color w:val="auto"/>
                <w:kern w:val="0"/>
                <w:sz w:val="21"/>
                <w:szCs w:val="21"/>
                <w:highlight w:val="none"/>
              </w:rPr>
              <w:t>指标要求</w:t>
            </w:r>
          </w:p>
        </w:tc>
      </w:tr>
      <w:tr w14:paraId="6CFAED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restart"/>
            <w:tcBorders>
              <w:top w:val="single" w:color="auto" w:sz="4" w:space="0"/>
              <w:left w:val="single" w:color="auto" w:sz="4" w:space="0"/>
              <w:right w:val="single" w:color="auto" w:sz="4" w:space="0"/>
            </w:tcBorders>
            <w:vAlign w:val="center"/>
          </w:tcPr>
          <w:p w14:paraId="4DAEB25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基本要求</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2E5D352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总体要求</w:t>
            </w:r>
          </w:p>
        </w:tc>
        <w:tc>
          <w:tcPr>
            <w:tcW w:w="5401" w:type="dxa"/>
            <w:tcBorders>
              <w:top w:val="single" w:color="auto" w:sz="4" w:space="0"/>
              <w:left w:val="single" w:color="auto" w:sz="4" w:space="0"/>
              <w:bottom w:val="single" w:color="auto" w:sz="4" w:space="0"/>
              <w:right w:val="single" w:color="auto" w:sz="4" w:space="0"/>
            </w:tcBorders>
            <w:vAlign w:val="center"/>
          </w:tcPr>
          <w:p w14:paraId="6A05EEC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支持100/1000M端口</w:t>
            </w:r>
          </w:p>
        </w:tc>
      </w:tr>
      <w:tr w14:paraId="47525D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14:paraId="70663B0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01BF8B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6FF875E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支持IPv4/IPv6双协议栈地址场景漏洞扫描</w:t>
            </w:r>
          </w:p>
        </w:tc>
      </w:tr>
      <w:tr w14:paraId="5C8492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5" w:hRule="atLeast"/>
        </w:trPr>
        <w:tc>
          <w:tcPr>
            <w:tcW w:w="0" w:type="auto"/>
            <w:vMerge w:val="continue"/>
            <w:tcBorders>
              <w:left w:val="single" w:color="auto" w:sz="4" w:space="0"/>
              <w:right w:val="single" w:color="auto" w:sz="4" w:space="0"/>
            </w:tcBorders>
            <w:vAlign w:val="center"/>
          </w:tcPr>
          <w:p w14:paraId="100FE3C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1E612B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7AF361D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授权无限IP地址数</w:t>
            </w:r>
          </w:p>
        </w:tc>
      </w:tr>
      <w:tr w14:paraId="4C353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14:paraId="5787850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5184626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安全性</w:t>
            </w:r>
          </w:p>
        </w:tc>
        <w:tc>
          <w:tcPr>
            <w:tcW w:w="5401" w:type="dxa"/>
            <w:tcBorders>
              <w:top w:val="single" w:color="auto" w:sz="4" w:space="0"/>
              <w:left w:val="single" w:color="auto" w:sz="4" w:space="0"/>
              <w:bottom w:val="single" w:color="auto" w:sz="4" w:space="0"/>
              <w:right w:val="single" w:color="auto" w:sz="4" w:space="0"/>
            </w:tcBorders>
            <w:vAlign w:val="center"/>
          </w:tcPr>
          <w:p w14:paraId="394D230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用户多次登录失败时，自动锁定，允许自定义超时时间及登陆失败次数</w:t>
            </w:r>
          </w:p>
        </w:tc>
      </w:tr>
      <w:tr w14:paraId="54AEE5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14:paraId="5F456C8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A39CFC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78BCA89A">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设备日志支持本地保存以及通过syslog方式外发至日志服务器</w:t>
            </w:r>
          </w:p>
        </w:tc>
      </w:tr>
      <w:tr w14:paraId="5A5C6D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14:paraId="3795BF6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tcBorders>
              <w:top w:val="single" w:color="auto" w:sz="4" w:space="0"/>
              <w:left w:val="single" w:color="auto" w:sz="4" w:space="0"/>
              <w:bottom w:val="single" w:color="auto" w:sz="4" w:space="0"/>
              <w:right w:val="single" w:color="auto" w:sz="4" w:space="0"/>
            </w:tcBorders>
            <w:vAlign w:val="center"/>
          </w:tcPr>
          <w:p w14:paraId="3CBF0B0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异构要求</w:t>
            </w:r>
          </w:p>
        </w:tc>
        <w:tc>
          <w:tcPr>
            <w:tcW w:w="5401" w:type="dxa"/>
            <w:tcBorders>
              <w:top w:val="single" w:color="auto" w:sz="4" w:space="0"/>
              <w:left w:val="single" w:color="auto" w:sz="4" w:space="0"/>
              <w:bottom w:val="single" w:color="auto" w:sz="4" w:space="0"/>
              <w:right w:val="single" w:color="auto" w:sz="4" w:space="0"/>
            </w:tcBorders>
            <w:vAlign w:val="center"/>
          </w:tcPr>
          <w:p w14:paraId="7904AD3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两台漏洞扫描设备应为不同品牌</w:t>
            </w:r>
          </w:p>
        </w:tc>
      </w:tr>
      <w:tr w14:paraId="5367F8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71" w:type="dxa"/>
            <w:vMerge w:val="restart"/>
            <w:tcBorders>
              <w:top w:val="single" w:color="auto" w:sz="4" w:space="0"/>
              <w:left w:val="single" w:color="auto" w:sz="4" w:space="0"/>
              <w:bottom w:val="single" w:color="auto" w:sz="4" w:space="0"/>
              <w:right w:val="single" w:color="auto" w:sz="4" w:space="0"/>
            </w:tcBorders>
            <w:vAlign w:val="center"/>
          </w:tcPr>
          <w:p w14:paraId="3910FC72">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产品功能</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459B236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系统漏洞扫描能力要求</w:t>
            </w:r>
          </w:p>
        </w:tc>
        <w:tc>
          <w:tcPr>
            <w:tcW w:w="5401" w:type="dxa"/>
            <w:tcBorders>
              <w:top w:val="single" w:color="auto" w:sz="4" w:space="0"/>
              <w:left w:val="single" w:color="auto" w:sz="4" w:space="0"/>
              <w:bottom w:val="single" w:color="auto" w:sz="4" w:space="0"/>
              <w:right w:val="single" w:color="auto" w:sz="4" w:space="0"/>
            </w:tcBorders>
            <w:vAlign w:val="center"/>
          </w:tcPr>
          <w:p w14:paraId="68A87768">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支持扫描系统漏洞数量大于40000种</w:t>
            </w:r>
          </w:p>
        </w:tc>
      </w:tr>
      <w:tr w14:paraId="123240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F05BA3E">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440086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2CED8A5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漏洞知识库与国际CVE、国内CNNVD漏洞库标准兼容</w:t>
            </w:r>
          </w:p>
        </w:tc>
      </w:tr>
      <w:tr w14:paraId="38D436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9F0DBD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06905A8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47FB754D">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支持扫描主流操作系统、web服务器、数据库、网络主机、移动设备、应用及软件的安全漏洞</w:t>
            </w:r>
          </w:p>
        </w:tc>
      </w:tr>
      <w:tr w14:paraId="11AF31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123AB90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67974B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23326DFF">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支持扫描主流操作系统、web服务器、数据库、网络主机、移动设备、应用及软件的安全漏洞</w:t>
            </w:r>
          </w:p>
        </w:tc>
      </w:tr>
      <w:tr w14:paraId="7E3DB8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6CB887A8">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EF6313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650C9B9E">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登录扫描支持ssh、smb、snmp、mysql、db2、postgresql、mssql、telent、dmdb、oracle等类型</w:t>
            </w:r>
          </w:p>
        </w:tc>
      </w:tr>
      <w:tr w14:paraId="42EEE9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35042561">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5FB4BC90">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00440DB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支持FTP、IMAP、MSSQL、MYSQL、POP3、SMB、SMTP、SSH、TELNET等的弱口令探测</w:t>
            </w:r>
          </w:p>
        </w:tc>
      </w:tr>
      <w:tr w14:paraId="3A5DB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44B7020B">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D92B39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14396AF4">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端口扫描支持TCP CONNECT、TCP SYN、TCP FIN等多种方式</w:t>
            </w:r>
          </w:p>
        </w:tc>
      </w:tr>
      <w:tr w14:paraId="47558A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4008A9C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1A4DFE4F">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245EA90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提供标准通用端口、快速扫描端口、全部TCP端口、指定端口四种扫描策略</w:t>
            </w:r>
          </w:p>
        </w:tc>
      </w:tr>
      <w:tr w14:paraId="4B458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1D801F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62D29326">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5F43D3B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支持对DB2、MSSQL、MySQL、Oracle、DMDB等主流数据库进行登陆认证扫描</w:t>
            </w:r>
          </w:p>
        </w:tc>
      </w:tr>
      <w:tr w14:paraId="2C84C3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082D9F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45B3B3CC">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60350AF3">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支持认证自动登录，提供用户名密码登录、自定义表单登录、cookie登录、登录录制等功能</w:t>
            </w:r>
          </w:p>
        </w:tc>
      </w:tr>
      <w:tr w14:paraId="2D31A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38AA1E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2235581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1211512C">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支持通过代理服务器扫描目标url，代理报文可选http、http1.0、socks4、socks4a、socks5、socks5h等多种类型</w:t>
            </w:r>
          </w:p>
        </w:tc>
      </w:tr>
      <w:tr w14:paraId="44123F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5FC6E8E4">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vMerge w:val="restart"/>
            <w:tcBorders>
              <w:top w:val="single" w:color="auto" w:sz="4" w:space="0"/>
              <w:left w:val="single" w:color="auto" w:sz="4" w:space="0"/>
              <w:bottom w:val="single" w:color="auto" w:sz="4" w:space="0"/>
              <w:right w:val="single" w:color="auto" w:sz="4" w:space="0"/>
            </w:tcBorders>
            <w:vAlign w:val="center"/>
          </w:tcPr>
          <w:p w14:paraId="2DB53173">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口令猜解</w:t>
            </w:r>
          </w:p>
        </w:tc>
        <w:tc>
          <w:tcPr>
            <w:tcW w:w="5401" w:type="dxa"/>
            <w:tcBorders>
              <w:top w:val="single" w:color="auto" w:sz="4" w:space="0"/>
              <w:left w:val="single" w:color="auto" w:sz="4" w:space="0"/>
              <w:bottom w:val="single" w:color="auto" w:sz="4" w:space="0"/>
              <w:right w:val="single" w:color="auto" w:sz="4" w:space="0"/>
            </w:tcBorders>
            <w:vAlign w:val="center"/>
          </w:tcPr>
          <w:p w14:paraId="619E0E77">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支持对FTP、IMAP、MSSQL、MYSQL、POP3、SMB、SMTP、SSH、TELNET等多种应用服务进行弱口令猜测</w:t>
            </w:r>
          </w:p>
        </w:tc>
      </w:tr>
      <w:tr w14:paraId="373FF5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056F9B67">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14:paraId="719E75DA">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5401" w:type="dxa"/>
            <w:tcBorders>
              <w:top w:val="single" w:color="auto" w:sz="4" w:space="0"/>
              <w:left w:val="single" w:color="auto" w:sz="4" w:space="0"/>
              <w:bottom w:val="single" w:color="auto" w:sz="4" w:space="0"/>
              <w:right w:val="single" w:color="auto" w:sz="4" w:space="0"/>
            </w:tcBorders>
            <w:vAlign w:val="center"/>
          </w:tcPr>
          <w:p w14:paraId="369F7A3B">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支持自定义口令猜测时间、猜测频率、猜测次数、最大并发线程数</w:t>
            </w:r>
          </w:p>
        </w:tc>
      </w:tr>
      <w:tr w14:paraId="5850C2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14:paraId="72979549">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p>
        </w:tc>
        <w:tc>
          <w:tcPr>
            <w:tcW w:w="1559" w:type="dxa"/>
            <w:tcBorders>
              <w:top w:val="single" w:color="auto" w:sz="4" w:space="0"/>
              <w:left w:val="single" w:color="auto" w:sz="4" w:space="0"/>
              <w:bottom w:val="single" w:color="auto" w:sz="4" w:space="0"/>
              <w:right w:val="single" w:color="auto" w:sz="4" w:space="0"/>
            </w:tcBorders>
            <w:vAlign w:val="center"/>
          </w:tcPr>
          <w:p w14:paraId="52B08B2D">
            <w:pPr>
              <w:keepNext w:val="0"/>
              <w:keepLines w:val="0"/>
              <w:pageBreakBefore w:val="0"/>
              <w:widowControl w:val="0"/>
              <w:kinsoku/>
              <w:wordWrap/>
              <w:overflowPunct/>
              <w:topLinePunct w:val="0"/>
              <w:autoSpaceDE/>
              <w:autoSpaceDN/>
              <w:bidi w:val="0"/>
              <w:adjustRightInd/>
              <w:snapToGrid/>
              <w:spacing w:line="240" w:lineRule="auto"/>
              <w:ind w:firstLine="0" w:firstLineChars="0"/>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报表能力</w:t>
            </w:r>
          </w:p>
        </w:tc>
        <w:tc>
          <w:tcPr>
            <w:tcW w:w="5401" w:type="dxa"/>
            <w:tcBorders>
              <w:top w:val="single" w:color="auto" w:sz="4" w:space="0"/>
              <w:left w:val="single" w:color="auto" w:sz="4" w:space="0"/>
              <w:bottom w:val="single" w:color="auto" w:sz="4" w:space="0"/>
              <w:right w:val="single" w:color="auto" w:sz="4" w:space="0"/>
            </w:tcBorders>
            <w:vAlign w:val="center"/>
          </w:tcPr>
          <w:p w14:paraId="703FC0B9">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支持HTML、WORD、PDF、XLS报告格式</w:t>
            </w:r>
          </w:p>
        </w:tc>
      </w:tr>
    </w:tbl>
    <w:p w14:paraId="07AD8268">
      <w:pPr>
        <w:numPr>
          <w:ilvl w:val="0"/>
          <w:numId w:val="14"/>
        </w:numPr>
        <w:ind w:firstLine="560" w:firstLineChars="200"/>
        <w:rPr>
          <w:rFonts w:ascii="Times New Roman" w:hAnsi="Times New Roman" w:eastAsia="仿宋_GB2312"/>
          <w:color w:val="auto"/>
          <w:highlight w:val="none"/>
        </w:rPr>
      </w:pPr>
      <w:r>
        <w:rPr>
          <w:rFonts w:hint="eastAsia" w:ascii="Times New Roman" w:hAnsi="Times New Roman" w:eastAsia="仿宋_GB2312"/>
          <w:color w:val="auto"/>
          <w:highlight w:val="none"/>
        </w:rPr>
        <w:t>日志审计</w:t>
      </w:r>
    </w:p>
    <w:p w14:paraId="6C8A2032">
      <w:pPr>
        <w:pStyle w:val="6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olor w:val="auto"/>
          <w:sz w:val="28"/>
          <w:highlight w:val="none"/>
          <w:lang w:eastAsia="zh-CN"/>
        </w:rPr>
      </w:pPr>
      <w:r>
        <w:rPr>
          <w:rFonts w:hint="eastAsia" w:ascii="Times New Roman" w:hAnsi="Times New Roman" w:eastAsia="仿宋_GB2312"/>
          <w:color w:val="auto"/>
          <w:sz w:val="28"/>
          <w:highlight w:val="none"/>
        </w:rPr>
        <w:t>（1）支持</w:t>
      </w:r>
      <w:r>
        <w:rPr>
          <w:rFonts w:hint="eastAsia" w:ascii="Times New Roman" w:hAnsi="Times New Roman" w:eastAsia="仿宋_GB2312"/>
          <w:color w:val="auto"/>
          <w:sz w:val="28"/>
          <w:highlight w:val="none"/>
          <w:lang w:val="en-US" w:eastAsia="zh-CN"/>
        </w:rPr>
        <w:t>独立部署</w:t>
      </w:r>
      <w:r>
        <w:rPr>
          <w:rFonts w:hint="eastAsia" w:ascii="Times New Roman" w:hAnsi="Times New Roman" w:eastAsia="仿宋_GB2312"/>
          <w:color w:val="auto"/>
          <w:sz w:val="28"/>
          <w:highlight w:val="none"/>
        </w:rPr>
        <w:t>安全日志系统，提供集中化统一日志管理，采集政务外网设备的日志信息</w:t>
      </w:r>
      <w:r>
        <w:rPr>
          <w:rFonts w:hint="eastAsia" w:ascii="Times New Roman" w:hAnsi="Times New Roman" w:eastAsia="仿宋_GB2312"/>
          <w:color w:val="auto"/>
          <w:sz w:val="28"/>
          <w:highlight w:val="none"/>
          <w:lang w:eastAsia="zh-CN"/>
        </w:rPr>
        <w:t>；</w:t>
      </w:r>
    </w:p>
    <w:p w14:paraId="2B9CD743">
      <w:pPr>
        <w:pStyle w:val="6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olor w:val="auto"/>
          <w:sz w:val="28"/>
          <w:highlight w:val="none"/>
          <w:lang w:eastAsia="zh-CN"/>
        </w:rPr>
      </w:pPr>
      <w:r>
        <w:rPr>
          <w:rFonts w:hint="eastAsia" w:ascii="Times New Roman" w:hAnsi="Times New Roman" w:eastAsia="仿宋_GB2312"/>
          <w:color w:val="auto"/>
          <w:sz w:val="28"/>
          <w:highlight w:val="none"/>
        </w:rPr>
        <w:t>（2）支持高性能日志处理能力：千兆接入，事件入库性能不低于4000EPS，日志源不少于1024个</w:t>
      </w:r>
      <w:r>
        <w:rPr>
          <w:rFonts w:hint="eastAsia" w:ascii="Times New Roman" w:hAnsi="Times New Roman" w:eastAsia="仿宋_GB2312"/>
          <w:color w:val="auto"/>
          <w:sz w:val="28"/>
          <w:highlight w:val="none"/>
          <w:lang w:eastAsia="zh-CN"/>
        </w:rPr>
        <w:t>；</w:t>
      </w:r>
    </w:p>
    <w:p w14:paraId="00C45993">
      <w:pPr>
        <w:pStyle w:val="63"/>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olor w:val="auto"/>
          <w:sz w:val="28"/>
          <w:highlight w:val="none"/>
        </w:rPr>
      </w:pPr>
      <w:r>
        <w:rPr>
          <w:rFonts w:hint="eastAsia" w:ascii="Times New Roman" w:hAnsi="Times New Roman" w:eastAsia="仿宋_GB2312"/>
          <w:color w:val="auto"/>
          <w:sz w:val="28"/>
          <w:highlight w:val="none"/>
        </w:rPr>
        <w:t>（3）支持对流量日志、威胁日志、系统日志、管理员运维日志等进行审计，支持日志统一格式输出、报表自动生成及图形化展示，并按等保要求确保审计日志留存时间至少6个月。</w:t>
      </w:r>
    </w:p>
    <w:p w14:paraId="424A50F6">
      <w:pPr>
        <w:pStyle w:val="3"/>
        <w:rPr>
          <w:rFonts w:ascii="Times New Roman" w:hAnsi="Times New Roman"/>
          <w:color w:val="auto"/>
          <w:highlight w:val="none"/>
        </w:rPr>
      </w:pPr>
      <w:bookmarkStart w:id="133" w:name="_Toc9981"/>
      <w:bookmarkStart w:id="134" w:name="_Toc18233"/>
      <w:bookmarkStart w:id="135" w:name="_Toc24999"/>
      <w:bookmarkStart w:id="136" w:name="_Toc23409"/>
      <w:bookmarkStart w:id="137" w:name="_Toc7293"/>
      <w:bookmarkStart w:id="138" w:name="_Toc8703"/>
      <w:r>
        <w:rPr>
          <w:rFonts w:ascii="Times New Roman" w:hAnsi="Times New Roman"/>
          <w:color w:val="auto"/>
          <w:highlight w:val="none"/>
        </w:rPr>
        <w:t>IP</w:t>
      </w:r>
      <w:r>
        <w:rPr>
          <w:rFonts w:hint="eastAsia" w:ascii="Times New Roman" w:hAnsi="Times New Roman"/>
          <w:color w:val="auto"/>
          <w:highlight w:val="none"/>
        </w:rPr>
        <w:t>地址与网络协议规划要求</w:t>
      </w:r>
      <w:bookmarkEnd w:id="133"/>
      <w:bookmarkEnd w:id="134"/>
      <w:bookmarkEnd w:id="135"/>
      <w:bookmarkEnd w:id="136"/>
      <w:bookmarkEnd w:id="137"/>
      <w:bookmarkEnd w:id="138"/>
    </w:p>
    <w:p w14:paraId="47C24B01">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本项目所有网络设备</w:t>
      </w:r>
      <w:r>
        <w:rPr>
          <w:rFonts w:hint="eastAsia" w:ascii="Times New Roman" w:hAnsi="Times New Roman" w:eastAsia="仿宋_GB2312"/>
          <w:color w:val="auto"/>
          <w:highlight w:val="none"/>
          <w:lang w:val="en-US" w:eastAsia="zh-CN"/>
        </w:rPr>
        <w:t>需</w:t>
      </w:r>
      <w:r>
        <w:rPr>
          <w:rFonts w:hint="eastAsia" w:ascii="Times New Roman" w:hAnsi="Times New Roman" w:eastAsia="仿宋_GB2312"/>
          <w:color w:val="auto"/>
          <w:highlight w:val="none"/>
        </w:rPr>
        <w:t>配置IPv4/IPv6双栈接口地址，运行IPv4/IPv6双栈路由协议，</w:t>
      </w:r>
      <w:r>
        <w:rPr>
          <w:rFonts w:hint="eastAsia" w:ascii="Times New Roman" w:hAnsi="Times New Roman" w:eastAsia="仿宋_GB2312"/>
          <w:color w:val="auto"/>
          <w:highlight w:val="none"/>
          <w:lang w:val="en-US" w:eastAsia="zh-CN"/>
        </w:rPr>
        <w:t>并独立维护</w:t>
      </w:r>
      <w:r>
        <w:rPr>
          <w:rFonts w:hint="eastAsia" w:ascii="Times New Roman" w:hAnsi="Times New Roman" w:eastAsia="仿宋_GB2312"/>
          <w:color w:val="auto"/>
          <w:highlight w:val="none"/>
        </w:rPr>
        <w:t>IPv4</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IPv6路由表。其中</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IPv4地址</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采用国家政务外网互联共享地址</w:t>
      </w:r>
      <w:r>
        <w:rPr>
          <w:rFonts w:hint="eastAsia" w:ascii="Times New Roman" w:hAnsi="Times New Roman" w:eastAsia="仿宋_GB2312"/>
          <w:color w:val="auto"/>
          <w:highlight w:val="none"/>
          <w:lang w:val="en-US" w:eastAsia="zh-CN"/>
        </w:rPr>
        <w:t>段</w:t>
      </w:r>
      <w:r>
        <w:rPr>
          <w:rFonts w:hint="eastAsia" w:ascii="Times New Roman" w:hAnsi="Times New Roman" w:eastAsia="仿宋_GB2312"/>
          <w:color w:val="auto"/>
          <w:highlight w:val="none"/>
        </w:rPr>
        <w:t>（59.X.X.X）及上海政务外网本地网络地址（10.X.X.X/16）</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IPv6地址</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采用国家信息中心所分配的上海</w:t>
      </w:r>
      <w:r>
        <w:rPr>
          <w:rFonts w:hint="eastAsia" w:ascii="Times New Roman" w:hAnsi="Times New Roman" w:eastAsia="仿宋_GB2312"/>
          <w:color w:val="auto"/>
          <w:highlight w:val="none"/>
          <w:lang w:val="en-US" w:eastAsia="zh-CN"/>
        </w:rPr>
        <w:t>市</w:t>
      </w:r>
      <w:r>
        <w:rPr>
          <w:rFonts w:hint="eastAsia" w:ascii="Times New Roman" w:hAnsi="Times New Roman" w:eastAsia="仿宋_GB2312"/>
          <w:color w:val="auto"/>
          <w:highlight w:val="none"/>
        </w:rPr>
        <w:t>政务外网</w:t>
      </w:r>
      <w:r>
        <w:rPr>
          <w:rFonts w:hint="eastAsia" w:ascii="Times New Roman" w:hAnsi="Times New Roman" w:eastAsia="仿宋_GB2312"/>
          <w:color w:val="auto"/>
          <w:highlight w:val="none"/>
          <w:lang w:val="en-US" w:eastAsia="zh-CN"/>
        </w:rPr>
        <w:t>专用</w:t>
      </w:r>
      <w:r>
        <w:rPr>
          <w:rFonts w:hint="eastAsia" w:ascii="Times New Roman" w:hAnsi="Times New Roman" w:eastAsia="仿宋_GB2312"/>
          <w:color w:val="auto"/>
          <w:highlight w:val="none"/>
        </w:rPr>
        <w:t>地址</w:t>
      </w:r>
      <w:r>
        <w:rPr>
          <w:rFonts w:hint="eastAsia" w:ascii="Times New Roman" w:hAnsi="Times New Roman" w:eastAsia="仿宋_GB2312"/>
          <w:color w:val="auto"/>
          <w:highlight w:val="none"/>
          <w:lang w:val="en-US" w:eastAsia="zh-CN"/>
        </w:rPr>
        <w:t>段</w:t>
      </w:r>
      <w:r>
        <w:rPr>
          <w:rFonts w:hint="eastAsia" w:ascii="Times New Roman" w:hAnsi="Times New Roman" w:eastAsia="仿宋_GB2312"/>
          <w:color w:val="auto"/>
          <w:highlight w:val="none"/>
        </w:rPr>
        <w:t>240B:803C::/30。</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采用SDN、SR MPLS等协议承载L2VPN</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L3VPN业务。IGP路由协议</w:t>
      </w:r>
      <w:r>
        <w:rPr>
          <w:rFonts w:hint="eastAsia" w:ascii="Times New Roman" w:hAnsi="Times New Roman" w:eastAsia="仿宋_GB2312"/>
          <w:color w:val="auto"/>
          <w:highlight w:val="none"/>
          <w:lang w:val="en-US" w:eastAsia="zh-CN"/>
        </w:rPr>
        <w:t>应支持</w:t>
      </w:r>
      <w:r>
        <w:rPr>
          <w:rFonts w:hint="eastAsia" w:ascii="Times New Roman" w:hAnsi="Times New Roman" w:eastAsia="仿宋_GB2312"/>
          <w:color w:val="auto"/>
          <w:highlight w:val="none"/>
        </w:rPr>
        <w:t>IS-IS、OSPF等</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同时承载IPv4和IPv6路由</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域间路由协议</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采用MP-BGP。同时，</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提供主备</w:t>
      </w:r>
      <w:r>
        <w:rPr>
          <w:rFonts w:hint="eastAsia" w:ascii="Times New Roman" w:hAnsi="Times New Roman" w:eastAsia="仿宋_GB2312"/>
          <w:color w:val="auto"/>
          <w:highlight w:val="none"/>
          <w:lang w:val="en-US" w:eastAsia="zh-CN"/>
        </w:rPr>
        <w:t>冗余的</w:t>
      </w:r>
      <w:r>
        <w:rPr>
          <w:rFonts w:ascii="Times New Roman" w:hAnsi="Times New Roman" w:eastAsia="仿宋_GB2312"/>
          <w:color w:val="auto"/>
          <w:highlight w:val="none"/>
        </w:rPr>
        <w:t>DNS</w:t>
      </w:r>
      <w:r>
        <w:rPr>
          <w:rFonts w:hint="eastAsia" w:ascii="Times New Roman" w:hAnsi="Times New Roman" w:eastAsia="仿宋_GB2312"/>
          <w:color w:val="auto"/>
          <w:highlight w:val="none"/>
        </w:rPr>
        <w:t>域名解析服务。</w:t>
      </w:r>
    </w:p>
    <w:p w14:paraId="3CFFAA3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投标人</w:t>
      </w:r>
      <w:r>
        <w:rPr>
          <w:rFonts w:hint="eastAsia" w:ascii="Times New Roman" w:hAnsi="Times New Roman" w:eastAsia="仿宋_GB2312"/>
          <w:color w:val="auto"/>
          <w:highlight w:val="none"/>
          <w:lang w:val="en-US" w:eastAsia="zh-CN"/>
        </w:rPr>
        <w:t>须在</w:t>
      </w:r>
      <w:r>
        <w:rPr>
          <w:rFonts w:hint="eastAsia" w:ascii="Times New Roman" w:hAnsi="Times New Roman" w:eastAsia="仿宋_GB2312"/>
          <w:color w:val="auto"/>
          <w:highlight w:val="none"/>
        </w:rPr>
        <w:t>充分调研市级政务外网业务规划、路由协议及现网IP资源等需求的</w:t>
      </w:r>
      <w:r>
        <w:rPr>
          <w:rFonts w:hint="eastAsia" w:ascii="Times New Roman" w:hAnsi="Times New Roman" w:eastAsia="仿宋_GB2312"/>
          <w:color w:val="auto"/>
          <w:highlight w:val="none"/>
          <w:lang w:val="en-US" w:eastAsia="zh-CN"/>
        </w:rPr>
        <w:t>基础上</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针对以下方面编制技术规划方案：基于</w:t>
      </w:r>
      <w:r>
        <w:rPr>
          <w:rFonts w:hint="eastAsia" w:ascii="Times New Roman" w:hAnsi="Times New Roman" w:eastAsia="仿宋_GB2312"/>
          <w:color w:val="auto"/>
          <w:highlight w:val="none"/>
        </w:rPr>
        <w:t>业务及管理的IPv4/IPv6地址规划、“一网双平面”可靠性实现、管理系统承载网设计、无线接入网网络规划、业务带宽及QOS流量调整、主备保护</w:t>
      </w:r>
      <w:r>
        <w:rPr>
          <w:rFonts w:hint="eastAsia" w:ascii="Times New Roman" w:hAnsi="Times New Roman" w:eastAsia="仿宋_GB2312"/>
          <w:color w:val="auto"/>
          <w:highlight w:val="none"/>
          <w:lang w:val="en-US" w:eastAsia="zh-CN"/>
        </w:rPr>
        <w:t>机制</w:t>
      </w:r>
      <w:r>
        <w:rPr>
          <w:rFonts w:hint="eastAsia" w:ascii="Times New Roman" w:hAnsi="Times New Roman" w:eastAsia="仿宋_GB2312"/>
          <w:color w:val="auto"/>
          <w:highlight w:val="none"/>
        </w:rPr>
        <w:t>。</w:t>
      </w:r>
    </w:p>
    <w:p w14:paraId="4642FC3F">
      <w:pPr>
        <w:pStyle w:val="3"/>
        <w:rPr>
          <w:rFonts w:ascii="Times New Roman" w:hAnsi="Times New Roman"/>
          <w:color w:val="auto"/>
          <w:highlight w:val="none"/>
        </w:rPr>
      </w:pPr>
      <w:bookmarkStart w:id="139" w:name="_Toc6181"/>
      <w:bookmarkStart w:id="140" w:name="_Toc8161"/>
      <w:bookmarkStart w:id="141" w:name="_Toc24879"/>
      <w:bookmarkStart w:id="142" w:name="_Toc4859"/>
      <w:bookmarkStart w:id="143" w:name="_Toc28025"/>
      <w:bookmarkStart w:id="144" w:name="_Toc15026"/>
      <w:r>
        <w:rPr>
          <w:rFonts w:hint="eastAsia" w:ascii="Times New Roman" w:hAnsi="Times New Roman"/>
          <w:color w:val="auto"/>
          <w:highlight w:val="none"/>
        </w:rPr>
        <w:t>基础设施要求</w:t>
      </w:r>
      <w:bookmarkEnd w:id="139"/>
      <w:bookmarkEnd w:id="140"/>
      <w:bookmarkEnd w:id="141"/>
      <w:bookmarkEnd w:id="142"/>
      <w:bookmarkEnd w:id="143"/>
      <w:bookmarkEnd w:id="144"/>
    </w:p>
    <w:p w14:paraId="0620EE15">
      <w:pPr>
        <w:pStyle w:val="4"/>
        <w:ind w:firstLine="0" w:firstLineChars="0"/>
        <w:jc w:val="both"/>
        <w:rPr>
          <w:rFonts w:ascii="Times New Roman" w:hAnsi="Times New Roman"/>
          <w:color w:val="auto"/>
          <w:highlight w:val="none"/>
        </w:rPr>
      </w:pPr>
      <w:bookmarkStart w:id="145" w:name="_Toc8918"/>
      <w:bookmarkStart w:id="146" w:name="_Toc5189"/>
      <w:bookmarkStart w:id="147" w:name="_Toc3780"/>
      <w:bookmarkStart w:id="148" w:name="_Toc1855"/>
      <w:bookmarkStart w:id="149" w:name="_Toc26741"/>
      <w:bookmarkStart w:id="150" w:name="_Toc1627"/>
      <w:r>
        <w:rPr>
          <w:rFonts w:hint="eastAsia" w:ascii="Times New Roman" w:hAnsi="Times New Roman"/>
          <w:color w:val="auto"/>
          <w:highlight w:val="none"/>
        </w:rPr>
        <w:t>光缆要求</w:t>
      </w:r>
      <w:bookmarkEnd w:id="145"/>
      <w:bookmarkEnd w:id="146"/>
      <w:bookmarkEnd w:id="147"/>
      <w:bookmarkEnd w:id="148"/>
      <w:bookmarkEnd w:id="149"/>
      <w:bookmarkEnd w:id="150"/>
    </w:p>
    <w:p w14:paraId="7A00534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olor w:val="auto"/>
          <w:highlight w:val="none"/>
          <w:lang w:eastAsia="zh-CN"/>
        </w:rPr>
      </w:pPr>
      <w:r>
        <w:rPr>
          <w:rFonts w:hint="eastAsia" w:ascii="Times New Roman" w:hAnsi="Times New Roman" w:eastAsia="仿宋_GB2312"/>
          <w:color w:val="auto"/>
          <w:sz w:val="28"/>
          <w:highlight w:val="none"/>
        </w:rPr>
        <w:t>应使用国内广泛应用的G.652型号</w:t>
      </w:r>
      <w:r>
        <w:rPr>
          <w:rFonts w:hint="eastAsia" w:ascii="Times New Roman" w:hAnsi="Times New Roman" w:eastAsia="仿宋_GB2312"/>
          <w:color w:val="auto"/>
          <w:sz w:val="28"/>
          <w:highlight w:val="none"/>
          <w:lang w:val="en-US" w:eastAsia="zh-CN"/>
        </w:rPr>
        <w:t>光纤</w:t>
      </w:r>
      <w:r>
        <w:rPr>
          <w:rFonts w:hint="eastAsia" w:ascii="Times New Roman" w:hAnsi="Times New Roman" w:eastAsia="仿宋_GB2312"/>
          <w:color w:val="auto"/>
          <w:sz w:val="28"/>
          <w:highlight w:val="none"/>
        </w:rPr>
        <w:t>，</w:t>
      </w:r>
      <w:r>
        <w:rPr>
          <w:rFonts w:hint="eastAsia" w:ascii="Times New Roman" w:hAnsi="Times New Roman" w:eastAsia="仿宋_GB2312"/>
          <w:color w:val="auto"/>
          <w:sz w:val="28"/>
          <w:highlight w:val="none"/>
          <w:lang w:val="en-US" w:eastAsia="zh-CN"/>
        </w:rPr>
        <w:t>其</w:t>
      </w:r>
      <w:r>
        <w:rPr>
          <w:rFonts w:hint="eastAsia" w:ascii="Times New Roman" w:hAnsi="Times New Roman" w:eastAsia="仿宋_GB2312"/>
          <w:color w:val="auto"/>
          <w:sz w:val="28"/>
          <w:highlight w:val="none"/>
        </w:rPr>
        <w:t>在1310nm波长的最大衰减系数</w:t>
      </w:r>
      <w:r>
        <w:rPr>
          <w:rFonts w:hint="eastAsia" w:ascii="Times New Roman" w:hAnsi="Times New Roman" w:eastAsia="仿宋_GB2312"/>
          <w:color w:val="auto"/>
          <w:sz w:val="28"/>
          <w:highlight w:val="none"/>
          <w:lang w:val="en-US" w:eastAsia="zh-CN"/>
        </w:rPr>
        <w:t>应不高于</w:t>
      </w:r>
      <w:r>
        <w:rPr>
          <w:rFonts w:hint="eastAsia" w:ascii="Times New Roman" w:hAnsi="Times New Roman" w:eastAsia="仿宋_GB2312"/>
          <w:color w:val="auto"/>
          <w:sz w:val="28"/>
          <w:highlight w:val="none"/>
        </w:rPr>
        <w:t>0.35dB/km，在1550nm波长的最大衰减系数</w:t>
      </w:r>
      <w:r>
        <w:rPr>
          <w:rFonts w:hint="eastAsia" w:ascii="Times New Roman" w:hAnsi="Times New Roman" w:eastAsia="仿宋_GB2312"/>
          <w:color w:val="auto"/>
          <w:sz w:val="28"/>
          <w:highlight w:val="none"/>
          <w:lang w:val="en-US" w:eastAsia="zh-CN"/>
        </w:rPr>
        <w:t>应不高于</w:t>
      </w:r>
      <w:r>
        <w:rPr>
          <w:rFonts w:hint="eastAsia" w:ascii="Times New Roman" w:hAnsi="Times New Roman" w:eastAsia="仿宋_GB2312"/>
          <w:color w:val="auto"/>
          <w:sz w:val="28"/>
          <w:highlight w:val="none"/>
        </w:rPr>
        <w:t>0.25dB/km</w:t>
      </w:r>
      <w:r>
        <w:rPr>
          <w:rFonts w:hint="eastAsia" w:ascii="Times New Roman" w:hAnsi="Times New Roman" w:eastAsia="仿宋_GB2312"/>
          <w:color w:val="auto"/>
          <w:sz w:val="28"/>
          <w:highlight w:val="none"/>
          <w:lang w:eastAsia="zh-CN"/>
        </w:rPr>
        <w:t>。</w:t>
      </w:r>
    </w:p>
    <w:p w14:paraId="2C953DE9">
      <w:pPr>
        <w:keepNext w:val="0"/>
        <w:keepLines w:val="0"/>
        <w:pageBreakBefore w:val="0"/>
        <w:widowControl w:val="0"/>
        <w:kinsoku/>
        <w:wordWrap/>
        <w:overflowPunct/>
        <w:topLinePunct w:val="0"/>
        <w:autoSpaceDE/>
        <w:autoSpaceDN/>
        <w:bidi w:val="0"/>
        <w:adjustRightInd/>
        <w:snapToGrid/>
        <w:spacing w:line="560" w:lineRule="exact"/>
        <w:ind w:firstLineChars="200"/>
        <w:jc w:val="both"/>
        <w:textAlignment w:val="auto"/>
        <w:rPr>
          <w:rFonts w:ascii="Times New Roman" w:hAnsi="Times New Roman"/>
          <w:color w:val="auto"/>
          <w:highlight w:val="none"/>
        </w:rPr>
      </w:pPr>
      <w:r>
        <w:rPr>
          <w:rFonts w:hint="eastAsia" w:ascii="Times New Roman" w:hAnsi="Times New Roman" w:eastAsia="仿宋_GB2312"/>
          <w:color w:val="auto"/>
          <w:highlight w:val="none"/>
        </w:rPr>
        <w:t>核心</w:t>
      </w:r>
      <w:r>
        <w:rPr>
          <w:rFonts w:hint="eastAsia" w:ascii="Times New Roman" w:hAnsi="Times New Roman" w:eastAsia="仿宋_GB2312"/>
          <w:color w:val="auto"/>
          <w:highlight w:val="none"/>
          <w:lang w:val="en-US" w:eastAsia="zh-CN"/>
        </w:rPr>
        <w:t>层与</w:t>
      </w:r>
      <w:r>
        <w:rPr>
          <w:rFonts w:hint="eastAsia" w:ascii="Times New Roman" w:hAnsi="Times New Roman" w:eastAsia="仿宋_GB2312"/>
          <w:color w:val="auto"/>
          <w:highlight w:val="none"/>
        </w:rPr>
        <w:t>汇聚层</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采用环状网络组网</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汇聚节点</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提供双路由光缆接入，且每路光缆芯数不低于48芯。每个接入点</w:t>
      </w:r>
      <w:r>
        <w:rPr>
          <w:rFonts w:hint="eastAsia" w:ascii="Times New Roman" w:hAnsi="Times New Roman" w:eastAsia="仿宋_GB2312"/>
          <w:color w:val="auto"/>
          <w:highlight w:val="none"/>
          <w:lang w:val="en-US" w:eastAsia="zh-CN"/>
        </w:rPr>
        <w:t>应通过光缆</w:t>
      </w:r>
      <w:r>
        <w:rPr>
          <w:rFonts w:hint="eastAsia" w:ascii="Times New Roman" w:hAnsi="Times New Roman" w:eastAsia="仿宋_GB2312"/>
          <w:color w:val="auto"/>
          <w:highlight w:val="none"/>
        </w:rPr>
        <w:t>上联</w:t>
      </w:r>
      <w:r>
        <w:rPr>
          <w:rFonts w:hint="eastAsia" w:ascii="Times New Roman" w:hAnsi="Times New Roman" w:eastAsia="仿宋_GB2312"/>
          <w:color w:val="auto"/>
          <w:highlight w:val="none"/>
          <w:lang w:val="en-US" w:eastAsia="zh-CN"/>
        </w:rPr>
        <w:t>至</w:t>
      </w:r>
      <w:r>
        <w:rPr>
          <w:rFonts w:hint="eastAsia" w:ascii="Times New Roman" w:hAnsi="Times New Roman" w:eastAsia="仿宋_GB2312"/>
          <w:color w:val="auto"/>
          <w:highlight w:val="none"/>
        </w:rPr>
        <w:t>汇聚机房，且每个接入点光缆芯数不少于</w:t>
      </w:r>
      <w:r>
        <w:rPr>
          <w:rFonts w:ascii="Times New Roman" w:hAnsi="Times New Roman" w:eastAsia="仿宋_GB2312"/>
          <w:color w:val="auto"/>
          <w:highlight w:val="none"/>
        </w:rPr>
        <w:t>4</w:t>
      </w:r>
      <w:r>
        <w:rPr>
          <w:rFonts w:hint="eastAsia" w:ascii="Times New Roman" w:hAnsi="Times New Roman" w:eastAsia="仿宋_GB2312"/>
          <w:color w:val="auto"/>
          <w:highlight w:val="none"/>
        </w:rPr>
        <w:t>芯。</w:t>
      </w:r>
    </w:p>
    <w:p w14:paraId="28281984">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中标人须为</w:t>
      </w:r>
      <w:r>
        <w:rPr>
          <w:rFonts w:hint="eastAsia" w:ascii="Times New Roman" w:hAnsi="Times New Roman" w:eastAsia="仿宋_GB2312"/>
          <w:color w:val="auto"/>
          <w:highlight w:val="none"/>
        </w:rPr>
        <w:t>重点对接区域</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包括16个市区两级政务外网对接区域</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市级政务云对接区域</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提供双路由光缆接入</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且每路光缆芯数不少于32芯。投标人</w:t>
      </w:r>
      <w:r>
        <w:rPr>
          <w:rFonts w:hint="eastAsia" w:ascii="Times New Roman" w:hAnsi="Times New Roman" w:eastAsia="仿宋_GB2312"/>
          <w:color w:val="auto"/>
          <w:highlight w:val="none"/>
          <w:lang w:val="en-US" w:eastAsia="zh-CN"/>
        </w:rPr>
        <w:t>须提供上述</w:t>
      </w:r>
      <w:r>
        <w:rPr>
          <w:rFonts w:hint="eastAsia" w:ascii="Times New Roman" w:hAnsi="Times New Roman" w:eastAsia="仿宋_GB2312"/>
          <w:color w:val="auto"/>
          <w:highlight w:val="none"/>
        </w:rPr>
        <w:t>重点对接区域节点</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光缆接入设计图纸，图纸</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包括</w:t>
      </w:r>
      <w:r>
        <w:rPr>
          <w:rFonts w:hint="eastAsia" w:ascii="Times New Roman" w:hAnsi="Times New Roman" w:eastAsia="仿宋_GB2312"/>
          <w:color w:val="auto"/>
          <w:highlight w:val="none"/>
          <w:lang w:val="en-US" w:eastAsia="zh-CN"/>
        </w:rPr>
        <w:t>以下关键要素：</w:t>
      </w:r>
      <w:r>
        <w:rPr>
          <w:rFonts w:hint="eastAsia" w:ascii="Times New Roman" w:hAnsi="Times New Roman" w:eastAsia="仿宋_GB2312"/>
          <w:color w:val="auto"/>
          <w:highlight w:val="none"/>
        </w:rPr>
        <w:t>接入位置、光缆路由走向、就近管井信息、交接箱信息、光缆芯数及上联机房情况等。</w:t>
      </w:r>
    </w:p>
    <w:p w14:paraId="697CB24D">
      <w:pPr>
        <w:pStyle w:val="4"/>
        <w:ind w:firstLine="0" w:firstLineChars="0"/>
        <w:jc w:val="both"/>
        <w:rPr>
          <w:rFonts w:ascii="Times New Roman" w:hAnsi="Times New Roman"/>
          <w:color w:val="auto"/>
          <w:highlight w:val="none"/>
        </w:rPr>
      </w:pPr>
      <w:bookmarkStart w:id="151" w:name="_Toc27638"/>
      <w:bookmarkStart w:id="152" w:name="_Toc24"/>
      <w:bookmarkStart w:id="153" w:name="_Toc21962"/>
      <w:bookmarkStart w:id="154" w:name="_Toc6422"/>
      <w:bookmarkStart w:id="155" w:name="_Toc1539"/>
      <w:bookmarkStart w:id="156" w:name="_Toc11433"/>
      <w:r>
        <w:rPr>
          <w:rFonts w:hint="eastAsia" w:ascii="Times New Roman" w:hAnsi="Times New Roman"/>
          <w:color w:val="auto"/>
          <w:highlight w:val="none"/>
        </w:rPr>
        <w:t>核心、汇聚节点机房要求</w:t>
      </w:r>
      <w:bookmarkEnd w:id="151"/>
      <w:bookmarkEnd w:id="152"/>
      <w:bookmarkEnd w:id="153"/>
      <w:bookmarkEnd w:id="154"/>
      <w:bookmarkEnd w:id="155"/>
      <w:bookmarkEnd w:id="156"/>
    </w:p>
    <w:p w14:paraId="4B0DAA30">
      <w:pPr>
        <w:pStyle w:val="63"/>
        <w:keepNext w:val="0"/>
        <w:keepLines w:val="0"/>
        <w:pageBreakBefore w:val="0"/>
        <w:widowControl w:val="0"/>
        <w:kinsoku/>
        <w:wordWrap/>
        <w:overflowPunct/>
        <w:topLinePunct w:val="0"/>
        <w:autoSpaceDE/>
        <w:autoSpaceDN/>
        <w:bidi w:val="0"/>
        <w:adjustRightInd/>
        <w:snapToGrid/>
        <w:spacing w:line="560" w:lineRule="exact"/>
        <w:ind w:firstLine="560"/>
        <w:textAlignment w:val="auto"/>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rPr>
        <w:t>应</w:t>
      </w:r>
      <w:r>
        <w:rPr>
          <w:rFonts w:hint="eastAsia" w:ascii="Times New Roman" w:hAnsi="Times New Roman" w:eastAsia="仿宋_GB2312"/>
          <w:color w:val="auto"/>
          <w:sz w:val="28"/>
          <w:highlight w:val="none"/>
          <w:lang w:val="en-US" w:eastAsia="zh-CN"/>
        </w:rPr>
        <w:t>部署</w:t>
      </w:r>
      <w:r>
        <w:rPr>
          <w:rFonts w:hint="eastAsia" w:ascii="Times New Roman" w:hAnsi="Times New Roman" w:eastAsia="仿宋_GB2312"/>
          <w:color w:val="auto"/>
          <w:sz w:val="28"/>
          <w:highlight w:val="none"/>
        </w:rPr>
        <w:t>核心节点不少于4个，汇聚节点不少于20个</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每区至少</w:t>
      </w:r>
      <w:r>
        <w:rPr>
          <w:rFonts w:hint="eastAsia" w:ascii="Times New Roman" w:hAnsi="Times New Roman" w:eastAsia="仿宋_GB2312"/>
          <w:color w:val="auto"/>
          <w:sz w:val="28"/>
          <w:highlight w:val="none"/>
          <w:lang w:val="en-US" w:eastAsia="zh-CN"/>
        </w:rPr>
        <w:t>1个</w:t>
      </w:r>
      <w:r>
        <w:rPr>
          <w:rFonts w:hint="eastAsia" w:ascii="Times New Roman" w:hAnsi="Times New Roman" w:eastAsia="仿宋_GB2312"/>
          <w:color w:val="auto"/>
          <w:sz w:val="28"/>
          <w:highlight w:val="none"/>
        </w:rPr>
        <w:t>汇聚节点</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rPr>
        <w:t>。投标人</w:t>
      </w:r>
      <w:r>
        <w:rPr>
          <w:rFonts w:hint="eastAsia" w:ascii="Times New Roman" w:hAnsi="Times New Roman" w:eastAsia="仿宋_GB2312"/>
          <w:color w:val="auto"/>
          <w:sz w:val="28"/>
          <w:highlight w:val="none"/>
          <w:lang w:val="en-US" w:eastAsia="zh-CN"/>
        </w:rPr>
        <w:t>须</w:t>
      </w:r>
      <w:r>
        <w:rPr>
          <w:rFonts w:hint="eastAsia" w:ascii="Times New Roman" w:hAnsi="Times New Roman" w:eastAsia="仿宋_GB2312"/>
          <w:color w:val="auto"/>
          <w:sz w:val="28"/>
          <w:highlight w:val="none"/>
        </w:rPr>
        <w:t>提供所有核心、汇聚节点</w:t>
      </w:r>
      <w:r>
        <w:rPr>
          <w:rFonts w:hint="eastAsia" w:ascii="Times New Roman" w:hAnsi="Times New Roman" w:eastAsia="仿宋_GB2312"/>
          <w:color w:val="auto"/>
          <w:sz w:val="28"/>
          <w:highlight w:val="none"/>
          <w:lang w:val="en-US" w:eastAsia="zh-CN"/>
        </w:rPr>
        <w:t>的</w:t>
      </w:r>
      <w:r>
        <w:rPr>
          <w:rFonts w:hint="eastAsia" w:ascii="Times New Roman" w:hAnsi="Times New Roman" w:eastAsia="仿宋_GB2312"/>
          <w:color w:val="auto"/>
          <w:sz w:val="28"/>
          <w:highlight w:val="none"/>
        </w:rPr>
        <w:t>机房规划</w:t>
      </w:r>
      <w:r>
        <w:rPr>
          <w:rFonts w:hint="eastAsia" w:ascii="Times New Roman" w:hAnsi="Times New Roman" w:eastAsia="仿宋_GB2312"/>
          <w:color w:val="auto"/>
          <w:sz w:val="28"/>
          <w:highlight w:val="none"/>
          <w:lang w:eastAsia="zh-CN"/>
        </w:rPr>
        <w:t>，</w:t>
      </w:r>
      <w:r>
        <w:rPr>
          <w:rFonts w:hint="eastAsia" w:ascii="Times New Roman" w:hAnsi="Times New Roman" w:eastAsia="仿宋_GB2312"/>
          <w:color w:val="auto"/>
          <w:sz w:val="28"/>
          <w:highlight w:val="none"/>
          <w:lang w:val="en-US" w:eastAsia="zh-CN"/>
        </w:rPr>
        <w:t>且</w:t>
      </w:r>
      <w:r>
        <w:rPr>
          <w:rFonts w:hint="eastAsia" w:ascii="Times New Roman" w:hAnsi="Times New Roman" w:eastAsia="仿宋_GB2312"/>
          <w:color w:val="auto"/>
          <w:sz w:val="28"/>
          <w:highlight w:val="none"/>
        </w:rPr>
        <w:t>所有机房</w:t>
      </w:r>
      <w:r>
        <w:rPr>
          <w:rFonts w:hint="eastAsia" w:ascii="Times New Roman" w:hAnsi="Times New Roman" w:eastAsia="仿宋_GB2312"/>
          <w:color w:val="auto"/>
          <w:sz w:val="28"/>
          <w:highlight w:val="none"/>
          <w:lang w:val="en-US" w:eastAsia="zh-CN"/>
        </w:rPr>
        <w:t>均须</w:t>
      </w:r>
      <w:r>
        <w:rPr>
          <w:rFonts w:hint="eastAsia" w:ascii="Times New Roman" w:hAnsi="Times New Roman" w:eastAsia="仿宋_GB2312"/>
          <w:color w:val="auto"/>
          <w:sz w:val="28"/>
          <w:highlight w:val="none"/>
        </w:rPr>
        <w:t>满足以下要求：</w:t>
      </w:r>
    </w:p>
    <w:p w14:paraId="1C5C5DD3">
      <w:pPr>
        <w:keepNext w:val="0"/>
        <w:keepLines w:val="0"/>
        <w:pageBreakBefore w:val="0"/>
        <w:widowControl w:val="0"/>
        <w:numPr>
          <w:ilvl w:val="0"/>
          <w:numId w:val="15"/>
        </w:numPr>
        <w:kinsoku/>
        <w:wordWrap/>
        <w:overflowPunct/>
        <w:topLinePunct w:val="0"/>
        <w:autoSpaceDE/>
        <w:autoSpaceDN/>
        <w:bidi w:val="0"/>
        <w:adjustRightInd/>
        <w:snapToGrid/>
        <w:spacing w:line="560" w:lineRule="exact"/>
        <w:ind w:leftChars="0" w:firstLine="560" w:firstLineChars="200"/>
        <w:jc w:val="both"/>
        <w:textAlignment w:val="auto"/>
        <w:rPr>
          <w:rFonts w:ascii="Times New Roman" w:hAnsi="Times New Roman"/>
          <w:color w:val="auto"/>
          <w:highlight w:val="none"/>
        </w:rPr>
      </w:pPr>
      <w:r>
        <w:rPr>
          <w:rFonts w:hint="eastAsia" w:ascii="Times New Roman" w:hAnsi="Times New Roman"/>
          <w:color w:val="auto"/>
          <w:highlight w:val="none"/>
        </w:rPr>
        <w:t>机房选址</w:t>
      </w:r>
    </w:p>
    <w:p w14:paraId="56431E7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机房地选择</w:t>
      </w:r>
      <w:r>
        <w:rPr>
          <w:rFonts w:hint="eastAsia" w:ascii="Times New Roman" w:hAnsi="Times New Roman" w:eastAsia="仿宋_GB2312"/>
          <w:color w:val="auto"/>
          <w:highlight w:val="none"/>
          <w:lang w:val="en-US" w:eastAsia="zh-CN"/>
        </w:rPr>
        <w:t>须位于</w:t>
      </w:r>
      <w:r>
        <w:rPr>
          <w:rFonts w:hint="eastAsia" w:ascii="Times New Roman" w:hAnsi="Times New Roman" w:eastAsia="仿宋_GB2312"/>
          <w:color w:val="auto"/>
          <w:highlight w:val="none"/>
        </w:rPr>
        <w:t>具</w:t>
      </w:r>
      <w:r>
        <w:rPr>
          <w:rFonts w:hint="eastAsia" w:ascii="Times New Roman" w:hAnsi="Times New Roman" w:eastAsia="仿宋_GB2312"/>
          <w:color w:val="auto"/>
          <w:highlight w:val="none"/>
          <w:lang w:val="en-US" w:eastAsia="zh-CN"/>
        </w:rPr>
        <w:t>备</w:t>
      </w:r>
      <w:r>
        <w:rPr>
          <w:rFonts w:hint="eastAsia" w:ascii="Times New Roman" w:hAnsi="Times New Roman" w:eastAsia="仿宋_GB2312"/>
          <w:color w:val="auto"/>
          <w:highlight w:val="none"/>
        </w:rPr>
        <w:t>防震、防风</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防雨等能力的建筑内</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且不</w:t>
      </w:r>
      <w:r>
        <w:rPr>
          <w:rFonts w:hint="eastAsia" w:ascii="Times New Roman" w:hAnsi="Times New Roman" w:eastAsia="仿宋_GB2312"/>
          <w:color w:val="auto"/>
          <w:highlight w:val="none"/>
        </w:rPr>
        <w:t>应</w:t>
      </w:r>
      <w:r>
        <w:rPr>
          <w:rFonts w:hint="eastAsia" w:ascii="Times New Roman" w:hAnsi="Times New Roman" w:eastAsia="仿宋_GB2312"/>
          <w:color w:val="auto"/>
          <w:highlight w:val="none"/>
          <w:lang w:val="en-US" w:eastAsia="zh-CN"/>
        </w:rPr>
        <w:t>设置于</w:t>
      </w:r>
      <w:r>
        <w:rPr>
          <w:rFonts w:hint="eastAsia" w:ascii="Times New Roman" w:hAnsi="Times New Roman" w:eastAsia="仿宋_GB2312"/>
          <w:color w:val="auto"/>
          <w:highlight w:val="none"/>
        </w:rPr>
        <w:t>建筑物的地下室，</w:t>
      </w:r>
      <w:r>
        <w:rPr>
          <w:rFonts w:hint="eastAsia" w:ascii="Times New Roman" w:hAnsi="Times New Roman" w:eastAsia="仿宋_GB2312"/>
          <w:color w:val="auto"/>
          <w:highlight w:val="none"/>
          <w:lang w:val="en-US" w:eastAsia="zh-CN"/>
        </w:rPr>
        <w:t>亦不应设置于给排水设施的</w:t>
      </w:r>
      <w:r>
        <w:rPr>
          <w:rFonts w:hint="eastAsia" w:ascii="Times New Roman" w:hAnsi="Times New Roman" w:eastAsia="仿宋_GB2312"/>
          <w:color w:val="auto"/>
          <w:highlight w:val="none"/>
        </w:rPr>
        <w:t>下层或隔壁。</w:t>
      </w:r>
    </w:p>
    <w:p w14:paraId="25F72AE9">
      <w:pPr>
        <w:keepNext w:val="0"/>
        <w:keepLines w:val="0"/>
        <w:pageBreakBefore w:val="0"/>
        <w:widowControl w:val="0"/>
        <w:numPr>
          <w:ilvl w:val="0"/>
          <w:numId w:val="15"/>
        </w:numPr>
        <w:kinsoku/>
        <w:wordWrap/>
        <w:overflowPunct/>
        <w:topLinePunct w:val="0"/>
        <w:autoSpaceDE/>
        <w:autoSpaceDN/>
        <w:bidi w:val="0"/>
        <w:adjustRightInd/>
        <w:snapToGrid/>
        <w:spacing w:line="560" w:lineRule="exact"/>
        <w:ind w:leftChars="0" w:firstLineChars="200"/>
        <w:jc w:val="both"/>
        <w:textAlignment w:val="auto"/>
        <w:rPr>
          <w:rFonts w:ascii="Times New Roman" w:hAnsi="Times New Roman" w:eastAsia="仿宋_GB2312"/>
          <w:color w:val="auto"/>
          <w:highlight w:val="none"/>
        </w:rPr>
      </w:pPr>
      <w:r>
        <w:rPr>
          <w:rFonts w:hint="eastAsia" w:ascii="Times New Roman" w:hAnsi="Times New Roman" w:eastAsia="仿宋"/>
          <w:color w:val="auto"/>
          <w:highlight w:val="none"/>
        </w:rPr>
        <w:t>机房</w:t>
      </w:r>
      <w:r>
        <w:rPr>
          <w:rFonts w:hint="eastAsia" w:ascii="Times New Roman" w:hAnsi="Times New Roman" w:eastAsia="仿宋_GB2312"/>
          <w:color w:val="auto"/>
          <w:highlight w:val="none"/>
        </w:rPr>
        <w:t>管理</w:t>
      </w:r>
    </w:p>
    <w:p w14:paraId="4DF727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机房</w:t>
      </w:r>
      <w:r>
        <w:rPr>
          <w:rFonts w:hint="eastAsia" w:ascii="Times New Roman" w:hAnsi="Times New Roman" w:eastAsia="仿宋_GB2312"/>
          <w:color w:val="auto"/>
          <w:highlight w:val="none"/>
          <w:lang w:val="en-US" w:eastAsia="zh-CN"/>
        </w:rPr>
        <w:t>各</w:t>
      </w:r>
      <w:r>
        <w:rPr>
          <w:rFonts w:hint="eastAsia" w:ascii="Times New Roman" w:hAnsi="Times New Roman" w:eastAsia="仿宋_GB2312"/>
          <w:color w:val="auto"/>
          <w:highlight w:val="none"/>
        </w:rPr>
        <w:t>出入口应配置电子门禁系统，</w:t>
      </w:r>
      <w:r>
        <w:rPr>
          <w:rFonts w:hint="eastAsia" w:ascii="Times New Roman" w:hAnsi="Times New Roman" w:eastAsia="仿宋_GB2312"/>
          <w:color w:val="auto"/>
          <w:highlight w:val="none"/>
          <w:lang w:val="en-US" w:eastAsia="zh-CN"/>
        </w:rPr>
        <w:t>实现对人员身份鉴别、出入</w:t>
      </w:r>
      <w:r>
        <w:rPr>
          <w:rFonts w:hint="eastAsia" w:ascii="Times New Roman" w:hAnsi="Times New Roman" w:eastAsia="仿宋_GB2312"/>
          <w:color w:val="auto"/>
          <w:highlight w:val="none"/>
        </w:rPr>
        <w:t>控制</w:t>
      </w:r>
      <w:r>
        <w:rPr>
          <w:rFonts w:hint="eastAsia" w:ascii="Times New Roman" w:hAnsi="Times New Roman" w:eastAsia="仿宋_GB2312"/>
          <w:color w:val="auto"/>
          <w:highlight w:val="none"/>
          <w:lang w:val="en-US" w:eastAsia="zh-CN"/>
        </w:rPr>
        <w:t>及出入</w:t>
      </w:r>
      <w:r>
        <w:rPr>
          <w:rFonts w:hint="eastAsia" w:ascii="Times New Roman" w:hAnsi="Times New Roman" w:eastAsia="仿宋_GB2312"/>
          <w:color w:val="auto"/>
          <w:highlight w:val="none"/>
        </w:rPr>
        <w:t>记录。</w:t>
      </w:r>
    </w:p>
    <w:p w14:paraId="0B4FFB4B">
      <w:pPr>
        <w:keepNext w:val="0"/>
        <w:keepLines w:val="0"/>
        <w:pageBreakBefore w:val="0"/>
        <w:widowControl w:val="0"/>
        <w:numPr>
          <w:ilvl w:val="0"/>
          <w:numId w:val="15"/>
        </w:numPr>
        <w:kinsoku/>
        <w:wordWrap/>
        <w:overflowPunct/>
        <w:topLinePunct w:val="0"/>
        <w:autoSpaceDE/>
        <w:autoSpaceDN/>
        <w:bidi w:val="0"/>
        <w:adjustRightInd/>
        <w:snapToGrid/>
        <w:spacing w:line="560" w:lineRule="exact"/>
        <w:ind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机房环境</w:t>
      </w:r>
    </w:p>
    <w:p w14:paraId="4DBCEAFE">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机房应合理规划设备安装位置，预留</w:t>
      </w:r>
      <w:r>
        <w:rPr>
          <w:rFonts w:hint="eastAsia" w:ascii="Times New Roman" w:hAnsi="Times New Roman" w:eastAsia="仿宋_GB2312"/>
          <w:color w:val="auto"/>
          <w:highlight w:val="none"/>
          <w:lang w:val="en-US" w:eastAsia="zh-CN"/>
        </w:rPr>
        <w:t>充足</w:t>
      </w:r>
      <w:r>
        <w:rPr>
          <w:rFonts w:hint="eastAsia" w:ascii="Times New Roman" w:hAnsi="Times New Roman" w:eastAsia="仿宋_GB2312"/>
          <w:color w:val="auto"/>
          <w:highlight w:val="none"/>
        </w:rPr>
        <w:t>空间</w:t>
      </w:r>
      <w:r>
        <w:rPr>
          <w:rFonts w:hint="eastAsia" w:ascii="Times New Roman" w:hAnsi="Times New Roman" w:eastAsia="仿宋_GB2312"/>
          <w:color w:val="auto"/>
          <w:highlight w:val="none"/>
          <w:lang w:val="en-US" w:eastAsia="zh-CN"/>
        </w:rPr>
        <w:t>以满足设备</w:t>
      </w:r>
      <w:r>
        <w:rPr>
          <w:rFonts w:hint="eastAsia" w:ascii="Times New Roman" w:hAnsi="Times New Roman" w:eastAsia="仿宋_GB2312"/>
          <w:color w:val="auto"/>
          <w:highlight w:val="none"/>
        </w:rPr>
        <w:t>安装、维护及操作</w:t>
      </w:r>
      <w:r>
        <w:rPr>
          <w:rFonts w:hint="eastAsia" w:ascii="Times New Roman" w:hAnsi="Times New Roman" w:eastAsia="仿宋_GB2312"/>
          <w:color w:val="auto"/>
          <w:highlight w:val="none"/>
          <w:lang w:val="en-US" w:eastAsia="zh-CN"/>
        </w:rPr>
        <w:t>需求</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装修</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使用阻燃材料，耐火等级符合国家相关标准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机房门</w:t>
      </w:r>
      <w:r>
        <w:rPr>
          <w:rFonts w:hint="eastAsia" w:ascii="Times New Roman" w:hAnsi="Times New Roman" w:eastAsia="仿宋_GB2312"/>
          <w:color w:val="auto"/>
          <w:highlight w:val="none"/>
          <w:lang w:val="en-US" w:eastAsia="zh-CN"/>
        </w:rPr>
        <w:t>尺寸应保障</w:t>
      </w:r>
      <w:r>
        <w:rPr>
          <w:rFonts w:hint="eastAsia" w:ascii="Times New Roman" w:hAnsi="Times New Roman" w:eastAsia="仿宋_GB2312"/>
          <w:color w:val="auto"/>
          <w:highlight w:val="none"/>
        </w:rPr>
        <w:t>系统设备运输</w:t>
      </w:r>
      <w:r>
        <w:rPr>
          <w:rFonts w:hint="eastAsia" w:ascii="Times New Roman" w:hAnsi="Times New Roman" w:eastAsia="仿宋_GB2312"/>
          <w:color w:val="auto"/>
          <w:highlight w:val="none"/>
          <w:lang w:val="en-US" w:eastAsia="zh-CN"/>
        </w:rPr>
        <w:t>同行</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墙壁及天花板应进行</w:t>
      </w:r>
      <w:r>
        <w:rPr>
          <w:rFonts w:hint="eastAsia" w:ascii="Times New Roman" w:hAnsi="Times New Roman" w:eastAsia="仿宋_GB2312"/>
          <w:color w:val="auto"/>
          <w:highlight w:val="none"/>
          <w:lang w:val="en-US" w:eastAsia="zh-CN"/>
        </w:rPr>
        <w:t>防尘</w:t>
      </w:r>
      <w:r>
        <w:rPr>
          <w:rFonts w:hint="eastAsia" w:ascii="Times New Roman" w:hAnsi="Times New Roman" w:eastAsia="仿宋_GB2312"/>
          <w:color w:val="auto"/>
          <w:highlight w:val="none"/>
        </w:rPr>
        <w:t>表面处理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并须</w:t>
      </w:r>
      <w:r>
        <w:rPr>
          <w:rFonts w:hint="eastAsia" w:ascii="Times New Roman" w:hAnsi="Times New Roman" w:eastAsia="仿宋_GB2312"/>
          <w:color w:val="auto"/>
          <w:highlight w:val="none"/>
        </w:rPr>
        <w:t>安装防静电活动地板</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操作人员应配置</w:t>
      </w:r>
      <w:r>
        <w:rPr>
          <w:rFonts w:hint="eastAsia" w:ascii="Times New Roman" w:hAnsi="Times New Roman" w:eastAsia="仿宋_GB2312"/>
          <w:color w:val="auto"/>
          <w:highlight w:val="none"/>
        </w:rPr>
        <w:t>静电手环。</w:t>
      </w:r>
    </w:p>
    <w:p w14:paraId="192E9EE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olor w:val="auto"/>
          <w:highlight w:val="none"/>
          <w:lang w:eastAsia="zh-CN"/>
        </w:rPr>
      </w:pPr>
      <w:r>
        <w:rPr>
          <w:rFonts w:hint="eastAsia" w:ascii="Times New Roman" w:hAnsi="Times New Roman" w:eastAsia="仿宋_GB2312"/>
          <w:color w:val="auto"/>
          <w:highlight w:val="none"/>
        </w:rPr>
        <w:t>机房</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安装防雷和接地线，</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设置防雷保安器</w:t>
      </w:r>
      <w:r>
        <w:rPr>
          <w:rFonts w:hint="eastAsia" w:ascii="Times New Roman" w:hAnsi="Times New Roman" w:eastAsia="仿宋_GB2312"/>
          <w:color w:val="auto"/>
          <w:highlight w:val="none"/>
          <w:lang w:val="en-US" w:eastAsia="zh-CN"/>
        </w:rPr>
        <w:t>以</w:t>
      </w:r>
      <w:r>
        <w:rPr>
          <w:rFonts w:hint="eastAsia" w:ascii="Times New Roman" w:hAnsi="Times New Roman" w:eastAsia="仿宋_GB2312"/>
          <w:color w:val="auto"/>
          <w:highlight w:val="none"/>
        </w:rPr>
        <w:t>防止感应雷，要求防雷接地和机房接地分别</w:t>
      </w:r>
      <w:r>
        <w:rPr>
          <w:rFonts w:hint="eastAsia" w:ascii="Times New Roman" w:hAnsi="Times New Roman" w:eastAsia="仿宋_GB2312"/>
          <w:color w:val="auto"/>
          <w:highlight w:val="none"/>
          <w:lang w:val="en-US" w:eastAsia="zh-CN"/>
        </w:rPr>
        <w:t>独立</w:t>
      </w:r>
      <w:r>
        <w:rPr>
          <w:rFonts w:hint="eastAsia" w:ascii="Times New Roman" w:hAnsi="Times New Roman" w:eastAsia="仿宋_GB2312"/>
          <w:color w:val="auto"/>
          <w:highlight w:val="none"/>
        </w:rPr>
        <w:t>安装，且</w:t>
      </w:r>
      <w:r>
        <w:rPr>
          <w:rFonts w:hint="eastAsia" w:ascii="Times New Roman" w:hAnsi="Times New Roman" w:eastAsia="仿宋_GB2312"/>
          <w:color w:val="auto"/>
          <w:highlight w:val="none"/>
          <w:lang w:val="en-US" w:eastAsia="zh-CN"/>
        </w:rPr>
        <w:t>保持规定</w:t>
      </w:r>
      <w:r>
        <w:rPr>
          <w:rFonts w:hint="eastAsia" w:ascii="Times New Roman" w:hAnsi="Times New Roman" w:eastAsia="仿宋_GB2312"/>
          <w:color w:val="auto"/>
          <w:highlight w:val="none"/>
        </w:rPr>
        <w:t>距离</w:t>
      </w:r>
      <w:r>
        <w:rPr>
          <w:rFonts w:hint="eastAsia" w:ascii="Times New Roman" w:hAnsi="Times New Roman" w:eastAsia="仿宋_GB2312"/>
          <w:color w:val="auto"/>
          <w:highlight w:val="none"/>
          <w:lang w:eastAsia="zh-CN"/>
        </w:rPr>
        <w:t>。</w:t>
      </w:r>
    </w:p>
    <w:p w14:paraId="2C0D744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olor w:val="auto"/>
          <w:highlight w:val="none"/>
        </w:rPr>
      </w:pPr>
      <w:r>
        <w:rPr>
          <w:rFonts w:hint="eastAsia" w:ascii="Times New Roman" w:hAnsi="Times New Roman" w:eastAsia="仿宋_GB2312"/>
          <w:color w:val="auto"/>
          <w:highlight w:val="none"/>
        </w:rPr>
        <w:t>机房</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设置火灾自动消防系统，</w:t>
      </w:r>
      <w:r>
        <w:rPr>
          <w:rFonts w:hint="eastAsia" w:ascii="Times New Roman" w:hAnsi="Times New Roman" w:eastAsia="仿宋_GB2312"/>
          <w:color w:val="auto"/>
          <w:highlight w:val="none"/>
          <w:lang w:val="en-US" w:eastAsia="zh-CN"/>
        </w:rPr>
        <w:t>具备</w:t>
      </w:r>
      <w:r>
        <w:rPr>
          <w:rFonts w:hint="eastAsia" w:ascii="Times New Roman" w:hAnsi="Times New Roman" w:eastAsia="仿宋_GB2312"/>
          <w:color w:val="auto"/>
          <w:highlight w:val="none"/>
        </w:rPr>
        <w:t>自动检测火情、报警</w:t>
      </w:r>
      <w:r>
        <w:rPr>
          <w:rFonts w:hint="eastAsia" w:ascii="Times New Roman" w:hAnsi="Times New Roman" w:eastAsia="仿宋_GB2312"/>
          <w:color w:val="auto"/>
          <w:highlight w:val="none"/>
          <w:lang w:val="en-US" w:eastAsia="zh-CN"/>
        </w:rPr>
        <w:t>与联动</w:t>
      </w:r>
      <w:r>
        <w:rPr>
          <w:rFonts w:hint="eastAsia" w:ascii="Times New Roman" w:hAnsi="Times New Roman" w:eastAsia="仿宋_GB2312"/>
          <w:color w:val="auto"/>
          <w:highlight w:val="none"/>
        </w:rPr>
        <w:t>灭火</w:t>
      </w:r>
      <w:r>
        <w:rPr>
          <w:rFonts w:hint="eastAsia" w:ascii="Times New Roman" w:hAnsi="Times New Roman" w:eastAsia="仿宋_GB2312"/>
          <w:color w:val="auto"/>
          <w:highlight w:val="none"/>
          <w:lang w:val="en-US" w:eastAsia="zh-CN"/>
        </w:rPr>
        <w:t>功能。</w:t>
      </w:r>
      <w:r>
        <w:rPr>
          <w:rFonts w:hint="eastAsia" w:ascii="Times New Roman" w:hAnsi="Times New Roman" w:eastAsia="仿宋_GB2312"/>
          <w:color w:val="auto"/>
          <w:highlight w:val="none"/>
        </w:rPr>
        <w:t>机房及相关</w:t>
      </w:r>
      <w:r>
        <w:rPr>
          <w:rFonts w:hint="eastAsia" w:ascii="Times New Roman" w:hAnsi="Times New Roman" w:eastAsia="仿宋_GB2312"/>
          <w:color w:val="auto"/>
          <w:highlight w:val="none"/>
          <w:lang w:val="en-US" w:eastAsia="zh-CN"/>
        </w:rPr>
        <w:t>辅助用</w:t>
      </w:r>
      <w:r>
        <w:rPr>
          <w:rFonts w:hint="eastAsia" w:ascii="Times New Roman" w:hAnsi="Times New Roman" w:eastAsia="仿宋_GB2312"/>
          <w:color w:val="auto"/>
          <w:highlight w:val="none"/>
        </w:rPr>
        <w:t>房应采用</w:t>
      </w:r>
      <w:r>
        <w:rPr>
          <w:rFonts w:hint="eastAsia" w:ascii="Times New Roman" w:hAnsi="Times New Roman" w:eastAsia="仿宋_GB2312"/>
          <w:color w:val="auto"/>
          <w:highlight w:val="none"/>
          <w:lang w:val="en-US" w:eastAsia="zh-CN"/>
        </w:rPr>
        <w:t>符合</w:t>
      </w:r>
      <w:r>
        <w:rPr>
          <w:rFonts w:hint="eastAsia" w:ascii="Times New Roman" w:hAnsi="Times New Roman" w:eastAsia="仿宋_GB2312"/>
          <w:color w:val="auto"/>
          <w:highlight w:val="none"/>
        </w:rPr>
        <w:t>耐火等级</w:t>
      </w:r>
      <w:r>
        <w:rPr>
          <w:rFonts w:hint="eastAsia" w:ascii="Times New Roman" w:hAnsi="Times New Roman" w:eastAsia="仿宋_GB2312"/>
          <w:color w:val="auto"/>
          <w:highlight w:val="none"/>
          <w:lang w:val="en-US" w:eastAsia="zh-CN"/>
        </w:rPr>
        <w:t>要求</w:t>
      </w:r>
      <w:r>
        <w:rPr>
          <w:rFonts w:hint="eastAsia" w:ascii="Times New Roman" w:hAnsi="Times New Roman" w:eastAsia="仿宋_GB2312"/>
          <w:color w:val="auto"/>
          <w:highlight w:val="none"/>
        </w:rPr>
        <w:t>的建筑材料</w:t>
      </w:r>
      <w:r>
        <w:rPr>
          <w:rFonts w:hint="eastAsia" w:ascii="Times New Roman" w:hAnsi="Times New Roman" w:eastAsia="仿宋_GB2312"/>
          <w:color w:val="auto"/>
          <w:highlight w:val="none"/>
          <w:lang w:val="en-US" w:eastAsia="zh-CN"/>
        </w:rPr>
        <w:t>建造</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采取区域隔离防火措施，</w:t>
      </w:r>
      <w:r>
        <w:rPr>
          <w:rFonts w:hint="eastAsia" w:ascii="Times New Roman" w:hAnsi="Times New Roman" w:eastAsia="仿宋_GB2312"/>
          <w:color w:val="auto"/>
          <w:highlight w:val="none"/>
          <w:lang w:val="en-US" w:eastAsia="zh-CN"/>
        </w:rPr>
        <w:t>确保</w:t>
      </w:r>
      <w:r>
        <w:rPr>
          <w:rFonts w:hint="eastAsia" w:ascii="Times New Roman" w:hAnsi="Times New Roman" w:eastAsia="仿宋_GB2312"/>
          <w:color w:val="auto"/>
          <w:highlight w:val="none"/>
        </w:rPr>
        <w:t>重要设备与其他设备隔离。</w:t>
      </w:r>
    </w:p>
    <w:p w14:paraId="30292DB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olor w:val="auto"/>
          <w:highlight w:val="none"/>
          <w:lang w:eastAsia="zh-CN"/>
        </w:rPr>
      </w:pPr>
      <w:r>
        <w:rPr>
          <w:rFonts w:hint="eastAsia" w:ascii="Times New Roman" w:hAnsi="Times New Roman" w:eastAsia="仿宋_GB2312"/>
          <w:color w:val="auto"/>
          <w:highlight w:val="none"/>
          <w:lang w:val="en-US" w:eastAsia="zh-CN"/>
        </w:rPr>
        <w:t>机房</w:t>
      </w:r>
      <w:r>
        <w:rPr>
          <w:rFonts w:hint="eastAsia" w:ascii="Times New Roman" w:hAnsi="Times New Roman" w:eastAsia="仿宋_GB2312"/>
          <w:color w:val="auto"/>
          <w:highlight w:val="none"/>
        </w:rPr>
        <w:t>应配备精密空调系统及温湿度检测仪表，</w:t>
      </w:r>
      <w:r>
        <w:rPr>
          <w:rFonts w:hint="eastAsia" w:ascii="Times New Roman" w:hAnsi="Times New Roman" w:eastAsia="仿宋_GB2312"/>
          <w:color w:val="auto"/>
          <w:highlight w:val="none"/>
          <w:lang w:val="en-US" w:eastAsia="zh-CN"/>
        </w:rPr>
        <w:t>维持</w:t>
      </w:r>
      <w:r>
        <w:rPr>
          <w:rFonts w:hint="eastAsia" w:ascii="Times New Roman" w:hAnsi="Times New Roman" w:eastAsia="仿宋_GB2312"/>
          <w:color w:val="auto"/>
          <w:highlight w:val="none"/>
        </w:rPr>
        <w:t>恒</w:t>
      </w:r>
      <w:r>
        <w:rPr>
          <w:rFonts w:hint="eastAsia" w:ascii="Times New Roman" w:hAnsi="Times New Roman" w:eastAsia="仿宋_GB2312"/>
          <w:color w:val="auto"/>
          <w:highlight w:val="none"/>
          <w:lang w:val="en-US" w:eastAsia="zh-CN"/>
        </w:rPr>
        <w:t>温恒</w:t>
      </w:r>
      <w:r>
        <w:rPr>
          <w:rFonts w:hint="eastAsia" w:ascii="Times New Roman" w:hAnsi="Times New Roman" w:eastAsia="仿宋_GB2312"/>
          <w:color w:val="auto"/>
          <w:highlight w:val="none"/>
        </w:rPr>
        <w:t>湿环境</w:t>
      </w:r>
      <w:r>
        <w:rPr>
          <w:rFonts w:hint="eastAsia" w:ascii="Times New Roman" w:hAnsi="Times New Roman" w:eastAsia="仿宋_GB2312"/>
          <w:color w:val="auto"/>
          <w:highlight w:val="none"/>
          <w:lang w:eastAsia="zh-CN"/>
        </w:rPr>
        <w:t>。</w:t>
      </w:r>
    </w:p>
    <w:p w14:paraId="30C1779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strike/>
          <w:color w:val="auto"/>
          <w:highlight w:val="none"/>
        </w:rPr>
      </w:pPr>
      <w:r>
        <w:rPr>
          <w:rFonts w:hint="eastAsia" w:ascii="Times New Roman" w:hAnsi="Times New Roman" w:eastAsia="仿宋_GB2312"/>
          <w:color w:val="auto"/>
          <w:highlight w:val="none"/>
        </w:rPr>
        <w:t>机房供电线路上</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配置稳压器</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过电压防护</w:t>
      </w:r>
      <w:r>
        <w:rPr>
          <w:rFonts w:hint="eastAsia" w:ascii="Times New Roman" w:hAnsi="Times New Roman" w:eastAsia="仿宋_GB2312"/>
          <w:color w:val="auto"/>
          <w:highlight w:val="none"/>
          <w:lang w:val="en-US" w:eastAsia="zh-CN"/>
        </w:rPr>
        <w:t>装置</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提供短期备用电力供应，</w:t>
      </w:r>
      <w:r>
        <w:rPr>
          <w:rFonts w:hint="eastAsia" w:ascii="Times New Roman" w:hAnsi="Times New Roman" w:eastAsia="仿宋_GB2312"/>
          <w:color w:val="auto"/>
          <w:highlight w:val="none"/>
          <w:lang w:val="en-US" w:eastAsia="zh-CN"/>
        </w:rPr>
        <w:t>其</w:t>
      </w:r>
      <w:r>
        <w:rPr>
          <w:rFonts w:hint="eastAsia" w:ascii="Times New Roman" w:hAnsi="Times New Roman" w:eastAsia="仿宋_GB2312"/>
          <w:color w:val="auto"/>
          <w:highlight w:val="none"/>
        </w:rPr>
        <w:t>UPS</w:t>
      </w:r>
      <w:r>
        <w:rPr>
          <w:rFonts w:hint="eastAsia" w:ascii="Times New Roman" w:hAnsi="Times New Roman" w:eastAsia="仿宋_GB2312"/>
          <w:color w:val="auto"/>
          <w:highlight w:val="none"/>
          <w:lang w:val="en-US" w:eastAsia="zh-CN"/>
        </w:rPr>
        <w:t>须保障</w:t>
      </w:r>
      <w:r>
        <w:rPr>
          <w:rFonts w:hint="eastAsia" w:ascii="Times New Roman" w:hAnsi="Times New Roman" w:eastAsia="仿宋_GB2312"/>
          <w:color w:val="auto"/>
          <w:highlight w:val="none"/>
        </w:rPr>
        <w:t>断电</w:t>
      </w:r>
      <w:r>
        <w:rPr>
          <w:rFonts w:hint="eastAsia" w:ascii="Times New Roman" w:hAnsi="Times New Roman" w:eastAsia="仿宋_GB2312"/>
          <w:color w:val="auto"/>
          <w:highlight w:val="none"/>
          <w:lang w:val="en-US" w:eastAsia="zh-CN"/>
        </w:rPr>
        <w:t>后关键负载持续运行至少</w:t>
      </w:r>
      <w:r>
        <w:rPr>
          <w:rFonts w:hint="eastAsia" w:ascii="Times New Roman" w:hAnsi="Times New Roman" w:eastAsia="仿宋_GB2312"/>
          <w:color w:val="auto"/>
          <w:highlight w:val="none"/>
        </w:rPr>
        <w:t>2小时</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配置冗余或并行的电力电缆线路为系统供电</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建立备用供电系统。线缆铺设</w:t>
      </w:r>
      <w:r>
        <w:rPr>
          <w:rFonts w:hint="eastAsia" w:ascii="Times New Roman" w:hAnsi="Times New Roman" w:eastAsia="仿宋_GB2312"/>
          <w:color w:val="auto"/>
          <w:highlight w:val="none"/>
          <w:lang w:val="en-US" w:eastAsia="zh-CN"/>
        </w:rPr>
        <w:t>应严格隔离</w:t>
      </w:r>
      <w:r>
        <w:rPr>
          <w:rFonts w:hint="eastAsia" w:ascii="Times New Roman" w:hAnsi="Times New Roman" w:eastAsia="仿宋_GB2312"/>
          <w:color w:val="auto"/>
          <w:highlight w:val="none"/>
        </w:rPr>
        <w:t>电源线</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通信线缆，避免互相干扰。</w:t>
      </w:r>
    </w:p>
    <w:p w14:paraId="500E451F">
      <w:pPr>
        <w:keepNext w:val="0"/>
        <w:keepLines w:val="0"/>
        <w:pageBreakBefore w:val="0"/>
        <w:widowControl w:val="0"/>
        <w:numPr>
          <w:ilvl w:val="0"/>
          <w:numId w:val="15"/>
        </w:numPr>
        <w:kinsoku/>
        <w:wordWrap/>
        <w:overflowPunct/>
        <w:topLinePunct w:val="0"/>
        <w:autoSpaceDE/>
        <w:autoSpaceDN/>
        <w:bidi w:val="0"/>
        <w:adjustRightInd/>
        <w:snapToGrid/>
        <w:spacing w:line="560" w:lineRule="exact"/>
        <w:ind w:firstLineChars="200"/>
        <w:jc w:val="both"/>
        <w:textAlignment w:val="auto"/>
        <w:rPr>
          <w:rFonts w:ascii="Times New Roman" w:hAnsi="Times New Roman"/>
          <w:color w:val="auto"/>
          <w:highlight w:val="none"/>
        </w:rPr>
      </w:pPr>
      <w:r>
        <w:rPr>
          <w:rFonts w:hint="eastAsia" w:ascii="Times New Roman" w:hAnsi="Times New Roman"/>
          <w:color w:val="auto"/>
          <w:highlight w:val="none"/>
        </w:rPr>
        <w:t>设备与介质管理</w:t>
      </w:r>
    </w:p>
    <w:p w14:paraId="54177B3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机房</w:t>
      </w:r>
      <w:r>
        <w:rPr>
          <w:rFonts w:hint="eastAsia" w:ascii="Times New Roman" w:hAnsi="Times New Roman" w:eastAsia="仿宋_GB2312"/>
          <w:color w:val="auto"/>
          <w:highlight w:val="none"/>
          <w:lang w:val="en-US" w:eastAsia="zh-CN"/>
        </w:rPr>
        <w:t>须部署</w:t>
      </w:r>
      <w:r>
        <w:rPr>
          <w:rFonts w:hint="eastAsia" w:ascii="Times New Roman" w:hAnsi="Times New Roman" w:eastAsia="仿宋_GB2312"/>
          <w:color w:val="auto"/>
          <w:highlight w:val="none"/>
        </w:rPr>
        <w:t>有效的区域视频监控</w:t>
      </w:r>
      <w:r>
        <w:rPr>
          <w:rFonts w:hint="eastAsia" w:ascii="Times New Roman" w:hAnsi="Times New Roman" w:eastAsia="仿宋_GB2312"/>
          <w:color w:val="auto"/>
          <w:highlight w:val="none"/>
          <w:lang w:val="en-US" w:eastAsia="zh-CN"/>
        </w:rPr>
        <w:t>系统</w:t>
      </w:r>
      <w:r>
        <w:rPr>
          <w:rFonts w:hint="eastAsia" w:ascii="Times New Roman" w:hAnsi="Times New Roman" w:eastAsia="仿宋_GB2312"/>
          <w:color w:val="auto"/>
          <w:highlight w:val="none"/>
        </w:rPr>
        <w:t>，对政务外网设备机柜</w:t>
      </w:r>
      <w:r>
        <w:rPr>
          <w:rFonts w:hint="eastAsia" w:ascii="Times New Roman" w:hAnsi="Times New Roman" w:eastAsia="仿宋_GB2312"/>
          <w:color w:val="auto"/>
          <w:highlight w:val="none"/>
          <w:lang w:val="en-US" w:eastAsia="zh-CN"/>
        </w:rPr>
        <w:t>区域实施物理隔离或</w:t>
      </w:r>
      <w:r>
        <w:rPr>
          <w:rFonts w:hint="eastAsia" w:ascii="Times New Roman" w:hAnsi="Times New Roman" w:eastAsia="仿宋_GB2312"/>
          <w:color w:val="auto"/>
          <w:highlight w:val="none"/>
        </w:rPr>
        <w:t>上锁</w:t>
      </w:r>
      <w:r>
        <w:rPr>
          <w:rFonts w:hint="eastAsia" w:ascii="Times New Roman" w:hAnsi="Times New Roman" w:eastAsia="仿宋_GB2312"/>
          <w:color w:val="auto"/>
          <w:highlight w:val="none"/>
          <w:lang w:val="en-US" w:eastAsia="zh-CN"/>
        </w:rPr>
        <w:t>管理</w:t>
      </w:r>
      <w:r>
        <w:rPr>
          <w:rFonts w:hint="eastAsia" w:ascii="Times New Roman" w:hAnsi="Times New Roman" w:eastAsia="仿宋_GB2312"/>
          <w:color w:val="auto"/>
          <w:highlight w:val="none"/>
        </w:rPr>
        <w:t>，防止</w:t>
      </w:r>
      <w:r>
        <w:rPr>
          <w:rFonts w:hint="eastAsia" w:ascii="Times New Roman" w:hAnsi="Times New Roman" w:eastAsia="仿宋_GB2312"/>
          <w:color w:val="auto"/>
          <w:highlight w:val="none"/>
          <w:lang w:val="en-US" w:eastAsia="zh-CN"/>
        </w:rPr>
        <w:t>非</w:t>
      </w:r>
      <w:r>
        <w:rPr>
          <w:rFonts w:hint="eastAsia" w:ascii="Times New Roman" w:hAnsi="Times New Roman" w:eastAsia="仿宋_GB2312"/>
          <w:color w:val="auto"/>
          <w:highlight w:val="none"/>
        </w:rPr>
        <w:t>法入侵。相关视频监控数据存储时间</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不少于</w:t>
      </w:r>
      <w:r>
        <w:rPr>
          <w:rFonts w:ascii="Times New Roman" w:hAnsi="Times New Roman" w:eastAsia="仿宋_GB2312"/>
          <w:color w:val="auto"/>
          <w:highlight w:val="none"/>
        </w:rPr>
        <w:t>180</w:t>
      </w:r>
      <w:r>
        <w:rPr>
          <w:rFonts w:hint="eastAsia" w:ascii="Times New Roman" w:hAnsi="Times New Roman" w:eastAsia="仿宋_GB2312"/>
          <w:color w:val="auto"/>
          <w:highlight w:val="none"/>
        </w:rPr>
        <w:t>天。核心</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汇聚机房</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建设统一的动环监控系统，包括但不限于机房环境监控、漏水检测等。同时，</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配合</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需求提供调用对接</w:t>
      </w:r>
      <w:r>
        <w:rPr>
          <w:rFonts w:hint="eastAsia" w:ascii="Times New Roman" w:hAnsi="Times New Roman" w:eastAsia="仿宋_GB2312"/>
          <w:color w:val="auto"/>
          <w:highlight w:val="none"/>
          <w:lang w:val="en-US" w:eastAsia="zh-CN"/>
        </w:rPr>
        <w:t>支持</w:t>
      </w:r>
      <w:r>
        <w:rPr>
          <w:rFonts w:hint="eastAsia" w:ascii="Times New Roman" w:hAnsi="Times New Roman" w:eastAsia="仿宋_GB2312"/>
          <w:color w:val="auto"/>
          <w:highlight w:val="none"/>
        </w:rPr>
        <w:t>。</w:t>
      </w:r>
      <w:bookmarkStart w:id="157" w:name="_Toc17927"/>
      <w:bookmarkStart w:id="158" w:name="_Toc25460"/>
      <w:bookmarkStart w:id="159" w:name="_Toc12641"/>
      <w:bookmarkStart w:id="160" w:name="_Toc14557"/>
      <w:bookmarkStart w:id="161" w:name="_Toc7997"/>
    </w:p>
    <w:p w14:paraId="7917DA17">
      <w:pPr>
        <w:pStyle w:val="3"/>
        <w:rPr>
          <w:rFonts w:ascii="Times New Roman" w:hAnsi="Times New Roman"/>
          <w:color w:val="auto"/>
          <w:highlight w:val="none"/>
        </w:rPr>
      </w:pPr>
      <w:bookmarkStart w:id="162" w:name="_Toc1284"/>
      <w:r>
        <w:rPr>
          <w:rFonts w:hint="eastAsia" w:ascii="Times New Roman" w:hAnsi="Times New Roman"/>
          <w:color w:val="auto"/>
          <w:highlight w:val="none"/>
        </w:rPr>
        <w:t>网络管理平台建设及对接要求</w:t>
      </w:r>
      <w:bookmarkEnd w:id="157"/>
      <w:bookmarkEnd w:id="158"/>
      <w:bookmarkEnd w:id="159"/>
      <w:bookmarkEnd w:id="162"/>
    </w:p>
    <w:bookmarkEnd w:id="160"/>
    <w:bookmarkEnd w:id="161"/>
    <w:p w14:paraId="197E9586">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olor w:val="auto"/>
          <w:highlight w:val="none"/>
          <w:lang w:eastAsia="zh-CN"/>
        </w:rPr>
      </w:pPr>
      <w:r>
        <w:rPr>
          <w:rFonts w:hint="eastAsia" w:ascii="Times New Roman" w:hAnsi="Times New Roman" w:eastAsia="仿宋_GB2312"/>
          <w:color w:val="auto"/>
          <w:highlight w:val="none"/>
          <w:lang w:val="en-US" w:eastAsia="zh-CN"/>
        </w:rPr>
        <w:t>投</w:t>
      </w:r>
      <w:r>
        <w:rPr>
          <w:rFonts w:hint="eastAsia" w:ascii="Times New Roman" w:hAnsi="Times New Roman" w:eastAsia="仿宋_GB2312"/>
          <w:color w:val="auto"/>
          <w:highlight w:val="none"/>
        </w:rPr>
        <w:t>标人</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提出与市政务外网运行和安全监测支撑系统的对接方案</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涵盖链路接入</w:t>
      </w:r>
      <w:r>
        <w:rPr>
          <w:rFonts w:hint="eastAsia" w:ascii="Times New Roman" w:hAnsi="Times New Roman" w:eastAsia="仿宋_GB2312"/>
          <w:color w:val="auto"/>
          <w:highlight w:val="none"/>
        </w:rPr>
        <w:t>、报修</w:t>
      </w:r>
      <w:r>
        <w:rPr>
          <w:rFonts w:hint="eastAsia" w:ascii="Times New Roman" w:hAnsi="Times New Roman" w:eastAsia="仿宋_GB2312"/>
          <w:color w:val="auto"/>
          <w:highlight w:val="none"/>
          <w:lang w:val="en-US" w:eastAsia="zh-CN"/>
        </w:rPr>
        <w:t>处置</w:t>
      </w:r>
      <w:r>
        <w:rPr>
          <w:rFonts w:hint="eastAsia" w:ascii="Times New Roman" w:hAnsi="Times New Roman" w:eastAsia="仿宋_GB2312"/>
          <w:color w:val="auto"/>
          <w:highlight w:val="none"/>
        </w:rPr>
        <w:t>、流量监测、机房环控、安全运营</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资产管理</w:t>
      </w:r>
      <w:r>
        <w:rPr>
          <w:rFonts w:hint="eastAsia" w:ascii="Times New Roman" w:hAnsi="Times New Roman" w:eastAsia="仿宋_GB2312"/>
          <w:color w:val="auto"/>
          <w:highlight w:val="none"/>
        </w:rPr>
        <w:t>等全流程数据的跟踪</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管理</w:t>
      </w:r>
      <w:r>
        <w:rPr>
          <w:rFonts w:hint="eastAsia" w:ascii="Times New Roman" w:hAnsi="Times New Roman" w:eastAsia="仿宋_GB2312"/>
          <w:color w:val="auto"/>
          <w:highlight w:val="none"/>
          <w:lang w:eastAsia="zh-CN"/>
        </w:rPr>
        <w:t>。</w:t>
      </w:r>
    </w:p>
    <w:p w14:paraId="73999579">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中标人</w:t>
      </w:r>
      <w:r>
        <w:rPr>
          <w:rFonts w:hint="eastAsia" w:ascii="Times New Roman" w:hAnsi="Times New Roman" w:eastAsia="仿宋_GB2312"/>
          <w:color w:val="auto"/>
          <w:highlight w:val="none"/>
        </w:rPr>
        <w:t>提供服务的运维管理系统与安全管理中心</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根据</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的相关规范</w:t>
      </w:r>
      <w:r>
        <w:rPr>
          <w:rFonts w:hint="eastAsia" w:ascii="Times New Roman" w:hAnsi="Times New Roman" w:eastAsia="仿宋_GB2312"/>
          <w:color w:val="auto"/>
          <w:highlight w:val="none"/>
          <w:lang w:val="en-US" w:eastAsia="zh-CN"/>
        </w:rPr>
        <w:t>实现</w:t>
      </w:r>
      <w:r>
        <w:rPr>
          <w:rFonts w:hint="eastAsia" w:ascii="Times New Roman" w:hAnsi="Times New Roman" w:eastAsia="仿宋_GB2312"/>
          <w:color w:val="auto"/>
          <w:highlight w:val="none"/>
        </w:rPr>
        <w:t>与市政务外网运行和安全监测支撑系统对接。中标人需完成</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提出的其他系统对接工作。</w:t>
      </w:r>
    </w:p>
    <w:p w14:paraId="6C2844BA">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中标人提供</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服务</w:t>
      </w:r>
      <w:r>
        <w:rPr>
          <w:rFonts w:hint="eastAsia" w:ascii="Times New Roman" w:hAnsi="Times New Roman" w:eastAsia="仿宋_GB2312"/>
          <w:color w:val="auto"/>
          <w:highlight w:val="none"/>
          <w:lang w:val="en-US" w:eastAsia="zh-CN"/>
        </w:rPr>
        <w:t>所涉及的</w:t>
      </w:r>
      <w:r>
        <w:rPr>
          <w:rFonts w:hint="eastAsia" w:ascii="Times New Roman" w:hAnsi="Times New Roman" w:eastAsia="仿宋_GB2312"/>
          <w:color w:val="auto"/>
          <w:highlight w:val="none"/>
        </w:rPr>
        <w:t>网络管理系统须</w:t>
      </w:r>
      <w:r>
        <w:rPr>
          <w:rFonts w:hint="eastAsia" w:ascii="Times New Roman" w:hAnsi="Times New Roman" w:eastAsia="仿宋_GB2312"/>
          <w:color w:val="auto"/>
          <w:highlight w:val="none"/>
          <w:lang w:val="en-US" w:eastAsia="zh-CN"/>
        </w:rPr>
        <w:t>严格</w:t>
      </w:r>
      <w:r>
        <w:rPr>
          <w:rFonts w:hint="eastAsia" w:ascii="Times New Roman" w:hAnsi="Times New Roman" w:eastAsia="仿宋_GB2312"/>
          <w:color w:val="auto"/>
          <w:highlight w:val="none"/>
        </w:rPr>
        <w:t>参照《信息安全技术</w:t>
      </w:r>
      <w:r>
        <w:rPr>
          <w:rFonts w:ascii="Times New Roman" w:hAnsi="Times New Roman" w:eastAsia="仿宋_GB2312"/>
          <w:color w:val="auto"/>
          <w:highlight w:val="none"/>
        </w:rPr>
        <w:t xml:space="preserve"> </w:t>
      </w:r>
      <w:r>
        <w:rPr>
          <w:rFonts w:hint="eastAsia" w:ascii="Times New Roman" w:hAnsi="Times New Roman" w:eastAsia="仿宋_GB2312"/>
          <w:color w:val="auto"/>
          <w:highlight w:val="none"/>
        </w:rPr>
        <w:t>网络安全等级保护基本要求》及《上海市电子政务外网建设和运行管理指南》等标准规范要求，</w:t>
      </w:r>
      <w:r>
        <w:rPr>
          <w:rFonts w:hint="eastAsia" w:ascii="Times New Roman" w:hAnsi="Times New Roman" w:eastAsia="仿宋_GB2312"/>
          <w:color w:val="auto"/>
          <w:highlight w:val="none"/>
          <w:lang w:val="en-US" w:eastAsia="zh-CN"/>
        </w:rPr>
        <w:t>落实</w:t>
      </w:r>
      <w:r>
        <w:rPr>
          <w:rFonts w:hint="eastAsia" w:ascii="Times New Roman" w:hAnsi="Times New Roman" w:eastAsia="仿宋_GB2312"/>
          <w:color w:val="auto"/>
          <w:highlight w:val="none"/>
        </w:rPr>
        <w:t>必要的安全防护及运行保障措施。</w:t>
      </w:r>
    </w:p>
    <w:p w14:paraId="0C946E6B">
      <w:pPr>
        <w:pStyle w:val="3"/>
        <w:rPr>
          <w:rFonts w:ascii="Times New Roman" w:hAnsi="Times New Roman"/>
          <w:color w:val="auto"/>
          <w:highlight w:val="none"/>
        </w:rPr>
      </w:pPr>
      <w:bookmarkStart w:id="163" w:name="_Toc15218"/>
      <w:bookmarkStart w:id="164" w:name="_Toc1048"/>
      <w:bookmarkStart w:id="165" w:name="_Toc9482"/>
      <w:bookmarkStart w:id="166" w:name="_Toc14241"/>
      <w:bookmarkStart w:id="167" w:name="_Toc14461"/>
      <w:bookmarkStart w:id="168" w:name="_Toc18607"/>
      <w:r>
        <w:rPr>
          <w:rFonts w:hint="eastAsia" w:ascii="Times New Roman" w:hAnsi="Times New Roman"/>
          <w:color w:val="auto"/>
          <w:highlight w:val="none"/>
        </w:rPr>
        <w:t>重点区域、重点应用、应急开通技术要求</w:t>
      </w:r>
      <w:bookmarkEnd w:id="163"/>
      <w:bookmarkEnd w:id="164"/>
      <w:bookmarkEnd w:id="165"/>
      <w:bookmarkEnd w:id="166"/>
    </w:p>
    <w:p w14:paraId="1A0124B4">
      <w:pPr>
        <w:pStyle w:val="4"/>
        <w:ind w:firstLine="0" w:firstLineChars="0"/>
        <w:rPr>
          <w:rFonts w:ascii="Times New Roman" w:hAnsi="Times New Roman"/>
          <w:color w:val="auto"/>
          <w:highlight w:val="none"/>
        </w:rPr>
      </w:pPr>
      <w:bookmarkStart w:id="169" w:name="_Toc4937"/>
      <w:bookmarkStart w:id="170" w:name="_Toc19889"/>
      <w:bookmarkStart w:id="171" w:name="_Toc13422"/>
      <w:bookmarkStart w:id="172" w:name="_Toc24289"/>
      <w:r>
        <w:rPr>
          <w:rFonts w:hint="eastAsia" w:ascii="Times New Roman" w:hAnsi="Times New Roman"/>
          <w:color w:val="auto"/>
          <w:highlight w:val="none"/>
        </w:rPr>
        <w:t>重点区域对接技术要求</w:t>
      </w:r>
      <w:bookmarkEnd w:id="167"/>
      <w:bookmarkEnd w:id="168"/>
      <w:bookmarkEnd w:id="169"/>
      <w:bookmarkEnd w:id="170"/>
      <w:bookmarkEnd w:id="171"/>
      <w:bookmarkEnd w:id="172"/>
    </w:p>
    <w:p w14:paraId="663F7EA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投标人</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对网络中的重点连接区域提供高可靠的</w:t>
      </w:r>
      <w:r>
        <w:rPr>
          <w:rFonts w:hint="eastAsia" w:ascii="Times New Roman" w:hAnsi="Times New Roman" w:eastAsia="仿宋_GB2312"/>
          <w:color w:val="auto"/>
          <w:highlight w:val="none"/>
          <w:lang w:val="en-US" w:eastAsia="zh-CN"/>
        </w:rPr>
        <w:t>安全</w:t>
      </w:r>
      <w:r>
        <w:rPr>
          <w:rFonts w:hint="eastAsia" w:ascii="Times New Roman" w:hAnsi="Times New Roman" w:eastAsia="仿宋_GB2312"/>
          <w:color w:val="auto"/>
          <w:highlight w:val="none"/>
        </w:rPr>
        <w:t>网络对接设计方案，</w:t>
      </w:r>
      <w:r>
        <w:rPr>
          <w:rFonts w:hint="eastAsia" w:ascii="Times New Roman" w:hAnsi="Times New Roman" w:eastAsia="仿宋_GB2312"/>
          <w:color w:val="auto"/>
          <w:highlight w:val="none"/>
          <w:lang w:val="en-US" w:eastAsia="zh-CN"/>
        </w:rPr>
        <w:t>重点区域</w:t>
      </w:r>
      <w:r>
        <w:rPr>
          <w:rFonts w:hint="eastAsia" w:ascii="Times New Roman" w:hAnsi="Times New Roman" w:eastAsia="仿宋_GB2312"/>
          <w:color w:val="auto"/>
          <w:highlight w:val="none"/>
        </w:rPr>
        <w:t>包括</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市级政务云区域、各联通对接的市级业务专网区域（公安</w:t>
      </w:r>
      <w:r>
        <w:rPr>
          <w:rFonts w:hint="eastAsia" w:ascii="Times New Roman" w:hAnsi="Times New Roman" w:eastAsia="仿宋_GB2312"/>
          <w:color w:val="auto"/>
          <w:highlight w:val="none"/>
          <w:lang w:val="en-US" w:eastAsia="zh-CN"/>
        </w:rPr>
        <w:t>业务</w:t>
      </w:r>
      <w:r>
        <w:rPr>
          <w:rFonts w:hint="eastAsia" w:ascii="Times New Roman" w:hAnsi="Times New Roman" w:eastAsia="仿宋_GB2312"/>
          <w:color w:val="auto"/>
          <w:highlight w:val="none"/>
        </w:rPr>
        <w:t>网、医保事务及结算专网、教育城域网、水务网及公路网通信专网）。设计方案</w:t>
      </w:r>
      <w:r>
        <w:rPr>
          <w:rFonts w:hint="eastAsia" w:ascii="Times New Roman" w:hAnsi="Times New Roman" w:eastAsia="仿宋_GB2312"/>
          <w:color w:val="auto"/>
          <w:highlight w:val="none"/>
          <w:lang w:val="en-US" w:eastAsia="zh-CN"/>
        </w:rPr>
        <w:t>应涵盖</w:t>
      </w:r>
      <w:r>
        <w:rPr>
          <w:rFonts w:hint="eastAsia" w:ascii="Times New Roman" w:hAnsi="Times New Roman" w:eastAsia="仿宋_GB2312"/>
          <w:color w:val="auto"/>
          <w:highlight w:val="none"/>
        </w:rPr>
        <w:t>网络规划、IP地址及路由规划以及网络安全保证</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并对可能的网络迁移风险、实施计划及割接周期等提出</w:t>
      </w:r>
      <w:r>
        <w:rPr>
          <w:rFonts w:hint="eastAsia" w:ascii="Times New Roman" w:hAnsi="Times New Roman" w:eastAsia="仿宋_GB2312"/>
          <w:color w:val="auto"/>
          <w:highlight w:val="none"/>
          <w:lang w:val="en-US" w:eastAsia="zh-CN"/>
        </w:rPr>
        <w:t>详细</w:t>
      </w:r>
      <w:r>
        <w:rPr>
          <w:rFonts w:hint="eastAsia" w:ascii="Times New Roman" w:hAnsi="Times New Roman" w:eastAsia="仿宋_GB2312"/>
          <w:color w:val="auto"/>
          <w:highlight w:val="none"/>
        </w:rPr>
        <w:t>方案。</w:t>
      </w:r>
    </w:p>
    <w:p w14:paraId="2DDD6954">
      <w:pPr>
        <w:pStyle w:val="4"/>
        <w:ind w:firstLine="0" w:firstLineChars="0"/>
        <w:rPr>
          <w:rFonts w:ascii="Times New Roman" w:hAnsi="Times New Roman"/>
          <w:color w:val="auto"/>
          <w:highlight w:val="none"/>
        </w:rPr>
      </w:pPr>
      <w:bookmarkStart w:id="173" w:name="_Toc12495"/>
      <w:bookmarkStart w:id="174" w:name="_Toc28134"/>
      <w:bookmarkStart w:id="175" w:name="_Toc9367"/>
      <w:bookmarkStart w:id="176" w:name="_Toc26887"/>
      <w:r>
        <w:rPr>
          <w:rFonts w:hint="eastAsia" w:ascii="Times New Roman" w:hAnsi="Times New Roman"/>
          <w:color w:val="auto"/>
          <w:highlight w:val="none"/>
        </w:rPr>
        <w:t>重点应用安全传输技术要求</w:t>
      </w:r>
      <w:bookmarkEnd w:id="173"/>
      <w:bookmarkEnd w:id="174"/>
      <w:bookmarkEnd w:id="175"/>
      <w:bookmarkEnd w:id="176"/>
    </w:p>
    <w:p w14:paraId="270D8C5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Times New Roman"/>
          <w:color w:val="auto"/>
          <w:highlight w:val="none"/>
        </w:rPr>
      </w:pPr>
      <w:r>
        <w:rPr>
          <w:rFonts w:hint="eastAsia" w:ascii="Times New Roman" w:hAnsi="Times New Roman" w:eastAsia="仿宋_GB2312" w:cs="Times New Roman"/>
          <w:color w:val="auto"/>
          <w:highlight w:val="none"/>
        </w:rPr>
        <w:t>投标人</w:t>
      </w:r>
      <w:r>
        <w:rPr>
          <w:rFonts w:hint="eastAsia" w:ascii="Times New Roman" w:hAnsi="Times New Roman" w:eastAsia="仿宋_GB2312" w:cs="Times New Roman"/>
          <w:color w:val="auto"/>
          <w:highlight w:val="none"/>
          <w:lang w:val="en-US" w:eastAsia="zh-CN"/>
        </w:rPr>
        <w:t>须对重点应用，</w:t>
      </w:r>
      <w:r>
        <w:rPr>
          <w:rFonts w:hint="eastAsia" w:ascii="Times New Roman" w:hAnsi="Times New Roman" w:eastAsia="仿宋_GB2312" w:cs="Times New Roman"/>
          <w:color w:val="auto"/>
          <w:highlight w:val="none"/>
        </w:rPr>
        <w:t>提出</w:t>
      </w:r>
      <w:r>
        <w:rPr>
          <w:rFonts w:hint="eastAsia" w:ascii="Times New Roman" w:hAnsi="Times New Roman" w:eastAsia="仿宋_GB2312" w:cs="Times New Roman"/>
          <w:color w:val="auto"/>
          <w:highlight w:val="none"/>
          <w:lang w:val="en-US" w:eastAsia="zh-CN"/>
        </w:rPr>
        <w:t>基于政务外网架构的高带宽、高可靠的</w:t>
      </w:r>
      <w:r>
        <w:rPr>
          <w:rFonts w:hint="eastAsia" w:ascii="Times New Roman" w:hAnsi="Times New Roman" w:eastAsia="仿宋_GB2312" w:cs="Times New Roman"/>
          <w:color w:val="auto"/>
          <w:highlight w:val="none"/>
        </w:rPr>
        <w:t>安全传输技术方案</w:t>
      </w:r>
      <w:r>
        <w:rPr>
          <w:rFonts w:hint="eastAsia" w:ascii="Times New Roman" w:hAnsi="Times New Roman" w:eastAsia="仿宋_GB2312" w:cs="Times New Roman"/>
          <w:color w:val="auto"/>
          <w:highlight w:val="none"/>
          <w:lang w:eastAsia="zh-CN"/>
        </w:rPr>
        <w:t>，</w:t>
      </w:r>
      <w:r>
        <w:rPr>
          <w:rFonts w:hint="eastAsia" w:ascii="Times New Roman" w:hAnsi="Times New Roman" w:eastAsia="仿宋_GB2312" w:cs="Times New Roman"/>
          <w:color w:val="auto"/>
          <w:highlight w:val="none"/>
        </w:rPr>
        <w:t>重点应用</w:t>
      </w:r>
      <w:r>
        <w:rPr>
          <w:rFonts w:hint="eastAsia" w:ascii="Times New Roman" w:hAnsi="Times New Roman" w:eastAsia="仿宋_GB2312" w:cs="Times New Roman"/>
          <w:color w:val="auto"/>
          <w:highlight w:val="none"/>
          <w:lang w:val="en-US" w:eastAsia="zh-CN"/>
        </w:rPr>
        <w:t>包括：网信办、医疗急救中心（120）、</w:t>
      </w:r>
      <w:r>
        <w:rPr>
          <w:rFonts w:hint="eastAsia" w:ascii="Times New Roman" w:hAnsi="Times New Roman" w:eastAsia="仿宋_GB2312" w:cs="Times New Roman"/>
          <w:b w:val="0"/>
          <w:bCs w:val="0"/>
          <w:color w:val="auto"/>
          <w:sz w:val="28"/>
          <w:szCs w:val="28"/>
          <w:highlight w:val="none"/>
          <w:lang w:val="en-US" w:eastAsia="zh-CN"/>
        </w:rPr>
        <w:t>人社系统迁移、政务云至灾备中心等业务场景</w:t>
      </w:r>
      <w:r>
        <w:rPr>
          <w:rFonts w:hint="eastAsia" w:ascii="Times New Roman" w:hAnsi="Times New Roman" w:eastAsia="仿宋_GB2312" w:cs="Times New Roman"/>
          <w:color w:val="auto"/>
          <w:highlight w:val="none"/>
        </w:rPr>
        <w:t>。</w:t>
      </w:r>
    </w:p>
    <w:p w14:paraId="104BA10F">
      <w:pPr>
        <w:pStyle w:val="4"/>
        <w:ind w:firstLine="0" w:firstLineChars="0"/>
        <w:rPr>
          <w:rFonts w:ascii="Times New Roman" w:hAnsi="Times New Roman"/>
          <w:color w:val="auto"/>
          <w:highlight w:val="none"/>
        </w:rPr>
      </w:pPr>
      <w:bookmarkStart w:id="177" w:name="_Toc30799"/>
      <w:bookmarkStart w:id="178" w:name="_Toc27828"/>
      <w:bookmarkStart w:id="179" w:name="_Toc22648"/>
      <w:bookmarkStart w:id="180" w:name="_Toc20333"/>
      <w:r>
        <w:rPr>
          <w:rFonts w:hint="eastAsia" w:ascii="Times New Roman" w:hAnsi="Times New Roman"/>
          <w:color w:val="auto"/>
          <w:highlight w:val="none"/>
        </w:rPr>
        <w:t>应急开通技术要求</w:t>
      </w:r>
      <w:bookmarkEnd w:id="177"/>
      <w:bookmarkEnd w:id="178"/>
      <w:bookmarkEnd w:id="179"/>
      <w:bookmarkEnd w:id="180"/>
    </w:p>
    <w:p w14:paraId="24E4661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投标人</w:t>
      </w:r>
      <w:r>
        <w:rPr>
          <w:rFonts w:hint="eastAsia" w:ascii="Times New Roman" w:hAnsi="Times New Roman" w:eastAsia="仿宋_GB2312"/>
          <w:color w:val="auto"/>
          <w:highlight w:val="none"/>
          <w:lang w:val="en-US" w:eastAsia="zh-CN"/>
        </w:rPr>
        <w:t>应针</w:t>
      </w:r>
      <w:r>
        <w:rPr>
          <w:rFonts w:hint="eastAsia" w:ascii="Times New Roman" w:hAnsi="Times New Roman" w:eastAsia="仿宋_GB2312"/>
          <w:color w:val="auto"/>
          <w:highlight w:val="none"/>
        </w:rPr>
        <w:t>对需紧急开通或其他无法实施</w:t>
      </w:r>
      <w:r>
        <w:rPr>
          <w:rFonts w:hint="eastAsia" w:ascii="Times New Roman" w:hAnsi="Times New Roman" w:eastAsia="仿宋_GB2312"/>
          <w:color w:val="auto"/>
          <w:highlight w:val="none"/>
          <w:lang w:val="en-US" w:eastAsia="zh-CN"/>
        </w:rPr>
        <w:t>常规</w:t>
      </w:r>
      <w:r>
        <w:rPr>
          <w:rFonts w:hint="eastAsia" w:ascii="Times New Roman" w:hAnsi="Times New Roman" w:eastAsia="仿宋_GB2312"/>
          <w:color w:val="auto"/>
          <w:highlight w:val="none"/>
        </w:rPr>
        <w:t>工程的特殊情况，在</w:t>
      </w:r>
      <w:r>
        <w:rPr>
          <w:rFonts w:hint="eastAsia" w:ascii="Times New Roman" w:hAnsi="Times New Roman" w:eastAsia="仿宋_GB2312"/>
          <w:color w:val="auto"/>
          <w:highlight w:val="none"/>
          <w:lang w:val="en-US" w:eastAsia="zh-CN"/>
        </w:rPr>
        <w:t>确保</w:t>
      </w:r>
      <w:r>
        <w:rPr>
          <w:rFonts w:hint="eastAsia" w:ascii="Times New Roman" w:hAnsi="Times New Roman" w:eastAsia="仿宋_GB2312"/>
          <w:color w:val="auto"/>
          <w:highlight w:val="none"/>
        </w:rPr>
        <w:t>网络接入安全</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质量</w:t>
      </w:r>
      <w:r>
        <w:rPr>
          <w:rFonts w:hint="eastAsia" w:ascii="Times New Roman" w:hAnsi="Times New Roman" w:eastAsia="仿宋_GB2312"/>
          <w:color w:val="auto"/>
          <w:highlight w:val="none"/>
          <w:lang w:val="en-US" w:eastAsia="zh-CN"/>
        </w:rPr>
        <w:t>及运行可控</w:t>
      </w:r>
      <w:r>
        <w:rPr>
          <w:rFonts w:hint="eastAsia" w:ascii="Times New Roman" w:hAnsi="Times New Roman" w:eastAsia="仿宋_GB2312"/>
          <w:color w:val="auto"/>
          <w:highlight w:val="none"/>
        </w:rPr>
        <w:t>的前提下，提供应急开通服务技术方案。</w:t>
      </w:r>
    </w:p>
    <w:p w14:paraId="5DB24800">
      <w:pPr>
        <w:pStyle w:val="3"/>
        <w:jc w:val="both"/>
        <w:rPr>
          <w:rFonts w:ascii="Times New Roman" w:hAnsi="Times New Roman"/>
          <w:color w:val="auto"/>
          <w:highlight w:val="none"/>
        </w:rPr>
      </w:pPr>
      <w:bookmarkStart w:id="181" w:name="_Toc30368"/>
      <w:bookmarkStart w:id="182" w:name="_Toc16408"/>
      <w:bookmarkStart w:id="183" w:name="_Toc28487"/>
      <w:bookmarkStart w:id="184" w:name="_Toc32406"/>
      <w:bookmarkStart w:id="185" w:name="_Toc7040"/>
      <w:bookmarkStart w:id="186" w:name="_Toc16128"/>
      <w:r>
        <w:rPr>
          <w:rFonts w:hint="eastAsia" w:ascii="Times New Roman" w:hAnsi="Times New Roman"/>
          <w:color w:val="auto"/>
          <w:highlight w:val="none"/>
        </w:rPr>
        <w:t>网络质量监测要求</w:t>
      </w:r>
      <w:bookmarkEnd w:id="181"/>
      <w:bookmarkEnd w:id="182"/>
      <w:bookmarkEnd w:id="183"/>
      <w:bookmarkEnd w:id="184"/>
    </w:p>
    <w:p w14:paraId="23C5C5B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投标人需根据</w:t>
      </w:r>
      <w:r>
        <w:rPr>
          <w:rFonts w:hint="eastAsia" w:ascii="Times New Roman" w:hAnsi="Times New Roman" w:eastAsia="仿宋_GB2312"/>
          <w:strike w:val="0"/>
          <w:color w:val="auto"/>
          <w:highlight w:val="none"/>
          <w:lang w:eastAsia="zh-CN"/>
        </w:rPr>
        <w:t>采购人</w:t>
      </w:r>
      <w:r>
        <w:rPr>
          <w:rFonts w:hint="eastAsia" w:ascii="Times New Roman" w:hAnsi="Times New Roman" w:eastAsia="仿宋_GB2312"/>
          <w:strike w:val="0"/>
          <w:color w:val="auto"/>
          <w:highlight w:val="none"/>
        </w:rPr>
        <w:t>需求，</w:t>
      </w:r>
      <w:r>
        <w:rPr>
          <w:rFonts w:hint="eastAsia" w:ascii="Times New Roman" w:hAnsi="Times New Roman" w:eastAsia="仿宋_GB2312"/>
          <w:strike w:val="0"/>
          <w:color w:val="auto"/>
          <w:highlight w:val="none"/>
          <w:lang w:val="en-US" w:eastAsia="zh-CN"/>
        </w:rPr>
        <w:t>开展</w:t>
      </w:r>
      <w:r>
        <w:rPr>
          <w:rFonts w:hint="eastAsia" w:ascii="Times New Roman" w:hAnsi="Times New Roman" w:eastAsia="仿宋_GB2312"/>
          <w:strike w:val="0"/>
          <w:color w:val="auto"/>
          <w:highlight w:val="none"/>
        </w:rPr>
        <w:t>网络入云到端的数字化感知、质量实时监测。网络质量监测区域包括但不限于市级政务云接入区、区级政务外网接入区、互联网接入区等。投标人需实质性响应并提供网络质量监测能力、网络质量监测终端部署方式、以及与</w:t>
      </w:r>
      <w:r>
        <w:rPr>
          <w:rFonts w:hint="eastAsia" w:ascii="Times New Roman" w:hAnsi="Times New Roman" w:eastAsia="仿宋_GB2312"/>
          <w:strike w:val="0"/>
          <w:color w:val="auto"/>
          <w:highlight w:val="none"/>
          <w:lang w:eastAsia="zh-CN"/>
        </w:rPr>
        <w:t>采购人</w:t>
      </w:r>
      <w:r>
        <w:rPr>
          <w:rFonts w:hint="eastAsia" w:ascii="Times New Roman" w:hAnsi="Times New Roman" w:eastAsia="仿宋_GB2312"/>
          <w:strike w:val="0"/>
          <w:color w:val="auto"/>
          <w:highlight w:val="none"/>
        </w:rPr>
        <w:t>要求的其他平台的数据对接技术设计方案，并提供部署证明文件。</w:t>
      </w:r>
      <w:bookmarkEnd w:id="185"/>
      <w:bookmarkEnd w:id="186"/>
    </w:p>
    <w:p w14:paraId="2866E3A1">
      <w:pPr>
        <w:pStyle w:val="3"/>
        <w:jc w:val="both"/>
        <w:rPr>
          <w:rFonts w:ascii="Times New Roman" w:hAnsi="Times New Roman"/>
          <w:color w:val="auto"/>
          <w:highlight w:val="none"/>
        </w:rPr>
      </w:pPr>
      <w:r>
        <w:rPr>
          <w:rFonts w:hint="eastAsia" w:ascii="Times New Roman" w:hAnsi="Times New Roman"/>
          <w:color w:val="auto"/>
          <w:highlight w:val="none"/>
          <w:lang w:val="en-US" w:eastAsia="zh-CN"/>
        </w:rPr>
        <w:t>DNS域名解析</w:t>
      </w:r>
      <w:r>
        <w:rPr>
          <w:rFonts w:hint="eastAsia" w:ascii="Times New Roman" w:hAnsi="Times New Roman"/>
          <w:color w:val="auto"/>
          <w:highlight w:val="none"/>
        </w:rPr>
        <w:t>要求</w:t>
      </w:r>
    </w:p>
    <w:p w14:paraId="4DD1A179">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strike w:val="0"/>
          <w:color w:val="auto"/>
          <w:highlight w:val="none"/>
          <w:lang w:val="en-US" w:eastAsia="zh-CN"/>
        </w:rPr>
      </w:pPr>
      <w:r>
        <w:rPr>
          <w:rFonts w:hint="eastAsia" w:ascii="Times New Roman" w:hAnsi="Times New Roman" w:eastAsia="仿宋_GB2312"/>
          <w:strike w:val="0"/>
          <w:color w:val="auto"/>
          <w:highlight w:val="none"/>
          <w:lang w:val="en-US" w:eastAsia="zh-CN"/>
        </w:rPr>
        <w:t>投标人需提供满足以下要求的技术设计方案，用于提供高可靠的政务外网DNS域名解析服务：</w:t>
      </w:r>
    </w:p>
    <w:p w14:paraId="280A300A">
      <w:pPr>
        <w:keepNext w:val="0"/>
        <w:keepLines w:val="0"/>
        <w:pageBreakBefore w:val="0"/>
        <w:widowControl/>
        <w:numPr>
          <w:ilvl w:val="0"/>
          <w:numId w:val="16"/>
        </w:numPr>
        <w:suppressLineNumbers w:val="0"/>
        <w:kinsoku/>
        <w:wordWrap/>
        <w:overflowPunct/>
        <w:topLinePunct w:val="0"/>
        <w:autoSpaceDE/>
        <w:autoSpaceDN/>
        <w:bidi w:val="0"/>
        <w:adjustRightInd/>
        <w:snapToGrid/>
        <w:spacing w:line="560" w:lineRule="exact"/>
        <w:ind w:firstLine="560" w:firstLineChars="200"/>
        <w:jc w:val="left"/>
        <w:textAlignment w:val="auto"/>
        <w:rPr>
          <w:rFonts w:hint="eastAsia"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采用</w:t>
      </w:r>
      <w:r>
        <w:rPr>
          <w:rFonts w:hint="eastAsia" w:ascii="Times New Roman" w:hAnsi="Times New Roman" w:eastAsia="仿宋_GB2312"/>
          <w:color w:val="auto"/>
          <w:highlight w:val="none"/>
        </w:rPr>
        <w:t>国家电子政务外网根域的子域</w:t>
      </w:r>
      <w:r>
        <w:rPr>
          <w:rFonts w:hint="eastAsia" w:ascii="Times New Roman" w:hAnsi="Times New Roman" w:eastAsia="仿宋_GB2312"/>
          <w:color w:val="auto"/>
          <w:highlight w:val="none"/>
          <w:lang w:eastAsia="zh-CN"/>
        </w:rPr>
        <w:t>，</w:t>
      </w:r>
      <w:r>
        <w:rPr>
          <w:rFonts w:hint="eastAsia" w:ascii="Times New Roman" w:hAnsi="Times New Roman" w:eastAsia="仿宋_GB2312" w:cs="Times New Roman"/>
          <w:i w:val="0"/>
          <w:iCs w:val="0"/>
          <w:caps w:val="0"/>
          <w:color w:val="auto"/>
          <w:spacing w:val="0"/>
          <w:kern w:val="2"/>
          <w:sz w:val="28"/>
          <w:szCs w:val="28"/>
          <w:highlight w:val="none"/>
          <w:u w:val="none"/>
          <w:lang w:val="en-US" w:eastAsia="zh-CN" w:bidi="ar-SA"/>
        </w:rPr>
        <w:t>提供详细的子域规划、注册和管理方案；</w:t>
      </w:r>
    </w:p>
    <w:p w14:paraId="7A651D59">
      <w:pPr>
        <w:keepNext w:val="0"/>
        <w:keepLines w:val="0"/>
        <w:pageBreakBefore w:val="0"/>
        <w:widowControl/>
        <w:numPr>
          <w:ilvl w:val="0"/>
          <w:numId w:val="16"/>
        </w:numPr>
        <w:kinsoku/>
        <w:wordWrap/>
        <w:overflowPunct/>
        <w:topLinePunct w:val="0"/>
        <w:autoSpaceDE/>
        <w:autoSpaceDN/>
        <w:bidi w:val="0"/>
        <w:adjustRightInd/>
        <w:snapToGrid/>
        <w:spacing w:line="560" w:lineRule="exact"/>
        <w:ind w:left="0" w:firstLine="560" w:firstLineChars="200"/>
        <w:jc w:val="left"/>
        <w:textAlignment w:val="auto"/>
        <w:rPr>
          <w:rFonts w:hint="eastAsia" w:ascii="Times New Roman" w:hAnsi="Times New Roman" w:eastAsia="仿宋_GB2312"/>
          <w:strike w:val="0"/>
          <w:color w:val="auto"/>
          <w:highlight w:val="none"/>
          <w:lang w:val="en-US" w:eastAsia="zh-CN"/>
        </w:rPr>
      </w:pPr>
      <w:r>
        <w:rPr>
          <w:rFonts w:hint="eastAsia" w:ascii="Times New Roman" w:hAnsi="Times New Roman" w:eastAsia="仿宋_GB2312" w:cs="Times New Roman"/>
          <w:i w:val="0"/>
          <w:iCs w:val="0"/>
          <w:caps w:val="0"/>
          <w:color w:val="auto"/>
          <w:spacing w:val="0"/>
          <w:kern w:val="2"/>
          <w:sz w:val="28"/>
          <w:szCs w:val="28"/>
          <w:highlight w:val="none"/>
          <w:u w:val="none"/>
          <w:lang w:val="en-US" w:eastAsia="zh-CN" w:bidi="ar-SA"/>
        </w:rPr>
        <w:t>域名服务须支持IPv6域名查询（AAAA记录查询）；支持递归查询功能；支持完整的标准DNS记录类型解析支持（如A、AAAA、MX、CNAME、TXT、SRV、NS、SOA、PTR等）；</w:t>
      </w:r>
    </w:p>
    <w:p w14:paraId="09D9AE70">
      <w:pPr>
        <w:keepNext w:val="0"/>
        <w:keepLines w:val="0"/>
        <w:pageBreakBefore w:val="0"/>
        <w:numPr>
          <w:ilvl w:val="0"/>
          <w:numId w:val="16"/>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在两处不同节点机房部署异构的DNS系统，形成异地异构部署架构，为政务外网用户提供高可用的DNS服务，包括域名解析、子域递归等</w:t>
      </w:r>
      <w:r>
        <w:rPr>
          <w:rFonts w:hint="eastAsia" w:ascii="Times New Roman" w:hAnsi="Times New Roman" w:eastAsia="仿宋_GB2312"/>
          <w:strike w:val="0"/>
          <w:color w:val="auto"/>
          <w:highlight w:val="none"/>
          <w:lang w:eastAsia="zh-CN"/>
        </w:rPr>
        <w:t>；</w:t>
      </w:r>
    </w:p>
    <w:p w14:paraId="1B924B6D">
      <w:pPr>
        <w:keepNext w:val="0"/>
        <w:keepLines w:val="0"/>
        <w:pageBreakBefore w:val="0"/>
        <w:numPr>
          <w:ilvl w:val="0"/>
          <w:numId w:val="16"/>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各DNS部署区域均须配套部署防火墙（</w:t>
      </w:r>
      <w:r>
        <w:rPr>
          <w:rFonts w:hint="eastAsia" w:ascii="Times New Roman" w:hAnsi="Times New Roman" w:eastAsia="仿宋_GB2312"/>
          <w:strike w:val="0"/>
          <w:color w:val="auto"/>
          <w:highlight w:val="none"/>
          <w:lang w:val="en-US" w:eastAsia="zh-CN"/>
        </w:rPr>
        <w:t>具备</w:t>
      </w:r>
      <w:r>
        <w:rPr>
          <w:rFonts w:hint="eastAsia" w:ascii="Times New Roman" w:hAnsi="Times New Roman" w:eastAsia="仿宋_GB2312"/>
          <w:strike w:val="0"/>
          <w:color w:val="auto"/>
          <w:highlight w:val="none"/>
        </w:rPr>
        <w:t>访问控制、入侵防范</w:t>
      </w:r>
      <w:r>
        <w:rPr>
          <w:rFonts w:hint="eastAsia" w:ascii="Times New Roman" w:hAnsi="Times New Roman" w:eastAsia="仿宋_GB2312"/>
          <w:strike w:val="0"/>
          <w:color w:val="auto"/>
          <w:highlight w:val="none"/>
          <w:lang w:val="en-US" w:eastAsia="zh-CN"/>
        </w:rPr>
        <w:t>及</w:t>
      </w:r>
      <w:r>
        <w:rPr>
          <w:rFonts w:hint="eastAsia" w:ascii="Times New Roman" w:hAnsi="Times New Roman" w:eastAsia="仿宋_GB2312"/>
          <w:strike w:val="0"/>
          <w:color w:val="auto"/>
          <w:highlight w:val="none"/>
        </w:rPr>
        <w:t>恶意代码防护</w:t>
      </w:r>
      <w:r>
        <w:rPr>
          <w:rFonts w:hint="eastAsia" w:ascii="Times New Roman" w:hAnsi="Times New Roman" w:eastAsia="仿宋_GB2312"/>
          <w:strike w:val="0"/>
          <w:color w:val="auto"/>
          <w:highlight w:val="none"/>
          <w:lang w:val="en-US" w:eastAsia="zh-CN"/>
        </w:rPr>
        <w:t>能力</w:t>
      </w:r>
      <w:r>
        <w:rPr>
          <w:rFonts w:hint="eastAsia" w:ascii="Times New Roman" w:hAnsi="Times New Roman" w:eastAsia="仿宋_GB2312"/>
          <w:strike w:val="0"/>
          <w:color w:val="auto"/>
          <w:highlight w:val="none"/>
        </w:rPr>
        <w:t>）、沙箱及日志审计功能组件等安全防护设备</w:t>
      </w:r>
      <w:r>
        <w:rPr>
          <w:rFonts w:hint="eastAsia" w:ascii="Times New Roman" w:hAnsi="Times New Roman" w:eastAsia="仿宋_GB2312"/>
          <w:strike w:val="0"/>
          <w:color w:val="auto"/>
          <w:highlight w:val="none"/>
          <w:lang w:eastAsia="zh-CN"/>
        </w:rPr>
        <w:t>；</w:t>
      </w:r>
    </w:p>
    <w:p w14:paraId="38535FCB">
      <w:pPr>
        <w:keepNext w:val="0"/>
        <w:keepLines w:val="0"/>
        <w:pageBreakBefore w:val="0"/>
        <w:numPr>
          <w:ilvl w:val="0"/>
          <w:numId w:val="16"/>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整体DNS系统性能</w:t>
      </w:r>
      <w:r>
        <w:rPr>
          <w:rFonts w:hint="eastAsia" w:ascii="Times New Roman" w:hAnsi="Times New Roman" w:eastAsia="仿宋_GB2312"/>
          <w:strike w:val="0"/>
          <w:color w:val="auto"/>
          <w:highlight w:val="none"/>
          <w:lang w:val="en-US" w:eastAsia="zh-CN"/>
        </w:rPr>
        <w:t>&gt;=</w:t>
      </w:r>
      <w:r>
        <w:rPr>
          <w:rFonts w:hint="eastAsia" w:ascii="Times New Roman" w:hAnsi="Times New Roman" w:eastAsia="仿宋_GB2312"/>
          <w:strike w:val="0"/>
          <w:color w:val="auto"/>
          <w:highlight w:val="none"/>
        </w:rPr>
        <w:t>3.5万QPS，递归查询能力</w:t>
      </w:r>
      <w:r>
        <w:rPr>
          <w:rFonts w:hint="eastAsia" w:ascii="Times New Roman" w:hAnsi="Times New Roman" w:eastAsia="仿宋_GB2312"/>
          <w:strike w:val="0"/>
          <w:color w:val="auto"/>
          <w:highlight w:val="none"/>
          <w:lang w:val="en-US" w:eastAsia="zh-CN"/>
        </w:rPr>
        <w:t>&gt;=</w:t>
      </w:r>
      <w:r>
        <w:rPr>
          <w:rFonts w:hint="eastAsia" w:ascii="Times New Roman" w:hAnsi="Times New Roman" w:eastAsia="仿宋_GB2312"/>
          <w:strike w:val="0"/>
          <w:color w:val="auto"/>
          <w:highlight w:val="none"/>
        </w:rPr>
        <w:t>10万QPS，缓存应答能力</w:t>
      </w:r>
      <w:r>
        <w:rPr>
          <w:rFonts w:hint="eastAsia" w:ascii="Times New Roman" w:hAnsi="Times New Roman" w:eastAsia="仿宋_GB2312"/>
          <w:strike w:val="0"/>
          <w:color w:val="auto"/>
          <w:highlight w:val="none"/>
          <w:lang w:val="en-US" w:eastAsia="zh-CN"/>
        </w:rPr>
        <w:t>&gt;=</w:t>
      </w:r>
      <w:r>
        <w:rPr>
          <w:rFonts w:hint="eastAsia" w:ascii="Times New Roman" w:hAnsi="Times New Roman" w:eastAsia="仿宋_GB2312"/>
          <w:strike w:val="0"/>
          <w:color w:val="auto"/>
          <w:highlight w:val="none"/>
        </w:rPr>
        <w:t>100万QPS，兼容IPv4/IPv6双栈递归解析。</w:t>
      </w:r>
    </w:p>
    <w:p w14:paraId="739D7B23">
      <w:pPr>
        <w:pStyle w:val="3"/>
        <w:jc w:val="both"/>
        <w:rPr>
          <w:rFonts w:ascii="Times New Roman" w:hAnsi="Times New Roman"/>
          <w:color w:val="auto"/>
          <w:highlight w:val="none"/>
        </w:rPr>
      </w:pPr>
      <w:r>
        <w:rPr>
          <w:rFonts w:hint="eastAsia" w:ascii="Times New Roman" w:hAnsi="Times New Roman"/>
          <w:color w:val="auto"/>
          <w:highlight w:val="none"/>
          <w:lang w:val="en-US" w:eastAsia="zh-CN"/>
        </w:rPr>
        <w:t>无线接入区</w:t>
      </w:r>
      <w:r>
        <w:rPr>
          <w:rFonts w:hint="eastAsia" w:ascii="Times New Roman" w:hAnsi="Times New Roman"/>
          <w:color w:val="auto"/>
          <w:highlight w:val="none"/>
        </w:rPr>
        <w:t>要求</w:t>
      </w:r>
    </w:p>
    <w:p w14:paraId="2950A5BC">
      <w:pPr>
        <w:pStyle w:val="4"/>
        <w:ind w:firstLine="0" w:firstLineChars="0"/>
        <w:rPr>
          <w:rFonts w:ascii="Times New Roman" w:hAnsi="Times New Roman"/>
          <w:color w:val="auto"/>
          <w:highlight w:val="none"/>
        </w:rPr>
      </w:pPr>
      <w:r>
        <w:rPr>
          <w:rFonts w:hint="eastAsia" w:ascii="Times New Roman" w:hAnsi="Times New Roman"/>
          <w:color w:val="auto"/>
          <w:highlight w:val="none"/>
        </w:rPr>
        <w:t>网络技术要求</w:t>
      </w:r>
    </w:p>
    <w:p w14:paraId="042295D0">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color w:val="auto"/>
          <w:sz w:val="28"/>
          <w:szCs w:val="28"/>
          <w:highlight w:val="none"/>
        </w:rPr>
      </w:pPr>
      <w:r>
        <w:rPr>
          <w:rFonts w:hint="eastAsia" w:ascii="Times New Roman" w:hAnsi="Times New Roman" w:eastAsia="仿宋_GB2312" w:cs="Times New Roman"/>
          <w:color w:val="auto"/>
          <w:sz w:val="28"/>
          <w:szCs w:val="28"/>
          <w:highlight w:val="none"/>
        </w:rPr>
        <w:t>为</w:t>
      </w:r>
      <w:r>
        <w:rPr>
          <w:rFonts w:hint="eastAsia" w:ascii="Times New Roman" w:hAnsi="Times New Roman" w:eastAsia="仿宋_GB2312" w:cs="Times New Roman"/>
          <w:color w:val="auto"/>
          <w:sz w:val="28"/>
          <w:szCs w:val="28"/>
          <w:highlight w:val="none"/>
          <w:lang w:val="en-US" w:eastAsia="zh-CN"/>
        </w:rPr>
        <w:t>便于</w:t>
      </w:r>
      <w:r>
        <w:rPr>
          <w:rFonts w:hint="eastAsia" w:ascii="Times New Roman" w:hAnsi="Times New Roman" w:eastAsia="仿宋_GB2312" w:cs="Times New Roman"/>
          <w:color w:val="auto"/>
          <w:sz w:val="28"/>
          <w:szCs w:val="28"/>
          <w:highlight w:val="none"/>
        </w:rPr>
        <w:t>网络运营管理，</w:t>
      </w:r>
      <w:r>
        <w:rPr>
          <w:rFonts w:hint="eastAsia" w:ascii="Times New Roman" w:hAnsi="Times New Roman" w:eastAsia="仿宋_GB2312" w:cs="Times New Roman"/>
          <w:color w:val="auto"/>
          <w:sz w:val="28"/>
          <w:szCs w:val="28"/>
          <w:highlight w:val="none"/>
          <w:lang w:val="en-US" w:eastAsia="zh-CN"/>
        </w:rPr>
        <w:t>中标人应</w:t>
      </w:r>
      <w:r>
        <w:rPr>
          <w:rFonts w:hint="eastAsia" w:ascii="Times New Roman" w:hAnsi="Times New Roman" w:eastAsia="仿宋_GB2312" w:cs="Times New Roman"/>
          <w:color w:val="auto"/>
          <w:sz w:val="28"/>
          <w:szCs w:val="28"/>
          <w:highlight w:val="none"/>
        </w:rPr>
        <w:t>将5G无线接入区网络划分为外网对接区、核心交换区、业务区</w:t>
      </w:r>
      <w:r>
        <w:rPr>
          <w:rFonts w:hint="eastAsia" w:ascii="Times New Roman" w:hAnsi="Times New Roman" w:eastAsia="仿宋_GB2312" w:cs="Times New Roman"/>
          <w:color w:val="auto"/>
          <w:sz w:val="28"/>
          <w:szCs w:val="28"/>
          <w:highlight w:val="none"/>
          <w:lang w:val="en-US" w:eastAsia="zh-CN"/>
        </w:rPr>
        <w:t>及</w:t>
      </w:r>
      <w:r>
        <w:rPr>
          <w:rFonts w:hint="eastAsia" w:ascii="Times New Roman" w:hAnsi="Times New Roman" w:eastAsia="仿宋_GB2312" w:cs="Times New Roman"/>
          <w:color w:val="auto"/>
          <w:sz w:val="28"/>
          <w:szCs w:val="28"/>
          <w:highlight w:val="none"/>
        </w:rPr>
        <w:t>带外网管区等。</w:t>
      </w:r>
      <w:r>
        <w:rPr>
          <w:rFonts w:hint="eastAsia" w:ascii="Times New Roman" w:hAnsi="Times New Roman" w:eastAsia="仿宋_GB2312" w:cs="Times New Roman"/>
          <w:color w:val="auto"/>
          <w:sz w:val="28"/>
          <w:szCs w:val="28"/>
          <w:highlight w:val="none"/>
          <w:lang w:val="en-US" w:eastAsia="zh-CN"/>
        </w:rPr>
        <w:t>同时，为提升</w:t>
      </w:r>
      <w:r>
        <w:rPr>
          <w:rFonts w:hint="eastAsia" w:ascii="Times New Roman" w:hAnsi="Times New Roman" w:eastAsia="仿宋_GB2312" w:cs="Times New Roman"/>
          <w:color w:val="auto"/>
          <w:sz w:val="28"/>
          <w:szCs w:val="28"/>
          <w:highlight w:val="none"/>
        </w:rPr>
        <w:t>可靠性，</w:t>
      </w:r>
      <w:r>
        <w:rPr>
          <w:rFonts w:hint="eastAsia" w:ascii="Times New Roman" w:hAnsi="Times New Roman" w:eastAsia="仿宋_GB2312" w:cs="Times New Roman"/>
          <w:color w:val="auto"/>
          <w:sz w:val="28"/>
          <w:szCs w:val="28"/>
          <w:highlight w:val="none"/>
          <w:lang w:val="en-US" w:eastAsia="zh-CN"/>
        </w:rPr>
        <w:t>应采用双</w:t>
      </w:r>
      <w:r>
        <w:rPr>
          <w:rFonts w:hint="eastAsia" w:ascii="Times New Roman" w:hAnsi="Times New Roman" w:eastAsia="仿宋_GB2312" w:cs="Times New Roman"/>
          <w:color w:val="auto"/>
          <w:sz w:val="28"/>
          <w:szCs w:val="28"/>
          <w:highlight w:val="none"/>
        </w:rPr>
        <w:t>机房部署无线网接入区设备</w:t>
      </w:r>
      <w:r>
        <w:rPr>
          <w:rFonts w:hint="eastAsia" w:ascii="Times New Roman" w:hAnsi="Times New Roman" w:eastAsia="仿宋_GB2312" w:cs="Times New Roman"/>
          <w:color w:val="auto"/>
          <w:sz w:val="28"/>
          <w:szCs w:val="28"/>
          <w:highlight w:val="none"/>
          <w:lang w:val="en-US" w:eastAsia="zh-CN"/>
        </w:rPr>
        <w:t>并实施</w:t>
      </w:r>
      <w:r>
        <w:rPr>
          <w:rFonts w:hint="eastAsia" w:ascii="Times New Roman" w:hAnsi="Times New Roman" w:eastAsia="仿宋_GB2312" w:cs="Times New Roman"/>
          <w:color w:val="auto"/>
          <w:sz w:val="28"/>
          <w:szCs w:val="28"/>
          <w:highlight w:val="none"/>
        </w:rPr>
        <w:t>镜像配置，</w:t>
      </w:r>
      <w:r>
        <w:rPr>
          <w:rFonts w:hint="eastAsia" w:ascii="Times New Roman" w:hAnsi="Times New Roman" w:eastAsia="仿宋_GB2312" w:cs="Times New Roman"/>
          <w:color w:val="auto"/>
          <w:sz w:val="28"/>
          <w:szCs w:val="28"/>
          <w:highlight w:val="none"/>
          <w:lang w:val="en-US" w:eastAsia="zh-CN"/>
        </w:rPr>
        <w:t>实现</w:t>
      </w:r>
      <w:r>
        <w:rPr>
          <w:rFonts w:hint="eastAsia" w:ascii="Times New Roman" w:hAnsi="Times New Roman" w:eastAsia="仿宋_GB2312" w:cs="Times New Roman"/>
          <w:color w:val="auto"/>
          <w:sz w:val="28"/>
          <w:szCs w:val="28"/>
          <w:highlight w:val="none"/>
        </w:rPr>
        <w:t>异地灾备</w:t>
      </w:r>
      <w:r>
        <w:rPr>
          <w:rFonts w:hint="eastAsia" w:ascii="Times New Roman" w:hAnsi="Times New Roman" w:eastAsia="仿宋_GB2312" w:cs="Times New Roman"/>
          <w:color w:val="auto"/>
          <w:sz w:val="28"/>
          <w:szCs w:val="28"/>
          <w:highlight w:val="none"/>
          <w:lang w:val="en-US" w:eastAsia="zh-CN"/>
        </w:rPr>
        <w:t>与业务连续性保障</w:t>
      </w:r>
      <w:r>
        <w:rPr>
          <w:rFonts w:hint="eastAsia" w:ascii="Times New Roman" w:hAnsi="Times New Roman" w:eastAsia="仿宋_GB2312" w:cs="Times New Roman"/>
          <w:color w:val="auto"/>
          <w:sz w:val="28"/>
          <w:szCs w:val="28"/>
          <w:highlight w:val="none"/>
        </w:rPr>
        <w:t>。当</w:t>
      </w:r>
      <w:r>
        <w:rPr>
          <w:rFonts w:hint="eastAsia" w:ascii="Times New Roman" w:hAnsi="Times New Roman" w:eastAsia="仿宋_GB2312" w:cs="Times New Roman"/>
          <w:color w:val="auto"/>
          <w:sz w:val="28"/>
          <w:szCs w:val="28"/>
          <w:highlight w:val="none"/>
          <w:lang w:val="en-US" w:eastAsia="zh-CN"/>
        </w:rPr>
        <w:t>单</w:t>
      </w:r>
      <w:r>
        <w:rPr>
          <w:rFonts w:hint="eastAsia" w:ascii="Times New Roman" w:hAnsi="Times New Roman" w:eastAsia="仿宋_GB2312" w:cs="Times New Roman"/>
          <w:color w:val="auto"/>
          <w:sz w:val="28"/>
          <w:szCs w:val="28"/>
          <w:highlight w:val="none"/>
        </w:rPr>
        <w:t>机房完全中断时，可切换</w:t>
      </w:r>
      <w:r>
        <w:rPr>
          <w:rFonts w:hint="eastAsia" w:ascii="Times New Roman" w:hAnsi="Times New Roman" w:eastAsia="仿宋_GB2312" w:cs="Times New Roman"/>
          <w:color w:val="auto"/>
          <w:sz w:val="28"/>
          <w:szCs w:val="28"/>
          <w:highlight w:val="none"/>
          <w:lang w:val="en-US" w:eastAsia="zh-CN"/>
        </w:rPr>
        <w:t>至</w:t>
      </w:r>
      <w:r>
        <w:rPr>
          <w:rFonts w:hint="eastAsia" w:ascii="Times New Roman" w:hAnsi="Times New Roman" w:eastAsia="仿宋_GB2312" w:cs="Times New Roman"/>
          <w:color w:val="auto"/>
          <w:sz w:val="28"/>
          <w:szCs w:val="28"/>
          <w:highlight w:val="none"/>
        </w:rPr>
        <w:t>另</w:t>
      </w:r>
      <w:r>
        <w:rPr>
          <w:rFonts w:hint="eastAsia" w:ascii="Times New Roman" w:hAnsi="Times New Roman" w:eastAsia="仿宋_GB2312" w:cs="Times New Roman"/>
          <w:color w:val="auto"/>
          <w:sz w:val="28"/>
          <w:szCs w:val="28"/>
          <w:highlight w:val="none"/>
          <w:lang w:val="en-US" w:eastAsia="zh-CN"/>
        </w:rPr>
        <w:t>一</w:t>
      </w:r>
      <w:r>
        <w:rPr>
          <w:rFonts w:hint="eastAsia" w:ascii="Times New Roman" w:hAnsi="Times New Roman" w:eastAsia="仿宋_GB2312" w:cs="Times New Roman"/>
          <w:color w:val="auto"/>
          <w:sz w:val="28"/>
          <w:szCs w:val="28"/>
          <w:highlight w:val="none"/>
        </w:rPr>
        <w:t>机房</w:t>
      </w:r>
      <w:r>
        <w:rPr>
          <w:rFonts w:hint="eastAsia" w:ascii="Times New Roman" w:hAnsi="Times New Roman" w:eastAsia="仿宋_GB2312" w:cs="Times New Roman"/>
          <w:color w:val="auto"/>
          <w:sz w:val="28"/>
          <w:szCs w:val="28"/>
          <w:highlight w:val="none"/>
          <w:lang w:val="en-US" w:eastAsia="zh-CN"/>
        </w:rPr>
        <w:t>运行</w:t>
      </w:r>
      <w:r>
        <w:rPr>
          <w:rFonts w:hint="eastAsia" w:ascii="Times New Roman" w:hAnsi="Times New Roman" w:eastAsia="仿宋_GB2312" w:cs="Times New Roman"/>
          <w:color w:val="auto"/>
          <w:sz w:val="28"/>
          <w:szCs w:val="28"/>
          <w:highlight w:val="none"/>
        </w:rPr>
        <w:t>。</w:t>
      </w:r>
    </w:p>
    <w:p w14:paraId="06EE68B7">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color w:val="auto"/>
          <w:szCs w:val="28"/>
          <w:highlight w:val="none"/>
        </w:rPr>
      </w:pPr>
      <w:r>
        <w:rPr>
          <w:rFonts w:hint="eastAsia" w:ascii="Times New Roman" w:hAnsi="Times New Roman" w:eastAsia="仿宋_GB2312" w:cs="Times New Roman"/>
          <w:color w:val="auto"/>
          <w:szCs w:val="28"/>
          <w:highlight w:val="none"/>
        </w:rPr>
        <w:t>在</w:t>
      </w:r>
      <w:r>
        <w:rPr>
          <w:rFonts w:hint="eastAsia" w:ascii="Times New Roman" w:hAnsi="Times New Roman" w:eastAsia="仿宋_GB2312" w:cs="Times New Roman"/>
          <w:color w:val="auto"/>
          <w:szCs w:val="28"/>
          <w:highlight w:val="none"/>
          <w:lang w:val="en-US" w:eastAsia="zh-CN"/>
        </w:rPr>
        <w:t>光纤网</w:t>
      </w:r>
      <w:r>
        <w:rPr>
          <w:rFonts w:hint="eastAsia" w:ascii="Times New Roman" w:hAnsi="Times New Roman" w:eastAsia="仿宋_GB2312" w:cs="Times New Roman"/>
          <w:color w:val="auto"/>
          <w:szCs w:val="28"/>
          <w:highlight w:val="none"/>
        </w:rPr>
        <w:t>对接区部署核心路由器</w:t>
      </w:r>
      <w:r>
        <w:rPr>
          <w:rFonts w:hint="eastAsia" w:ascii="Times New Roman" w:hAnsi="Times New Roman" w:eastAsia="仿宋_GB2312" w:cs="Times New Roman"/>
          <w:color w:val="auto"/>
          <w:szCs w:val="28"/>
          <w:highlight w:val="none"/>
          <w:lang w:val="en-US" w:eastAsia="zh-CN"/>
        </w:rPr>
        <w:t>及</w:t>
      </w:r>
      <w:r>
        <w:rPr>
          <w:rFonts w:hint="eastAsia" w:ascii="Times New Roman" w:hAnsi="Times New Roman" w:eastAsia="仿宋_GB2312" w:cs="Times New Roman"/>
          <w:color w:val="auto"/>
          <w:szCs w:val="28"/>
          <w:highlight w:val="none"/>
        </w:rPr>
        <w:t>安全边界设备。核心路由器</w:t>
      </w:r>
      <w:r>
        <w:rPr>
          <w:rFonts w:hint="eastAsia" w:ascii="Times New Roman" w:hAnsi="Times New Roman" w:eastAsia="仿宋_GB2312" w:cs="Times New Roman"/>
          <w:color w:val="auto"/>
          <w:szCs w:val="28"/>
          <w:highlight w:val="none"/>
          <w:lang w:val="en-US" w:eastAsia="zh-CN"/>
        </w:rPr>
        <w:t>实现</w:t>
      </w:r>
      <w:r>
        <w:rPr>
          <w:rFonts w:hint="eastAsia" w:ascii="Times New Roman" w:hAnsi="Times New Roman" w:eastAsia="仿宋_GB2312" w:cs="Times New Roman"/>
          <w:color w:val="auto"/>
          <w:szCs w:val="28"/>
          <w:highlight w:val="none"/>
        </w:rPr>
        <w:t>网络接入</w:t>
      </w:r>
      <w:r>
        <w:rPr>
          <w:rFonts w:hint="eastAsia" w:ascii="Times New Roman" w:hAnsi="Times New Roman" w:eastAsia="仿宋_GB2312" w:cs="Times New Roman"/>
          <w:color w:val="auto"/>
          <w:szCs w:val="28"/>
          <w:highlight w:val="none"/>
          <w:lang w:val="en-US" w:eastAsia="zh-CN"/>
        </w:rPr>
        <w:t>与</w:t>
      </w:r>
      <w:r>
        <w:rPr>
          <w:rFonts w:hint="eastAsia" w:ascii="Times New Roman" w:hAnsi="Times New Roman" w:eastAsia="仿宋_GB2312" w:cs="Times New Roman"/>
          <w:color w:val="auto"/>
          <w:szCs w:val="28"/>
          <w:highlight w:val="none"/>
        </w:rPr>
        <w:t>路由转发等功能。</w:t>
      </w:r>
      <w:r>
        <w:rPr>
          <w:rFonts w:hint="eastAsia" w:ascii="Times New Roman" w:hAnsi="Times New Roman" w:eastAsia="仿宋_GB2312" w:cs="Times New Roman"/>
          <w:color w:val="auto"/>
          <w:szCs w:val="28"/>
          <w:highlight w:val="none"/>
          <w:lang w:val="en-US" w:eastAsia="zh-CN"/>
        </w:rPr>
        <w:t>于两个机房分别</w:t>
      </w:r>
      <w:r>
        <w:rPr>
          <w:rFonts w:hint="eastAsia" w:ascii="Times New Roman" w:hAnsi="Times New Roman" w:eastAsia="仿宋_GB2312" w:cs="Times New Roman"/>
          <w:color w:val="auto"/>
          <w:szCs w:val="28"/>
          <w:highlight w:val="none"/>
        </w:rPr>
        <w:t>设置</w:t>
      </w:r>
      <w:r>
        <w:rPr>
          <w:rFonts w:hint="eastAsia" w:ascii="Times New Roman" w:hAnsi="Times New Roman" w:eastAsia="仿宋_GB2312" w:cs="Times New Roman"/>
          <w:color w:val="auto"/>
          <w:szCs w:val="28"/>
          <w:highlight w:val="none"/>
          <w:lang w:val="en-US" w:eastAsia="zh-CN"/>
        </w:rPr>
        <w:t>网络</w:t>
      </w:r>
      <w:r>
        <w:rPr>
          <w:rFonts w:hint="eastAsia" w:ascii="Times New Roman" w:hAnsi="Times New Roman" w:eastAsia="仿宋_GB2312" w:cs="Times New Roman"/>
          <w:color w:val="auto"/>
          <w:szCs w:val="28"/>
          <w:highlight w:val="none"/>
        </w:rPr>
        <w:t>节点，</w:t>
      </w:r>
      <w:r>
        <w:rPr>
          <w:rFonts w:hint="eastAsia" w:ascii="Times New Roman" w:hAnsi="Times New Roman" w:eastAsia="仿宋_GB2312" w:cs="Times New Roman"/>
          <w:color w:val="auto"/>
          <w:szCs w:val="28"/>
          <w:highlight w:val="none"/>
          <w:lang w:val="en-US" w:eastAsia="zh-CN"/>
        </w:rPr>
        <w:t>各节点内（含每</w:t>
      </w:r>
      <w:r>
        <w:rPr>
          <w:rFonts w:hint="eastAsia" w:ascii="Times New Roman" w:hAnsi="Times New Roman" w:eastAsia="仿宋_GB2312" w:cs="Times New Roman"/>
          <w:color w:val="auto"/>
          <w:szCs w:val="28"/>
          <w:highlight w:val="none"/>
        </w:rPr>
        <w:t>机房配置</w:t>
      </w:r>
      <w:r>
        <w:rPr>
          <w:rFonts w:hint="eastAsia" w:ascii="Times New Roman" w:hAnsi="Times New Roman" w:eastAsia="仿宋_GB2312" w:cs="Times New Roman"/>
          <w:color w:val="auto"/>
          <w:szCs w:val="28"/>
          <w:highlight w:val="none"/>
          <w:lang w:val="en-US" w:eastAsia="zh-CN"/>
        </w:rPr>
        <w:t>的</w:t>
      </w:r>
      <w:r>
        <w:rPr>
          <w:rFonts w:hint="eastAsia" w:ascii="Times New Roman" w:hAnsi="Times New Roman" w:eastAsia="仿宋_GB2312" w:cs="Times New Roman"/>
          <w:color w:val="auto"/>
          <w:szCs w:val="28"/>
          <w:highlight w:val="none"/>
        </w:rPr>
        <w:t>2台核心路由器</w:t>
      </w:r>
      <w:r>
        <w:rPr>
          <w:rFonts w:hint="eastAsia" w:ascii="Times New Roman" w:hAnsi="Times New Roman" w:eastAsia="仿宋_GB2312" w:cs="Times New Roman"/>
          <w:color w:val="auto"/>
          <w:szCs w:val="28"/>
          <w:highlight w:val="none"/>
          <w:lang w:val="en-US" w:eastAsia="zh-CN"/>
        </w:rPr>
        <w:t>）网络设备均采用双机热备模式部署。</w:t>
      </w:r>
      <w:r>
        <w:rPr>
          <w:rFonts w:hint="eastAsia" w:ascii="Times New Roman" w:hAnsi="Times New Roman" w:eastAsia="仿宋_GB2312" w:cs="Times New Roman"/>
          <w:color w:val="auto"/>
          <w:szCs w:val="28"/>
          <w:highlight w:val="none"/>
        </w:rPr>
        <w:t>核心路由器与</w:t>
      </w:r>
      <w:r>
        <w:rPr>
          <w:rFonts w:hint="eastAsia" w:ascii="Times New Roman" w:hAnsi="Times New Roman" w:eastAsia="仿宋_GB2312" w:cs="Times New Roman"/>
          <w:color w:val="auto"/>
          <w:szCs w:val="28"/>
          <w:highlight w:val="none"/>
          <w:lang w:val="en-US" w:eastAsia="zh-CN"/>
        </w:rPr>
        <w:t>光纤</w:t>
      </w:r>
      <w:r>
        <w:rPr>
          <w:rFonts w:hint="eastAsia" w:ascii="Times New Roman" w:hAnsi="Times New Roman" w:eastAsia="仿宋_GB2312" w:cs="Times New Roman"/>
          <w:color w:val="auto"/>
          <w:szCs w:val="28"/>
          <w:highlight w:val="none"/>
        </w:rPr>
        <w:t>边界之间主备部署安全边界设备，</w:t>
      </w:r>
      <w:r>
        <w:rPr>
          <w:rFonts w:hint="eastAsia" w:ascii="Times New Roman" w:hAnsi="Times New Roman" w:eastAsia="仿宋_GB2312" w:cs="Times New Roman"/>
          <w:color w:val="auto"/>
          <w:szCs w:val="28"/>
          <w:highlight w:val="none"/>
          <w:lang w:val="en-US" w:eastAsia="zh-CN"/>
        </w:rPr>
        <w:t>以增强</w:t>
      </w:r>
      <w:r>
        <w:rPr>
          <w:rFonts w:hint="eastAsia" w:ascii="Times New Roman" w:hAnsi="Times New Roman" w:eastAsia="仿宋_GB2312" w:cs="Times New Roman"/>
          <w:color w:val="auto"/>
          <w:szCs w:val="28"/>
          <w:highlight w:val="none"/>
        </w:rPr>
        <w:t>整体</w:t>
      </w:r>
      <w:r>
        <w:rPr>
          <w:rFonts w:hint="eastAsia" w:ascii="Times New Roman" w:hAnsi="Times New Roman" w:eastAsia="仿宋_GB2312" w:cs="Times New Roman"/>
          <w:color w:val="auto"/>
          <w:szCs w:val="28"/>
          <w:highlight w:val="none"/>
          <w:lang w:val="en-US" w:eastAsia="zh-CN"/>
        </w:rPr>
        <w:t>网络</w:t>
      </w:r>
      <w:r>
        <w:rPr>
          <w:rFonts w:hint="eastAsia" w:ascii="Times New Roman" w:hAnsi="Times New Roman" w:eastAsia="仿宋_GB2312" w:cs="Times New Roman"/>
          <w:color w:val="auto"/>
          <w:szCs w:val="28"/>
          <w:highlight w:val="none"/>
        </w:rPr>
        <w:t>安全性。</w:t>
      </w:r>
      <w:r>
        <w:rPr>
          <w:rFonts w:hint="eastAsia" w:ascii="Times New Roman" w:hAnsi="Times New Roman" w:eastAsia="仿宋_GB2312" w:cs="Times New Roman"/>
          <w:color w:val="auto"/>
          <w:szCs w:val="28"/>
          <w:highlight w:val="none"/>
          <w:lang w:val="en-US" w:eastAsia="zh-CN"/>
        </w:rPr>
        <w:t>每机房核心路由器</w:t>
      </w:r>
      <w:r>
        <w:rPr>
          <w:rFonts w:hint="eastAsia" w:ascii="Times New Roman" w:hAnsi="Times New Roman" w:eastAsia="仿宋_GB2312" w:cs="Times New Roman"/>
          <w:color w:val="auto"/>
          <w:szCs w:val="28"/>
          <w:highlight w:val="none"/>
        </w:rPr>
        <w:t>向下</w:t>
      </w:r>
      <w:r>
        <w:rPr>
          <w:rFonts w:hint="eastAsia" w:ascii="Times New Roman" w:hAnsi="Times New Roman" w:eastAsia="仿宋_GB2312" w:cs="Times New Roman"/>
          <w:color w:val="auto"/>
          <w:szCs w:val="28"/>
          <w:highlight w:val="none"/>
          <w:lang w:val="en-US" w:eastAsia="zh-CN"/>
        </w:rPr>
        <w:t>通过</w:t>
      </w:r>
      <w:r>
        <w:rPr>
          <w:rFonts w:hint="eastAsia" w:ascii="Times New Roman" w:hAnsi="Times New Roman" w:eastAsia="仿宋_GB2312" w:cs="Times New Roman"/>
          <w:color w:val="auto"/>
          <w:szCs w:val="28"/>
          <w:highlight w:val="none"/>
        </w:rPr>
        <w:t>2*10G链路口字型联接至运营商UPF，向上采用4*10G链路口字型联接</w:t>
      </w:r>
      <w:r>
        <w:rPr>
          <w:rFonts w:hint="eastAsia" w:ascii="Times New Roman" w:hAnsi="Times New Roman" w:eastAsia="仿宋_GB2312" w:cs="Times New Roman"/>
          <w:color w:val="auto"/>
          <w:szCs w:val="28"/>
          <w:highlight w:val="none"/>
          <w:lang w:val="en-US" w:eastAsia="zh-CN"/>
        </w:rPr>
        <w:t>至光纤网</w:t>
      </w:r>
      <w:r>
        <w:rPr>
          <w:rFonts w:hint="eastAsia" w:ascii="Times New Roman" w:hAnsi="Times New Roman" w:eastAsia="仿宋_GB2312" w:cs="Times New Roman"/>
          <w:color w:val="auto"/>
          <w:szCs w:val="28"/>
          <w:highlight w:val="none"/>
        </w:rPr>
        <w:t>。</w:t>
      </w:r>
    </w:p>
    <w:p w14:paraId="4017326B">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Times New Roman"/>
          <w:color w:val="auto"/>
          <w:szCs w:val="28"/>
          <w:highlight w:val="none"/>
        </w:rPr>
      </w:pPr>
      <w:r>
        <w:rPr>
          <w:rFonts w:hint="eastAsia" w:ascii="Times New Roman" w:hAnsi="Times New Roman" w:eastAsia="仿宋_GB2312" w:cs="Times New Roman"/>
          <w:color w:val="auto"/>
          <w:szCs w:val="28"/>
          <w:highlight w:val="none"/>
        </w:rPr>
        <w:t>核心交换区由核心路由器、交换机等设备组成</w:t>
      </w:r>
      <w:r>
        <w:rPr>
          <w:rFonts w:hint="eastAsia" w:ascii="Times New Roman" w:hAnsi="Times New Roman" w:eastAsia="仿宋_GB2312" w:cs="Times New Roman"/>
          <w:color w:val="auto"/>
          <w:szCs w:val="28"/>
          <w:highlight w:val="none"/>
          <w:lang w:eastAsia="zh-CN"/>
        </w:rPr>
        <w:t>，</w:t>
      </w:r>
      <w:r>
        <w:rPr>
          <w:rFonts w:hint="eastAsia" w:ascii="Times New Roman" w:hAnsi="Times New Roman" w:eastAsia="仿宋_GB2312" w:cs="Times New Roman"/>
          <w:color w:val="auto"/>
          <w:szCs w:val="28"/>
          <w:highlight w:val="none"/>
          <w:lang w:val="en-US" w:eastAsia="zh-CN"/>
        </w:rPr>
        <w:t>负责对各</w:t>
      </w:r>
      <w:r>
        <w:rPr>
          <w:rFonts w:hint="eastAsia" w:ascii="Times New Roman" w:hAnsi="Times New Roman" w:eastAsia="仿宋_GB2312" w:cs="Times New Roman"/>
          <w:color w:val="auto"/>
          <w:szCs w:val="28"/>
          <w:highlight w:val="none"/>
        </w:rPr>
        <w:t>业务区设备</w:t>
      </w:r>
      <w:r>
        <w:rPr>
          <w:rFonts w:hint="eastAsia" w:ascii="Times New Roman" w:hAnsi="Times New Roman" w:eastAsia="仿宋_GB2312" w:cs="Times New Roman"/>
          <w:color w:val="auto"/>
          <w:szCs w:val="28"/>
          <w:highlight w:val="none"/>
          <w:lang w:val="en-US" w:eastAsia="zh-CN"/>
        </w:rPr>
        <w:t>进行</w:t>
      </w:r>
      <w:r>
        <w:rPr>
          <w:rFonts w:hint="eastAsia" w:ascii="Times New Roman" w:hAnsi="Times New Roman" w:eastAsia="仿宋_GB2312" w:cs="Times New Roman"/>
          <w:color w:val="auto"/>
          <w:szCs w:val="28"/>
          <w:highlight w:val="none"/>
        </w:rPr>
        <w:t>接入和汇聚，并</w:t>
      </w:r>
      <w:r>
        <w:rPr>
          <w:rFonts w:hint="eastAsia" w:ascii="Times New Roman" w:hAnsi="Times New Roman" w:eastAsia="仿宋_GB2312" w:cs="Times New Roman"/>
          <w:color w:val="auto"/>
          <w:szCs w:val="28"/>
          <w:highlight w:val="none"/>
          <w:lang w:val="en-US" w:eastAsia="zh-CN"/>
        </w:rPr>
        <w:t>实现</w:t>
      </w:r>
      <w:r>
        <w:rPr>
          <w:rFonts w:hint="eastAsia" w:ascii="Times New Roman" w:hAnsi="Times New Roman" w:eastAsia="仿宋_GB2312" w:cs="Times New Roman"/>
          <w:color w:val="auto"/>
          <w:szCs w:val="28"/>
          <w:highlight w:val="none"/>
        </w:rPr>
        <w:t>各业务区之间数据交换</w:t>
      </w:r>
      <w:r>
        <w:rPr>
          <w:rFonts w:hint="eastAsia" w:ascii="Times New Roman" w:hAnsi="Times New Roman" w:eastAsia="仿宋_GB2312" w:cs="Times New Roman"/>
          <w:color w:val="auto"/>
          <w:szCs w:val="28"/>
          <w:highlight w:val="none"/>
          <w:lang w:val="en-US" w:eastAsia="zh-CN"/>
        </w:rPr>
        <w:t>与</w:t>
      </w:r>
      <w:r>
        <w:rPr>
          <w:rFonts w:hint="eastAsia" w:ascii="Times New Roman" w:hAnsi="Times New Roman" w:eastAsia="仿宋_GB2312" w:cs="Times New Roman"/>
          <w:color w:val="auto"/>
          <w:szCs w:val="28"/>
          <w:highlight w:val="none"/>
        </w:rPr>
        <w:t>转发。</w:t>
      </w:r>
    </w:p>
    <w:p w14:paraId="7D920AE9">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color w:val="auto"/>
          <w:highlight w:val="none"/>
        </w:rPr>
      </w:pPr>
      <w:r>
        <w:rPr>
          <w:rFonts w:hint="eastAsia" w:ascii="Times New Roman" w:hAnsi="Times New Roman"/>
          <w:color w:val="auto"/>
          <w:highlight w:val="none"/>
        </w:rPr>
        <w:t>业务区是由AAA系统（含认证、AAA网关），终端安全管控系统（含控制器、终端安全管控网关）、带外网管系统组成，对不同业务区的数据应进行隔离，保障业务和访问安全。</w:t>
      </w:r>
      <w:r>
        <w:rPr>
          <w:rFonts w:hint="eastAsia" w:ascii="Times New Roman" w:hAnsi="Times New Roman"/>
          <w:color w:val="auto"/>
          <w:highlight w:val="none"/>
          <w:lang w:val="en-US" w:eastAsia="zh-CN"/>
        </w:rPr>
        <w:t>其中，</w:t>
      </w:r>
      <w:r>
        <w:rPr>
          <w:rFonts w:hint="eastAsia" w:ascii="Times New Roman" w:hAnsi="Times New Roman"/>
          <w:color w:val="auto"/>
          <w:highlight w:val="none"/>
        </w:rPr>
        <w:t>AAA系统和终端管控系统配置服务器设备</w:t>
      </w:r>
      <w:r>
        <w:rPr>
          <w:rFonts w:hint="eastAsia" w:ascii="Times New Roman" w:hAnsi="Times New Roman"/>
          <w:color w:val="auto"/>
          <w:highlight w:val="none"/>
          <w:lang w:val="en-US" w:eastAsia="zh-CN"/>
        </w:rPr>
        <w:t>须</w:t>
      </w:r>
      <w:r>
        <w:rPr>
          <w:rFonts w:hint="eastAsia" w:ascii="Times New Roman" w:hAnsi="Times New Roman"/>
          <w:color w:val="auto"/>
          <w:highlight w:val="none"/>
        </w:rPr>
        <w:t>在两个机房</w:t>
      </w:r>
      <w:r>
        <w:rPr>
          <w:rFonts w:hint="eastAsia" w:ascii="Times New Roman" w:hAnsi="Times New Roman"/>
          <w:color w:val="auto"/>
          <w:highlight w:val="none"/>
          <w:lang w:val="en-US" w:eastAsia="zh-CN"/>
        </w:rPr>
        <w:t>独立部署，并互为备份</w:t>
      </w:r>
      <w:r>
        <w:rPr>
          <w:rFonts w:hint="eastAsia" w:ascii="Times New Roman" w:hAnsi="Times New Roman"/>
          <w:color w:val="auto"/>
          <w:highlight w:val="none"/>
        </w:rPr>
        <w:t>。</w:t>
      </w:r>
    </w:p>
    <w:p w14:paraId="0B53A006">
      <w:pPr>
        <w:pStyle w:val="4"/>
        <w:ind w:firstLine="0" w:firstLineChars="0"/>
        <w:rPr>
          <w:rFonts w:hint="eastAsia" w:ascii="Times New Roman" w:hAnsi="Times New Roman"/>
          <w:color w:val="auto"/>
          <w:highlight w:val="none"/>
        </w:rPr>
      </w:pPr>
      <w:r>
        <w:rPr>
          <w:rFonts w:hint="eastAsia" w:ascii="Times New Roman" w:hAnsi="Times New Roman"/>
          <w:color w:val="auto"/>
          <w:highlight w:val="none"/>
          <w:lang w:val="en-US" w:eastAsia="zh-CN"/>
        </w:rPr>
        <w:t>安全</w:t>
      </w:r>
      <w:r>
        <w:rPr>
          <w:rFonts w:hint="eastAsia" w:ascii="Times New Roman" w:hAnsi="Times New Roman"/>
          <w:color w:val="auto"/>
          <w:highlight w:val="none"/>
        </w:rPr>
        <w:t>技术要求</w:t>
      </w:r>
    </w:p>
    <w:p w14:paraId="34505F91">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color w:val="auto"/>
          <w:highlight w:val="none"/>
        </w:rPr>
      </w:pPr>
      <w:r>
        <w:rPr>
          <w:rFonts w:hint="eastAsia" w:ascii="Times New Roman" w:hAnsi="Times New Roman" w:eastAsia="仿宋_GB2312" w:cs="仿宋_GB2312"/>
          <w:color w:val="auto"/>
          <w:highlight w:val="none"/>
          <w:lang w:val="en-US" w:eastAsia="zh-CN"/>
        </w:rPr>
        <w:t>应在</w:t>
      </w:r>
      <w:r>
        <w:rPr>
          <w:rFonts w:hint="eastAsia" w:ascii="Times New Roman" w:hAnsi="Times New Roman" w:eastAsia="仿宋_GB2312" w:cs="仿宋_GB2312"/>
          <w:color w:val="auto"/>
          <w:highlight w:val="none"/>
        </w:rPr>
        <w:t>运营商网络侧</w:t>
      </w:r>
      <w:r>
        <w:rPr>
          <w:rFonts w:hint="eastAsia" w:ascii="Times New Roman" w:hAnsi="Times New Roman" w:eastAsia="仿宋_GB2312" w:cs="仿宋_GB2312"/>
          <w:color w:val="auto"/>
          <w:highlight w:val="none"/>
          <w:lang w:val="en-US" w:eastAsia="zh-CN"/>
        </w:rPr>
        <w:t>及光纤网侧的边界安全区，分别</w:t>
      </w:r>
      <w:r>
        <w:rPr>
          <w:rFonts w:hint="eastAsia" w:ascii="Times New Roman" w:hAnsi="Times New Roman" w:eastAsia="仿宋_GB2312" w:cs="仿宋_GB2312"/>
          <w:color w:val="auto"/>
          <w:highlight w:val="none"/>
        </w:rPr>
        <w:t>部署防火墙、</w:t>
      </w:r>
      <w:r>
        <w:rPr>
          <w:rFonts w:hint="eastAsia" w:ascii="Times New Roman" w:hAnsi="Times New Roman" w:eastAsia="仿宋_GB2312" w:cs="仿宋_GB2312"/>
          <w:color w:val="auto"/>
          <w:highlight w:val="none"/>
          <w:lang w:val="en-US" w:eastAsia="zh-CN"/>
        </w:rPr>
        <w:t>入侵防御系统及</w:t>
      </w:r>
      <w:r>
        <w:rPr>
          <w:rFonts w:hint="eastAsia" w:ascii="Times New Roman" w:hAnsi="Times New Roman" w:eastAsia="仿宋_GB2312" w:cs="仿宋_GB2312"/>
          <w:color w:val="auto"/>
          <w:highlight w:val="none"/>
        </w:rPr>
        <w:t>防病毒</w:t>
      </w:r>
      <w:r>
        <w:rPr>
          <w:rFonts w:hint="eastAsia" w:ascii="Times New Roman" w:hAnsi="Times New Roman" w:eastAsia="仿宋_GB2312" w:cs="仿宋_GB2312"/>
          <w:color w:val="auto"/>
          <w:highlight w:val="none"/>
          <w:lang w:val="en-US" w:eastAsia="zh-CN"/>
        </w:rPr>
        <w:t>等安全防护设备；同时，在网络链路上</w:t>
      </w:r>
      <w:r>
        <w:rPr>
          <w:rFonts w:hint="eastAsia" w:ascii="Times New Roman" w:hAnsi="Times New Roman"/>
          <w:color w:val="auto"/>
          <w:highlight w:val="none"/>
        </w:rPr>
        <w:t>旁</w:t>
      </w:r>
      <w:r>
        <w:rPr>
          <w:rFonts w:hint="eastAsia" w:ascii="Times New Roman" w:hAnsi="Times New Roman"/>
          <w:color w:val="auto"/>
          <w:highlight w:val="none"/>
          <w:lang w:val="en-US" w:eastAsia="zh-CN"/>
        </w:rPr>
        <w:t>挂</w:t>
      </w:r>
      <w:r>
        <w:rPr>
          <w:rFonts w:hint="eastAsia" w:ascii="Times New Roman" w:hAnsi="Times New Roman"/>
          <w:color w:val="auto"/>
          <w:highlight w:val="none"/>
        </w:rPr>
        <w:t>探针，</w:t>
      </w:r>
      <w:r>
        <w:rPr>
          <w:rFonts w:hint="eastAsia" w:ascii="Times New Roman" w:hAnsi="Times New Roman"/>
          <w:color w:val="auto"/>
          <w:highlight w:val="none"/>
          <w:lang w:val="en-US" w:eastAsia="zh-CN"/>
        </w:rPr>
        <w:t>并利用</w:t>
      </w:r>
      <w:r>
        <w:rPr>
          <w:rFonts w:hint="eastAsia" w:ascii="Times New Roman" w:hAnsi="Times New Roman"/>
          <w:color w:val="auto"/>
          <w:highlight w:val="none"/>
        </w:rPr>
        <w:t>沙箱</w:t>
      </w:r>
      <w:r>
        <w:rPr>
          <w:rFonts w:hint="eastAsia" w:ascii="Times New Roman" w:hAnsi="Times New Roman"/>
          <w:color w:val="auto"/>
          <w:highlight w:val="none"/>
          <w:lang w:val="en-US" w:eastAsia="zh-CN"/>
        </w:rPr>
        <w:t>为</w:t>
      </w:r>
      <w:r>
        <w:rPr>
          <w:rFonts w:hint="eastAsia" w:ascii="Times New Roman" w:hAnsi="Times New Roman"/>
          <w:color w:val="auto"/>
          <w:highlight w:val="none"/>
        </w:rPr>
        <w:t>5G无线网络提供</w:t>
      </w:r>
      <w:r>
        <w:rPr>
          <w:rFonts w:hint="eastAsia" w:ascii="Times New Roman" w:hAnsi="Times New Roman"/>
          <w:color w:val="auto"/>
          <w:highlight w:val="none"/>
          <w:lang w:val="en-US" w:eastAsia="zh-CN"/>
        </w:rPr>
        <w:t>未知威胁检测能力</w:t>
      </w:r>
      <w:r>
        <w:rPr>
          <w:rFonts w:hint="eastAsia" w:ascii="Times New Roman" w:hAnsi="Times New Roman" w:eastAsia="仿宋_GB2312" w:cs="仿宋_GB2312"/>
          <w:color w:val="auto"/>
          <w:highlight w:val="none"/>
        </w:rPr>
        <w:t>。</w:t>
      </w:r>
      <w:r>
        <w:rPr>
          <w:rFonts w:hint="eastAsia" w:ascii="Times New Roman" w:hAnsi="Times New Roman"/>
          <w:color w:val="auto"/>
          <w:highlight w:val="none"/>
        </w:rPr>
        <w:t>AAA</w:t>
      </w:r>
      <w:r>
        <w:rPr>
          <w:rFonts w:hint="eastAsia" w:ascii="Times New Roman" w:hAnsi="Times New Roman"/>
          <w:color w:val="auto"/>
          <w:highlight w:val="none"/>
          <w:lang w:val="en-US" w:eastAsia="zh-CN"/>
        </w:rPr>
        <w:t>系统负责为各种类型终端统一分配政务外网IP地址，通过与运营商核心网对接，实现二次鉴权，并完成机卡绑定，</w:t>
      </w:r>
      <w:r>
        <w:rPr>
          <w:rFonts w:hint="eastAsia" w:ascii="Times New Roman" w:hAnsi="Times New Roman"/>
          <w:color w:val="auto"/>
          <w:highlight w:val="none"/>
        </w:rPr>
        <w:t>进行认证</w:t>
      </w:r>
      <w:r>
        <w:rPr>
          <w:rFonts w:hint="eastAsia" w:ascii="Times New Roman" w:hAnsi="Times New Roman"/>
          <w:color w:val="auto"/>
          <w:highlight w:val="none"/>
          <w:lang w:val="en-US" w:eastAsia="zh-CN"/>
        </w:rPr>
        <w:t>与</w:t>
      </w:r>
      <w:r>
        <w:rPr>
          <w:rFonts w:hint="eastAsia" w:ascii="Times New Roman" w:hAnsi="Times New Roman"/>
          <w:color w:val="auto"/>
          <w:highlight w:val="none"/>
        </w:rPr>
        <w:t>授权管理</w:t>
      </w:r>
      <w:r>
        <w:rPr>
          <w:rFonts w:hint="eastAsia" w:ascii="Times New Roman" w:hAnsi="Times New Roman"/>
          <w:color w:val="auto"/>
          <w:highlight w:val="none"/>
          <w:lang w:eastAsia="zh-CN"/>
        </w:rPr>
        <w:t>，</w:t>
      </w:r>
      <w:r>
        <w:rPr>
          <w:rFonts w:hint="eastAsia" w:ascii="Times New Roman" w:hAnsi="Times New Roman"/>
          <w:color w:val="auto"/>
          <w:highlight w:val="none"/>
        </w:rPr>
        <w:t>确保接入硬件可信</w:t>
      </w:r>
      <w:r>
        <w:rPr>
          <w:rFonts w:hint="eastAsia" w:ascii="Times New Roman" w:hAnsi="Times New Roman"/>
          <w:color w:val="auto"/>
          <w:highlight w:val="none"/>
          <w:lang w:eastAsia="zh-CN"/>
        </w:rPr>
        <w:t>。</w:t>
      </w:r>
      <w:r>
        <w:rPr>
          <w:rFonts w:hint="eastAsia" w:ascii="Times New Roman" w:hAnsi="Times New Roman"/>
          <w:color w:val="auto"/>
          <w:highlight w:val="none"/>
        </w:rPr>
        <w:t>需对终端访问</w:t>
      </w:r>
      <w:r>
        <w:rPr>
          <w:rFonts w:hint="eastAsia" w:ascii="Times New Roman" w:hAnsi="Times New Roman"/>
          <w:color w:val="auto"/>
          <w:highlight w:val="none"/>
          <w:lang w:val="en-US" w:eastAsia="zh-CN"/>
        </w:rPr>
        <w:t>产生的</w:t>
      </w:r>
      <w:r>
        <w:rPr>
          <w:rFonts w:hint="eastAsia" w:ascii="Times New Roman" w:hAnsi="Times New Roman"/>
          <w:color w:val="auto"/>
          <w:highlight w:val="none"/>
        </w:rPr>
        <w:t>网络访问流量</w:t>
      </w:r>
      <w:r>
        <w:rPr>
          <w:rFonts w:hint="eastAsia" w:ascii="Times New Roman" w:hAnsi="Times New Roman"/>
          <w:color w:val="auto"/>
          <w:highlight w:val="none"/>
          <w:lang w:val="en-US" w:eastAsia="zh-CN"/>
        </w:rPr>
        <w:t>实施管理</w:t>
      </w:r>
      <w:r>
        <w:rPr>
          <w:rFonts w:hint="eastAsia" w:ascii="Times New Roman" w:hAnsi="Times New Roman"/>
          <w:color w:val="auto"/>
          <w:highlight w:val="none"/>
        </w:rPr>
        <w:t>，</w:t>
      </w:r>
      <w:r>
        <w:rPr>
          <w:rFonts w:hint="eastAsia" w:ascii="Times New Roman" w:hAnsi="Times New Roman"/>
          <w:color w:val="auto"/>
          <w:highlight w:val="none"/>
          <w:lang w:val="en-US" w:eastAsia="zh-CN"/>
        </w:rPr>
        <w:t>包含</w:t>
      </w:r>
      <w:r>
        <w:rPr>
          <w:rFonts w:hint="eastAsia" w:ascii="Times New Roman" w:hAnsi="Times New Roman"/>
          <w:color w:val="auto"/>
          <w:highlight w:val="none"/>
        </w:rPr>
        <w:t>攻击防护、流量监测</w:t>
      </w:r>
      <w:r>
        <w:rPr>
          <w:rFonts w:hint="eastAsia" w:ascii="Times New Roman" w:hAnsi="Times New Roman"/>
          <w:color w:val="auto"/>
          <w:highlight w:val="none"/>
          <w:lang w:val="en-US" w:eastAsia="zh-CN"/>
        </w:rPr>
        <w:t>及</w:t>
      </w:r>
      <w:r>
        <w:rPr>
          <w:rFonts w:hint="eastAsia" w:ascii="Times New Roman" w:hAnsi="Times New Roman"/>
          <w:color w:val="auto"/>
          <w:highlight w:val="none"/>
        </w:rPr>
        <w:t>动态</w:t>
      </w:r>
      <w:r>
        <w:rPr>
          <w:rFonts w:hint="eastAsia" w:ascii="Times New Roman" w:hAnsi="Times New Roman"/>
          <w:color w:val="auto"/>
          <w:highlight w:val="none"/>
          <w:lang w:val="en-US" w:eastAsia="zh-CN"/>
        </w:rPr>
        <w:t>行为</w:t>
      </w:r>
      <w:r>
        <w:rPr>
          <w:rFonts w:hint="eastAsia" w:ascii="Times New Roman" w:hAnsi="Times New Roman"/>
          <w:color w:val="auto"/>
          <w:highlight w:val="none"/>
        </w:rPr>
        <w:t>分析</w:t>
      </w:r>
      <w:r>
        <w:rPr>
          <w:rFonts w:hint="eastAsia" w:ascii="Times New Roman" w:hAnsi="Times New Roman"/>
          <w:color w:val="auto"/>
          <w:highlight w:val="none"/>
          <w:lang w:eastAsia="zh-CN"/>
        </w:rPr>
        <w:t>，</w:t>
      </w:r>
      <w:r>
        <w:rPr>
          <w:rFonts w:hint="eastAsia" w:ascii="Times New Roman" w:hAnsi="Times New Roman"/>
          <w:color w:val="auto"/>
          <w:highlight w:val="none"/>
        </w:rPr>
        <w:t>确保接入流量安全。</w:t>
      </w:r>
    </w:p>
    <w:p w14:paraId="2C405550">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color w:val="auto"/>
          <w:highlight w:val="none"/>
        </w:rPr>
      </w:pPr>
      <w:r>
        <w:rPr>
          <w:rFonts w:hint="eastAsia" w:ascii="Times New Roman" w:hAnsi="Times New Roman"/>
          <w:color w:val="auto"/>
          <w:highlight w:val="none"/>
          <w:lang w:val="en-US" w:eastAsia="zh-CN"/>
        </w:rPr>
        <w:t>中标人须针对</w:t>
      </w:r>
      <w:r>
        <w:rPr>
          <w:rFonts w:hint="eastAsia" w:ascii="Times New Roman" w:hAnsi="Times New Roman"/>
          <w:color w:val="auto"/>
          <w:highlight w:val="none"/>
        </w:rPr>
        <w:t>人联、物联</w:t>
      </w:r>
      <w:r>
        <w:rPr>
          <w:rFonts w:hint="eastAsia" w:ascii="Times New Roman" w:hAnsi="Times New Roman"/>
          <w:color w:val="auto"/>
          <w:highlight w:val="none"/>
          <w:lang w:val="en-US" w:eastAsia="zh-CN"/>
        </w:rPr>
        <w:t>及5G接入网关</w:t>
      </w:r>
      <w:r>
        <w:rPr>
          <w:rFonts w:hint="eastAsia" w:ascii="Times New Roman" w:hAnsi="Times New Roman"/>
          <w:color w:val="auto"/>
          <w:highlight w:val="none"/>
        </w:rPr>
        <w:t>的不同</w:t>
      </w:r>
      <w:r>
        <w:rPr>
          <w:rFonts w:hint="eastAsia" w:ascii="Times New Roman" w:hAnsi="Times New Roman"/>
          <w:color w:val="auto"/>
          <w:highlight w:val="none"/>
          <w:lang w:val="en-US" w:eastAsia="zh-CN"/>
        </w:rPr>
        <w:t>应用</w:t>
      </w:r>
      <w:r>
        <w:rPr>
          <w:rFonts w:hint="eastAsia" w:ascii="Times New Roman" w:hAnsi="Times New Roman"/>
          <w:color w:val="auto"/>
          <w:highlight w:val="none"/>
        </w:rPr>
        <w:t>场景，制定</w:t>
      </w:r>
      <w:r>
        <w:rPr>
          <w:rFonts w:hint="eastAsia" w:ascii="Times New Roman" w:hAnsi="Times New Roman"/>
          <w:color w:val="auto"/>
          <w:highlight w:val="none"/>
          <w:lang w:val="en-US" w:eastAsia="zh-CN"/>
        </w:rPr>
        <w:t>相应的</w:t>
      </w:r>
      <w:r>
        <w:rPr>
          <w:rFonts w:hint="eastAsia" w:ascii="Times New Roman" w:hAnsi="Times New Roman"/>
          <w:color w:val="auto"/>
          <w:highlight w:val="none"/>
        </w:rPr>
        <w:t>安全防护</w:t>
      </w:r>
      <w:r>
        <w:rPr>
          <w:rFonts w:hint="eastAsia" w:ascii="Times New Roman" w:hAnsi="Times New Roman"/>
          <w:color w:val="auto"/>
          <w:highlight w:val="none"/>
          <w:lang w:val="en-US" w:eastAsia="zh-CN"/>
        </w:rPr>
        <w:t>方案并提供差异化的防护策略</w:t>
      </w:r>
      <w:r>
        <w:rPr>
          <w:rFonts w:hint="eastAsia" w:ascii="Times New Roman" w:hAnsi="Times New Roman"/>
          <w:color w:val="auto"/>
          <w:highlight w:val="none"/>
        </w:rPr>
        <w:t>。</w:t>
      </w:r>
    </w:p>
    <w:p w14:paraId="34456E5B">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color w:val="auto"/>
          <w:highlight w:val="none"/>
          <w:lang w:eastAsia="zh-CN"/>
        </w:rPr>
      </w:pPr>
      <w:r>
        <w:rPr>
          <w:rFonts w:hint="eastAsia" w:ascii="Times New Roman" w:hAnsi="Times New Roman"/>
          <w:color w:val="auto"/>
          <w:highlight w:val="none"/>
          <w:lang w:val="en-US" w:eastAsia="zh-CN"/>
        </w:rPr>
        <w:t>对于可安装应用APP的人联终端，需通过H5嵌入或者APK对接两种方式，实现终端安全管控，</w:t>
      </w:r>
      <w:r>
        <w:rPr>
          <w:rFonts w:hint="eastAsia" w:ascii="Times New Roman" w:hAnsi="Times New Roman"/>
          <w:color w:val="auto"/>
          <w:highlight w:val="none"/>
        </w:rPr>
        <w:t>对终端访问人员</w:t>
      </w:r>
      <w:r>
        <w:rPr>
          <w:rFonts w:hint="eastAsia" w:ascii="Times New Roman" w:hAnsi="Times New Roman"/>
          <w:color w:val="auto"/>
          <w:highlight w:val="none"/>
          <w:lang w:val="en-US" w:eastAsia="zh-CN"/>
        </w:rPr>
        <w:t>身份进行</w:t>
      </w:r>
      <w:r>
        <w:rPr>
          <w:rFonts w:hint="eastAsia" w:ascii="Times New Roman" w:hAnsi="Times New Roman"/>
          <w:color w:val="auto"/>
          <w:highlight w:val="none"/>
        </w:rPr>
        <w:t>认证</w:t>
      </w:r>
      <w:r>
        <w:rPr>
          <w:rFonts w:hint="eastAsia" w:ascii="Times New Roman" w:hAnsi="Times New Roman"/>
          <w:color w:val="auto"/>
          <w:highlight w:val="none"/>
          <w:lang w:val="en-US" w:eastAsia="zh-CN"/>
        </w:rPr>
        <w:t>校验，并对其</w:t>
      </w:r>
      <w:r>
        <w:rPr>
          <w:rFonts w:hint="eastAsia" w:ascii="Times New Roman" w:hAnsi="Times New Roman"/>
          <w:color w:val="auto"/>
          <w:highlight w:val="none"/>
        </w:rPr>
        <w:t>访问</w:t>
      </w:r>
      <w:r>
        <w:rPr>
          <w:rFonts w:hint="eastAsia" w:ascii="Times New Roman" w:hAnsi="Times New Roman"/>
          <w:color w:val="auto"/>
          <w:highlight w:val="none"/>
          <w:lang w:val="en-US" w:eastAsia="zh-CN"/>
        </w:rPr>
        <w:t>目标</w:t>
      </w:r>
      <w:r>
        <w:rPr>
          <w:rFonts w:hint="eastAsia" w:ascii="Times New Roman" w:hAnsi="Times New Roman"/>
          <w:color w:val="auto"/>
          <w:highlight w:val="none"/>
        </w:rPr>
        <w:t>系统</w:t>
      </w:r>
      <w:r>
        <w:rPr>
          <w:rFonts w:hint="eastAsia" w:ascii="Times New Roman" w:hAnsi="Times New Roman"/>
          <w:color w:val="auto"/>
          <w:highlight w:val="none"/>
          <w:lang w:val="en-US" w:eastAsia="zh-CN"/>
        </w:rPr>
        <w:t>进行</w:t>
      </w:r>
      <w:r>
        <w:rPr>
          <w:rFonts w:hint="eastAsia" w:ascii="Times New Roman" w:hAnsi="Times New Roman"/>
          <w:color w:val="auto"/>
          <w:highlight w:val="none"/>
        </w:rPr>
        <w:t>检测，</w:t>
      </w:r>
      <w:r>
        <w:rPr>
          <w:rFonts w:hint="eastAsia" w:ascii="Times New Roman" w:hAnsi="Times New Roman"/>
          <w:color w:val="auto"/>
          <w:highlight w:val="none"/>
          <w:lang w:val="en-US" w:eastAsia="zh-CN"/>
        </w:rPr>
        <w:t>实施</w:t>
      </w:r>
      <w:r>
        <w:rPr>
          <w:rFonts w:hint="eastAsia" w:ascii="Times New Roman" w:hAnsi="Times New Roman"/>
          <w:color w:val="auto"/>
          <w:highlight w:val="none"/>
        </w:rPr>
        <w:t>认证</w:t>
      </w:r>
      <w:r>
        <w:rPr>
          <w:rFonts w:hint="eastAsia" w:ascii="Times New Roman" w:hAnsi="Times New Roman"/>
          <w:color w:val="auto"/>
          <w:highlight w:val="none"/>
          <w:lang w:val="en-US" w:eastAsia="zh-CN"/>
        </w:rPr>
        <w:t>与</w:t>
      </w:r>
      <w:r>
        <w:rPr>
          <w:rFonts w:hint="eastAsia" w:ascii="Times New Roman" w:hAnsi="Times New Roman"/>
          <w:color w:val="auto"/>
          <w:highlight w:val="none"/>
        </w:rPr>
        <w:t>授权管理</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进行用户</w:t>
      </w:r>
      <w:r>
        <w:rPr>
          <w:rFonts w:hint="eastAsia" w:ascii="Times New Roman" w:hAnsi="Times New Roman"/>
          <w:color w:val="auto"/>
          <w:highlight w:val="none"/>
        </w:rPr>
        <w:t>动态</w:t>
      </w:r>
      <w:r>
        <w:rPr>
          <w:rFonts w:hint="eastAsia" w:ascii="Times New Roman" w:hAnsi="Times New Roman"/>
          <w:color w:val="auto"/>
          <w:highlight w:val="none"/>
          <w:lang w:val="en-US" w:eastAsia="zh-CN"/>
        </w:rPr>
        <w:t>行为</w:t>
      </w:r>
      <w:r>
        <w:rPr>
          <w:rFonts w:hint="eastAsia" w:ascii="Times New Roman" w:hAnsi="Times New Roman"/>
          <w:color w:val="auto"/>
          <w:highlight w:val="none"/>
        </w:rPr>
        <w:t>分析</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实施</w:t>
      </w:r>
      <w:r>
        <w:rPr>
          <w:rFonts w:hint="eastAsia" w:ascii="Times New Roman" w:hAnsi="Times New Roman"/>
          <w:color w:val="auto"/>
          <w:highlight w:val="none"/>
        </w:rPr>
        <w:t>终端管控策略，</w:t>
      </w:r>
      <w:r>
        <w:rPr>
          <w:rFonts w:hint="eastAsia" w:ascii="Times New Roman" w:hAnsi="Times New Roman"/>
          <w:color w:val="auto"/>
          <w:highlight w:val="none"/>
          <w:lang w:val="en-US" w:eastAsia="zh-CN"/>
        </w:rPr>
        <w:t>严格</w:t>
      </w:r>
      <w:r>
        <w:rPr>
          <w:rFonts w:hint="eastAsia" w:ascii="Times New Roman" w:hAnsi="Times New Roman"/>
          <w:color w:val="auto"/>
          <w:highlight w:val="none"/>
        </w:rPr>
        <w:t>控制用户准入</w:t>
      </w:r>
      <w:r>
        <w:rPr>
          <w:rFonts w:hint="eastAsia" w:ascii="Times New Roman" w:hAnsi="Times New Roman"/>
          <w:color w:val="auto"/>
          <w:highlight w:val="none"/>
          <w:lang w:val="en-US" w:eastAsia="zh-CN"/>
        </w:rPr>
        <w:t>并</w:t>
      </w:r>
      <w:r>
        <w:rPr>
          <w:rFonts w:hint="eastAsia" w:ascii="Times New Roman" w:hAnsi="Times New Roman"/>
          <w:color w:val="auto"/>
          <w:highlight w:val="none"/>
        </w:rPr>
        <w:t>终结用户加密隧道</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同时，通过</w:t>
      </w:r>
      <w:r>
        <w:rPr>
          <w:rFonts w:hint="eastAsia" w:ascii="Times New Roman" w:hAnsi="Times New Roman"/>
          <w:color w:val="auto"/>
          <w:highlight w:val="none"/>
        </w:rPr>
        <w:t>业务资源代理接入</w:t>
      </w:r>
      <w:r>
        <w:rPr>
          <w:rFonts w:hint="eastAsia" w:ascii="Times New Roman" w:hAnsi="Times New Roman"/>
          <w:color w:val="auto"/>
          <w:highlight w:val="none"/>
          <w:lang w:val="en-US" w:eastAsia="zh-CN"/>
        </w:rPr>
        <w:t>机制实现</w:t>
      </w:r>
      <w:r>
        <w:rPr>
          <w:rFonts w:hint="eastAsia" w:ascii="Times New Roman" w:hAnsi="Times New Roman"/>
          <w:color w:val="auto"/>
          <w:highlight w:val="none"/>
        </w:rPr>
        <w:t>业务真实</w:t>
      </w:r>
      <w:r>
        <w:rPr>
          <w:rFonts w:hint="eastAsia" w:ascii="Times New Roman" w:hAnsi="Times New Roman"/>
          <w:color w:val="auto"/>
          <w:highlight w:val="none"/>
          <w:lang w:val="en-US" w:eastAsia="zh-CN"/>
        </w:rPr>
        <w:t>网络</w:t>
      </w:r>
      <w:r>
        <w:rPr>
          <w:rFonts w:hint="eastAsia" w:ascii="Times New Roman" w:hAnsi="Times New Roman"/>
          <w:color w:val="auto"/>
          <w:highlight w:val="none"/>
        </w:rPr>
        <w:t>位置</w:t>
      </w:r>
      <w:r>
        <w:rPr>
          <w:rFonts w:hint="eastAsia" w:ascii="Times New Roman" w:hAnsi="Times New Roman"/>
          <w:color w:val="auto"/>
          <w:highlight w:val="none"/>
          <w:lang w:val="en-US" w:eastAsia="zh-CN"/>
        </w:rPr>
        <w:t>的</w:t>
      </w:r>
      <w:r>
        <w:rPr>
          <w:rFonts w:hint="eastAsia" w:ascii="Times New Roman" w:hAnsi="Times New Roman"/>
          <w:color w:val="auto"/>
          <w:highlight w:val="none"/>
        </w:rPr>
        <w:t>隐藏。</w:t>
      </w:r>
    </w:p>
    <w:p w14:paraId="7DCCB65A">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color w:val="auto"/>
          <w:highlight w:val="none"/>
          <w:lang w:eastAsia="zh-CN"/>
        </w:rPr>
      </w:pPr>
      <w:r>
        <w:rPr>
          <w:rFonts w:hint="eastAsia" w:ascii="Times New Roman" w:hAnsi="Times New Roman"/>
          <w:color w:val="auto"/>
          <w:highlight w:val="none"/>
          <w:lang w:val="en-US" w:eastAsia="zh-CN"/>
        </w:rPr>
        <w:t>对于不具备5G通信模组的终端，需部署</w:t>
      </w:r>
      <w:r>
        <w:rPr>
          <w:rFonts w:hint="eastAsia" w:ascii="Times New Roman" w:hAnsi="Times New Roman"/>
          <w:color w:val="auto"/>
          <w:highlight w:val="none"/>
        </w:rPr>
        <w:t>物联安全管控</w:t>
      </w:r>
      <w:r>
        <w:rPr>
          <w:rFonts w:hint="eastAsia" w:ascii="Times New Roman" w:hAnsi="Times New Roman"/>
          <w:color w:val="auto"/>
          <w:highlight w:val="none"/>
          <w:lang w:val="en-US" w:eastAsia="zh-CN"/>
        </w:rPr>
        <w:t>功能，该功能至少包括</w:t>
      </w:r>
      <w:r>
        <w:rPr>
          <w:rFonts w:hint="eastAsia" w:ascii="Times New Roman" w:hAnsi="Times New Roman"/>
          <w:color w:val="auto"/>
          <w:highlight w:val="none"/>
        </w:rPr>
        <w:t>物联安全管控平台、IP</w:t>
      </w:r>
      <w:r>
        <w:rPr>
          <w:rFonts w:hint="eastAsia" w:ascii="Times New Roman" w:hAnsi="Times New Roman"/>
          <w:color w:val="auto"/>
          <w:highlight w:val="none"/>
          <w:lang w:val="en-US" w:eastAsia="zh-CN"/>
        </w:rPr>
        <w:t>S</w:t>
      </w:r>
      <w:r>
        <w:rPr>
          <w:rFonts w:hint="eastAsia" w:ascii="Times New Roman" w:hAnsi="Times New Roman"/>
          <w:color w:val="auto"/>
          <w:highlight w:val="none"/>
        </w:rPr>
        <w:t>ec网关和资产探针三个</w:t>
      </w:r>
      <w:r>
        <w:rPr>
          <w:rFonts w:hint="eastAsia" w:ascii="Times New Roman" w:hAnsi="Times New Roman"/>
          <w:color w:val="auto"/>
          <w:highlight w:val="none"/>
          <w:lang w:val="en-US" w:eastAsia="zh-CN"/>
        </w:rPr>
        <w:t>模块</w:t>
      </w:r>
      <w:r>
        <w:rPr>
          <w:rFonts w:hint="eastAsia" w:ascii="Times New Roman" w:hAnsi="Times New Roman"/>
          <w:color w:val="auto"/>
          <w:highlight w:val="none"/>
        </w:rPr>
        <w:t>。</w:t>
      </w:r>
      <w:r>
        <w:rPr>
          <w:rFonts w:hint="eastAsia" w:ascii="Times New Roman" w:hAnsi="Times New Roman"/>
          <w:color w:val="auto"/>
          <w:highlight w:val="none"/>
          <w:lang w:val="en-US" w:eastAsia="zh-CN"/>
        </w:rPr>
        <w:t>该管理功能需实现：</w:t>
      </w:r>
      <w:r>
        <w:rPr>
          <w:rFonts w:hint="eastAsia" w:ascii="Times New Roman" w:hAnsi="Times New Roman"/>
          <w:color w:val="auto"/>
          <w:highlight w:val="none"/>
        </w:rPr>
        <w:t>通过主动查询</w:t>
      </w:r>
      <w:r>
        <w:rPr>
          <w:rFonts w:hint="eastAsia" w:ascii="Times New Roman" w:hAnsi="Times New Roman"/>
          <w:color w:val="auto"/>
          <w:highlight w:val="none"/>
          <w:lang w:eastAsia="zh-CN"/>
        </w:rPr>
        <w:t>，</w:t>
      </w:r>
      <w:r>
        <w:rPr>
          <w:rFonts w:hint="eastAsia" w:ascii="Times New Roman" w:hAnsi="Times New Roman"/>
          <w:color w:val="auto"/>
          <w:highlight w:val="none"/>
        </w:rPr>
        <w:t>实时监控和感知5G</w:t>
      </w:r>
      <w:r>
        <w:rPr>
          <w:rFonts w:hint="eastAsia" w:ascii="Times New Roman" w:hAnsi="Times New Roman"/>
          <w:color w:val="auto"/>
          <w:highlight w:val="none"/>
          <w:lang w:val="en-US" w:eastAsia="zh-CN"/>
        </w:rPr>
        <w:t>接入</w:t>
      </w:r>
      <w:r>
        <w:rPr>
          <w:rFonts w:hint="eastAsia" w:ascii="Times New Roman" w:hAnsi="Times New Roman"/>
          <w:color w:val="auto"/>
          <w:highlight w:val="none"/>
        </w:rPr>
        <w:t>网关</w:t>
      </w:r>
      <w:r>
        <w:rPr>
          <w:rFonts w:hint="eastAsia" w:ascii="Times New Roman" w:hAnsi="Times New Roman"/>
          <w:color w:val="auto"/>
          <w:highlight w:val="none"/>
          <w:lang w:val="en-US" w:eastAsia="zh-CN"/>
        </w:rPr>
        <w:t>及</w:t>
      </w:r>
      <w:r>
        <w:rPr>
          <w:rFonts w:hint="eastAsia" w:ascii="Times New Roman" w:hAnsi="Times New Roman"/>
          <w:color w:val="auto"/>
          <w:highlight w:val="none"/>
        </w:rPr>
        <w:t>物联终端的运行状态</w:t>
      </w:r>
      <w:r>
        <w:rPr>
          <w:rFonts w:hint="eastAsia" w:ascii="Times New Roman" w:hAnsi="Times New Roman"/>
          <w:color w:val="auto"/>
          <w:highlight w:val="none"/>
          <w:lang w:eastAsia="zh-CN"/>
        </w:rPr>
        <w:t>；</w:t>
      </w:r>
      <w:r>
        <w:rPr>
          <w:rFonts w:hint="eastAsia" w:ascii="Times New Roman" w:hAnsi="Times New Roman"/>
          <w:color w:val="auto"/>
          <w:highlight w:val="none"/>
        </w:rPr>
        <w:t>对接入物联终端</w:t>
      </w:r>
      <w:r>
        <w:rPr>
          <w:rFonts w:hint="eastAsia" w:ascii="Times New Roman" w:hAnsi="Times New Roman"/>
          <w:color w:val="auto"/>
          <w:highlight w:val="none"/>
          <w:lang w:val="en-US" w:eastAsia="zh-CN"/>
        </w:rPr>
        <w:t>的</w:t>
      </w:r>
      <w:r>
        <w:rPr>
          <w:rFonts w:hint="eastAsia" w:ascii="Times New Roman" w:hAnsi="Times New Roman"/>
          <w:color w:val="auto"/>
          <w:highlight w:val="none"/>
        </w:rPr>
        <w:t>行为进行合规分析，</w:t>
      </w:r>
      <w:r>
        <w:rPr>
          <w:rFonts w:hint="eastAsia" w:ascii="Times New Roman" w:hAnsi="Times New Roman"/>
          <w:color w:val="auto"/>
          <w:highlight w:val="none"/>
          <w:lang w:val="en-US" w:eastAsia="zh-CN"/>
        </w:rPr>
        <w:t>并</w:t>
      </w:r>
      <w:r>
        <w:rPr>
          <w:rFonts w:hint="eastAsia" w:ascii="Times New Roman" w:hAnsi="Times New Roman"/>
          <w:color w:val="auto"/>
          <w:highlight w:val="none"/>
        </w:rPr>
        <w:t>在发现异常行为的5G</w:t>
      </w:r>
      <w:r>
        <w:rPr>
          <w:rFonts w:hint="eastAsia" w:ascii="Times New Roman" w:hAnsi="Times New Roman"/>
          <w:color w:val="auto"/>
          <w:highlight w:val="none"/>
          <w:lang w:val="en-US" w:eastAsia="zh-CN"/>
        </w:rPr>
        <w:t>接入</w:t>
      </w:r>
      <w:r>
        <w:rPr>
          <w:rFonts w:hint="eastAsia" w:ascii="Times New Roman" w:hAnsi="Times New Roman"/>
          <w:color w:val="auto"/>
          <w:highlight w:val="none"/>
        </w:rPr>
        <w:t>网关</w:t>
      </w:r>
      <w:r>
        <w:rPr>
          <w:rFonts w:hint="eastAsia" w:ascii="Times New Roman" w:hAnsi="Times New Roman"/>
          <w:color w:val="auto"/>
          <w:highlight w:val="none"/>
          <w:lang w:val="en-US" w:eastAsia="zh-CN"/>
        </w:rPr>
        <w:t>或</w:t>
      </w:r>
      <w:r>
        <w:rPr>
          <w:rFonts w:hint="eastAsia" w:ascii="Times New Roman" w:hAnsi="Times New Roman"/>
          <w:color w:val="auto"/>
          <w:highlight w:val="none"/>
        </w:rPr>
        <w:t>物联终端</w:t>
      </w:r>
      <w:r>
        <w:rPr>
          <w:rFonts w:hint="eastAsia" w:ascii="Times New Roman" w:hAnsi="Times New Roman"/>
          <w:color w:val="auto"/>
          <w:highlight w:val="none"/>
          <w:lang w:val="en-US" w:eastAsia="zh-CN"/>
        </w:rPr>
        <w:t>时</w:t>
      </w:r>
      <w:r>
        <w:rPr>
          <w:rFonts w:hint="eastAsia" w:ascii="Times New Roman" w:hAnsi="Times New Roman"/>
          <w:color w:val="auto"/>
          <w:highlight w:val="none"/>
        </w:rPr>
        <w:t>，联动AAA系统对</w:t>
      </w:r>
      <w:r>
        <w:rPr>
          <w:rFonts w:hint="eastAsia" w:ascii="Times New Roman" w:hAnsi="Times New Roman"/>
          <w:color w:val="auto"/>
          <w:highlight w:val="none"/>
          <w:lang w:val="en-US" w:eastAsia="zh-CN"/>
        </w:rPr>
        <w:t>其实施权限更新和</w:t>
      </w:r>
      <w:r>
        <w:rPr>
          <w:rFonts w:hint="eastAsia" w:ascii="Times New Roman" w:hAnsi="Times New Roman"/>
          <w:color w:val="auto"/>
          <w:highlight w:val="none"/>
        </w:rPr>
        <w:t>强制隔离</w:t>
      </w:r>
      <w:r>
        <w:rPr>
          <w:rFonts w:hint="eastAsia" w:ascii="Times New Roman" w:hAnsi="Times New Roman"/>
          <w:color w:val="auto"/>
          <w:highlight w:val="none"/>
          <w:lang w:eastAsia="zh-CN"/>
        </w:rPr>
        <w:t>；</w:t>
      </w:r>
      <w:r>
        <w:rPr>
          <w:rFonts w:hint="eastAsia" w:ascii="Times New Roman" w:hAnsi="Times New Roman"/>
          <w:color w:val="auto"/>
          <w:highlight w:val="none"/>
        </w:rPr>
        <w:t>基于IP五元组ACL和会话状态进行访问控制，安全配置遵循最小化原则，根据业务请求信息进行数据转发</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可</w:t>
      </w:r>
      <w:r>
        <w:rPr>
          <w:rFonts w:hint="eastAsia" w:ascii="Times New Roman" w:hAnsi="Times New Roman"/>
          <w:color w:val="auto"/>
          <w:highlight w:val="none"/>
        </w:rPr>
        <w:t>通过加密隧道的方式，保证数据的安全性</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需</w:t>
      </w:r>
      <w:r>
        <w:rPr>
          <w:rFonts w:hint="eastAsia" w:ascii="Times New Roman" w:hAnsi="Times New Roman"/>
          <w:color w:val="auto"/>
          <w:highlight w:val="none"/>
        </w:rPr>
        <w:t>具备对物联接入终端的态势感知能力，</w:t>
      </w:r>
      <w:r>
        <w:rPr>
          <w:rFonts w:hint="eastAsia" w:ascii="Times New Roman" w:hAnsi="Times New Roman"/>
          <w:color w:val="auto"/>
          <w:highlight w:val="none"/>
          <w:lang w:val="en-US" w:eastAsia="zh-CN"/>
        </w:rPr>
        <w:t>包括</w:t>
      </w:r>
      <w:r>
        <w:rPr>
          <w:rFonts w:hint="eastAsia" w:ascii="Times New Roman" w:hAnsi="Times New Roman"/>
          <w:color w:val="auto"/>
          <w:highlight w:val="none"/>
        </w:rPr>
        <w:t>终端资产信息</w:t>
      </w:r>
      <w:r>
        <w:rPr>
          <w:rFonts w:hint="eastAsia" w:ascii="Times New Roman" w:hAnsi="Times New Roman"/>
          <w:color w:val="auto"/>
          <w:highlight w:val="none"/>
          <w:lang w:val="en-US" w:eastAsia="zh-CN"/>
        </w:rPr>
        <w:t>的</w:t>
      </w:r>
      <w:r>
        <w:rPr>
          <w:rFonts w:hint="eastAsia" w:ascii="Times New Roman" w:hAnsi="Times New Roman"/>
          <w:color w:val="auto"/>
          <w:highlight w:val="none"/>
        </w:rPr>
        <w:t>识别、归类、分析、呈现</w:t>
      </w:r>
      <w:r>
        <w:rPr>
          <w:rFonts w:hint="eastAsia" w:ascii="Times New Roman" w:hAnsi="Times New Roman"/>
          <w:color w:val="auto"/>
          <w:highlight w:val="none"/>
          <w:lang w:eastAsia="zh-CN"/>
        </w:rPr>
        <w:t>；</w:t>
      </w:r>
      <w:r>
        <w:rPr>
          <w:rFonts w:hint="eastAsia" w:ascii="Times New Roman" w:hAnsi="Times New Roman"/>
          <w:color w:val="auto"/>
          <w:highlight w:val="none"/>
        </w:rPr>
        <w:t>具备对物联终端被仿冒、劫持、篡改、私接共享等异常行为的发现能力</w:t>
      </w:r>
      <w:r>
        <w:rPr>
          <w:rFonts w:hint="eastAsia" w:ascii="Times New Roman" w:hAnsi="Times New Roman"/>
          <w:color w:val="auto"/>
          <w:highlight w:val="none"/>
          <w:lang w:eastAsia="zh-CN"/>
        </w:rPr>
        <w:t>。</w:t>
      </w:r>
    </w:p>
    <w:p w14:paraId="0211999F">
      <w:pPr>
        <w:pStyle w:val="4"/>
        <w:ind w:firstLine="0" w:firstLineChars="0"/>
        <w:rPr>
          <w:rFonts w:ascii="Times New Roman" w:hAnsi="Times New Roman"/>
          <w:color w:val="auto"/>
          <w:highlight w:val="none"/>
        </w:rPr>
      </w:pPr>
      <w:r>
        <w:rPr>
          <w:rFonts w:hint="eastAsia" w:ascii="Times New Roman" w:hAnsi="Times New Roman"/>
          <w:color w:val="auto"/>
          <w:highlight w:val="none"/>
          <w:lang w:val="en-US" w:eastAsia="zh-CN"/>
        </w:rPr>
        <w:t>技术参数</w:t>
      </w:r>
      <w:r>
        <w:rPr>
          <w:rFonts w:hint="eastAsia" w:ascii="Times New Roman" w:hAnsi="Times New Roman"/>
          <w:color w:val="auto"/>
          <w:highlight w:val="none"/>
        </w:rPr>
        <w:t>要求</w:t>
      </w:r>
    </w:p>
    <w:p w14:paraId="65A5414E">
      <w:pPr>
        <w:numPr>
          <w:ilvl w:val="0"/>
          <w:numId w:val="17"/>
        </w:numPr>
        <w:spacing w:line="560" w:lineRule="exact"/>
        <w:ind w:left="0" w:leftChars="0" w:firstLine="560" w:firstLineChars="200"/>
        <w:jc w:val="both"/>
        <w:rPr>
          <w:rFonts w:hint="default"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整体系统</w:t>
      </w:r>
      <w:r>
        <w:rPr>
          <w:rFonts w:hint="default" w:ascii="Times New Roman" w:hAnsi="Times New Roman" w:eastAsia="仿宋_GB2312" w:cs="仿宋_GB2312"/>
          <w:color w:val="auto"/>
          <w:sz w:val="28"/>
          <w:szCs w:val="36"/>
          <w:highlight w:val="none"/>
          <w:lang w:val="en-US" w:eastAsia="zh-CN"/>
        </w:rPr>
        <w:t>设计支持10万人联网用户和30万物联用户</w:t>
      </w:r>
      <w:r>
        <w:rPr>
          <w:rFonts w:hint="eastAsia" w:ascii="Times New Roman" w:hAnsi="Times New Roman" w:eastAsia="仿宋_GB2312" w:cs="仿宋_GB2312"/>
          <w:color w:val="auto"/>
          <w:sz w:val="28"/>
          <w:szCs w:val="36"/>
          <w:highlight w:val="none"/>
          <w:lang w:val="en-US" w:eastAsia="zh-CN"/>
        </w:rPr>
        <w:t>并发</w:t>
      </w:r>
      <w:r>
        <w:rPr>
          <w:rFonts w:hint="default" w:ascii="Times New Roman" w:hAnsi="Times New Roman" w:eastAsia="仿宋_GB2312" w:cs="仿宋_GB2312"/>
          <w:color w:val="auto"/>
          <w:sz w:val="28"/>
          <w:szCs w:val="36"/>
          <w:highlight w:val="none"/>
          <w:lang w:val="en-US" w:eastAsia="zh-CN"/>
        </w:rPr>
        <w:t>规模</w:t>
      </w:r>
      <w:r>
        <w:rPr>
          <w:rFonts w:hint="eastAsia" w:ascii="Times New Roman" w:hAnsi="Times New Roman" w:eastAsia="仿宋_GB2312" w:cs="仿宋_GB2312"/>
          <w:color w:val="auto"/>
          <w:sz w:val="28"/>
          <w:szCs w:val="36"/>
          <w:highlight w:val="none"/>
          <w:lang w:val="en-US" w:eastAsia="zh-CN"/>
        </w:rPr>
        <w:t>;</w:t>
      </w:r>
    </w:p>
    <w:p w14:paraId="2BBB6946">
      <w:pPr>
        <w:numPr>
          <w:ilvl w:val="0"/>
          <w:numId w:val="17"/>
        </w:numPr>
        <w:spacing w:line="560" w:lineRule="exact"/>
        <w:ind w:left="0" w:leftChars="0" w:firstLine="560" w:firstLineChars="200"/>
        <w:jc w:val="both"/>
        <w:rPr>
          <w:rFonts w:hint="default"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整体</w:t>
      </w:r>
      <w:r>
        <w:rPr>
          <w:rFonts w:hint="default" w:ascii="Times New Roman" w:hAnsi="Times New Roman" w:eastAsia="仿宋_GB2312" w:cs="仿宋_GB2312"/>
          <w:color w:val="auto"/>
          <w:sz w:val="28"/>
          <w:szCs w:val="36"/>
          <w:highlight w:val="none"/>
          <w:lang w:val="en-US" w:eastAsia="zh-CN"/>
        </w:rPr>
        <w:t>网络和安全系统支持</w:t>
      </w:r>
      <w:r>
        <w:rPr>
          <w:rFonts w:hint="eastAsia" w:ascii="Times New Roman" w:hAnsi="Times New Roman" w:eastAsia="仿宋_GB2312" w:cs="仿宋_GB2312"/>
          <w:color w:val="auto"/>
          <w:sz w:val="28"/>
          <w:szCs w:val="36"/>
          <w:highlight w:val="none"/>
          <w:lang w:val="en-US" w:eastAsia="zh-CN"/>
        </w:rPr>
        <w:t>不低于</w:t>
      </w:r>
      <w:r>
        <w:rPr>
          <w:rFonts w:hint="default" w:ascii="Times New Roman" w:hAnsi="Times New Roman" w:eastAsia="仿宋_GB2312" w:cs="仿宋_GB2312"/>
          <w:color w:val="auto"/>
          <w:sz w:val="28"/>
          <w:szCs w:val="36"/>
          <w:highlight w:val="none"/>
          <w:lang w:val="en-US" w:eastAsia="zh-CN"/>
        </w:rPr>
        <w:t>50G</w:t>
      </w:r>
      <w:r>
        <w:rPr>
          <w:rFonts w:hint="eastAsia" w:ascii="Times New Roman" w:hAnsi="Times New Roman" w:eastAsia="仿宋_GB2312" w:cs="仿宋_GB2312"/>
          <w:color w:val="auto"/>
          <w:sz w:val="28"/>
          <w:szCs w:val="36"/>
          <w:highlight w:val="none"/>
          <w:lang w:val="en-US" w:eastAsia="zh-CN"/>
        </w:rPr>
        <w:t>bps</w:t>
      </w:r>
      <w:r>
        <w:rPr>
          <w:rFonts w:hint="default" w:ascii="Times New Roman" w:hAnsi="Times New Roman" w:eastAsia="仿宋_GB2312" w:cs="仿宋_GB2312"/>
          <w:color w:val="auto"/>
          <w:sz w:val="28"/>
          <w:szCs w:val="36"/>
          <w:highlight w:val="none"/>
          <w:lang w:val="en-US" w:eastAsia="zh-CN"/>
        </w:rPr>
        <w:t>网络流量，并可支持扩容到100G</w:t>
      </w:r>
      <w:r>
        <w:rPr>
          <w:rFonts w:hint="eastAsia" w:ascii="Times New Roman" w:hAnsi="Times New Roman" w:eastAsia="仿宋_GB2312" w:cs="仿宋_GB2312"/>
          <w:color w:val="auto"/>
          <w:sz w:val="28"/>
          <w:szCs w:val="36"/>
          <w:highlight w:val="none"/>
          <w:lang w:val="en-US" w:eastAsia="zh-CN"/>
        </w:rPr>
        <w:t>bps</w:t>
      </w:r>
      <w:r>
        <w:rPr>
          <w:rFonts w:hint="default" w:ascii="Times New Roman" w:hAnsi="Times New Roman" w:eastAsia="仿宋_GB2312" w:cs="仿宋_GB2312"/>
          <w:color w:val="auto"/>
          <w:sz w:val="28"/>
          <w:szCs w:val="36"/>
          <w:highlight w:val="none"/>
          <w:lang w:val="en-US" w:eastAsia="zh-CN"/>
        </w:rPr>
        <w:t>网络流量的能力</w:t>
      </w:r>
      <w:r>
        <w:rPr>
          <w:rFonts w:hint="eastAsia" w:ascii="Times New Roman" w:hAnsi="Times New Roman" w:eastAsia="仿宋_GB2312" w:cs="仿宋_GB2312"/>
          <w:color w:val="auto"/>
          <w:sz w:val="28"/>
          <w:szCs w:val="36"/>
          <w:highlight w:val="none"/>
          <w:lang w:val="en-US" w:eastAsia="zh-CN"/>
        </w:rPr>
        <w:t>；</w:t>
      </w:r>
    </w:p>
    <w:p w14:paraId="0FB2D240">
      <w:pPr>
        <w:numPr>
          <w:ilvl w:val="0"/>
          <w:numId w:val="17"/>
        </w:numPr>
        <w:spacing w:line="560" w:lineRule="exact"/>
        <w:ind w:left="0" w:leftChars="0" w:firstLine="560" w:firstLineChars="200"/>
        <w:jc w:val="both"/>
        <w:rPr>
          <w:rFonts w:hint="default"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5G无线接入区域所有配套机房、网络通信设备、网络安全设备、业务系统，均须按照主备冗余架构进行设计与部署；须配置独立主备冗余单元，具备故障自动切换、不间断业务承载能力，满足全天候运行保障要求；</w:t>
      </w:r>
    </w:p>
    <w:p w14:paraId="7130D8ED">
      <w:pPr>
        <w:numPr>
          <w:ilvl w:val="0"/>
          <w:numId w:val="17"/>
        </w:numPr>
        <w:spacing w:line="560" w:lineRule="exact"/>
        <w:ind w:left="0" w:leftChars="0" w:firstLine="560" w:firstLineChars="200"/>
        <w:jc w:val="both"/>
        <w:rPr>
          <w:rFonts w:hint="default"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无线接入区域需支持与运营商UPF（电信、移动、联通、广电四家）和政务外网实现对接;</w:t>
      </w:r>
    </w:p>
    <w:p w14:paraId="446BF1F6">
      <w:pPr>
        <w:numPr>
          <w:ilvl w:val="0"/>
          <w:numId w:val="17"/>
        </w:numPr>
        <w:spacing w:line="560" w:lineRule="exact"/>
        <w:ind w:left="0" w:leftChars="0" w:firstLine="560" w:firstLineChars="200"/>
        <w:jc w:val="both"/>
        <w:rPr>
          <w:rFonts w:hint="default"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无线接入区AAA系统要求实配不小于4万用户并发认证授权能力，并支持不少于20万用户并发授权扩容能力；</w:t>
      </w:r>
    </w:p>
    <w:p w14:paraId="6D4F5037">
      <w:pPr>
        <w:numPr>
          <w:ilvl w:val="0"/>
          <w:numId w:val="17"/>
        </w:numPr>
        <w:spacing w:line="560" w:lineRule="exact"/>
        <w:ind w:left="0" w:leftChars="0" w:firstLine="560" w:firstLineChars="200"/>
        <w:jc w:val="both"/>
        <w:rPr>
          <w:rFonts w:hint="default"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无线接入区终端安全管控系统要求实配10万人联网用户5G无线接入能力,并配备10万对应软件终端授权。同时支持平滑扩容升级至满足30万人联网用户接入能力;</w:t>
      </w:r>
    </w:p>
    <w:p w14:paraId="490F0B0A">
      <w:pPr>
        <w:numPr>
          <w:ilvl w:val="0"/>
          <w:numId w:val="17"/>
        </w:numPr>
        <w:spacing w:line="560" w:lineRule="exact"/>
        <w:ind w:left="0" w:leftChars="0" w:firstLine="560" w:firstLineChars="200"/>
        <w:jc w:val="both"/>
        <w:rPr>
          <w:rFonts w:hint="default"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无线接入区</w:t>
      </w:r>
      <w:r>
        <w:rPr>
          <w:rFonts w:hint="default" w:ascii="Times New Roman" w:hAnsi="Times New Roman" w:eastAsia="仿宋_GB2312" w:cs="仿宋_GB2312"/>
          <w:color w:val="auto"/>
          <w:sz w:val="28"/>
          <w:szCs w:val="36"/>
          <w:highlight w:val="none"/>
          <w:lang w:val="en-US" w:eastAsia="zh-CN"/>
        </w:rPr>
        <w:t>物联安全管控平台，</w:t>
      </w:r>
      <w:r>
        <w:rPr>
          <w:rFonts w:hint="eastAsia" w:ascii="Times New Roman" w:hAnsi="Times New Roman" w:eastAsia="仿宋_GB2312" w:cs="仿宋_GB2312"/>
          <w:color w:val="auto"/>
          <w:sz w:val="28"/>
          <w:szCs w:val="36"/>
          <w:highlight w:val="none"/>
          <w:lang w:val="en-US" w:eastAsia="zh-CN"/>
        </w:rPr>
        <w:t>要求</w:t>
      </w:r>
      <w:r>
        <w:rPr>
          <w:rFonts w:hint="default" w:ascii="Times New Roman" w:hAnsi="Times New Roman" w:eastAsia="仿宋_GB2312" w:cs="仿宋_GB2312"/>
          <w:color w:val="auto"/>
          <w:sz w:val="28"/>
          <w:szCs w:val="36"/>
          <w:highlight w:val="none"/>
          <w:lang w:val="en-US" w:eastAsia="zh-CN"/>
        </w:rPr>
        <w:t>通过TR069，SNMP</w:t>
      </w:r>
      <w:r>
        <w:rPr>
          <w:rFonts w:hint="eastAsia" w:ascii="Times New Roman" w:hAnsi="Times New Roman" w:eastAsia="仿宋_GB2312" w:cs="仿宋_GB2312"/>
          <w:color w:val="auto"/>
          <w:sz w:val="28"/>
          <w:szCs w:val="36"/>
          <w:highlight w:val="none"/>
          <w:lang w:val="en-US" w:eastAsia="zh-CN"/>
        </w:rPr>
        <w:t>等</w:t>
      </w:r>
      <w:r>
        <w:rPr>
          <w:rFonts w:hint="default" w:ascii="Times New Roman" w:hAnsi="Times New Roman" w:eastAsia="仿宋_GB2312" w:cs="仿宋_GB2312"/>
          <w:color w:val="auto"/>
          <w:sz w:val="28"/>
          <w:szCs w:val="36"/>
          <w:highlight w:val="none"/>
          <w:lang w:val="en-US" w:eastAsia="zh-CN"/>
        </w:rPr>
        <w:t>协议对接入的5G网关实现状态感知、安全管控和智能运维。</w:t>
      </w:r>
      <w:r>
        <w:rPr>
          <w:rFonts w:hint="eastAsia" w:ascii="Times New Roman" w:hAnsi="Times New Roman" w:eastAsia="仿宋_GB2312" w:cs="仿宋_GB2312"/>
          <w:color w:val="auto"/>
          <w:sz w:val="28"/>
          <w:szCs w:val="36"/>
          <w:highlight w:val="none"/>
          <w:lang w:val="en-US" w:eastAsia="zh-CN"/>
        </w:rPr>
        <w:t>同时部署IPSec网关，具备在5G网关到IPSec网关之间建立国密加密隧道的能力，业务吞吐量≥25Gbps，并发隧道数≥2万；</w:t>
      </w:r>
    </w:p>
    <w:p w14:paraId="002C5691">
      <w:pPr>
        <w:numPr>
          <w:ilvl w:val="0"/>
          <w:numId w:val="17"/>
        </w:numPr>
        <w:spacing w:line="560" w:lineRule="exact"/>
        <w:ind w:left="0" w:leftChars="0" w:firstLine="560" w:firstLineChars="200"/>
        <w:jc w:val="both"/>
        <w:rPr>
          <w:rFonts w:hint="default" w:ascii="Times New Roman" w:hAnsi="Times New Roman" w:eastAsia="仿宋_GB2312" w:cs="仿宋_GB2312"/>
          <w:color w:val="auto"/>
          <w:sz w:val="28"/>
          <w:szCs w:val="36"/>
          <w:highlight w:val="none"/>
          <w:lang w:val="en-US" w:eastAsia="zh-CN"/>
        </w:rPr>
      </w:pPr>
      <w:r>
        <w:rPr>
          <w:rFonts w:hint="eastAsia" w:ascii="Times New Roman" w:hAnsi="Times New Roman" w:eastAsia="仿宋_GB2312" w:cs="仿宋_GB2312"/>
          <w:color w:val="auto"/>
          <w:sz w:val="28"/>
          <w:szCs w:val="36"/>
          <w:highlight w:val="none"/>
          <w:lang w:val="en-US" w:eastAsia="zh-CN"/>
        </w:rPr>
        <w:t>整体系统所涉及网络设备须纳入政务外网网管系统统一管理；安全设备须纳入政务外网安全管理中心统一管理。</w:t>
      </w:r>
    </w:p>
    <w:p w14:paraId="0151AE18">
      <w:pPr>
        <w:pStyle w:val="4"/>
        <w:rPr>
          <w:rFonts w:hint="eastAsia" w:ascii="Times New Roman" w:hAnsi="Times New Roman" w:eastAsia="仿宋_GB2312" w:cs="仿宋_GB2312"/>
          <w:color w:val="auto"/>
          <w:sz w:val="28"/>
          <w:szCs w:val="36"/>
          <w:highlight w:val="none"/>
          <w:lang w:val="en-US" w:eastAsia="zh-CN"/>
        </w:rPr>
      </w:pPr>
      <w:r>
        <w:rPr>
          <w:rFonts w:hint="eastAsia" w:ascii="Times New Roman" w:hAnsi="Times New Roman"/>
          <w:color w:val="auto"/>
          <w:highlight w:val="none"/>
          <w:lang w:val="en-US" w:eastAsia="zh-CN"/>
        </w:rPr>
        <w:t>设备</w:t>
      </w:r>
      <w:r>
        <w:rPr>
          <w:rFonts w:hint="eastAsia" w:ascii="Times New Roman" w:hAnsi="Times New Roman"/>
          <w:color w:val="auto"/>
          <w:highlight w:val="none"/>
        </w:rPr>
        <w:t>要求</w:t>
      </w:r>
    </w:p>
    <w:tbl>
      <w:tblPr>
        <w:tblStyle w:val="36"/>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25"/>
        <w:gridCol w:w="759"/>
        <w:gridCol w:w="813"/>
        <w:gridCol w:w="5522"/>
      </w:tblGrid>
      <w:tr w14:paraId="7C694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blHeader/>
        </w:trPr>
        <w:tc>
          <w:tcPr>
            <w:tcW w:w="836"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7124AE07">
            <w:pPr>
              <w:keepNext w:val="0"/>
              <w:keepLines w:val="0"/>
              <w:widowControl/>
              <w:suppressLineNumbers w:val="0"/>
              <w:spacing w:line="240" w:lineRule="auto"/>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品类</w:t>
            </w:r>
          </w:p>
        </w:tc>
        <w:tc>
          <w:tcPr>
            <w:tcW w:w="445"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209E5FA7">
            <w:pPr>
              <w:keepNext w:val="0"/>
              <w:keepLines w:val="0"/>
              <w:widowControl/>
              <w:suppressLineNumbers w:val="0"/>
              <w:spacing w:line="240" w:lineRule="auto"/>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477"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1144F5D5">
            <w:pPr>
              <w:keepNext w:val="0"/>
              <w:keepLines w:val="0"/>
              <w:widowControl/>
              <w:suppressLineNumbers w:val="0"/>
              <w:spacing w:line="240" w:lineRule="auto"/>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3240" w:type="pct"/>
            <w:tcBorders>
              <w:top w:val="single" w:color="000000" w:sz="4" w:space="0"/>
              <w:left w:val="single" w:color="000000" w:sz="4" w:space="0"/>
              <w:bottom w:val="single" w:color="000000" w:sz="4" w:space="0"/>
              <w:right w:val="single" w:color="000000" w:sz="4" w:space="0"/>
            </w:tcBorders>
            <w:shd w:val="clear" w:color="auto" w:fill="D9D9D9"/>
            <w:vAlign w:val="center"/>
          </w:tcPr>
          <w:p w14:paraId="34A34487">
            <w:pPr>
              <w:keepNext w:val="0"/>
              <w:keepLines w:val="0"/>
              <w:widowControl/>
              <w:suppressLineNumbers w:val="0"/>
              <w:spacing w:line="240" w:lineRule="auto"/>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规格配置</w:t>
            </w:r>
          </w:p>
        </w:tc>
      </w:tr>
      <w:tr w14:paraId="050DE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01"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DD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PE路由器</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670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A02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FD8FD">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1.支持交换容量不低于150Tbps，支持包转发率不低于26000Mpps；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2.支持双主控、独立交换网板，交换网板总数≥2并满配；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3.整机支持业务线卡插槽≥8个；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4.设备支持100GE/50G/40GE/25G/10GE/GE等接口模块；实配≥3个100GE接口，4个10GE接口；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5.支持IPv4、IPv6及IPv4/IPv6双栈协议；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6.IPv4路由表容量≥25M、IPv6路由表容量≥10M，IPv4转发表容量（FIB）≥4M、IPv6转发表容量（FIB）≥2M；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7.IPv4支持BGP、ISIS、OSPF、静态等路由，支持PBR策略路由；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8.IPv6支持EVPN IPV4 L3VPN over SRv6 Policy,支持EVPN IPV6 L3VPN over SRv6 Policy,支持EVPN VPWS over SRv6 Policy,支持EVPN VPLS over SRv6 Policy；</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9.支持L2VPN、L3VPN、EVPN、LDP LSP、RSVP-TE、SR</w:t>
            </w:r>
            <w:r>
              <w:rPr>
                <w:rStyle w:val="100"/>
                <w:rFonts w:hint="eastAsia" w:ascii="宋体" w:hAnsi="宋体" w:eastAsia="宋体" w:cs="宋体"/>
                <w:sz w:val="21"/>
                <w:szCs w:val="21"/>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t>TE等MPLS技术，并配置对应MPLS软件许可；</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10.支持基于TELEMETRY的大数据分析，实现链路质量全景分析及呈现，并配置对应TELEMETRY软件许可；</w:t>
            </w:r>
          </w:p>
        </w:tc>
      </w:tr>
      <w:tr w14:paraId="6440B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6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0F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核心路由器</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63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7649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E6D78A">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1.支持交换容量不低于160Tbps，支持包转发率不低于35000Mpps；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2.支持双主控、独立交换网板，交换网板总数≥2并满配；</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3.整机支持业务线卡插槽≥8个；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4.设备支持100GE/50G/40GE/25G/10GE/GE等接口模块；实配≥8个100GE接口，24个10GE接口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5.支持IPv4、IPv6及IPv4/IPv6双栈协议；</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6.IPv4路由表容量≥25M、IPv6路由表容量≥10M，IPv4转发表容量（FIB）≥4M、IPv6转发表容量（FIB）≥2M；</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7.IPv4支持BGP、ISIS、OSPF、静态等路由，支持PBR策略路由；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8.IPv6支持静态路由、BGP4/BGP4+、RIPng、OSPFv3、ISISv6等动态路由协议，支持PBR策略路由；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9.ACL在线最大可支持运行条目单槽&gt;120K；</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10.支持SR、SRv6等SDN网络技术，实现对于网络路由、网络流量路径的可视化配置。针对核心路由器组网所实现的SDN网络功能，须确保相关控制调度能力具备冗余可靠性；</w:t>
            </w:r>
          </w:p>
        </w:tc>
      </w:tr>
      <w:tr w14:paraId="43AFA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2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3A2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防火墙(运营商边界)</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499B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52A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5D711">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1.网络层吞吐量：不低于100Gbps；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2.应用层吞吐量：不低于50Gbps；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3.接口：支持10GE、40GE、100GE接口；实配≥2个100GE接口，24个10GE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4.最大并发连接数≥8000万，每秒新建连接数≥240万；网络层吞吐量可平滑演进≥650Gbps，应用层吞吐量可平滑演进≥100Gbps，最大并发连接数≥1.6亿，每秒新建连接数≥320万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5.最大支持虚拟防火墙数不低于4000；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6.可识别应用层协议数量不低于6000种；</w:t>
            </w:r>
          </w:p>
        </w:tc>
      </w:tr>
      <w:tr w14:paraId="2321D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2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A7D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入侵防御、防病毒墙(运营商边界)</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F7A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E10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BE507">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1.开启入侵防御、防病毒、URL吞吐量后不低于50Gbps；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2.接口：支持10GE、40GE、100GE接口；实配≥2个100GE接口，≥12个10GE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3.支持静态路由、策略路由，OSFP、BGP、ISIS等路由；</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4.能够防范各种应用层攻击，包括但不限于：后门程序，木马程序，间谍软件，蠕虫，僵尸主机，异常代码，协议异常，扫描，可疑行为审计类等；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5.系统预定义入侵防御签名库数量不得少于20000条且具备CVE和CNNVD编号的签名条目数不得少于11000，支持用户自定义签名规则，支持正则表达式；</w:t>
            </w:r>
          </w:p>
        </w:tc>
      </w:tr>
      <w:tr w14:paraId="3C9A3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8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192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防火墙(政务外网边界)</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20AB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A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2D23A2">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1.网络层吞吐量：不低于100Gbps；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2.应用层吞吐量：不低于50Gbps；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3.接口：支持10GE、40GE、100GE 接口；实配≥6个100GE接口;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4.最大支持虚拟防火墙数不低于4000；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5.可识别应用层协议数量不低于6000种；</w:t>
            </w:r>
          </w:p>
        </w:tc>
      </w:tr>
      <w:tr w14:paraId="44DC7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DC2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入侵防御(政务外网边界)</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A9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0C0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585EC">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1.开启入侵防御、URL吞吐量≥50Gbps；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2.接口：支持10GE、40GE、100GE接口；实配≥2个100GE接口，≥12个10GE;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3.能够防范各种应用层攻击，至少应包括信息窃取、木马后门、间谍软件、可疑行为、网络设备攻击、安全漏洞及网络数据库攻击等的特征事件;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4.内置IPS特征库，特征规则数量超过3,600条，并可自定义入侵攻击和应用软件的特征。</w:t>
            </w:r>
          </w:p>
        </w:tc>
      </w:tr>
      <w:tr w14:paraId="6480F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12D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防病毒墙(政务外网边界)</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C8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3B1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6F1DC">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1.开启防病毒、URL吞吐量≥50Gbps；TCP最大并发连接数不低于2000万;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2.接口：支持10GE、40GE、100GE接口；实配≥2个100GE接口，≥12个10GE;</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3.病毒库不少于3000万种病毒特征。</w:t>
            </w:r>
          </w:p>
        </w:tc>
      </w:tr>
      <w:tr w14:paraId="6B829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8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061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沙箱</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BEA2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4444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DEDBC">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1.支持不少于2个10GE光接口，不少于4个GE电口；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2.支持用户终端数≧10万（2万并发），处理性能≧60000文件/天；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3.要求内置沙箱，具备100种以上文件格式沙箱检测能力，涵盖Windows、Linux、Android多种操作系统，支持自定义文件类型；</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4.支持常见文件格式沙箱检测，包括但不限于：doc、chm、mdb、mime、rtf、pdf、xml、html、swf、bmp、ico、7z、ace、oth、xz、rar、zip、exe、msi、sh、so、bat、hta、js、ps1、py、rb、apk、eml、msg、lnk、elf等。</w:t>
            </w:r>
          </w:p>
        </w:tc>
      </w:tr>
      <w:tr w14:paraId="10552E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9A38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安全探针</w:t>
            </w:r>
          </w:p>
        </w:tc>
        <w:tc>
          <w:tcPr>
            <w:tcW w:w="4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1415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E34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29A0E">
            <w:pPr>
              <w:keepNext w:val="0"/>
              <w:keepLines w:val="0"/>
              <w:widowControl/>
              <w:suppressLineNumbers w:val="0"/>
              <w:spacing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1.接口类型：千兆电口不少于4个，万兆光口不少于4个；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2.应用吞吐率不低于10Gbps；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3.支持解析HTTP、FTP、SMTP、POP3、SMB、IMAP、DNS、HTTPS、SMTPS、POP3S、IMAPS、RADIUS、KRB5、SNMP、NETFLOW V9、TFTP、NNTP等协议报文；</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检测WEB攻击、恶意文件攻击、远程控制、WEB后门访问、WEB行为分析、DGA域名请求、SMB远程溢出攻击、弱口令、拒绝服务攻击、隧道通信、暴力破解、挖矿、扫描行为、漏洞利用、邮件社工攻击、ARP欺骗、密码明文形式传输等行为；</w:t>
            </w:r>
          </w:p>
        </w:tc>
      </w:tr>
      <w:tr w14:paraId="612826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60"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8CB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堡垒机</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0B9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91C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5D434">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1.接口类型：不少于4个GE电口，2个10GE光口；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2.字符型并发：1500；图像型并发：400；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3.内嵌动态令牌和usbkey认证引擎，可同时使用动态令牌和USBkey，要求配置不少于20套；</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4.支持用户多角色划分功能，如系统管理员、部门管理员、运维员、审计管理员、密码管理员等，对各类角色需要进行细粒度的权限管理；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5.支持与AD、LDAP、RADIUS系统联动登录堡垒机；</w:t>
            </w:r>
          </w:p>
        </w:tc>
      </w:tr>
      <w:tr w14:paraId="0E80D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836"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0810E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终端安全接入网关</w:t>
            </w:r>
          </w:p>
        </w:tc>
        <w:tc>
          <w:tcPr>
            <w:tcW w:w="445"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418997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000000" w:sz="4" w:space="0"/>
              <w:left w:val="single" w:color="000000" w:sz="4" w:space="0"/>
              <w:bottom w:val="single" w:color="auto" w:sz="4" w:space="0"/>
              <w:right w:val="single" w:color="000000" w:sz="4" w:space="0"/>
            </w:tcBorders>
            <w:shd w:val="clear" w:color="auto" w:fill="auto"/>
            <w:noWrap/>
            <w:vAlign w:val="center"/>
          </w:tcPr>
          <w:p w14:paraId="789AF8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000000" w:sz="4" w:space="0"/>
              <w:left w:val="single" w:color="000000" w:sz="4" w:space="0"/>
              <w:bottom w:val="single" w:color="auto" w:sz="4" w:space="0"/>
              <w:right w:val="single" w:color="000000" w:sz="4" w:space="0"/>
            </w:tcBorders>
            <w:shd w:val="clear" w:color="auto" w:fill="auto"/>
            <w:vAlign w:val="center"/>
          </w:tcPr>
          <w:p w14:paraId="40F83EC6">
            <w:pPr>
              <w:keepNext w:val="0"/>
              <w:keepLines w:val="0"/>
              <w:widowControl/>
              <w:suppressLineNumbers w:val="0"/>
              <w:spacing w:after="0" w:afterAutospacing="0" w:line="240" w:lineRule="auto"/>
              <w:ind w:firstLine="0" w:firstLineChars="0"/>
              <w:jc w:val="both"/>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1.吞吐量≥50Gbps；</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2.单台设备性能：安全代理吞吐量≥2.5Gbps，安全代理并发连接数≥80000，安全代理新建连接数≥2000;；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3.单台设备不少于1个100GE光接口，不少于2个10GE接口，不少于4个GE接口;</w:t>
            </w:r>
          </w:p>
        </w:tc>
      </w:tr>
      <w:tr w14:paraId="03A06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0" w:hRule="atLeast"/>
        </w:trPr>
        <w:tc>
          <w:tcPr>
            <w:tcW w:w="836" w:type="pct"/>
            <w:tcBorders>
              <w:top w:val="single" w:color="auto" w:sz="4" w:space="0"/>
              <w:left w:val="single" w:color="auto" w:sz="4" w:space="0"/>
              <w:bottom w:val="single" w:color="auto" w:sz="4" w:space="0"/>
              <w:right w:val="single" w:color="000000" w:sz="4" w:space="0"/>
            </w:tcBorders>
            <w:shd w:val="clear" w:color="auto" w:fill="auto"/>
            <w:noWrap/>
            <w:vAlign w:val="center"/>
          </w:tcPr>
          <w:p w14:paraId="339B24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终端安全准入控制器平台</w:t>
            </w:r>
          </w:p>
        </w:tc>
        <w:tc>
          <w:tcPr>
            <w:tcW w:w="445" w:type="pct"/>
            <w:tcBorders>
              <w:top w:val="single" w:color="auto" w:sz="4" w:space="0"/>
              <w:left w:val="single" w:color="000000" w:sz="4" w:space="0"/>
              <w:bottom w:val="single" w:color="auto" w:sz="4" w:space="0"/>
              <w:right w:val="single" w:color="000000" w:sz="4" w:space="0"/>
            </w:tcBorders>
            <w:shd w:val="clear" w:color="auto" w:fill="auto"/>
            <w:noWrap/>
            <w:vAlign w:val="center"/>
          </w:tcPr>
          <w:p w14:paraId="0232D4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77" w:type="pct"/>
            <w:tcBorders>
              <w:top w:val="single" w:color="auto" w:sz="4" w:space="0"/>
              <w:left w:val="single" w:color="000000" w:sz="4" w:space="0"/>
              <w:bottom w:val="single" w:color="auto" w:sz="4" w:space="0"/>
              <w:right w:val="single" w:color="000000" w:sz="4" w:space="0"/>
            </w:tcBorders>
            <w:shd w:val="clear" w:color="auto" w:fill="auto"/>
            <w:noWrap/>
            <w:vAlign w:val="center"/>
          </w:tcPr>
          <w:p w14:paraId="6328B59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3240" w:type="pct"/>
            <w:tcBorders>
              <w:top w:val="single" w:color="auto" w:sz="4" w:space="0"/>
              <w:left w:val="nil"/>
              <w:bottom w:val="single" w:color="auto" w:sz="4" w:space="0"/>
              <w:right w:val="single" w:color="auto" w:sz="4" w:space="0"/>
            </w:tcBorders>
            <w:shd w:val="clear" w:color="auto" w:fill="auto"/>
            <w:vAlign w:val="center"/>
          </w:tcPr>
          <w:p w14:paraId="5DC11D34">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1.提供不低于10万用户并发接入能力；</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2.单台设备性能要求：并发用户数≥16000；新建用户数≥500;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3.接口规格：不少于2个10GE接口，不少于4个GE接口；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4.授权支持配置100000终端用户授权；提供10万用户5G无线接入安全准入使用授权，支持横向扩容至30万用户;</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5.须采用标准机架式服务器，按高可用冗余架构部署，设备数量≥5台；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 单台服务器配置指标不低于以下要求：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处理器：≥2×48核CPU，单核心主频≥2.6GHz；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内存：≥8×32GB，总容量≥256GB；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存储：≥2×960GB SSD+12×4000GB SATA,RAID卡,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网卡：配置不少于4个GE电口，4个10G光口</w:t>
            </w:r>
          </w:p>
        </w:tc>
      </w:tr>
      <w:tr w14:paraId="4DB5C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40" w:hRule="atLeast"/>
        </w:trPr>
        <w:tc>
          <w:tcPr>
            <w:tcW w:w="836"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725625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AAA网关</w:t>
            </w:r>
          </w:p>
        </w:tc>
        <w:tc>
          <w:tcPr>
            <w:tcW w:w="445"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48F2F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477"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3B412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3240" w:type="pct"/>
            <w:tcBorders>
              <w:top w:val="single" w:color="auto" w:sz="4" w:space="0"/>
              <w:left w:val="single" w:color="000000" w:sz="4" w:space="0"/>
              <w:bottom w:val="single" w:color="000000" w:sz="4" w:space="0"/>
              <w:right w:val="single" w:color="000000" w:sz="4" w:space="0"/>
            </w:tcBorders>
            <w:shd w:val="clear" w:color="auto" w:fill="auto"/>
            <w:vAlign w:val="center"/>
          </w:tcPr>
          <w:p w14:paraId="576E42B7">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1.在线用户最大并发数≥200000个；</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2.整机全宽业务扩展插槽≥4；</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3.接口：≥2个100GE接口，24个10GE接口；</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4.支持溯源和审计日志基于SIM卡信息（用户名标识）字段。</w:t>
            </w:r>
          </w:p>
        </w:tc>
      </w:tr>
      <w:tr w14:paraId="7C81A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7" w:hRule="atLeast"/>
        </w:trPr>
        <w:tc>
          <w:tcPr>
            <w:tcW w:w="8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167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AAA认证平台</w:t>
            </w:r>
          </w:p>
        </w:tc>
        <w:tc>
          <w:tcPr>
            <w:tcW w:w="4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185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47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049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32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B211C">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1.提供不低于10万用户并发准入，实配40000个用户并发认证授权；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2.支持多种认证技术，如5G终端、802.1x、MAC、Portal认证、VPN认证等多种认证方式，支持无感知认证；认证协议支持PAP、CHAP、EAP-MD5、EAP-PEAP-MSCHAPV2、EAP-TLS、EAP-TTLS-PAP、EAP-PEAP-GTC等；</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3.支持对接运营商核心网，实现移动终端的5G二次鉴权，实现基于SIM卡信息（IMSI、MSISDN）和设备信息（IMEI）的认证授权和审计；</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4.须采用标准机架式服务器，按高可用冗余架构部署，设备数量≥5台；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 单台服务器配置指标不低于以下要求：</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处理器：≥2×48核CPU，单核心主频≥2.6GHz；</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内存：≥8×32GB，总容量≥256GB；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存储：≥6×1920GB；</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网卡：配置2×4个GE电口，3×2个10GE/25GE。</w:t>
            </w:r>
          </w:p>
        </w:tc>
      </w:tr>
    </w:tbl>
    <w:p w14:paraId="6FE0C3A2">
      <w:pPr>
        <w:pStyle w:val="3"/>
        <w:jc w:val="both"/>
        <w:rPr>
          <w:rFonts w:ascii="Times New Roman" w:hAnsi="Times New Roman"/>
          <w:color w:val="auto"/>
          <w:highlight w:val="none"/>
        </w:rPr>
      </w:pPr>
      <w:r>
        <w:rPr>
          <w:rFonts w:hint="eastAsia" w:ascii="Times New Roman" w:hAnsi="Times New Roman"/>
          <w:color w:val="auto"/>
          <w:highlight w:val="none"/>
          <w:lang w:val="en-US" w:eastAsia="zh-CN"/>
        </w:rPr>
        <w:t>违规外联检测</w:t>
      </w:r>
      <w:r>
        <w:rPr>
          <w:rFonts w:hint="eastAsia" w:ascii="Times New Roman" w:hAnsi="Times New Roman"/>
          <w:color w:val="auto"/>
          <w:highlight w:val="none"/>
        </w:rPr>
        <w:t>要求</w:t>
      </w:r>
    </w:p>
    <w:p w14:paraId="1A36682A">
      <w:pPr>
        <w:pStyle w:val="43"/>
        <w:keepNext w:val="0"/>
        <w:keepLines w:val="0"/>
        <w:pageBreakBefore w:val="0"/>
        <w:widowControl w:val="0"/>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color w:val="auto"/>
          <w:highlight w:val="none"/>
          <w:lang w:eastAsia="zh-CN"/>
        </w:rPr>
      </w:pPr>
      <w:r>
        <w:rPr>
          <w:rFonts w:hint="eastAsia" w:ascii="Times New Roman" w:hAnsi="Times New Roman" w:eastAsia="仿宋_GB2312" w:cs="仿宋_GB2312"/>
          <w:color w:val="auto"/>
          <w:szCs w:val="28"/>
          <w:highlight w:val="none"/>
          <w:lang w:val="en-US" w:eastAsia="zh-CN"/>
        </w:rPr>
        <w:t>中标人需具备政务外网终端违规外联行为的检测能力。对于接入</w:t>
      </w:r>
      <w:r>
        <w:rPr>
          <w:rFonts w:hint="eastAsia" w:ascii="Times New Roman" w:hAnsi="Times New Roman" w:eastAsia="仿宋_GB2312" w:cs="仿宋_GB2312"/>
          <w:color w:val="auto"/>
          <w:szCs w:val="28"/>
          <w:highlight w:val="none"/>
        </w:rPr>
        <w:t>政务</w:t>
      </w:r>
      <w:r>
        <w:rPr>
          <w:rFonts w:hint="eastAsia" w:ascii="Times New Roman" w:hAnsi="Times New Roman" w:eastAsia="仿宋_GB2312" w:cs="仿宋_GB2312"/>
          <w:color w:val="auto"/>
          <w:szCs w:val="28"/>
          <w:highlight w:val="none"/>
          <w:lang w:val="en-US" w:eastAsia="zh-CN"/>
        </w:rPr>
        <w:t>外网的</w:t>
      </w:r>
      <w:r>
        <w:rPr>
          <w:rFonts w:hint="eastAsia" w:ascii="Times New Roman" w:hAnsi="Times New Roman" w:eastAsia="仿宋_GB2312" w:cs="仿宋_GB2312"/>
          <w:color w:val="auto"/>
          <w:szCs w:val="28"/>
          <w:highlight w:val="none"/>
        </w:rPr>
        <w:t>终端，</w:t>
      </w:r>
      <w:r>
        <w:rPr>
          <w:rFonts w:hint="eastAsia" w:ascii="Times New Roman" w:hAnsi="Times New Roman" w:eastAsia="仿宋_GB2312" w:cs="仿宋_GB2312"/>
          <w:color w:val="auto"/>
          <w:szCs w:val="28"/>
          <w:highlight w:val="none"/>
          <w:lang w:val="en-US" w:eastAsia="zh-CN"/>
        </w:rPr>
        <w:t>能检测包括但不限于以下</w:t>
      </w:r>
      <w:r>
        <w:rPr>
          <w:rFonts w:hint="eastAsia" w:ascii="Times New Roman" w:hAnsi="Times New Roman" w:eastAsia="仿宋_GB2312" w:cs="仿宋_GB2312"/>
          <w:color w:val="auto"/>
          <w:szCs w:val="28"/>
          <w:highlight w:val="none"/>
        </w:rPr>
        <w:t>未经授权</w:t>
      </w:r>
      <w:r>
        <w:rPr>
          <w:rFonts w:hint="eastAsia" w:ascii="Times New Roman" w:hAnsi="Times New Roman" w:eastAsia="仿宋_GB2312" w:cs="仿宋_GB2312"/>
          <w:color w:val="auto"/>
          <w:szCs w:val="28"/>
          <w:highlight w:val="none"/>
          <w:lang w:val="en-US" w:eastAsia="zh-CN"/>
        </w:rPr>
        <w:t>的多类</w:t>
      </w:r>
      <w:r>
        <w:rPr>
          <w:rFonts w:hint="eastAsia" w:ascii="Times New Roman" w:hAnsi="Times New Roman" w:eastAsia="仿宋_GB2312" w:cs="仿宋_GB2312"/>
          <w:color w:val="auto"/>
          <w:szCs w:val="28"/>
          <w:highlight w:val="none"/>
        </w:rPr>
        <w:t>违规连接互联网行为</w:t>
      </w:r>
      <w:r>
        <w:rPr>
          <w:rFonts w:hint="eastAsia" w:ascii="Times New Roman" w:hAnsi="Times New Roman" w:eastAsia="仿宋_GB2312" w:cs="仿宋_GB2312"/>
          <w:color w:val="auto"/>
          <w:szCs w:val="28"/>
          <w:highlight w:val="none"/>
          <w:lang w:eastAsia="zh-CN"/>
        </w:rPr>
        <w:t>：</w:t>
      </w:r>
      <w:r>
        <w:rPr>
          <w:rFonts w:hint="eastAsia" w:ascii="Times New Roman" w:hAnsi="Times New Roman" w:eastAsia="仿宋_GB2312" w:cs="仿宋_GB2312"/>
          <w:color w:val="auto"/>
          <w:sz w:val="28"/>
          <w:szCs w:val="28"/>
          <w:highlight w:val="none"/>
        </w:rPr>
        <w:t>终端</w:t>
      </w:r>
      <w:r>
        <w:rPr>
          <w:rFonts w:hint="eastAsia" w:ascii="Times New Roman" w:hAnsi="Times New Roman" w:eastAsia="仿宋_GB2312" w:cs="仿宋_GB2312"/>
          <w:color w:val="auto"/>
          <w:sz w:val="28"/>
          <w:szCs w:val="28"/>
          <w:highlight w:val="none"/>
          <w:lang w:val="en-US" w:eastAsia="zh-CN"/>
        </w:rPr>
        <w:t>通过</w:t>
      </w:r>
      <w:r>
        <w:rPr>
          <w:rFonts w:hint="eastAsia" w:ascii="Times New Roman" w:hAnsi="Times New Roman" w:eastAsia="仿宋_GB2312" w:cs="仿宋_GB2312"/>
          <w:color w:val="auto"/>
          <w:sz w:val="28"/>
          <w:szCs w:val="28"/>
          <w:highlight w:val="none"/>
        </w:rPr>
        <w:t>多网卡同时接入政务外网与其他网络</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lang w:val="en-US" w:eastAsia="zh-CN"/>
        </w:rPr>
        <w:t>突破网络隔离管控要求</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终端违规使用向日葵等远程控制工具</w:t>
      </w:r>
      <w:r>
        <w:rPr>
          <w:rFonts w:hint="eastAsia" w:ascii="Times New Roman" w:hAnsi="Times New Roman" w:eastAsia="仿宋_GB2312" w:cs="仿宋_GB2312"/>
          <w:color w:val="auto"/>
          <w:sz w:val="28"/>
          <w:szCs w:val="28"/>
          <w:highlight w:val="none"/>
          <w:lang w:eastAsia="zh-CN"/>
        </w:rPr>
        <w:t>；</w:t>
      </w:r>
      <w:r>
        <w:rPr>
          <w:rFonts w:hint="eastAsia" w:ascii="Times New Roman" w:hAnsi="Times New Roman" w:eastAsia="仿宋_GB2312" w:cs="仿宋_GB2312"/>
          <w:color w:val="auto"/>
          <w:sz w:val="28"/>
          <w:szCs w:val="28"/>
          <w:highlight w:val="none"/>
        </w:rPr>
        <w:t>未经授权设备通过地址转换隐藏内网终端，规避安全管控。</w:t>
      </w:r>
      <w:r>
        <w:rPr>
          <w:rFonts w:hint="eastAsia" w:ascii="Times New Roman" w:hAnsi="Times New Roman" w:eastAsia="仿宋_GB2312" w:cs="仿宋_GB2312"/>
          <w:color w:val="auto"/>
          <w:sz w:val="28"/>
          <w:szCs w:val="28"/>
          <w:highlight w:val="none"/>
          <w:lang w:val="en-US" w:eastAsia="zh-CN"/>
        </w:rPr>
        <w:t>同时，能对检测到的违规外联行为进行告警。</w:t>
      </w:r>
    </w:p>
    <w:p w14:paraId="54253991">
      <w:pPr>
        <w:pStyle w:val="2"/>
        <w:jc w:val="both"/>
        <w:rPr>
          <w:rFonts w:ascii="Times New Roman" w:hAnsi="Times New Roman"/>
          <w:color w:val="auto"/>
          <w:highlight w:val="none"/>
        </w:rPr>
      </w:pPr>
      <w:bookmarkStart w:id="187" w:name="_Toc18979"/>
      <w:bookmarkStart w:id="188" w:name="_Toc13901"/>
      <w:bookmarkStart w:id="189" w:name="_Toc21490"/>
      <w:bookmarkStart w:id="190" w:name="_Toc10808"/>
      <w:bookmarkStart w:id="191" w:name="_Toc18503"/>
      <w:bookmarkStart w:id="192" w:name="_Toc12595"/>
      <w:r>
        <w:rPr>
          <w:rFonts w:hint="eastAsia" w:ascii="Times New Roman" w:hAnsi="Times New Roman"/>
          <w:color w:val="auto"/>
          <w:highlight w:val="none"/>
        </w:rPr>
        <w:t>实施要求</w:t>
      </w:r>
      <w:bookmarkEnd w:id="187"/>
      <w:bookmarkEnd w:id="188"/>
      <w:bookmarkEnd w:id="189"/>
      <w:bookmarkEnd w:id="190"/>
      <w:bookmarkEnd w:id="191"/>
      <w:bookmarkEnd w:id="192"/>
    </w:p>
    <w:p w14:paraId="314D22FB">
      <w:pPr>
        <w:pStyle w:val="3"/>
        <w:rPr>
          <w:rFonts w:ascii="Times New Roman" w:hAnsi="Times New Roman"/>
          <w:color w:val="auto"/>
          <w:highlight w:val="none"/>
        </w:rPr>
      </w:pPr>
      <w:bookmarkStart w:id="193" w:name="_Toc10070"/>
      <w:bookmarkStart w:id="194" w:name="_Toc23695"/>
      <w:bookmarkStart w:id="195" w:name="_Toc27296"/>
      <w:bookmarkStart w:id="196" w:name="_Toc21785"/>
      <w:bookmarkStart w:id="197" w:name="_Toc26361"/>
      <w:bookmarkStart w:id="198" w:name="_Toc16002"/>
      <w:r>
        <w:rPr>
          <w:rFonts w:hint="eastAsia" w:ascii="Times New Roman" w:hAnsi="Times New Roman"/>
          <w:color w:val="auto"/>
          <w:highlight w:val="none"/>
        </w:rPr>
        <w:t>服务开通实施计划</w:t>
      </w:r>
      <w:bookmarkEnd w:id="193"/>
      <w:bookmarkEnd w:id="194"/>
      <w:bookmarkEnd w:id="195"/>
      <w:bookmarkEnd w:id="196"/>
      <w:bookmarkEnd w:id="197"/>
      <w:bookmarkEnd w:id="198"/>
    </w:p>
    <w:p w14:paraId="29E21D0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需</w:t>
      </w:r>
      <w:r>
        <w:rPr>
          <w:rFonts w:hint="eastAsia" w:ascii="Times New Roman" w:hAnsi="Times New Roman" w:eastAsia="仿宋_GB2312"/>
          <w:color w:val="auto"/>
          <w:highlight w:val="none"/>
        </w:rPr>
        <w:t>按招标需求，在</w:t>
      </w:r>
      <w:r>
        <w:rPr>
          <w:rFonts w:hint="default" w:ascii="Times New Roman" w:hAnsi="Times New Roman" w:eastAsia="仿宋_GB2312" w:cs="Times New Roman Regular"/>
          <w:color w:val="auto"/>
          <w:sz w:val="28"/>
          <w:highlight w:val="none"/>
          <w:lang w:val="en-US" w:eastAsia="zh-CN"/>
        </w:rPr>
        <w:t>本服务期起始之日</w:t>
      </w:r>
      <w:r>
        <w:rPr>
          <w:rFonts w:hint="default" w:ascii="Times New Roman" w:hAnsi="Times New Roman" w:eastAsia="仿宋_GB2312" w:cs="Times New Roman Regular"/>
          <w:color w:val="auto"/>
          <w:sz w:val="28"/>
          <w:highlight w:val="none"/>
        </w:rPr>
        <w:t>前</w:t>
      </w:r>
      <w:r>
        <w:rPr>
          <w:rFonts w:hint="eastAsia" w:ascii="Times New Roman" w:hAnsi="Times New Roman" w:eastAsia="仿宋_GB2312"/>
          <w:color w:val="auto"/>
          <w:highlight w:val="none"/>
        </w:rPr>
        <w:t>，完成</w:t>
      </w:r>
      <w:r>
        <w:rPr>
          <w:rFonts w:hint="eastAsia" w:ascii="Times New Roman" w:hAnsi="Times New Roman" w:eastAsia="仿宋_GB2312"/>
          <w:color w:val="auto"/>
          <w:highlight w:val="none"/>
          <w:lang w:eastAsia="zh-Hans"/>
        </w:rPr>
        <w:t>为</w:t>
      </w:r>
      <w:r>
        <w:rPr>
          <w:rFonts w:hint="eastAsia" w:ascii="Times New Roman" w:hAnsi="Times New Roman" w:eastAsia="仿宋_GB2312"/>
          <w:color w:val="auto"/>
          <w:highlight w:val="none"/>
        </w:rPr>
        <w:t>本</w:t>
      </w:r>
      <w:r>
        <w:rPr>
          <w:rFonts w:hint="eastAsia" w:ascii="Times New Roman" w:hAnsi="Times New Roman" w:eastAsia="仿宋_GB2312"/>
          <w:color w:val="auto"/>
          <w:highlight w:val="none"/>
          <w:lang w:val="en-US" w:eastAsia="zh-CN"/>
        </w:rPr>
        <w:t>项目服务对象</w:t>
      </w:r>
      <w:r>
        <w:rPr>
          <w:rFonts w:hint="eastAsia" w:ascii="Times New Roman" w:hAnsi="Times New Roman" w:eastAsia="仿宋_GB2312"/>
          <w:color w:val="auto"/>
          <w:highlight w:val="none"/>
        </w:rPr>
        <w:t>及范围内用户</w:t>
      </w:r>
      <w:r>
        <w:rPr>
          <w:rFonts w:hint="eastAsia" w:ascii="Times New Roman" w:hAnsi="Times New Roman" w:eastAsia="仿宋_GB2312"/>
          <w:color w:val="auto"/>
          <w:highlight w:val="none"/>
          <w:lang w:val="en-US" w:eastAsia="zh-CN"/>
        </w:rPr>
        <w:t>开通</w:t>
      </w:r>
      <w:r>
        <w:rPr>
          <w:rFonts w:hint="eastAsia" w:ascii="Times New Roman" w:hAnsi="Times New Roman" w:eastAsia="仿宋_GB2312"/>
          <w:color w:val="auto"/>
          <w:highlight w:val="none"/>
        </w:rPr>
        <w:t>市级政务外网网络通信服务</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投入使用。如涉及工程实施，投标人</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提</w:t>
      </w:r>
      <w:r>
        <w:rPr>
          <w:rFonts w:hint="eastAsia" w:ascii="Times New Roman" w:hAnsi="Times New Roman" w:eastAsia="仿宋_GB2312"/>
          <w:color w:val="auto"/>
          <w:highlight w:val="none"/>
          <w:lang w:val="en-US" w:eastAsia="zh-CN"/>
        </w:rPr>
        <w:t>供</w:t>
      </w:r>
      <w:r>
        <w:rPr>
          <w:rFonts w:hint="eastAsia" w:ascii="Times New Roman" w:hAnsi="Times New Roman" w:eastAsia="仿宋_GB2312"/>
          <w:color w:val="auto"/>
          <w:highlight w:val="none"/>
        </w:rPr>
        <w:t>详细的项目实施计划，</w:t>
      </w:r>
      <w:r>
        <w:rPr>
          <w:rFonts w:hint="eastAsia" w:ascii="Times New Roman" w:hAnsi="Times New Roman" w:eastAsia="仿宋_GB2312"/>
          <w:color w:val="auto"/>
          <w:highlight w:val="none"/>
          <w:lang w:val="en-US" w:eastAsia="zh-CN"/>
        </w:rPr>
        <w:t>划分项目阶段</w:t>
      </w:r>
      <w:r>
        <w:rPr>
          <w:rFonts w:hint="eastAsia" w:ascii="Times New Roman" w:hAnsi="Times New Roman" w:eastAsia="仿宋_GB2312"/>
          <w:color w:val="auto"/>
          <w:highlight w:val="none"/>
        </w:rPr>
        <w:t>，说明各阶段任务、工作过程和方法</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职责划分、工作内容、形式和进度时间计划</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实施</w:t>
      </w:r>
      <w:r>
        <w:rPr>
          <w:rFonts w:hint="eastAsia" w:ascii="Times New Roman" w:hAnsi="Times New Roman" w:eastAsia="仿宋_GB2312"/>
          <w:color w:val="auto"/>
          <w:highlight w:val="none"/>
          <w:lang w:val="en-US" w:eastAsia="zh-CN"/>
        </w:rPr>
        <w:t>计划</w:t>
      </w:r>
      <w:r>
        <w:rPr>
          <w:rFonts w:hint="eastAsia" w:ascii="Times New Roman" w:hAnsi="Times New Roman" w:eastAsia="仿宋_GB2312"/>
          <w:color w:val="auto"/>
          <w:highlight w:val="none"/>
        </w:rPr>
        <w:t>至少细化到日，</w:t>
      </w:r>
      <w:r>
        <w:rPr>
          <w:rFonts w:hint="eastAsia" w:ascii="Times New Roman" w:hAnsi="Times New Roman" w:eastAsia="仿宋_GB2312"/>
          <w:color w:val="auto"/>
          <w:highlight w:val="none"/>
          <w:lang w:val="en-US" w:eastAsia="zh-CN"/>
        </w:rPr>
        <w:t>明确</w:t>
      </w:r>
      <w:r>
        <w:rPr>
          <w:rFonts w:hint="eastAsia" w:ascii="Times New Roman" w:hAnsi="Times New Roman" w:eastAsia="仿宋_GB2312"/>
          <w:color w:val="auto"/>
          <w:highlight w:val="none"/>
        </w:rPr>
        <w:t>具体时间及工期安排。同时，工程建设过程中需由</w:t>
      </w:r>
      <w:r>
        <w:rPr>
          <w:rFonts w:hint="eastAsia" w:ascii="Times New Roman" w:hAnsi="Times New Roman" w:eastAsia="仿宋_GB2312"/>
          <w:color w:val="auto"/>
          <w:highlight w:val="none"/>
          <w:lang w:eastAsia="zh-CN"/>
        </w:rPr>
        <w:t>中</w:t>
      </w:r>
      <w:r>
        <w:rPr>
          <w:rFonts w:hint="eastAsia" w:ascii="Times New Roman" w:hAnsi="Times New Roman" w:eastAsia="仿宋_GB2312"/>
          <w:color w:val="auto"/>
          <w:highlight w:val="none"/>
        </w:rPr>
        <w:t>标人提供第三方工程监理进行工程监督管理。</w:t>
      </w:r>
    </w:p>
    <w:p w14:paraId="65CF481F">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中标人于收到中标通知书后的10个日历日内需向</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提供集成建设方案，20个日历日内项目所涉及相关软硬件需到货，且设备制造商出需具到货承诺，承诺中标人收到中标通知书后20个日历日内项目所涉及所有设备到货并提供相应清单。</w:t>
      </w:r>
    </w:p>
    <w:p w14:paraId="78AE5701">
      <w:pPr>
        <w:pStyle w:val="3"/>
        <w:jc w:val="both"/>
        <w:rPr>
          <w:rFonts w:ascii="Times New Roman" w:hAnsi="Times New Roman"/>
          <w:color w:val="auto"/>
          <w:highlight w:val="none"/>
        </w:rPr>
      </w:pPr>
      <w:bookmarkStart w:id="199" w:name="_Toc6746"/>
      <w:bookmarkStart w:id="200" w:name="_Toc11318"/>
      <w:bookmarkStart w:id="201" w:name="_Toc12767"/>
      <w:bookmarkStart w:id="202" w:name="_Toc28565"/>
      <w:bookmarkStart w:id="203" w:name="_Toc30080"/>
      <w:bookmarkStart w:id="204" w:name="_Toc27440"/>
      <w:r>
        <w:rPr>
          <w:rFonts w:hint="eastAsia" w:ascii="Times New Roman" w:hAnsi="Times New Roman"/>
          <w:color w:val="auto"/>
          <w:highlight w:val="none"/>
        </w:rPr>
        <w:t>服务连续性要求</w:t>
      </w:r>
      <w:bookmarkEnd w:id="199"/>
      <w:bookmarkEnd w:id="200"/>
      <w:bookmarkEnd w:id="201"/>
      <w:bookmarkEnd w:id="202"/>
      <w:bookmarkEnd w:id="203"/>
      <w:bookmarkEnd w:id="204"/>
    </w:p>
    <w:p w14:paraId="396074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如涉及业务割接，投标人应提供割接方案，对现有网络及系统进行规范性迁移，能满足本项目需求的最短网络迁移割接计划，并承诺所进行的网络割接等操作尽量避免影响现有网络业务的正常运行，保证政务外网服务的连续性，并承诺最终时间周期。对市级政务外网中的重要节点，包括市级党委、人大、政府、政协、监察委、法院、检察院和人民团体等主要办公机构、市级政务云、各区政务外网、外省节点及各主要专网互联节点等提供专项迁移方案。</w:t>
      </w:r>
    </w:p>
    <w:p w14:paraId="523DE747">
      <w:pPr>
        <w:keepNext w:val="0"/>
        <w:keepLines w:val="0"/>
        <w:pageBreakBefore w:val="0"/>
        <w:widowControl w:val="0"/>
        <w:numPr>
          <w:ilvl w:val="0"/>
          <w:numId w:val="1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应完整详细说明本项目网络割接和调整以及进行相应的工程实施内容，并具备合理性。</w:t>
      </w:r>
    </w:p>
    <w:p w14:paraId="461DDB80">
      <w:pPr>
        <w:keepNext w:val="0"/>
        <w:keepLines w:val="0"/>
        <w:pageBreakBefore w:val="0"/>
        <w:widowControl w:val="0"/>
        <w:numPr>
          <w:ilvl w:val="0"/>
          <w:numId w:val="1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应说明各节点的割接和调整步骤以及具体工程实施计划，并具备可行性。</w:t>
      </w:r>
    </w:p>
    <w:p w14:paraId="065D6A04">
      <w:pPr>
        <w:keepNext w:val="0"/>
        <w:keepLines w:val="0"/>
        <w:pageBreakBefore w:val="0"/>
        <w:widowControl w:val="0"/>
        <w:numPr>
          <w:ilvl w:val="0"/>
          <w:numId w:val="1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应考虑对用户业务的中断性影响。政务外网作为政务应用重要基础设施，中标人需确保平滑割接，将影响控制在最小，并不影响用户正常业务的开展。</w:t>
      </w:r>
    </w:p>
    <w:p w14:paraId="52AB7F31">
      <w:pPr>
        <w:keepNext w:val="0"/>
        <w:keepLines w:val="0"/>
        <w:pageBreakBefore w:val="0"/>
        <w:widowControl w:val="0"/>
        <w:numPr>
          <w:ilvl w:val="0"/>
          <w:numId w:val="1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strike w:val="0"/>
          <w:color w:val="auto"/>
          <w:highlight w:val="none"/>
        </w:rPr>
      </w:pPr>
      <w:r>
        <w:rPr>
          <w:rFonts w:hint="eastAsia" w:ascii="Times New Roman" w:hAnsi="Times New Roman" w:eastAsia="仿宋_GB2312"/>
          <w:strike w:val="0"/>
          <w:color w:val="auto"/>
          <w:highlight w:val="none"/>
        </w:rPr>
        <w:t>割接方案包括但不限于网络拓扑、施工材料、迁移实施步骤、网络配置、线路切换、应急演练、验证方式、迁移时间、回退方案和保障计划等。</w:t>
      </w:r>
    </w:p>
    <w:p w14:paraId="069BD46A">
      <w:pPr>
        <w:pStyle w:val="2"/>
        <w:rPr>
          <w:rFonts w:ascii="Times New Roman" w:hAnsi="Times New Roman"/>
          <w:color w:val="auto"/>
          <w:highlight w:val="none"/>
        </w:rPr>
      </w:pPr>
      <w:bookmarkStart w:id="205" w:name="_Toc29831"/>
      <w:bookmarkStart w:id="206" w:name="_Toc3014"/>
      <w:bookmarkStart w:id="207" w:name="_Toc7044"/>
      <w:bookmarkStart w:id="208" w:name="_Toc22002"/>
      <w:bookmarkStart w:id="209" w:name="_Toc9179"/>
      <w:bookmarkStart w:id="210" w:name="_Toc3348"/>
      <w:r>
        <w:rPr>
          <w:rFonts w:hint="eastAsia" w:ascii="Times New Roman" w:hAnsi="Times New Roman"/>
          <w:color w:val="auto"/>
          <w:highlight w:val="none"/>
        </w:rPr>
        <w:t>服务</w:t>
      </w:r>
      <w:r>
        <w:rPr>
          <w:rFonts w:hint="eastAsia" w:ascii="Times New Roman" w:hAnsi="Times New Roman"/>
          <w:color w:val="auto"/>
          <w:highlight w:val="none"/>
          <w:lang w:val="en-US" w:eastAsia="zh-CN"/>
        </w:rPr>
        <w:t>支撑</w:t>
      </w:r>
      <w:r>
        <w:rPr>
          <w:rFonts w:hint="eastAsia" w:ascii="Times New Roman" w:hAnsi="Times New Roman"/>
          <w:color w:val="auto"/>
          <w:highlight w:val="none"/>
        </w:rPr>
        <w:t>要求</w:t>
      </w:r>
      <w:bookmarkEnd w:id="205"/>
      <w:bookmarkEnd w:id="206"/>
      <w:bookmarkEnd w:id="207"/>
      <w:bookmarkEnd w:id="208"/>
      <w:bookmarkEnd w:id="209"/>
      <w:bookmarkEnd w:id="210"/>
    </w:p>
    <w:p w14:paraId="3D18E0BA">
      <w:pPr>
        <w:pStyle w:val="3"/>
        <w:jc w:val="both"/>
        <w:rPr>
          <w:rFonts w:ascii="Times New Roman" w:hAnsi="Times New Roman"/>
          <w:color w:val="auto"/>
          <w:highlight w:val="none"/>
        </w:rPr>
      </w:pPr>
      <w:bookmarkStart w:id="211" w:name="_Toc10303"/>
      <w:bookmarkStart w:id="212" w:name="_Toc18559"/>
      <w:bookmarkStart w:id="213" w:name="_Toc29909"/>
      <w:bookmarkStart w:id="214" w:name="_Toc29482"/>
      <w:bookmarkStart w:id="215" w:name="_Toc7681"/>
      <w:bookmarkStart w:id="216" w:name="_Toc25596"/>
      <w:r>
        <w:rPr>
          <w:rFonts w:hint="eastAsia" w:ascii="Times New Roman" w:hAnsi="Times New Roman"/>
          <w:color w:val="auto"/>
          <w:highlight w:val="none"/>
        </w:rPr>
        <w:t>团队要求</w:t>
      </w:r>
      <w:bookmarkEnd w:id="211"/>
      <w:bookmarkEnd w:id="212"/>
    </w:p>
    <w:p w14:paraId="6AFFDD8D">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为</w:t>
      </w:r>
      <w:r>
        <w:rPr>
          <w:rFonts w:hint="eastAsia" w:ascii="Times New Roman" w:hAnsi="Times New Roman" w:eastAsia="仿宋_GB2312"/>
          <w:color w:val="auto"/>
          <w:highlight w:val="none"/>
          <w:lang w:val="en-US" w:eastAsia="zh-CN"/>
        </w:rPr>
        <w:t>本项目</w:t>
      </w:r>
      <w:r>
        <w:rPr>
          <w:rFonts w:hint="eastAsia" w:ascii="Times New Roman" w:hAnsi="Times New Roman" w:eastAsia="仿宋_GB2312"/>
          <w:color w:val="auto"/>
          <w:highlight w:val="none"/>
        </w:rPr>
        <w:t>单独</w:t>
      </w:r>
      <w:r>
        <w:rPr>
          <w:rFonts w:hint="eastAsia" w:ascii="Times New Roman" w:hAnsi="Times New Roman" w:eastAsia="仿宋_GB2312"/>
          <w:color w:val="auto"/>
          <w:highlight w:val="none"/>
          <w:lang w:val="en-US" w:eastAsia="zh-CN"/>
        </w:rPr>
        <w:t>设</w:t>
      </w:r>
      <w:r>
        <w:rPr>
          <w:rFonts w:hint="eastAsia" w:ascii="Times New Roman" w:hAnsi="Times New Roman" w:eastAsia="仿宋_GB2312"/>
          <w:color w:val="auto"/>
          <w:highlight w:val="none"/>
        </w:rPr>
        <w:t>立管理组织，</w:t>
      </w:r>
      <w:r>
        <w:rPr>
          <w:rFonts w:hint="eastAsia" w:ascii="Times New Roman" w:hAnsi="Times New Roman" w:eastAsia="仿宋_GB2312"/>
          <w:color w:val="auto"/>
          <w:highlight w:val="none"/>
          <w:lang w:val="en-US" w:eastAsia="zh-CN"/>
        </w:rPr>
        <w:t>构建完善</w:t>
      </w:r>
      <w:r>
        <w:rPr>
          <w:rFonts w:hint="eastAsia" w:ascii="Times New Roman" w:hAnsi="Times New Roman" w:eastAsia="仿宋_GB2312"/>
          <w:color w:val="auto"/>
          <w:highlight w:val="none"/>
        </w:rPr>
        <w:t>的组织架构，</w:t>
      </w:r>
      <w:r>
        <w:rPr>
          <w:rFonts w:hint="eastAsia" w:ascii="Times New Roman" w:hAnsi="Times New Roman" w:eastAsia="仿宋_GB2312"/>
          <w:color w:val="auto"/>
          <w:highlight w:val="none"/>
          <w:lang w:eastAsia="zh-Hans"/>
        </w:rPr>
        <w:t>组建</w:t>
      </w:r>
      <w:r>
        <w:rPr>
          <w:rFonts w:hint="eastAsia" w:ascii="Times New Roman" w:hAnsi="Times New Roman" w:eastAsia="仿宋_GB2312"/>
          <w:color w:val="auto"/>
          <w:highlight w:val="none"/>
          <w:lang w:val="en-US" w:eastAsia="zh-CN"/>
        </w:rPr>
        <w:t>专项</w:t>
      </w:r>
      <w:r>
        <w:rPr>
          <w:rFonts w:hint="eastAsia" w:ascii="Times New Roman" w:hAnsi="Times New Roman" w:eastAsia="仿宋_GB2312"/>
          <w:color w:val="auto"/>
          <w:highlight w:val="none"/>
        </w:rPr>
        <w:t>网络安全监管团队，</w:t>
      </w:r>
      <w:r>
        <w:rPr>
          <w:rFonts w:hint="eastAsia" w:ascii="Times New Roman" w:hAnsi="Times New Roman" w:eastAsia="仿宋_GB2312"/>
          <w:color w:val="auto"/>
          <w:highlight w:val="none"/>
          <w:lang w:val="en-US" w:eastAsia="zh-CN"/>
        </w:rPr>
        <w:t>并配置</w:t>
      </w:r>
      <w:r>
        <w:rPr>
          <w:rFonts w:hint="eastAsia" w:ascii="Times New Roman" w:hAnsi="Times New Roman" w:eastAsia="仿宋_GB2312"/>
          <w:color w:val="auto"/>
          <w:highlight w:val="none"/>
        </w:rPr>
        <w:t>充足服务</w:t>
      </w:r>
      <w:r>
        <w:rPr>
          <w:rFonts w:hint="eastAsia" w:ascii="Times New Roman" w:hAnsi="Times New Roman" w:eastAsia="仿宋_GB2312"/>
          <w:color w:val="auto"/>
          <w:highlight w:val="none"/>
          <w:lang w:val="en-US" w:eastAsia="zh-CN"/>
        </w:rPr>
        <w:t>人员</w:t>
      </w:r>
      <w:r>
        <w:rPr>
          <w:rFonts w:hint="eastAsia" w:ascii="Times New Roman" w:hAnsi="Times New Roman" w:eastAsia="仿宋_GB2312"/>
          <w:color w:val="auto"/>
          <w:highlight w:val="none"/>
        </w:rPr>
        <w:t>，确保市级政务外网</w:t>
      </w:r>
      <w:r>
        <w:rPr>
          <w:rFonts w:ascii="Times New Roman" w:hAnsi="Times New Roman" w:eastAsia="仿宋_GB2312"/>
          <w:color w:val="auto"/>
          <w:highlight w:val="none"/>
        </w:rPr>
        <w:t>7*24</w:t>
      </w:r>
      <w:r>
        <w:rPr>
          <w:rFonts w:hint="eastAsia" w:ascii="Times New Roman" w:hAnsi="Times New Roman" w:eastAsia="仿宋_GB2312"/>
          <w:color w:val="auto"/>
          <w:highlight w:val="none"/>
        </w:rPr>
        <w:t>小时安全稳定运行。</w:t>
      </w:r>
    </w:p>
    <w:p w14:paraId="3D032359">
      <w:pPr>
        <w:keepNext w:val="0"/>
        <w:keepLines w:val="0"/>
        <w:pageBreakBefore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
          <w:color w:val="auto"/>
          <w:highlight w:val="none"/>
          <w:lang w:eastAsia="zh-CN"/>
        </w:rPr>
      </w:pPr>
      <w:r>
        <w:rPr>
          <w:rFonts w:hint="eastAsia" w:ascii="Times New Roman" w:hAnsi="Times New Roman" w:eastAsia="仿宋_GB2312"/>
          <w:color w:val="auto"/>
          <w:highlight w:val="none"/>
        </w:rPr>
        <w:t>整体服务人员要求不少于</w:t>
      </w:r>
      <w:r>
        <w:rPr>
          <w:rFonts w:ascii="Times New Roman" w:hAnsi="Times New Roman" w:eastAsia="仿宋_GB2312"/>
          <w:color w:val="auto"/>
          <w:highlight w:val="none"/>
        </w:rPr>
        <w:t>100</w:t>
      </w:r>
      <w:r>
        <w:rPr>
          <w:rFonts w:hint="eastAsia" w:ascii="Times New Roman" w:hAnsi="Times New Roman" w:eastAsia="仿宋_GB2312"/>
          <w:color w:val="auto"/>
          <w:highlight w:val="none"/>
        </w:rPr>
        <w:t>人</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项目领导不少于</w:t>
      </w:r>
      <w:r>
        <w:rPr>
          <w:rFonts w:ascii="Times New Roman" w:hAnsi="Times New Roman" w:eastAsia="仿宋_GB2312"/>
          <w:color w:val="auto"/>
          <w:highlight w:val="none"/>
        </w:rPr>
        <w:t>3</w:t>
      </w:r>
      <w:r>
        <w:rPr>
          <w:rFonts w:hint="eastAsia" w:ascii="Times New Roman" w:hAnsi="Times New Roman" w:eastAsia="仿宋_GB2312"/>
          <w:color w:val="auto"/>
          <w:highlight w:val="none"/>
        </w:rPr>
        <w:t>人，负责网络建设、运维及安全运营等工作的</w:t>
      </w:r>
      <w:r>
        <w:rPr>
          <w:rFonts w:hint="eastAsia" w:ascii="Times New Roman" w:hAnsi="Times New Roman" w:eastAsia="仿宋_GB2312"/>
          <w:color w:val="auto"/>
          <w:highlight w:val="none"/>
          <w:lang w:val="en-US" w:eastAsia="zh-CN"/>
        </w:rPr>
        <w:t>统筹</w:t>
      </w:r>
      <w:r>
        <w:rPr>
          <w:rFonts w:hint="eastAsia" w:ascii="Times New Roman" w:hAnsi="Times New Roman" w:eastAsia="仿宋_GB2312"/>
          <w:color w:val="auto"/>
          <w:highlight w:val="none"/>
        </w:rPr>
        <w:t>领导</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组织管理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核心技术服务团队不少于</w:t>
      </w:r>
      <w:r>
        <w:rPr>
          <w:rFonts w:ascii="Times New Roman" w:hAnsi="Times New Roman" w:eastAsia="仿宋_GB2312"/>
          <w:color w:val="auto"/>
          <w:highlight w:val="none"/>
        </w:rPr>
        <w:t>30</w:t>
      </w:r>
      <w:r>
        <w:rPr>
          <w:rFonts w:hint="eastAsia" w:ascii="Times New Roman" w:hAnsi="Times New Roman" w:eastAsia="仿宋_GB2312"/>
          <w:color w:val="auto"/>
          <w:highlight w:val="none"/>
        </w:rPr>
        <w:t>人，</w:t>
      </w:r>
      <w:r>
        <w:rPr>
          <w:rFonts w:hint="eastAsia" w:ascii="Times New Roman" w:hAnsi="Times New Roman" w:eastAsia="仿宋_GB2312"/>
          <w:color w:val="auto"/>
          <w:highlight w:val="none"/>
          <w:lang w:val="en-US" w:eastAsia="zh-CN"/>
        </w:rPr>
        <w:t>包含</w:t>
      </w:r>
      <w:r>
        <w:rPr>
          <w:rFonts w:hint="eastAsia" w:ascii="Times New Roman" w:hAnsi="Times New Roman" w:eastAsia="仿宋_GB2312"/>
          <w:color w:val="auto"/>
          <w:highlight w:val="none"/>
        </w:rPr>
        <w:t>项目经理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网络建设经理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网络运</w:t>
      </w:r>
      <w:r>
        <w:rPr>
          <w:rFonts w:hint="eastAsia" w:ascii="Times New Roman" w:hAnsi="Times New Roman" w:eastAsia="仿宋_GB2312"/>
          <w:color w:val="auto"/>
          <w:highlight w:val="none"/>
          <w:lang w:eastAsia="zh-Hans"/>
        </w:rPr>
        <w:t>维</w:t>
      </w:r>
      <w:r>
        <w:rPr>
          <w:rFonts w:hint="eastAsia" w:ascii="Times New Roman" w:hAnsi="Times New Roman" w:eastAsia="仿宋_GB2312"/>
          <w:color w:val="auto"/>
          <w:highlight w:val="none"/>
        </w:rPr>
        <w:t>经理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eastAsia="zh-Hans"/>
        </w:rPr>
        <w:t>网络安全</w:t>
      </w:r>
      <w:r>
        <w:rPr>
          <w:rFonts w:hint="eastAsia" w:ascii="Times New Roman" w:hAnsi="Times New Roman" w:eastAsia="仿宋_GB2312"/>
          <w:color w:val="auto"/>
          <w:highlight w:val="none"/>
        </w:rPr>
        <w:t>经理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安全监管经理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网络</w:t>
      </w:r>
      <w:r>
        <w:rPr>
          <w:rFonts w:hint="eastAsia" w:ascii="Times New Roman" w:hAnsi="Times New Roman" w:eastAsia="仿宋_GB2312"/>
          <w:color w:val="auto"/>
          <w:highlight w:val="none"/>
          <w:lang w:eastAsia="zh-Hans"/>
        </w:rPr>
        <w:t>运营</w:t>
      </w:r>
      <w:r>
        <w:rPr>
          <w:rFonts w:hint="eastAsia" w:ascii="Times New Roman" w:hAnsi="Times New Roman" w:eastAsia="仿宋_GB2312"/>
          <w:color w:val="auto"/>
          <w:highlight w:val="none"/>
        </w:rPr>
        <w:t>经理</w:t>
      </w:r>
      <w:r>
        <w:rPr>
          <w:rFonts w:hint="eastAsia" w:ascii="Times New Roman" w:hAnsi="Times New Roman" w:eastAsia="仿宋_GB2312"/>
          <w:color w:val="auto"/>
          <w:highlight w:val="none"/>
          <w:lang w:val="en-US" w:eastAsia="zh-CN"/>
        </w:rPr>
        <w:t>各</w:t>
      </w:r>
      <w:r>
        <w:rPr>
          <w:rFonts w:hint="eastAsia" w:ascii="Times New Roman" w:hAnsi="Times New Roman" w:eastAsia="仿宋_GB2312"/>
          <w:color w:val="auto"/>
          <w:highlight w:val="none"/>
        </w:rPr>
        <w:t>不少于</w:t>
      </w:r>
      <w:r>
        <w:rPr>
          <w:rFonts w:ascii="Times New Roman" w:hAnsi="Times New Roman" w:eastAsia="仿宋_GB2312"/>
          <w:color w:val="auto"/>
          <w:highlight w:val="none"/>
        </w:rPr>
        <w:t>1</w:t>
      </w:r>
      <w:r>
        <w:rPr>
          <w:rFonts w:hint="eastAsia" w:ascii="Times New Roman" w:hAnsi="Times New Roman" w:eastAsia="仿宋_GB2312"/>
          <w:color w:val="auto"/>
          <w:highlight w:val="none"/>
        </w:rPr>
        <w:t>人，</w:t>
      </w:r>
      <w:r>
        <w:rPr>
          <w:rFonts w:hint="eastAsia" w:ascii="Times New Roman" w:hAnsi="Times New Roman" w:eastAsia="仿宋_GB2312"/>
          <w:color w:val="auto"/>
          <w:highlight w:val="none"/>
          <w:lang w:val="en-US" w:eastAsia="zh-CN"/>
        </w:rPr>
        <w:t>以及</w:t>
      </w:r>
      <w:r>
        <w:rPr>
          <w:rFonts w:hint="eastAsia" w:ascii="Times New Roman" w:hAnsi="Times New Roman" w:eastAsia="仿宋_GB2312"/>
          <w:color w:val="auto"/>
          <w:highlight w:val="none"/>
        </w:rPr>
        <w:t>核心网络及安全技术工程师不少于</w:t>
      </w:r>
      <w:r>
        <w:rPr>
          <w:rFonts w:ascii="Times New Roman" w:hAnsi="Times New Roman" w:eastAsia="仿宋_GB2312"/>
          <w:color w:val="auto"/>
          <w:highlight w:val="none"/>
        </w:rPr>
        <w:t>24</w:t>
      </w:r>
      <w:r>
        <w:rPr>
          <w:rFonts w:hint="eastAsia" w:ascii="Times New Roman" w:hAnsi="Times New Roman" w:eastAsia="仿宋_GB2312"/>
          <w:color w:val="auto"/>
          <w:highlight w:val="none"/>
        </w:rPr>
        <w:t>人，主要</w:t>
      </w:r>
      <w:r>
        <w:rPr>
          <w:rFonts w:hint="eastAsia" w:ascii="Times New Roman" w:hAnsi="Times New Roman" w:eastAsia="仿宋_GB2312"/>
          <w:color w:val="auto"/>
          <w:highlight w:val="none"/>
          <w:lang w:val="en-US" w:eastAsia="zh-CN"/>
        </w:rPr>
        <w:t>承担</w:t>
      </w:r>
      <w:r>
        <w:rPr>
          <w:rFonts w:hint="eastAsia" w:ascii="Times New Roman" w:hAnsi="Times New Roman" w:eastAsia="仿宋_GB2312"/>
          <w:color w:val="auto"/>
          <w:highlight w:val="none"/>
        </w:rPr>
        <w:t>网络建设咨询、核心架构</w:t>
      </w:r>
      <w:r>
        <w:rPr>
          <w:rFonts w:hint="eastAsia" w:ascii="Times New Roman" w:hAnsi="Times New Roman" w:eastAsia="仿宋_GB2312"/>
          <w:color w:val="auto"/>
          <w:highlight w:val="none"/>
          <w:lang w:val="en-US" w:eastAsia="zh-CN"/>
        </w:rPr>
        <w:t>设计</w:t>
      </w:r>
      <w:r>
        <w:rPr>
          <w:rFonts w:hint="eastAsia" w:ascii="Times New Roman" w:hAnsi="Times New Roman" w:eastAsia="仿宋_GB2312"/>
          <w:color w:val="auto"/>
          <w:highlight w:val="none"/>
        </w:rPr>
        <w:t>、安全运营管理</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运行保障等工作</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驻场人员不少于</w:t>
      </w:r>
      <w:r>
        <w:rPr>
          <w:rFonts w:ascii="Times New Roman" w:hAnsi="Times New Roman" w:eastAsia="仿宋_GB2312"/>
          <w:color w:val="auto"/>
          <w:highlight w:val="none"/>
        </w:rPr>
        <w:t>5</w:t>
      </w:r>
      <w:r>
        <w:rPr>
          <w:rFonts w:hint="eastAsia" w:ascii="Times New Roman" w:hAnsi="Times New Roman" w:eastAsia="仿宋_GB2312"/>
          <w:color w:val="auto"/>
          <w:highlight w:val="none"/>
        </w:rPr>
        <w:t>人，</w:t>
      </w:r>
      <w:r>
        <w:rPr>
          <w:rFonts w:hint="eastAsia" w:ascii="Times New Roman" w:hAnsi="Times New Roman" w:eastAsia="仿宋_GB2312"/>
          <w:color w:val="auto"/>
          <w:highlight w:val="none"/>
          <w:lang w:val="en-US" w:eastAsia="zh-CN"/>
        </w:rPr>
        <w:t>须配备</w:t>
      </w:r>
      <w:r>
        <w:rPr>
          <w:rFonts w:hint="eastAsia" w:ascii="Times New Roman" w:hAnsi="Times New Roman" w:eastAsia="仿宋_GB2312"/>
          <w:color w:val="auto"/>
          <w:highlight w:val="none"/>
        </w:rPr>
        <w:t>项目经理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网络</w:t>
      </w:r>
      <w:r>
        <w:rPr>
          <w:rFonts w:hint="eastAsia" w:ascii="Times New Roman" w:hAnsi="Times New Roman" w:eastAsia="仿宋_GB2312"/>
          <w:color w:val="auto"/>
          <w:highlight w:val="none"/>
          <w:lang w:eastAsia="zh-Hans"/>
        </w:rPr>
        <w:t>建设负责人</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网络运维</w:t>
      </w:r>
      <w:r>
        <w:rPr>
          <w:rFonts w:hint="eastAsia" w:ascii="Times New Roman" w:hAnsi="Times New Roman" w:eastAsia="仿宋_GB2312"/>
          <w:color w:val="auto"/>
          <w:highlight w:val="none"/>
          <w:lang w:eastAsia="zh-Hans"/>
        </w:rPr>
        <w:t>负责人</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网络安全</w:t>
      </w:r>
      <w:r>
        <w:rPr>
          <w:rFonts w:hint="eastAsia" w:ascii="Times New Roman" w:hAnsi="Times New Roman" w:eastAsia="仿宋_GB2312"/>
          <w:color w:val="auto"/>
          <w:highlight w:val="none"/>
          <w:lang w:eastAsia="zh-Hans"/>
        </w:rPr>
        <w:t>负责人</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eastAsia="zh-Hans"/>
        </w:rPr>
        <w:t>网络</w:t>
      </w:r>
      <w:r>
        <w:rPr>
          <w:rFonts w:hint="eastAsia" w:ascii="Times New Roman" w:hAnsi="Times New Roman" w:eastAsia="仿宋_GB2312"/>
          <w:color w:val="auto"/>
          <w:highlight w:val="none"/>
        </w:rPr>
        <w:t>运营</w:t>
      </w:r>
      <w:r>
        <w:rPr>
          <w:rFonts w:hint="eastAsia" w:ascii="Times New Roman" w:hAnsi="Times New Roman" w:eastAsia="仿宋_GB2312"/>
          <w:color w:val="auto"/>
          <w:highlight w:val="none"/>
          <w:lang w:eastAsia="zh-Hans"/>
        </w:rPr>
        <w:t>负责</w:t>
      </w:r>
      <w:r>
        <w:rPr>
          <w:rFonts w:hint="eastAsia" w:ascii="Times New Roman" w:hAnsi="Times New Roman" w:eastAsia="仿宋_GB2312"/>
          <w:color w:val="auto"/>
          <w:highlight w:val="none"/>
        </w:rPr>
        <w:t>人</w:t>
      </w:r>
      <w:r>
        <w:rPr>
          <w:rFonts w:hint="eastAsia" w:ascii="Times New Roman" w:hAnsi="Times New Roman" w:eastAsia="仿宋_GB2312"/>
          <w:color w:val="auto"/>
          <w:highlight w:val="none"/>
          <w:lang w:val="en-US" w:eastAsia="zh-CN"/>
        </w:rPr>
        <w:t>各1人；</w:t>
      </w:r>
      <w:r>
        <w:rPr>
          <w:rFonts w:hint="eastAsia" w:ascii="Times New Roman" w:hAnsi="Times New Roman" w:eastAsia="仿宋_GB2312"/>
          <w:color w:val="auto"/>
          <w:highlight w:val="none"/>
        </w:rPr>
        <w:t>以上驻场岗位</w:t>
      </w:r>
      <w:r>
        <w:rPr>
          <w:rFonts w:hint="eastAsia" w:ascii="Times New Roman" w:hAnsi="Times New Roman" w:eastAsia="仿宋_GB2312"/>
          <w:color w:val="auto"/>
          <w:highlight w:val="none"/>
          <w:lang w:val="en-US" w:eastAsia="zh-CN"/>
        </w:rPr>
        <w:t>均须设置</w:t>
      </w:r>
      <w:r>
        <w:rPr>
          <w:rFonts w:ascii="Times New Roman" w:hAnsi="Times New Roman" w:eastAsia="仿宋_GB2312"/>
          <w:color w:val="auto"/>
          <w:highlight w:val="none"/>
        </w:rPr>
        <w:t>A</w:t>
      </w:r>
      <w:r>
        <w:rPr>
          <w:rFonts w:hint="eastAsia" w:ascii="Times New Roman" w:hAnsi="Times New Roman" w:eastAsia="仿宋_GB2312"/>
          <w:color w:val="auto"/>
          <w:highlight w:val="none"/>
          <w:lang w:val="en-US" w:eastAsia="zh-CN"/>
        </w:rPr>
        <w:t>/</w:t>
      </w:r>
      <w:r>
        <w:rPr>
          <w:rFonts w:ascii="Times New Roman" w:hAnsi="Times New Roman" w:eastAsia="仿宋_GB2312"/>
          <w:color w:val="auto"/>
          <w:highlight w:val="none"/>
        </w:rPr>
        <w:t>B</w:t>
      </w:r>
      <w:r>
        <w:rPr>
          <w:rFonts w:hint="eastAsia" w:ascii="Times New Roman" w:hAnsi="Times New Roman" w:eastAsia="仿宋_GB2312"/>
          <w:color w:val="auto"/>
          <w:highlight w:val="none"/>
        </w:rPr>
        <w:t>角，</w:t>
      </w:r>
      <w:r>
        <w:rPr>
          <w:rFonts w:hint="eastAsia" w:ascii="Times New Roman" w:hAnsi="Times New Roman" w:eastAsia="仿宋_GB2312"/>
          <w:color w:val="auto"/>
          <w:highlight w:val="none"/>
          <w:lang w:val="en-US" w:eastAsia="zh-CN"/>
        </w:rPr>
        <w:t>确保</w:t>
      </w:r>
      <w:r>
        <w:rPr>
          <w:rFonts w:hint="eastAsia" w:ascii="Times New Roman" w:hAnsi="Times New Roman" w:eastAsia="仿宋_GB2312"/>
          <w:color w:val="auto"/>
          <w:highlight w:val="none"/>
        </w:rPr>
        <w:t>工作需平滑交接</w:t>
      </w:r>
      <w:r>
        <w:rPr>
          <w:rFonts w:hint="eastAsia" w:ascii="Times New Roman" w:hAnsi="Times New Roman" w:eastAsia="仿宋_GB2312"/>
          <w:color w:val="auto"/>
          <w:highlight w:val="none"/>
          <w:lang w:val="en-US" w:eastAsia="zh-CN"/>
        </w:rPr>
        <w:t>无</w:t>
      </w:r>
      <w:r>
        <w:rPr>
          <w:rFonts w:hint="eastAsia" w:ascii="Times New Roman" w:hAnsi="Times New Roman" w:eastAsia="仿宋_GB2312"/>
          <w:color w:val="auto"/>
          <w:highlight w:val="none"/>
        </w:rPr>
        <w:t>中断，</w:t>
      </w:r>
      <w:r>
        <w:rPr>
          <w:rFonts w:hint="eastAsia" w:ascii="Times New Roman" w:hAnsi="Times New Roman" w:eastAsia="仿宋_GB2312"/>
          <w:color w:val="auto"/>
          <w:highlight w:val="none"/>
          <w:lang w:val="en-US" w:eastAsia="zh-CN"/>
        </w:rPr>
        <w:t>且</w:t>
      </w:r>
      <w:r>
        <w:rPr>
          <w:rFonts w:hint="eastAsia" w:ascii="Times New Roman" w:hAnsi="Times New Roman" w:eastAsia="仿宋_GB2312"/>
          <w:color w:val="auto"/>
          <w:highlight w:val="none"/>
        </w:rPr>
        <w:t>未经</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同意不得缺位</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全网建设</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lang w:eastAsia="zh-Hans"/>
        </w:rPr>
        <w:t>运维</w:t>
      </w:r>
      <w:r>
        <w:rPr>
          <w:rFonts w:hint="eastAsia" w:ascii="Times New Roman" w:hAnsi="Times New Roman" w:eastAsia="仿宋_GB2312"/>
          <w:color w:val="auto"/>
          <w:highlight w:val="none"/>
        </w:rPr>
        <w:t>保障团队不少于</w:t>
      </w:r>
      <w:r>
        <w:rPr>
          <w:rFonts w:ascii="Times New Roman" w:hAnsi="Times New Roman" w:eastAsia="仿宋_GB2312"/>
          <w:color w:val="auto"/>
          <w:highlight w:val="none"/>
        </w:rPr>
        <w:t>62</w:t>
      </w:r>
      <w:r>
        <w:rPr>
          <w:rFonts w:hint="eastAsia" w:ascii="Times New Roman" w:hAnsi="Times New Roman" w:eastAsia="仿宋_GB2312"/>
          <w:color w:val="auto"/>
          <w:highlight w:val="none"/>
        </w:rPr>
        <w:t>人，负责网络日常建设、巡检、保障</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应急抢修等工作</w:t>
      </w:r>
      <w:r>
        <w:rPr>
          <w:rFonts w:ascii="Times New Roman" w:hAnsi="Times New Roman"/>
          <w:color w:val="auto"/>
          <w:highlight w:val="none"/>
        </w:rPr>
        <w:t>（提供最近</w:t>
      </w:r>
      <w:r>
        <w:rPr>
          <w:rFonts w:hint="eastAsia" w:ascii="Times New Roman" w:hAnsi="Times New Roman"/>
          <w:color w:val="auto"/>
          <w:highlight w:val="none"/>
          <w:lang w:eastAsia="zh-CN"/>
        </w:rPr>
        <w:t>三个月</w:t>
      </w:r>
      <w:r>
        <w:rPr>
          <w:rFonts w:hint="eastAsia" w:ascii="Times New Roman" w:hAnsi="Times New Roman"/>
          <w:color w:val="auto"/>
          <w:highlight w:val="none"/>
        </w:rPr>
        <w:t>任意一个月</w:t>
      </w:r>
      <w:r>
        <w:rPr>
          <w:rFonts w:ascii="Times New Roman" w:hAnsi="Times New Roman"/>
          <w:color w:val="auto"/>
          <w:highlight w:val="none"/>
        </w:rPr>
        <w:t>依法缴纳社保费的证明）</w:t>
      </w:r>
      <w:r>
        <w:rPr>
          <w:rFonts w:hint="eastAsia" w:ascii="Times New Roman" w:hAnsi="Times New Roman"/>
          <w:color w:val="auto"/>
          <w:highlight w:val="none"/>
          <w:lang w:eastAsia="zh-CN"/>
        </w:rPr>
        <w:t>。</w:t>
      </w:r>
    </w:p>
    <w:p w14:paraId="6655B898">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驻场人员变更</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提前1个月书面通知</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在保障业务顺利交接且</w:t>
      </w:r>
      <w:r>
        <w:rPr>
          <w:rFonts w:hint="eastAsia" w:ascii="Times New Roman" w:hAnsi="Times New Roman" w:eastAsia="仿宋_GB2312"/>
          <w:color w:val="auto"/>
          <w:highlight w:val="none"/>
          <w:lang w:val="en-US" w:eastAsia="zh-CN"/>
        </w:rPr>
        <w:t>经</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同意</w:t>
      </w:r>
      <w:r>
        <w:rPr>
          <w:rFonts w:hint="eastAsia" w:ascii="Times New Roman" w:hAnsi="Times New Roman" w:eastAsia="仿宋_GB2312"/>
          <w:color w:val="auto"/>
          <w:highlight w:val="none"/>
          <w:lang w:val="en-US" w:eastAsia="zh-CN"/>
        </w:rPr>
        <w:t>后，</w:t>
      </w:r>
      <w:r>
        <w:rPr>
          <w:rFonts w:hint="eastAsia" w:ascii="Times New Roman" w:hAnsi="Times New Roman" w:eastAsia="仿宋_GB2312"/>
          <w:color w:val="auto"/>
          <w:highlight w:val="none"/>
        </w:rPr>
        <w:t>方可</w:t>
      </w:r>
      <w:r>
        <w:rPr>
          <w:rFonts w:hint="eastAsia" w:ascii="Times New Roman" w:hAnsi="Times New Roman" w:eastAsia="仿宋_GB2312"/>
          <w:color w:val="auto"/>
          <w:highlight w:val="none"/>
          <w:lang w:val="en-US" w:eastAsia="zh-CN"/>
        </w:rPr>
        <w:t>实施</w:t>
      </w:r>
      <w:r>
        <w:rPr>
          <w:rFonts w:hint="eastAsia" w:ascii="Times New Roman" w:hAnsi="Times New Roman" w:eastAsia="仿宋_GB2312"/>
          <w:color w:val="auto"/>
          <w:highlight w:val="none"/>
        </w:rPr>
        <w:t>。</w:t>
      </w:r>
    </w:p>
    <w:tbl>
      <w:tblPr>
        <w:tblStyle w:val="36"/>
        <w:tblW w:w="5096" w:type="pct"/>
        <w:tblInd w:w="0" w:type="dxa"/>
        <w:tblLayout w:type="autofit"/>
        <w:tblCellMar>
          <w:top w:w="0" w:type="dxa"/>
          <w:left w:w="0" w:type="dxa"/>
          <w:bottom w:w="0" w:type="dxa"/>
          <w:right w:w="0" w:type="dxa"/>
        </w:tblCellMar>
      </w:tblPr>
      <w:tblGrid>
        <w:gridCol w:w="1567"/>
        <w:gridCol w:w="3023"/>
        <w:gridCol w:w="1064"/>
        <w:gridCol w:w="2830"/>
      </w:tblGrid>
      <w:tr w14:paraId="5F8B2FB8">
        <w:tblPrEx>
          <w:tblCellMar>
            <w:top w:w="0" w:type="dxa"/>
            <w:left w:w="0" w:type="dxa"/>
            <w:bottom w:w="0" w:type="dxa"/>
            <w:right w:w="0" w:type="dxa"/>
          </w:tblCellMar>
        </w:tblPrEx>
        <w:trPr>
          <w:trHeight w:val="369" w:hRule="atLeast"/>
          <w:tblHeader/>
        </w:trPr>
        <w:tc>
          <w:tcPr>
            <w:tcW w:w="923"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10AE968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color w:val="auto"/>
                <w:sz w:val="21"/>
                <w:szCs w:val="21"/>
                <w:highlight w:val="none"/>
              </w:rPr>
            </w:pPr>
            <w:r>
              <w:rPr>
                <w:rFonts w:hint="eastAsia" w:ascii="Times New Roman" w:hAnsi="Times New Roman" w:eastAsia="宋体" w:cs="宋体"/>
                <w:b/>
                <w:bCs/>
                <w:color w:val="auto"/>
                <w:kern w:val="0"/>
                <w:sz w:val="21"/>
                <w:szCs w:val="21"/>
                <w:highlight w:val="none"/>
              </w:rPr>
              <w:t>角色</w:t>
            </w:r>
          </w:p>
        </w:tc>
        <w:tc>
          <w:tcPr>
            <w:tcW w:w="1781"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046EAD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color w:val="auto"/>
                <w:kern w:val="0"/>
                <w:sz w:val="21"/>
                <w:szCs w:val="21"/>
                <w:highlight w:val="none"/>
              </w:rPr>
            </w:pPr>
            <w:r>
              <w:rPr>
                <w:rFonts w:hint="eastAsia" w:ascii="Times New Roman" w:hAnsi="Times New Roman" w:eastAsia="宋体" w:cs="宋体"/>
                <w:b/>
                <w:bCs/>
                <w:color w:val="auto"/>
                <w:kern w:val="0"/>
                <w:sz w:val="21"/>
                <w:szCs w:val="21"/>
                <w:highlight w:val="none"/>
              </w:rPr>
              <w:t>主要职责</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086CEB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color w:val="auto"/>
                <w:kern w:val="0"/>
                <w:sz w:val="21"/>
                <w:szCs w:val="21"/>
                <w:highlight w:val="none"/>
              </w:rPr>
            </w:pPr>
            <w:r>
              <w:rPr>
                <w:rFonts w:hint="eastAsia" w:ascii="Times New Roman" w:hAnsi="Times New Roman" w:eastAsia="宋体" w:cs="宋体"/>
                <w:b/>
                <w:bCs/>
                <w:color w:val="auto"/>
                <w:kern w:val="0"/>
                <w:sz w:val="21"/>
                <w:szCs w:val="21"/>
                <w:highlight w:val="none"/>
              </w:rPr>
              <w:t>人员数量</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582DFC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b/>
                <w:bCs/>
                <w:color w:val="auto"/>
                <w:kern w:val="0"/>
                <w:sz w:val="21"/>
                <w:szCs w:val="21"/>
                <w:highlight w:val="none"/>
              </w:rPr>
            </w:pPr>
            <w:r>
              <w:rPr>
                <w:rFonts w:hint="eastAsia" w:ascii="Times New Roman" w:hAnsi="Times New Roman" w:eastAsia="宋体" w:cs="宋体"/>
                <w:b/>
                <w:bCs/>
                <w:color w:val="auto"/>
                <w:kern w:val="0"/>
                <w:sz w:val="21"/>
                <w:szCs w:val="21"/>
                <w:highlight w:val="none"/>
              </w:rPr>
              <w:t>岗位备注</w:t>
            </w:r>
          </w:p>
        </w:tc>
      </w:tr>
      <w:tr w14:paraId="279EB71E">
        <w:tblPrEx>
          <w:tblCellMar>
            <w:top w:w="0" w:type="dxa"/>
            <w:left w:w="0" w:type="dxa"/>
            <w:bottom w:w="0" w:type="dxa"/>
            <w:right w:w="0" w:type="dxa"/>
          </w:tblCellMar>
        </w:tblPrEx>
        <w:trPr>
          <w:trHeight w:val="840" w:hRule="atLeast"/>
        </w:trPr>
        <w:tc>
          <w:tcPr>
            <w:tcW w:w="923" w:type="pct"/>
            <w:vMerge w:val="restart"/>
            <w:tcBorders>
              <w:top w:val="single" w:color="000000" w:sz="4" w:space="0"/>
              <w:left w:val="single" w:color="000000" w:sz="4" w:space="0"/>
              <w:right w:val="single" w:color="000000" w:sz="4" w:space="0"/>
            </w:tcBorders>
            <w:shd w:val="clear" w:color="auto" w:fill="auto"/>
            <w:tcMar>
              <w:top w:w="9" w:type="dxa"/>
              <w:left w:w="9" w:type="dxa"/>
              <w:right w:w="9" w:type="dxa"/>
            </w:tcMar>
            <w:vAlign w:val="center"/>
          </w:tcPr>
          <w:p w14:paraId="6D3F9AF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项目领导</w:t>
            </w:r>
          </w:p>
        </w:tc>
        <w:tc>
          <w:tcPr>
            <w:tcW w:w="1781"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1AC091F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负责网络建设领导、组织与管理</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C2F574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0025537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lang w:eastAsia="zh-Hans"/>
              </w:rPr>
              <w:t>网络建设项目领导</w:t>
            </w:r>
          </w:p>
        </w:tc>
      </w:tr>
      <w:tr w14:paraId="4AD08DC6">
        <w:tblPrEx>
          <w:tblCellMar>
            <w:top w:w="0" w:type="dxa"/>
            <w:left w:w="0" w:type="dxa"/>
            <w:bottom w:w="0" w:type="dxa"/>
            <w:right w:w="0" w:type="dxa"/>
          </w:tblCellMar>
        </w:tblPrEx>
        <w:trPr>
          <w:trHeight w:val="360" w:hRule="atLeast"/>
        </w:trPr>
        <w:tc>
          <w:tcPr>
            <w:tcW w:w="923" w:type="pct"/>
            <w:vMerge w:val="continue"/>
            <w:tcBorders>
              <w:left w:val="single" w:color="000000" w:sz="4" w:space="0"/>
              <w:right w:val="single" w:color="000000" w:sz="4" w:space="0"/>
            </w:tcBorders>
            <w:shd w:val="clear" w:color="auto" w:fill="auto"/>
            <w:tcMar>
              <w:top w:w="9" w:type="dxa"/>
              <w:left w:w="9" w:type="dxa"/>
              <w:right w:w="9" w:type="dxa"/>
            </w:tcMar>
            <w:vAlign w:val="center"/>
          </w:tcPr>
          <w:p w14:paraId="738343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p>
        </w:tc>
        <w:tc>
          <w:tcPr>
            <w:tcW w:w="1781"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11AE83D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负责网络</w:t>
            </w:r>
            <w:r>
              <w:rPr>
                <w:rFonts w:hint="eastAsia" w:ascii="Times New Roman" w:hAnsi="Times New Roman" w:eastAsia="宋体" w:cs="宋体"/>
                <w:color w:val="auto"/>
                <w:kern w:val="0"/>
                <w:sz w:val="21"/>
                <w:szCs w:val="21"/>
                <w:highlight w:val="none"/>
                <w:lang w:eastAsia="zh-Hans"/>
              </w:rPr>
              <w:t>运维</w:t>
            </w:r>
            <w:r>
              <w:rPr>
                <w:rFonts w:hint="eastAsia" w:ascii="Times New Roman" w:hAnsi="Times New Roman" w:eastAsia="宋体" w:cs="宋体"/>
                <w:color w:val="auto"/>
                <w:kern w:val="0"/>
                <w:sz w:val="21"/>
                <w:szCs w:val="21"/>
                <w:highlight w:val="none"/>
              </w:rPr>
              <w:t>领导、组织与管理</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07AD3D5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5161DD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lang w:eastAsia="zh-Hans"/>
              </w:rPr>
              <w:t>网络运维项目领导</w:t>
            </w:r>
          </w:p>
        </w:tc>
      </w:tr>
      <w:tr w14:paraId="48116551">
        <w:tblPrEx>
          <w:tblCellMar>
            <w:top w:w="0" w:type="dxa"/>
            <w:left w:w="0" w:type="dxa"/>
            <w:bottom w:w="0" w:type="dxa"/>
            <w:right w:w="0" w:type="dxa"/>
          </w:tblCellMar>
        </w:tblPrEx>
        <w:trPr>
          <w:trHeight w:val="360" w:hRule="atLeast"/>
        </w:trPr>
        <w:tc>
          <w:tcPr>
            <w:tcW w:w="923" w:type="pct"/>
            <w:vMerge w:val="continue"/>
            <w:tcBorders>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6580B33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p>
        </w:tc>
        <w:tc>
          <w:tcPr>
            <w:tcW w:w="1781"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A0C7AC1">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负责网络</w:t>
            </w:r>
            <w:r>
              <w:rPr>
                <w:rFonts w:hint="eastAsia" w:ascii="Times New Roman" w:hAnsi="Times New Roman" w:eastAsia="宋体" w:cs="宋体"/>
                <w:color w:val="auto"/>
                <w:kern w:val="0"/>
                <w:sz w:val="21"/>
                <w:szCs w:val="21"/>
                <w:highlight w:val="none"/>
                <w:lang w:eastAsia="zh-Hans"/>
              </w:rPr>
              <w:t>安全运营</w:t>
            </w:r>
            <w:r>
              <w:rPr>
                <w:rFonts w:hint="eastAsia" w:ascii="Times New Roman" w:hAnsi="Times New Roman" w:eastAsia="宋体" w:cs="宋体"/>
                <w:color w:val="auto"/>
                <w:kern w:val="0"/>
                <w:sz w:val="21"/>
                <w:szCs w:val="21"/>
                <w:highlight w:val="none"/>
              </w:rPr>
              <w:t>领导、组织与管理</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5520A2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0B38B1E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lang w:eastAsia="zh-Hans"/>
              </w:rPr>
              <w:t>网络安全运营项目领导</w:t>
            </w:r>
          </w:p>
        </w:tc>
      </w:tr>
      <w:tr w14:paraId="54326BE9">
        <w:tblPrEx>
          <w:tblCellMar>
            <w:top w:w="0" w:type="dxa"/>
            <w:left w:w="0" w:type="dxa"/>
            <w:bottom w:w="0" w:type="dxa"/>
            <w:right w:w="0" w:type="dxa"/>
          </w:tblCellMar>
        </w:tblPrEx>
        <w:trPr>
          <w:trHeight w:val="360" w:hRule="atLeast"/>
        </w:trPr>
        <w:tc>
          <w:tcPr>
            <w:tcW w:w="923" w:type="pct"/>
            <w:vMerge w:val="restar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2DEECA0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核心技术服务团队</w:t>
            </w:r>
          </w:p>
        </w:tc>
        <w:tc>
          <w:tcPr>
            <w:tcW w:w="1781" w:type="pct"/>
            <w:vMerge w:val="restar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6A0BCD3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负责网络建设咨询、网络核心架构、安全运营与管理、运行保障等工作</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8FAD05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94B4B2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项目经理</w:t>
            </w:r>
          </w:p>
        </w:tc>
      </w:tr>
      <w:tr w14:paraId="2388A789">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48DCB3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88B07BD">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01C620E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39F714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rPr>
              <w:t>网络</w:t>
            </w:r>
            <w:r>
              <w:rPr>
                <w:rFonts w:hint="eastAsia" w:ascii="Times New Roman" w:hAnsi="Times New Roman" w:eastAsia="宋体" w:cs="宋体"/>
                <w:color w:val="auto"/>
                <w:kern w:val="0"/>
                <w:sz w:val="21"/>
                <w:szCs w:val="21"/>
                <w:highlight w:val="none"/>
                <w:lang w:eastAsia="zh-Hans"/>
              </w:rPr>
              <w:t>建设</w:t>
            </w:r>
            <w:r>
              <w:rPr>
                <w:rFonts w:hint="eastAsia" w:ascii="Times New Roman" w:hAnsi="Times New Roman" w:eastAsia="宋体" w:cs="宋体"/>
                <w:color w:val="auto"/>
                <w:kern w:val="0"/>
                <w:sz w:val="21"/>
                <w:szCs w:val="21"/>
                <w:highlight w:val="none"/>
              </w:rPr>
              <w:t>经理</w:t>
            </w:r>
          </w:p>
        </w:tc>
      </w:tr>
      <w:tr w14:paraId="383128F1">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7B9BB8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B9850C7">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1B1C077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159B301F">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网络</w:t>
            </w:r>
            <w:r>
              <w:rPr>
                <w:rFonts w:hint="eastAsia" w:ascii="Times New Roman" w:hAnsi="Times New Roman" w:eastAsia="宋体" w:cs="宋体"/>
                <w:color w:val="auto"/>
                <w:kern w:val="0"/>
                <w:sz w:val="21"/>
                <w:szCs w:val="21"/>
                <w:highlight w:val="none"/>
                <w:lang w:eastAsia="zh-Hans"/>
              </w:rPr>
              <w:t>运维</w:t>
            </w:r>
            <w:r>
              <w:rPr>
                <w:rFonts w:hint="eastAsia" w:ascii="Times New Roman" w:hAnsi="Times New Roman" w:eastAsia="宋体" w:cs="宋体"/>
                <w:color w:val="auto"/>
                <w:kern w:val="0"/>
                <w:sz w:val="21"/>
                <w:szCs w:val="21"/>
                <w:highlight w:val="none"/>
              </w:rPr>
              <w:t>经理</w:t>
            </w:r>
          </w:p>
        </w:tc>
      </w:tr>
      <w:tr w14:paraId="191F2343">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52B795D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20EE37F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5D8A7DA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D2E90D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lang w:eastAsia="zh-Hans"/>
              </w:rPr>
              <w:t>网络安全</w:t>
            </w:r>
            <w:r>
              <w:rPr>
                <w:rFonts w:hint="eastAsia" w:ascii="Times New Roman" w:hAnsi="Times New Roman" w:eastAsia="宋体" w:cs="宋体"/>
                <w:color w:val="auto"/>
                <w:kern w:val="0"/>
                <w:sz w:val="21"/>
                <w:szCs w:val="21"/>
                <w:highlight w:val="none"/>
              </w:rPr>
              <w:t>经理</w:t>
            </w:r>
          </w:p>
        </w:tc>
      </w:tr>
      <w:tr w14:paraId="65D673C1">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5C4EED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2376B3B0">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05A78C6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0656EE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lang w:eastAsia="zh-Hans"/>
              </w:rPr>
              <w:t>安全监督</w:t>
            </w:r>
            <w:r>
              <w:rPr>
                <w:rFonts w:hint="eastAsia" w:ascii="Times New Roman" w:hAnsi="Times New Roman" w:eastAsia="宋体" w:cs="宋体"/>
                <w:color w:val="auto"/>
                <w:kern w:val="0"/>
                <w:sz w:val="21"/>
                <w:szCs w:val="21"/>
                <w:highlight w:val="none"/>
              </w:rPr>
              <w:t>经理</w:t>
            </w:r>
          </w:p>
        </w:tc>
      </w:tr>
      <w:tr w14:paraId="64BDC135">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74DEA1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647CC79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5E68E8E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99FD5C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lang w:eastAsia="zh-Hans"/>
              </w:rPr>
              <w:t>网络运营</w:t>
            </w:r>
            <w:r>
              <w:rPr>
                <w:rFonts w:hint="eastAsia" w:ascii="Times New Roman" w:hAnsi="Times New Roman" w:eastAsia="宋体" w:cs="宋体"/>
                <w:color w:val="auto"/>
                <w:kern w:val="0"/>
                <w:sz w:val="21"/>
                <w:szCs w:val="21"/>
                <w:highlight w:val="none"/>
              </w:rPr>
              <w:t>经理</w:t>
            </w:r>
          </w:p>
        </w:tc>
      </w:tr>
      <w:tr w14:paraId="4337C5A1">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50176555">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66077092">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1E8356C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24</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010A2632">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核心网络及安全技术工程师</w:t>
            </w:r>
          </w:p>
        </w:tc>
      </w:tr>
      <w:tr w14:paraId="27F540A1">
        <w:tblPrEx>
          <w:tblCellMar>
            <w:top w:w="0" w:type="dxa"/>
            <w:left w:w="0" w:type="dxa"/>
            <w:bottom w:w="0" w:type="dxa"/>
            <w:right w:w="0" w:type="dxa"/>
          </w:tblCellMar>
        </w:tblPrEx>
        <w:trPr>
          <w:trHeight w:val="360" w:hRule="atLeast"/>
        </w:trPr>
        <w:tc>
          <w:tcPr>
            <w:tcW w:w="923" w:type="pct"/>
            <w:vMerge w:val="restar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105896D">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驻场人员</w:t>
            </w:r>
          </w:p>
        </w:tc>
        <w:tc>
          <w:tcPr>
            <w:tcW w:w="1781" w:type="pct"/>
            <w:vMerge w:val="restar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EE47BB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负责网络日常运营</w:t>
            </w:r>
          </w:p>
          <w:p w14:paraId="79D5D28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及安全服务等工作</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2A606EE">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0741860">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lang w:eastAsia="zh-Hans"/>
              </w:rPr>
              <w:t>驻场</w:t>
            </w:r>
            <w:r>
              <w:rPr>
                <w:rFonts w:hint="eastAsia" w:ascii="Times New Roman" w:hAnsi="Times New Roman" w:eastAsia="宋体" w:cs="宋体"/>
                <w:color w:val="auto"/>
                <w:kern w:val="0"/>
                <w:sz w:val="21"/>
                <w:szCs w:val="21"/>
                <w:highlight w:val="none"/>
              </w:rPr>
              <w:t>项目经理</w:t>
            </w:r>
          </w:p>
          <w:p w14:paraId="3E3483C5">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（配备AB角）</w:t>
            </w:r>
          </w:p>
        </w:tc>
      </w:tr>
      <w:tr w14:paraId="1FE84AA6">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6CB17DBA">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0F41A07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2390C1A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468D6F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rPr>
              <w:t>网络运维负责</w:t>
            </w:r>
            <w:r>
              <w:rPr>
                <w:rFonts w:hint="eastAsia" w:ascii="Times New Roman" w:hAnsi="Times New Roman" w:eastAsia="宋体" w:cs="宋体"/>
                <w:color w:val="auto"/>
                <w:kern w:val="0"/>
                <w:sz w:val="21"/>
                <w:szCs w:val="21"/>
                <w:highlight w:val="none"/>
                <w:lang w:eastAsia="zh-Hans"/>
              </w:rPr>
              <w:t>人</w:t>
            </w:r>
          </w:p>
          <w:p w14:paraId="028178D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（配备AB角）</w:t>
            </w:r>
          </w:p>
        </w:tc>
      </w:tr>
      <w:tr w14:paraId="0FEAD4DE">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EC0FE56">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9E2F92F">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16E88264">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A2BA7A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lang w:eastAsia="zh-Hans"/>
              </w:rPr>
              <w:t>网络建设负责人</w:t>
            </w:r>
          </w:p>
          <w:p w14:paraId="521BEE6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rPr>
              <w:t>（配备AB角）</w:t>
            </w:r>
          </w:p>
        </w:tc>
      </w:tr>
      <w:tr w14:paraId="03B64A52">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7787F25C">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37DFDC9">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5BCF73F6">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3E6DADF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rPr>
              <w:t>网络安全负责</w:t>
            </w:r>
            <w:r>
              <w:rPr>
                <w:rFonts w:hint="eastAsia" w:ascii="Times New Roman" w:hAnsi="Times New Roman" w:eastAsia="宋体" w:cs="宋体"/>
                <w:color w:val="auto"/>
                <w:kern w:val="0"/>
                <w:sz w:val="21"/>
                <w:szCs w:val="21"/>
                <w:highlight w:val="none"/>
                <w:lang w:eastAsia="zh-Hans"/>
              </w:rPr>
              <w:t>人</w:t>
            </w:r>
          </w:p>
          <w:p w14:paraId="3C6EB39A">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（配备AB角）</w:t>
            </w:r>
          </w:p>
        </w:tc>
      </w:tr>
      <w:tr w14:paraId="34B859F0">
        <w:tblPrEx>
          <w:tblCellMar>
            <w:top w:w="0" w:type="dxa"/>
            <w:left w:w="0" w:type="dxa"/>
            <w:bottom w:w="0" w:type="dxa"/>
            <w:right w:w="0" w:type="dxa"/>
          </w:tblCellMar>
        </w:tblPrEx>
        <w:trPr>
          <w:trHeight w:val="360" w:hRule="atLeast"/>
        </w:trPr>
        <w:tc>
          <w:tcPr>
            <w:tcW w:w="923"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4D46E80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1781" w:type="pct"/>
            <w:vMerge w:val="continue"/>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2E805E88">
            <w:pPr>
              <w:keepNext w:val="0"/>
              <w:keepLines w:val="0"/>
              <w:pageBreakBefore w:val="0"/>
              <w:widowControl/>
              <w:kinsoku/>
              <w:wordWrap/>
              <w:overflowPunct/>
              <w:topLinePunct w:val="0"/>
              <w:autoSpaceDE/>
              <w:autoSpaceDN/>
              <w:bidi w:val="0"/>
              <w:adjustRightInd/>
              <w:snapToGrid/>
              <w:spacing w:line="240" w:lineRule="auto"/>
              <w:ind w:firstLine="0" w:firstLineChars="0"/>
              <w:jc w:val="center"/>
              <w:rPr>
                <w:rFonts w:hint="eastAsia" w:ascii="Times New Roman" w:hAnsi="Times New Roman" w:eastAsia="宋体" w:cs="宋体"/>
                <w:color w:val="auto"/>
                <w:kern w:val="0"/>
                <w:sz w:val="21"/>
                <w:szCs w:val="21"/>
                <w:highlight w:val="none"/>
              </w:rPr>
            </w:pP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5D0D424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1</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23CA673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lang w:eastAsia="zh-Hans"/>
              </w:rPr>
            </w:pPr>
            <w:r>
              <w:rPr>
                <w:rFonts w:hint="eastAsia" w:ascii="Times New Roman" w:hAnsi="Times New Roman" w:eastAsia="宋体" w:cs="宋体"/>
                <w:color w:val="auto"/>
                <w:kern w:val="0"/>
                <w:sz w:val="21"/>
                <w:szCs w:val="21"/>
                <w:highlight w:val="none"/>
                <w:lang w:eastAsia="zh-Hans"/>
              </w:rPr>
              <w:t>网络运营负责人</w:t>
            </w:r>
          </w:p>
          <w:p w14:paraId="63CF584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（配备AB角）</w:t>
            </w:r>
          </w:p>
        </w:tc>
      </w:tr>
      <w:tr w14:paraId="300C3E32">
        <w:tblPrEx>
          <w:tblCellMar>
            <w:top w:w="0" w:type="dxa"/>
            <w:left w:w="0" w:type="dxa"/>
            <w:bottom w:w="0" w:type="dxa"/>
            <w:right w:w="0" w:type="dxa"/>
          </w:tblCellMar>
        </w:tblPrEx>
        <w:trPr>
          <w:trHeight w:val="760" w:hRule="atLeast"/>
        </w:trPr>
        <w:tc>
          <w:tcPr>
            <w:tcW w:w="923"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2C925A7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建设运行保障团队</w:t>
            </w:r>
          </w:p>
        </w:tc>
        <w:tc>
          <w:tcPr>
            <w:tcW w:w="1781"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2EDE8E6C">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负责网络日常建设、巡检、保障、应急抢修等工作</w:t>
            </w:r>
          </w:p>
        </w:tc>
        <w:tc>
          <w:tcPr>
            <w:tcW w:w="62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5AA4E5A3">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r>
              <w:rPr>
                <w:rFonts w:hint="eastAsia" w:ascii="Times New Roman" w:hAnsi="Times New Roman" w:eastAsia="宋体" w:cs="宋体"/>
                <w:color w:val="auto"/>
                <w:kern w:val="0"/>
                <w:sz w:val="21"/>
                <w:szCs w:val="21"/>
                <w:highlight w:val="none"/>
              </w:rPr>
              <w:t>62</w:t>
            </w:r>
          </w:p>
        </w:tc>
        <w:tc>
          <w:tcPr>
            <w:tcW w:w="1667" w:type="pct"/>
            <w:tcBorders>
              <w:top w:val="single" w:color="000000" w:sz="4" w:space="0"/>
              <w:left w:val="single" w:color="000000" w:sz="4" w:space="0"/>
              <w:bottom w:val="single" w:color="000000" w:sz="4" w:space="0"/>
              <w:right w:val="single" w:color="000000" w:sz="4" w:space="0"/>
            </w:tcBorders>
            <w:shd w:val="clear" w:color="auto" w:fill="auto"/>
            <w:tcMar>
              <w:top w:w="9" w:type="dxa"/>
              <w:left w:w="9" w:type="dxa"/>
              <w:right w:w="9" w:type="dxa"/>
            </w:tcMar>
            <w:vAlign w:val="center"/>
          </w:tcPr>
          <w:p w14:paraId="0A5E730B">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Times New Roman" w:hAnsi="Times New Roman" w:eastAsia="宋体" w:cs="宋体"/>
                <w:color w:val="auto"/>
                <w:kern w:val="0"/>
                <w:sz w:val="21"/>
                <w:szCs w:val="21"/>
                <w:highlight w:val="none"/>
              </w:rPr>
            </w:pPr>
          </w:p>
        </w:tc>
      </w:tr>
    </w:tbl>
    <w:p w14:paraId="12C218F3">
      <w:pPr>
        <w:pStyle w:val="3"/>
        <w:jc w:val="both"/>
        <w:rPr>
          <w:rFonts w:ascii="Times New Roman" w:hAnsi="Times New Roman"/>
          <w:color w:val="auto"/>
          <w:highlight w:val="none"/>
        </w:rPr>
      </w:pPr>
      <w:bookmarkStart w:id="217" w:name="_Toc15726"/>
      <w:bookmarkStart w:id="218" w:name="_Toc23841"/>
      <w:r>
        <w:rPr>
          <w:rFonts w:hint="eastAsia" w:ascii="Times New Roman" w:hAnsi="Times New Roman"/>
          <w:color w:val="auto"/>
          <w:highlight w:val="none"/>
        </w:rPr>
        <w:t>业务咨询与规划</w:t>
      </w:r>
      <w:bookmarkEnd w:id="217"/>
      <w:r>
        <w:rPr>
          <w:rFonts w:hint="eastAsia" w:ascii="Times New Roman" w:hAnsi="Times New Roman"/>
          <w:color w:val="auto"/>
          <w:highlight w:val="none"/>
        </w:rPr>
        <w:t>要求</w:t>
      </w:r>
      <w:bookmarkEnd w:id="218"/>
    </w:p>
    <w:p w14:paraId="77C4AC5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color w:val="auto"/>
          <w:highlight w:val="none"/>
          <w:lang w:val="en-US" w:eastAsia="zh-CN"/>
        </w:rPr>
      </w:pPr>
      <w:r>
        <w:rPr>
          <w:rFonts w:hint="eastAsia" w:ascii="Times New Roman" w:hAnsi="Times New Roman" w:eastAsia="仿宋_GB2312" w:cs="仿宋_GB2312"/>
          <w:color w:val="auto"/>
          <w:highlight w:val="none"/>
        </w:rPr>
        <w:t>中标人应在服务期内</w:t>
      </w:r>
      <w:r>
        <w:rPr>
          <w:rFonts w:hint="eastAsia" w:ascii="Times New Roman" w:hAnsi="Times New Roman" w:eastAsia="仿宋_GB2312" w:cs="仿宋_GB2312"/>
          <w:color w:val="auto"/>
          <w:highlight w:val="none"/>
          <w:lang w:eastAsia="zh-CN"/>
        </w:rPr>
        <w:t>，</w:t>
      </w:r>
      <w:r>
        <w:rPr>
          <w:rFonts w:hint="eastAsia" w:ascii="Times New Roman" w:hAnsi="Times New Roman" w:eastAsia="仿宋_GB2312" w:cs="仿宋_GB2312"/>
          <w:color w:val="auto"/>
          <w:highlight w:val="none"/>
          <w:lang w:val="en-US" w:eastAsia="zh-CN"/>
        </w:rPr>
        <w:t>结合</w:t>
      </w:r>
      <w:r>
        <w:rPr>
          <w:rFonts w:hint="eastAsia" w:ascii="Times New Roman" w:hAnsi="Times New Roman" w:eastAsia="仿宋_GB2312" w:cs="仿宋_GB2312"/>
          <w:color w:val="auto"/>
          <w:highlight w:val="none"/>
        </w:rPr>
        <w:t>网络运行</w:t>
      </w:r>
      <w:r>
        <w:rPr>
          <w:rFonts w:hint="eastAsia" w:ascii="Times New Roman" w:hAnsi="Times New Roman" w:eastAsia="仿宋_GB2312" w:cs="仿宋_GB2312"/>
          <w:color w:val="auto"/>
          <w:highlight w:val="none"/>
          <w:lang w:val="en-US" w:eastAsia="zh-CN"/>
        </w:rPr>
        <w:t>状</w:t>
      </w:r>
      <w:r>
        <w:rPr>
          <w:rFonts w:hint="eastAsia" w:ascii="Times New Roman" w:hAnsi="Times New Roman" w:eastAsia="仿宋_GB2312" w:cs="仿宋_GB2312"/>
          <w:color w:val="auto"/>
          <w:highlight w:val="none"/>
        </w:rPr>
        <w:t>况</w:t>
      </w:r>
      <w:r>
        <w:rPr>
          <w:rFonts w:hint="eastAsia" w:ascii="Times New Roman" w:hAnsi="Times New Roman" w:eastAsia="仿宋_GB2312" w:cs="仿宋_GB2312"/>
          <w:color w:val="auto"/>
          <w:highlight w:val="none"/>
          <w:lang w:val="en-US" w:eastAsia="zh-CN"/>
        </w:rPr>
        <w:t>及</w:t>
      </w:r>
      <w:r>
        <w:rPr>
          <w:rFonts w:hint="eastAsia" w:ascii="Times New Roman" w:hAnsi="Times New Roman" w:eastAsia="仿宋_GB2312" w:cs="仿宋_GB2312"/>
          <w:color w:val="auto"/>
          <w:highlight w:val="none"/>
        </w:rPr>
        <w:t>业务发展趋势</w:t>
      </w:r>
      <w:r>
        <w:rPr>
          <w:rFonts w:hint="eastAsia" w:ascii="Times New Roman" w:hAnsi="Times New Roman" w:eastAsia="仿宋_GB2312" w:cs="仿宋_GB2312"/>
          <w:color w:val="auto"/>
          <w:highlight w:val="none"/>
          <w:lang w:eastAsia="zh-CN"/>
        </w:rPr>
        <w:t>，</w:t>
      </w:r>
      <w:r>
        <w:rPr>
          <w:rFonts w:hint="eastAsia" w:ascii="Times New Roman" w:hAnsi="Times New Roman" w:eastAsia="仿宋_GB2312" w:cs="仿宋_GB2312"/>
          <w:color w:val="auto"/>
          <w:highlight w:val="none"/>
        </w:rPr>
        <w:t>为</w:t>
      </w:r>
      <w:r>
        <w:rPr>
          <w:rFonts w:hint="eastAsia" w:ascii="Times New Roman" w:hAnsi="Times New Roman" w:eastAsia="仿宋_GB2312" w:cs="仿宋_GB2312"/>
          <w:color w:val="auto"/>
          <w:highlight w:val="none"/>
          <w:lang w:eastAsia="zh-CN"/>
        </w:rPr>
        <w:t>采购人</w:t>
      </w:r>
      <w:r>
        <w:rPr>
          <w:rFonts w:hint="eastAsia" w:ascii="Times New Roman" w:hAnsi="Times New Roman" w:eastAsia="仿宋_GB2312" w:cs="仿宋_GB2312"/>
          <w:color w:val="auto"/>
          <w:highlight w:val="none"/>
        </w:rPr>
        <w:t>提供业务咨询及规划服务。</w:t>
      </w:r>
      <w:r>
        <w:rPr>
          <w:rFonts w:hint="eastAsia" w:ascii="Times New Roman" w:hAnsi="Times New Roman" w:eastAsia="仿宋_GB2312" w:cs="仿宋_GB2312"/>
          <w:color w:val="auto"/>
          <w:highlight w:val="none"/>
          <w:lang w:val="en-US" w:eastAsia="zh-CN"/>
        </w:rPr>
        <w:t>具体包括：</w:t>
      </w:r>
    </w:p>
    <w:p w14:paraId="186269E1">
      <w:pPr>
        <w:keepNext w:val="0"/>
        <w:keepLines w:val="0"/>
        <w:pageBreakBefore w:val="0"/>
        <w:widowControl w:val="0"/>
        <w:numPr>
          <w:ilvl w:val="0"/>
          <w:numId w:val="19"/>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rPr>
        <w:t>根据政务外网现网运行情况</w:t>
      </w:r>
      <w:r>
        <w:rPr>
          <w:rFonts w:hint="eastAsia" w:ascii="Times New Roman" w:hAnsi="Times New Roman" w:eastAsia="仿宋_GB2312" w:cs="仿宋_GB2312"/>
          <w:color w:val="auto"/>
          <w:highlight w:val="none"/>
          <w:lang w:val="en-US" w:eastAsia="zh-CN"/>
        </w:rPr>
        <w:t>及采购人要求，按需提供面向</w:t>
      </w:r>
      <w:r>
        <w:rPr>
          <w:rFonts w:hint="eastAsia" w:ascii="Times New Roman" w:hAnsi="Times New Roman" w:eastAsia="仿宋_GB2312" w:cs="仿宋_GB2312"/>
          <w:color w:val="auto"/>
          <w:highlight w:val="none"/>
        </w:rPr>
        <w:t>网络前瞻性发展</w:t>
      </w:r>
      <w:r>
        <w:rPr>
          <w:rFonts w:hint="eastAsia" w:ascii="Times New Roman" w:hAnsi="Times New Roman" w:eastAsia="仿宋_GB2312" w:cs="仿宋_GB2312"/>
          <w:color w:val="auto"/>
          <w:highlight w:val="none"/>
          <w:lang w:val="en-US" w:eastAsia="zh-CN"/>
        </w:rPr>
        <w:t>的</w:t>
      </w:r>
      <w:r>
        <w:rPr>
          <w:rFonts w:hint="eastAsia" w:ascii="Times New Roman" w:hAnsi="Times New Roman" w:eastAsia="仿宋_GB2312" w:cs="仿宋_GB2312"/>
          <w:color w:val="auto"/>
          <w:highlight w:val="none"/>
        </w:rPr>
        <w:t>工作方案、</w:t>
      </w:r>
      <w:r>
        <w:rPr>
          <w:rFonts w:hint="eastAsia" w:ascii="Times New Roman" w:hAnsi="Times New Roman" w:eastAsia="仿宋_GB2312" w:cs="仿宋_GB2312"/>
          <w:color w:val="auto"/>
          <w:highlight w:val="none"/>
          <w:lang w:val="en-US" w:eastAsia="zh-CN"/>
        </w:rPr>
        <w:t>标准规范、</w:t>
      </w:r>
      <w:r>
        <w:rPr>
          <w:rFonts w:hint="eastAsia" w:ascii="Times New Roman" w:hAnsi="Times New Roman" w:eastAsia="仿宋_GB2312" w:cs="仿宋_GB2312"/>
          <w:color w:val="auto"/>
          <w:highlight w:val="none"/>
        </w:rPr>
        <w:t>运营机制</w:t>
      </w:r>
      <w:r>
        <w:rPr>
          <w:rFonts w:hint="eastAsia" w:ascii="Times New Roman" w:hAnsi="Times New Roman" w:eastAsia="仿宋_GB2312" w:cs="仿宋_GB2312"/>
          <w:color w:val="auto"/>
          <w:highlight w:val="none"/>
          <w:lang w:val="en-US" w:eastAsia="zh-CN"/>
        </w:rPr>
        <w:t>和</w:t>
      </w:r>
      <w:r>
        <w:rPr>
          <w:rFonts w:hint="eastAsia" w:ascii="Times New Roman" w:hAnsi="Times New Roman" w:eastAsia="仿宋_GB2312" w:cs="仿宋_GB2312"/>
          <w:color w:val="auto"/>
          <w:highlight w:val="none"/>
        </w:rPr>
        <w:t>管理办法等</w:t>
      </w:r>
      <w:r>
        <w:rPr>
          <w:rFonts w:hint="eastAsia" w:ascii="Times New Roman" w:hAnsi="Times New Roman" w:eastAsia="仿宋_GB2312" w:cs="仿宋_GB2312"/>
          <w:color w:val="auto"/>
          <w:highlight w:val="none"/>
          <w:lang w:val="en-US" w:eastAsia="zh-CN"/>
        </w:rPr>
        <w:t>业务咨询；</w:t>
      </w:r>
    </w:p>
    <w:p w14:paraId="65FF47A9">
      <w:pPr>
        <w:keepNext w:val="0"/>
        <w:keepLines w:val="0"/>
        <w:pageBreakBefore w:val="0"/>
        <w:widowControl w:val="0"/>
        <w:numPr>
          <w:ilvl w:val="0"/>
          <w:numId w:val="19"/>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rPr>
        <w:t>针对市政务外网管理平面业务需求，对市区两级OTN光传输网络的互联互通进行业务规划</w:t>
      </w:r>
      <w:r>
        <w:rPr>
          <w:rFonts w:hint="eastAsia" w:ascii="Times New Roman" w:hAnsi="Times New Roman" w:eastAsia="仿宋_GB2312" w:cs="仿宋_GB2312"/>
          <w:color w:val="auto"/>
          <w:highlight w:val="none"/>
          <w:lang w:eastAsia="zh-CN"/>
        </w:rPr>
        <w:t>（</w:t>
      </w:r>
      <w:r>
        <w:rPr>
          <w:rFonts w:hint="eastAsia" w:ascii="Times New Roman" w:hAnsi="Times New Roman" w:eastAsia="仿宋_GB2312" w:cs="仿宋_GB2312"/>
          <w:color w:val="auto"/>
          <w:highlight w:val="none"/>
          <w:lang w:val="en-US" w:eastAsia="zh-CN"/>
        </w:rPr>
        <w:t>含</w:t>
      </w:r>
      <w:r>
        <w:rPr>
          <w:rFonts w:hint="eastAsia" w:ascii="Times New Roman" w:hAnsi="Times New Roman" w:eastAsia="仿宋_GB2312" w:cs="仿宋_GB2312"/>
          <w:color w:val="auto"/>
          <w:highlight w:val="none"/>
        </w:rPr>
        <w:t>各区光传输网络现状分析、对接规划以及优化建议</w:t>
      </w:r>
      <w:r>
        <w:rPr>
          <w:rFonts w:hint="eastAsia" w:ascii="Times New Roman" w:hAnsi="Times New Roman" w:eastAsia="仿宋_GB2312" w:cs="仿宋_GB2312"/>
          <w:color w:val="auto"/>
          <w:highlight w:val="none"/>
          <w:lang w:eastAsia="zh-CN"/>
        </w:rPr>
        <w:t>）；</w:t>
      </w:r>
    </w:p>
    <w:p w14:paraId="44F024D6">
      <w:pPr>
        <w:keepNext w:val="0"/>
        <w:keepLines w:val="0"/>
        <w:pageBreakBefore w:val="0"/>
        <w:widowControl w:val="0"/>
        <w:numPr>
          <w:ilvl w:val="0"/>
          <w:numId w:val="19"/>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lang w:val="en-US" w:eastAsia="zh-CN"/>
        </w:rPr>
        <w:t>针对政务云机房间高速互联需求，提供</w:t>
      </w:r>
      <w:r>
        <w:rPr>
          <w:rFonts w:hint="eastAsia" w:ascii="Times New Roman" w:hAnsi="Times New Roman" w:eastAsia="仿宋_GB2312" w:cs="仿宋_GB2312"/>
          <w:color w:val="auto"/>
          <w:highlight w:val="none"/>
        </w:rPr>
        <w:t>大规模数据交互</w:t>
      </w:r>
      <w:r>
        <w:rPr>
          <w:rFonts w:hint="eastAsia" w:ascii="Times New Roman" w:hAnsi="Times New Roman" w:eastAsia="仿宋_GB2312" w:cs="仿宋_GB2312"/>
          <w:color w:val="auto"/>
          <w:highlight w:val="none"/>
          <w:lang w:val="en-US" w:eastAsia="zh-CN"/>
        </w:rPr>
        <w:t>规划方案，并按需实施；</w:t>
      </w:r>
    </w:p>
    <w:p w14:paraId="6F967F88">
      <w:pPr>
        <w:keepNext w:val="0"/>
        <w:keepLines w:val="0"/>
        <w:pageBreakBefore w:val="0"/>
        <w:widowControl w:val="0"/>
        <w:numPr>
          <w:ilvl w:val="0"/>
          <w:numId w:val="19"/>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lang w:val="en-US" w:eastAsia="zh-CN"/>
        </w:rPr>
        <w:t>探索</w:t>
      </w:r>
      <w:r>
        <w:rPr>
          <w:rFonts w:hint="eastAsia" w:ascii="Times New Roman" w:hAnsi="Times New Roman" w:eastAsia="仿宋_GB2312" w:cs="仿宋_GB2312"/>
          <w:color w:val="auto"/>
          <w:highlight w:val="none"/>
        </w:rPr>
        <w:t>AI赋能政务外网运营能力提升，</w:t>
      </w:r>
      <w:r>
        <w:rPr>
          <w:rFonts w:hint="eastAsia" w:ascii="Times New Roman" w:hAnsi="Times New Roman" w:eastAsia="仿宋_GB2312" w:cs="仿宋_GB2312"/>
          <w:color w:val="auto"/>
          <w:highlight w:val="none"/>
          <w:lang w:val="en-US" w:eastAsia="zh-CN"/>
        </w:rPr>
        <w:t>提供</w:t>
      </w:r>
      <w:r>
        <w:rPr>
          <w:rFonts w:hint="eastAsia" w:ascii="Times New Roman" w:hAnsi="Times New Roman" w:eastAsia="仿宋_GB2312" w:cs="仿宋_GB2312"/>
          <w:color w:val="auto"/>
          <w:highlight w:val="none"/>
        </w:rPr>
        <w:t>AI在故障发现与诊断等场景的应用</w:t>
      </w:r>
      <w:r>
        <w:rPr>
          <w:rFonts w:hint="eastAsia" w:ascii="Times New Roman" w:hAnsi="Times New Roman" w:eastAsia="仿宋_GB2312" w:cs="仿宋_GB2312"/>
          <w:color w:val="auto"/>
          <w:highlight w:val="none"/>
          <w:lang w:val="en-US" w:eastAsia="zh-CN"/>
        </w:rPr>
        <w:t>方案</w:t>
      </w:r>
      <w:r>
        <w:rPr>
          <w:rFonts w:hint="eastAsia" w:ascii="Times New Roman" w:hAnsi="Times New Roman" w:eastAsia="仿宋_GB2312" w:cs="仿宋_GB2312"/>
          <w:color w:val="auto"/>
          <w:highlight w:val="none"/>
        </w:rPr>
        <w:t>，</w:t>
      </w:r>
      <w:r>
        <w:rPr>
          <w:rFonts w:hint="eastAsia" w:ascii="Times New Roman" w:hAnsi="Times New Roman" w:eastAsia="仿宋_GB2312" w:cs="仿宋_GB2312"/>
          <w:color w:val="auto"/>
          <w:highlight w:val="none"/>
          <w:lang w:val="en-US" w:eastAsia="zh-CN"/>
        </w:rPr>
        <w:t>并推进落地</w:t>
      </w:r>
      <w:r>
        <w:rPr>
          <w:rFonts w:hint="eastAsia" w:ascii="Times New Roman" w:hAnsi="Times New Roman" w:eastAsia="仿宋_GB2312" w:cs="仿宋_GB2312"/>
          <w:color w:val="auto"/>
          <w:highlight w:val="none"/>
          <w:lang w:eastAsia="zh-CN"/>
        </w:rPr>
        <w:t>；</w:t>
      </w:r>
    </w:p>
    <w:p w14:paraId="63472085">
      <w:pPr>
        <w:keepNext w:val="0"/>
        <w:keepLines w:val="0"/>
        <w:pageBreakBefore w:val="0"/>
        <w:widowControl w:val="0"/>
        <w:numPr>
          <w:ilvl w:val="0"/>
          <w:numId w:val="19"/>
        </w:numPr>
        <w:kinsoku/>
        <w:wordWrap/>
        <w:overflowPunct/>
        <w:topLinePunct w:val="0"/>
        <w:autoSpaceDE/>
        <w:autoSpaceDN/>
        <w:bidi w:val="0"/>
        <w:adjustRightInd/>
        <w:snapToGrid/>
        <w:spacing w:line="560" w:lineRule="exact"/>
        <w:jc w:val="both"/>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rPr>
        <w:t>根据新网络</w:t>
      </w:r>
      <w:r>
        <w:rPr>
          <w:rFonts w:hint="eastAsia" w:ascii="Times New Roman" w:hAnsi="Times New Roman" w:eastAsia="仿宋_GB2312" w:cs="仿宋_GB2312"/>
          <w:color w:val="auto"/>
          <w:highlight w:val="none"/>
          <w:lang w:eastAsia="zh-CN"/>
        </w:rPr>
        <w:t>、</w:t>
      </w:r>
      <w:r>
        <w:rPr>
          <w:rFonts w:hint="eastAsia" w:ascii="Times New Roman" w:hAnsi="Times New Roman" w:eastAsia="仿宋_GB2312" w:cs="仿宋_GB2312"/>
          <w:color w:val="auto"/>
          <w:highlight w:val="none"/>
        </w:rPr>
        <w:t>新技术</w:t>
      </w:r>
      <w:r>
        <w:rPr>
          <w:rFonts w:hint="eastAsia" w:ascii="Times New Roman" w:hAnsi="Times New Roman" w:eastAsia="仿宋_GB2312" w:cs="仿宋_GB2312"/>
          <w:color w:val="auto"/>
          <w:highlight w:val="none"/>
          <w:lang w:eastAsia="zh-CN"/>
        </w:rPr>
        <w:t>、</w:t>
      </w:r>
      <w:r>
        <w:rPr>
          <w:rFonts w:hint="eastAsia" w:ascii="Times New Roman" w:hAnsi="Times New Roman" w:eastAsia="仿宋_GB2312" w:cs="仿宋_GB2312"/>
          <w:color w:val="auto"/>
          <w:highlight w:val="none"/>
        </w:rPr>
        <w:t>新业务发展，</w:t>
      </w:r>
      <w:r>
        <w:rPr>
          <w:rFonts w:hint="eastAsia" w:ascii="Times New Roman" w:hAnsi="Times New Roman" w:eastAsia="仿宋_GB2312" w:cs="仿宋_GB2312"/>
          <w:color w:val="auto"/>
          <w:highlight w:val="none"/>
          <w:lang w:val="en-US" w:eastAsia="zh-CN"/>
        </w:rPr>
        <w:t>适时</w:t>
      </w:r>
      <w:r>
        <w:rPr>
          <w:rFonts w:hint="eastAsia" w:ascii="Times New Roman" w:hAnsi="Times New Roman" w:eastAsia="仿宋_GB2312" w:cs="仿宋_GB2312"/>
          <w:color w:val="auto"/>
          <w:highlight w:val="none"/>
        </w:rPr>
        <w:t>提供技术规范，</w:t>
      </w:r>
      <w:r>
        <w:rPr>
          <w:rFonts w:hint="eastAsia" w:ascii="Times New Roman" w:hAnsi="Times New Roman" w:eastAsia="仿宋_GB2312" w:cs="仿宋_GB2312"/>
          <w:color w:val="auto"/>
          <w:highlight w:val="none"/>
          <w:lang w:val="en-US" w:eastAsia="zh-CN"/>
        </w:rPr>
        <w:t>开展</w:t>
      </w:r>
      <w:r>
        <w:rPr>
          <w:rFonts w:hint="eastAsia" w:ascii="Times New Roman" w:hAnsi="Times New Roman" w:eastAsia="仿宋_GB2312" w:cs="仿宋_GB2312"/>
          <w:color w:val="auto"/>
          <w:highlight w:val="none"/>
        </w:rPr>
        <w:t>网络评估，提出升级改造方案并组织实施。</w:t>
      </w:r>
    </w:p>
    <w:bookmarkEnd w:id="213"/>
    <w:bookmarkEnd w:id="214"/>
    <w:bookmarkEnd w:id="215"/>
    <w:bookmarkEnd w:id="216"/>
    <w:p w14:paraId="1E295FE4">
      <w:pPr>
        <w:pStyle w:val="3"/>
        <w:rPr>
          <w:rFonts w:ascii="Times New Roman" w:hAnsi="Times New Roman"/>
          <w:color w:val="auto"/>
          <w:highlight w:val="none"/>
        </w:rPr>
      </w:pPr>
      <w:bookmarkStart w:id="219" w:name="_Toc16780"/>
      <w:bookmarkStart w:id="220" w:name="_Toc8694"/>
      <w:bookmarkStart w:id="221" w:name="_Toc7501"/>
      <w:bookmarkStart w:id="222" w:name="_Toc25802"/>
      <w:bookmarkStart w:id="223" w:name="_Toc23273"/>
      <w:bookmarkStart w:id="224" w:name="_Toc17425"/>
      <w:bookmarkStart w:id="225" w:name="_Toc20818"/>
      <w:r>
        <w:rPr>
          <w:rFonts w:hint="eastAsia" w:ascii="Times New Roman" w:hAnsi="Times New Roman"/>
          <w:color w:val="auto"/>
          <w:highlight w:val="none"/>
        </w:rPr>
        <w:t>业务受理要求</w:t>
      </w:r>
      <w:bookmarkEnd w:id="219"/>
      <w:bookmarkEnd w:id="220"/>
      <w:bookmarkEnd w:id="221"/>
      <w:bookmarkEnd w:id="222"/>
      <w:bookmarkEnd w:id="223"/>
      <w:bookmarkEnd w:id="224"/>
    </w:p>
    <w:p w14:paraId="1FED4242">
      <w:pPr>
        <w:keepNext w:val="0"/>
        <w:keepLines w:val="0"/>
        <w:pageBreakBefore w:val="0"/>
        <w:widowControl/>
        <w:numPr>
          <w:ilvl w:val="0"/>
          <w:numId w:val="20"/>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应在</w:t>
      </w:r>
      <w:r>
        <w:rPr>
          <w:rFonts w:hint="eastAsia" w:ascii="Times New Roman" w:hAnsi="Times New Roman" w:eastAsia="仿宋_GB2312"/>
          <w:color w:val="auto"/>
          <w:highlight w:val="none"/>
        </w:rPr>
        <w:t>接到</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开具的工单后5个工作日内</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完成到用户接入点</w:t>
      </w:r>
      <w:r>
        <w:rPr>
          <w:rFonts w:hint="eastAsia" w:ascii="Times New Roman" w:hAnsi="Times New Roman" w:eastAsia="仿宋_GB2312"/>
          <w:color w:val="auto"/>
          <w:highlight w:val="none"/>
          <w:lang w:val="en-US" w:eastAsia="zh-CN"/>
        </w:rPr>
        <w:t>链</w:t>
      </w:r>
      <w:r>
        <w:rPr>
          <w:rFonts w:hint="eastAsia" w:ascii="Times New Roman" w:hAnsi="Times New Roman" w:eastAsia="仿宋_GB2312"/>
          <w:color w:val="auto"/>
          <w:highlight w:val="none"/>
        </w:rPr>
        <w:t>路的资源</w:t>
      </w:r>
      <w:r>
        <w:rPr>
          <w:rFonts w:hint="eastAsia" w:ascii="Times New Roman" w:hAnsi="Times New Roman" w:eastAsia="仿宋_GB2312"/>
          <w:color w:val="auto"/>
          <w:highlight w:val="none"/>
          <w:lang w:val="en-US" w:eastAsia="zh-CN"/>
        </w:rPr>
        <w:t>勘察</w:t>
      </w:r>
      <w:r>
        <w:rPr>
          <w:rFonts w:hint="eastAsia" w:ascii="Times New Roman" w:hAnsi="Times New Roman" w:eastAsia="仿宋_GB2312"/>
          <w:color w:val="auto"/>
          <w:highlight w:val="none"/>
        </w:rPr>
        <w:t>工作</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并在</w:t>
      </w:r>
      <w:r>
        <w:rPr>
          <w:rFonts w:hint="eastAsia" w:ascii="Times New Roman" w:hAnsi="Times New Roman" w:eastAsia="仿宋_GB2312"/>
          <w:color w:val="auto"/>
          <w:highlight w:val="none"/>
        </w:rPr>
        <w:t>30个工作日内</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制定</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提交符合用户需求、具备可实施性的具体方案</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同时</w:t>
      </w:r>
      <w:r>
        <w:rPr>
          <w:rFonts w:hint="eastAsia" w:ascii="Times New Roman" w:hAnsi="Times New Roman" w:eastAsia="仿宋_GB2312"/>
          <w:color w:val="auto"/>
          <w:highlight w:val="none"/>
        </w:rPr>
        <w:t>完成网络接入施工。</w:t>
      </w:r>
      <w:r>
        <w:rPr>
          <w:rFonts w:hint="eastAsia" w:ascii="Times New Roman" w:hAnsi="Times New Roman" w:eastAsia="仿宋_GB2312"/>
          <w:color w:val="auto"/>
          <w:highlight w:val="none"/>
          <w:lang w:val="en-US" w:eastAsia="zh-CN"/>
        </w:rPr>
        <w:t>如</w:t>
      </w:r>
      <w:r>
        <w:rPr>
          <w:rFonts w:hint="eastAsia" w:ascii="Times New Roman" w:hAnsi="Times New Roman" w:eastAsia="仿宋_GB2312"/>
          <w:color w:val="auto"/>
          <w:highlight w:val="none"/>
        </w:rPr>
        <w:t>因市政管道资源限制、接入单位不具备接入条件等特殊原因影响网络接入，可根据实际情况适当</w:t>
      </w:r>
      <w:r>
        <w:rPr>
          <w:rFonts w:hint="eastAsia" w:ascii="Times New Roman" w:hAnsi="Times New Roman" w:eastAsia="仿宋_GB2312"/>
          <w:color w:val="auto"/>
          <w:highlight w:val="none"/>
          <w:lang w:val="en-US" w:eastAsia="zh-CN"/>
        </w:rPr>
        <w:t>延期，最长不超过</w:t>
      </w:r>
      <w:r>
        <w:rPr>
          <w:rFonts w:hint="eastAsia" w:ascii="Times New Roman" w:hAnsi="Times New Roman" w:eastAsia="仿宋_GB2312"/>
          <w:color w:val="auto"/>
          <w:highlight w:val="none"/>
        </w:rPr>
        <w:t>90个工作日，同时</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提供对应</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解决方案及</w:t>
      </w:r>
      <w:r>
        <w:rPr>
          <w:rFonts w:hint="eastAsia" w:ascii="Times New Roman" w:hAnsi="Times New Roman" w:eastAsia="仿宋_GB2312"/>
          <w:color w:val="auto"/>
          <w:highlight w:val="none"/>
          <w:lang w:val="en-US" w:eastAsia="zh-CN"/>
        </w:rPr>
        <w:t>详细实施</w:t>
      </w:r>
      <w:r>
        <w:rPr>
          <w:rFonts w:hint="eastAsia" w:ascii="Times New Roman" w:hAnsi="Times New Roman" w:eastAsia="仿宋_GB2312"/>
          <w:color w:val="auto"/>
          <w:highlight w:val="none"/>
        </w:rPr>
        <w:t>时间计划。</w:t>
      </w:r>
    </w:p>
    <w:p w14:paraId="71879AE0">
      <w:pPr>
        <w:keepNext w:val="0"/>
        <w:keepLines w:val="0"/>
        <w:pageBreakBefore w:val="0"/>
        <w:widowControl/>
        <w:numPr>
          <w:ilvl w:val="0"/>
          <w:numId w:val="20"/>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按照</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要求的网络带宽</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IP地址配置</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完成网络节点</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接入开通、调整、暂停或撤销，并提供业务开通、业务交付等相关资料。</w:t>
      </w:r>
    </w:p>
    <w:p w14:paraId="536666DE">
      <w:pPr>
        <w:keepNext w:val="0"/>
        <w:keepLines w:val="0"/>
        <w:pageBreakBefore w:val="0"/>
        <w:widowControl/>
        <w:numPr>
          <w:ilvl w:val="0"/>
          <w:numId w:val="20"/>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在</w:t>
      </w:r>
      <w:r>
        <w:rPr>
          <w:rFonts w:hint="eastAsia" w:ascii="Times New Roman" w:hAnsi="Times New Roman" w:eastAsia="仿宋_GB2312"/>
          <w:color w:val="auto"/>
          <w:highlight w:val="none"/>
        </w:rPr>
        <w:t>节点开通</w:t>
      </w:r>
      <w:r>
        <w:rPr>
          <w:rFonts w:hint="eastAsia" w:ascii="Times New Roman" w:hAnsi="Times New Roman" w:eastAsia="仿宋_GB2312"/>
          <w:color w:val="auto"/>
          <w:highlight w:val="none"/>
          <w:lang w:val="en-US" w:eastAsia="zh-CN"/>
        </w:rPr>
        <w:t>过程</w:t>
      </w:r>
      <w:r>
        <w:rPr>
          <w:rFonts w:hint="eastAsia" w:ascii="Times New Roman" w:hAnsi="Times New Roman" w:eastAsia="仿宋_GB2312"/>
          <w:color w:val="auto"/>
          <w:highlight w:val="none"/>
        </w:rPr>
        <w:t>中，中标人负责各接入单位网络至市级政务外网的全部调测工作，确保</w:t>
      </w:r>
      <w:r>
        <w:rPr>
          <w:rFonts w:hint="eastAsia" w:ascii="Times New Roman" w:hAnsi="Times New Roman" w:eastAsia="仿宋_GB2312"/>
          <w:color w:val="auto"/>
          <w:highlight w:val="none"/>
          <w:lang w:val="en-US" w:eastAsia="zh-CN"/>
        </w:rPr>
        <w:t>其</w:t>
      </w:r>
      <w:r>
        <w:rPr>
          <w:rFonts w:hint="eastAsia" w:ascii="Times New Roman" w:hAnsi="Times New Roman" w:eastAsia="仿宋_GB2312"/>
          <w:color w:val="auto"/>
          <w:highlight w:val="none"/>
        </w:rPr>
        <w:t>线路</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设备全程</w:t>
      </w:r>
      <w:r>
        <w:rPr>
          <w:rFonts w:hint="eastAsia" w:ascii="Times New Roman" w:hAnsi="Times New Roman" w:eastAsia="仿宋_GB2312"/>
          <w:color w:val="auto"/>
          <w:highlight w:val="none"/>
          <w:lang w:val="en-US" w:eastAsia="zh-CN"/>
        </w:rPr>
        <w:t>测试</w:t>
      </w:r>
      <w:r>
        <w:rPr>
          <w:rFonts w:hint="eastAsia" w:ascii="Times New Roman" w:hAnsi="Times New Roman" w:eastAsia="仿宋_GB2312"/>
          <w:color w:val="auto"/>
          <w:highlight w:val="none"/>
        </w:rPr>
        <w:t>通</w:t>
      </w:r>
      <w:r>
        <w:rPr>
          <w:rFonts w:hint="eastAsia" w:ascii="Times New Roman" w:hAnsi="Times New Roman" w:eastAsia="仿宋_GB2312"/>
          <w:color w:val="auto"/>
          <w:highlight w:val="none"/>
          <w:lang w:val="en-US" w:eastAsia="zh-CN"/>
        </w:rPr>
        <w:t>过</w:t>
      </w:r>
      <w:r>
        <w:rPr>
          <w:rFonts w:hint="eastAsia" w:ascii="Times New Roman" w:hAnsi="Times New Roman" w:eastAsia="仿宋_GB2312"/>
          <w:color w:val="auto"/>
          <w:highlight w:val="none"/>
        </w:rPr>
        <w:t>。网络开通测试</w:t>
      </w:r>
      <w:r>
        <w:rPr>
          <w:rFonts w:hint="eastAsia" w:ascii="Times New Roman" w:hAnsi="Times New Roman" w:eastAsia="仿宋_GB2312"/>
          <w:color w:val="auto"/>
          <w:highlight w:val="none"/>
          <w:lang w:val="en-US" w:eastAsia="zh-CN"/>
        </w:rPr>
        <w:t>内容</w:t>
      </w:r>
      <w:r>
        <w:rPr>
          <w:rFonts w:hint="eastAsia" w:ascii="Times New Roman" w:hAnsi="Times New Roman" w:eastAsia="仿宋_GB2312"/>
          <w:color w:val="auto"/>
          <w:highlight w:val="none"/>
        </w:rPr>
        <w:t>需</w:t>
      </w:r>
      <w:r>
        <w:rPr>
          <w:rFonts w:hint="eastAsia" w:ascii="Times New Roman" w:hAnsi="Times New Roman" w:eastAsia="仿宋_GB2312"/>
          <w:color w:val="auto"/>
          <w:highlight w:val="none"/>
          <w:lang w:val="en-US" w:eastAsia="zh-CN"/>
        </w:rPr>
        <w:t>包</w:t>
      </w:r>
      <w:r>
        <w:rPr>
          <w:rFonts w:hint="eastAsia" w:ascii="Times New Roman" w:hAnsi="Times New Roman" w:eastAsia="仿宋_GB2312"/>
          <w:color w:val="auto"/>
          <w:highlight w:val="none"/>
        </w:rPr>
        <w:t>含网络时延、丢包率等</w:t>
      </w:r>
      <w:r>
        <w:rPr>
          <w:rFonts w:hint="eastAsia" w:ascii="Times New Roman" w:hAnsi="Times New Roman" w:eastAsia="仿宋_GB2312"/>
          <w:color w:val="auto"/>
          <w:highlight w:val="none"/>
          <w:lang w:val="en-US" w:eastAsia="zh-CN"/>
        </w:rPr>
        <w:t>关键</w:t>
      </w:r>
      <w:r>
        <w:rPr>
          <w:rFonts w:hint="eastAsia" w:ascii="Times New Roman" w:hAnsi="Times New Roman" w:eastAsia="仿宋_GB2312"/>
          <w:color w:val="auto"/>
          <w:highlight w:val="none"/>
        </w:rPr>
        <w:t>性能指标。</w:t>
      </w:r>
    </w:p>
    <w:p w14:paraId="2DB13E45">
      <w:pPr>
        <w:keepNext w:val="0"/>
        <w:keepLines w:val="0"/>
        <w:pageBreakBefore w:val="0"/>
        <w:widowControl/>
        <w:numPr>
          <w:ilvl w:val="0"/>
          <w:numId w:val="20"/>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对于</w:t>
      </w:r>
      <w:r>
        <w:rPr>
          <w:rFonts w:hint="eastAsia" w:ascii="Times New Roman" w:hAnsi="Times New Roman" w:eastAsia="仿宋_GB2312"/>
          <w:color w:val="auto"/>
          <w:highlight w:val="none"/>
        </w:rPr>
        <w:t>紧急施工节点，中标人</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提供</w:t>
      </w:r>
      <w:r>
        <w:rPr>
          <w:rFonts w:hint="eastAsia" w:ascii="Times New Roman" w:hAnsi="Times New Roman" w:eastAsia="仿宋_GB2312"/>
          <w:color w:val="auto"/>
          <w:highlight w:val="none"/>
          <w:lang w:val="en-US" w:eastAsia="zh-CN"/>
        </w:rPr>
        <w:t>相应的专项</w:t>
      </w:r>
      <w:r>
        <w:rPr>
          <w:rFonts w:hint="eastAsia" w:ascii="Times New Roman" w:hAnsi="Times New Roman" w:eastAsia="仿宋_GB2312"/>
          <w:color w:val="auto"/>
          <w:highlight w:val="none"/>
        </w:rPr>
        <w:t>实施解决方案及</w:t>
      </w:r>
      <w:r>
        <w:rPr>
          <w:rFonts w:hint="eastAsia" w:ascii="Times New Roman" w:hAnsi="Times New Roman" w:eastAsia="仿宋_GB2312"/>
          <w:color w:val="auto"/>
          <w:highlight w:val="none"/>
          <w:lang w:val="en-US" w:eastAsia="zh-CN"/>
        </w:rPr>
        <w:t>配套响应</w:t>
      </w:r>
      <w:r>
        <w:rPr>
          <w:rFonts w:hint="eastAsia" w:ascii="Times New Roman" w:hAnsi="Times New Roman" w:eastAsia="仿宋_GB2312"/>
          <w:color w:val="auto"/>
          <w:highlight w:val="none"/>
        </w:rPr>
        <w:t>机制流程。</w:t>
      </w:r>
    </w:p>
    <w:p w14:paraId="0F9CA18D">
      <w:pPr>
        <w:pStyle w:val="3"/>
        <w:jc w:val="both"/>
        <w:rPr>
          <w:rFonts w:ascii="Times New Roman" w:hAnsi="Times New Roman"/>
          <w:color w:val="auto"/>
          <w:highlight w:val="none"/>
        </w:rPr>
      </w:pPr>
      <w:bookmarkStart w:id="226" w:name="_Toc3358"/>
      <w:bookmarkStart w:id="227" w:name="_Toc16937"/>
      <w:bookmarkStart w:id="228" w:name="_Toc26548"/>
      <w:bookmarkStart w:id="229" w:name="_Toc32415"/>
      <w:bookmarkStart w:id="230" w:name="_Toc12300"/>
      <w:bookmarkStart w:id="231" w:name="_Toc24184"/>
      <w:bookmarkStart w:id="232" w:name="_Toc8885"/>
      <w:r>
        <w:rPr>
          <w:rFonts w:hint="eastAsia" w:ascii="Times New Roman" w:hAnsi="Times New Roman"/>
          <w:color w:val="auto"/>
          <w:highlight w:val="none"/>
        </w:rPr>
        <w:t>故障处理要求</w:t>
      </w:r>
      <w:bookmarkEnd w:id="226"/>
      <w:bookmarkEnd w:id="227"/>
      <w:bookmarkEnd w:id="228"/>
      <w:bookmarkEnd w:id="229"/>
      <w:bookmarkEnd w:id="230"/>
      <w:bookmarkEnd w:id="231"/>
    </w:p>
    <w:bookmarkEnd w:id="232"/>
    <w:p w14:paraId="6ADC0B58">
      <w:pPr>
        <w:widowControl/>
        <w:numPr>
          <w:ilvl w:val="0"/>
          <w:numId w:val="21"/>
        </w:numPr>
        <w:spacing w:line="560" w:lineRule="exact"/>
        <w:jc w:val="both"/>
        <w:rPr>
          <w:rFonts w:hint="eastAsia" w:ascii="仿宋_GB2312" w:hAnsi="Times New Roman" w:eastAsia="仿宋_GB2312" w:cs="Times New Roman"/>
        </w:rPr>
      </w:pPr>
      <w:r>
        <w:rPr>
          <w:rFonts w:hint="eastAsia" w:ascii="仿宋_GB2312" w:hAnsi="Times New Roman" w:eastAsia="仿宋_GB2312"/>
        </w:rPr>
        <w:t>中标人</w:t>
      </w:r>
      <w:r>
        <w:rPr>
          <w:rFonts w:hint="eastAsia" w:ascii="仿宋_GB2312" w:hAnsi="Times New Roman" w:eastAsia="仿宋_GB2312"/>
          <w:lang w:val="en-US" w:eastAsia="zh-CN"/>
        </w:rPr>
        <w:t>须</w:t>
      </w:r>
      <w:r>
        <w:rPr>
          <w:rFonts w:hint="eastAsia" w:ascii="仿宋_GB2312" w:hAnsi="Times New Roman" w:eastAsia="仿宋_GB2312"/>
        </w:rPr>
        <w:t>建立完善的故障管理体系，</w:t>
      </w:r>
      <w:r>
        <w:rPr>
          <w:rFonts w:hint="eastAsia" w:ascii="仿宋_GB2312" w:hAnsi="Times New Roman" w:eastAsia="仿宋_GB2312" w:cs="Times New Roman"/>
        </w:rPr>
        <w:t>制定标准化的故障处理流程及分类处理方案，确保具备快速定位故障原因并实施精准处置的能力。</w:t>
      </w:r>
    </w:p>
    <w:p w14:paraId="798260FA">
      <w:pPr>
        <w:widowControl/>
        <w:numPr>
          <w:ilvl w:val="0"/>
          <w:numId w:val="21"/>
        </w:numPr>
        <w:spacing w:line="560" w:lineRule="exact"/>
        <w:jc w:val="both"/>
        <w:rPr>
          <w:rFonts w:hint="eastAsia" w:ascii="仿宋_GB2312" w:hAnsi="Times New Roman" w:eastAsia="仿宋_GB2312"/>
        </w:rPr>
      </w:pPr>
      <w:r>
        <w:rPr>
          <w:rFonts w:hint="eastAsia" w:ascii="仿宋_GB2312" w:hAnsi="Times New Roman" w:eastAsia="仿宋_GB2312"/>
        </w:rPr>
        <w:t>中标人</w:t>
      </w:r>
      <w:r>
        <w:rPr>
          <w:rFonts w:hint="eastAsia" w:ascii="仿宋_GB2312" w:hAnsi="Times New Roman" w:eastAsia="仿宋_GB2312"/>
          <w:lang w:val="en-US" w:eastAsia="zh-CN"/>
        </w:rPr>
        <w:t>从受理</w:t>
      </w:r>
      <w:r>
        <w:rPr>
          <w:rFonts w:hint="eastAsia" w:ascii="仿宋_GB2312" w:hAnsi="Times New Roman" w:eastAsia="仿宋_GB2312"/>
        </w:rPr>
        <w:t>用户故障</w:t>
      </w:r>
      <w:r>
        <w:rPr>
          <w:rFonts w:hint="eastAsia" w:ascii="仿宋_GB2312" w:hAnsi="Times New Roman" w:eastAsia="仿宋_GB2312"/>
          <w:lang w:val="en-US" w:eastAsia="zh-CN"/>
        </w:rPr>
        <w:t>申告</w:t>
      </w:r>
      <w:r>
        <w:rPr>
          <w:rFonts w:hint="eastAsia" w:ascii="仿宋_GB2312" w:hAnsi="Times New Roman" w:eastAsia="仿宋_GB2312"/>
        </w:rPr>
        <w:t>后，</w:t>
      </w:r>
      <w:r>
        <w:rPr>
          <w:rFonts w:hint="eastAsia" w:ascii="仿宋_GB2312" w:hAnsi="Times New Roman" w:eastAsia="仿宋_GB2312"/>
          <w:lang w:val="en-US" w:eastAsia="zh-CN"/>
        </w:rPr>
        <w:t>应在15</w:t>
      </w:r>
      <w:r>
        <w:rPr>
          <w:rFonts w:hint="eastAsia" w:ascii="仿宋_GB2312" w:hAnsi="Times New Roman" w:eastAsia="仿宋_GB2312"/>
        </w:rPr>
        <w:t>分钟内以短信、电话等</w:t>
      </w:r>
      <w:r>
        <w:rPr>
          <w:rFonts w:hint="eastAsia" w:ascii="仿宋_GB2312" w:hAnsi="Times New Roman" w:eastAsia="仿宋_GB2312"/>
          <w:lang w:val="en-US" w:eastAsia="zh-CN"/>
        </w:rPr>
        <w:t>方式</w:t>
      </w:r>
      <w:r>
        <w:rPr>
          <w:rFonts w:hint="eastAsia" w:ascii="仿宋_GB2312" w:hAnsi="Times New Roman" w:eastAsia="仿宋_GB2312"/>
        </w:rPr>
        <w:t>向报障人进行</w:t>
      </w:r>
      <w:r>
        <w:rPr>
          <w:rFonts w:hint="eastAsia" w:ascii="仿宋_GB2312" w:hAnsi="Times New Roman" w:eastAsia="仿宋_GB2312"/>
          <w:lang w:val="en-US" w:eastAsia="zh-CN"/>
        </w:rPr>
        <w:t>首次</w:t>
      </w:r>
      <w:r>
        <w:rPr>
          <w:rFonts w:hint="eastAsia" w:ascii="仿宋_GB2312" w:hAnsi="Times New Roman" w:eastAsia="仿宋_GB2312"/>
        </w:rPr>
        <w:t>响应，告知</w:t>
      </w:r>
      <w:r>
        <w:rPr>
          <w:rFonts w:hint="eastAsia" w:ascii="仿宋_GB2312" w:hAnsi="Times New Roman" w:eastAsia="仿宋_GB2312"/>
          <w:lang w:val="en-US" w:eastAsia="zh-CN"/>
        </w:rPr>
        <w:t>用户</w:t>
      </w:r>
      <w:r>
        <w:rPr>
          <w:rFonts w:hint="eastAsia" w:ascii="仿宋_GB2312" w:hAnsi="Times New Roman" w:eastAsia="仿宋_GB2312"/>
        </w:rPr>
        <w:t>处理意见或预约上门时间，并</w:t>
      </w:r>
      <w:r>
        <w:rPr>
          <w:rFonts w:hint="eastAsia" w:ascii="仿宋_GB2312" w:hAnsi="Times New Roman" w:eastAsia="仿宋_GB2312"/>
          <w:lang w:val="en-US" w:eastAsia="zh-CN"/>
        </w:rPr>
        <w:t>在</w:t>
      </w:r>
      <w:r>
        <w:rPr>
          <w:rFonts w:hint="eastAsia" w:ascii="仿宋_GB2312" w:hAnsi="Times New Roman" w:eastAsia="仿宋_GB2312"/>
        </w:rPr>
        <w:t>规定时限内完成故障处理和业务恢复。（市政工程、</w:t>
      </w:r>
      <w:r>
        <w:rPr>
          <w:rFonts w:hint="eastAsia" w:ascii="仿宋_GB2312" w:hAnsi="Times New Roman" w:eastAsia="仿宋_GB2312"/>
          <w:lang w:val="en-US" w:eastAsia="zh-CN"/>
        </w:rPr>
        <w:t>光缆人为损坏、</w:t>
      </w:r>
      <w:r>
        <w:rPr>
          <w:rFonts w:hint="eastAsia" w:ascii="仿宋_GB2312" w:hAnsi="Times New Roman" w:eastAsia="仿宋_GB2312"/>
        </w:rPr>
        <w:t>用户原因</w:t>
      </w:r>
      <w:r>
        <w:rPr>
          <w:rFonts w:hint="eastAsia" w:ascii="仿宋_GB2312" w:hAnsi="Times New Roman" w:eastAsia="仿宋_GB2312"/>
          <w:lang w:eastAsia="zh-CN"/>
        </w:rPr>
        <w:t>、</w:t>
      </w:r>
      <w:r>
        <w:rPr>
          <w:rFonts w:hint="eastAsia" w:ascii="仿宋_GB2312" w:hAnsi="Times New Roman" w:eastAsia="仿宋_GB2312"/>
          <w:lang w:val="en-US" w:eastAsia="zh-CN"/>
        </w:rPr>
        <w:t>自然灾害等</w:t>
      </w:r>
      <w:r>
        <w:rPr>
          <w:rFonts w:hint="eastAsia" w:ascii="仿宋_GB2312" w:hAnsi="Times New Roman" w:eastAsia="仿宋_GB2312"/>
        </w:rPr>
        <w:t>不可抗力因素除外）。</w:t>
      </w:r>
    </w:p>
    <w:p w14:paraId="54524C06">
      <w:pPr>
        <w:keepNext w:val="0"/>
        <w:keepLines w:val="0"/>
        <w:pageBreakBefore w:val="0"/>
        <w:widowControl/>
        <w:numPr>
          <w:ilvl w:val="0"/>
          <w:numId w:val="21"/>
        </w:numPr>
        <w:kinsoku/>
        <w:wordWrap/>
        <w:overflowPunct/>
        <w:topLinePunct w:val="0"/>
        <w:autoSpaceDE/>
        <w:autoSpaceDN/>
        <w:bidi w:val="0"/>
        <w:adjustRightInd/>
        <w:snapToGrid/>
        <w:spacing w:line="560" w:lineRule="exact"/>
        <w:ind w:firstLine="560"/>
        <w:jc w:val="both"/>
        <w:textAlignment w:val="auto"/>
        <w:rPr>
          <w:rFonts w:hint="eastAsia" w:ascii="仿宋_GB2312" w:hAnsi="Times New Roman" w:eastAsia="仿宋_GB2312"/>
          <w:color w:val="auto"/>
          <w:highlight w:val="none"/>
        </w:rPr>
      </w:pPr>
      <w:r>
        <w:rPr>
          <w:rFonts w:hint="eastAsia" w:ascii="仿宋_GB2312" w:hAnsi="Times New Roman" w:eastAsia="仿宋_GB2312"/>
          <w:lang w:val="en-US" w:eastAsia="zh-CN"/>
        </w:rPr>
        <w:t>中标人应按照</w:t>
      </w:r>
      <w:r>
        <w:rPr>
          <w:rFonts w:hint="eastAsia" w:ascii="仿宋_GB2312" w:hAnsi="Times New Roman" w:eastAsia="仿宋_GB2312"/>
        </w:rPr>
        <w:t>市级电子政务外网故障上报机制</w:t>
      </w:r>
      <w:r>
        <w:rPr>
          <w:rFonts w:hint="eastAsia" w:ascii="仿宋_GB2312" w:hAnsi="Times New Roman" w:eastAsia="仿宋_GB2312"/>
          <w:lang w:val="en-US" w:eastAsia="zh-CN"/>
        </w:rPr>
        <w:t>及</w:t>
      </w:r>
      <w:r>
        <w:rPr>
          <w:rFonts w:hint="eastAsia" w:ascii="仿宋_GB2312" w:hAnsi="Times New Roman" w:eastAsia="仿宋_GB2312"/>
        </w:rPr>
        <w:t>市级政务外网第三方考核</w:t>
      </w:r>
      <w:r>
        <w:rPr>
          <w:rFonts w:hint="eastAsia" w:ascii="仿宋_GB2312" w:hAnsi="Times New Roman" w:eastAsia="仿宋_GB2312"/>
          <w:lang w:val="en-US" w:eastAsia="zh-CN"/>
        </w:rPr>
        <w:t>方案的</w:t>
      </w:r>
      <w:r>
        <w:rPr>
          <w:rFonts w:hint="eastAsia" w:ascii="仿宋_GB2312" w:hAnsi="Times New Roman" w:eastAsia="仿宋_GB2312"/>
        </w:rPr>
        <w:t>相关要求，结合故障实际情况判定故障等级，并严格按规定的</w:t>
      </w:r>
      <w:r>
        <w:rPr>
          <w:rFonts w:hint="eastAsia" w:ascii="仿宋_GB2312" w:hAnsi="Times New Roman" w:eastAsia="仿宋_GB2312"/>
          <w:lang w:val="en-US" w:eastAsia="zh-CN"/>
        </w:rPr>
        <w:t>故障</w:t>
      </w:r>
      <w:r>
        <w:rPr>
          <w:rFonts w:hint="eastAsia" w:ascii="仿宋_GB2312" w:hAnsi="Times New Roman" w:eastAsia="仿宋_GB2312"/>
        </w:rPr>
        <w:t>分级标准、上报时限及业务恢复时限执行处置。</w:t>
      </w:r>
    </w:p>
    <w:p w14:paraId="57179510">
      <w:pPr>
        <w:widowControl/>
        <w:numPr>
          <w:ilvl w:val="-1"/>
          <w:numId w:val="0"/>
        </w:numPr>
        <w:spacing w:line="560" w:lineRule="exact"/>
        <w:ind w:leftChars="200" w:firstLine="0" w:firstLineChars="0"/>
        <w:jc w:val="both"/>
        <w:rPr>
          <w:rFonts w:hint="eastAsia" w:ascii="仿宋_GB2312" w:hAnsi="Times New Roman" w:eastAsia="仿宋_GB2312"/>
        </w:rPr>
      </w:pPr>
      <w:r>
        <w:rPr>
          <w:rFonts w:hint="eastAsia" w:ascii="仿宋_GB2312" w:hAnsi="Times New Roman" w:eastAsia="仿宋_GB2312"/>
        </w:rPr>
        <w:t>故障分级标准及应急响应要求</w:t>
      </w:r>
      <w:r>
        <w:rPr>
          <w:rFonts w:hint="eastAsia" w:ascii="仿宋_GB2312" w:hAnsi="Times New Roman" w:eastAsia="仿宋_GB2312"/>
          <w:lang w:val="en-US" w:eastAsia="zh-CN"/>
        </w:rPr>
        <w:t>具体</w:t>
      </w:r>
      <w:r>
        <w:rPr>
          <w:rFonts w:hint="eastAsia" w:ascii="仿宋_GB2312" w:hAnsi="Times New Roman" w:eastAsia="仿宋_GB2312"/>
        </w:rPr>
        <w:t>如下：</w:t>
      </w:r>
    </w:p>
    <w:tbl>
      <w:tblPr>
        <w:tblStyle w:val="36"/>
        <w:tblW w:w="5111" w:type="pct"/>
        <w:tblInd w:w="0" w:type="dxa"/>
        <w:shd w:val="clear" w:color="auto" w:fill="auto"/>
        <w:tblLayout w:type="fixed"/>
        <w:tblCellMar>
          <w:top w:w="0" w:type="dxa"/>
          <w:left w:w="0" w:type="dxa"/>
          <w:bottom w:w="0" w:type="dxa"/>
          <w:right w:w="0" w:type="dxa"/>
        </w:tblCellMar>
      </w:tblPr>
      <w:tblGrid>
        <w:gridCol w:w="1326"/>
        <w:gridCol w:w="3580"/>
        <w:gridCol w:w="2054"/>
        <w:gridCol w:w="1562"/>
      </w:tblGrid>
      <w:tr w14:paraId="17D9652D">
        <w:tblPrEx>
          <w:shd w:val="clear" w:color="auto" w:fill="auto"/>
          <w:tblCellMar>
            <w:top w:w="0" w:type="dxa"/>
            <w:left w:w="0" w:type="dxa"/>
            <w:bottom w:w="0" w:type="dxa"/>
            <w:right w:w="0" w:type="dxa"/>
          </w:tblCellMar>
        </w:tblPrEx>
        <w:trPr>
          <w:trHeight w:val="510" w:hRule="atLeast"/>
          <w:tblHeader/>
        </w:trPr>
        <w:tc>
          <w:tcPr>
            <w:tcW w:w="77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78FAFA1">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故障等级</w:t>
            </w:r>
          </w:p>
        </w:tc>
        <w:tc>
          <w:tcPr>
            <w:tcW w:w="2100"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DC9DF4">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1"/>
                <w:szCs w:val="21"/>
                <w:u w:val="none"/>
                <w:lang w:val="en-US"/>
              </w:rPr>
            </w:pPr>
            <w:r>
              <w:rPr>
                <w:rFonts w:hint="eastAsia" w:ascii="宋体" w:hAnsi="宋体" w:eastAsia="宋体" w:cs="宋体"/>
                <w:b/>
                <w:i w:val="0"/>
                <w:color w:val="000000"/>
                <w:kern w:val="0"/>
                <w:sz w:val="21"/>
                <w:szCs w:val="21"/>
                <w:u w:val="none"/>
                <w:lang w:val="en-US" w:eastAsia="zh-CN" w:bidi="ar"/>
              </w:rPr>
              <w:t>故障分级标准</w:t>
            </w:r>
          </w:p>
        </w:tc>
        <w:tc>
          <w:tcPr>
            <w:tcW w:w="1205"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490D830">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故障上报时限</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8244F0A">
            <w:pPr>
              <w:keepNext w:val="0"/>
              <w:keepLines w:val="0"/>
              <w:widowControl/>
              <w:suppressLineNumbers w:val="0"/>
              <w:ind w:left="0" w:leftChars="0" w:firstLine="0" w:firstLineChars="0"/>
              <w:jc w:val="center"/>
              <w:textAlignment w:val="center"/>
              <w:rPr>
                <w:rFonts w:hint="eastAsia" w:ascii="宋体" w:hAnsi="宋体" w:eastAsia="宋体" w:cs="宋体"/>
                <w:b/>
                <w:i w:val="0"/>
                <w:color w:val="000000"/>
                <w:sz w:val="21"/>
                <w:szCs w:val="21"/>
                <w:u w:val="none"/>
              </w:rPr>
            </w:pPr>
            <w:r>
              <w:rPr>
                <w:rFonts w:hint="eastAsia" w:ascii="宋体" w:hAnsi="宋体" w:eastAsia="宋体" w:cs="宋体"/>
                <w:b/>
                <w:i w:val="0"/>
                <w:color w:val="000000"/>
                <w:kern w:val="0"/>
                <w:sz w:val="21"/>
                <w:szCs w:val="21"/>
                <w:u w:val="none"/>
                <w:lang w:val="en-US" w:eastAsia="zh-CN" w:bidi="ar"/>
              </w:rPr>
              <w:t>业务恢复时限</w:t>
            </w:r>
          </w:p>
        </w:tc>
      </w:tr>
      <w:tr w14:paraId="23C5F0EA">
        <w:tblPrEx>
          <w:tblCellMar>
            <w:top w:w="0" w:type="dxa"/>
            <w:left w:w="0" w:type="dxa"/>
            <w:bottom w:w="0" w:type="dxa"/>
            <w:right w:w="0" w:type="dxa"/>
          </w:tblCellMar>
        </w:tblPrEx>
        <w:trPr>
          <w:trHeight w:val="90" w:hRule="atLeast"/>
        </w:trPr>
        <w:tc>
          <w:tcPr>
            <w:tcW w:w="77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C08434A">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一级故障</w:t>
            </w:r>
          </w:p>
        </w:tc>
        <w:tc>
          <w:tcPr>
            <w:tcW w:w="21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1B4F9">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 核心机房发生故障或者倒换失效，导致业务中断的；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② V1级节点双链路发生双断或者倒换失效或者单链路中断，导致业务中断的；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③ 超过政务外网20%及以上节点链路中断，导致业务中断的；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④ 符合二级故障①②③④任意一条，且故障持续90分钟未能修复。</w:t>
            </w:r>
          </w:p>
        </w:tc>
        <w:tc>
          <w:tcPr>
            <w:tcW w:w="1205"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6FB34">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针对一、二、三级故障，在故障发生后，应在15分钟内以短信、微信和电话方式向责任人、服务保障团队及重点用户通报群传报；故障定位、业务恢复、故障解决后，应在5分钟内上报进展情况。若故障未能解决，则每隔1个小时上报故障解决进度情况。</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9EFC7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一级故障不超过60分钟</w:t>
            </w:r>
          </w:p>
        </w:tc>
      </w:tr>
      <w:tr w14:paraId="6945FD8B">
        <w:tblPrEx>
          <w:tblCellMar>
            <w:top w:w="0" w:type="dxa"/>
            <w:left w:w="0" w:type="dxa"/>
            <w:bottom w:w="0" w:type="dxa"/>
            <w:right w:w="0" w:type="dxa"/>
          </w:tblCellMar>
        </w:tblPrEx>
        <w:trPr>
          <w:trHeight w:val="1405" w:hRule="atLeast"/>
        </w:trPr>
        <w:tc>
          <w:tcPr>
            <w:tcW w:w="77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65F84EF">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二级故障</w:t>
            </w:r>
          </w:p>
        </w:tc>
        <w:tc>
          <w:tcPr>
            <w:tcW w:w="21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BA80D">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 汇聚机房发生故障或者倒换失效，导致发生业务中断的；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② V2级节点双链路发生双断或者倒换失效或者单链路中断，导致业务中断的；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③ 核心机房发生故障，倒换正常，业务不受影响;</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④ V1级节点链路发生中断，业务不受影响；</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⑤ 超过政务外网10%及以上节点链路中断，导致业务中断的；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⑥ 符合三级故障①②③④任意一条，且故障持续120分钟未能修复。</w:t>
            </w:r>
          </w:p>
        </w:tc>
        <w:tc>
          <w:tcPr>
            <w:tcW w:w="12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0867E">
            <w:pPr>
              <w:spacing w:line="240" w:lineRule="auto"/>
              <w:jc w:val="center"/>
              <w:rPr>
                <w:rFonts w:hint="eastAsia" w:ascii="宋体" w:hAnsi="宋体" w:eastAsia="宋体" w:cs="宋体"/>
                <w:i w:val="0"/>
                <w:color w:val="000000"/>
                <w:sz w:val="21"/>
                <w:szCs w:val="21"/>
                <w:u w:val="none"/>
              </w:rPr>
            </w:pP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EF5EA6">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二级故障不超过90分钟</w:t>
            </w:r>
          </w:p>
        </w:tc>
      </w:tr>
      <w:tr w14:paraId="7D3131AC">
        <w:tblPrEx>
          <w:tblCellMar>
            <w:top w:w="0" w:type="dxa"/>
            <w:left w:w="0" w:type="dxa"/>
            <w:bottom w:w="0" w:type="dxa"/>
            <w:right w:w="0" w:type="dxa"/>
          </w:tblCellMar>
        </w:tblPrEx>
        <w:trPr>
          <w:trHeight w:val="2200" w:hRule="atLeast"/>
        </w:trPr>
        <w:tc>
          <w:tcPr>
            <w:tcW w:w="77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E52FD3C">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三级故障</w:t>
            </w:r>
          </w:p>
        </w:tc>
        <w:tc>
          <w:tcPr>
            <w:tcW w:w="21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2BC97D">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 V3级节点链路发生中断，导致业务中断的；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② 汇聚机房发生故障，倒换正常，业务不受影响;</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③ V2级节点链路发生中断，业务不受影响；</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④ 符合四级故障①②③任意一条，且故障持续120分钟未能修复。</w:t>
            </w:r>
          </w:p>
        </w:tc>
        <w:tc>
          <w:tcPr>
            <w:tcW w:w="1205"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167F7">
            <w:pPr>
              <w:jc w:val="center"/>
              <w:rPr>
                <w:rFonts w:hint="eastAsia" w:ascii="宋体" w:hAnsi="宋体" w:eastAsia="宋体" w:cs="宋体"/>
                <w:i w:val="0"/>
                <w:color w:val="000000"/>
                <w:sz w:val="21"/>
                <w:szCs w:val="21"/>
                <w:u w:val="none"/>
              </w:rPr>
            </w:pPr>
          </w:p>
        </w:tc>
        <w:tc>
          <w:tcPr>
            <w:tcW w:w="916" w:type="pct"/>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C4002">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三级、四级故障不超过120分钟</w:t>
            </w:r>
          </w:p>
        </w:tc>
      </w:tr>
      <w:tr w14:paraId="11FE036E">
        <w:tblPrEx>
          <w:tblCellMar>
            <w:top w:w="0" w:type="dxa"/>
            <w:left w:w="0" w:type="dxa"/>
            <w:bottom w:w="0" w:type="dxa"/>
            <w:right w:w="0" w:type="dxa"/>
          </w:tblCellMar>
        </w:tblPrEx>
        <w:trPr>
          <w:trHeight w:val="4043" w:hRule="atLeast"/>
        </w:trPr>
        <w:tc>
          <w:tcPr>
            <w:tcW w:w="77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29FDE04">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四级故障</w:t>
            </w:r>
          </w:p>
        </w:tc>
        <w:tc>
          <w:tcPr>
            <w:tcW w:w="21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2B93C">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 V4级节点链路发生中断，导致业务中断的；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② V3级节点链路发生中断，业务不受影响；</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③ 政务外网服务商原因导致运行和安全监测支撑等系统数据异常的，故障修复时间不超过120分钟。</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④ 符合五级故障①②任意一条，且故障持续200分钟未能修复。</w:t>
            </w:r>
          </w:p>
        </w:tc>
        <w:tc>
          <w:tcPr>
            <w:tcW w:w="1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543FA">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针对四级故障，在故障发生后，应在30分钟内以短信、微信和电话方式向责任人、服务保障团队及重点用户通报群传报；故障定位、业务恢复、故障解决后，应在5分钟内上报进展情况。若故障未能解决，则每隔3个小时上报故障解决进度情况。</w:t>
            </w:r>
          </w:p>
        </w:tc>
        <w:tc>
          <w:tcPr>
            <w:tcW w:w="916" w:type="pct"/>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93EAC">
            <w:pPr>
              <w:jc w:val="center"/>
              <w:rPr>
                <w:rFonts w:hint="eastAsia" w:ascii="宋体" w:hAnsi="宋体" w:eastAsia="宋体" w:cs="宋体"/>
                <w:i w:val="0"/>
                <w:color w:val="000000"/>
                <w:sz w:val="21"/>
                <w:szCs w:val="21"/>
                <w:u w:val="none"/>
              </w:rPr>
            </w:pPr>
          </w:p>
        </w:tc>
      </w:tr>
      <w:tr w14:paraId="11ACD377">
        <w:tblPrEx>
          <w:shd w:val="clear" w:color="auto" w:fill="auto"/>
          <w:tblCellMar>
            <w:top w:w="0" w:type="dxa"/>
            <w:left w:w="0" w:type="dxa"/>
            <w:bottom w:w="0" w:type="dxa"/>
            <w:right w:w="0" w:type="dxa"/>
          </w:tblCellMar>
        </w:tblPrEx>
        <w:trPr>
          <w:trHeight w:val="2200" w:hRule="atLeast"/>
        </w:trPr>
        <w:tc>
          <w:tcPr>
            <w:tcW w:w="777"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1E840B9">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五级故障</w:t>
            </w:r>
          </w:p>
        </w:tc>
        <w:tc>
          <w:tcPr>
            <w:tcW w:w="2100"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13C08E">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 V5级节点链路发生中断，导致业务中断的；</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② V4级节点链路发生中断，业务不受影响；</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③ V5级链路发生中断，业务不受影响，但故障持续超过200分钟未能修复。</w:t>
            </w:r>
          </w:p>
        </w:tc>
        <w:tc>
          <w:tcPr>
            <w:tcW w:w="1205" w:type="pc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84EE9">
            <w:pPr>
              <w:keepNext w:val="0"/>
              <w:keepLines w:val="0"/>
              <w:widowControl/>
              <w:suppressLineNumbers w:val="0"/>
              <w:spacing w:line="240" w:lineRule="auto"/>
              <w:ind w:left="0" w:leftChars="0" w:firstLine="0" w:firstLineChars="0"/>
              <w:jc w:val="both"/>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针对五级故障，在故障发生后，实时跟踪故障进展情况，并及时在政务外网运行和安全监测支撑系统内填报。</w:t>
            </w:r>
          </w:p>
        </w:tc>
        <w:tc>
          <w:tcPr>
            <w:tcW w:w="916" w:type="pc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7AD96ED">
            <w:pPr>
              <w:keepNext w:val="0"/>
              <w:keepLines w:val="0"/>
              <w:widowControl/>
              <w:suppressLineNumbers w:val="0"/>
              <w:spacing w:line="240" w:lineRule="auto"/>
              <w:ind w:left="0" w:leftChars="0" w:firstLine="0" w:firstLineChars="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五级故障不超过200分钟</w:t>
            </w:r>
          </w:p>
        </w:tc>
      </w:tr>
    </w:tbl>
    <w:p w14:paraId="0F6D71BF">
      <w:pPr>
        <w:widowControl/>
        <w:numPr>
          <w:ilvl w:val="0"/>
          <w:numId w:val="21"/>
        </w:numPr>
        <w:spacing w:line="560" w:lineRule="exact"/>
        <w:jc w:val="both"/>
        <w:rPr>
          <w:rFonts w:hint="eastAsia" w:ascii="仿宋_GB2312" w:hAnsi="Times New Roman" w:eastAsia="仿宋_GB2312"/>
        </w:rPr>
      </w:pPr>
      <w:r>
        <w:rPr>
          <w:rFonts w:hint="eastAsia" w:ascii="仿宋_GB2312" w:hAnsi="Times New Roman" w:eastAsia="仿宋_GB2312"/>
        </w:rPr>
        <w:t>当故障发生节点或系统属于重大活动保障涉及范围时，</w:t>
      </w:r>
      <w:r>
        <w:rPr>
          <w:rFonts w:hint="eastAsia" w:ascii="仿宋_GB2312" w:hAnsi="Times New Roman" w:eastAsia="仿宋_GB2312"/>
          <w:lang w:val="en-US" w:eastAsia="zh-CN"/>
        </w:rPr>
        <w:t>中标人应</w:t>
      </w:r>
      <w:r>
        <w:rPr>
          <w:rFonts w:hint="eastAsia" w:ascii="仿宋_GB2312" w:hAnsi="Times New Roman" w:eastAsia="仿宋_GB2312"/>
        </w:rPr>
        <w:t>按要求在原有故障定级基础上提升故障保障等级，并强化资源调度与处置力量投入，确保重大保障期间无重大故障事件发生。</w:t>
      </w:r>
    </w:p>
    <w:p w14:paraId="772DF164">
      <w:pPr>
        <w:widowControl/>
        <w:numPr>
          <w:ilvl w:val="0"/>
          <w:numId w:val="21"/>
        </w:numPr>
        <w:spacing w:line="560" w:lineRule="exact"/>
        <w:ind w:firstLine="560" w:firstLineChars="200"/>
        <w:jc w:val="both"/>
      </w:pPr>
      <w:r>
        <w:rPr>
          <w:rFonts w:hint="eastAsia" w:ascii="仿宋_GB2312" w:hAnsi="Times New Roman" w:eastAsia="仿宋_GB2312" w:cs="Times New Roman"/>
          <w:lang w:val="en-US" w:eastAsia="zh-CN"/>
        </w:rPr>
        <w:t>中标人应通过政务外网相关运行管理平台系统，对故障事件信息、分类定级依据、处置过程、原因定位及解决结果进行详细填报，</w:t>
      </w:r>
      <w:r>
        <w:rPr>
          <w:rFonts w:hint="eastAsia" w:ascii="仿宋_GB2312" w:hAnsi="Times New Roman" w:eastAsia="仿宋_GB2312" w:cs="Times New Roman"/>
        </w:rPr>
        <w:t>并按要求上传相关运维服务附件，确保故障全生命周期信息完整、可追溯，为后续服务改进提供支撑。</w:t>
      </w:r>
    </w:p>
    <w:p w14:paraId="5BDDAD54">
      <w:pPr>
        <w:pStyle w:val="3"/>
        <w:rPr>
          <w:rFonts w:ascii="Times New Roman" w:hAnsi="Times New Roman"/>
          <w:color w:val="auto"/>
          <w:highlight w:val="none"/>
        </w:rPr>
      </w:pPr>
      <w:bookmarkStart w:id="233" w:name="_Toc18549"/>
      <w:bookmarkStart w:id="234" w:name="_Toc1745"/>
      <w:bookmarkStart w:id="235" w:name="_Toc19235"/>
      <w:bookmarkStart w:id="236" w:name="_Toc7828"/>
      <w:bookmarkStart w:id="237" w:name="_Toc23675"/>
      <w:bookmarkStart w:id="238" w:name="_Toc7579"/>
      <w:r>
        <w:rPr>
          <w:rFonts w:hint="eastAsia" w:ascii="Times New Roman" w:hAnsi="Times New Roman"/>
          <w:color w:val="auto"/>
          <w:highlight w:val="none"/>
        </w:rPr>
        <w:t>运行</w:t>
      </w:r>
      <w:r>
        <w:rPr>
          <w:rFonts w:hint="eastAsia" w:ascii="Times New Roman" w:hAnsi="Times New Roman"/>
          <w:color w:val="auto"/>
          <w:highlight w:val="none"/>
          <w:lang w:val="en-US" w:eastAsia="zh-CN"/>
        </w:rPr>
        <w:t>保障</w:t>
      </w:r>
      <w:r>
        <w:rPr>
          <w:rFonts w:hint="eastAsia" w:ascii="Times New Roman" w:hAnsi="Times New Roman"/>
          <w:color w:val="auto"/>
          <w:highlight w:val="none"/>
        </w:rPr>
        <w:t>要求</w:t>
      </w:r>
      <w:bookmarkEnd w:id="233"/>
      <w:bookmarkEnd w:id="234"/>
      <w:bookmarkEnd w:id="235"/>
      <w:bookmarkEnd w:id="236"/>
      <w:bookmarkEnd w:id="237"/>
      <w:bookmarkEnd w:id="238"/>
    </w:p>
    <w:p w14:paraId="637DD64A">
      <w:pPr>
        <w:keepNext w:val="0"/>
        <w:keepLines w:val="0"/>
        <w:pageBreakBefore w:val="0"/>
        <w:widowControl/>
        <w:numPr>
          <w:ilvl w:val="-1"/>
          <w:numId w:val="0"/>
        </w:numPr>
        <w:kinsoku/>
        <w:wordWrap/>
        <w:overflowPunct/>
        <w:topLinePunct w:val="0"/>
        <w:autoSpaceDE/>
        <w:autoSpaceDN/>
        <w:bidi w:val="0"/>
        <w:adjustRightInd/>
        <w:snapToGrid/>
        <w:spacing w:line="560" w:lineRule="exact"/>
        <w:ind w:leftChars="0" w:firstLine="56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提供7*24小时运行保障服务，</w:t>
      </w:r>
      <w:r>
        <w:rPr>
          <w:rFonts w:hint="eastAsia" w:ascii="Times New Roman" w:hAnsi="Times New Roman" w:eastAsia="仿宋_GB2312"/>
          <w:color w:val="auto"/>
          <w:highlight w:val="none"/>
          <w:lang w:val="en-US" w:eastAsia="zh-CN"/>
        </w:rPr>
        <w:t>包括：机房值守、网络监控、故障处置、</w:t>
      </w:r>
      <w:r>
        <w:rPr>
          <w:rFonts w:hint="eastAsia" w:ascii="Times New Roman" w:hAnsi="Times New Roman" w:eastAsia="仿宋_GB2312"/>
          <w:color w:val="auto"/>
          <w:highlight w:val="none"/>
        </w:rPr>
        <w:t>安全</w:t>
      </w:r>
      <w:r>
        <w:rPr>
          <w:rFonts w:hint="eastAsia" w:ascii="Times New Roman" w:hAnsi="Times New Roman" w:eastAsia="仿宋_GB2312"/>
          <w:color w:val="auto"/>
          <w:highlight w:val="none"/>
          <w:lang w:val="en-US" w:eastAsia="zh-CN"/>
        </w:rPr>
        <w:t>保障及运行</w:t>
      </w:r>
      <w:r>
        <w:rPr>
          <w:rFonts w:hint="eastAsia" w:ascii="Times New Roman" w:hAnsi="Times New Roman" w:eastAsia="仿宋_GB2312"/>
          <w:color w:val="auto"/>
          <w:highlight w:val="none"/>
        </w:rPr>
        <w:t>支撑</w:t>
      </w:r>
      <w:r>
        <w:rPr>
          <w:rFonts w:hint="eastAsia" w:ascii="Times New Roman" w:hAnsi="Times New Roman" w:eastAsia="仿宋_GB2312"/>
          <w:color w:val="auto"/>
          <w:highlight w:val="none"/>
          <w:lang w:val="en-US" w:eastAsia="zh-CN"/>
        </w:rPr>
        <w:t>等服务内容。</w:t>
      </w:r>
    </w:p>
    <w:p w14:paraId="6A277437">
      <w:pPr>
        <w:keepNext w:val="0"/>
        <w:keepLines w:val="0"/>
        <w:pageBreakBefore w:val="0"/>
        <w:numPr>
          <w:ilvl w:val="0"/>
          <w:numId w:val="22"/>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rPr>
        <w:t>机房值守与巡检</w:t>
      </w:r>
      <w:r>
        <w:rPr>
          <w:rFonts w:hint="eastAsia" w:ascii="Times New Roman" w:hAnsi="Times New Roman" w:eastAsia="仿宋_GB2312" w:cs="仿宋_GB2312"/>
          <w:color w:val="auto"/>
          <w:highlight w:val="none"/>
          <w:lang w:eastAsia="zh-CN"/>
        </w:rPr>
        <w:t>：</w:t>
      </w:r>
      <w:r>
        <w:rPr>
          <w:rFonts w:hint="eastAsia" w:ascii="Times New Roman" w:hAnsi="Times New Roman" w:eastAsia="仿宋_GB2312" w:cs="仿宋_GB2312"/>
          <w:color w:val="auto"/>
          <w:highlight w:val="none"/>
          <w:lang w:val="en-US" w:eastAsia="zh-CN"/>
        </w:rPr>
        <w:t>应派驻人员</w:t>
      </w:r>
      <w:r>
        <w:rPr>
          <w:rFonts w:hint="eastAsia" w:ascii="Times New Roman" w:hAnsi="Times New Roman" w:eastAsia="仿宋_GB2312" w:cs="仿宋_GB2312"/>
          <w:color w:val="auto"/>
          <w:highlight w:val="none"/>
        </w:rPr>
        <w:t>现场值守</w:t>
      </w:r>
      <w:r>
        <w:rPr>
          <w:rFonts w:hint="eastAsia" w:ascii="Times New Roman" w:hAnsi="Times New Roman" w:eastAsia="仿宋_GB2312" w:cs="仿宋_GB2312"/>
          <w:color w:val="auto"/>
          <w:highlight w:val="none"/>
          <w:lang w:val="en-US" w:eastAsia="zh-CN"/>
        </w:rPr>
        <w:t>及机房</w:t>
      </w:r>
      <w:r>
        <w:rPr>
          <w:rFonts w:hint="eastAsia" w:ascii="Times New Roman" w:hAnsi="Times New Roman" w:eastAsia="仿宋_GB2312" w:cs="仿宋_GB2312"/>
          <w:color w:val="auto"/>
          <w:highlight w:val="none"/>
        </w:rPr>
        <w:t>，</w:t>
      </w:r>
      <w:r>
        <w:rPr>
          <w:rFonts w:hint="eastAsia" w:ascii="Times New Roman" w:hAnsi="Times New Roman" w:eastAsia="仿宋_GB2312" w:cs="仿宋_GB2312"/>
          <w:color w:val="auto"/>
          <w:highlight w:val="none"/>
          <w:lang w:val="en-US" w:eastAsia="zh-CN"/>
        </w:rPr>
        <w:t>每</w:t>
      </w:r>
      <w:r>
        <w:rPr>
          <w:rFonts w:hint="eastAsia" w:ascii="Times New Roman" w:hAnsi="Times New Roman" w:eastAsia="仿宋_GB2312" w:cs="仿宋_GB2312"/>
          <w:color w:val="auto"/>
          <w:highlight w:val="none"/>
        </w:rPr>
        <w:t>周对设备及平台进行</w:t>
      </w:r>
      <w:r>
        <w:rPr>
          <w:rFonts w:hint="eastAsia" w:ascii="Times New Roman" w:hAnsi="Times New Roman" w:eastAsia="仿宋_GB2312" w:cs="仿宋_GB2312"/>
          <w:color w:val="auto"/>
          <w:highlight w:val="none"/>
          <w:lang w:val="en-US" w:eastAsia="zh-CN"/>
        </w:rPr>
        <w:t>例行</w:t>
      </w:r>
      <w:r>
        <w:rPr>
          <w:rFonts w:hint="eastAsia" w:ascii="Times New Roman" w:hAnsi="Times New Roman" w:eastAsia="仿宋_GB2312" w:cs="仿宋_GB2312"/>
          <w:color w:val="auto"/>
          <w:highlight w:val="none"/>
        </w:rPr>
        <w:t>巡检</w:t>
      </w:r>
      <w:r>
        <w:rPr>
          <w:rFonts w:hint="eastAsia" w:ascii="Times New Roman" w:hAnsi="Times New Roman" w:eastAsia="仿宋_GB2312" w:cs="仿宋_GB2312"/>
          <w:color w:val="auto"/>
          <w:highlight w:val="none"/>
          <w:lang w:val="en-US" w:eastAsia="zh-CN"/>
        </w:rPr>
        <w:t>并</w:t>
      </w:r>
      <w:r>
        <w:rPr>
          <w:rFonts w:hint="eastAsia" w:ascii="Times New Roman" w:hAnsi="Times New Roman" w:eastAsia="仿宋_GB2312" w:cs="仿宋_GB2312"/>
          <w:color w:val="auto"/>
          <w:highlight w:val="none"/>
        </w:rPr>
        <w:t>提供周巡检记录</w:t>
      </w:r>
      <w:r>
        <w:rPr>
          <w:rFonts w:hint="eastAsia" w:ascii="Times New Roman" w:hAnsi="Times New Roman" w:eastAsia="仿宋_GB2312" w:cs="仿宋_GB2312"/>
          <w:color w:val="auto"/>
          <w:highlight w:val="none"/>
          <w:lang w:eastAsia="zh-CN"/>
        </w:rPr>
        <w:t>；</w:t>
      </w:r>
      <w:r>
        <w:rPr>
          <w:rFonts w:hint="eastAsia" w:ascii="Times New Roman" w:hAnsi="Times New Roman" w:eastAsia="仿宋_GB2312" w:cs="仿宋_GB2312"/>
          <w:color w:val="auto"/>
          <w:highlight w:val="none"/>
        </w:rPr>
        <w:t>每日</w:t>
      </w:r>
      <w:r>
        <w:rPr>
          <w:rFonts w:hint="eastAsia" w:ascii="Times New Roman" w:hAnsi="Times New Roman" w:eastAsia="仿宋_GB2312" w:cs="仿宋_GB2312"/>
          <w:color w:val="auto"/>
          <w:highlight w:val="none"/>
          <w:lang w:val="en-US" w:eastAsia="zh-CN"/>
        </w:rPr>
        <w:t>对环境</w:t>
      </w:r>
      <w:r>
        <w:rPr>
          <w:rFonts w:hint="eastAsia" w:ascii="Times New Roman" w:hAnsi="Times New Roman" w:eastAsia="仿宋_GB2312" w:cs="仿宋_GB2312"/>
          <w:color w:val="auto"/>
          <w:highlight w:val="none"/>
        </w:rPr>
        <w:t>（</w:t>
      </w:r>
      <w:r>
        <w:rPr>
          <w:rFonts w:hint="eastAsia" w:ascii="Times New Roman" w:hAnsi="Times New Roman" w:eastAsia="仿宋_GB2312" w:cs="仿宋_GB2312"/>
          <w:color w:val="auto"/>
          <w:highlight w:val="none"/>
          <w:lang w:val="en-US" w:eastAsia="zh-CN"/>
        </w:rPr>
        <w:t>含</w:t>
      </w:r>
      <w:r>
        <w:rPr>
          <w:rFonts w:hint="eastAsia" w:ascii="Times New Roman" w:hAnsi="Times New Roman" w:eastAsia="仿宋_GB2312" w:cs="仿宋_GB2312"/>
          <w:color w:val="auto"/>
          <w:highlight w:val="none"/>
        </w:rPr>
        <w:t>温湿度、安防</w:t>
      </w:r>
      <w:r>
        <w:rPr>
          <w:rFonts w:hint="eastAsia" w:ascii="Times New Roman" w:hAnsi="Times New Roman" w:eastAsia="仿宋_GB2312" w:cs="仿宋_GB2312"/>
          <w:color w:val="auto"/>
          <w:highlight w:val="none"/>
          <w:lang w:val="en-US" w:eastAsia="zh-CN"/>
        </w:rPr>
        <w:t>系统</w:t>
      </w:r>
      <w:r>
        <w:rPr>
          <w:rFonts w:hint="eastAsia" w:ascii="Times New Roman" w:hAnsi="Times New Roman" w:eastAsia="仿宋_GB2312" w:cs="仿宋_GB2312"/>
          <w:color w:val="auto"/>
          <w:highlight w:val="none"/>
        </w:rPr>
        <w:t>等）</w:t>
      </w:r>
      <w:r>
        <w:rPr>
          <w:rFonts w:hint="eastAsia" w:ascii="Times New Roman" w:hAnsi="Times New Roman" w:eastAsia="仿宋_GB2312" w:cs="仿宋_GB2312"/>
          <w:color w:val="auto"/>
          <w:highlight w:val="none"/>
          <w:lang w:val="en-US" w:eastAsia="zh-CN"/>
        </w:rPr>
        <w:t>进行不少于两次巡检</w:t>
      </w:r>
      <w:r>
        <w:rPr>
          <w:rFonts w:hint="eastAsia" w:ascii="Times New Roman" w:hAnsi="Times New Roman" w:eastAsia="仿宋_GB2312" w:cs="仿宋_GB2312"/>
          <w:color w:val="auto"/>
          <w:highlight w:val="none"/>
        </w:rPr>
        <w:t>。</w:t>
      </w:r>
      <w:r>
        <w:rPr>
          <w:rFonts w:hint="eastAsia" w:ascii="Times New Roman" w:hAnsi="Times New Roman" w:eastAsia="仿宋_GB2312" w:cs="仿宋_GB2312"/>
          <w:color w:val="auto"/>
          <w:highlight w:val="none"/>
          <w:lang w:val="en-US" w:eastAsia="zh-CN"/>
        </w:rPr>
        <w:t>应</w:t>
      </w:r>
      <w:r>
        <w:rPr>
          <w:rFonts w:hint="eastAsia" w:ascii="Times New Roman" w:hAnsi="Times New Roman" w:eastAsia="仿宋_GB2312" w:cs="仿宋_GB2312"/>
          <w:color w:val="auto"/>
          <w:highlight w:val="none"/>
        </w:rPr>
        <w:t>具备电子化巡检</w:t>
      </w:r>
      <w:r>
        <w:rPr>
          <w:rFonts w:hint="eastAsia" w:ascii="Times New Roman" w:hAnsi="Times New Roman" w:eastAsia="仿宋_GB2312" w:cs="仿宋_GB2312"/>
          <w:color w:val="auto"/>
          <w:highlight w:val="none"/>
          <w:lang w:val="en-US" w:eastAsia="zh-CN"/>
        </w:rPr>
        <w:t>系统支持上述工作</w:t>
      </w:r>
      <w:r>
        <w:rPr>
          <w:rFonts w:hint="eastAsia" w:ascii="Times New Roman" w:hAnsi="Times New Roman" w:eastAsia="仿宋_GB2312" w:cs="仿宋_GB2312"/>
          <w:color w:val="auto"/>
          <w:highlight w:val="none"/>
        </w:rPr>
        <w:t>。</w:t>
      </w:r>
    </w:p>
    <w:p w14:paraId="3CDBB71D">
      <w:pPr>
        <w:keepNext w:val="0"/>
        <w:keepLines w:val="0"/>
        <w:pageBreakBefore w:val="0"/>
        <w:numPr>
          <w:ilvl w:val="0"/>
          <w:numId w:val="22"/>
        </w:numPr>
        <w:kinsoku/>
        <w:wordWrap/>
        <w:overflowPunct/>
        <w:topLinePunct w:val="0"/>
        <w:autoSpaceDE/>
        <w:autoSpaceDN/>
        <w:bidi w:val="0"/>
        <w:adjustRightInd/>
        <w:snapToGrid/>
        <w:spacing w:line="560" w:lineRule="exact"/>
        <w:ind w:firstLine="560" w:firstLineChars="200"/>
        <w:jc w:val="both"/>
        <w:textAlignment w:val="auto"/>
        <w:rPr>
          <w:rFonts w:hint="eastAsia" w:ascii="Times New Roman" w:hAnsi="Times New Roman" w:eastAsia="仿宋_GB2312" w:cs="仿宋_GB2312"/>
          <w:color w:val="auto"/>
          <w:highlight w:val="none"/>
        </w:rPr>
      </w:pPr>
      <w:r>
        <w:rPr>
          <w:rFonts w:hint="eastAsia" w:ascii="Times New Roman" w:hAnsi="Times New Roman" w:eastAsia="仿宋_GB2312" w:cs="仿宋_GB2312"/>
          <w:color w:val="auto"/>
          <w:highlight w:val="none"/>
        </w:rPr>
        <w:t>机房需7*24小时配备现场维护值守人员，</w:t>
      </w:r>
      <w:r>
        <w:rPr>
          <w:rFonts w:hint="eastAsia" w:ascii="Times New Roman" w:hAnsi="Times New Roman" w:eastAsia="仿宋_GB2312" w:cs="仿宋_GB2312"/>
          <w:color w:val="auto"/>
          <w:highlight w:val="none"/>
          <w:lang w:val="en-US" w:eastAsia="zh-CN"/>
        </w:rPr>
        <w:t>按周</w:t>
      </w:r>
      <w:r>
        <w:rPr>
          <w:rFonts w:hint="eastAsia" w:ascii="Times New Roman" w:hAnsi="Times New Roman" w:eastAsia="仿宋_GB2312" w:cs="仿宋_GB2312"/>
          <w:color w:val="auto"/>
          <w:highlight w:val="none"/>
        </w:rPr>
        <w:t>开展设备及平台巡检并出具资源巡检月度报告。每日完成不少于2次机房巡检，涵盖机房环境、温湿度、安防设施等全维度内容，并具备配套电子化巡检管理平台支持上述工作。</w:t>
      </w:r>
    </w:p>
    <w:p w14:paraId="03AD3600">
      <w:pPr>
        <w:keepNext w:val="0"/>
        <w:keepLines w:val="0"/>
        <w:pageBreakBefore w:val="0"/>
        <w:widowControl/>
        <w:numPr>
          <w:ilvl w:val="0"/>
          <w:numId w:val="22"/>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color w:val="auto"/>
          <w:highlight w:val="none"/>
        </w:rPr>
        <w:t>网络监控</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具备</w:t>
      </w:r>
      <w:r>
        <w:rPr>
          <w:rFonts w:hint="eastAsia" w:ascii="Times New Roman" w:hAnsi="Times New Roman" w:eastAsia="仿宋_GB2312"/>
          <w:color w:val="auto"/>
          <w:highlight w:val="none"/>
        </w:rPr>
        <w:t>实时</w:t>
      </w:r>
      <w:r>
        <w:rPr>
          <w:rFonts w:hint="eastAsia" w:ascii="Times New Roman" w:hAnsi="Times New Roman" w:eastAsia="仿宋_GB2312"/>
          <w:color w:val="auto"/>
          <w:highlight w:val="none"/>
          <w:lang w:val="en-US" w:eastAsia="zh-CN"/>
        </w:rPr>
        <w:t>网络监控能力，</w:t>
      </w:r>
      <w:r>
        <w:rPr>
          <w:rFonts w:hint="eastAsia" w:ascii="Times New Roman" w:hAnsi="Times New Roman" w:eastAsia="仿宋_GB2312"/>
          <w:color w:val="auto"/>
          <w:highlight w:val="none"/>
        </w:rPr>
        <w:t>可视化</w:t>
      </w:r>
      <w:r>
        <w:rPr>
          <w:rFonts w:hint="eastAsia" w:ascii="Times New Roman" w:hAnsi="Times New Roman" w:eastAsia="仿宋_GB2312"/>
          <w:color w:val="auto"/>
          <w:highlight w:val="none"/>
          <w:lang w:val="en-US" w:eastAsia="zh-CN"/>
        </w:rPr>
        <w:t>展示关键</w:t>
      </w:r>
      <w:r>
        <w:rPr>
          <w:rFonts w:hint="eastAsia" w:ascii="Times New Roman" w:hAnsi="Times New Roman" w:eastAsia="仿宋_GB2312"/>
          <w:color w:val="auto"/>
          <w:highlight w:val="none"/>
        </w:rPr>
        <w:t>运行指标</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记录运行数据</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基于监控数据</w:t>
      </w:r>
      <w:r>
        <w:rPr>
          <w:rFonts w:hint="eastAsia" w:ascii="Times New Roman" w:hAnsi="Times New Roman" w:eastAsia="仿宋_GB2312"/>
          <w:color w:val="auto"/>
          <w:highlight w:val="none"/>
        </w:rPr>
        <w:t>进行</w:t>
      </w:r>
      <w:r>
        <w:rPr>
          <w:rFonts w:hint="eastAsia" w:ascii="Times New Roman" w:hAnsi="Times New Roman" w:eastAsia="仿宋_GB2312"/>
          <w:color w:val="auto"/>
          <w:highlight w:val="none"/>
          <w:lang w:val="en-US" w:eastAsia="zh-CN"/>
        </w:rPr>
        <w:t>风险</w:t>
      </w:r>
      <w:r>
        <w:rPr>
          <w:rFonts w:hint="eastAsia" w:ascii="Times New Roman" w:hAnsi="Times New Roman" w:eastAsia="仿宋_GB2312"/>
          <w:color w:val="auto"/>
          <w:highlight w:val="none"/>
        </w:rPr>
        <w:t>分析</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预警</w:t>
      </w:r>
      <w:r>
        <w:rPr>
          <w:rFonts w:hint="eastAsia" w:ascii="Times New Roman" w:hAnsi="Times New Roman" w:eastAsia="仿宋_GB2312"/>
          <w:color w:val="auto"/>
          <w:highlight w:val="none"/>
          <w:lang w:val="en-US" w:eastAsia="zh-CN"/>
        </w:rPr>
        <w:t>研判与</w:t>
      </w:r>
      <w:r>
        <w:rPr>
          <w:rFonts w:hint="eastAsia" w:ascii="Times New Roman" w:hAnsi="Times New Roman" w:eastAsia="仿宋_GB2312"/>
          <w:color w:val="auto"/>
          <w:highlight w:val="none"/>
        </w:rPr>
        <w:t>主动</w:t>
      </w:r>
      <w:r>
        <w:rPr>
          <w:rFonts w:hint="eastAsia" w:ascii="Times New Roman" w:hAnsi="Times New Roman" w:eastAsia="仿宋_GB2312"/>
          <w:color w:val="auto"/>
          <w:highlight w:val="none"/>
          <w:lang w:val="en-US" w:eastAsia="zh-CN"/>
        </w:rPr>
        <w:t>干预，预防潜在</w:t>
      </w:r>
      <w:r>
        <w:rPr>
          <w:rFonts w:hint="eastAsia" w:ascii="Times New Roman" w:hAnsi="Times New Roman" w:eastAsia="仿宋_GB2312"/>
          <w:color w:val="auto"/>
          <w:highlight w:val="none"/>
        </w:rPr>
        <w:t>网络故障风险</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实现全流程故障管理（含</w:t>
      </w:r>
      <w:r>
        <w:rPr>
          <w:rFonts w:hint="eastAsia" w:ascii="Times New Roman" w:hAnsi="Times New Roman" w:eastAsia="仿宋_GB2312"/>
          <w:color w:val="auto"/>
          <w:highlight w:val="none"/>
        </w:rPr>
        <w:t>发现、诊断</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定位</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处理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跟踪反馈</w:t>
      </w:r>
      <w:r>
        <w:rPr>
          <w:rFonts w:hint="eastAsia" w:ascii="Times New Roman" w:hAnsi="Times New Roman" w:eastAsia="仿宋_GB2312"/>
          <w:color w:val="auto"/>
          <w:highlight w:val="none"/>
          <w:lang w:val="en-US" w:eastAsia="zh-CN"/>
        </w:rPr>
        <w:t>及事后</w:t>
      </w:r>
      <w:r>
        <w:rPr>
          <w:rFonts w:hint="eastAsia" w:ascii="Times New Roman" w:hAnsi="Times New Roman" w:eastAsia="仿宋_GB2312"/>
          <w:color w:val="auto"/>
          <w:highlight w:val="none"/>
        </w:rPr>
        <w:t>追溯分析</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对</w:t>
      </w:r>
      <w:r>
        <w:rPr>
          <w:rFonts w:hint="eastAsia" w:ascii="Times New Roman" w:hAnsi="Times New Roman" w:eastAsia="仿宋_GB2312"/>
          <w:color w:val="auto"/>
          <w:highlight w:val="none"/>
        </w:rPr>
        <w:t>网络设备告警或性能劣化告警，</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记录事件</w:t>
      </w:r>
      <w:r>
        <w:rPr>
          <w:rFonts w:hint="eastAsia" w:ascii="Times New Roman" w:hAnsi="Times New Roman" w:eastAsia="仿宋_GB2312"/>
          <w:color w:val="auto"/>
          <w:highlight w:val="none"/>
          <w:lang w:val="en-US" w:eastAsia="zh-CN"/>
        </w:rPr>
        <w:t>详情（含</w:t>
      </w:r>
      <w:r>
        <w:rPr>
          <w:rFonts w:hint="eastAsia" w:ascii="Times New Roman" w:hAnsi="Times New Roman" w:eastAsia="仿宋_GB2312"/>
          <w:color w:val="auto"/>
          <w:highlight w:val="none"/>
        </w:rPr>
        <w:t>发生时间、类型、信息</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发现人</w:t>
      </w:r>
      <w:r>
        <w:rPr>
          <w:rFonts w:hint="eastAsia" w:ascii="Times New Roman" w:hAnsi="Times New Roman" w:eastAsia="仿宋_GB2312"/>
          <w:color w:val="auto"/>
          <w:highlight w:val="none"/>
          <w:lang w:val="en-US" w:eastAsia="zh-CN"/>
        </w:rPr>
        <w:t>）</w:t>
      </w:r>
      <w:r>
        <w:rPr>
          <w:rFonts w:hint="eastAsia" w:ascii="Times New Roman" w:hAnsi="Times New Roman" w:eastAsia="仿宋_GB2312"/>
          <w:color w:val="auto"/>
          <w:highlight w:val="none"/>
        </w:rPr>
        <w:t>并</w:t>
      </w:r>
      <w:r>
        <w:rPr>
          <w:rFonts w:hint="eastAsia" w:ascii="Times New Roman" w:hAnsi="Times New Roman" w:eastAsia="仿宋_GB2312"/>
          <w:color w:val="auto"/>
          <w:highlight w:val="none"/>
          <w:lang w:val="en-US" w:eastAsia="zh-CN"/>
        </w:rPr>
        <w:t>及时</w:t>
      </w:r>
      <w:r>
        <w:rPr>
          <w:rFonts w:hint="eastAsia" w:ascii="Times New Roman" w:hAnsi="Times New Roman" w:eastAsia="仿宋_GB2312"/>
          <w:color w:val="auto"/>
          <w:highlight w:val="none"/>
        </w:rPr>
        <w:t>判断</w:t>
      </w:r>
      <w:r>
        <w:rPr>
          <w:rFonts w:hint="eastAsia" w:ascii="Times New Roman" w:hAnsi="Times New Roman" w:eastAsia="仿宋_GB2312"/>
          <w:color w:val="auto"/>
          <w:highlight w:val="none"/>
          <w:lang w:val="en-US" w:eastAsia="zh-CN"/>
        </w:rPr>
        <w:t>其对</w:t>
      </w:r>
      <w:r>
        <w:rPr>
          <w:rFonts w:hint="eastAsia" w:ascii="Times New Roman" w:hAnsi="Times New Roman" w:eastAsia="仿宋_GB2312"/>
          <w:color w:val="auto"/>
          <w:highlight w:val="none"/>
        </w:rPr>
        <w:t>网络</w:t>
      </w:r>
      <w:r>
        <w:rPr>
          <w:rFonts w:hint="eastAsia" w:ascii="Times New Roman" w:hAnsi="Times New Roman" w:eastAsia="仿宋_GB2312"/>
          <w:color w:val="auto"/>
          <w:highlight w:val="none"/>
          <w:lang w:val="en-US" w:eastAsia="zh-CN"/>
        </w:rPr>
        <w:t>可用性的影响，对</w:t>
      </w:r>
      <w:r>
        <w:rPr>
          <w:rFonts w:hint="eastAsia" w:ascii="Times New Roman" w:hAnsi="Times New Roman" w:eastAsia="仿宋_GB2312"/>
          <w:color w:val="auto"/>
          <w:highlight w:val="none"/>
        </w:rPr>
        <w:t>异常告警根据用户</w:t>
      </w:r>
      <w:r>
        <w:rPr>
          <w:rFonts w:hint="eastAsia" w:ascii="Times New Roman" w:hAnsi="Times New Roman" w:eastAsia="仿宋_GB2312"/>
          <w:color w:val="auto"/>
          <w:kern w:val="0"/>
          <w:highlight w:val="none"/>
        </w:rPr>
        <w:t>等级</w:t>
      </w:r>
      <w:r>
        <w:rPr>
          <w:rFonts w:hint="eastAsia" w:ascii="Times New Roman" w:hAnsi="Times New Roman" w:eastAsia="仿宋_GB2312"/>
          <w:color w:val="auto"/>
          <w:kern w:val="0"/>
          <w:highlight w:val="none"/>
          <w:lang w:val="en-US" w:eastAsia="zh-CN"/>
        </w:rPr>
        <w:t>主动实施</w:t>
      </w:r>
      <w:r>
        <w:rPr>
          <w:rFonts w:hint="eastAsia" w:ascii="Times New Roman" w:hAnsi="Times New Roman" w:eastAsia="仿宋_GB2312"/>
          <w:color w:val="auto"/>
          <w:kern w:val="0"/>
          <w:highlight w:val="none"/>
        </w:rPr>
        <w:t>抢修及电话通知服务</w:t>
      </w:r>
      <w:r>
        <w:rPr>
          <w:rFonts w:hint="eastAsia" w:ascii="Times New Roman" w:hAnsi="Times New Roman" w:eastAsia="仿宋_GB2312"/>
          <w:color w:val="auto"/>
          <w:kern w:val="0"/>
          <w:highlight w:val="none"/>
          <w:lang w:val="en-US" w:eastAsia="zh-CN"/>
        </w:rPr>
        <w:t>；</w:t>
      </w:r>
      <w:r>
        <w:rPr>
          <w:rFonts w:hint="eastAsia" w:ascii="Times New Roman" w:hAnsi="Times New Roman" w:eastAsia="仿宋_GB2312"/>
          <w:color w:val="auto"/>
          <w:highlight w:val="none"/>
          <w:lang w:val="en-US" w:eastAsia="zh-CN"/>
        </w:rPr>
        <w:t>须配备</w:t>
      </w:r>
      <w:r>
        <w:rPr>
          <w:rFonts w:hint="eastAsia" w:ascii="Times New Roman" w:hAnsi="Times New Roman" w:eastAsia="仿宋_GB2312"/>
          <w:color w:val="auto"/>
          <w:highlight w:val="none"/>
        </w:rPr>
        <w:t>网络测速平台，监测</w:t>
      </w:r>
      <w:r>
        <w:rPr>
          <w:rFonts w:hint="eastAsia" w:ascii="Times New Roman" w:hAnsi="Times New Roman" w:eastAsia="仿宋_GB2312"/>
          <w:color w:val="auto"/>
          <w:highlight w:val="none"/>
          <w:lang w:val="en-US" w:eastAsia="zh-CN"/>
        </w:rPr>
        <w:t>至</w:t>
      </w:r>
      <w:r>
        <w:rPr>
          <w:rFonts w:hint="eastAsia" w:ascii="Times New Roman" w:hAnsi="Times New Roman" w:eastAsia="仿宋_GB2312"/>
          <w:color w:val="auto"/>
          <w:highlight w:val="none"/>
        </w:rPr>
        <w:t>用户边界设备的时延、丢包等</w:t>
      </w:r>
      <w:r>
        <w:rPr>
          <w:rFonts w:hint="eastAsia" w:ascii="Times New Roman" w:hAnsi="Times New Roman" w:eastAsia="仿宋_GB2312"/>
          <w:color w:val="auto"/>
          <w:highlight w:val="none"/>
          <w:lang w:val="en-US" w:eastAsia="zh-CN"/>
        </w:rPr>
        <w:t>关键性能</w:t>
      </w:r>
      <w:r>
        <w:rPr>
          <w:rFonts w:hint="eastAsia" w:ascii="Times New Roman" w:hAnsi="Times New Roman" w:eastAsia="仿宋_GB2312"/>
          <w:color w:val="auto"/>
          <w:highlight w:val="none"/>
        </w:rPr>
        <w:t>指标，</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具备测速结果</w:t>
      </w:r>
      <w:r>
        <w:rPr>
          <w:rFonts w:hint="eastAsia" w:ascii="Times New Roman" w:hAnsi="Times New Roman" w:eastAsia="仿宋_GB2312"/>
          <w:color w:val="auto"/>
          <w:highlight w:val="none"/>
          <w:lang w:val="en-US" w:eastAsia="zh-CN"/>
        </w:rPr>
        <w:t>的专业</w:t>
      </w:r>
      <w:r>
        <w:rPr>
          <w:rFonts w:hint="eastAsia" w:ascii="Times New Roman" w:hAnsi="Times New Roman" w:eastAsia="仿宋_GB2312"/>
          <w:color w:val="auto"/>
          <w:highlight w:val="none"/>
        </w:rPr>
        <w:t>解释的能力</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须配备专</w:t>
      </w:r>
      <w:r>
        <w:rPr>
          <w:rFonts w:hint="eastAsia" w:ascii="Times New Roman" w:hAnsi="Times New Roman" w:eastAsia="仿宋_GB2312"/>
          <w:color w:val="auto"/>
          <w:highlight w:val="none"/>
        </w:rPr>
        <w:t>业网络运维工具，</w:t>
      </w:r>
      <w:r>
        <w:rPr>
          <w:rFonts w:hint="eastAsia" w:ascii="Times New Roman" w:hAnsi="Times New Roman" w:eastAsia="仿宋_GB2312"/>
          <w:color w:val="auto"/>
          <w:highlight w:val="none"/>
          <w:lang w:val="en-US" w:eastAsia="zh-CN"/>
        </w:rPr>
        <w:t>支持在</w:t>
      </w:r>
      <w:r>
        <w:rPr>
          <w:rFonts w:ascii="Times New Roman" w:hAnsi="Times New Roman" w:eastAsia="仿宋_GB2312"/>
          <w:color w:val="auto"/>
          <w:highlight w:val="none"/>
        </w:rPr>
        <w:t>10G</w:t>
      </w:r>
      <w:r>
        <w:rPr>
          <w:rFonts w:hint="eastAsia" w:ascii="Times New Roman" w:hAnsi="Times New Roman" w:eastAsia="仿宋_GB2312"/>
          <w:color w:val="auto"/>
          <w:highlight w:val="none"/>
        </w:rPr>
        <w:t>接入链路全流量</w:t>
      </w:r>
      <w:r>
        <w:rPr>
          <w:rFonts w:hint="eastAsia" w:ascii="Times New Roman" w:hAnsi="Times New Roman" w:eastAsia="仿宋_GB2312"/>
          <w:color w:val="auto"/>
          <w:highlight w:val="none"/>
          <w:lang w:val="en-US" w:eastAsia="zh-CN"/>
        </w:rPr>
        <w:t>捕获</w:t>
      </w:r>
      <w:r>
        <w:rPr>
          <w:rFonts w:hint="eastAsia" w:ascii="Times New Roman" w:hAnsi="Times New Roman" w:eastAsia="仿宋_GB2312"/>
          <w:color w:val="auto"/>
          <w:highlight w:val="none"/>
        </w:rPr>
        <w:t>环境下</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分析</w:t>
      </w:r>
      <w:r>
        <w:rPr>
          <w:rFonts w:hint="eastAsia" w:ascii="Times New Roman" w:hAnsi="Times New Roman" w:eastAsia="仿宋_GB2312"/>
          <w:color w:val="auto"/>
          <w:highlight w:val="none"/>
        </w:rPr>
        <w:t>传输层</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应用层</w:t>
      </w:r>
      <w:r>
        <w:rPr>
          <w:rFonts w:hint="eastAsia" w:ascii="Times New Roman" w:hAnsi="Times New Roman" w:eastAsia="仿宋_GB2312"/>
          <w:color w:val="auto"/>
          <w:highlight w:val="none"/>
          <w:lang w:val="en-US" w:eastAsia="zh-CN"/>
        </w:rPr>
        <w:t>等</w:t>
      </w:r>
      <w:r>
        <w:rPr>
          <w:rFonts w:hint="eastAsia" w:ascii="Times New Roman" w:hAnsi="Times New Roman" w:eastAsia="仿宋_GB2312"/>
          <w:color w:val="auto"/>
          <w:highlight w:val="none"/>
        </w:rPr>
        <w:t>协议</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分析统计结果</w:t>
      </w:r>
      <w:r>
        <w:rPr>
          <w:rFonts w:hint="eastAsia" w:ascii="Times New Roman" w:hAnsi="Times New Roman" w:eastAsia="仿宋_GB2312"/>
          <w:color w:val="auto"/>
          <w:highlight w:val="none"/>
        </w:rPr>
        <w:t>可通过标准化数据接口</w:t>
      </w:r>
      <w:r>
        <w:rPr>
          <w:rFonts w:hint="eastAsia" w:ascii="Times New Roman" w:hAnsi="Times New Roman" w:eastAsia="仿宋_GB2312"/>
          <w:color w:val="auto"/>
          <w:highlight w:val="none"/>
          <w:lang w:val="en-US" w:eastAsia="zh-CN"/>
        </w:rPr>
        <w:t>输出</w:t>
      </w:r>
      <w:r>
        <w:rPr>
          <w:rFonts w:hint="eastAsia" w:ascii="Times New Roman" w:hAnsi="Times New Roman" w:eastAsia="仿宋_GB2312"/>
          <w:color w:val="auto"/>
          <w:highlight w:val="none"/>
        </w:rPr>
        <w:t>至外部平台。</w:t>
      </w:r>
    </w:p>
    <w:p w14:paraId="1116EBC0">
      <w:pPr>
        <w:keepNext w:val="0"/>
        <w:keepLines w:val="0"/>
        <w:pageBreakBefore w:val="0"/>
        <w:widowControl/>
        <w:numPr>
          <w:ilvl w:val="0"/>
          <w:numId w:val="2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color w:val="auto"/>
          <w:highlight w:val="none"/>
        </w:rPr>
      </w:pPr>
      <w:r>
        <w:rPr>
          <w:rFonts w:hint="eastAsia" w:ascii="Times New Roman" w:hAnsi="Times New Roman"/>
          <w:color w:val="auto"/>
          <w:highlight w:val="none"/>
        </w:rPr>
        <w:t>备品备件</w:t>
      </w:r>
      <w:r>
        <w:rPr>
          <w:rFonts w:hint="eastAsia" w:ascii="Times New Roman" w:hAnsi="Times New Roman"/>
          <w:color w:val="auto"/>
          <w:highlight w:val="none"/>
          <w:lang w:eastAsia="zh-CN"/>
        </w:rPr>
        <w:t>：</w:t>
      </w:r>
      <w:r>
        <w:rPr>
          <w:rFonts w:hint="eastAsia" w:ascii="Times New Roman" w:hAnsi="Times New Roman"/>
          <w:color w:val="auto"/>
          <w:highlight w:val="none"/>
          <w:lang w:val="en-US" w:eastAsia="zh-CN"/>
        </w:rPr>
        <w:t>须</w:t>
      </w:r>
      <w:r>
        <w:rPr>
          <w:rFonts w:hint="eastAsia" w:ascii="Times New Roman" w:hAnsi="Times New Roman" w:eastAsia="仿宋_GB2312"/>
          <w:color w:val="auto"/>
          <w:highlight w:val="none"/>
        </w:rPr>
        <w:t>备齐相关备品备件，并提供相应的备品备件管理制度，满足各项设备更换、新增节点、带宽扩容等需求。</w:t>
      </w:r>
    </w:p>
    <w:p w14:paraId="3CC2FC9C">
      <w:pPr>
        <w:keepNext w:val="0"/>
        <w:keepLines w:val="0"/>
        <w:pageBreakBefore w:val="0"/>
        <w:widowControl/>
        <w:numPr>
          <w:ilvl w:val="0"/>
          <w:numId w:val="2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color w:val="auto"/>
          <w:highlight w:val="none"/>
        </w:rPr>
        <w:t>资源管理</w:t>
      </w:r>
      <w:r>
        <w:rPr>
          <w:rFonts w:hint="eastAsia" w:ascii="Times New Roman" w:hAnsi="Times New Roman"/>
          <w:color w:val="auto"/>
          <w:highlight w:val="none"/>
          <w:lang w:eastAsia="zh-CN"/>
        </w:rPr>
        <w:t>：</w:t>
      </w:r>
      <w:r>
        <w:rPr>
          <w:rFonts w:hint="eastAsia" w:ascii="Times New Roman" w:hAnsi="Times New Roman" w:eastAsia="仿宋_GB2312"/>
          <w:color w:val="auto"/>
          <w:highlight w:val="none"/>
        </w:rPr>
        <w:t>中标人负责各类网络资源的动态维护与管理，需设计资源管理方案，对网络资源进行记录和统一管理，信息包括但不限于系统配置、网络拓扑结构、网络IP地址使用情况、设备型号、板卡型号、端口使用情况等；并能在设备新增、变更后24小时内更新资源管理信息，保留修改记录。</w:t>
      </w:r>
    </w:p>
    <w:p w14:paraId="09E4C488">
      <w:pPr>
        <w:keepNext w:val="0"/>
        <w:keepLines w:val="0"/>
        <w:pageBreakBefore w:val="0"/>
        <w:widowControl/>
        <w:numPr>
          <w:ilvl w:val="0"/>
          <w:numId w:val="2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color w:val="auto"/>
          <w:highlight w:val="none"/>
        </w:rPr>
        <w:t>性能管理</w:t>
      </w:r>
      <w:r>
        <w:rPr>
          <w:rFonts w:hint="eastAsia" w:ascii="Times New Roman" w:hAnsi="Times New Roman"/>
          <w:color w:val="auto"/>
          <w:highlight w:val="none"/>
          <w:lang w:eastAsia="zh-CN"/>
        </w:rPr>
        <w:t>：</w:t>
      </w:r>
      <w:r>
        <w:rPr>
          <w:rFonts w:hint="eastAsia" w:ascii="Times New Roman" w:hAnsi="Times New Roman" w:eastAsia="仿宋_GB2312"/>
          <w:color w:val="auto"/>
          <w:highlight w:val="none"/>
        </w:rPr>
        <w:t>中标人应按需向网络使用单位提供网络性能分析报告及优化建议报告；与网络使用单位进行充分沟通，由其确定是否实施，如需实施，则需协调相关单位共同完成实施操作。</w:t>
      </w:r>
    </w:p>
    <w:p w14:paraId="1609D744">
      <w:pPr>
        <w:keepNext w:val="0"/>
        <w:keepLines w:val="0"/>
        <w:pageBreakBefore w:val="0"/>
        <w:widowControl/>
        <w:numPr>
          <w:ilvl w:val="0"/>
          <w:numId w:val="2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割接管理：</w:t>
      </w:r>
      <w:r>
        <w:rPr>
          <w:rFonts w:hint="eastAsia" w:ascii="Times New Roman" w:hAnsi="Times New Roman" w:eastAsia="仿宋_GB2312"/>
          <w:color w:val="auto"/>
          <w:highlight w:val="none"/>
        </w:rPr>
        <w:t>中标人应当承诺，提供</w:t>
      </w:r>
      <w:r>
        <w:rPr>
          <w:rFonts w:hint="eastAsia" w:ascii="Times New Roman" w:hAnsi="Times New Roman" w:eastAsia="仿宋_GB2312"/>
          <w:color w:val="auto"/>
          <w:highlight w:val="none"/>
          <w:lang w:val="en-US" w:eastAsia="zh-CN"/>
        </w:rPr>
        <w:t>服务</w:t>
      </w:r>
      <w:r>
        <w:rPr>
          <w:rFonts w:hint="eastAsia" w:ascii="Times New Roman" w:hAnsi="Times New Roman" w:eastAsia="仿宋_GB2312"/>
          <w:color w:val="auto"/>
          <w:highlight w:val="none"/>
        </w:rPr>
        <w:t>的</w:t>
      </w:r>
      <w:r>
        <w:rPr>
          <w:rFonts w:hint="eastAsia" w:ascii="Times New Roman" w:hAnsi="Times New Roman" w:eastAsia="仿宋_GB2312"/>
          <w:color w:val="auto"/>
          <w:highlight w:val="none"/>
          <w:lang w:val="en-US" w:eastAsia="zh-CN"/>
        </w:rPr>
        <w:t>网络在</w:t>
      </w:r>
      <w:r>
        <w:rPr>
          <w:rFonts w:hint="eastAsia" w:ascii="Times New Roman" w:hAnsi="Times New Roman" w:eastAsia="仿宋_GB2312"/>
          <w:color w:val="auto"/>
          <w:highlight w:val="none"/>
        </w:rPr>
        <w:t>功能、性能等方面需要升级更新时，</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在2</w:t>
      </w:r>
      <w:r>
        <w:rPr>
          <w:rFonts w:hint="eastAsia" w:ascii="Times New Roman" w:hAnsi="Times New Roman" w:eastAsia="仿宋_GB2312"/>
          <w:color w:val="auto"/>
          <w:highlight w:val="none"/>
          <w:lang w:val="en-US" w:eastAsia="zh-CN"/>
        </w:rPr>
        <w:t>个</w:t>
      </w:r>
      <w:r>
        <w:rPr>
          <w:rFonts w:hint="eastAsia" w:ascii="Times New Roman" w:hAnsi="Times New Roman" w:eastAsia="仿宋_GB2312"/>
          <w:color w:val="auto"/>
          <w:highlight w:val="none"/>
        </w:rPr>
        <w:t>工作日内作出响应，确认升级方案后按计划完成升级</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在日常运维中</w:t>
      </w:r>
      <w:r>
        <w:rPr>
          <w:rFonts w:hint="eastAsia" w:ascii="Times New Roman" w:hAnsi="Times New Roman" w:eastAsia="仿宋_GB2312"/>
          <w:color w:val="auto"/>
          <w:highlight w:val="none"/>
          <w:lang w:val="en-US" w:eastAsia="zh-CN"/>
        </w:rPr>
        <w:t>，因光缆移位等原因需实施割接的，应提前进行</w:t>
      </w:r>
      <w:r>
        <w:rPr>
          <w:rFonts w:hint="eastAsia" w:ascii="Times New Roman" w:hAnsi="Times New Roman" w:eastAsia="仿宋_GB2312"/>
          <w:color w:val="auto"/>
          <w:highlight w:val="none"/>
        </w:rPr>
        <w:t>全面</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操作影响评估</w:t>
      </w:r>
      <w:r>
        <w:rPr>
          <w:rFonts w:hint="eastAsia" w:ascii="Times New Roman" w:hAnsi="Times New Roman" w:eastAsia="仿宋_GB2312"/>
          <w:color w:val="auto"/>
          <w:highlight w:val="none"/>
          <w:lang w:val="en-US" w:eastAsia="zh-CN"/>
        </w:rPr>
        <w:t>并制定</w:t>
      </w:r>
      <w:r>
        <w:rPr>
          <w:rFonts w:hint="eastAsia" w:ascii="Times New Roman" w:hAnsi="Times New Roman" w:eastAsia="仿宋_GB2312"/>
          <w:color w:val="auto"/>
          <w:highlight w:val="none"/>
        </w:rPr>
        <w:t>完善的操作实施方案，方案</w:t>
      </w:r>
      <w:r>
        <w:rPr>
          <w:rFonts w:hint="eastAsia" w:ascii="Times New Roman" w:hAnsi="Times New Roman" w:eastAsia="仿宋_GB2312"/>
          <w:color w:val="auto"/>
          <w:highlight w:val="none"/>
          <w:lang w:val="en-US" w:eastAsia="zh-CN"/>
        </w:rPr>
        <w:t>须最大限度</w:t>
      </w:r>
      <w:r>
        <w:rPr>
          <w:rFonts w:hint="eastAsia" w:ascii="Times New Roman" w:hAnsi="Times New Roman" w:eastAsia="仿宋_GB2312"/>
          <w:color w:val="auto"/>
          <w:highlight w:val="none"/>
        </w:rPr>
        <w:t>降低对</w:t>
      </w:r>
      <w:r>
        <w:rPr>
          <w:rFonts w:hint="eastAsia" w:ascii="Times New Roman" w:hAnsi="Times New Roman" w:eastAsia="仿宋_GB2312"/>
          <w:color w:val="auto"/>
          <w:highlight w:val="none"/>
          <w:lang w:val="en-US" w:eastAsia="zh-CN"/>
        </w:rPr>
        <w:t>承载</w:t>
      </w:r>
      <w:r>
        <w:rPr>
          <w:rFonts w:hint="eastAsia" w:ascii="Times New Roman" w:hAnsi="Times New Roman" w:eastAsia="仿宋_GB2312"/>
          <w:color w:val="auto"/>
          <w:highlight w:val="none"/>
        </w:rPr>
        <w:t>业务的影响</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同步提前书面通知受影响的接入单位；每月割接计划应至少提前10个工作日制定</w:t>
      </w:r>
      <w:r>
        <w:rPr>
          <w:rFonts w:hint="eastAsia" w:ascii="Times New Roman" w:hAnsi="Times New Roman" w:eastAsia="仿宋_GB2312"/>
          <w:color w:val="auto"/>
          <w:highlight w:val="none"/>
        </w:rPr>
        <w:t>。</w:t>
      </w:r>
    </w:p>
    <w:p w14:paraId="06ACE55F">
      <w:pPr>
        <w:keepNext w:val="0"/>
        <w:keepLines w:val="0"/>
        <w:pageBreakBefore w:val="0"/>
        <w:widowControl/>
        <w:numPr>
          <w:ilvl w:val="0"/>
          <w:numId w:val="22"/>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color w:val="auto"/>
          <w:highlight w:val="none"/>
        </w:rPr>
      </w:pPr>
      <w:r>
        <w:rPr>
          <w:rFonts w:hint="eastAsia" w:ascii="Times New Roman" w:hAnsi="Times New Roman" w:eastAsia="仿宋_GB2312"/>
          <w:color w:val="auto"/>
          <w:highlight w:val="none"/>
          <w:lang w:val="en-US" w:eastAsia="zh-CN"/>
        </w:rPr>
        <w:t>重要保障：</w:t>
      </w: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要求，在指定的重要时段或重大活动期间提供重大保障服务，</w:t>
      </w:r>
      <w:r>
        <w:rPr>
          <w:rFonts w:hint="eastAsia" w:ascii="Times New Roman" w:hAnsi="Times New Roman" w:eastAsia="仿宋_GB2312"/>
          <w:color w:val="auto"/>
          <w:highlight w:val="none"/>
          <w:lang w:val="en-US" w:eastAsia="zh-CN"/>
        </w:rPr>
        <w:t>并按要求临时提升带宽、按照专人现场保障、开展应急演练等</w:t>
      </w:r>
      <w:r>
        <w:rPr>
          <w:rFonts w:hint="eastAsia" w:ascii="Times New Roman" w:hAnsi="Times New Roman" w:eastAsia="仿宋_GB2312"/>
          <w:color w:val="auto"/>
          <w:highlight w:val="none"/>
        </w:rPr>
        <w:t>保障</w:t>
      </w:r>
      <w:r>
        <w:rPr>
          <w:rFonts w:hint="eastAsia" w:ascii="Times New Roman" w:hAnsi="Times New Roman" w:eastAsia="仿宋_GB2312"/>
          <w:color w:val="auto"/>
          <w:highlight w:val="none"/>
          <w:lang w:val="en-US" w:eastAsia="zh-CN"/>
        </w:rPr>
        <w:t>措施</w:t>
      </w:r>
      <w:r>
        <w:rPr>
          <w:rFonts w:hint="eastAsia" w:ascii="Times New Roman" w:hAnsi="Times New Roman" w:eastAsia="仿宋_GB2312"/>
          <w:color w:val="auto"/>
          <w:highlight w:val="none"/>
        </w:rPr>
        <w:t>。</w:t>
      </w:r>
    </w:p>
    <w:p w14:paraId="76D2BA24">
      <w:pPr>
        <w:pStyle w:val="3"/>
        <w:rPr>
          <w:rFonts w:ascii="Times New Roman" w:hAnsi="Times New Roman"/>
          <w:color w:val="auto"/>
          <w:highlight w:val="none"/>
        </w:rPr>
      </w:pPr>
      <w:bookmarkStart w:id="239" w:name="_Toc11139"/>
      <w:bookmarkStart w:id="240" w:name="_Toc4357"/>
      <w:bookmarkStart w:id="241" w:name="_Toc29740"/>
      <w:bookmarkStart w:id="242" w:name="_Toc19547"/>
      <w:bookmarkStart w:id="243" w:name="_Toc28113"/>
      <w:bookmarkStart w:id="244" w:name="_Toc1109"/>
      <w:r>
        <w:rPr>
          <w:rFonts w:hint="eastAsia" w:ascii="Times New Roman" w:hAnsi="Times New Roman"/>
          <w:color w:val="auto"/>
          <w:highlight w:val="none"/>
        </w:rPr>
        <w:t>安全防护要求</w:t>
      </w:r>
      <w:bookmarkEnd w:id="239"/>
      <w:bookmarkEnd w:id="240"/>
      <w:bookmarkEnd w:id="241"/>
      <w:bookmarkEnd w:id="242"/>
      <w:bookmarkEnd w:id="243"/>
      <w:bookmarkEnd w:id="244"/>
    </w:p>
    <w:p w14:paraId="683BF5B0">
      <w:pPr>
        <w:keepNext w:val="0"/>
        <w:keepLines w:val="0"/>
        <w:pageBreakBefore w:val="0"/>
        <w:widowControl/>
        <w:numPr>
          <w:ilvl w:val="0"/>
          <w:numId w:val="2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等保合规与基础防护：</w:t>
      </w:r>
      <w:r>
        <w:rPr>
          <w:rFonts w:hint="eastAsia" w:ascii="Times New Roman" w:hAnsi="Times New Roman" w:eastAsia="仿宋_GB2312"/>
          <w:color w:val="auto"/>
          <w:highlight w:val="none"/>
        </w:rPr>
        <w:t>中标人提供的通信网络</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全网符合网络安全等级保护</w:t>
      </w:r>
      <w:r>
        <w:rPr>
          <w:rFonts w:hint="eastAsia" w:ascii="Times New Roman" w:hAnsi="Times New Roman" w:eastAsia="仿宋_GB2312"/>
          <w:color w:val="auto"/>
          <w:highlight w:val="none"/>
          <w:lang w:val="en-US" w:eastAsia="zh-CN"/>
        </w:rPr>
        <w:t>第</w:t>
      </w:r>
      <w:r>
        <w:rPr>
          <w:rFonts w:hint="eastAsia" w:ascii="Times New Roman" w:hAnsi="Times New Roman" w:eastAsia="仿宋_GB2312"/>
          <w:color w:val="auto"/>
          <w:highlight w:val="none"/>
        </w:rPr>
        <w:t>三级要求，具备安全主动防御以及安全可控的政务应用承载能力，能有效防范和拦阻外部攻击，包括但不限于防范黑客</w:t>
      </w:r>
      <w:r>
        <w:rPr>
          <w:rFonts w:hint="eastAsia" w:ascii="Times New Roman" w:hAnsi="Times New Roman" w:eastAsia="仿宋_GB2312"/>
          <w:color w:val="auto"/>
          <w:highlight w:val="none"/>
          <w:lang w:val="en-US" w:eastAsia="zh-CN"/>
        </w:rPr>
        <w:t>利用</w:t>
      </w:r>
      <w:r>
        <w:rPr>
          <w:rFonts w:hint="eastAsia" w:ascii="Times New Roman" w:hAnsi="Times New Roman" w:eastAsia="仿宋_GB2312"/>
          <w:color w:val="auto"/>
          <w:highlight w:val="none"/>
        </w:rPr>
        <w:t>中标人所属链路</w:t>
      </w:r>
      <w:r>
        <w:rPr>
          <w:rFonts w:hint="eastAsia" w:ascii="Times New Roman" w:hAnsi="Times New Roman" w:eastAsia="仿宋_GB2312"/>
          <w:color w:val="auto"/>
          <w:highlight w:val="none"/>
          <w:lang w:val="en-US" w:eastAsia="zh-CN"/>
        </w:rPr>
        <w:t>入侵</w:t>
      </w:r>
      <w:r>
        <w:rPr>
          <w:rFonts w:hint="eastAsia" w:ascii="Times New Roman" w:hAnsi="Times New Roman" w:eastAsia="仿宋_GB2312"/>
          <w:color w:val="auto"/>
          <w:highlight w:val="none"/>
        </w:rPr>
        <w:t>信息系统</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事件。</w:t>
      </w:r>
    </w:p>
    <w:p w14:paraId="4759DAC6">
      <w:pPr>
        <w:keepNext w:val="0"/>
        <w:keepLines w:val="0"/>
        <w:pageBreakBefore w:val="0"/>
        <w:widowControl/>
        <w:numPr>
          <w:ilvl w:val="0"/>
          <w:numId w:val="2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全面安全防护服务：应提供</w:t>
      </w:r>
      <w:r>
        <w:rPr>
          <w:rFonts w:hint="eastAsia" w:ascii="Times New Roman" w:hAnsi="Times New Roman" w:eastAsia="仿宋_GB2312"/>
          <w:color w:val="auto"/>
          <w:highlight w:val="none"/>
        </w:rPr>
        <w:t>漏洞扫描、配置核查、渗透测试、漏洞修复、告警分析、攻击监测、攻击分析、攻击阻断和追踪溯源等</w:t>
      </w:r>
      <w:r>
        <w:rPr>
          <w:rFonts w:hint="eastAsia" w:ascii="Times New Roman" w:hAnsi="Times New Roman" w:eastAsia="仿宋_GB2312"/>
          <w:color w:val="auto"/>
          <w:highlight w:val="none"/>
          <w:lang w:val="en-US" w:eastAsia="zh-CN"/>
        </w:rPr>
        <w:t>环节的</w:t>
      </w:r>
      <w:r>
        <w:rPr>
          <w:rFonts w:hint="eastAsia" w:ascii="Times New Roman" w:hAnsi="Times New Roman" w:eastAsia="仿宋_GB2312"/>
          <w:color w:val="auto"/>
          <w:highlight w:val="none"/>
        </w:rPr>
        <w:t>全面网络安全防护</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提供</w:t>
      </w:r>
      <w:r>
        <w:rPr>
          <w:rFonts w:hint="eastAsia" w:ascii="Times New Roman" w:hAnsi="Times New Roman" w:eastAsia="仿宋_GB2312"/>
          <w:color w:val="auto"/>
          <w:highlight w:val="none"/>
          <w:lang w:val="en-US" w:eastAsia="zh-CN"/>
        </w:rPr>
        <w:t>详细的</w:t>
      </w:r>
      <w:r>
        <w:rPr>
          <w:rFonts w:hint="eastAsia" w:ascii="Times New Roman" w:hAnsi="Times New Roman" w:eastAsia="仿宋_GB2312"/>
          <w:color w:val="auto"/>
          <w:highlight w:val="none"/>
        </w:rPr>
        <w:t>安全防护方案。</w:t>
      </w:r>
    </w:p>
    <w:p w14:paraId="08786826">
      <w:pPr>
        <w:keepNext w:val="0"/>
        <w:keepLines w:val="0"/>
        <w:pageBreakBefore w:val="0"/>
        <w:widowControl/>
        <w:numPr>
          <w:ilvl w:val="0"/>
          <w:numId w:val="2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安全态势感知与智能分析：应</w:t>
      </w:r>
      <w:r>
        <w:rPr>
          <w:rFonts w:hint="eastAsia" w:ascii="Times New Roman" w:hAnsi="Times New Roman" w:eastAsia="仿宋_GB2312"/>
          <w:color w:val="auto"/>
          <w:highlight w:val="none"/>
        </w:rPr>
        <w:t>通过态势感知等平台</w:t>
      </w:r>
      <w:r>
        <w:rPr>
          <w:rFonts w:hint="eastAsia" w:ascii="Times New Roman" w:hAnsi="Times New Roman" w:eastAsia="仿宋_GB2312"/>
          <w:color w:val="auto"/>
          <w:highlight w:val="none"/>
          <w:lang w:val="en-US" w:eastAsia="zh-CN"/>
        </w:rPr>
        <w:t>工具，实现</w:t>
      </w:r>
      <w:r>
        <w:rPr>
          <w:rFonts w:hint="eastAsia" w:ascii="Times New Roman" w:hAnsi="Times New Roman" w:eastAsia="仿宋_GB2312"/>
          <w:color w:val="auto"/>
          <w:highlight w:val="none"/>
        </w:rPr>
        <w:t>数据汇聚、整理、分析、展示与告警</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按月输出平台告警优化策略，有效对接平台威胁情报</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持续完善平台智能分析能力，提升运维响应效率，满足动态</w:t>
      </w:r>
      <w:r>
        <w:rPr>
          <w:rFonts w:hint="eastAsia" w:ascii="Times New Roman" w:hAnsi="Times New Roman" w:eastAsia="仿宋_GB2312"/>
          <w:color w:val="auto"/>
          <w:highlight w:val="none"/>
          <w:lang w:val="en-US" w:eastAsia="zh-CN"/>
        </w:rPr>
        <w:t>网络环境</w:t>
      </w:r>
      <w:r>
        <w:rPr>
          <w:rFonts w:hint="eastAsia" w:ascii="Times New Roman" w:hAnsi="Times New Roman" w:eastAsia="仿宋_GB2312"/>
          <w:color w:val="auto"/>
          <w:highlight w:val="none"/>
        </w:rPr>
        <w:t>的安全需求。</w:t>
      </w:r>
    </w:p>
    <w:p w14:paraId="6320364A">
      <w:pPr>
        <w:keepNext w:val="0"/>
        <w:keepLines w:val="0"/>
        <w:pageBreakBefore w:val="0"/>
        <w:widowControl/>
        <w:numPr>
          <w:ilvl w:val="0"/>
          <w:numId w:val="23"/>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安全运营管理：应</w:t>
      </w:r>
      <w:r>
        <w:rPr>
          <w:rFonts w:hint="eastAsia" w:ascii="Times New Roman" w:hAnsi="Times New Roman" w:eastAsia="仿宋_GB2312"/>
          <w:color w:val="auto"/>
          <w:highlight w:val="none"/>
        </w:rPr>
        <w:t>组织</w:t>
      </w:r>
      <w:r>
        <w:rPr>
          <w:rFonts w:hint="eastAsia" w:ascii="Times New Roman" w:hAnsi="Times New Roman" w:eastAsia="仿宋_GB2312"/>
          <w:color w:val="auto"/>
          <w:highlight w:val="none"/>
          <w:lang w:val="en-US" w:eastAsia="zh-CN"/>
        </w:rPr>
        <w:t>专业</w:t>
      </w:r>
      <w:r>
        <w:rPr>
          <w:rFonts w:hint="eastAsia" w:ascii="Times New Roman" w:hAnsi="Times New Roman" w:eastAsia="仿宋_GB2312"/>
          <w:color w:val="auto"/>
          <w:highlight w:val="none"/>
        </w:rPr>
        <w:t>安全运营团队，以“市区联合云网联动”</w:t>
      </w:r>
      <w:r>
        <w:rPr>
          <w:rFonts w:hint="eastAsia" w:ascii="Times New Roman" w:hAnsi="Times New Roman" w:eastAsia="仿宋_GB2312"/>
          <w:color w:val="auto"/>
          <w:highlight w:val="none"/>
          <w:lang w:val="en-US" w:eastAsia="zh-CN"/>
        </w:rPr>
        <w:t>模式</w:t>
      </w:r>
      <w:r>
        <w:rPr>
          <w:rFonts w:hint="eastAsia" w:ascii="Times New Roman" w:hAnsi="Times New Roman" w:eastAsia="仿宋_GB2312"/>
          <w:color w:val="auto"/>
          <w:highlight w:val="none"/>
        </w:rPr>
        <w:t>，结合</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平台，开展网络安全专业化运营，</w:t>
      </w:r>
      <w:r>
        <w:rPr>
          <w:rFonts w:hint="eastAsia" w:ascii="Times New Roman" w:hAnsi="Times New Roman" w:eastAsia="仿宋_GB2312"/>
          <w:color w:val="auto"/>
          <w:highlight w:val="none"/>
          <w:lang w:val="en-US" w:eastAsia="zh-CN"/>
        </w:rPr>
        <w:t>建立</w:t>
      </w:r>
      <w:r>
        <w:rPr>
          <w:rFonts w:hint="eastAsia" w:ascii="Times New Roman" w:hAnsi="Times New Roman" w:eastAsia="仿宋_GB2312"/>
          <w:color w:val="auto"/>
          <w:highlight w:val="none"/>
        </w:rPr>
        <w:t>安全管理制度</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流程</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有效的监测联动机制。</w:t>
      </w:r>
    </w:p>
    <w:p w14:paraId="2D89A3A5">
      <w:pPr>
        <w:keepNext w:val="0"/>
        <w:keepLines w:val="0"/>
        <w:pageBreakBefore w:val="0"/>
        <w:widowControl/>
        <w:numPr>
          <w:ilvl w:val="0"/>
          <w:numId w:val="23"/>
        </w:numPr>
        <w:kinsoku/>
        <w:wordWrap/>
        <w:overflowPunct/>
        <w:topLinePunct w:val="0"/>
        <w:autoSpaceDE/>
        <w:autoSpaceDN/>
        <w:bidi w:val="0"/>
        <w:adjustRightInd/>
        <w:snapToGrid/>
        <w:spacing w:line="560" w:lineRule="exact"/>
        <w:ind w:leftChars="0"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安全运维保障：应</w:t>
      </w:r>
      <w:r>
        <w:rPr>
          <w:rFonts w:hint="eastAsia" w:ascii="Times New Roman" w:hAnsi="Times New Roman" w:eastAsia="仿宋_GB2312"/>
          <w:color w:val="auto"/>
          <w:highlight w:val="none"/>
        </w:rPr>
        <w:t>每周</w:t>
      </w:r>
      <w:r>
        <w:rPr>
          <w:rFonts w:hint="eastAsia" w:ascii="Times New Roman" w:hAnsi="Times New Roman" w:eastAsia="仿宋_GB2312"/>
          <w:color w:val="auto"/>
          <w:highlight w:val="none"/>
          <w:lang w:val="en-US" w:eastAsia="zh-CN"/>
        </w:rPr>
        <w:t>执行</w:t>
      </w:r>
      <w:r>
        <w:rPr>
          <w:rFonts w:hint="eastAsia" w:ascii="Times New Roman" w:hAnsi="Times New Roman" w:eastAsia="仿宋_GB2312"/>
          <w:color w:val="auto"/>
          <w:highlight w:val="none"/>
        </w:rPr>
        <w:t>安全设备状态巡检、系统升级、规则</w:t>
      </w:r>
      <w:r>
        <w:rPr>
          <w:rFonts w:hint="eastAsia" w:ascii="Times New Roman" w:hAnsi="Times New Roman" w:eastAsia="仿宋_GB2312"/>
          <w:color w:val="auto"/>
          <w:highlight w:val="none"/>
          <w:lang w:val="en-US" w:eastAsia="zh-CN"/>
        </w:rPr>
        <w:t>库（规则/</w:t>
      </w:r>
      <w:r>
        <w:rPr>
          <w:rFonts w:hint="eastAsia" w:ascii="Times New Roman" w:hAnsi="Times New Roman" w:eastAsia="仿宋_GB2312"/>
          <w:color w:val="auto"/>
          <w:highlight w:val="none"/>
        </w:rPr>
        <w:t>插件</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升级、设备故障处理及日常策略调整等</w:t>
      </w:r>
      <w:r>
        <w:rPr>
          <w:rFonts w:hint="eastAsia" w:ascii="Times New Roman" w:hAnsi="Times New Roman" w:eastAsia="仿宋_GB2312"/>
          <w:color w:val="auto"/>
          <w:highlight w:val="none"/>
          <w:lang w:val="en-US" w:eastAsia="zh-CN"/>
        </w:rPr>
        <w:t>运维工作</w:t>
      </w:r>
      <w:r>
        <w:rPr>
          <w:rFonts w:hint="eastAsia" w:ascii="Times New Roman" w:hAnsi="Times New Roman" w:eastAsia="仿宋_GB2312"/>
          <w:color w:val="auto"/>
          <w:highlight w:val="none"/>
        </w:rPr>
        <w:t>，确保整体安全运营工具、设备及系统的可靠稳定运行。</w:t>
      </w:r>
    </w:p>
    <w:p w14:paraId="61971A4C">
      <w:pPr>
        <w:keepNext w:val="0"/>
        <w:keepLines w:val="0"/>
        <w:pageBreakBefore w:val="0"/>
        <w:widowControl/>
        <w:numPr>
          <w:ilvl w:val="0"/>
          <w:numId w:val="2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安全事件响应与处置：应</w:t>
      </w:r>
      <w:r>
        <w:rPr>
          <w:rFonts w:hint="eastAsia" w:ascii="Times New Roman" w:hAnsi="Times New Roman" w:eastAsia="仿宋_GB2312"/>
          <w:color w:val="auto"/>
          <w:highlight w:val="none"/>
        </w:rPr>
        <w:t>具备</w:t>
      </w:r>
      <w:r>
        <w:rPr>
          <w:rFonts w:hint="eastAsia" w:ascii="Times New Roman" w:hAnsi="Times New Roman" w:eastAsia="仿宋_GB2312"/>
          <w:color w:val="auto"/>
          <w:highlight w:val="none"/>
          <w:lang w:val="en-US" w:eastAsia="zh-CN"/>
        </w:rPr>
        <w:t>完善的</w:t>
      </w:r>
      <w:r>
        <w:rPr>
          <w:rFonts w:hint="eastAsia" w:ascii="Times New Roman" w:hAnsi="Times New Roman" w:eastAsia="仿宋_GB2312"/>
          <w:color w:val="auto"/>
          <w:highlight w:val="none"/>
        </w:rPr>
        <w:t>安全事件响应与处置能力，包括但不限于防范病毒在中标人所属通信网络扩散等事件。</w:t>
      </w:r>
    </w:p>
    <w:p w14:paraId="5692E070">
      <w:pPr>
        <w:keepNext w:val="0"/>
        <w:keepLines w:val="0"/>
        <w:pageBreakBefore w:val="0"/>
        <w:widowControl/>
        <w:numPr>
          <w:ilvl w:val="0"/>
          <w:numId w:val="23"/>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安全数据分析与报告：应具备全面的</w:t>
      </w:r>
      <w:r>
        <w:rPr>
          <w:rFonts w:hint="eastAsia" w:ascii="Times New Roman" w:hAnsi="Times New Roman" w:eastAsia="仿宋_GB2312"/>
          <w:color w:val="auto"/>
          <w:highlight w:val="none"/>
        </w:rPr>
        <w:t>安全数据分析</w:t>
      </w:r>
      <w:r>
        <w:rPr>
          <w:rFonts w:hint="eastAsia" w:ascii="Times New Roman" w:hAnsi="Times New Roman" w:eastAsia="仿宋_GB2312"/>
          <w:color w:val="auto"/>
          <w:highlight w:val="none"/>
          <w:lang w:val="en-US" w:eastAsia="zh-CN"/>
        </w:rPr>
        <w:t>能力，</w:t>
      </w:r>
      <w:r>
        <w:rPr>
          <w:rFonts w:hint="eastAsia" w:ascii="Times New Roman" w:hAnsi="Times New Roman" w:eastAsia="仿宋_GB2312"/>
          <w:color w:val="auto"/>
          <w:highlight w:val="none"/>
        </w:rPr>
        <w:t>持续开展网络安全监测，对全网安全管理数据进行分析、研判和通报</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应按时提交各类安全报告，包括但不限于每日安全威胁处置表、安全月报、安全季报及年度安全运营报告。按需提供网络安全分析报告</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防护优化建议</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多维度的统计分析数据。</w:t>
      </w:r>
    </w:p>
    <w:p w14:paraId="79EBB269">
      <w:pPr>
        <w:keepNext w:val="0"/>
        <w:keepLines w:val="0"/>
        <w:pageBreakBefore w:val="0"/>
        <w:widowControl/>
        <w:numPr>
          <w:ilvl w:val="0"/>
          <w:numId w:val="23"/>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安全事件专家支持：应</w:t>
      </w:r>
      <w:r>
        <w:rPr>
          <w:rFonts w:hint="eastAsia" w:ascii="Times New Roman" w:hAnsi="Times New Roman" w:eastAsia="仿宋_GB2312"/>
          <w:color w:val="auto"/>
          <w:highlight w:val="none"/>
        </w:rPr>
        <w:t>提供安全事件专家</w:t>
      </w:r>
      <w:r>
        <w:rPr>
          <w:rFonts w:hint="eastAsia" w:ascii="Times New Roman" w:hAnsi="Times New Roman" w:eastAsia="仿宋_GB2312"/>
          <w:color w:val="auto"/>
          <w:highlight w:val="none"/>
          <w:lang w:val="en-US" w:eastAsia="zh-CN"/>
        </w:rPr>
        <w:t>级</w:t>
      </w:r>
      <w:r>
        <w:rPr>
          <w:rFonts w:hint="eastAsia" w:ascii="Times New Roman" w:hAnsi="Times New Roman" w:eastAsia="仿宋_GB2312"/>
          <w:color w:val="auto"/>
          <w:highlight w:val="none"/>
        </w:rPr>
        <w:t>技术支持，并在发生重大安全事件时快速响应。</w:t>
      </w:r>
    </w:p>
    <w:p w14:paraId="46FA1782">
      <w:pPr>
        <w:keepNext w:val="0"/>
        <w:keepLines w:val="0"/>
        <w:pageBreakBefore w:val="0"/>
        <w:widowControl/>
        <w:numPr>
          <w:ilvl w:val="0"/>
          <w:numId w:val="23"/>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安全检查与测评：应</w:t>
      </w:r>
      <w:r>
        <w:rPr>
          <w:rFonts w:hint="eastAsia" w:ascii="Times New Roman" w:hAnsi="Times New Roman" w:eastAsia="仿宋_GB2312"/>
          <w:color w:val="auto"/>
          <w:highlight w:val="none"/>
        </w:rPr>
        <w:t>每年组织一次由</w:t>
      </w:r>
      <w:r>
        <w:rPr>
          <w:rFonts w:hint="eastAsia" w:ascii="Times New Roman" w:hAnsi="Times New Roman" w:eastAsia="仿宋_GB2312"/>
          <w:color w:val="auto"/>
          <w:highlight w:val="none"/>
          <w:lang w:val="en-US" w:eastAsia="zh-CN"/>
        </w:rPr>
        <w:t>具备资质的</w:t>
      </w:r>
      <w:r>
        <w:rPr>
          <w:rFonts w:hint="eastAsia" w:ascii="Times New Roman" w:hAnsi="Times New Roman" w:eastAsia="仿宋_GB2312"/>
          <w:color w:val="auto"/>
          <w:highlight w:val="none"/>
        </w:rPr>
        <w:t>第三方机构进行的网络安全测评</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w:t>
      </w:r>
      <w:r>
        <w:rPr>
          <w:rFonts w:hint="eastAsia" w:ascii="Times New Roman" w:hAnsi="Times New Roman" w:eastAsia="仿宋_GB2312"/>
          <w:color w:val="auto"/>
          <w:highlight w:val="none"/>
        </w:rPr>
        <w:t>每年组织一次网络安全自测。</w:t>
      </w:r>
      <w:r>
        <w:rPr>
          <w:rFonts w:hint="eastAsia" w:ascii="Times New Roman" w:hAnsi="Times New Roman" w:eastAsia="仿宋_GB2312"/>
          <w:color w:val="auto"/>
          <w:highlight w:val="none"/>
          <w:lang w:val="en-US" w:eastAsia="zh-CN"/>
        </w:rPr>
        <w:t>应积极配合</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开展</w:t>
      </w:r>
      <w:r>
        <w:rPr>
          <w:rFonts w:hint="eastAsia" w:ascii="Times New Roman" w:hAnsi="Times New Roman" w:eastAsia="仿宋_GB2312"/>
          <w:color w:val="auto"/>
          <w:highlight w:val="none"/>
          <w:lang w:val="en-US" w:eastAsia="zh-CN"/>
        </w:rPr>
        <w:t>各项</w:t>
      </w:r>
      <w:r>
        <w:rPr>
          <w:rFonts w:hint="eastAsia" w:ascii="Times New Roman" w:hAnsi="Times New Roman" w:eastAsia="仿宋_GB2312"/>
          <w:color w:val="auto"/>
          <w:highlight w:val="none"/>
        </w:rPr>
        <w:t>安全检查工作</w:t>
      </w:r>
      <w:r>
        <w:rPr>
          <w:rFonts w:hint="eastAsia" w:ascii="Times New Roman" w:hAnsi="Times New Roman" w:eastAsia="仿宋_GB2312"/>
          <w:color w:val="auto"/>
          <w:highlight w:val="none"/>
          <w:lang w:eastAsia="zh-CN"/>
        </w:rPr>
        <w:t>。</w:t>
      </w:r>
    </w:p>
    <w:p w14:paraId="6F79BBB9">
      <w:pPr>
        <w:keepNext w:val="0"/>
        <w:keepLines w:val="0"/>
        <w:pageBreakBefore w:val="0"/>
        <w:widowControl/>
        <w:numPr>
          <w:ilvl w:val="0"/>
          <w:numId w:val="23"/>
        </w:numPr>
        <w:kinsoku/>
        <w:wordWrap/>
        <w:overflowPunct/>
        <w:topLinePunct w:val="0"/>
        <w:autoSpaceDE/>
        <w:autoSpaceDN/>
        <w:bidi w:val="0"/>
        <w:adjustRightInd/>
        <w:snapToGrid/>
        <w:spacing w:line="560" w:lineRule="exact"/>
        <w:ind w:firstLineChars="200"/>
        <w:textAlignment w:val="auto"/>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lang w:val="en-US" w:eastAsia="zh-CN"/>
        </w:rPr>
        <w:t>问题整改与闭环：应</w:t>
      </w:r>
      <w:r>
        <w:rPr>
          <w:rFonts w:hint="eastAsia" w:ascii="Times New Roman" w:hAnsi="Times New Roman" w:eastAsia="仿宋_GB2312"/>
          <w:color w:val="auto"/>
          <w:sz w:val="28"/>
          <w:highlight w:val="none"/>
        </w:rPr>
        <w:t>对网络安全自测、</w:t>
      </w:r>
      <w:r>
        <w:rPr>
          <w:rFonts w:hint="eastAsia" w:ascii="Times New Roman" w:hAnsi="Times New Roman" w:eastAsia="仿宋_GB2312"/>
          <w:color w:val="auto"/>
          <w:sz w:val="28"/>
          <w:highlight w:val="none"/>
          <w:lang w:val="en-US" w:eastAsia="zh-CN"/>
        </w:rPr>
        <w:t>第三方</w:t>
      </w:r>
      <w:r>
        <w:rPr>
          <w:rFonts w:hint="eastAsia" w:ascii="Times New Roman" w:hAnsi="Times New Roman" w:eastAsia="仿宋_GB2312"/>
          <w:color w:val="auto"/>
          <w:sz w:val="28"/>
          <w:highlight w:val="none"/>
        </w:rPr>
        <w:t>测评、</w:t>
      </w:r>
      <w:r>
        <w:rPr>
          <w:rFonts w:hint="eastAsia" w:ascii="Times New Roman" w:hAnsi="Times New Roman" w:eastAsia="仿宋_GB2312"/>
          <w:color w:val="auto"/>
          <w:sz w:val="28"/>
          <w:highlight w:val="none"/>
          <w:lang w:val="en-US" w:eastAsia="zh-CN"/>
        </w:rPr>
        <w:t>安全</w:t>
      </w:r>
      <w:r>
        <w:rPr>
          <w:rFonts w:hint="eastAsia" w:ascii="Times New Roman" w:hAnsi="Times New Roman" w:eastAsia="仿宋_GB2312"/>
          <w:color w:val="auto"/>
          <w:sz w:val="28"/>
          <w:highlight w:val="none"/>
        </w:rPr>
        <w:t>检查等</w:t>
      </w:r>
      <w:r>
        <w:rPr>
          <w:rFonts w:hint="eastAsia" w:ascii="Times New Roman" w:hAnsi="Times New Roman" w:eastAsia="仿宋_GB2312"/>
          <w:color w:val="auto"/>
          <w:sz w:val="28"/>
          <w:highlight w:val="none"/>
          <w:lang w:val="en-US" w:eastAsia="zh-CN"/>
        </w:rPr>
        <w:t>发现</w:t>
      </w:r>
      <w:r>
        <w:rPr>
          <w:rFonts w:hint="eastAsia" w:ascii="Times New Roman" w:hAnsi="Times New Roman" w:eastAsia="仿宋_GB2312"/>
          <w:color w:val="auto"/>
          <w:sz w:val="28"/>
          <w:highlight w:val="none"/>
        </w:rPr>
        <w:t>的问题</w:t>
      </w:r>
      <w:r>
        <w:rPr>
          <w:rFonts w:hint="eastAsia" w:ascii="Times New Roman" w:hAnsi="Times New Roman" w:eastAsia="仿宋_GB2312"/>
          <w:color w:val="auto"/>
          <w:sz w:val="28"/>
          <w:highlight w:val="none"/>
          <w:lang w:val="en-US" w:eastAsia="zh-CN"/>
        </w:rPr>
        <w:t>限时</w:t>
      </w:r>
      <w:r>
        <w:rPr>
          <w:rFonts w:hint="eastAsia" w:ascii="Times New Roman" w:hAnsi="Times New Roman" w:eastAsia="仿宋_GB2312"/>
          <w:color w:val="auto"/>
          <w:sz w:val="28"/>
          <w:highlight w:val="none"/>
        </w:rPr>
        <w:t>整改</w:t>
      </w:r>
      <w:r>
        <w:rPr>
          <w:rFonts w:hint="eastAsia" w:ascii="Times New Roman" w:hAnsi="Times New Roman" w:eastAsia="仿宋_GB2312"/>
          <w:color w:val="auto"/>
          <w:sz w:val="28"/>
          <w:highlight w:val="none"/>
          <w:lang w:val="en-US" w:eastAsia="zh-CN"/>
        </w:rPr>
        <w:t>并实现</w:t>
      </w:r>
      <w:r>
        <w:rPr>
          <w:rFonts w:hint="eastAsia" w:ascii="Times New Roman" w:hAnsi="Times New Roman" w:eastAsia="仿宋_GB2312"/>
          <w:color w:val="auto"/>
          <w:sz w:val="28"/>
          <w:highlight w:val="none"/>
        </w:rPr>
        <w:t>闭环</w:t>
      </w:r>
      <w:r>
        <w:rPr>
          <w:rFonts w:hint="eastAsia" w:ascii="Times New Roman" w:hAnsi="Times New Roman" w:eastAsia="仿宋_GB2312"/>
          <w:color w:val="auto"/>
          <w:sz w:val="28"/>
          <w:highlight w:val="none"/>
          <w:lang w:val="en-US" w:eastAsia="zh-CN"/>
        </w:rPr>
        <w:t>管理</w:t>
      </w:r>
      <w:r>
        <w:rPr>
          <w:rFonts w:hint="eastAsia" w:ascii="Times New Roman" w:hAnsi="Times New Roman" w:eastAsia="仿宋_GB2312"/>
          <w:color w:val="auto"/>
          <w:sz w:val="28"/>
          <w:highlight w:val="none"/>
        </w:rPr>
        <w:t>。</w:t>
      </w:r>
    </w:p>
    <w:p w14:paraId="019F7438">
      <w:pPr>
        <w:keepNext w:val="0"/>
        <w:keepLines w:val="0"/>
        <w:pageBreakBefore w:val="0"/>
        <w:widowControl/>
        <w:numPr>
          <w:ilvl w:val="0"/>
          <w:numId w:val="23"/>
        </w:numPr>
        <w:kinsoku/>
        <w:wordWrap/>
        <w:overflowPunct/>
        <w:topLinePunct w:val="0"/>
        <w:autoSpaceDE/>
        <w:autoSpaceDN/>
        <w:bidi w:val="0"/>
        <w:adjustRightInd/>
        <w:snapToGrid/>
        <w:spacing w:line="560" w:lineRule="exact"/>
        <w:ind w:firstLineChars="200"/>
        <w:textAlignment w:val="auto"/>
        <w:rPr>
          <w:rFonts w:ascii="Times New Roman" w:hAnsi="Times New Roman" w:eastAsia="仿宋_GB2312"/>
          <w:color w:val="auto"/>
          <w:sz w:val="28"/>
          <w:highlight w:val="none"/>
        </w:rPr>
      </w:pPr>
      <w:r>
        <w:rPr>
          <w:rFonts w:hint="eastAsia" w:ascii="Times New Roman" w:hAnsi="Times New Roman" w:eastAsia="仿宋_GB2312"/>
          <w:color w:val="auto"/>
          <w:sz w:val="28"/>
          <w:highlight w:val="none"/>
          <w:lang w:val="en-US" w:eastAsia="zh-CN"/>
        </w:rPr>
        <w:t>安全加固：应</w:t>
      </w:r>
      <w:r>
        <w:rPr>
          <w:rFonts w:hint="eastAsia" w:ascii="Times New Roman" w:hAnsi="Times New Roman" w:eastAsia="仿宋_GB2312"/>
          <w:color w:val="auto"/>
          <w:sz w:val="28"/>
          <w:highlight w:val="none"/>
        </w:rPr>
        <w:t>按需完成网络安全加固</w:t>
      </w:r>
      <w:r>
        <w:rPr>
          <w:rFonts w:hint="eastAsia" w:ascii="Times New Roman" w:hAnsi="Times New Roman" w:eastAsia="仿宋_GB2312"/>
          <w:color w:val="auto"/>
          <w:sz w:val="28"/>
          <w:highlight w:val="none"/>
          <w:lang w:eastAsia="zh-CN"/>
        </w:rPr>
        <w:t>。</w:t>
      </w:r>
    </w:p>
    <w:p w14:paraId="16281D3C">
      <w:pPr>
        <w:widowControl/>
        <w:numPr>
          <w:ilvl w:val="0"/>
          <w:numId w:val="23"/>
        </w:numPr>
        <w:spacing w:line="560" w:lineRule="exact"/>
        <w:ind w:firstLineChars="200"/>
        <w:rPr>
          <w:rFonts w:ascii="Times New Roman" w:hAnsi="Times New Roman"/>
          <w:color w:val="auto"/>
          <w:highlight w:val="none"/>
        </w:rPr>
      </w:pPr>
      <w:r>
        <w:rPr>
          <w:rFonts w:hint="eastAsia" w:ascii="Times New Roman" w:hAnsi="Times New Roman" w:eastAsia="仿宋_GB2312"/>
          <w:color w:val="auto"/>
          <w:sz w:val="28"/>
          <w:highlight w:val="none"/>
          <w:lang w:val="en-US" w:eastAsia="zh-CN"/>
        </w:rPr>
        <w:t>应配合采购人要求，按需开展政务外网攻防演练。</w:t>
      </w:r>
    </w:p>
    <w:p w14:paraId="15A7F669">
      <w:pPr>
        <w:pStyle w:val="3"/>
        <w:rPr>
          <w:rFonts w:ascii="Times New Roman" w:hAnsi="Times New Roman"/>
          <w:color w:val="auto"/>
          <w:highlight w:val="none"/>
        </w:rPr>
      </w:pPr>
      <w:bookmarkStart w:id="245" w:name="_Toc29961"/>
      <w:bookmarkStart w:id="246" w:name="_Toc18546"/>
      <w:bookmarkStart w:id="247" w:name="_Toc30271"/>
      <w:bookmarkStart w:id="248" w:name="_Toc17582"/>
      <w:bookmarkStart w:id="249" w:name="_Toc29306"/>
      <w:bookmarkStart w:id="250" w:name="_Toc13099"/>
      <w:r>
        <w:rPr>
          <w:rFonts w:hint="eastAsia" w:ascii="Times New Roman" w:hAnsi="Times New Roman"/>
          <w:color w:val="auto"/>
          <w:highlight w:val="none"/>
        </w:rPr>
        <w:t>安全监管要求</w:t>
      </w:r>
      <w:bookmarkEnd w:id="245"/>
      <w:bookmarkEnd w:id="246"/>
      <w:bookmarkEnd w:id="247"/>
    </w:p>
    <w:p w14:paraId="49F67B66">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须依</w:t>
      </w:r>
      <w:r>
        <w:rPr>
          <w:rFonts w:hint="eastAsia" w:ascii="Times New Roman" w:hAnsi="Times New Roman" w:eastAsia="仿宋_GB2312"/>
          <w:color w:val="auto"/>
          <w:highlight w:val="none"/>
        </w:rPr>
        <w:t>据网络日常运行中安全运营防护要求，</w:t>
      </w:r>
      <w:r>
        <w:rPr>
          <w:rFonts w:hint="eastAsia" w:ascii="Times New Roman" w:hAnsi="Times New Roman" w:eastAsia="仿宋_GB2312"/>
          <w:color w:val="auto"/>
          <w:highlight w:val="none"/>
          <w:lang w:val="en-US" w:eastAsia="zh-CN"/>
        </w:rPr>
        <w:t>组建专门的</w:t>
      </w:r>
      <w:r>
        <w:rPr>
          <w:rFonts w:hint="eastAsia" w:ascii="Times New Roman" w:hAnsi="Times New Roman" w:eastAsia="仿宋_GB2312"/>
          <w:color w:val="auto"/>
          <w:highlight w:val="none"/>
        </w:rPr>
        <w:t>企业内部政务外网安全监管团队</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该团队</w:t>
      </w:r>
      <w:r>
        <w:rPr>
          <w:rFonts w:hint="eastAsia" w:ascii="Times New Roman" w:hAnsi="Times New Roman" w:eastAsia="仿宋_GB2312"/>
          <w:color w:val="auto"/>
          <w:highlight w:val="none"/>
          <w:lang w:val="en-US" w:eastAsia="zh-CN"/>
        </w:rPr>
        <w:t>应</w:t>
      </w:r>
      <w:r>
        <w:rPr>
          <w:rFonts w:hint="eastAsia" w:ascii="Times New Roman" w:hAnsi="Times New Roman" w:eastAsia="仿宋_GB2312"/>
          <w:color w:val="auto"/>
          <w:highlight w:val="none"/>
        </w:rPr>
        <w:t>具备网络安全运营监督与管理的专业化能力，独立于政务外网其他业务、建设、运营保障及安全防护团队运行，</w:t>
      </w:r>
      <w:r>
        <w:rPr>
          <w:rFonts w:hint="eastAsia" w:ascii="Times New Roman" w:hAnsi="Times New Roman" w:eastAsia="仿宋_GB2312"/>
          <w:color w:val="auto"/>
          <w:highlight w:val="none"/>
          <w:lang w:val="en-US" w:eastAsia="zh-CN"/>
        </w:rPr>
        <w:t>以</w:t>
      </w:r>
      <w:r>
        <w:rPr>
          <w:rFonts w:hint="eastAsia" w:ascii="Times New Roman" w:hAnsi="Times New Roman" w:eastAsia="仿宋_GB2312"/>
          <w:color w:val="auto"/>
          <w:highlight w:val="none"/>
        </w:rPr>
        <w:t>确保其独立</w:t>
      </w:r>
      <w:r>
        <w:rPr>
          <w:rFonts w:hint="eastAsia" w:ascii="Times New Roman" w:hAnsi="Times New Roman" w:eastAsia="仿宋_GB2312"/>
          <w:color w:val="auto"/>
          <w:highlight w:val="none"/>
          <w:lang w:val="en-US" w:eastAsia="zh-CN"/>
        </w:rPr>
        <w:t>履行</w:t>
      </w:r>
      <w:r>
        <w:rPr>
          <w:rFonts w:hint="eastAsia" w:ascii="Times New Roman" w:hAnsi="Times New Roman" w:eastAsia="仿宋_GB2312"/>
          <w:color w:val="auto"/>
          <w:highlight w:val="none"/>
        </w:rPr>
        <w:t>网络安全监管职责。团队主要职责包括：</w:t>
      </w:r>
    </w:p>
    <w:p w14:paraId="470C7267">
      <w:pPr>
        <w:pStyle w:val="43"/>
        <w:keepNext w:val="0"/>
        <w:keepLines w:val="0"/>
        <w:pageBreakBefore w:val="0"/>
        <w:widowControl w:val="0"/>
        <w:numPr>
          <w:ilvl w:val="0"/>
          <w:numId w:val="24"/>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s="Times New Roman"/>
          <w:color w:val="auto"/>
          <w:szCs w:val="28"/>
          <w:highlight w:val="none"/>
        </w:rPr>
      </w:pPr>
      <w:r>
        <w:rPr>
          <w:rFonts w:hint="eastAsia" w:ascii="Times New Roman" w:hAnsi="Times New Roman" w:eastAsia="仿宋_GB2312" w:cs="Times New Roman"/>
          <w:color w:val="auto"/>
          <w:szCs w:val="28"/>
          <w:highlight w:val="none"/>
          <w:lang w:val="en-US" w:eastAsia="zh-CN"/>
        </w:rPr>
        <w:t>合规监督：</w:t>
      </w:r>
      <w:r>
        <w:rPr>
          <w:rFonts w:hint="eastAsia" w:ascii="Times New Roman" w:hAnsi="Times New Roman" w:eastAsia="仿宋_GB2312" w:cs="Times New Roman"/>
          <w:color w:val="auto"/>
          <w:szCs w:val="28"/>
          <w:highlight w:val="none"/>
        </w:rPr>
        <w:t>指导并监督政务外网各生产建设运营部门</w:t>
      </w:r>
      <w:r>
        <w:rPr>
          <w:rFonts w:hint="eastAsia" w:ascii="Times New Roman" w:hAnsi="Times New Roman" w:eastAsia="仿宋_GB2312" w:cs="Times New Roman"/>
          <w:color w:val="auto"/>
          <w:szCs w:val="28"/>
          <w:highlight w:val="none"/>
          <w:lang w:val="en-US" w:eastAsia="zh-CN"/>
        </w:rPr>
        <w:t>/</w:t>
      </w:r>
      <w:r>
        <w:rPr>
          <w:rFonts w:hint="eastAsia" w:ascii="Times New Roman" w:hAnsi="Times New Roman" w:eastAsia="仿宋_GB2312" w:cs="Times New Roman"/>
          <w:color w:val="auto"/>
          <w:szCs w:val="28"/>
          <w:highlight w:val="none"/>
        </w:rPr>
        <w:t>团队</w:t>
      </w:r>
      <w:r>
        <w:rPr>
          <w:rFonts w:hint="eastAsia" w:ascii="Times New Roman" w:hAnsi="Times New Roman" w:eastAsia="仿宋_GB2312" w:cs="Times New Roman"/>
          <w:color w:val="auto"/>
          <w:szCs w:val="28"/>
          <w:highlight w:val="none"/>
          <w:lang w:eastAsia="zh-CN"/>
        </w:rPr>
        <w:t>，</w:t>
      </w:r>
      <w:r>
        <w:rPr>
          <w:rFonts w:hint="eastAsia" w:ascii="Times New Roman" w:hAnsi="Times New Roman" w:eastAsia="仿宋_GB2312" w:cs="Times New Roman"/>
          <w:color w:val="auto"/>
          <w:szCs w:val="28"/>
          <w:highlight w:val="none"/>
        </w:rPr>
        <w:t>合规执行国家、上海市及</w:t>
      </w:r>
      <w:r>
        <w:rPr>
          <w:rFonts w:hint="eastAsia" w:ascii="Times New Roman" w:hAnsi="Times New Roman" w:eastAsia="仿宋_GB2312" w:cs="Times New Roman"/>
          <w:color w:val="auto"/>
          <w:szCs w:val="28"/>
          <w:highlight w:val="none"/>
          <w:lang w:eastAsia="zh-CN"/>
        </w:rPr>
        <w:t>采购人</w:t>
      </w:r>
      <w:r>
        <w:rPr>
          <w:rFonts w:hint="eastAsia" w:ascii="Times New Roman" w:hAnsi="Times New Roman" w:eastAsia="仿宋_GB2312" w:cs="Times New Roman"/>
          <w:color w:val="auto"/>
          <w:szCs w:val="28"/>
          <w:highlight w:val="none"/>
        </w:rPr>
        <w:t>相关</w:t>
      </w:r>
      <w:r>
        <w:rPr>
          <w:rFonts w:hint="eastAsia" w:ascii="Times New Roman" w:hAnsi="Times New Roman" w:eastAsia="仿宋_GB2312" w:cs="Times New Roman"/>
          <w:color w:val="auto"/>
          <w:szCs w:val="28"/>
          <w:highlight w:val="none"/>
          <w:lang w:val="en-US" w:eastAsia="zh-CN"/>
        </w:rPr>
        <w:t>的</w:t>
      </w:r>
      <w:r>
        <w:rPr>
          <w:rFonts w:hint="eastAsia" w:ascii="Times New Roman" w:hAnsi="Times New Roman" w:eastAsia="仿宋_GB2312" w:cs="Times New Roman"/>
          <w:color w:val="auto"/>
          <w:szCs w:val="28"/>
          <w:highlight w:val="none"/>
        </w:rPr>
        <w:t>网络安全法律法规</w:t>
      </w:r>
      <w:r>
        <w:rPr>
          <w:rFonts w:hint="eastAsia" w:ascii="Times New Roman" w:hAnsi="Times New Roman" w:eastAsia="仿宋_GB2312" w:cs="Times New Roman"/>
          <w:color w:val="auto"/>
          <w:szCs w:val="28"/>
          <w:highlight w:val="none"/>
          <w:lang w:val="en-US" w:eastAsia="zh-CN"/>
        </w:rPr>
        <w:t>及工作要求</w:t>
      </w:r>
      <w:r>
        <w:rPr>
          <w:rFonts w:hint="eastAsia" w:ascii="Times New Roman" w:hAnsi="Times New Roman" w:eastAsia="仿宋_GB2312" w:cs="Times New Roman"/>
          <w:color w:val="auto"/>
          <w:szCs w:val="28"/>
          <w:highlight w:val="none"/>
        </w:rPr>
        <w:t>。</w:t>
      </w:r>
    </w:p>
    <w:p w14:paraId="4BEA5701">
      <w:pPr>
        <w:pStyle w:val="43"/>
        <w:keepNext w:val="0"/>
        <w:keepLines w:val="0"/>
        <w:pageBreakBefore w:val="0"/>
        <w:widowControl w:val="0"/>
        <w:numPr>
          <w:ilvl w:val="0"/>
          <w:numId w:val="24"/>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s="Times New Roman"/>
          <w:color w:val="auto"/>
          <w:szCs w:val="28"/>
          <w:highlight w:val="none"/>
        </w:rPr>
      </w:pPr>
      <w:r>
        <w:rPr>
          <w:rFonts w:hint="eastAsia" w:ascii="Times New Roman" w:hAnsi="Times New Roman" w:eastAsia="仿宋_GB2312" w:cs="Times New Roman"/>
          <w:color w:val="auto"/>
          <w:szCs w:val="28"/>
          <w:highlight w:val="none"/>
          <w:lang w:val="en-US" w:eastAsia="zh-CN"/>
        </w:rPr>
        <w:t>安全工作监督：</w:t>
      </w:r>
      <w:r>
        <w:rPr>
          <w:rFonts w:hint="eastAsia" w:ascii="Times New Roman" w:hAnsi="Times New Roman" w:eastAsia="仿宋_GB2312" w:cs="Times New Roman"/>
          <w:color w:val="auto"/>
          <w:szCs w:val="28"/>
          <w:highlight w:val="none"/>
        </w:rPr>
        <w:t>指导并监督网络各项安全工作</w:t>
      </w:r>
      <w:r>
        <w:rPr>
          <w:rFonts w:hint="eastAsia" w:ascii="Times New Roman" w:hAnsi="Times New Roman" w:eastAsia="仿宋_GB2312" w:cs="Times New Roman"/>
          <w:color w:val="auto"/>
          <w:szCs w:val="28"/>
          <w:highlight w:val="none"/>
          <w:lang w:val="en-US" w:eastAsia="zh-CN"/>
        </w:rPr>
        <w:t>的执行，涵盖</w:t>
      </w:r>
      <w:r>
        <w:rPr>
          <w:rFonts w:hint="eastAsia" w:ascii="Times New Roman" w:hAnsi="Times New Roman" w:eastAsia="仿宋_GB2312" w:cs="Times New Roman"/>
          <w:color w:val="auto"/>
          <w:szCs w:val="28"/>
          <w:highlight w:val="none"/>
        </w:rPr>
        <w:t>安全规划、建设、检查、防护、整改、人员管理、制度建设、数据及资产管理、文档管理、应急演练及等保测评管理等</w:t>
      </w:r>
      <w:r>
        <w:rPr>
          <w:rFonts w:hint="eastAsia" w:ascii="Times New Roman" w:hAnsi="Times New Roman" w:eastAsia="仿宋_GB2312" w:cs="Times New Roman"/>
          <w:color w:val="auto"/>
          <w:szCs w:val="28"/>
          <w:highlight w:val="none"/>
          <w:lang w:val="en-US" w:eastAsia="zh-CN"/>
        </w:rPr>
        <w:t>环节</w:t>
      </w:r>
      <w:r>
        <w:rPr>
          <w:rFonts w:hint="eastAsia" w:ascii="Times New Roman" w:hAnsi="Times New Roman" w:eastAsia="仿宋_GB2312" w:cs="Times New Roman"/>
          <w:color w:val="auto"/>
          <w:szCs w:val="28"/>
          <w:highlight w:val="none"/>
        </w:rPr>
        <w:t>。</w:t>
      </w:r>
    </w:p>
    <w:p w14:paraId="544F24FB">
      <w:pPr>
        <w:pStyle w:val="43"/>
        <w:keepNext w:val="0"/>
        <w:keepLines w:val="0"/>
        <w:pageBreakBefore w:val="0"/>
        <w:widowControl w:val="0"/>
        <w:numPr>
          <w:ilvl w:val="0"/>
          <w:numId w:val="24"/>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s="Times New Roman"/>
          <w:color w:val="auto"/>
          <w:szCs w:val="28"/>
          <w:highlight w:val="none"/>
        </w:rPr>
      </w:pPr>
      <w:r>
        <w:rPr>
          <w:rFonts w:hint="eastAsia" w:ascii="Times New Roman" w:hAnsi="Times New Roman" w:eastAsia="仿宋_GB2312" w:cs="Times New Roman"/>
          <w:color w:val="auto"/>
          <w:szCs w:val="28"/>
          <w:highlight w:val="none"/>
          <w:lang w:val="en-US" w:eastAsia="zh-CN"/>
        </w:rPr>
        <w:t>风险分析与考核汇报：</w:t>
      </w:r>
      <w:r>
        <w:rPr>
          <w:rFonts w:hint="eastAsia" w:ascii="Times New Roman" w:hAnsi="Times New Roman" w:eastAsia="仿宋_GB2312" w:cs="Times New Roman"/>
          <w:color w:val="auto"/>
          <w:szCs w:val="28"/>
          <w:highlight w:val="none"/>
        </w:rPr>
        <w:t>每半年对网络安全监督管理中发现的安全风险及问题进行分析汇总，并监督整改</w:t>
      </w:r>
      <w:r>
        <w:rPr>
          <w:rFonts w:hint="eastAsia" w:ascii="Times New Roman" w:hAnsi="Times New Roman" w:eastAsia="仿宋_GB2312" w:cs="Times New Roman"/>
          <w:color w:val="auto"/>
          <w:szCs w:val="28"/>
          <w:highlight w:val="none"/>
          <w:lang w:eastAsia="zh-CN"/>
        </w:rPr>
        <w:t>；</w:t>
      </w:r>
      <w:r>
        <w:rPr>
          <w:rFonts w:hint="eastAsia" w:ascii="Times New Roman" w:hAnsi="Times New Roman" w:eastAsia="仿宋_GB2312" w:cs="Times New Roman"/>
          <w:color w:val="auto"/>
          <w:szCs w:val="28"/>
          <w:highlight w:val="none"/>
        </w:rPr>
        <w:t>每半年对网络安全各项工作进行考核评价</w:t>
      </w:r>
      <w:r>
        <w:rPr>
          <w:rFonts w:hint="eastAsia" w:ascii="Times New Roman" w:hAnsi="Times New Roman" w:eastAsia="仿宋_GB2312" w:cs="Times New Roman"/>
          <w:color w:val="auto"/>
          <w:szCs w:val="28"/>
          <w:highlight w:val="none"/>
          <w:lang w:eastAsia="zh-CN"/>
        </w:rPr>
        <w:t>；</w:t>
      </w:r>
      <w:r>
        <w:rPr>
          <w:rFonts w:hint="eastAsia" w:ascii="Times New Roman" w:hAnsi="Times New Roman" w:eastAsia="仿宋_GB2312" w:cs="Times New Roman"/>
          <w:color w:val="auto"/>
          <w:szCs w:val="28"/>
          <w:highlight w:val="none"/>
          <w:lang w:val="en-US" w:eastAsia="zh-CN"/>
        </w:rPr>
        <w:t>按</w:t>
      </w:r>
      <w:r>
        <w:rPr>
          <w:rFonts w:hint="eastAsia" w:ascii="Times New Roman" w:hAnsi="Times New Roman" w:eastAsia="仿宋_GB2312" w:cs="Times New Roman"/>
          <w:color w:val="auto"/>
          <w:szCs w:val="28"/>
          <w:highlight w:val="none"/>
          <w:lang w:eastAsia="zh-CN"/>
        </w:rPr>
        <w:t>采购人</w:t>
      </w:r>
      <w:r>
        <w:rPr>
          <w:rFonts w:hint="eastAsia" w:ascii="Times New Roman" w:hAnsi="Times New Roman" w:eastAsia="仿宋_GB2312" w:cs="Times New Roman"/>
          <w:color w:val="auto"/>
          <w:szCs w:val="28"/>
          <w:highlight w:val="none"/>
        </w:rPr>
        <w:t>要求，每半年汇报网络相关安全监督管理工作情况。</w:t>
      </w:r>
    </w:p>
    <w:p w14:paraId="0B4E635D">
      <w:pPr>
        <w:pStyle w:val="3"/>
        <w:rPr>
          <w:rFonts w:ascii="Times New Roman" w:hAnsi="Times New Roman"/>
          <w:color w:val="auto"/>
          <w:highlight w:val="none"/>
        </w:rPr>
      </w:pPr>
      <w:r>
        <w:rPr>
          <w:rFonts w:hint="eastAsia" w:ascii="Times New Roman" w:hAnsi="Times New Roman"/>
          <w:color w:val="auto"/>
          <w:highlight w:val="none"/>
          <w:lang w:val="en-US" w:eastAsia="zh-CN"/>
        </w:rPr>
        <w:t>应急管理</w:t>
      </w:r>
      <w:r>
        <w:rPr>
          <w:rFonts w:hint="eastAsia" w:ascii="Times New Roman" w:hAnsi="Times New Roman"/>
          <w:color w:val="auto"/>
          <w:highlight w:val="none"/>
        </w:rPr>
        <w:t>要求</w:t>
      </w:r>
    </w:p>
    <w:p w14:paraId="4D0ED09F">
      <w:pPr>
        <w:pStyle w:val="43"/>
        <w:spacing w:line="560" w:lineRule="exact"/>
        <w:ind w:firstLine="560" w:firstLineChars="200"/>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中标人须根据政务外网高可用特性与各节点重要性，依据国家及行业相关标准，制定涵盖应急组织、事件分级、响应流程、资源保障等内容的应急保障预案，每年至少修订1次。</w:t>
      </w:r>
    </w:p>
    <w:p w14:paraId="07055E58">
      <w:pPr>
        <w:pStyle w:val="43"/>
        <w:spacing w:line="560" w:lineRule="exact"/>
        <w:ind w:firstLine="560" w:firstLineChars="200"/>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中标人须每年制定应急演练计划，明确演练目标、场景、时间、参演方及检验标准，组织不少于6次应急演练。演练类别及次数要求如下：</w:t>
      </w:r>
    </w:p>
    <w:p w14:paraId="7CF3AABC">
      <w:pPr>
        <w:pStyle w:val="43"/>
        <w:numPr>
          <w:ilvl w:val="0"/>
          <w:numId w:val="25"/>
        </w:numPr>
        <w:spacing w:line="560" w:lineRule="exact"/>
        <w:ind w:firstLine="560" w:firstLineChars="200"/>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网络应急演练：每年不少于4次。重点围绕政务外网核心/汇聚设备故障、SDN控制器故障、网管平台故障等高可用性相关场景开展，检验设备冗余切换机制、SDN控制与转发面容灾机制的有效性，以及网管平台高可用接管与快速恢复能力；</w:t>
      </w:r>
    </w:p>
    <w:p w14:paraId="5ADFCF69">
      <w:pPr>
        <w:pStyle w:val="43"/>
        <w:numPr>
          <w:ilvl w:val="0"/>
          <w:numId w:val="25"/>
        </w:numPr>
        <w:spacing w:line="560" w:lineRule="exact"/>
        <w:ind w:firstLine="560" w:firstLineChars="200"/>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安全应急演练：每年不少于2次。重点围绕国家网边界攻击阻断、安管平台故障等安全场景开展，检验边界攻击检测与阻断有效性、安管平台高可用切换及监测预警与联动处置效能。</w:t>
      </w:r>
    </w:p>
    <w:p w14:paraId="300EC5CD">
      <w:pPr>
        <w:pStyle w:val="43"/>
        <w:spacing w:line="560" w:lineRule="exact"/>
        <w:ind w:firstLine="560" w:firstLineChars="200"/>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中标人须在演练前制定详细方案，明确岗位分工、处置步骤、预期目标及安全防护措施，确保不影响业务系统正常运行；演练中严格按方案执行并全程记录；演练后及时开展复盘评估，形成总结报告。</w:t>
      </w:r>
    </w:p>
    <w:p w14:paraId="521D4DD2">
      <w:pPr>
        <w:pStyle w:val="43"/>
        <w:spacing w:line="560" w:lineRule="exact"/>
        <w:ind w:firstLine="560" w:firstLineChars="200"/>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当发生重大应急事件时，中标人须在采购人组织下立即实施应急响应操作，做好全过程记录，事后及时编制包含原因分析、影响评估、处置过程及改进建议的重大事件报告。</w:t>
      </w:r>
    </w:p>
    <w:p w14:paraId="267E7C75">
      <w:pPr>
        <w:pStyle w:val="43"/>
        <w:spacing w:line="560" w:lineRule="exact"/>
        <w:ind w:firstLine="560" w:firstLineChars="200"/>
        <w:rPr>
          <w:rFonts w:hint="eastAsia" w:ascii="Times New Roman" w:hAnsi="Times New Roman" w:eastAsia="仿宋_GB2312" w:cs="仿宋_GB2312"/>
          <w:lang w:val="en-US" w:eastAsia="zh-CN"/>
        </w:rPr>
      </w:pPr>
      <w:r>
        <w:rPr>
          <w:rFonts w:hint="eastAsia" w:ascii="Times New Roman" w:hAnsi="Times New Roman" w:eastAsia="仿宋_GB2312" w:cs="仿宋_GB2312"/>
          <w:lang w:val="en-US" w:eastAsia="zh-CN"/>
        </w:rPr>
        <w:t>重要保障期间内，中标人须按接入单位需求开展专项应急演练。</w:t>
      </w:r>
    </w:p>
    <w:p w14:paraId="0A1E1FB9">
      <w:pPr>
        <w:pStyle w:val="3"/>
        <w:jc w:val="both"/>
        <w:rPr>
          <w:rFonts w:ascii="Times New Roman" w:hAnsi="Times New Roman"/>
          <w:color w:val="auto"/>
          <w:highlight w:val="none"/>
        </w:rPr>
      </w:pPr>
      <w:bookmarkStart w:id="251" w:name="_Toc12198"/>
      <w:bookmarkStart w:id="252" w:name="_Toc19899"/>
      <w:bookmarkStart w:id="253" w:name="_Toc15012"/>
      <w:r>
        <w:rPr>
          <w:rFonts w:hint="eastAsia" w:ascii="Times New Roman" w:hAnsi="Times New Roman"/>
          <w:color w:val="auto"/>
          <w:highlight w:val="none"/>
        </w:rPr>
        <w:t>运营管理中心要求</w:t>
      </w:r>
      <w:bookmarkEnd w:id="248"/>
      <w:bookmarkEnd w:id="249"/>
      <w:bookmarkEnd w:id="250"/>
      <w:bookmarkEnd w:id="251"/>
      <w:bookmarkEnd w:id="252"/>
      <w:bookmarkEnd w:id="253"/>
    </w:p>
    <w:p w14:paraId="3E43213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中标人应配备网络运营管理中心，由专</w:t>
      </w:r>
      <w:r>
        <w:rPr>
          <w:rFonts w:hint="eastAsia" w:ascii="Times New Roman" w:hAnsi="Times New Roman" w:eastAsia="仿宋_GB2312"/>
          <w:color w:val="auto"/>
          <w:highlight w:val="none"/>
          <w:lang w:val="en-US" w:eastAsia="zh-CN"/>
        </w:rPr>
        <w:t>业</w:t>
      </w:r>
      <w:r>
        <w:rPr>
          <w:rFonts w:hint="eastAsia" w:ascii="Times New Roman" w:hAnsi="Times New Roman" w:eastAsia="仿宋_GB2312"/>
          <w:color w:val="auto"/>
          <w:highlight w:val="none"/>
        </w:rPr>
        <w:t>团队专</w:t>
      </w:r>
      <w:r>
        <w:rPr>
          <w:rFonts w:hint="eastAsia" w:ascii="Times New Roman" w:hAnsi="Times New Roman" w:eastAsia="仿宋_GB2312"/>
          <w:color w:val="auto"/>
          <w:highlight w:val="none"/>
          <w:lang w:val="en-US" w:eastAsia="zh-CN"/>
        </w:rPr>
        <w:t>项</w:t>
      </w:r>
      <w:r>
        <w:rPr>
          <w:rFonts w:hint="eastAsia" w:ascii="Times New Roman" w:hAnsi="Times New Roman" w:eastAsia="仿宋_GB2312"/>
          <w:color w:val="auto"/>
          <w:highlight w:val="none"/>
        </w:rPr>
        <w:t>运营</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以实现对运维资源、安全信息通报、工程建设进度</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机房数据</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全</w:t>
      </w:r>
      <w:r>
        <w:rPr>
          <w:rFonts w:hint="eastAsia" w:ascii="Times New Roman" w:hAnsi="Times New Roman" w:eastAsia="仿宋_GB2312"/>
          <w:color w:val="auto"/>
          <w:highlight w:val="none"/>
          <w:lang w:val="en-US" w:eastAsia="zh-CN"/>
        </w:rPr>
        <w:t>过</w:t>
      </w:r>
      <w:r>
        <w:rPr>
          <w:rFonts w:hint="eastAsia" w:ascii="Times New Roman" w:hAnsi="Times New Roman" w:eastAsia="仿宋_GB2312"/>
          <w:color w:val="auto"/>
          <w:highlight w:val="none"/>
        </w:rPr>
        <w:t>程监控与风险</w:t>
      </w:r>
      <w:r>
        <w:rPr>
          <w:rFonts w:hint="eastAsia" w:ascii="Times New Roman" w:hAnsi="Times New Roman" w:eastAsia="仿宋_GB2312"/>
          <w:color w:val="auto"/>
          <w:highlight w:val="none"/>
          <w:lang w:val="en-US" w:eastAsia="zh-CN"/>
        </w:rPr>
        <w:t>管控</w:t>
      </w:r>
      <w:r>
        <w:rPr>
          <w:rFonts w:hint="eastAsia" w:ascii="Times New Roman" w:hAnsi="Times New Roman" w:eastAsia="仿宋_GB2312"/>
          <w:color w:val="auto"/>
          <w:highlight w:val="none"/>
        </w:rPr>
        <w:t>。</w:t>
      </w:r>
    </w:p>
    <w:p w14:paraId="09487EEE">
      <w:pPr>
        <w:pStyle w:val="2"/>
        <w:rPr>
          <w:rFonts w:ascii="Times New Roman" w:hAnsi="Times New Roman"/>
          <w:color w:val="auto"/>
          <w:highlight w:val="none"/>
        </w:rPr>
      </w:pPr>
      <w:bookmarkStart w:id="254" w:name="_Toc31522"/>
      <w:bookmarkStart w:id="255" w:name="_Toc17542"/>
      <w:bookmarkStart w:id="256" w:name="_Toc3140"/>
      <w:bookmarkStart w:id="257" w:name="_Toc23860"/>
      <w:bookmarkStart w:id="258" w:name="_Toc29054"/>
      <w:bookmarkStart w:id="259" w:name="_Toc9852"/>
      <w:r>
        <w:rPr>
          <w:rFonts w:hint="eastAsia" w:ascii="Times New Roman" w:hAnsi="Times New Roman"/>
          <w:color w:val="auto"/>
          <w:highlight w:val="none"/>
        </w:rPr>
        <w:t>服务</w:t>
      </w:r>
      <w:r>
        <w:rPr>
          <w:rFonts w:hint="eastAsia" w:ascii="Times New Roman" w:hAnsi="Times New Roman"/>
          <w:color w:val="auto"/>
          <w:highlight w:val="none"/>
          <w:lang w:val="en-US" w:eastAsia="zh-CN"/>
        </w:rPr>
        <w:t>开通及</w:t>
      </w:r>
      <w:r>
        <w:rPr>
          <w:rFonts w:hint="eastAsia" w:ascii="Times New Roman" w:hAnsi="Times New Roman"/>
          <w:color w:val="auto"/>
          <w:highlight w:val="none"/>
        </w:rPr>
        <w:t>验收要求</w:t>
      </w:r>
      <w:bookmarkEnd w:id="225"/>
      <w:bookmarkEnd w:id="254"/>
      <w:bookmarkEnd w:id="255"/>
      <w:bookmarkEnd w:id="256"/>
      <w:bookmarkEnd w:id="257"/>
      <w:bookmarkEnd w:id="258"/>
      <w:bookmarkEnd w:id="259"/>
    </w:p>
    <w:p w14:paraId="21B34A1E">
      <w:pPr>
        <w:pStyle w:val="3"/>
        <w:rPr>
          <w:rFonts w:ascii="Times New Roman" w:hAnsi="Times New Roman"/>
          <w:color w:val="auto"/>
          <w:highlight w:val="none"/>
        </w:rPr>
      </w:pPr>
      <w:bookmarkStart w:id="260" w:name="_Toc15189"/>
      <w:bookmarkStart w:id="261" w:name="_Toc25740"/>
      <w:bookmarkStart w:id="262" w:name="_Toc18572"/>
      <w:bookmarkStart w:id="263" w:name="_Toc11181"/>
      <w:bookmarkStart w:id="264" w:name="_Toc10576"/>
      <w:bookmarkStart w:id="265" w:name="_Toc146"/>
      <w:r>
        <w:rPr>
          <w:rFonts w:hint="eastAsia" w:ascii="Times New Roman" w:hAnsi="Times New Roman"/>
          <w:color w:val="auto"/>
          <w:highlight w:val="none"/>
        </w:rPr>
        <w:t>服务开通</w:t>
      </w:r>
      <w:bookmarkEnd w:id="260"/>
      <w:bookmarkEnd w:id="261"/>
      <w:bookmarkEnd w:id="262"/>
      <w:bookmarkEnd w:id="263"/>
      <w:bookmarkEnd w:id="264"/>
      <w:bookmarkEnd w:id="265"/>
    </w:p>
    <w:p w14:paraId="22BAB02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合同签订后30日内完成服务开通，且中标方需</w:t>
      </w:r>
      <w:r>
        <w:rPr>
          <w:rFonts w:hint="eastAsia" w:ascii="Times New Roman" w:hAnsi="Times New Roman" w:eastAsia="仿宋_GB2312"/>
          <w:color w:val="auto"/>
          <w:highlight w:val="none"/>
          <w:lang w:val="en-US" w:eastAsia="zh-CN"/>
        </w:rPr>
        <w:t>同时</w:t>
      </w:r>
      <w:r>
        <w:rPr>
          <w:rFonts w:hint="eastAsia" w:ascii="Times New Roman" w:hAnsi="Times New Roman" w:eastAsia="仿宋_GB2312"/>
          <w:color w:val="auto"/>
          <w:highlight w:val="none"/>
        </w:rPr>
        <w:t>满足以下服务开通要求：</w:t>
      </w:r>
    </w:p>
    <w:p w14:paraId="7E793FC6">
      <w:pPr>
        <w:keepNext w:val="0"/>
        <w:keepLines w:val="0"/>
        <w:pageBreakBefore w:val="0"/>
        <w:widowControl w:val="0"/>
        <w:numPr>
          <w:ilvl w:val="0"/>
          <w:numId w:val="26"/>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全部接入点网络服务按时开通；</w:t>
      </w:r>
    </w:p>
    <w:p w14:paraId="0B8FA01E">
      <w:pPr>
        <w:keepNext w:val="0"/>
        <w:keepLines w:val="0"/>
        <w:pageBreakBefore w:val="0"/>
        <w:widowControl w:val="0"/>
        <w:numPr>
          <w:ilvl w:val="0"/>
          <w:numId w:val="26"/>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本技术需求所</w:t>
      </w:r>
      <w:r>
        <w:rPr>
          <w:rFonts w:hint="eastAsia" w:ascii="Times New Roman" w:hAnsi="Times New Roman" w:eastAsia="仿宋_GB2312"/>
          <w:color w:val="auto"/>
          <w:highlight w:val="none"/>
          <w:lang w:val="en-US" w:eastAsia="zh-CN"/>
        </w:rPr>
        <w:t>涵盖的</w:t>
      </w:r>
      <w:r>
        <w:rPr>
          <w:rFonts w:hint="eastAsia" w:ascii="Times New Roman" w:hAnsi="Times New Roman" w:eastAsia="仿宋_GB2312"/>
          <w:color w:val="auto"/>
          <w:highlight w:val="none"/>
        </w:rPr>
        <w:t>光传输设备、网络设备、安全设备等</w:t>
      </w:r>
      <w:r>
        <w:rPr>
          <w:rFonts w:hint="eastAsia" w:ascii="Times New Roman" w:hAnsi="Times New Roman" w:eastAsia="仿宋_GB2312"/>
          <w:color w:val="auto"/>
          <w:highlight w:val="none"/>
          <w:lang w:val="en-US" w:eastAsia="zh-CN"/>
        </w:rPr>
        <w:t>均</w:t>
      </w:r>
      <w:r>
        <w:rPr>
          <w:rFonts w:hint="eastAsia" w:ascii="Times New Roman" w:hAnsi="Times New Roman" w:eastAsia="仿宋_GB2312"/>
          <w:color w:val="auto"/>
          <w:highlight w:val="none"/>
        </w:rPr>
        <w:t>按要求完成安装、调试并</w:t>
      </w:r>
      <w:r>
        <w:rPr>
          <w:rFonts w:hint="eastAsia" w:ascii="Times New Roman" w:hAnsi="Times New Roman" w:eastAsia="仿宋_GB2312"/>
          <w:color w:val="auto"/>
          <w:highlight w:val="none"/>
          <w:lang w:val="en-US" w:eastAsia="zh-CN"/>
        </w:rPr>
        <w:t>上线运行</w:t>
      </w:r>
      <w:r>
        <w:rPr>
          <w:rFonts w:hint="eastAsia" w:ascii="Times New Roman" w:hAnsi="Times New Roman" w:eastAsia="仿宋_GB2312"/>
          <w:color w:val="auto"/>
          <w:highlight w:val="none"/>
        </w:rPr>
        <w:t>；</w:t>
      </w:r>
    </w:p>
    <w:p w14:paraId="16DCEB3C">
      <w:pPr>
        <w:keepNext w:val="0"/>
        <w:keepLines w:val="0"/>
        <w:pageBreakBefore w:val="0"/>
        <w:widowControl w:val="0"/>
        <w:numPr>
          <w:ilvl w:val="0"/>
          <w:numId w:val="26"/>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提供完整</w:t>
      </w:r>
      <w:r>
        <w:rPr>
          <w:rFonts w:hint="eastAsia" w:ascii="Times New Roman" w:hAnsi="Times New Roman" w:eastAsia="仿宋_GB2312"/>
          <w:color w:val="auto"/>
          <w:highlight w:val="none"/>
          <w:lang w:val="en-US" w:eastAsia="zh-CN"/>
        </w:rPr>
        <w:t>的服务开通</w:t>
      </w:r>
      <w:r>
        <w:rPr>
          <w:rFonts w:hint="eastAsia" w:ascii="Times New Roman" w:hAnsi="Times New Roman" w:eastAsia="仿宋_GB2312"/>
          <w:color w:val="auto"/>
          <w:highlight w:val="none"/>
        </w:rPr>
        <w:t>文档，包括但不限于</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网络技术方案</w:t>
      </w:r>
      <w:r>
        <w:rPr>
          <w:rFonts w:hint="eastAsia" w:ascii="Times New Roman" w:hAnsi="Times New Roman" w:eastAsia="仿宋_GB2312"/>
          <w:color w:val="auto"/>
          <w:highlight w:val="none"/>
          <w:lang w:val="en-US" w:eastAsia="zh-CN"/>
        </w:rPr>
        <w:t>与</w:t>
      </w:r>
      <w:r>
        <w:rPr>
          <w:rFonts w:hint="eastAsia" w:ascii="Times New Roman" w:hAnsi="Times New Roman" w:eastAsia="仿宋_GB2312"/>
          <w:color w:val="auto"/>
          <w:highlight w:val="none"/>
        </w:rPr>
        <w:t>设计图纸、业务迁移方案、应急预案</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项目保障方案、测试</w:t>
      </w:r>
      <w:r>
        <w:rPr>
          <w:rFonts w:hint="eastAsia" w:ascii="Times New Roman" w:hAnsi="Times New Roman" w:eastAsia="仿宋_GB2312"/>
          <w:color w:val="auto"/>
          <w:highlight w:val="none"/>
          <w:lang w:val="en-US" w:eastAsia="zh-CN"/>
        </w:rPr>
        <w:t>方案</w:t>
      </w:r>
      <w:r>
        <w:rPr>
          <w:rFonts w:hint="eastAsia" w:ascii="Times New Roman" w:hAnsi="Times New Roman" w:eastAsia="仿宋_GB2312"/>
          <w:color w:val="auto"/>
          <w:highlight w:val="none"/>
        </w:rPr>
        <w:t>及运行服务方案</w:t>
      </w:r>
      <w:r>
        <w:rPr>
          <w:rFonts w:hint="eastAsia" w:ascii="Times New Roman" w:hAnsi="Times New Roman" w:eastAsia="仿宋_GB2312"/>
          <w:color w:val="auto"/>
          <w:highlight w:val="none"/>
          <w:lang w:eastAsia="zh-CN"/>
        </w:rPr>
        <w:t>。</w:t>
      </w:r>
    </w:p>
    <w:p w14:paraId="016E3DB7">
      <w:pPr>
        <w:pStyle w:val="3"/>
        <w:jc w:val="both"/>
        <w:rPr>
          <w:rFonts w:ascii="Times New Roman" w:hAnsi="Times New Roman"/>
          <w:color w:val="auto"/>
          <w:highlight w:val="none"/>
        </w:rPr>
      </w:pPr>
      <w:bookmarkStart w:id="266" w:name="_Toc27132"/>
      <w:bookmarkStart w:id="267" w:name="_Toc25296"/>
      <w:bookmarkStart w:id="268" w:name="_Toc24854"/>
      <w:bookmarkStart w:id="269" w:name="_Toc21212"/>
      <w:bookmarkStart w:id="270" w:name="_Toc2414"/>
      <w:bookmarkStart w:id="271" w:name="_Toc24818"/>
      <w:r>
        <w:rPr>
          <w:rFonts w:hint="eastAsia" w:ascii="Times New Roman" w:hAnsi="Times New Roman"/>
          <w:color w:val="auto"/>
          <w:highlight w:val="none"/>
        </w:rPr>
        <w:t>服务交付验收</w:t>
      </w:r>
      <w:bookmarkEnd w:id="266"/>
      <w:bookmarkEnd w:id="267"/>
      <w:bookmarkEnd w:id="268"/>
      <w:bookmarkEnd w:id="269"/>
      <w:bookmarkEnd w:id="270"/>
      <w:bookmarkEnd w:id="271"/>
    </w:p>
    <w:p w14:paraId="230BB1D0">
      <w:pPr>
        <w:keepNext w:val="0"/>
        <w:keepLines w:val="0"/>
        <w:pageBreakBefore w:val="0"/>
        <w:widowControl w:val="0"/>
        <w:numPr>
          <w:ilvl w:val="0"/>
          <w:numId w:val="27"/>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提供相应的网络运营服务规范。</w:t>
      </w:r>
    </w:p>
    <w:p w14:paraId="3886A098">
      <w:pPr>
        <w:keepNext w:val="0"/>
        <w:keepLines w:val="0"/>
        <w:pageBreakBefore w:val="0"/>
        <w:widowControl w:val="0"/>
        <w:numPr>
          <w:ilvl w:val="0"/>
          <w:numId w:val="27"/>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须为</w:t>
      </w:r>
      <w:r>
        <w:rPr>
          <w:rFonts w:hint="eastAsia" w:ascii="Times New Roman" w:hAnsi="Times New Roman" w:eastAsia="仿宋_GB2312"/>
          <w:color w:val="auto"/>
          <w:highlight w:val="none"/>
        </w:rPr>
        <w:t>核心设备建立</w:t>
      </w:r>
      <w:r>
        <w:rPr>
          <w:rFonts w:ascii="Times New Roman" w:hAnsi="Times New Roman" w:eastAsia="仿宋_GB2312"/>
          <w:color w:val="auto"/>
          <w:highlight w:val="none"/>
        </w:rPr>
        <w:t>“</w:t>
      </w:r>
      <w:r>
        <w:rPr>
          <w:rFonts w:hint="eastAsia" w:ascii="Times New Roman" w:hAnsi="Times New Roman" w:eastAsia="仿宋_GB2312"/>
          <w:color w:val="auto"/>
          <w:highlight w:val="none"/>
        </w:rPr>
        <w:t>一机一档</w:t>
      </w:r>
      <w:r>
        <w:rPr>
          <w:rFonts w:ascii="Times New Roman" w:hAnsi="Times New Roman" w:eastAsia="仿宋_GB2312"/>
          <w:color w:val="auto"/>
          <w:highlight w:val="none"/>
        </w:rPr>
        <w:t>”</w:t>
      </w:r>
      <w:r>
        <w:rPr>
          <w:rFonts w:hint="eastAsia" w:ascii="Times New Roman" w:hAnsi="Times New Roman" w:eastAsia="仿宋_GB2312"/>
          <w:color w:val="auto"/>
          <w:highlight w:val="none"/>
        </w:rPr>
        <w:t>机制，</w:t>
      </w:r>
      <w:r>
        <w:rPr>
          <w:rFonts w:hint="eastAsia" w:ascii="Times New Roman" w:hAnsi="Times New Roman" w:eastAsia="仿宋_GB2312"/>
          <w:color w:val="auto"/>
          <w:highlight w:val="none"/>
          <w:lang w:val="en-US" w:eastAsia="zh-CN"/>
        </w:rPr>
        <w:t>制定</w:t>
      </w:r>
      <w:r>
        <w:rPr>
          <w:rFonts w:hint="eastAsia" w:ascii="Times New Roman" w:hAnsi="Times New Roman" w:eastAsia="仿宋_GB2312"/>
          <w:color w:val="auto"/>
          <w:highlight w:val="none"/>
        </w:rPr>
        <w:t>建档标准，确保设备信息真实</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全面。</w:t>
      </w:r>
    </w:p>
    <w:p w14:paraId="0E5B7ADC">
      <w:pPr>
        <w:keepNext w:val="0"/>
        <w:keepLines w:val="0"/>
        <w:pageBreakBefore w:val="0"/>
        <w:widowControl w:val="0"/>
        <w:numPr>
          <w:ilvl w:val="0"/>
          <w:numId w:val="27"/>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配合</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lang w:val="en-US" w:eastAsia="zh-CN"/>
        </w:rPr>
        <w:t>的</w:t>
      </w:r>
      <w:r>
        <w:rPr>
          <w:rFonts w:hint="eastAsia" w:ascii="Times New Roman" w:hAnsi="Times New Roman" w:eastAsia="仿宋_GB2312"/>
          <w:color w:val="auto"/>
          <w:highlight w:val="none"/>
        </w:rPr>
        <w:t>项目验收工作，提供所需</w:t>
      </w:r>
      <w:r>
        <w:rPr>
          <w:rFonts w:hint="eastAsia" w:ascii="Times New Roman" w:hAnsi="Times New Roman" w:eastAsia="仿宋_GB2312"/>
          <w:color w:val="auto"/>
          <w:highlight w:val="none"/>
          <w:lang w:val="en-US" w:eastAsia="zh-CN"/>
        </w:rPr>
        <w:t>支撑材料，包括：定期</w:t>
      </w:r>
      <w:r>
        <w:rPr>
          <w:rFonts w:hint="eastAsia" w:ascii="Times New Roman" w:hAnsi="Times New Roman" w:eastAsia="仿宋_GB2312"/>
          <w:color w:val="auto"/>
          <w:highlight w:val="none"/>
        </w:rPr>
        <w:t>运维服务报告（</w:t>
      </w:r>
      <w:r>
        <w:rPr>
          <w:rFonts w:hint="eastAsia" w:ascii="Times New Roman" w:hAnsi="Times New Roman" w:eastAsia="仿宋_GB2312"/>
          <w:color w:val="auto"/>
          <w:highlight w:val="none"/>
          <w:lang w:val="en-US" w:eastAsia="zh-CN"/>
        </w:rPr>
        <w:t>含年度、季度、</w:t>
      </w:r>
      <w:r>
        <w:rPr>
          <w:rFonts w:hint="eastAsia" w:ascii="Times New Roman" w:hAnsi="Times New Roman" w:eastAsia="仿宋_GB2312"/>
          <w:color w:val="auto"/>
          <w:highlight w:val="none"/>
        </w:rPr>
        <w:t>月度报告</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专题报告（按需）、</w:t>
      </w:r>
      <w:r>
        <w:rPr>
          <w:rFonts w:hint="eastAsia" w:ascii="Times New Roman" w:hAnsi="Times New Roman" w:eastAsia="仿宋_GB2312"/>
          <w:color w:val="auto"/>
          <w:highlight w:val="none"/>
        </w:rPr>
        <w:t>第三方测试报告、故障报告、工程建设台账等</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整改报告（按需）</w:t>
      </w:r>
      <w:r>
        <w:rPr>
          <w:rFonts w:hint="eastAsia" w:ascii="Times New Roman" w:hAnsi="Times New Roman" w:eastAsia="仿宋_GB2312"/>
          <w:color w:val="auto"/>
          <w:highlight w:val="none"/>
        </w:rPr>
        <w:t>。</w:t>
      </w:r>
    </w:p>
    <w:p w14:paraId="67CED5AC">
      <w:pPr>
        <w:pStyle w:val="3"/>
        <w:jc w:val="both"/>
        <w:rPr>
          <w:rFonts w:ascii="Times New Roman" w:hAnsi="Times New Roman"/>
          <w:color w:val="auto"/>
          <w:highlight w:val="none"/>
        </w:rPr>
      </w:pPr>
      <w:bookmarkStart w:id="272" w:name="_Toc10434"/>
      <w:bookmarkStart w:id="273" w:name="_Toc15513"/>
      <w:bookmarkStart w:id="274" w:name="_Toc14975"/>
      <w:bookmarkStart w:id="275" w:name="_Toc16175"/>
      <w:bookmarkStart w:id="276" w:name="_Toc689"/>
      <w:r>
        <w:rPr>
          <w:rFonts w:hint="eastAsia" w:ascii="Times New Roman" w:hAnsi="Times New Roman"/>
          <w:color w:val="auto"/>
          <w:highlight w:val="none"/>
        </w:rPr>
        <w:t>服务指标要求</w:t>
      </w:r>
      <w:bookmarkEnd w:id="272"/>
      <w:bookmarkEnd w:id="273"/>
      <w:bookmarkEnd w:id="274"/>
      <w:bookmarkEnd w:id="275"/>
      <w:bookmarkEnd w:id="276"/>
    </w:p>
    <w:p w14:paraId="40E08A52">
      <w:pPr>
        <w:keepNext w:val="0"/>
        <w:keepLines w:val="0"/>
        <w:pageBreakBefore w:val="0"/>
        <w:numPr>
          <w:ilvl w:val="-1"/>
          <w:numId w:val="0"/>
        </w:numPr>
        <w:kinsoku/>
        <w:wordWrap/>
        <w:overflowPunct/>
        <w:topLinePunct w:val="0"/>
        <w:autoSpaceDE/>
        <w:autoSpaceDN/>
        <w:bidi w:val="0"/>
        <w:adjustRightInd/>
        <w:snapToGrid/>
        <w:spacing w:line="560" w:lineRule="exact"/>
        <w:ind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投标人须对以下</w:t>
      </w:r>
      <w:r>
        <w:rPr>
          <w:rFonts w:hint="eastAsia" w:ascii="Times New Roman" w:hAnsi="Times New Roman" w:eastAsia="仿宋_GB2312"/>
          <w:color w:val="auto"/>
          <w:highlight w:val="none"/>
        </w:rPr>
        <w:t>网络服务指标</w:t>
      </w:r>
      <w:r>
        <w:rPr>
          <w:rFonts w:hint="eastAsia" w:ascii="Times New Roman" w:hAnsi="Times New Roman" w:eastAsia="仿宋_GB2312"/>
          <w:color w:val="auto"/>
          <w:highlight w:val="none"/>
          <w:lang w:val="en-US" w:eastAsia="zh-CN"/>
        </w:rPr>
        <w:t>逐条响应，</w:t>
      </w:r>
      <w:r>
        <w:rPr>
          <w:rFonts w:hint="eastAsia" w:ascii="Times New Roman" w:hAnsi="Times New Roman" w:eastAsia="仿宋_GB2312"/>
          <w:color w:val="auto"/>
          <w:highlight w:val="none"/>
        </w:rPr>
        <w:t>并</w:t>
      </w:r>
      <w:r>
        <w:rPr>
          <w:rFonts w:hint="eastAsia" w:ascii="Times New Roman" w:hAnsi="Times New Roman" w:eastAsia="仿宋_GB2312"/>
          <w:color w:val="auto"/>
          <w:highlight w:val="none"/>
          <w:lang w:val="en-US" w:eastAsia="zh-CN"/>
        </w:rPr>
        <w:t>提供</w:t>
      </w:r>
      <w:r>
        <w:rPr>
          <w:rFonts w:hint="eastAsia" w:ascii="Times New Roman" w:hAnsi="Times New Roman" w:eastAsia="仿宋_GB2312"/>
          <w:color w:val="auto"/>
          <w:highlight w:val="none"/>
        </w:rPr>
        <w:t>相应承诺书</w:t>
      </w:r>
      <w:r>
        <w:rPr>
          <w:rFonts w:hint="eastAsia" w:ascii="Times New Roman" w:hAnsi="Times New Roman" w:eastAsia="仿宋_GB2312"/>
          <w:color w:val="auto"/>
          <w:highlight w:val="none"/>
          <w:lang w:eastAsia="zh-CN"/>
        </w:rPr>
        <w:t>：</w:t>
      </w:r>
    </w:p>
    <w:p w14:paraId="64C14D20">
      <w:pPr>
        <w:keepNext w:val="0"/>
        <w:keepLines w:val="0"/>
        <w:pageBreakBefore w:val="0"/>
        <w:numPr>
          <w:ilvl w:val="0"/>
          <w:numId w:val="28"/>
        </w:numPr>
        <w:kinsoku/>
        <w:wordWrap/>
        <w:overflowPunct/>
        <w:topLinePunct w:val="0"/>
        <w:autoSpaceDE/>
        <w:autoSpaceDN/>
        <w:bidi w:val="0"/>
        <w:adjustRightInd/>
        <w:snapToGrid/>
        <w:spacing w:line="560" w:lineRule="exact"/>
        <w:ind w:firstLine="560" w:firstLineChars="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核心节点可用率不低于</w:t>
      </w:r>
      <w:r>
        <w:rPr>
          <w:rFonts w:ascii="Times New Roman" w:hAnsi="Times New Roman" w:eastAsia="仿宋_GB2312"/>
          <w:color w:val="auto"/>
          <w:highlight w:val="none"/>
        </w:rPr>
        <w:t>99.999%</w:t>
      </w:r>
      <w:r>
        <w:rPr>
          <w:rFonts w:hint="eastAsia" w:ascii="Times New Roman" w:hAnsi="Times New Roman" w:eastAsia="仿宋_GB2312"/>
          <w:color w:val="auto"/>
          <w:highlight w:val="none"/>
        </w:rPr>
        <w:t>；</w:t>
      </w:r>
    </w:p>
    <w:p w14:paraId="199F61C9">
      <w:pPr>
        <w:keepNext w:val="0"/>
        <w:keepLines w:val="0"/>
        <w:pageBreakBefore w:val="0"/>
        <w:numPr>
          <w:ilvl w:val="0"/>
          <w:numId w:val="28"/>
        </w:numPr>
        <w:kinsoku/>
        <w:wordWrap/>
        <w:overflowPunct/>
        <w:topLinePunct w:val="0"/>
        <w:autoSpaceDE/>
        <w:autoSpaceDN/>
        <w:bidi w:val="0"/>
        <w:adjustRightInd/>
        <w:snapToGrid/>
        <w:spacing w:line="560" w:lineRule="exact"/>
        <w:ind w:firstLine="560" w:firstLineChars="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汇聚</w:t>
      </w:r>
      <w:r>
        <w:rPr>
          <w:rFonts w:hint="eastAsia" w:ascii="Times New Roman" w:hAnsi="Times New Roman" w:eastAsia="仿宋_GB2312"/>
          <w:color w:val="auto"/>
          <w:highlight w:val="none"/>
          <w:lang w:val="en-US" w:eastAsia="zh-CN"/>
        </w:rPr>
        <w:t>节点</w:t>
      </w:r>
      <w:r>
        <w:rPr>
          <w:rFonts w:hint="eastAsia" w:ascii="Times New Roman" w:hAnsi="Times New Roman" w:eastAsia="仿宋_GB2312"/>
          <w:color w:val="auto"/>
          <w:highlight w:val="none"/>
        </w:rPr>
        <w:t>可用率不低于</w:t>
      </w:r>
      <w:r>
        <w:rPr>
          <w:rFonts w:ascii="Times New Roman" w:hAnsi="Times New Roman" w:eastAsia="仿宋_GB2312"/>
          <w:color w:val="auto"/>
          <w:highlight w:val="none"/>
        </w:rPr>
        <w:t>99.99%</w:t>
      </w:r>
      <w:r>
        <w:rPr>
          <w:rFonts w:hint="eastAsia" w:ascii="Times New Roman" w:hAnsi="Times New Roman" w:eastAsia="仿宋_GB2312"/>
          <w:color w:val="auto"/>
          <w:highlight w:val="none"/>
        </w:rPr>
        <w:t>；</w:t>
      </w:r>
    </w:p>
    <w:p w14:paraId="251E26E2">
      <w:pPr>
        <w:keepNext w:val="0"/>
        <w:keepLines w:val="0"/>
        <w:pageBreakBefore w:val="0"/>
        <w:numPr>
          <w:ilvl w:val="0"/>
          <w:numId w:val="28"/>
        </w:numPr>
        <w:kinsoku/>
        <w:wordWrap/>
        <w:overflowPunct/>
        <w:topLinePunct w:val="0"/>
        <w:autoSpaceDE/>
        <w:autoSpaceDN/>
        <w:bidi w:val="0"/>
        <w:adjustRightInd/>
        <w:snapToGrid/>
        <w:spacing w:line="560" w:lineRule="exact"/>
        <w:ind w:firstLine="560" w:firstLineChars="0"/>
        <w:jc w:val="both"/>
        <w:textAlignment w:val="auto"/>
        <w:rPr>
          <w:rFonts w:ascii="Times New Roman" w:hAnsi="Times New Roman"/>
          <w:color w:val="auto"/>
          <w:highlight w:val="none"/>
        </w:rPr>
      </w:pPr>
      <w:r>
        <w:rPr>
          <w:rFonts w:hint="eastAsia" w:ascii="Times New Roman" w:hAnsi="Times New Roman" w:eastAsia="仿宋_GB2312"/>
          <w:color w:val="auto"/>
          <w:highlight w:val="none"/>
        </w:rPr>
        <w:t>核心节点到汇聚节点</w:t>
      </w:r>
      <w:r>
        <w:rPr>
          <w:rFonts w:hint="eastAsia" w:ascii="Times New Roman" w:hAnsi="Times New Roman" w:eastAsia="仿宋_GB2312"/>
          <w:color w:val="auto"/>
          <w:highlight w:val="none"/>
          <w:lang w:val="en-US" w:eastAsia="zh-CN"/>
        </w:rPr>
        <w:t>性能，</w:t>
      </w:r>
      <w:r>
        <w:rPr>
          <w:rFonts w:hint="eastAsia" w:ascii="Times New Roman" w:hAnsi="Times New Roman" w:eastAsia="仿宋_GB2312"/>
          <w:color w:val="auto"/>
          <w:highlight w:val="none"/>
        </w:rPr>
        <w:t>时延≤</w:t>
      </w:r>
      <w:r>
        <w:rPr>
          <w:rFonts w:hint="eastAsia" w:ascii="Times New Roman" w:hAnsi="Times New Roman" w:eastAsia="仿宋_GB2312"/>
          <w:color w:val="auto"/>
          <w:highlight w:val="none"/>
          <w:lang w:val="en-US" w:eastAsia="zh-CN"/>
        </w:rPr>
        <w:t>5</w:t>
      </w:r>
      <w:r>
        <w:rPr>
          <w:rFonts w:ascii="Times New Roman" w:hAnsi="Times New Roman" w:eastAsia="仿宋_GB2312"/>
          <w:color w:val="auto"/>
          <w:highlight w:val="none"/>
        </w:rPr>
        <w:t>0ms</w:t>
      </w:r>
      <w:r>
        <w:rPr>
          <w:rFonts w:hint="eastAsia" w:ascii="Times New Roman" w:hAnsi="Times New Roman" w:eastAsia="仿宋_GB2312"/>
          <w:color w:val="auto"/>
          <w:highlight w:val="none"/>
        </w:rPr>
        <w:t>，丢包</w:t>
      </w:r>
      <w:r>
        <w:rPr>
          <w:rFonts w:hint="eastAsia" w:ascii="Times New Roman" w:hAnsi="Times New Roman" w:eastAsia="仿宋_GB2312"/>
          <w:color w:val="auto"/>
          <w:highlight w:val="none"/>
          <w:lang w:val="en-US" w:eastAsia="zh-CN"/>
        </w:rPr>
        <w:t>率</w:t>
      </w:r>
      <w:r>
        <w:rPr>
          <w:rFonts w:hint="eastAsia" w:ascii="Times New Roman" w:hAnsi="Times New Roman" w:eastAsia="仿宋_GB2312"/>
          <w:color w:val="auto"/>
          <w:highlight w:val="none"/>
        </w:rPr>
        <w:t>≤</w:t>
      </w:r>
      <w:r>
        <w:rPr>
          <w:rFonts w:ascii="Times New Roman" w:hAnsi="Times New Roman" w:eastAsia="仿宋_GB2312"/>
          <w:color w:val="auto"/>
          <w:highlight w:val="none"/>
        </w:rPr>
        <w:t>0.</w:t>
      </w:r>
      <w:r>
        <w:rPr>
          <w:rFonts w:hint="eastAsia" w:ascii="Times New Roman" w:hAnsi="Times New Roman" w:eastAsia="仿宋_GB2312"/>
          <w:color w:val="auto"/>
          <w:highlight w:val="none"/>
          <w:lang w:val="en-US" w:eastAsia="zh-CN"/>
        </w:rPr>
        <w:t>05</w:t>
      </w:r>
      <w:r>
        <w:rPr>
          <w:rFonts w:ascii="Times New Roman" w:hAnsi="Times New Roman" w:eastAsia="仿宋_GB2312"/>
          <w:color w:val="auto"/>
          <w:highlight w:val="none"/>
        </w:rPr>
        <w:t>%</w:t>
      </w:r>
      <w:r>
        <w:rPr>
          <w:rFonts w:hint="eastAsia" w:ascii="Times New Roman" w:hAnsi="Times New Roman" w:eastAsia="仿宋_GB2312"/>
          <w:color w:val="auto"/>
          <w:highlight w:val="none"/>
        </w:rPr>
        <w:t>；</w:t>
      </w:r>
    </w:p>
    <w:p w14:paraId="79775439">
      <w:pPr>
        <w:keepNext w:val="0"/>
        <w:keepLines w:val="0"/>
        <w:pageBreakBefore w:val="0"/>
        <w:numPr>
          <w:ilvl w:val="0"/>
          <w:numId w:val="28"/>
        </w:numPr>
        <w:kinsoku/>
        <w:wordWrap/>
        <w:overflowPunct/>
        <w:topLinePunct w:val="0"/>
        <w:autoSpaceDE/>
        <w:autoSpaceDN/>
        <w:bidi w:val="0"/>
        <w:adjustRightInd/>
        <w:snapToGrid/>
        <w:spacing w:line="560" w:lineRule="exact"/>
        <w:ind w:firstLine="560" w:firstLineChars="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各链路带宽承载能力不低于用户申请带宽的</w:t>
      </w:r>
      <w:r>
        <w:rPr>
          <w:rFonts w:ascii="Times New Roman" w:hAnsi="Times New Roman" w:eastAsia="仿宋_GB2312"/>
          <w:color w:val="auto"/>
          <w:highlight w:val="none"/>
        </w:rPr>
        <w:t>70%</w:t>
      </w:r>
      <w:r>
        <w:rPr>
          <w:rFonts w:hint="eastAsia" w:ascii="Times New Roman" w:hAnsi="Times New Roman" w:eastAsia="仿宋_GB2312"/>
          <w:color w:val="auto"/>
          <w:highlight w:val="none"/>
        </w:rPr>
        <w:t>；</w:t>
      </w:r>
    </w:p>
    <w:p w14:paraId="0AA72BF3">
      <w:pPr>
        <w:keepNext w:val="0"/>
        <w:keepLines w:val="0"/>
        <w:pageBreakBefore w:val="0"/>
        <w:numPr>
          <w:ilvl w:val="0"/>
          <w:numId w:val="28"/>
        </w:numPr>
        <w:kinsoku/>
        <w:wordWrap/>
        <w:overflowPunct/>
        <w:topLinePunct w:val="0"/>
        <w:autoSpaceDE/>
        <w:autoSpaceDN/>
        <w:bidi w:val="0"/>
        <w:adjustRightInd/>
        <w:snapToGrid/>
        <w:spacing w:line="560" w:lineRule="exact"/>
        <w:ind w:firstLine="560" w:firstLineChars="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业务工单的开通（含测试）与变更须在规定时限内完成，运维类工单不超过10个工作日，工程类工单不超过30个工作日；</w:t>
      </w:r>
    </w:p>
    <w:p w14:paraId="5667EC5E">
      <w:pPr>
        <w:keepNext w:val="0"/>
        <w:keepLines w:val="0"/>
        <w:pageBreakBefore w:val="0"/>
        <w:numPr>
          <w:ilvl w:val="0"/>
          <w:numId w:val="28"/>
        </w:numPr>
        <w:kinsoku/>
        <w:wordWrap/>
        <w:overflowPunct/>
        <w:topLinePunct w:val="0"/>
        <w:autoSpaceDE/>
        <w:autoSpaceDN/>
        <w:bidi w:val="0"/>
        <w:adjustRightInd/>
        <w:snapToGrid/>
        <w:spacing w:line="560" w:lineRule="exact"/>
        <w:ind w:firstLine="560" w:firstLineChars="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提供7*24小时运行保障服务，发现网络异常即时告警；根据用户重要等级提供分级主动保障、故障抢修及电话通知服务，业务恢复时间最长不超过200分钟；</w:t>
      </w:r>
    </w:p>
    <w:p w14:paraId="47528767">
      <w:pPr>
        <w:keepNext w:val="0"/>
        <w:keepLines w:val="0"/>
        <w:pageBreakBefore w:val="0"/>
        <w:numPr>
          <w:ilvl w:val="0"/>
          <w:numId w:val="28"/>
        </w:numPr>
        <w:kinsoku/>
        <w:wordWrap/>
        <w:overflowPunct/>
        <w:topLinePunct w:val="0"/>
        <w:autoSpaceDE/>
        <w:autoSpaceDN/>
        <w:bidi w:val="0"/>
        <w:adjustRightInd/>
        <w:snapToGrid/>
        <w:spacing w:line="560" w:lineRule="exact"/>
        <w:ind w:firstLine="560" w:firstLineChars="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提供</w:t>
      </w:r>
      <w:r>
        <w:rPr>
          <w:rFonts w:hint="eastAsia" w:ascii="Times New Roman" w:hAnsi="Times New Roman" w:eastAsia="仿宋_GB2312"/>
          <w:color w:val="auto"/>
          <w:highlight w:val="none"/>
          <w:lang w:val="en-US" w:eastAsia="zh-CN"/>
        </w:rPr>
        <w:t>7*24小时</w:t>
      </w:r>
      <w:r>
        <w:rPr>
          <w:rFonts w:hint="eastAsia" w:ascii="Times New Roman" w:hAnsi="Times New Roman" w:eastAsia="仿宋_GB2312"/>
          <w:color w:val="auto"/>
          <w:highlight w:val="none"/>
        </w:rPr>
        <w:t>客服专线</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rPr>
        <w:t>人工接通</w:t>
      </w:r>
      <w:r>
        <w:rPr>
          <w:rFonts w:hint="eastAsia" w:ascii="Times New Roman" w:hAnsi="Times New Roman" w:eastAsia="仿宋_GB2312"/>
          <w:color w:val="auto"/>
          <w:highlight w:val="none"/>
          <w:lang w:val="en-US" w:eastAsia="zh-CN"/>
        </w:rPr>
        <w:t>时间</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val="en-US" w:eastAsia="zh-CN"/>
        </w:rPr>
        <w:t>20秒</w:t>
      </w:r>
      <w:r>
        <w:rPr>
          <w:rFonts w:hint="eastAsia" w:ascii="Times New Roman" w:hAnsi="Times New Roman" w:eastAsia="仿宋_GB2312"/>
          <w:color w:val="auto"/>
          <w:highlight w:val="none"/>
        </w:rPr>
        <w:t>，</w:t>
      </w:r>
      <w:r>
        <w:rPr>
          <w:rFonts w:ascii="Times New Roman" w:hAnsi="Times New Roman" w:eastAsia="仿宋_GB2312"/>
          <w:color w:val="auto"/>
          <w:highlight w:val="none"/>
        </w:rPr>
        <w:t>7*24</w:t>
      </w:r>
      <w:r>
        <w:rPr>
          <w:rFonts w:hint="eastAsia" w:ascii="Times New Roman" w:hAnsi="Times New Roman" w:eastAsia="仿宋_GB2312"/>
          <w:color w:val="auto"/>
          <w:highlight w:val="none"/>
        </w:rPr>
        <w:t>小时响应用户故障报修及技术支持；</w:t>
      </w:r>
    </w:p>
    <w:p w14:paraId="408ABFFE">
      <w:pPr>
        <w:keepNext w:val="0"/>
        <w:keepLines w:val="0"/>
        <w:pageBreakBefore w:val="0"/>
        <w:numPr>
          <w:ilvl w:val="0"/>
          <w:numId w:val="2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每个自然日监测到的网络安全事件和告警信息</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须于</w:t>
      </w:r>
      <w:r>
        <w:rPr>
          <w:rFonts w:hint="eastAsia" w:ascii="Times New Roman" w:hAnsi="Times New Roman" w:eastAsia="仿宋_GB2312"/>
          <w:color w:val="auto"/>
          <w:highlight w:val="none"/>
        </w:rPr>
        <w:t>当日完成处置；</w:t>
      </w:r>
    </w:p>
    <w:p w14:paraId="29FB49D0">
      <w:pPr>
        <w:keepNext w:val="0"/>
        <w:keepLines w:val="0"/>
        <w:pageBreakBefore w:val="0"/>
        <w:numPr>
          <w:ilvl w:val="0"/>
          <w:numId w:val="2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ascii="Times New Roman" w:hAnsi="Times New Roman" w:eastAsia="仿宋_GB2312"/>
          <w:color w:val="auto"/>
          <w:highlight w:val="none"/>
        </w:rPr>
        <w:t>7*24</w:t>
      </w:r>
      <w:r>
        <w:rPr>
          <w:rFonts w:hint="eastAsia" w:ascii="Times New Roman" w:hAnsi="Times New Roman" w:eastAsia="仿宋_GB2312"/>
          <w:color w:val="auto"/>
          <w:highlight w:val="none"/>
        </w:rPr>
        <w:t>小时监控安全漏洞（</w:t>
      </w:r>
      <w:r>
        <w:rPr>
          <w:rFonts w:hint="eastAsia" w:ascii="Times New Roman" w:hAnsi="Times New Roman" w:eastAsia="仿宋_GB2312"/>
          <w:color w:val="auto"/>
          <w:highlight w:val="none"/>
          <w:lang w:val="en-US" w:eastAsia="zh-CN"/>
        </w:rPr>
        <w:t>含</w:t>
      </w:r>
      <w:r>
        <w:rPr>
          <w:rFonts w:hint="eastAsia" w:ascii="Times New Roman" w:hAnsi="Times New Roman" w:eastAsia="仿宋_GB2312"/>
          <w:color w:val="auto"/>
          <w:highlight w:val="none"/>
        </w:rPr>
        <w:t>网络攻击</w:t>
      </w:r>
      <w:r>
        <w:rPr>
          <w:rFonts w:hint="eastAsia" w:ascii="Times New Roman" w:hAnsi="Times New Roman" w:eastAsia="仿宋_GB2312"/>
          <w:color w:val="auto"/>
          <w:highlight w:val="none"/>
          <w:lang w:val="en-US" w:eastAsia="zh-CN"/>
        </w:rPr>
        <w:t>等</w:t>
      </w:r>
      <w:r>
        <w:rPr>
          <w:rFonts w:hint="eastAsia" w:ascii="Times New Roman" w:hAnsi="Times New Roman" w:eastAsia="仿宋_GB2312"/>
          <w:color w:val="auto"/>
          <w:highlight w:val="none"/>
        </w:rPr>
        <w:t>）</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确保</w:t>
      </w:r>
      <w:r>
        <w:rPr>
          <w:rFonts w:hint="eastAsia" w:ascii="Times New Roman" w:hAnsi="Times New Roman" w:eastAsia="仿宋_GB2312"/>
          <w:color w:val="auto"/>
          <w:highlight w:val="none"/>
        </w:rPr>
        <w:t>第一时间发现</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并按要求完成上报、</w:t>
      </w:r>
      <w:r>
        <w:rPr>
          <w:rFonts w:hint="eastAsia" w:ascii="Times New Roman" w:hAnsi="Times New Roman" w:eastAsia="仿宋_GB2312"/>
          <w:color w:val="auto"/>
          <w:highlight w:val="none"/>
        </w:rPr>
        <w:t>处置，</w:t>
      </w:r>
      <w:r>
        <w:rPr>
          <w:rFonts w:hint="eastAsia" w:ascii="Times New Roman" w:hAnsi="Times New Roman" w:eastAsia="仿宋_GB2312"/>
          <w:color w:val="auto"/>
          <w:highlight w:val="none"/>
          <w:lang w:val="en-US" w:eastAsia="zh-CN"/>
        </w:rPr>
        <w:t>有效防范</w:t>
      </w:r>
      <w:r>
        <w:rPr>
          <w:rFonts w:hint="eastAsia" w:ascii="Times New Roman" w:hAnsi="Times New Roman" w:eastAsia="仿宋_GB2312"/>
          <w:color w:val="auto"/>
          <w:highlight w:val="none"/>
        </w:rPr>
        <w:t>网络中断、非法控制、信息泄露、数据篡改等重大安全事件；</w:t>
      </w:r>
    </w:p>
    <w:p w14:paraId="30A78E02">
      <w:pPr>
        <w:keepNext w:val="0"/>
        <w:keepLines w:val="0"/>
        <w:pageBreakBefore w:val="0"/>
        <w:widowControl/>
        <w:numPr>
          <w:ilvl w:val="0"/>
          <w:numId w:val="2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网络应急演练不少于</w:t>
      </w:r>
      <w:r>
        <w:rPr>
          <w:rFonts w:ascii="Times New Roman" w:hAnsi="Times New Roman" w:eastAsia="仿宋_GB2312"/>
          <w:color w:val="auto"/>
          <w:highlight w:val="none"/>
        </w:rPr>
        <w:t>4</w:t>
      </w:r>
      <w:r>
        <w:rPr>
          <w:rFonts w:hint="eastAsia" w:ascii="Times New Roman" w:hAnsi="Times New Roman" w:eastAsia="仿宋_GB2312"/>
          <w:color w:val="auto"/>
          <w:highlight w:val="none"/>
        </w:rPr>
        <w:t>次</w:t>
      </w:r>
      <w:r>
        <w:rPr>
          <w:rFonts w:hint="eastAsia" w:ascii="Times New Roman" w:hAnsi="Times New Roman" w:eastAsia="仿宋_GB2312"/>
          <w:color w:val="auto"/>
          <w:highlight w:val="none"/>
          <w:lang w:val="en-US" w:eastAsia="zh-CN"/>
        </w:rPr>
        <w:t>/年，</w:t>
      </w:r>
      <w:r>
        <w:rPr>
          <w:rFonts w:hint="eastAsia" w:ascii="Times New Roman" w:hAnsi="Times New Roman" w:eastAsia="仿宋_GB2312"/>
          <w:color w:val="auto"/>
          <w:highlight w:val="none"/>
        </w:rPr>
        <w:t>安全应急演练不少于</w:t>
      </w:r>
      <w:r>
        <w:rPr>
          <w:rFonts w:ascii="Times New Roman" w:hAnsi="Times New Roman" w:eastAsia="仿宋_GB2312"/>
          <w:color w:val="auto"/>
          <w:highlight w:val="none"/>
        </w:rPr>
        <w:t>2</w:t>
      </w:r>
      <w:r>
        <w:rPr>
          <w:rFonts w:hint="eastAsia" w:ascii="Times New Roman" w:hAnsi="Times New Roman" w:eastAsia="仿宋_GB2312"/>
          <w:color w:val="auto"/>
          <w:highlight w:val="none"/>
        </w:rPr>
        <w:t>次</w:t>
      </w:r>
      <w:r>
        <w:rPr>
          <w:rFonts w:hint="eastAsia" w:ascii="Times New Roman" w:hAnsi="Times New Roman" w:eastAsia="仿宋_GB2312"/>
          <w:color w:val="auto"/>
          <w:highlight w:val="none"/>
          <w:lang w:val="en-US" w:eastAsia="zh-CN"/>
        </w:rPr>
        <w:t>/年；</w:t>
      </w:r>
    </w:p>
    <w:p w14:paraId="26A1A900">
      <w:pPr>
        <w:keepNext w:val="0"/>
        <w:keepLines w:val="0"/>
        <w:pageBreakBefore w:val="0"/>
        <w:numPr>
          <w:ilvl w:val="0"/>
          <w:numId w:val="2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网络</w:t>
      </w:r>
      <w:r>
        <w:rPr>
          <w:rFonts w:hint="eastAsia" w:ascii="Times New Roman" w:hAnsi="Times New Roman" w:eastAsia="仿宋_GB2312"/>
          <w:color w:val="auto"/>
          <w:highlight w:val="none"/>
        </w:rPr>
        <w:t>核心值班监控区</w:t>
      </w:r>
      <w:r>
        <w:rPr>
          <w:rFonts w:hint="eastAsia" w:ascii="Times New Roman" w:hAnsi="Times New Roman" w:eastAsia="仿宋_GB2312"/>
          <w:color w:val="auto"/>
          <w:highlight w:val="none"/>
          <w:lang w:val="en-US" w:eastAsia="zh-CN"/>
        </w:rPr>
        <w:t>专项</w:t>
      </w:r>
      <w:r>
        <w:rPr>
          <w:rFonts w:hint="eastAsia" w:ascii="Times New Roman" w:hAnsi="Times New Roman" w:eastAsia="仿宋_GB2312"/>
          <w:color w:val="auto"/>
          <w:highlight w:val="none"/>
        </w:rPr>
        <w:t>设置不少于</w:t>
      </w:r>
      <w:r>
        <w:rPr>
          <w:rFonts w:ascii="Times New Roman" w:hAnsi="Times New Roman" w:eastAsia="仿宋_GB2312"/>
          <w:color w:val="auto"/>
          <w:highlight w:val="none"/>
        </w:rPr>
        <w:t>6</w:t>
      </w:r>
      <w:r>
        <w:rPr>
          <w:rFonts w:hint="eastAsia" w:ascii="Times New Roman" w:hAnsi="Times New Roman" w:eastAsia="仿宋_GB2312"/>
          <w:color w:val="auto"/>
          <w:highlight w:val="none"/>
        </w:rPr>
        <w:t>个联合值班管理专用工位</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其中</w:t>
      </w:r>
      <w:r>
        <w:rPr>
          <w:rFonts w:hint="eastAsia" w:ascii="Times New Roman" w:hAnsi="Times New Roman" w:eastAsia="仿宋_GB2312"/>
          <w:color w:val="auto"/>
          <w:highlight w:val="none"/>
        </w:rPr>
        <w:t>网络运维</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安全运营</w:t>
      </w:r>
      <w:r>
        <w:rPr>
          <w:rFonts w:hint="eastAsia" w:ascii="Times New Roman" w:hAnsi="Times New Roman" w:eastAsia="仿宋_GB2312"/>
          <w:color w:val="auto"/>
          <w:highlight w:val="none"/>
          <w:lang w:val="en-US" w:eastAsia="zh-CN"/>
        </w:rPr>
        <w:t>工位各</w:t>
      </w:r>
      <w:r>
        <w:rPr>
          <w:rFonts w:hint="eastAsia" w:ascii="Times New Roman" w:hAnsi="Times New Roman" w:eastAsia="仿宋_GB2312"/>
          <w:color w:val="auto"/>
          <w:highlight w:val="none"/>
        </w:rPr>
        <w:t>不少于</w:t>
      </w:r>
      <w:r>
        <w:rPr>
          <w:rFonts w:ascii="Times New Roman" w:hAnsi="Times New Roman" w:eastAsia="仿宋_GB2312"/>
          <w:color w:val="auto"/>
          <w:highlight w:val="none"/>
        </w:rPr>
        <w:t>3</w:t>
      </w:r>
      <w:r>
        <w:rPr>
          <w:rFonts w:hint="eastAsia" w:ascii="Times New Roman" w:hAnsi="Times New Roman" w:eastAsia="仿宋_GB2312"/>
          <w:color w:val="auto"/>
          <w:highlight w:val="none"/>
        </w:rPr>
        <w:t>个</w:t>
      </w:r>
      <w:r>
        <w:rPr>
          <w:rFonts w:hint="eastAsia" w:ascii="Times New Roman" w:hAnsi="Times New Roman" w:eastAsia="仿宋_GB2312"/>
          <w:color w:val="auto"/>
          <w:highlight w:val="none"/>
          <w:lang w:eastAsia="zh-CN"/>
        </w:rPr>
        <w:t>，并根据采购人要求按需提供运行管理与安全防护大屏监测服务；</w:t>
      </w:r>
    </w:p>
    <w:p w14:paraId="2503EBEE">
      <w:pPr>
        <w:keepNext w:val="0"/>
        <w:keepLines w:val="0"/>
        <w:pageBreakBefore w:val="0"/>
        <w:numPr>
          <w:ilvl w:val="0"/>
          <w:numId w:val="28"/>
        </w:numPr>
        <w:kinsoku/>
        <w:wordWrap/>
        <w:overflowPunct/>
        <w:topLinePunct w:val="0"/>
        <w:autoSpaceDE/>
        <w:autoSpaceDN/>
        <w:bidi w:val="0"/>
        <w:adjustRightInd/>
        <w:snapToGrid/>
        <w:spacing w:line="560" w:lineRule="exact"/>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重点服务任务须事先制定工作方案（包括但不限于工作流程、技术方案、保障预案、时间计划等），明确责任分工，确保交付及时、质量可靠。</w:t>
      </w:r>
    </w:p>
    <w:p w14:paraId="4A6F2BCD">
      <w:pPr>
        <w:pStyle w:val="3"/>
        <w:jc w:val="both"/>
        <w:rPr>
          <w:rFonts w:ascii="Times New Roman" w:hAnsi="Times New Roman"/>
          <w:color w:val="auto"/>
          <w:highlight w:val="none"/>
        </w:rPr>
      </w:pPr>
      <w:bookmarkStart w:id="277" w:name="_Toc22723"/>
      <w:bookmarkStart w:id="278" w:name="_Toc18145"/>
      <w:bookmarkStart w:id="279" w:name="_Toc29233"/>
      <w:bookmarkStart w:id="280" w:name="_Toc27535"/>
      <w:bookmarkStart w:id="281" w:name="_Toc17267"/>
      <w:bookmarkStart w:id="282" w:name="_Toc7860"/>
      <w:r>
        <w:rPr>
          <w:rFonts w:hint="eastAsia" w:ascii="Times New Roman" w:hAnsi="Times New Roman"/>
          <w:color w:val="auto"/>
          <w:highlight w:val="none"/>
        </w:rPr>
        <w:t>服务承诺</w:t>
      </w:r>
      <w:bookmarkEnd w:id="277"/>
      <w:r>
        <w:rPr>
          <w:rFonts w:hint="eastAsia" w:ascii="Times New Roman" w:hAnsi="Times New Roman"/>
          <w:color w:val="auto"/>
          <w:highlight w:val="none"/>
        </w:rPr>
        <w:t>要求</w:t>
      </w:r>
      <w:bookmarkEnd w:id="278"/>
      <w:bookmarkEnd w:id="279"/>
      <w:bookmarkEnd w:id="280"/>
      <w:bookmarkEnd w:id="281"/>
      <w:bookmarkEnd w:id="282"/>
    </w:p>
    <w:p w14:paraId="69321C37">
      <w:pPr>
        <w:keepNext w:val="0"/>
        <w:keepLines w:val="0"/>
        <w:pageBreakBefore w:val="0"/>
        <w:widowControl/>
        <w:numPr>
          <w:ilvl w:val="0"/>
          <w:numId w:val="29"/>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rPr>
        <w:t>中标人提供的服务</w:t>
      </w:r>
      <w:r>
        <w:rPr>
          <w:rFonts w:hint="eastAsia" w:ascii="Times New Roman" w:hAnsi="Times New Roman" w:eastAsia="仿宋_GB2312"/>
          <w:color w:val="auto"/>
          <w:highlight w:val="none"/>
          <w:lang w:val="en-US" w:eastAsia="zh-CN"/>
        </w:rPr>
        <w:t>及</w:t>
      </w:r>
      <w:r>
        <w:rPr>
          <w:rFonts w:hint="eastAsia" w:ascii="Times New Roman" w:hAnsi="Times New Roman" w:eastAsia="仿宋_GB2312"/>
          <w:color w:val="auto"/>
          <w:highlight w:val="none"/>
        </w:rPr>
        <w:t>相应的硬件、软件，</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符合国家、行业或者企业标准，</w:t>
      </w:r>
      <w:r>
        <w:rPr>
          <w:rFonts w:hint="eastAsia" w:ascii="Times New Roman" w:hAnsi="Times New Roman" w:eastAsia="仿宋_GB2312"/>
          <w:color w:val="auto"/>
          <w:highlight w:val="none"/>
          <w:lang w:val="en-US" w:eastAsia="zh-CN"/>
        </w:rPr>
        <w:t>且</w:t>
      </w:r>
      <w:r>
        <w:rPr>
          <w:rFonts w:hint="eastAsia" w:ascii="Times New Roman" w:hAnsi="Times New Roman" w:eastAsia="仿宋_GB2312"/>
          <w:color w:val="auto"/>
          <w:highlight w:val="none"/>
        </w:rPr>
        <w:t>在稳定性、安全性、环保</w:t>
      </w:r>
      <w:r>
        <w:rPr>
          <w:rFonts w:hint="eastAsia" w:ascii="Times New Roman" w:hAnsi="Times New Roman" w:eastAsia="仿宋_GB2312"/>
          <w:color w:val="auto"/>
          <w:highlight w:val="none"/>
          <w:lang w:val="en-US" w:eastAsia="zh-CN"/>
        </w:rPr>
        <w:t>性</w:t>
      </w:r>
      <w:r>
        <w:rPr>
          <w:rFonts w:hint="eastAsia" w:ascii="Times New Roman" w:hAnsi="Times New Roman" w:eastAsia="仿宋_GB2312"/>
          <w:color w:val="auto"/>
          <w:highlight w:val="none"/>
        </w:rPr>
        <w:t>等</w:t>
      </w:r>
      <w:r>
        <w:rPr>
          <w:rFonts w:hint="eastAsia" w:ascii="Times New Roman" w:hAnsi="Times New Roman" w:eastAsia="仿宋_GB2312"/>
          <w:color w:val="auto"/>
          <w:highlight w:val="none"/>
          <w:lang w:val="en-US" w:eastAsia="zh-CN"/>
        </w:rPr>
        <w:t>方面</w:t>
      </w:r>
      <w:r>
        <w:rPr>
          <w:rFonts w:hint="eastAsia" w:ascii="Times New Roman" w:hAnsi="Times New Roman" w:eastAsia="仿宋_GB2312"/>
          <w:color w:val="auto"/>
          <w:highlight w:val="none"/>
        </w:rPr>
        <w:t>不存在任何缺陷。</w:t>
      </w:r>
    </w:p>
    <w:p w14:paraId="3854B055">
      <w:pPr>
        <w:keepNext w:val="0"/>
        <w:keepLines w:val="0"/>
        <w:pageBreakBefore w:val="0"/>
        <w:widowControl/>
        <w:numPr>
          <w:ilvl w:val="0"/>
          <w:numId w:val="29"/>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eastAsia="仿宋_GB2312"/>
          <w:color w:val="auto"/>
          <w:highlight w:val="none"/>
        </w:rPr>
      </w:pPr>
      <w:r>
        <w:rPr>
          <w:rFonts w:hint="eastAsia" w:ascii="Times New Roman" w:hAnsi="Times New Roman" w:eastAsia="仿宋_GB2312"/>
          <w:color w:val="auto"/>
          <w:highlight w:val="none"/>
          <w:lang w:val="en-US" w:eastAsia="zh-CN"/>
        </w:rPr>
        <w:t>中标人</w:t>
      </w:r>
      <w:r>
        <w:rPr>
          <w:rFonts w:hint="eastAsia" w:ascii="Times New Roman" w:hAnsi="Times New Roman" w:eastAsia="仿宋_GB2312"/>
          <w:color w:val="auto"/>
          <w:highlight w:val="none"/>
        </w:rPr>
        <w:t>提供的服务不</w:t>
      </w:r>
      <w:r>
        <w:rPr>
          <w:rFonts w:hint="eastAsia" w:ascii="Times New Roman" w:hAnsi="Times New Roman" w:eastAsia="仿宋_GB2312"/>
          <w:color w:val="auto"/>
          <w:highlight w:val="none"/>
          <w:lang w:val="en-US" w:eastAsia="zh-CN"/>
        </w:rPr>
        <w:t>得</w:t>
      </w:r>
      <w:r>
        <w:rPr>
          <w:rFonts w:hint="eastAsia" w:ascii="Times New Roman" w:hAnsi="Times New Roman" w:eastAsia="仿宋_GB2312"/>
          <w:color w:val="auto"/>
          <w:highlight w:val="none"/>
        </w:rPr>
        <w:t>侵犯任何第三方权利（包括但不限于知识产权等）</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如</w:t>
      </w:r>
      <w:r>
        <w:rPr>
          <w:rFonts w:hint="eastAsia" w:ascii="Times New Roman" w:hAnsi="Times New Roman" w:eastAsia="仿宋_GB2312"/>
          <w:color w:val="auto"/>
          <w:highlight w:val="none"/>
        </w:rPr>
        <w:t>任何第三方提出侵权指控，中标人</w:t>
      </w:r>
      <w:r>
        <w:rPr>
          <w:rFonts w:hint="eastAsia" w:ascii="Times New Roman" w:hAnsi="Times New Roman" w:eastAsia="仿宋_GB2312"/>
          <w:color w:val="auto"/>
          <w:highlight w:val="none"/>
          <w:lang w:val="en-US" w:eastAsia="zh-CN"/>
        </w:rPr>
        <w:t>须</w:t>
      </w:r>
      <w:r>
        <w:rPr>
          <w:rFonts w:hint="eastAsia" w:ascii="Times New Roman" w:hAnsi="Times New Roman" w:eastAsia="仿宋_GB2312"/>
          <w:color w:val="auto"/>
          <w:highlight w:val="none"/>
        </w:rPr>
        <w:t>第一时间进行处理</w:t>
      </w:r>
      <w:r>
        <w:rPr>
          <w:rFonts w:hint="eastAsia" w:ascii="Times New Roman" w:hAnsi="Times New Roman" w:eastAsia="仿宋_GB2312"/>
          <w:color w:val="auto"/>
          <w:highlight w:val="none"/>
          <w:lang w:eastAsia="zh-CN"/>
        </w:rPr>
        <w:t>；</w:t>
      </w:r>
      <w:r>
        <w:rPr>
          <w:rFonts w:hint="eastAsia" w:ascii="Times New Roman" w:hAnsi="Times New Roman" w:eastAsia="仿宋_GB2312"/>
          <w:color w:val="auto"/>
          <w:highlight w:val="none"/>
          <w:lang w:val="en-US" w:eastAsia="zh-CN"/>
        </w:rPr>
        <w:t>若因此</w:t>
      </w:r>
      <w:r>
        <w:rPr>
          <w:rFonts w:hint="eastAsia" w:ascii="Times New Roman" w:hAnsi="Times New Roman" w:eastAsia="仿宋_GB2312"/>
          <w:color w:val="auto"/>
          <w:highlight w:val="none"/>
        </w:rPr>
        <w:t>给</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造成损失，中标人应</w:t>
      </w:r>
      <w:r>
        <w:rPr>
          <w:rFonts w:hint="eastAsia" w:ascii="Times New Roman" w:hAnsi="Times New Roman" w:eastAsia="仿宋_GB2312"/>
          <w:color w:val="auto"/>
          <w:highlight w:val="none"/>
          <w:lang w:val="en-US" w:eastAsia="zh-CN"/>
        </w:rPr>
        <w:t>承担全赔偿责任</w:t>
      </w:r>
      <w:r>
        <w:rPr>
          <w:rFonts w:hint="eastAsia" w:ascii="Times New Roman" w:hAnsi="Times New Roman" w:eastAsia="仿宋_GB2312"/>
          <w:color w:val="auto"/>
          <w:highlight w:val="none"/>
        </w:rPr>
        <w:t>。</w:t>
      </w:r>
    </w:p>
    <w:p w14:paraId="63FEA495">
      <w:pPr>
        <w:keepNext w:val="0"/>
        <w:keepLines w:val="0"/>
        <w:pageBreakBefore w:val="0"/>
        <w:widowControl/>
        <w:numPr>
          <w:ilvl w:val="0"/>
          <w:numId w:val="29"/>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color w:val="auto"/>
          <w:highlight w:val="none"/>
        </w:rPr>
      </w:pPr>
      <w:r>
        <w:rPr>
          <w:rFonts w:hint="eastAsia" w:ascii="Times New Roman" w:hAnsi="Times New Roman" w:eastAsia="仿宋_GB2312"/>
          <w:color w:val="auto"/>
          <w:highlight w:val="none"/>
        </w:rPr>
        <w:t>在本项目约定的履行期限内或届满后，</w:t>
      </w:r>
      <w:r>
        <w:rPr>
          <w:rFonts w:hint="eastAsia" w:ascii="Times New Roman" w:hAnsi="Times New Roman" w:eastAsia="仿宋_GB2312"/>
          <w:color w:val="auto"/>
          <w:highlight w:val="none"/>
          <w:lang w:val="en-US" w:eastAsia="zh-CN"/>
        </w:rPr>
        <w:t>若需在</w:t>
      </w:r>
      <w:r>
        <w:rPr>
          <w:rFonts w:hint="eastAsia" w:ascii="Times New Roman" w:hAnsi="Times New Roman" w:eastAsia="仿宋_GB2312"/>
          <w:color w:val="auto"/>
          <w:highlight w:val="none"/>
        </w:rPr>
        <w:t>网络带宽、</w:t>
      </w:r>
      <w:r>
        <w:rPr>
          <w:rFonts w:hint="eastAsia" w:ascii="Times New Roman" w:hAnsi="Times New Roman" w:eastAsia="仿宋_GB2312"/>
          <w:color w:val="auto"/>
          <w:highlight w:val="none"/>
          <w:lang w:val="en-US" w:eastAsia="zh-CN"/>
        </w:rPr>
        <w:t>软</w:t>
      </w:r>
      <w:r>
        <w:rPr>
          <w:rFonts w:hint="eastAsia" w:ascii="Times New Roman" w:hAnsi="Times New Roman" w:eastAsia="仿宋_GB2312"/>
          <w:color w:val="auto"/>
          <w:highlight w:val="none"/>
        </w:rPr>
        <w:t>硬件数量、覆盖区域等方面</w:t>
      </w:r>
      <w:r>
        <w:rPr>
          <w:rFonts w:hint="eastAsia" w:ascii="Times New Roman" w:hAnsi="Times New Roman" w:eastAsia="仿宋_GB2312"/>
          <w:color w:val="auto"/>
          <w:highlight w:val="none"/>
          <w:lang w:val="en-US" w:eastAsia="zh-CN"/>
        </w:rPr>
        <w:t>进行</w:t>
      </w:r>
      <w:r>
        <w:rPr>
          <w:rFonts w:hint="eastAsia" w:ascii="Times New Roman" w:hAnsi="Times New Roman" w:eastAsia="仿宋_GB2312"/>
          <w:color w:val="auto"/>
          <w:highlight w:val="none"/>
        </w:rPr>
        <w:t>扩</w:t>
      </w:r>
      <w:r>
        <w:rPr>
          <w:rFonts w:hint="eastAsia" w:ascii="Times New Roman" w:hAnsi="Times New Roman" w:eastAsia="仿宋_GB2312"/>
          <w:color w:val="auto"/>
          <w:highlight w:val="none"/>
          <w:lang w:val="en-US" w:eastAsia="zh-CN"/>
        </w:rPr>
        <w:t>容</w:t>
      </w:r>
      <w:r>
        <w:rPr>
          <w:rFonts w:hint="eastAsia" w:ascii="Times New Roman" w:hAnsi="Times New Roman" w:eastAsia="仿宋_GB2312"/>
          <w:color w:val="auto"/>
          <w:highlight w:val="none"/>
        </w:rPr>
        <w:t>或者增加，中标人承诺按与本项目同等的优惠条件提供光纤接入和技术服务。</w:t>
      </w:r>
    </w:p>
    <w:p w14:paraId="562FA25B">
      <w:pPr>
        <w:keepNext w:val="0"/>
        <w:keepLines w:val="0"/>
        <w:pageBreakBefore w:val="0"/>
        <w:widowControl/>
        <w:numPr>
          <w:ilvl w:val="0"/>
          <w:numId w:val="29"/>
        </w:numPr>
        <w:kinsoku/>
        <w:wordWrap/>
        <w:overflowPunct/>
        <w:topLinePunct w:val="0"/>
        <w:autoSpaceDE/>
        <w:autoSpaceDN/>
        <w:bidi w:val="0"/>
        <w:adjustRightInd/>
        <w:snapToGrid/>
        <w:spacing w:line="560" w:lineRule="exact"/>
        <w:ind w:firstLine="560" w:firstLineChars="200"/>
        <w:jc w:val="both"/>
        <w:textAlignment w:val="auto"/>
        <w:rPr>
          <w:rFonts w:ascii="Times New Roman" w:hAnsi="Times New Roman"/>
          <w:color w:val="auto"/>
          <w:highlight w:val="none"/>
        </w:rPr>
      </w:pPr>
      <w:r>
        <w:rPr>
          <w:rFonts w:hint="eastAsia" w:ascii="Times New Roman" w:hAnsi="Times New Roman" w:eastAsia="仿宋_GB2312"/>
          <w:color w:val="auto"/>
          <w:highlight w:val="none"/>
        </w:rPr>
        <w:t>在本项目约定的履行期限届满后，</w:t>
      </w:r>
      <w:r>
        <w:rPr>
          <w:rFonts w:hint="eastAsia" w:ascii="Times New Roman" w:hAnsi="Times New Roman" w:eastAsia="仿宋_GB2312"/>
          <w:color w:val="auto"/>
          <w:highlight w:val="none"/>
          <w:lang w:val="en-US" w:eastAsia="zh-CN"/>
        </w:rPr>
        <w:t>如遇</w:t>
      </w:r>
      <w:r>
        <w:rPr>
          <w:rFonts w:hint="eastAsia" w:ascii="Times New Roman" w:hAnsi="Times New Roman" w:eastAsia="仿宋_GB2312"/>
          <w:color w:val="auto"/>
          <w:highlight w:val="none"/>
        </w:rPr>
        <w:t>不可抗力等</w:t>
      </w:r>
      <w:r>
        <w:rPr>
          <w:rFonts w:hint="eastAsia" w:ascii="Times New Roman" w:hAnsi="Times New Roman" w:eastAsia="仿宋_GB2312"/>
          <w:color w:val="auto"/>
          <w:highlight w:val="none"/>
          <w:lang w:val="en-US" w:eastAsia="zh-CN"/>
        </w:rPr>
        <w:t>情形需继续提供相关网络服务</w:t>
      </w:r>
      <w:r>
        <w:rPr>
          <w:rFonts w:hint="eastAsia" w:ascii="Times New Roman" w:hAnsi="Times New Roman" w:eastAsia="仿宋_GB2312"/>
          <w:color w:val="auto"/>
          <w:highlight w:val="none"/>
        </w:rPr>
        <w:t>，中标人须承诺按</w:t>
      </w:r>
      <w:r>
        <w:rPr>
          <w:rFonts w:hint="eastAsia" w:ascii="Times New Roman" w:hAnsi="Times New Roman" w:eastAsia="仿宋_GB2312"/>
          <w:color w:val="auto"/>
          <w:highlight w:val="none"/>
          <w:lang w:eastAsia="zh-CN"/>
        </w:rPr>
        <w:t>采购人</w:t>
      </w:r>
      <w:r>
        <w:rPr>
          <w:rFonts w:hint="eastAsia" w:ascii="Times New Roman" w:hAnsi="Times New Roman" w:eastAsia="仿宋_GB2312"/>
          <w:color w:val="auto"/>
          <w:highlight w:val="none"/>
        </w:rPr>
        <w:t>要求</w:t>
      </w:r>
      <w:r>
        <w:rPr>
          <w:rFonts w:hint="eastAsia" w:ascii="Times New Roman" w:hAnsi="Times New Roman" w:eastAsia="仿宋_GB2312"/>
          <w:color w:val="auto"/>
          <w:highlight w:val="none"/>
          <w:lang w:val="en-US" w:eastAsia="zh-CN"/>
        </w:rPr>
        <w:t>执行</w:t>
      </w:r>
      <w:r>
        <w:rPr>
          <w:rFonts w:hint="eastAsia" w:ascii="Times New Roman" w:hAnsi="Times New Roman" w:eastAsia="仿宋_GB2312"/>
          <w:color w:val="auto"/>
          <w:highlight w:val="none"/>
        </w:rPr>
        <w:t>。</w:t>
      </w:r>
    </w:p>
    <w:p w14:paraId="51800C59">
      <w:pPr>
        <w:pStyle w:val="43"/>
        <w:rPr>
          <w:rFonts w:ascii="Times New Roman" w:hAnsi="Times New Roman"/>
          <w:color w:val="auto"/>
          <w:highlight w:val="none"/>
        </w:rPr>
      </w:pPr>
    </w:p>
    <w:sectPr>
      <w:footerReference r:id="rId10" w:type="first"/>
      <w:footerReference r:id="rId9" w:type="default"/>
      <w:pgSz w:w="11906" w:h="16838"/>
      <w:pgMar w:top="1440" w:right="1800" w:bottom="1440" w:left="1800" w:header="851" w:footer="992" w:gutter="0"/>
      <w:pgNumType w:start="1"/>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CC"/>
    <w:family w:val="roman"/>
    <w:pitch w:val="default"/>
    <w:sig w:usb0="00000000" w:usb1="00000000" w:usb2="00000001" w:usb3="00000000" w:csb0="400001BF" w:csb1="DFF70000"/>
  </w:font>
  <w:font w:name="宋体">
    <w:altName w:val="文泉驿微米黑"/>
    <w:panose1 w:val="02030304000000000000"/>
    <w:charset w:val="7A"/>
    <w:family w:val="auto"/>
    <w:pitch w:val="default"/>
    <w:sig w:usb0="00000000" w:usb1="00000000" w:usb2="000FFDFF" w:usb3="00000000" w:csb0="603F01FF" w:csb1="FFFF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CESI黑体-GB13000">
    <w:panose1 w:val="02000500000000000000"/>
    <w:charset w:val="86"/>
    <w:family w:val="auto"/>
    <w:pitch w:val="default"/>
    <w:sig w:usb0="800002BF" w:usb1="38CF7CF8" w:usb2="00000016" w:usb3="00000000" w:csb0="0004000F"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Verdana">
    <w:altName w:val="Noto Nastaliq Urdu"/>
    <w:panose1 w:val="020B0804030504040204"/>
    <w:charset w:val="00"/>
    <w:family w:val="swiss"/>
    <w:pitch w:val="default"/>
    <w:sig w:usb0="00000000" w:usb1="00000000" w:usb2="00000010" w:usb3="00000000" w:csb0="2000019F" w:csb1="00000000"/>
  </w:font>
  <w:font w:name="Noto Nastaliq Urdu">
    <w:panose1 w:val="020B0802040504020204"/>
    <w:charset w:val="00"/>
    <w:family w:val="auto"/>
    <w:pitch w:val="default"/>
    <w:sig w:usb0="80002003" w:usb1="80002040" w:usb2="00000000" w:usb3="00000000" w:csb0="00000041" w:csb1="00000000"/>
  </w:font>
  <w:font w:name="Tahoma">
    <w:altName w:val="noto sans thai"/>
    <w:panose1 w:val="020B0604030504040204"/>
    <w:charset w:val="00"/>
    <w:family w:val="swiss"/>
    <w:pitch w:val="default"/>
    <w:sig w:usb0="00000000" w:usb1="00000000" w:usb2="00000029" w:usb3="00000000" w:csb0="200101FF" w:csb1="20280000"/>
  </w:font>
  <w:font w:name="noto sans thai">
    <w:panose1 w:val="020B0502040504020204"/>
    <w:charset w:val="00"/>
    <w:family w:val="auto"/>
    <w:pitch w:val="default"/>
    <w:sig w:usb0="81000063" w:usb1="00002000" w:usb2="00000000" w:usb3="00000000" w:csb0="00010000" w:csb1="00000000"/>
  </w:font>
  <w:font w:name="方正小标宋_GBK">
    <w:altName w:val="方正小标宋简体"/>
    <w:panose1 w:val="02000000000000000000"/>
    <w:charset w:val="86"/>
    <w:family w:val="auto"/>
    <w:pitch w:val="default"/>
    <w:sig w:usb0="00000000" w:usb1="00000000" w:usb2="00082016" w:usb3="00000000" w:csb0="00040001" w:csb1="00000000"/>
  </w:font>
  <w:font w:name="方正小标宋简体">
    <w:panose1 w:val="02010601030101010101"/>
    <w:charset w:val="86"/>
    <w:family w:val="auto"/>
    <w:pitch w:val="default"/>
    <w:sig w:usb0="00000001" w:usb1="080E0000" w:usb2="00000000" w:usb3="00000000" w:csb0="00040000" w:csb1="00000000"/>
  </w:font>
  <w:font w:name="Times New Roman Regular">
    <w:altName w:val="DejaVu Sans"/>
    <w:panose1 w:val="02020503050405090304"/>
    <w:charset w:val="00"/>
    <w:family w:val="auto"/>
    <w:pitch w:val="default"/>
    <w:sig w:usb0="00000000" w:usb1="00000000" w:usb2="00000001" w:usb3="00000000" w:csb0="400001BF" w:csb1="DFF7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61BA4">
    <w:pPr>
      <w:pStyle w:val="2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2A7D11">
    <w:pPr>
      <w:pStyle w:val="25"/>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2646936"/>
    </w:sdtPr>
    <w:sdtContent>
      <w:p w14:paraId="405A6A55">
        <w:pPr>
          <w:pStyle w:val="25"/>
        </w:pPr>
        <w:r>
          <w:fldChar w:fldCharType="begin"/>
        </w:r>
        <w:r>
          <w:instrText xml:space="preserve">PAGE   \* MERGEFORMAT</w:instrText>
        </w:r>
        <w:r>
          <w:fldChar w:fldCharType="separate"/>
        </w:r>
        <w:r>
          <w:rPr>
            <w:lang w:val="zh-CN"/>
          </w:rPr>
          <w:t>73</w:t>
        </w:r>
        <w:r>
          <w:fldChar w:fldCharType="end"/>
        </w:r>
      </w:p>
    </w:sdtContent>
  </w:sdt>
  <w:p w14:paraId="448AD3B7">
    <w:pPr>
      <w:pStyle w:val="2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2875407"/>
    </w:sdtPr>
    <w:sdtContent>
      <w:p w14:paraId="4A2EA824">
        <w:pPr>
          <w:pStyle w:val="25"/>
        </w:pPr>
        <w:r>
          <w:fldChar w:fldCharType="begin"/>
        </w:r>
        <w:r>
          <w:instrText xml:space="preserve">PAGE   \* MERGEFORMAT</w:instrText>
        </w:r>
        <w:r>
          <w:fldChar w:fldCharType="separate"/>
        </w:r>
        <w:r>
          <w:rPr>
            <w:lang w:val="zh-CN"/>
          </w:rPr>
          <w:t>1</w:t>
        </w:r>
        <w:r>
          <w:fldChar w:fldCharType="end"/>
        </w:r>
      </w:p>
    </w:sdtContent>
  </w:sdt>
  <w:p w14:paraId="61327642">
    <w:pPr>
      <w:pStyle w:val="25"/>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94A07">
    <w:pPr>
      <w:pStyle w:val="2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7E6E1">
    <w:pPr>
      <w:pStyle w:val="2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FF1646"/>
    <w:multiLevelType w:val="singleLevel"/>
    <w:tmpl w:val="9FFF1646"/>
    <w:lvl w:ilvl="0" w:tentative="0">
      <w:start w:val="1"/>
      <w:numFmt w:val="decimal"/>
      <w:suff w:val="nothing"/>
      <w:lvlText w:val="%1．"/>
      <w:lvlJc w:val="left"/>
      <w:pPr>
        <w:ind w:left="0" w:firstLine="400"/>
      </w:pPr>
      <w:rPr>
        <w:rFonts w:hint="default"/>
      </w:rPr>
    </w:lvl>
  </w:abstractNum>
  <w:abstractNum w:abstractNumId="1">
    <w:nsid w:val="B5F6FF5C"/>
    <w:multiLevelType w:val="singleLevel"/>
    <w:tmpl w:val="B5F6FF5C"/>
    <w:lvl w:ilvl="0" w:tentative="0">
      <w:start w:val="1"/>
      <w:numFmt w:val="decimal"/>
      <w:suff w:val="nothing"/>
      <w:lvlText w:val="%1．"/>
      <w:lvlJc w:val="left"/>
      <w:pPr>
        <w:ind w:left="0" w:firstLine="400"/>
      </w:pPr>
      <w:rPr>
        <w:rFonts w:hint="default"/>
      </w:rPr>
    </w:lvl>
  </w:abstractNum>
  <w:abstractNum w:abstractNumId="2">
    <w:nsid w:val="CF36EC74"/>
    <w:multiLevelType w:val="singleLevel"/>
    <w:tmpl w:val="CF36EC74"/>
    <w:lvl w:ilvl="0" w:tentative="0">
      <w:start w:val="1"/>
      <w:numFmt w:val="decimal"/>
      <w:suff w:val="nothing"/>
      <w:lvlText w:val="%1．"/>
      <w:lvlJc w:val="left"/>
      <w:pPr>
        <w:ind w:left="0" w:firstLine="400"/>
      </w:pPr>
      <w:rPr>
        <w:rFonts w:hint="default"/>
      </w:rPr>
    </w:lvl>
  </w:abstractNum>
  <w:abstractNum w:abstractNumId="3">
    <w:nsid w:val="DEA46799"/>
    <w:multiLevelType w:val="singleLevel"/>
    <w:tmpl w:val="DEA46799"/>
    <w:lvl w:ilvl="0" w:tentative="0">
      <w:start w:val="1"/>
      <w:numFmt w:val="decimal"/>
      <w:suff w:val="nothing"/>
      <w:lvlText w:val="%1．"/>
      <w:lvlJc w:val="left"/>
      <w:pPr>
        <w:ind w:left="0" w:firstLine="400"/>
      </w:pPr>
      <w:rPr>
        <w:rFonts w:hint="default"/>
      </w:rPr>
    </w:lvl>
  </w:abstractNum>
  <w:abstractNum w:abstractNumId="4">
    <w:nsid w:val="DF5E9D92"/>
    <w:multiLevelType w:val="singleLevel"/>
    <w:tmpl w:val="DF5E9D92"/>
    <w:lvl w:ilvl="0" w:tentative="0">
      <w:start w:val="1"/>
      <w:numFmt w:val="decimal"/>
      <w:suff w:val="nothing"/>
      <w:lvlText w:val="%1．"/>
      <w:lvlJc w:val="left"/>
      <w:pPr>
        <w:ind w:left="0" w:firstLine="400"/>
      </w:pPr>
      <w:rPr>
        <w:rFonts w:hint="default"/>
      </w:rPr>
    </w:lvl>
  </w:abstractNum>
  <w:abstractNum w:abstractNumId="5">
    <w:nsid w:val="DFB5DCA0"/>
    <w:multiLevelType w:val="singleLevel"/>
    <w:tmpl w:val="DFB5DCA0"/>
    <w:lvl w:ilvl="0" w:tentative="0">
      <w:start w:val="1"/>
      <w:numFmt w:val="decimal"/>
      <w:suff w:val="nothing"/>
      <w:lvlText w:val="%1．"/>
      <w:lvlJc w:val="left"/>
      <w:pPr>
        <w:ind w:left="0" w:firstLine="400"/>
      </w:pPr>
      <w:rPr>
        <w:rFonts w:hint="default"/>
      </w:rPr>
    </w:lvl>
  </w:abstractNum>
  <w:abstractNum w:abstractNumId="6">
    <w:nsid w:val="EFB5C1E6"/>
    <w:multiLevelType w:val="singleLevel"/>
    <w:tmpl w:val="EFB5C1E6"/>
    <w:lvl w:ilvl="0" w:tentative="0">
      <w:start w:val="1"/>
      <w:numFmt w:val="decimal"/>
      <w:suff w:val="nothing"/>
      <w:lvlText w:val="%1．"/>
      <w:lvlJc w:val="left"/>
      <w:pPr>
        <w:ind w:left="0" w:firstLine="400"/>
      </w:pPr>
      <w:rPr>
        <w:rFonts w:hint="default"/>
      </w:rPr>
    </w:lvl>
  </w:abstractNum>
  <w:abstractNum w:abstractNumId="7">
    <w:nsid w:val="F15E4801"/>
    <w:multiLevelType w:val="singleLevel"/>
    <w:tmpl w:val="F15E4801"/>
    <w:lvl w:ilvl="0" w:tentative="0">
      <w:start w:val="1"/>
      <w:numFmt w:val="decimal"/>
      <w:suff w:val="nothing"/>
      <w:lvlText w:val="%1．"/>
      <w:lvlJc w:val="left"/>
      <w:pPr>
        <w:ind w:left="0" w:firstLine="400"/>
      </w:pPr>
      <w:rPr>
        <w:rFonts w:hint="default"/>
      </w:rPr>
    </w:lvl>
  </w:abstractNum>
  <w:abstractNum w:abstractNumId="8">
    <w:nsid w:val="F5AE8F0E"/>
    <w:multiLevelType w:val="singleLevel"/>
    <w:tmpl w:val="F5AE8F0E"/>
    <w:lvl w:ilvl="0" w:tentative="0">
      <w:start w:val="1"/>
      <w:numFmt w:val="decimal"/>
      <w:suff w:val="nothing"/>
      <w:lvlText w:val="%1．"/>
      <w:lvlJc w:val="left"/>
      <w:pPr>
        <w:ind w:left="0" w:firstLine="400"/>
      </w:pPr>
      <w:rPr>
        <w:rFonts w:hint="default"/>
      </w:rPr>
    </w:lvl>
  </w:abstractNum>
  <w:abstractNum w:abstractNumId="9">
    <w:nsid w:val="F5F27712"/>
    <w:multiLevelType w:val="singleLevel"/>
    <w:tmpl w:val="F5F27712"/>
    <w:lvl w:ilvl="0" w:tentative="0">
      <w:start w:val="1"/>
      <w:numFmt w:val="decimal"/>
      <w:suff w:val="nothing"/>
      <w:lvlText w:val="%1．"/>
      <w:lvlJc w:val="left"/>
      <w:pPr>
        <w:ind w:left="0" w:firstLine="400"/>
      </w:pPr>
      <w:rPr>
        <w:rFonts w:hint="default"/>
      </w:rPr>
    </w:lvl>
  </w:abstractNum>
  <w:abstractNum w:abstractNumId="10">
    <w:nsid w:val="F7EEE4A1"/>
    <w:multiLevelType w:val="singleLevel"/>
    <w:tmpl w:val="F7EEE4A1"/>
    <w:lvl w:ilvl="0" w:tentative="0">
      <w:start w:val="1"/>
      <w:numFmt w:val="decimal"/>
      <w:suff w:val="nothing"/>
      <w:lvlText w:val="%1．"/>
      <w:lvlJc w:val="left"/>
      <w:pPr>
        <w:ind w:left="0" w:firstLine="400"/>
      </w:pPr>
      <w:rPr>
        <w:rFonts w:hint="default"/>
      </w:rPr>
    </w:lvl>
  </w:abstractNum>
  <w:abstractNum w:abstractNumId="11">
    <w:nsid w:val="FB9BC350"/>
    <w:multiLevelType w:val="singleLevel"/>
    <w:tmpl w:val="FB9BC350"/>
    <w:lvl w:ilvl="0" w:tentative="0">
      <w:start w:val="1"/>
      <w:numFmt w:val="decimal"/>
      <w:suff w:val="nothing"/>
      <w:lvlText w:val="%1．"/>
      <w:lvlJc w:val="left"/>
      <w:pPr>
        <w:ind w:left="0" w:firstLine="400"/>
      </w:pPr>
      <w:rPr>
        <w:rFonts w:hint="default"/>
      </w:rPr>
    </w:lvl>
  </w:abstractNum>
  <w:abstractNum w:abstractNumId="12">
    <w:nsid w:val="FBD6DFE3"/>
    <w:multiLevelType w:val="singleLevel"/>
    <w:tmpl w:val="FBD6DFE3"/>
    <w:lvl w:ilvl="0" w:tentative="0">
      <w:start w:val="1"/>
      <w:numFmt w:val="decimal"/>
      <w:suff w:val="nothing"/>
      <w:lvlText w:val="%1．"/>
      <w:lvlJc w:val="left"/>
      <w:pPr>
        <w:ind w:left="0" w:firstLine="400"/>
      </w:pPr>
      <w:rPr>
        <w:rFonts w:hint="default"/>
      </w:rPr>
    </w:lvl>
  </w:abstractNum>
  <w:abstractNum w:abstractNumId="13">
    <w:nsid w:val="FBFF0D4B"/>
    <w:multiLevelType w:val="singleLevel"/>
    <w:tmpl w:val="FBFF0D4B"/>
    <w:lvl w:ilvl="0" w:tentative="0">
      <w:start w:val="1"/>
      <w:numFmt w:val="decimal"/>
      <w:suff w:val="space"/>
      <w:lvlText w:val="%1、"/>
      <w:lvlJc w:val="left"/>
    </w:lvl>
  </w:abstractNum>
  <w:abstractNum w:abstractNumId="14">
    <w:nsid w:val="FDB24B55"/>
    <w:multiLevelType w:val="singleLevel"/>
    <w:tmpl w:val="FDB24B55"/>
    <w:lvl w:ilvl="0" w:tentative="0">
      <w:start w:val="1"/>
      <w:numFmt w:val="decimal"/>
      <w:suff w:val="nothing"/>
      <w:lvlText w:val="%1．"/>
      <w:lvlJc w:val="left"/>
      <w:pPr>
        <w:ind w:left="0" w:firstLine="400"/>
      </w:pPr>
      <w:rPr>
        <w:rFonts w:hint="default"/>
      </w:rPr>
    </w:lvl>
  </w:abstractNum>
  <w:abstractNum w:abstractNumId="15">
    <w:nsid w:val="FEF79EF2"/>
    <w:multiLevelType w:val="singleLevel"/>
    <w:tmpl w:val="FEF79EF2"/>
    <w:lvl w:ilvl="0" w:tentative="0">
      <w:start w:val="1"/>
      <w:numFmt w:val="decimal"/>
      <w:suff w:val="nothing"/>
      <w:lvlText w:val="%1．"/>
      <w:lvlJc w:val="left"/>
      <w:pPr>
        <w:ind w:left="0" w:firstLine="400"/>
      </w:pPr>
      <w:rPr>
        <w:rFonts w:hint="default"/>
      </w:rPr>
    </w:lvl>
  </w:abstractNum>
  <w:abstractNum w:abstractNumId="16">
    <w:nsid w:val="FEFF3955"/>
    <w:multiLevelType w:val="singleLevel"/>
    <w:tmpl w:val="FEFF3955"/>
    <w:lvl w:ilvl="0" w:tentative="0">
      <w:start w:val="1"/>
      <w:numFmt w:val="decimal"/>
      <w:suff w:val="nothing"/>
      <w:lvlText w:val="%1．"/>
      <w:lvlJc w:val="left"/>
      <w:pPr>
        <w:ind w:left="0" w:firstLine="400"/>
      </w:pPr>
      <w:rPr>
        <w:rFonts w:hint="default"/>
      </w:rPr>
    </w:lvl>
  </w:abstractNum>
  <w:abstractNum w:abstractNumId="17">
    <w:nsid w:val="FFB74DCA"/>
    <w:multiLevelType w:val="singleLevel"/>
    <w:tmpl w:val="FFB74DCA"/>
    <w:lvl w:ilvl="0" w:tentative="0">
      <w:start w:val="1"/>
      <w:numFmt w:val="decimal"/>
      <w:suff w:val="nothing"/>
      <w:lvlText w:val="%1．"/>
      <w:lvlJc w:val="left"/>
      <w:pPr>
        <w:ind w:left="0" w:firstLine="400"/>
      </w:pPr>
      <w:rPr>
        <w:rFonts w:hint="default"/>
      </w:rPr>
    </w:lvl>
  </w:abstractNum>
  <w:abstractNum w:abstractNumId="18">
    <w:nsid w:val="FFFFFF89"/>
    <w:multiLevelType w:val="singleLevel"/>
    <w:tmpl w:val="FFFFFF89"/>
    <w:lvl w:ilvl="0" w:tentative="0">
      <w:start w:val="1"/>
      <w:numFmt w:val="bullet"/>
      <w:pStyle w:val="13"/>
      <w:lvlText w:val=""/>
      <w:lvlJc w:val="left"/>
      <w:pPr>
        <w:tabs>
          <w:tab w:val="left" w:pos="360"/>
        </w:tabs>
        <w:ind w:left="360" w:hanging="360" w:hangingChars="200"/>
      </w:pPr>
      <w:rPr>
        <w:rFonts w:hint="default" w:ascii="Wingdings" w:hAnsi="Wingdings"/>
      </w:rPr>
    </w:lvl>
  </w:abstractNum>
  <w:abstractNum w:abstractNumId="19">
    <w:nsid w:val="0000000C"/>
    <w:multiLevelType w:val="multilevel"/>
    <w:tmpl w:val="0000000C"/>
    <w:lvl w:ilvl="0" w:tentative="0">
      <w:start w:val="1"/>
      <w:numFmt w:val="bullet"/>
      <w:pStyle w:val="86"/>
      <w:lvlText w:val=""/>
      <w:lvlJc w:val="left"/>
      <w:pPr>
        <w:tabs>
          <w:tab w:val="left" w:pos="900"/>
        </w:tabs>
        <w:ind w:left="900" w:hanging="420"/>
      </w:pPr>
      <w:rPr>
        <w:rFonts w:hint="default" w:ascii="Wingdings" w:hAnsi="Wingdings"/>
      </w:rPr>
    </w:lvl>
    <w:lvl w:ilvl="1" w:tentative="0">
      <w:start w:val="1"/>
      <w:numFmt w:val="bullet"/>
      <w:pStyle w:val="87"/>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20">
    <w:nsid w:val="0C166096"/>
    <w:multiLevelType w:val="multilevel"/>
    <w:tmpl w:val="0C166096"/>
    <w:lvl w:ilvl="0" w:tentative="0">
      <w:start w:val="1"/>
      <w:numFmt w:val="decimal"/>
      <w:pStyle w:val="2"/>
      <w:suff w:val="space"/>
      <w:lvlText w:val="第%1部分 "/>
      <w:lvlJc w:val="left"/>
      <w:pPr>
        <w:ind w:left="0" w:firstLine="0"/>
      </w:pPr>
      <w:rPr>
        <w:b w:val="0"/>
        <w:bCs w:val="0"/>
        <w:i w:val="0"/>
        <w:iCs w:val="0"/>
        <w:caps w:val="0"/>
        <w:smallCaps w:val="0"/>
        <w:strike w:val="0"/>
        <w:dstrike w:val="0"/>
        <w:vanish w:val="0"/>
        <w:color w:val="000000"/>
        <w:spacing w:val="0"/>
        <w:position w:val="0"/>
        <w:u w:val="none"/>
        <w:vertAlign w:val="baseline"/>
      </w:rPr>
    </w:lvl>
    <w:lvl w:ilvl="1" w:tentative="0">
      <w:start w:val="1"/>
      <w:numFmt w:val="decimal"/>
      <w:pStyle w:val="3"/>
      <w:suff w:val="space"/>
      <w:lvlText w:val="%1.%2"/>
      <w:lvlJc w:val="left"/>
      <w:pPr>
        <w:ind w:left="0" w:firstLine="0"/>
      </w:pPr>
      <w:rPr>
        <w:rFonts w:hint="default" w:ascii="Arial" w:hAnsi="Arial" w:eastAsia="宋体"/>
        <w:b/>
        <w:i w:val="0"/>
        <w:sz w:val="32"/>
        <w:szCs w:val="32"/>
      </w:rPr>
    </w:lvl>
    <w:lvl w:ilvl="2" w:tentative="0">
      <w:start w:val="1"/>
      <w:numFmt w:val="decimal"/>
      <w:pStyle w:val="4"/>
      <w:suff w:val="space"/>
      <w:lvlText w:val="%1.%2.%3"/>
      <w:lvlJc w:val="left"/>
      <w:rPr>
        <w:b w:val="0"/>
        <w:bCs w:val="0"/>
        <w:i w:val="0"/>
        <w:iCs w:val="0"/>
        <w:caps w:val="0"/>
        <w:smallCaps w:val="0"/>
        <w:strike w:val="0"/>
        <w:dstrike w:val="0"/>
        <w:vanish w:val="0"/>
        <w:color w:val="000000"/>
        <w:spacing w:val="0"/>
        <w:position w:val="0"/>
        <w:u w:val="none"/>
        <w:vertAlign w:val="baseline"/>
      </w:rPr>
    </w:lvl>
    <w:lvl w:ilvl="3" w:tentative="0">
      <w:start w:val="1"/>
      <w:numFmt w:val="decimal"/>
      <w:pStyle w:val="5"/>
      <w:suff w:val="space"/>
      <w:lvlText w:val="%1.%2.%3.%4"/>
      <w:lvlJc w:val="left"/>
      <w:pPr>
        <w:ind w:left="0" w:firstLine="0"/>
      </w:pPr>
      <w:rPr>
        <w:rFonts w:hint="default" w:ascii="Arial" w:hAnsi="Arial"/>
        <w:b/>
        <w:i w:val="0"/>
        <w:sz w:val="28"/>
        <w:szCs w:val="28"/>
      </w:rPr>
    </w:lvl>
    <w:lvl w:ilvl="4" w:tentative="0">
      <w:start w:val="1"/>
      <w:numFmt w:val="decimal"/>
      <w:pStyle w:val="6"/>
      <w:suff w:val="space"/>
      <w:lvlText w:val="%5、"/>
      <w:lvlJc w:val="left"/>
      <w:rPr>
        <w:b w:val="0"/>
        <w:bCs w:val="0"/>
        <w:i w:val="0"/>
        <w:iCs w:val="0"/>
        <w:caps w:val="0"/>
        <w:smallCaps w:val="0"/>
        <w:strike w:val="0"/>
        <w:dstrike w:val="0"/>
        <w:vanish w:val="0"/>
        <w:color w:val="000000"/>
        <w:spacing w:val="0"/>
        <w:position w:val="0"/>
        <w:u w:val="none"/>
        <w:vertAlign w:val="baseline"/>
      </w:rPr>
    </w:lvl>
    <w:lvl w:ilvl="5" w:tentative="0">
      <w:start w:val="1"/>
      <w:numFmt w:val="decimal"/>
      <w:pStyle w:val="7"/>
      <w:suff w:val="space"/>
      <w:lvlText w:val="（%6）"/>
      <w:lvlJc w:val="left"/>
      <w:pPr>
        <w:ind w:left="567" w:firstLine="0"/>
      </w:pPr>
      <w:rPr>
        <w:rFonts w:hint="default" w:ascii="Arial" w:hAnsi="Arial"/>
        <w:b w:val="0"/>
        <w:i w:val="0"/>
        <w:sz w:val="28"/>
        <w:szCs w:val="28"/>
      </w:rPr>
    </w:lvl>
    <w:lvl w:ilvl="6" w:tentative="0">
      <w:start w:val="1"/>
      <w:numFmt w:val="upperLetter"/>
      <w:pStyle w:val="8"/>
      <w:suff w:val="space"/>
      <w:lvlText w:val="%7）"/>
      <w:lvlJc w:val="left"/>
      <w:pPr>
        <w:ind w:left="567" w:firstLine="0"/>
      </w:pPr>
      <w:rPr>
        <w:rFonts w:hint="default" w:ascii="Times New Roman" w:hAnsi="Times New Roman"/>
        <w:b w:val="0"/>
        <w:i w:val="0"/>
        <w:color w:val="auto"/>
        <w:sz w:val="28"/>
        <w:szCs w:val="28"/>
      </w:rPr>
    </w:lvl>
    <w:lvl w:ilvl="7" w:tentative="0">
      <w:start w:val="1"/>
      <w:numFmt w:val="lowerLetter"/>
      <w:pStyle w:val="9"/>
      <w:suff w:val="space"/>
      <w:lvlText w:val="%8）"/>
      <w:lvlJc w:val="left"/>
      <w:pPr>
        <w:ind w:left="567" w:firstLine="0"/>
      </w:pPr>
      <w:rPr>
        <w:rFonts w:hint="default" w:ascii="Times New Roman" w:hAnsi="Times New Roman"/>
        <w:b w:val="0"/>
        <w:i w:val="0"/>
        <w:color w:val="auto"/>
        <w:sz w:val="28"/>
        <w:szCs w:val="28"/>
      </w:rPr>
    </w:lvl>
    <w:lvl w:ilvl="8" w:tentative="0">
      <w:start w:val="1"/>
      <w:numFmt w:val="bullet"/>
      <w:pStyle w:val="10"/>
      <w:suff w:val="space"/>
      <w:lvlText w:val=""/>
      <w:lvlJc w:val="left"/>
      <w:pPr>
        <w:ind w:left="567" w:firstLine="0"/>
      </w:pPr>
      <w:rPr>
        <w:rFonts w:hint="default" w:ascii="Symbol" w:hAnsi="Symbol"/>
        <w:b w:val="0"/>
        <w:i w:val="0"/>
        <w:color w:val="auto"/>
        <w:sz w:val="28"/>
        <w:szCs w:val="28"/>
      </w:rPr>
    </w:lvl>
  </w:abstractNum>
  <w:abstractNum w:abstractNumId="21">
    <w:nsid w:val="573DB5DA"/>
    <w:multiLevelType w:val="singleLevel"/>
    <w:tmpl w:val="573DB5DA"/>
    <w:lvl w:ilvl="0" w:tentative="0">
      <w:start w:val="1"/>
      <w:numFmt w:val="decimal"/>
      <w:suff w:val="nothing"/>
      <w:lvlText w:val="%1．"/>
      <w:lvlJc w:val="left"/>
      <w:pPr>
        <w:ind w:left="0" w:firstLine="400"/>
      </w:pPr>
      <w:rPr>
        <w:rFonts w:hint="default"/>
      </w:rPr>
    </w:lvl>
  </w:abstractNum>
  <w:abstractNum w:abstractNumId="22">
    <w:nsid w:val="57FBE1C0"/>
    <w:multiLevelType w:val="singleLevel"/>
    <w:tmpl w:val="57FBE1C0"/>
    <w:lvl w:ilvl="0" w:tentative="0">
      <w:start w:val="1"/>
      <w:numFmt w:val="decimal"/>
      <w:suff w:val="nothing"/>
      <w:lvlText w:val="%1．"/>
      <w:lvlJc w:val="left"/>
      <w:pPr>
        <w:ind w:left="0" w:firstLine="400"/>
      </w:pPr>
      <w:rPr>
        <w:rFonts w:hint="default"/>
      </w:rPr>
    </w:lvl>
  </w:abstractNum>
  <w:abstractNum w:abstractNumId="23">
    <w:nsid w:val="6AF7621C"/>
    <w:multiLevelType w:val="singleLevel"/>
    <w:tmpl w:val="6AF7621C"/>
    <w:lvl w:ilvl="0" w:tentative="0">
      <w:start w:val="1"/>
      <w:numFmt w:val="decimal"/>
      <w:suff w:val="nothing"/>
      <w:lvlText w:val="%1．"/>
      <w:lvlJc w:val="left"/>
      <w:pPr>
        <w:ind w:left="0" w:firstLine="400"/>
      </w:pPr>
      <w:rPr>
        <w:rFonts w:hint="default"/>
      </w:rPr>
    </w:lvl>
  </w:abstractNum>
  <w:abstractNum w:abstractNumId="24">
    <w:nsid w:val="75B044C0"/>
    <w:multiLevelType w:val="multilevel"/>
    <w:tmpl w:val="75B044C0"/>
    <w:lvl w:ilvl="0" w:tentative="0">
      <w:start w:val="1"/>
      <w:numFmt w:val="decimal"/>
      <w:pStyle w:val="80"/>
      <w:lvlText w:val="%1."/>
      <w:lvlJc w:val="left"/>
      <w:pPr>
        <w:ind w:left="360" w:hanging="360"/>
      </w:pPr>
      <w:rPr>
        <w:rFonts w:hint="default"/>
      </w:rPr>
    </w:lvl>
    <w:lvl w:ilvl="1" w:tentative="0">
      <w:start w:val="1"/>
      <w:numFmt w:val="decimal"/>
      <w:pStyle w:val="81"/>
      <w:lvlText w:val="%2)"/>
      <w:lvlJc w:val="left"/>
      <w:pPr>
        <w:ind w:left="562" w:hanging="420"/>
      </w:pPr>
      <w:rPr>
        <w:rFonts w:hint="default" w:ascii="Calibri" w:hAnsi="Calibri" w:cs="Calibri"/>
        <w:b w:val="0"/>
        <w:color w:val="auto"/>
        <w:sz w:val="24"/>
        <w:szCs w:val="24"/>
      </w:rPr>
    </w:lvl>
    <w:lvl w:ilvl="2" w:tentative="0">
      <w:start w:val="1"/>
      <w:numFmt w:val="lowerRoman"/>
      <w:pStyle w:val="82"/>
      <w:lvlText w:val="%3."/>
      <w:lvlJc w:val="right"/>
      <w:pPr>
        <w:ind w:left="1260" w:hanging="420"/>
      </w:pPr>
    </w:lvl>
    <w:lvl w:ilvl="3" w:tentative="0">
      <w:start w:val="1"/>
      <w:numFmt w:val="decimal"/>
      <w:pStyle w:val="83"/>
      <w:lvlText w:val="%4)"/>
      <w:lvlJc w:val="left"/>
      <w:pPr>
        <w:ind w:left="862" w:hanging="720"/>
      </w:pPr>
      <w:rPr>
        <w:rFonts w:hint="eastAsia"/>
        <w:b w:val="0"/>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8FEE0AF"/>
    <w:multiLevelType w:val="singleLevel"/>
    <w:tmpl w:val="78FEE0AF"/>
    <w:lvl w:ilvl="0" w:tentative="0">
      <w:start w:val="1"/>
      <w:numFmt w:val="decimal"/>
      <w:suff w:val="nothing"/>
      <w:lvlText w:val="%1．"/>
      <w:lvlJc w:val="left"/>
      <w:pPr>
        <w:ind w:left="0" w:firstLine="400"/>
      </w:pPr>
      <w:rPr>
        <w:rFonts w:hint="default"/>
      </w:rPr>
    </w:lvl>
  </w:abstractNum>
  <w:abstractNum w:abstractNumId="26">
    <w:nsid w:val="7BF260D2"/>
    <w:multiLevelType w:val="singleLevel"/>
    <w:tmpl w:val="7BF260D2"/>
    <w:lvl w:ilvl="0" w:tentative="0">
      <w:start w:val="1"/>
      <w:numFmt w:val="decimal"/>
      <w:suff w:val="nothing"/>
      <w:lvlText w:val="%1．"/>
      <w:lvlJc w:val="left"/>
      <w:pPr>
        <w:ind w:left="0" w:firstLine="400"/>
      </w:pPr>
      <w:rPr>
        <w:rFonts w:hint="default"/>
      </w:rPr>
    </w:lvl>
  </w:abstractNum>
  <w:abstractNum w:abstractNumId="27">
    <w:nsid w:val="7E7DE850"/>
    <w:multiLevelType w:val="singleLevel"/>
    <w:tmpl w:val="7E7DE850"/>
    <w:lvl w:ilvl="0" w:tentative="0">
      <w:start w:val="1"/>
      <w:numFmt w:val="decimal"/>
      <w:suff w:val="nothing"/>
      <w:lvlText w:val="%1．"/>
      <w:lvlJc w:val="left"/>
      <w:pPr>
        <w:ind w:left="0" w:firstLine="400"/>
      </w:pPr>
      <w:rPr>
        <w:rFonts w:hint="default"/>
      </w:rPr>
    </w:lvl>
  </w:abstractNum>
  <w:abstractNum w:abstractNumId="28">
    <w:nsid w:val="7FE73820"/>
    <w:multiLevelType w:val="singleLevel"/>
    <w:tmpl w:val="7FE73820"/>
    <w:lvl w:ilvl="0" w:tentative="0">
      <w:start w:val="1"/>
      <w:numFmt w:val="decimal"/>
      <w:suff w:val="nothing"/>
      <w:lvlText w:val="%1．"/>
      <w:lvlJc w:val="left"/>
      <w:pPr>
        <w:ind w:left="0" w:firstLine="400"/>
      </w:pPr>
      <w:rPr>
        <w:rFonts w:hint="default"/>
      </w:rPr>
    </w:lvl>
  </w:abstractNum>
  <w:num w:numId="1">
    <w:abstractNumId w:val="20"/>
  </w:num>
  <w:num w:numId="2">
    <w:abstractNumId w:val="18"/>
  </w:num>
  <w:num w:numId="3">
    <w:abstractNumId w:val="24"/>
  </w:num>
  <w:num w:numId="4">
    <w:abstractNumId w:val="19"/>
  </w:num>
  <w:num w:numId="5">
    <w:abstractNumId w:val="27"/>
  </w:num>
  <w:num w:numId="6">
    <w:abstractNumId w:val="8"/>
  </w:num>
  <w:num w:numId="7">
    <w:abstractNumId w:val="14"/>
  </w:num>
  <w:num w:numId="8">
    <w:abstractNumId w:val="22"/>
  </w:num>
  <w:num w:numId="9">
    <w:abstractNumId w:val="3"/>
  </w:num>
  <w:num w:numId="10">
    <w:abstractNumId w:val="9"/>
  </w:num>
  <w:num w:numId="11">
    <w:abstractNumId w:val="10"/>
  </w:num>
  <w:num w:numId="12">
    <w:abstractNumId w:val="4"/>
  </w:num>
  <w:num w:numId="13">
    <w:abstractNumId w:val="26"/>
  </w:num>
  <w:num w:numId="14">
    <w:abstractNumId w:val="1"/>
  </w:num>
  <w:num w:numId="15">
    <w:abstractNumId w:val="5"/>
  </w:num>
  <w:num w:numId="16">
    <w:abstractNumId w:val="2"/>
  </w:num>
  <w:num w:numId="17">
    <w:abstractNumId w:val="25"/>
  </w:num>
  <w:num w:numId="18">
    <w:abstractNumId w:val="13"/>
  </w:num>
  <w:num w:numId="19">
    <w:abstractNumId w:val="7"/>
  </w:num>
  <w:num w:numId="20">
    <w:abstractNumId w:val="11"/>
  </w:num>
  <w:num w:numId="21">
    <w:abstractNumId w:val="16"/>
  </w:num>
  <w:num w:numId="22">
    <w:abstractNumId w:val="0"/>
  </w:num>
  <w:num w:numId="23">
    <w:abstractNumId w:val="17"/>
  </w:num>
  <w:num w:numId="24">
    <w:abstractNumId w:val="15"/>
  </w:num>
  <w:num w:numId="25">
    <w:abstractNumId w:val="23"/>
  </w:num>
  <w:num w:numId="26">
    <w:abstractNumId w:val="12"/>
  </w:num>
  <w:num w:numId="27">
    <w:abstractNumId w:val="6"/>
  </w:num>
  <w:num w:numId="28">
    <w:abstractNumId w:val="28"/>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ZhMDE0N2VhYWQ3NjQ1ZWVhMjVkMjBhNmJhN2VmOWIifQ=="/>
    <w:docVar w:name="KSO_WPS_MARK_KEY" w:val="267a8414-ec36-4ccf-a842-1d49d67f2218"/>
  </w:docVars>
  <w:rsids>
    <w:rsidRoot w:val="00040F2C"/>
    <w:rsid w:val="00000055"/>
    <w:rsid w:val="000024F2"/>
    <w:rsid w:val="0000550D"/>
    <w:rsid w:val="000055A9"/>
    <w:rsid w:val="000056EF"/>
    <w:rsid w:val="000063F2"/>
    <w:rsid w:val="0000728C"/>
    <w:rsid w:val="00011B7A"/>
    <w:rsid w:val="00015648"/>
    <w:rsid w:val="00016973"/>
    <w:rsid w:val="000209F7"/>
    <w:rsid w:val="000216A9"/>
    <w:rsid w:val="00024495"/>
    <w:rsid w:val="0002729D"/>
    <w:rsid w:val="00030084"/>
    <w:rsid w:val="00030D83"/>
    <w:rsid w:val="00031032"/>
    <w:rsid w:val="00036B02"/>
    <w:rsid w:val="00040657"/>
    <w:rsid w:val="00040B97"/>
    <w:rsid w:val="00040F2C"/>
    <w:rsid w:val="00041843"/>
    <w:rsid w:val="0004336A"/>
    <w:rsid w:val="0004480B"/>
    <w:rsid w:val="00050FEB"/>
    <w:rsid w:val="00052842"/>
    <w:rsid w:val="00052A18"/>
    <w:rsid w:val="00052C07"/>
    <w:rsid w:val="00053BFD"/>
    <w:rsid w:val="00056596"/>
    <w:rsid w:val="00057F89"/>
    <w:rsid w:val="000639AA"/>
    <w:rsid w:val="00066EAB"/>
    <w:rsid w:val="000703D8"/>
    <w:rsid w:val="00073A86"/>
    <w:rsid w:val="00073B87"/>
    <w:rsid w:val="00073F57"/>
    <w:rsid w:val="00082BA3"/>
    <w:rsid w:val="00085E39"/>
    <w:rsid w:val="00085EC8"/>
    <w:rsid w:val="000877E2"/>
    <w:rsid w:val="00091E18"/>
    <w:rsid w:val="00091F9C"/>
    <w:rsid w:val="0009307E"/>
    <w:rsid w:val="000A6404"/>
    <w:rsid w:val="000A6745"/>
    <w:rsid w:val="000A768F"/>
    <w:rsid w:val="000A76AB"/>
    <w:rsid w:val="000B3B82"/>
    <w:rsid w:val="000B4465"/>
    <w:rsid w:val="000B498F"/>
    <w:rsid w:val="000B4B4B"/>
    <w:rsid w:val="000B5024"/>
    <w:rsid w:val="000B5613"/>
    <w:rsid w:val="000B56CE"/>
    <w:rsid w:val="000B5B48"/>
    <w:rsid w:val="000C0A65"/>
    <w:rsid w:val="000C3C71"/>
    <w:rsid w:val="000C4375"/>
    <w:rsid w:val="000C6A21"/>
    <w:rsid w:val="000C72FD"/>
    <w:rsid w:val="000C77E9"/>
    <w:rsid w:val="000C7F55"/>
    <w:rsid w:val="000D1513"/>
    <w:rsid w:val="000D17DE"/>
    <w:rsid w:val="000D3A2F"/>
    <w:rsid w:val="000D7C3C"/>
    <w:rsid w:val="000E016B"/>
    <w:rsid w:val="000E2843"/>
    <w:rsid w:val="000E2A7F"/>
    <w:rsid w:val="000E301F"/>
    <w:rsid w:val="000F3256"/>
    <w:rsid w:val="000F3453"/>
    <w:rsid w:val="000F382C"/>
    <w:rsid w:val="000F46D2"/>
    <w:rsid w:val="00100D8F"/>
    <w:rsid w:val="001012E5"/>
    <w:rsid w:val="001029FD"/>
    <w:rsid w:val="00105782"/>
    <w:rsid w:val="001112A2"/>
    <w:rsid w:val="0011146A"/>
    <w:rsid w:val="001117AF"/>
    <w:rsid w:val="0011341F"/>
    <w:rsid w:val="0011397B"/>
    <w:rsid w:val="00114825"/>
    <w:rsid w:val="00114E2A"/>
    <w:rsid w:val="001152AB"/>
    <w:rsid w:val="001162B6"/>
    <w:rsid w:val="001202AD"/>
    <w:rsid w:val="00122A8A"/>
    <w:rsid w:val="00123884"/>
    <w:rsid w:val="0012619C"/>
    <w:rsid w:val="00126531"/>
    <w:rsid w:val="00132B22"/>
    <w:rsid w:val="00136161"/>
    <w:rsid w:val="00140EFF"/>
    <w:rsid w:val="00141C89"/>
    <w:rsid w:val="001424CF"/>
    <w:rsid w:val="001432C3"/>
    <w:rsid w:val="00145830"/>
    <w:rsid w:val="001504D8"/>
    <w:rsid w:val="001508CF"/>
    <w:rsid w:val="0015214F"/>
    <w:rsid w:val="0015493F"/>
    <w:rsid w:val="00156E17"/>
    <w:rsid w:val="001601B7"/>
    <w:rsid w:val="0016188C"/>
    <w:rsid w:val="00164C26"/>
    <w:rsid w:val="001671DF"/>
    <w:rsid w:val="001708BA"/>
    <w:rsid w:val="00172B11"/>
    <w:rsid w:val="00173E20"/>
    <w:rsid w:val="00175920"/>
    <w:rsid w:val="00177F9E"/>
    <w:rsid w:val="001856AE"/>
    <w:rsid w:val="0019078D"/>
    <w:rsid w:val="00191051"/>
    <w:rsid w:val="00191A5D"/>
    <w:rsid w:val="00192D2C"/>
    <w:rsid w:val="00192E20"/>
    <w:rsid w:val="00192E4A"/>
    <w:rsid w:val="001935D3"/>
    <w:rsid w:val="00197715"/>
    <w:rsid w:val="001A0BCE"/>
    <w:rsid w:val="001A1B33"/>
    <w:rsid w:val="001A7564"/>
    <w:rsid w:val="001A7630"/>
    <w:rsid w:val="001B01F6"/>
    <w:rsid w:val="001B15F1"/>
    <w:rsid w:val="001B1B3A"/>
    <w:rsid w:val="001B223C"/>
    <w:rsid w:val="001B3FEE"/>
    <w:rsid w:val="001B4079"/>
    <w:rsid w:val="001B40FD"/>
    <w:rsid w:val="001B773A"/>
    <w:rsid w:val="001C2F1E"/>
    <w:rsid w:val="001C3467"/>
    <w:rsid w:val="001C4EE1"/>
    <w:rsid w:val="001C5552"/>
    <w:rsid w:val="001C5599"/>
    <w:rsid w:val="001D1314"/>
    <w:rsid w:val="001D148B"/>
    <w:rsid w:val="001D18BF"/>
    <w:rsid w:val="001D3AED"/>
    <w:rsid w:val="001D779A"/>
    <w:rsid w:val="001D7FF1"/>
    <w:rsid w:val="001E135B"/>
    <w:rsid w:val="001E1B18"/>
    <w:rsid w:val="001E3E18"/>
    <w:rsid w:val="001E55EF"/>
    <w:rsid w:val="001E5680"/>
    <w:rsid w:val="001E6D83"/>
    <w:rsid w:val="001F08F8"/>
    <w:rsid w:val="001F0B43"/>
    <w:rsid w:val="001F277F"/>
    <w:rsid w:val="001F28EA"/>
    <w:rsid w:val="001F2C39"/>
    <w:rsid w:val="001F3648"/>
    <w:rsid w:val="001F473F"/>
    <w:rsid w:val="001F549B"/>
    <w:rsid w:val="001F7345"/>
    <w:rsid w:val="001F7689"/>
    <w:rsid w:val="002018F6"/>
    <w:rsid w:val="00205681"/>
    <w:rsid w:val="00210A63"/>
    <w:rsid w:val="00211010"/>
    <w:rsid w:val="00211603"/>
    <w:rsid w:val="0021373D"/>
    <w:rsid w:val="00213CED"/>
    <w:rsid w:val="00213D5C"/>
    <w:rsid w:val="00215096"/>
    <w:rsid w:val="00217A99"/>
    <w:rsid w:val="002220AD"/>
    <w:rsid w:val="002239BB"/>
    <w:rsid w:val="00224187"/>
    <w:rsid w:val="0022491F"/>
    <w:rsid w:val="0022570F"/>
    <w:rsid w:val="00231212"/>
    <w:rsid w:val="00231DE7"/>
    <w:rsid w:val="0023569F"/>
    <w:rsid w:val="00235C5C"/>
    <w:rsid w:val="00237A79"/>
    <w:rsid w:val="00242D88"/>
    <w:rsid w:val="00243558"/>
    <w:rsid w:val="00245032"/>
    <w:rsid w:val="0024564D"/>
    <w:rsid w:val="002456F7"/>
    <w:rsid w:val="00245E0E"/>
    <w:rsid w:val="00246EC9"/>
    <w:rsid w:val="002514E8"/>
    <w:rsid w:val="002522C0"/>
    <w:rsid w:val="00253AEE"/>
    <w:rsid w:val="002567F2"/>
    <w:rsid w:val="002606D3"/>
    <w:rsid w:val="00261739"/>
    <w:rsid w:val="00261AEE"/>
    <w:rsid w:val="00266551"/>
    <w:rsid w:val="00267C4D"/>
    <w:rsid w:val="00270786"/>
    <w:rsid w:val="00271EFA"/>
    <w:rsid w:val="002725D5"/>
    <w:rsid w:val="00274154"/>
    <w:rsid w:val="00276CDC"/>
    <w:rsid w:val="00276E33"/>
    <w:rsid w:val="00280094"/>
    <w:rsid w:val="00280818"/>
    <w:rsid w:val="00281C96"/>
    <w:rsid w:val="00283428"/>
    <w:rsid w:val="00283734"/>
    <w:rsid w:val="00285B13"/>
    <w:rsid w:val="00287B32"/>
    <w:rsid w:val="002910EC"/>
    <w:rsid w:val="00292091"/>
    <w:rsid w:val="00294337"/>
    <w:rsid w:val="00294A2D"/>
    <w:rsid w:val="00295013"/>
    <w:rsid w:val="002A33FC"/>
    <w:rsid w:val="002A67B8"/>
    <w:rsid w:val="002A73BB"/>
    <w:rsid w:val="002B0714"/>
    <w:rsid w:val="002B071C"/>
    <w:rsid w:val="002B2892"/>
    <w:rsid w:val="002B4071"/>
    <w:rsid w:val="002B659B"/>
    <w:rsid w:val="002B694C"/>
    <w:rsid w:val="002C0646"/>
    <w:rsid w:val="002C06E7"/>
    <w:rsid w:val="002C0F52"/>
    <w:rsid w:val="002C6F65"/>
    <w:rsid w:val="002C7DA3"/>
    <w:rsid w:val="002D151C"/>
    <w:rsid w:val="002D35E0"/>
    <w:rsid w:val="002D4E76"/>
    <w:rsid w:val="002D7D1E"/>
    <w:rsid w:val="002E06B0"/>
    <w:rsid w:val="002E1150"/>
    <w:rsid w:val="002E1A1A"/>
    <w:rsid w:val="002E2C37"/>
    <w:rsid w:val="002E4A7D"/>
    <w:rsid w:val="002E4B76"/>
    <w:rsid w:val="002E53ED"/>
    <w:rsid w:val="002E66CA"/>
    <w:rsid w:val="002F13DD"/>
    <w:rsid w:val="002F2C34"/>
    <w:rsid w:val="002F354D"/>
    <w:rsid w:val="002F3AFE"/>
    <w:rsid w:val="002F7C06"/>
    <w:rsid w:val="0030339F"/>
    <w:rsid w:val="00303A7E"/>
    <w:rsid w:val="00305CE7"/>
    <w:rsid w:val="0030645E"/>
    <w:rsid w:val="003107B4"/>
    <w:rsid w:val="0031240D"/>
    <w:rsid w:val="003159E0"/>
    <w:rsid w:val="00315F03"/>
    <w:rsid w:val="003211CF"/>
    <w:rsid w:val="003228B8"/>
    <w:rsid w:val="00326847"/>
    <w:rsid w:val="003313AA"/>
    <w:rsid w:val="00331B9B"/>
    <w:rsid w:val="00335549"/>
    <w:rsid w:val="00337CA1"/>
    <w:rsid w:val="00341BB0"/>
    <w:rsid w:val="00343C56"/>
    <w:rsid w:val="00346A09"/>
    <w:rsid w:val="00346B93"/>
    <w:rsid w:val="003502D1"/>
    <w:rsid w:val="003509CE"/>
    <w:rsid w:val="00351600"/>
    <w:rsid w:val="00352933"/>
    <w:rsid w:val="003529AB"/>
    <w:rsid w:val="00356216"/>
    <w:rsid w:val="00363C22"/>
    <w:rsid w:val="003663F5"/>
    <w:rsid w:val="003665A2"/>
    <w:rsid w:val="00367823"/>
    <w:rsid w:val="00367F03"/>
    <w:rsid w:val="003702DC"/>
    <w:rsid w:val="00370EC2"/>
    <w:rsid w:val="0037167C"/>
    <w:rsid w:val="00371C5E"/>
    <w:rsid w:val="00376696"/>
    <w:rsid w:val="00377421"/>
    <w:rsid w:val="00377DEA"/>
    <w:rsid w:val="0038131E"/>
    <w:rsid w:val="00381A49"/>
    <w:rsid w:val="003844BC"/>
    <w:rsid w:val="00386335"/>
    <w:rsid w:val="003932BC"/>
    <w:rsid w:val="00393C55"/>
    <w:rsid w:val="00394667"/>
    <w:rsid w:val="00394DC3"/>
    <w:rsid w:val="00394F09"/>
    <w:rsid w:val="00395F11"/>
    <w:rsid w:val="003963F8"/>
    <w:rsid w:val="00396527"/>
    <w:rsid w:val="00397F48"/>
    <w:rsid w:val="003A2247"/>
    <w:rsid w:val="003A67AE"/>
    <w:rsid w:val="003A6AF1"/>
    <w:rsid w:val="003A6DD9"/>
    <w:rsid w:val="003A759B"/>
    <w:rsid w:val="003B2226"/>
    <w:rsid w:val="003B42BB"/>
    <w:rsid w:val="003C17E8"/>
    <w:rsid w:val="003C266D"/>
    <w:rsid w:val="003C468C"/>
    <w:rsid w:val="003C60D9"/>
    <w:rsid w:val="003D2691"/>
    <w:rsid w:val="003D42A2"/>
    <w:rsid w:val="003D4D90"/>
    <w:rsid w:val="003D5F4F"/>
    <w:rsid w:val="003D7200"/>
    <w:rsid w:val="003E0098"/>
    <w:rsid w:val="003E35BC"/>
    <w:rsid w:val="003E38B3"/>
    <w:rsid w:val="003F23CE"/>
    <w:rsid w:val="003F2B0A"/>
    <w:rsid w:val="003F406C"/>
    <w:rsid w:val="003F478E"/>
    <w:rsid w:val="003F4911"/>
    <w:rsid w:val="003F7027"/>
    <w:rsid w:val="004008E4"/>
    <w:rsid w:val="004103F0"/>
    <w:rsid w:val="00413041"/>
    <w:rsid w:val="0041343C"/>
    <w:rsid w:val="00416376"/>
    <w:rsid w:val="004206FF"/>
    <w:rsid w:val="004229EC"/>
    <w:rsid w:val="00424FEB"/>
    <w:rsid w:val="0042500B"/>
    <w:rsid w:val="004258E9"/>
    <w:rsid w:val="00425A1B"/>
    <w:rsid w:val="0043087E"/>
    <w:rsid w:val="00440B24"/>
    <w:rsid w:val="00440FF6"/>
    <w:rsid w:val="004414D3"/>
    <w:rsid w:val="00442FEF"/>
    <w:rsid w:val="004430F2"/>
    <w:rsid w:val="004435D9"/>
    <w:rsid w:val="00443790"/>
    <w:rsid w:val="00445BA3"/>
    <w:rsid w:val="00445C48"/>
    <w:rsid w:val="0044779D"/>
    <w:rsid w:val="00447DCE"/>
    <w:rsid w:val="00454516"/>
    <w:rsid w:val="00454FA2"/>
    <w:rsid w:val="00455083"/>
    <w:rsid w:val="004609E6"/>
    <w:rsid w:val="00462F65"/>
    <w:rsid w:val="00465C69"/>
    <w:rsid w:val="00465E97"/>
    <w:rsid w:val="00473519"/>
    <w:rsid w:val="004736EE"/>
    <w:rsid w:val="004749A4"/>
    <w:rsid w:val="004756B9"/>
    <w:rsid w:val="00476E78"/>
    <w:rsid w:val="00480423"/>
    <w:rsid w:val="00480CF9"/>
    <w:rsid w:val="00485101"/>
    <w:rsid w:val="004869C1"/>
    <w:rsid w:val="00493749"/>
    <w:rsid w:val="00494FFB"/>
    <w:rsid w:val="0049510E"/>
    <w:rsid w:val="00496C76"/>
    <w:rsid w:val="00496DA9"/>
    <w:rsid w:val="004A14F9"/>
    <w:rsid w:val="004A43B8"/>
    <w:rsid w:val="004A43FF"/>
    <w:rsid w:val="004A4FFC"/>
    <w:rsid w:val="004A5DD0"/>
    <w:rsid w:val="004B1E50"/>
    <w:rsid w:val="004B1EB8"/>
    <w:rsid w:val="004B1F3C"/>
    <w:rsid w:val="004B384A"/>
    <w:rsid w:val="004B7002"/>
    <w:rsid w:val="004B7C83"/>
    <w:rsid w:val="004C0F5C"/>
    <w:rsid w:val="004C130E"/>
    <w:rsid w:val="004C209B"/>
    <w:rsid w:val="004C22B3"/>
    <w:rsid w:val="004C3B00"/>
    <w:rsid w:val="004C5609"/>
    <w:rsid w:val="004C695A"/>
    <w:rsid w:val="004C6E34"/>
    <w:rsid w:val="004D08F1"/>
    <w:rsid w:val="004D2859"/>
    <w:rsid w:val="004E3E5F"/>
    <w:rsid w:val="004E6040"/>
    <w:rsid w:val="004E7605"/>
    <w:rsid w:val="004E7B4A"/>
    <w:rsid w:val="004F2131"/>
    <w:rsid w:val="004F2936"/>
    <w:rsid w:val="004F3B51"/>
    <w:rsid w:val="004F3ECC"/>
    <w:rsid w:val="004F4D30"/>
    <w:rsid w:val="004F673E"/>
    <w:rsid w:val="004F6816"/>
    <w:rsid w:val="00500331"/>
    <w:rsid w:val="00500C85"/>
    <w:rsid w:val="0050398F"/>
    <w:rsid w:val="00506FFF"/>
    <w:rsid w:val="00507ED4"/>
    <w:rsid w:val="005100FB"/>
    <w:rsid w:val="00514043"/>
    <w:rsid w:val="00514D99"/>
    <w:rsid w:val="005173DA"/>
    <w:rsid w:val="00521C02"/>
    <w:rsid w:val="00524FE7"/>
    <w:rsid w:val="00525F97"/>
    <w:rsid w:val="0053103C"/>
    <w:rsid w:val="00532088"/>
    <w:rsid w:val="00532A7A"/>
    <w:rsid w:val="00533C15"/>
    <w:rsid w:val="00536217"/>
    <w:rsid w:val="005372C5"/>
    <w:rsid w:val="00540BBF"/>
    <w:rsid w:val="00541E81"/>
    <w:rsid w:val="0054253D"/>
    <w:rsid w:val="00542FD8"/>
    <w:rsid w:val="0054352F"/>
    <w:rsid w:val="00544B73"/>
    <w:rsid w:val="005452E3"/>
    <w:rsid w:val="00546027"/>
    <w:rsid w:val="00546377"/>
    <w:rsid w:val="0055010D"/>
    <w:rsid w:val="0055081F"/>
    <w:rsid w:val="00550F19"/>
    <w:rsid w:val="00551D97"/>
    <w:rsid w:val="00553F31"/>
    <w:rsid w:val="005547B2"/>
    <w:rsid w:val="005574FC"/>
    <w:rsid w:val="0056139F"/>
    <w:rsid w:val="005650A1"/>
    <w:rsid w:val="00570387"/>
    <w:rsid w:val="00570DF4"/>
    <w:rsid w:val="00571428"/>
    <w:rsid w:val="005735C4"/>
    <w:rsid w:val="005749A7"/>
    <w:rsid w:val="00576210"/>
    <w:rsid w:val="00577119"/>
    <w:rsid w:val="005771EC"/>
    <w:rsid w:val="00577718"/>
    <w:rsid w:val="00582062"/>
    <w:rsid w:val="00586FA0"/>
    <w:rsid w:val="00590970"/>
    <w:rsid w:val="0059556B"/>
    <w:rsid w:val="005963A0"/>
    <w:rsid w:val="005963FF"/>
    <w:rsid w:val="005A1586"/>
    <w:rsid w:val="005A2753"/>
    <w:rsid w:val="005A2BBF"/>
    <w:rsid w:val="005B034F"/>
    <w:rsid w:val="005B0608"/>
    <w:rsid w:val="005B0EFC"/>
    <w:rsid w:val="005B0F11"/>
    <w:rsid w:val="005B7BB1"/>
    <w:rsid w:val="005B7C18"/>
    <w:rsid w:val="005B7CE0"/>
    <w:rsid w:val="005C1482"/>
    <w:rsid w:val="005C281D"/>
    <w:rsid w:val="005C40C5"/>
    <w:rsid w:val="005D26EE"/>
    <w:rsid w:val="005D2EF1"/>
    <w:rsid w:val="005D3589"/>
    <w:rsid w:val="005D4816"/>
    <w:rsid w:val="005D5931"/>
    <w:rsid w:val="005D5CD6"/>
    <w:rsid w:val="005D633C"/>
    <w:rsid w:val="005D6FD3"/>
    <w:rsid w:val="005D79D9"/>
    <w:rsid w:val="005E01ED"/>
    <w:rsid w:val="005E2E64"/>
    <w:rsid w:val="005E487E"/>
    <w:rsid w:val="005F0310"/>
    <w:rsid w:val="005F0698"/>
    <w:rsid w:val="005F0B9D"/>
    <w:rsid w:val="005F1FFE"/>
    <w:rsid w:val="005F4178"/>
    <w:rsid w:val="005F4EF6"/>
    <w:rsid w:val="005F6BA1"/>
    <w:rsid w:val="005F75E3"/>
    <w:rsid w:val="006018CD"/>
    <w:rsid w:val="00602809"/>
    <w:rsid w:val="00602DCA"/>
    <w:rsid w:val="00605AE5"/>
    <w:rsid w:val="00607289"/>
    <w:rsid w:val="00607C65"/>
    <w:rsid w:val="006123E6"/>
    <w:rsid w:val="00612D36"/>
    <w:rsid w:val="00612D8C"/>
    <w:rsid w:val="006169B7"/>
    <w:rsid w:val="00617A1C"/>
    <w:rsid w:val="0062177B"/>
    <w:rsid w:val="006220FB"/>
    <w:rsid w:val="006224D1"/>
    <w:rsid w:val="00624EAF"/>
    <w:rsid w:val="006251CC"/>
    <w:rsid w:val="006327FF"/>
    <w:rsid w:val="006335A0"/>
    <w:rsid w:val="00635AFD"/>
    <w:rsid w:val="0063613F"/>
    <w:rsid w:val="0063667F"/>
    <w:rsid w:val="0063785B"/>
    <w:rsid w:val="00640449"/>
    <w:rsid w:val="00644ACA"/>
    <w:rsid w:val="00645991"/>
    <w:rsid w:val="006500B0"/>
    <w:rsid w:val="00650FCE"/>
    <w:rsid w:val="00652FAA"/>
    <w:rsid w:val="0065318D"/>
    <w:rsid w:val="006543BF"/>
    <w:rsid w:val="00655CBA"/>
    <w:rsid w:val="00656F3F"/>
    <w:rsid w:val="0065734C"/>
    <w:rsid w:val="00657E84"/>
    <w:rsid w:val="006656DB"/>
    <w:rsid w:val="006705EF"/>
    <w:rsid w:val="006711A1"/>
    <w:rsid w:val="00671386"/>
    <w:rsid w:val="006715BF"/>
    <w:rsid w:val="00673A06"/>
    <w:rsid w:val="006756DD"/>
    <w:rsid w:val="00677EED"/>
    <w:rsid w:val="00685FF0"/>
    <w:rsid w:val="006906CF"/>
    <w:rsid w:val="006911F9"/>
    <w:rsid w:val="00694068"/>
    <w:rsid w:val="0069480C"/>
    <w:rsid w:val="00694969"/>
    <w:rsid w:val="00697359"/>
    <w:rsid w:val="006A194D"/>
    <w:rsid w:val="006A1CA0"/>
    <w:rsid w:val="006A1E63"/>
    <w:rsid w:val="006A3112"/>
    <w:rsid w:val="006A676C"/>
    <w:rsid w:val="006B2260"/>
    <w:rsid w:val="006B5BC5"/>
    <w:rsid w:val="006B7905"/>
    <w:rsid w:val="006C39A5"/>
    <w:rsid w:val="006C4C78"/>
    <w:rsid w:val="006C55B5"/>
    <w:rsid w:val="006C6383"/>
    <w:rsid w:val="006D01DC"/>
    <w:rsid w:val="006D1DF4"/>
    <w:rsid w:val="006D3D6F"/>
    <w:rsid w:val="006D4011"/>
    <w:rsid w:val="006D46EA"/>
    <w:rsid w:val="006D4EBD"/>
    <w:rsid w:val="006D59F0"/>
    <w:rsid w:val="006D6272"/>
    <w:rsid w:val="006D6539"/>
    <w:rsid w:val="006D6917"/>
    <w:rsid w:val="006D6DCE"/>
    <w:rsid w:val="006E1889"/>
    <w:rsid w:val="006E694C"/>
    <w:rsid w:val="006F0BAA"/>
    <w:rsid w:val="006F3765"/>
    <w:rsid w:val="006F4C95"/>
    <w:rsid w:val="006F5455"/>
    <w:rsid w:val="006F5F61"/>
    <w:rsid w:val="006F64BF"/>
    <w:rsid w:val="006F7485"/>
    <w:rsid w:val="006F7669"/>
    <w:rsid w:val="007016FB"/>
    <w:rsid w:val="00702813"/>
    <w:rsid w:val="00704545"/>
    <w:rsid w:val="007049CF"/>
    <w:rsid w:val="00706713"/>
    <w:rsid w:val="00706759"/>
    <w:rsid w:val="00707D06"/>
    <w:rsid w:val="007100ED"/>
    <w:rsid w:val="007119C9"/>
    <w:rsid w:val="00712864"/>
    <w:rsid w:val="007179D7"/>
    <w:rsid w:val="0072019E"/>
    <w:rsid w:val="007227A8"/>
    <w:rsid w:val="007270CD"/>
    <w:rsid w:val="00733E3D"/>
    <w:rsid w:val="00737F19"/>
    <w:rsid w:val="00744170"/>
    <w:rsid w:val="00747772"/>
    <w:rsid w:val="00750CE6"/>
    <w:rsid w:val="00753613"/>
    <w:rsid w:val="00754676"/>
    <w:rsid w:val="007573D2"/>
    <w:rsid w:val="007575F7"/>
    <w:rsid w:val="007610E6"/>
    <w:rsid w:val="00764470"/>
    <w:rsid w:val="007645A4"/>
    <w:rsid w:val="00764FD4"/>
    <w:rsid w:val="0077005C"/>
    <w:rsid w:val="007721A2"/>
    <w:rsid w:val="00774F91"/>
    <w:rsid w:val="007752BB"/>
    <w:rsid w:val="0077697B"/>
    <w:rsid w:val="00777592"/>
    <w:rsid w:val="00777AC2"/>
    <w:rsid w:val="00780AE2"/>
    <w:rsid w:val="0078768E"/>
    <w:rsid w:val="00787988"/>
    <w:rsid w:val="00790EAD"/>
    <w:rsid w:val="00791BC3"/>
    <w:rsid w:val="0079281E"/>
    <w:rsid w:val="0079393A"/>
    <w:rsid w:val="0079535D"/>
    <w:rsid w:val="00795D2C"/>
    <w:rsid w:val="00796230"/>
    <w:rsid w:val="0079709B"/>
    <w:rsid w:val="00797D7E"/>
    <w:rsid w:val="007A0164"/>
    <w:rsid w:val="007A1805"/>
    <w:rsid w:val="007A2065"/>
    <w:rsid w:val="007A3406"/>
    <w:rsid w:val="007A3F49"/>
    <w:rsid w:val="007A4266"/>
    <w:rsid w:val="007A5121"/>
    <w:rsid w:val="007A5ECB"/>
    <w:rsid w:val="007A6C64"/>
    <w:rsid w:val="007A777C"/>
    <w:rsid w:val="007B3D5D"/>
    <w:rsid w:val="007B4B74"/>
    <w:rsid w:val="007C37E5"/>
    <w:rsid w:val="007C45F5"/>
    <w:rsid w:val="007C5C6B"/>
    <w:rsid w:val="007C624D"/>
    <w:rsid w:val="007C6412"/>
    <w:rsid w:val="007C6694"/>
    <w:rsid w:val="007C6D84"/>
    <w:rsid w:val="007D20DF"/>
    <w:rsid w:val="007D3FF9"/>
    <w:rsid w:val="007D6C8F"/>
    <w:rsid w:val="007D75CA"/>
    <w:rsid w:val="007E06B1"/>
    <w:rsid w:val="007E4306"/>
    <w:rsid w:val="007E55F7"/>
    <w:rsid w:val="007E61D7"/>
    <w:rsid w:val="007E63DB"/>
    <w:rsid w:val="007E6476"/>
    <w:rsid w:val="007E68A8"/>
    <w:rsid w:val="007F01C8"/>
    <w:rsid w:val="007F328E"/>
    <w:rsid w:val="007F4E5E"/>
    <w:rsid w:val="007F6820"/>
    <w:rsid w:val="00800FAB"/>
    <w:rsid w:val="00801440"/>
    <w:rsid w:val="008034C2"/>
    <w:rsid w:val="0080371F"/>
    <w:rsid w:val="00804234"/>
    <w:rsid w:val="00805CCF"/>
    <w:rsid w:val="008079B7"/>
    <w:rsid w:val="00810561"/>
    <w:rsid w:val="00816265"/>
    <w:rsid w:val="00816375"/>
    <w:rsid w:val="00816B53"/>
    <w:rsid w:val="00820A3D"/>
    <w:rsid w:val="00820F17"/>
    <w:rsid w:val="00823213"/>
    <w:rsid w:val="00824069"/>
    <w:rsid w:val="0082479F"/>
    <w:rsid w:val="00824A2F"/>
    <w:rsid w:val="008300DF"/>
    <w:rsid w:val="00832BE9"/>
    <w:rsid w:val="00832C8F"/>
    <w:rsid w:val="008333B6"/>
    <w:rsid w:val="00833DF8"/>
    <w:rsid w:val="00833E43"/>
    <w:rsid w:val="00835774"/>
    <w:rsid w:val="008420C8"/>
    <w:rsid w:val="008432A9"/>
    <w:rsid w:val="00856355"/>
    <w:rsid w:val="0085786E"/>
    <w:rsid w:val="0086030B"/>
    <w:rsid w:val="0086236C"/>
    <w:rsid w:val="00862B75"/>
    <w:rsid w:val="00863FD8"/>
    <w:rsid w:val="008660FD"/>
    <w:rsid w:val="008666D7"/>
    <w:rsid w:val="00871727"/>
    <w:rsid w:val="0087273E"/>
    <w:rsid w:val="008735F3"/>
    <w:rsid w:val="00873AF4"/>
    <w:rsid w:val="00873F73"/>
    <w:rsid w:val="00874E8F"/>
    <w:rsid w:val="00880AE8"/>
    <w:rsid w:val="00881399"/>
    <w:rsid w:val="008859EE"/>
    <w:rsid w:val="00885B0C"/>
    <w:rsid w:val="0088744A"/>
    <w:rsid w:val="00887E95"/>
    <w:rsid w:val="00890335"/>
    <w:rsid w:val="008903C8"/>
    <w:rsid w:val="00890822"/>
    <w:rsid w:val="00890AF6"/>
    <w:rsid w:val="00893576"/>
    <w:rsid w:val="00894BF4"/>
    <w:rsid w:val="008A5864"/>
    <w:rsid w:val="008B10F3"/>
    <w:rsid w:val="008B1170"/>
    <w:rsid w:val="008B1A7B"/>
    <w:rsid w:val="008B77B7"/>
    <w:rsid w:val="008B7A82"/>
    <w:rsid w:val="008C1176"/>
    <w:rsid w:val="008C1268"/>
    <w:rsid w:val="008C161E"/>
    <w:rsid w:val="008C55C4"/>
    <w:rsid w:val="008C7710"/>
    <w:rsid w:val="008D0796"/>
    <w:rsid w:val="008D11E8"/>
    <w:rsid w:val="008D237D"/>
    <w:rsid w:val="008D313A"/>
    <w:rsid w:val="008D3F83"/>
    <w:rsid w:val="008D5D7A"/>
    <w:rsid w:val="008E0C60"/>
    <w:rsid w:val="008E186C"/>
    <w:rsid w:val="008E54F0"/>
    <w:rsid w:val="008E656C"/>
    <w:rsid w:val="008E706B"/>
    <w:rsid w:val="008E7600"/>
    <w:rsid w:val="008F2D94"/>
    <w:rsid w:val="008F2F2B"/>
    <w:rsid w:val="008F444E"/>
    <w:rsid w:val="008F549A"/>
    <w:rsid w:val="008F6630"/>
    <w:rsid w:val="009035C0"/>
    <w:rsid w:val="00903A85"/>
    <w:rsid w:val="009040D9"/>
    <w:rsid w:val="00905ECB"/>
    <w:rsid w:val="0090633C"/>
    <w:rsid w:val="00907335"/>
    <w:rsid w:val="00907815"/>
    <w:rsid w:val="00913C91"/>
    <w:rsid w:val="00913EC0"/>
    <w:rsid w:val="00915B3C"/>
    <w:rsid w:val="00920A76"/>
    <w:rsid w:val="00920C97"/>
    <w:rsid w:val="00922F73"/>
    <w:rsid w:val="009243E8"/>
    <w:rsid w:val="00927400"/>
    <w:rsid w:val="00927CD9"/>
    <w:rsid w:val="00927E31"/>
    <w:rsid w:val="00930C4B"/>
    <w:rsid w:val="00931991"/>
    <w:rsid w:val="00932582"/>
    <w:rsid w:val="00936ABD"/>
    <w:rsid w:val="00941061"/>
    <w:rsid w:val="00943499"/>
    <w:rsid w:val="009458C0"/>
    <w:rsid w:val="00945D02"/>
    <w:rsid w:val="00950D65"/>
    <w:rsid w:val="0095347E"/>
    <w:rsid w:val="009534D4"/>
    <w:rsid w:val="00954181"/>
    <w:rsid w:val="00954A44"/>
    <w:rsid w:val="009551BA"/>
    <w:rsid w:val="00955BB1"/>
    <w:rsid w:val="009562A6"/>
    <w:rsid w:val="00961A20"/>
    <w:rsid w:val="00966850"/>
    <w:rsid w:val="00971AFB"/>
    <w:rsid w:val="009771B6"/>
    <w:rsid w:val="00977B14"/>
    <w:rsid w:val="0098002F"/>
    <w:rsid w:val="00981808"/>
    <w:rsid w:val="0098267C"/>
    <w:rsid w:val="0098388D"/>
    <w:rsid w:val="009878C9"/>
    <w:rsid w:val="00990C8B"/>
    <w:rsid w:val="00991164"/>
    <w:rsid w:val="00992401"/>
    <w:rsid w:val="00995CF9"/>
    <w:rsid w:val="009A089F"/>
    <w:rsid w:val="009A5019"/>
    <w:rsid w:val="009A5857"/>
    <w:rsid w:val="009A6078"/>
    <w:rsid w:val="009B0362"/>
    <w:rsid w:val="009B188B"/>
    <w:rsid w:val="009B4629"/>
    <w:rsid w:val="009B4A22"/>
    <w:rsid w:val="009B6DC5"/>
    <w:rsid w:val="009C55D3"/>
    <w:rsid w:val="009D1D22"/>
    <w:rsid w:val="009D30F9"/>
    <w:rsid w:val="009D3967"/>
    <w:rsid w:val="009D4468"/>
    <w:rsid w:val="009D5009"/>
    <w:rsid w:val="009D6DFF"/>
    <w:rsid w:val="009D748E"/>
    <w:rsid w:val="009E23AF"/>
    <w:rsid w:val="009E32AE"/>
    <w:rsid w:val="009E4CF5"/>
    <w:rsid w:val="009F0173"/>
    <w:rsid w:val="009F037A"/>
    <w:rsid w:val="009F2569"/>
    <w:rsid w:val="009F3A4C"/>
    <w:rsid w:val="009F536E"/>
    <w:rsid w:val="009F541D"/>
    <w:rsid w:val="009F5BCE"/>
    <w:rsid w:val="009F704E"/>
    <w:rsid w:val="00A006DF"/>
    <w:rsid w:val="00A00D49"/>
    <w:rsid w:val="00A045D5"/>
    <w:rsid w:val="00A06615"/>
    <w:rsid w:val="00A1309E"/>
    <w:rsid w:val="00A15952"/>
    <w:rsid w:val="00A16145"/>
    <w:rsid w:val="00A17A41"/>
    <w:rsid w:val="00A21644"/>
    <w:rsid w:val="00A26771"/>
    <w:rsid w:val="00A26B4E"/>
    <w:rsid w:val="00A26BAD"/>
    <w:rsid w:val="00A30FE5"/>
    <w:rsid w:val="00A3404F"/>
    <w:rsid w:val="00A362CC"/>
    <w:rsid w:val="00A36CC9"/>
    <w:rsid w:val="00A3797D"/>
    <w:rsid w:val="00A37E8E"/>
    <w:rsid w:val="00A40131"/>
    <w:rsid w:val="00A428A0"/>
    <w:rsid w:val="00A43D0F"/>
    <w:rsid w:val="00A464DE"/>
    <w:rsid w:val="00A5108F"/>
    <w:rsid w:val="00A511FF"/>
    <w:rsid w:val="00A519A0"/>
    <w:rsid w:val="00A51D53"/>
    <w:rsid w:val="00A5257A"/>
    <w:rsid w:val="00A53301"/>
    <w:rsid w:val="00A53F86"/>
    <w:rsid w:val="00A5613B"/>
    <w:rsid w:val="00A64B08"/>
    <w:rsid w:val="00A73276"/>
    <w:rsid w:val="00A7560F"/>
    <w:rsid w:val="00A77396"/>
    <w:rsid w:val="00A81EB0"/>
    <w:rsid w:val="00A86BD3"/>
    <w:rsid w:val="00A8786B"/>
    <w:rsid w:val="00A87F84"/>
    <w:rsid w:val="00A91CD5"/>
    <w:rsid w:val="00A962AE"/>
    <w:rsid w:val="00A9677C"/>
    <w:rsid w:val="00AA1E0B"/>
    <w:rsid w:val="00AA224D"/>
    <w:rsid w:val="00AA7689"/>
    <w:rsid w:val="00AB1383"/>
    <w:rsid w:val="00AB1952"/>
    <w:rsid w:val="00AB1D7D"/>
    <w:rsid w:val="00AB48D8"/>
    <w:rsid w:val="00AB5F9D"/>
    <w:rsid w:val="00AB792D"/>
    <w:rsid w:val="00AB7C5C"/>
    <w:rsid w:val="00AC00EE"/>
    <w:rsid w:val="00AC0357"/>
    <w:rsid w:val="00AC08FE"/>
    <w:rsid w:val="00AC22EE"/>
    <w:rsid w:val="00AC3EB5"/>
    <w:rsid w:val="00AC7D09"/>
    <w:rsid w:val="00AD0FFF"/>
    <w:rsid w:val="00AD1CC1"/>
    <w:rsid w:val="00AD1E83"/>
    <w:rsid w:val="00AD3632"/>
    <w:rsid w:val="00AD39CF"/>
    <w:rsid w:val="00AD3F44"/>
    <w:rsid w:val="00AD46B9"/>
    <w:rsid w:val="00AD6422"/>
    <w:rsid w:val="00AD79A8"/>
    <w:rsid w:val="00AE063A"/>
    <w:rsid w:val="00AE32E5"/>
    <w:rsid w:val="00AE5E33"/>
    <w:rsid w:val="00AE735C"/>
    <w:rsid w:val="00AF2BEB"/>
    <w:rsid w:val="00AF318A"/>
    <w:rsid w:val="00AF31A1"/>
    <w:rsid w:val="00AF5774"/>
    <w:rsid w:val="00AF5F21"/>
    <w:rsid w:val="00AF6DB0"/>
    <w:rsid w:val="00B00D76"/>
    <w:rsid w:val="00B02278"/>
    <w:rsid w:val="00B03430"/>
    <w:rsid w:val="00B03F21"/>
    <w:rsid w:val="00B05E4D"/>
    <w:rsid w:val="00B06D1E"/>
    <w:rsid w:val="00B120B9"/>
    <w:rsid w:val="00B13066"/>
    <w:rsid w:val="00B1346F"/>
    <w:rsid w:val="00B1589C"/>
    <w:rsid w:val="00B1616D"/>
    <w:rsid w:val="00B17F6C"/>
    <w:rsid w:val="00B20DF2"/>
    <w:rsid w:val="00B20EFC"/>
    <w:rsid w:val="00B2393C"/>
    <w:rsid w:val="00B23C01"/>
    <w:rsid w:val="00B26D8E"/>
    <w:rsid w:val="00B275C2"/>
    <w:rsid w:val="00B30403"/>
    <w:rsid w:val="00B309A6"/>
    <w:rsid w:val="00B30B1D"/>
    <w:rsid w:val="00B3149D"/>
    <w:rsid w:val="00B32474"/>
    <w:rsid w:val="00B33563"/>
    <w:rsid w:val="00B34890"/>
    <w:rsid w:val="00B350F5"/>
    <w:rsid w:val="00B35A93"/>
    <w:rsid w:val="00B36E85"/>
    <w:rsid w:val="00B4255C"/>
    <w:rsid w:val="00B44BBC"/>
    <w:rsid w:val="00B50DE0"/>
    <w:rsid w:val="00B52461"/>
    <w:rsid w:val="00B52DCB"/>
    <w:rsid w:val="00B54FC1"/>
    <w:rsid w:val="00B57082"/>
    <w:rsid w:val="00B64153"/>
    <w:rsid w:val="00B65082"/>
    <w:rsid w:val="00B701B7"/>
    <w:rsid w:val="00B717D2"/>
    <w:rsid w:val="00B741A9"/>
    <w:rsid w:val="00B80184"/>
    <w:rsid w:val="00B80BE8"/>
    <w:rsid w:val="00B86B8B"/>
    <w:rsid w:val="00B9520E"/>
    <w:rsid w:val="00BA0AF4"/>
    <w:rsid w:val="00BA2ECD"/>
    <w:rsid w:val="00BA7CA7"/>
    <w:rsid w:val="00BB1395"/>
    <w:rsid w:val="00BB2A5F"/>
    <w:rsid w:val="00BB2E0A"/>
    <w:rsid w:val="00BC3A1F"/>
    <w:rsid w:val="00BC6874"/>
    <w:rsid w:val="00BC7A1D"/>
    <w:rsid w:val="00BC7F0E"/>
    <w:rsid w:val="00BD187D"/>
    <w:rsid w:val="00BD2FEE"/>
    <w:rsid w:val="00BD300C"/>
    <w:rsid w:val="00BD697E"/>
    <w:rsid w:val="00BE4DAB"/>
    <w:rsid w:val="00BE59A3"/>
    <w:rsid w:val="00BE65DC"/>
    <w:rsid w:val="00BE7ED9"/>
    <w:rsid w:val="00BF07F9"/>
    <w:rsid w:val="00BF0A19"/>
    <w:rsid w:val="00BF3088"/>
    <w:rsid w:val="00BF52BD"/>
    <w:rsid w:val="00C05DA4"/>
    <w:rsid w:val="00C10DA8"/>
    <w:rsid w:val="00C114CE"/>
    <w:rsid w:val="00C11D7D"/>
    <w:rsid w:val="00C14BC9"/>
    <w:rsid w:val="00C16A6A"/>
    <w:rsid w:val="00C17804"/>
    <w:rsid w:val="00C202B8"/>
    <w:rsid w:val="00C208D5"/>
    <w:rsid w:val="00C210E4"/>
    <w:rsid w:val="00C21871"/>
    <w:rsid w:val="00C24CF0"/>
    <w:rsid w:val="00C32FBC"/>
    <w:rsid w:val="00C34DAD"/>
    <w:rsid w:val="00C369B9"/>
    <w:rsid w:val="00C42361"/>
    <w:rsid w:val="00C42FD0"/>
    <w:rsid w:val="00C440F5"/>
    <w:rsid w:val="00C5522A"/>
    <w:rsid w:val="00C60482"/>
    <w:rsid w:val="00C6299C"/>
    <w:rsid w:val="00C65BFB"/>
    <w:rsid w:val="00C66046"/>
    <w:rsid w:val="00C66B9D"/>
    <w:rsid w:val="00C761B8"/>
    <w:rsid w:val="00C77143"/>
    <w:rsid w:val="00C7744F"/>
    <w:rsid w:val="00C85F20"/>
    <w:rsid w:val="00C8657B"/>
    <w:rsid w:val="00CA3A1E"/>
    <w:rsid w:val="00CA425C"/>
    <w:rsid w:val="00CA45DC"/>
    <w:rsid w:val="00CA4792"/>
    <w:rsid w:val="00CA5DF7"/>
    <w:rsid w:val="00CA7060"/>
    <w:rsid w:val="00CB0C16"/>
    <w:rsid w:val="00CB1E26"/>
    <w:rsid w:val="00CB26F6"/>
    <w:rsid w:val="00CB370A"/>
    <w:rsid w:val="00CB6DD7"/>
    <w:rsid w:val="00CB748B"/>
    <w:rsid w:val="00CB74B5"/>
    <w:rsid w:val="00CB75A8"/>
    <w:rsid w:val="00CC0A23"/>
    <w:rsid w:val="00CC4A6B"/>
    <w:rsid w:val="00CC4EF6"/>
    <w:rsid w:val="00CC58B6"/>
    <w:rsid w:val="00CC7972"/>
    <w:rsid w:val="00CD2C81"/>
    <w:rsid w:val="00CD33B6"/>
    <w:rsid w:val="00CD3C31"/>
    <w:rsid w:val="00CD405A"/>
    <w:rsid w:val="00CD416E"/>
    <w:rsid w:val="00CD6BC7"/>
    <w:rsid w:val="00CE350A"/>
    <w:rsid w:val="00CE39C0"/>
    <w:rsid w:val="00CE717C"/>
    <w:rsid w:val="00CE7AD5"/>
    <w:rsid w:val="00CF0BFF"/>
    <w:rsid w:val="00CF2EA8"/>
    <w:rsid w:val="00D00A1F"/>
    <w:rsid w:val="00D038FA"/>
    <w:rsid w:val="00D1256F"/>
    <w:rsid w:val="00D1296B"/>
    <w:rsid w:val="00D152D6"/>
    <w:rsid w:val="00D1745A"/>
    <w:rsid w:val="00D174DE"/>
    <w:rsid w:val="00D208AE"/>
    <w:rsid w:val="00D25387"/>
    <w:rsid w:val="00D25A2D"/>
    <w:rsid w:val="00D329DF"/>
    <w:rsid w:val="00D3486D"/>
    <w:rsid w:val="00D408FE"/>
    <w:rsid w:val="00D429DD"/>
    <w:rsid w:val="00D42C6A"/>
    <w:rsid w:val="00D4309D"/>
    <w:rsid w:val="00D52CDE"/>
    <w:rsid w:val="00D54BF5"/>
    <w:rsid w:val="00D569BA"/>
    <w:rsid w:val="00D56DBB"/>
    <w:rsid w:val="00D576B5"/>
    <w:rsid w:val="00D6006D"/>
    <w:rsid w:val="00D61DAD"/>
    <w:rsid w:val="00D61F69"/>
    <w:rsid w:val="00D62350"/>
    <w:rsid w:val="00D700E2"/>
    <w:rsid w:val="00D72C52"/>
    <w:rsid w:val="00D7438F"/>
    <w:rsid w:val="00D7735D"/>
    <w:rsid w:val="00D77F6D"/>
    <w:rsid w:val="00D81C53"/>
    <w:rsid w:val="00D83286"/>
    <w:rsid w:val="00D8738E"/>
    <w:rsid w:val="00D9026B"/>
    <w:rsid w:val="00D91903"/>
    <w:rsid w:val="00D91EDB"/>
    <w:rsid w:val="00D9358E"/>
    <w:rsid w:val="00D95105"/>
    <w:rsid w:val="00D965A6"/>
    <w:rsid w:val="00D9720D"/>
    <w:rsid w:val="00DA2D50"/>
    <w:rsid w:val="00DA4436"/>
    <w:rsid w:val="00DB20F7"/>
    <w:rsid w:val="00DB439E"/>
    <w:rsid w:val="00DC1DEC"/>
    <w:rsid w:val="00DC3FFC"/>
    <w:rsid w:val="00DC40B8"/>
    <w:rsid w:val="00DC4D83"/>
    <w:rsid w:val="00DC5C13"/>
    <w:rsid w:val="00DC67A1"/>
    <w:rsid w:val="00DC7125"/>
    <w:rsid w:val="00DC75DA"/>
    <w:rsid w:val="00DD0A62"/>
    <w:rsid w:val="00DD42EA"/>
    <w:rsid w:val="00DD5D6A"/>
    <w:rsid w:val="00DD66CD"/>
    <w:rsid w:val="00DE04B2"/>
    <w:rsid w:val="00DE1E2E"/>
    <w:rsid w:val="00DE2D26"/>
    <w:rsid w:val="00DE33C2"/>
    <w:rsid w:val="00DE615A"/>
    <w:rsid w:val="00DF2C91"/>
    <w:rsid w:val="00DF352F"/>
    <w:rsid w:val="00DF40B9"/>
    <w:rsid w:val="00DF53CC"/>
    <w:rsid w:val="00DF5575"/>
    <w:rsid w:val="00DF62CE"/>
    <w:rsid w:val="00DF6CB9"/>
    <w:rsid w:val="00DF7883"/>
    <w:rsid w:val="00E02D4C"/>
    <w:rsid w:val="00E069D2"/>
    <w:rsid w:val="00E103DE"/>
    <w:rsid w:val="00E118FD"/>
    <w:rsid w:val="00E11AC9"/>
    <w:rsid w:val="00E14D35"/>
    <w:rsid w:val="00E1526C"/>
    <w:rsid w:val="00E166FB"/>
    <w:rsid w:val="00E213AC"/>
    <w:rsid w:val="00E218F0"/>
    <w:rsid w:val="00E22094"/>
    <w:rsid w:val="00E2486D"/>
    <w:rsid w:val="00E2496A"/>
    <w:rsid w:val="00E253B9"/>
    <w:rsid w:val="00E2587C"/>
    <w:rsid w:val="00E25EA8"/>
    <w:rsid w:val="00E3272D"/>
    <w:rsid w:val="00E3286E"/>
    <w:rsid w:val="00E359EC"/>
    <w:rsid w:val="00E36D63"/>
    <w:rsid w:val="00E371FE"/>
    <w:rsid w:val="00E4659E"/>
    <w:rsid w:val="00E53A74"/>
    <w:rsid w:val="00E54C8F"/>
    <w:rsid w:val="00E630B7"/>
    <w:rsid w:val="00E6331A"/>
    <w:rsid w:val="00E65AFB"/>
    <w:rsid w:val="00E65D63"/>
    <w:rsid w:val="00E66CA6"/>
    <w:rsid w:val="00E66DC4"/>
    <w:rsid w:val="00E76E58"/>
    <w:rsid w:val="00E773BB"/>
    <w:rsid w:val="00E804B1"/>
    <w:rsid w:val="00E8263D"/>
    <w:rsid w:val="00E844D1"/>
    <w:rsid w:val="00E84B20"/>
    <w:rsid w:val="00E8654C"/>
    <w:rsid w:val="00E8679C"/>
    <w:rsid w:val="00E8715F"/>
    <w:rsid w:val="00E8773F"/>
    <w:rsid w:val="00E901B7"/>
    <w:rsid w:val="00E91369"/>
    <w:rsid w:val="00E93A48"/>
    <w:rsid w:val="00E9638C"/>
    <w:rsid w:val="00E96942"/>
    <w:rsid w:val="00E97A67"/>
    <w:rsid w:val="00EA3DE7"/>
    <w:rsid w:val="00EA64F3"/>
    <w:rsid w:val="00EB04F2"/>
    <w:rsid w:val="00EB0BE9"/>
    <w:rsid w:val="00EB308A"/>
    <w:rsid w:val="00EB44C7"/>
    <w:rsid w:val="00EB468F"/>
    <w:rsid w:val="00EB60B2"/>
    <w:rsid w:val="00EB611F"/>
    <w:rsid w:val="00EC1630"/>
    <w:rsid w:val="00EC24C8"/>
    <w:rsid w:val="00EC26FA"/>
    <w:rsid w:val="00EC2955"/>
    <w:rsid w:val="00EC402D"/>
    <w:rsid w:val="00ED1863"/>
    <w:rsid w:val="00ED19B7"/>
    <w:rsid w:val="00ED468B"/>
    <w:rsid w:val="00ED5B73"/>
    <w:rsid w:val="00ED7E23"/>
    <w:rsid w:val="00EE4194"/>
    <w:rsid w:val="00EE4E97"/>
    <w:rsid w:val="00EE4F91"/>
    <w:rsid w:val="00EE5168"/>
    <w:rsid w:val="00EE5938"/>
    <w:rsid w:val="00EE6B87"/>
    <w:rsid w:val="00EE71AF"/>
    <w:rsid w:val="00EE7AFF"/>
    <w:rsid w:val="00EF58E6"/>
    <w:rsid w:val="00EF59E8"/>
    <w:rsid w:val="00EF6538"/>
    <w:rsid w:val="00EF6A20"/>
    <w:rsid w:val="00EF7950"/>
    <w:rsid w:val="00F03088"/>
    <w:rsid w:val="00F034F9"/>
    <w:rsid w:val="00F05AD7"/>
    <w:rsid w:val="00F06F4D"/>
    <w:rsid w:val="00F1118D"/>
    <w:rsid w:val="00F11915"/>
    <w:rsid w:val="00F11B72"/>
    <w:rsid w:val="00F12B43"/>
    <w:rsid w:val="00F1319A"/>
    <w:rsid w:val="00F14536"/>
    <w:rsid w:val="00F1536D"/>
    <w:rsid w:val="00F2110C"/>
    <w:rsid w:val="00F21963"/>
    <w:rsid w:val="00F22097"/>
    <w:rsid w:val="00F22657"/>
    <w:rsid w:val="00F228A9"/>
    <w:rsid w:val="00F22A5A"/>
    <w:rsid w:val="00F24A78"/>
    <w:rsid w:val="00F26DB2"/>
    <w:rsid w:val="00F270DB"/>
    <w:rsid w:val="00F30C5E"/>
    <w:rsid w:val="00F31CF6"/>
    <w:rsid w:val="00F3221D"/>
    <w:rsid w:val="00F40D6F"/>
    <w:rsid w:val="00F41293"/>
    <w:rsid w:val="00F41F81"/>
    <w:rsid w:val="00F429E4"/>
    <w:rsid w:val="00F43E09"/>
    <w:rsid w:val="00F4643F"/>
    <w:rsid w:val="00F506A5"/>
    <w:rsid w:val="00F50AE0"/>
    <w:rsid w:val="00F51132"/>
    <w:rsid w:val="00F5175A"/>
    <w:rsid w:val="00F53900"/>
    <w:rsid w:val="00F5477C"/>
    <w:rsid w:val="00F55540"/>
    <w:rsid w:val="00F57CFE"/>
    <w:rsid w:val="00F639E3"/>
    <w:rsid w:val="00F657DA"/>
    <w:rsid w:val="00F66F31"/>
    <w:rsid w:val="00F73B8E"/>
    <w:rsid w:val="00F7435C"/>
    <w:rsid w:val="00F77967"/>
    <w:rsid w:val="00F844EB"/>
    <w:rsid w:val="00F85889"/>
    <w:rsid w:val="00F85939"/>
    <w:rsid w:val="00F86330"/>
    <w:rsid w:val="00F877F1"/>
    <w:rsid w:val="00F87DE8"/>
    <w:rsid w:val="00F9062D"/>
    <w:rsid w:val="00F90DA0"/>
    <w:rsid w:val="00F91625"/>
    <w:rsid w:val="00F91D32"/>
    <w:rsid w:val="00F92321"/>
    <w:rsid w:val="00FA0D47"/>
    <w:rsid w:val="00FA0F16"/>
    <w:rsid w:val="00FA5BEC"/>
    <w:rsid w:val="00FB13E0"/>
    <w:rsid w:val="00FB27CE"/>
    <w:rsid w:val="00FB5192"/>
    <w:rsid w:val="00FC02BF"/>
    <w:rsid w:val="00FC1A2E"/>
    <w:rsid w:val="00FC2A79"/>
    <w:rsid w:val="00FC3A68"/>
    <w:rsid w:val="00FC3E1B"/>
    <w:rsid w:val="00FC413A"/>
    <w:rsid w:val="00FC4303"/>
    <w:rsid w:val="00FC4A26"/>
    <w:rsid w:val="00FC4A5A"/>
    <w:rsid w:val="00FC5A63"/>
    <w:rsid w:val="00FC68FD"/>
    <w:rsid w:val="00FD094F"/>
    <w:rsid w:val="00FD0F5F"/>
    <w:rsid w:val="00FD6FC6"/>
    <w:rsid w:val="00FE1942"/>
    <w:rsid w:val="00FE4849"/>
    <w:rsid w:val="00FE728C"/>
    <w:rsid w:val="00FE7B94"/>
    <w:rsid w:val="00FF22D6"/>
    <w:rsid w:val="00FF506D"/>
    <w:rsid w:val="00FF6326"/>
    <w:rsid w:val="00FF7413"/>
    <w:rsid w:val="01065E09"/>
    <w:rsid w:val="010A478A"/>
    <w:rsid w:val="010B22B0"/>
    <w:rsid w:val="010D6029"/>
    <w:rsid w:val="01143B6C"/>
    <w:rsid w:val="011C626C"/>
    <w:rsid w:val="01211B1D"/>
    <w:rsid w:val="012171BB"/>
    <w:rsid w:val="012C2953"/>
    <w:rsid w:val="013730A5"/>
    <w:rsid w:val="013B48B1"/>
    <w:rsid w:val="01437C9C"/>
    <w:rsid w:val="0147153B"/>
    <w:rsid w:val="01487061"/>
    <w:rsid w:val="015754F6"/>
    <w:rsid w:val="015C48BA"/>
    <w:rsid w:val="0179546C"/>
    <w:rsid w:val="017F5BBA"/>
    <w:rsid w:val="01853E11"/>
    <w:rsid w:val="018F4C90"/>
    <w:rsid w:val="019329D2"/>
    <w:rsid w:val="01933707"/>
    <w:rsid w:val="01934780"/>
    <w:rsid w:val="01A52705"/>
    <w:rsid w:val="01A85D51"/>
    <w:rsid w:val="01B35911"/>
    <w:rsid w:val="01B72A39"/>
    <w:rsid w:val="01BA61B0"/>
    <w:rsid w:val="01C42B8B"/>
    <w:rsid w:val="01C933F5"/>
    <w:rsid w:val="01CF7782"/>
    <w:rsid w:val="01D803E5"/>
    <w:rsid w:val="01D95F0B"/>
    <w:rsid w:val="01E274B5"/>
    <w:rsid w:val="01E74ACC"/>
    <w:rsid w:val="01E925F2"/>
    <w:rsid w:val="01FD42EF"/>
    <w:rsid w:val="01FE7F44"/>
    <w:rsid w:val="01FF2C60"/>
    <w:rsid w:val="02076F1C"/>
    <w:rsid w:val="0209797A"/>
    <w:rsid w:val="020E4D8C"/>
    <w:rsid w:val="020F7B7E"/>
    <w:rsid w:val="02105DD0"/>
    <w:rsid w:val="02121FCC"/>
    <w:rsid w:val="02181129"/>
    <w:rsid w:val="02247ACE"/>
    <w:rsid w:val="022E44A8"/>
    <w:rsid w:val="02317AF5"/>
    <w:rsid w:val="023870D5"/>
    <w:rsid w:val="02443CCC"/>
    <w:rsid w:val="024737BC"/>
    <w:rsid w:val="024912E2"/>
    <w:rsid w:val="02557C87"/>
    <w:rsid w:val="02584761"/>
    <w:rsid w:val="025A529E"/>
    <w:rsid w:val="0261487E"/>
    <w:rsid w:val="0267773A"/>
    <w:rsid w:val="02714395"/>
    <w:rsid w:val="028247F4"/>
    <w:rsid w:val="02832449"/>
    <w:rsid w:val="028440C8"/>
    <w:rsid w:val="0288005D"/>
    <w:rsid w:val="02885872"/>
    <w:rsid w:val="02897931"/>
    <w:rsid w:val="02936A01"/>
    <w:rsid w:val="0295277A"/>
    <w:rsid w:val="029A1B3E"/>
    <w:rsid w:val="02A429BD"/>
    <w:rsid w:val="02A91D81"/>
    <w:rsid w:val="02B0310F"/>
    <w:rsid w:val="02B32C00"/>
    <w:rsid w:val="02B7449E"/>
    <w:rsid w:val="02C449B1"/>
    <w:rsid w:val="02CB1CF7"/>
    <w:rsid w:val="02DA63DE"/>
    <w:rsid w:val="02DC5CB3"/>
    <w:rsid w:val="02E37041"/>
    <w:rsid w:val="02E4100B"/>
    <w:rsid w:val="02EA4873"/>
    <w:rsid w:val="02EB05EB"/>
    <w:rsid w:val="02EB4148"/>
    <w:rsid w:val="02ED7EC0"/>
    <w:rsid w:val="02F4124E"/>
    <w:rsid w:val="03015719"/>
    <w:rsid w:val="03062D2F"/>
    <w:rsid w:val="030E5CC5"/>
    <w:rsid w:val="03100052"/>
    <w:rsid w:val="031511C4"/>
    <w:rsid w:val="0317318F"/>
    <w:rsid w:val="032558AB"/>
    <w:rsid w:val="032D1BBB"/>
    <w:rsid w:val="03323B24"/>
    <w:rsid w:val="033E4BBF"/>
    <w:rsid w:val="033E5BAC"/>
    <w:rsid w:val="03497877"/>
    <w:rsid w:val="034A70C0"/>
    <w:rsid w:val="03546191"/>
    <w:rsid w:val="035B2972"/>
    <w:rsid w:val="035C5045"/>
    <w:rsid w:val="035E2B6B"/>
    <w:rsid w:val="035E4919"/>
    <w:rsid w:val="035E700F"/>
    <w:rsid w:val="036E3E22"/>
    <w:rsid w:val="036F6B27"/>
    <w:rsid w:val="03722461"/>
    <w:rsid w:val="037405E1"/>
    <w:rsid w:val="037E320E"/>
    <w:rsid w:val="03863E70"/>
    <w:rsid w:val="03870314"/>
    <w:rsid w:val="038C76D9"/>
    <w:rsid w:val="038D51FF"/>
    <w:rsid w:val="03914CEF"/>
    <w:rsid w:val="03960557"/>
    <w:rsid w:val="039B3DC0"/>
    <w:rsid w:val="03A52548"/>
    <w:rsid w:val="03B533D0"/>
    <w:rsid w:val="03C3096B"/>
    <w:rsid w:val="03CC058D"/>
    <w:rsid w:val="03D177E1"/>
    <w:rsid w:val="03DB240E"/>
    <w:rsid w:val="03E2379C"/>
    <w:rsid w:val="03E75194"/>
    <w:rsid w:val="03FA6D38"/>
    <w:rsid w:val="03FD4132"/>
    <w:rsid w:val="04043713"/>
    <w:rsid w:val="040A2CF3"/>
    <w:rsid w:val="040F3106"/>
    <w:rsid w:val="04180F6C"/>
    <w:rsid w:val="041871BE"/>
    <w:rsid w:val="041D6583"/>
    <w:rsid w:val="042F62B6"/>
    <w:rsid w:val="043164D2"/>
    <w:rsid w:val="044917CE"/>
    <w:rsid w:val="04514153"/>
    <w:rsid w:val="04536448"/>
    <w:rsid w:val="045B66AD"/>
    <w:rsid w:val="045D1075"/>
    <w:rsid w:val="04602913"/>
    <w:rsid w:val="04642403"/>
    <w:rsid w:val="046B3707"/>
    <w:rsid w:val="046F4F24"/>
    <w:rsid w:val="047343F5"/>
    <w:rsid w:val="04754611"/>
    <w:rsid w:val="047A5783"/>
    <w:rsid w:val="047CB217"/>
    <w:rsid w:val="04814D63"/>
    <w:rsid w:val="04820ADC"/>
    <w:rsid w:val="049251C3"/>
    <w:rsid w:val="04953D64"/>
    <w:rsid w:val="049727D9"/>
    <w:rsid w:val="049B394B"/>
    <w:rsid w:val="049C2BC5"/>
    <w:rsid w:val="04A24CDA"/>
    <w:rsid w:val="04A432D8"/>
    <w:rsid w:val="04AB741B"/>
    <w:rsid w:val="04BA2023"/>
    <w:rsid w:val="04BD7D66"/>
    <w:rsid w:val="04BE16A7"/>
    <w:rsid w:val="04C42826"/>
    <w:rsid w:val="04D04E1B"/>
    <w:rsid w:val="04DC01EC"/>
    <w:rsid w:val="04DC643E"/>
    <w:rsid w:val="04DD6A73"/>
    <w:rsid w:val="04E377CC"/>
    <w:rsid w:val="04EF1BCF"/>
    <w:rsid w:val="04F25C61"/>
    <w:rsid w:val="04F55751"/>
    <w:rsid w:val="05033049"/>
    <w:rsid w:val="05094D59"/>
    <w:rsid w:val="05137986"/>
    <w:rsid w:val="05157BA2"/>
    <w:rsid w:val="05242DC9"/>
    <w:rsid w:val="05263B5D"/>
    <w:rsid w:val="052B1173"/>
    <w:rsid w:val="052D0A47"/>
    <w:rsid w:val="0534627A"/>
    <w:rsid w:val="05467D5B"/>
    <w:rsid w:val="05571F68"/>
    <w:rsid w:val="056B1570"/>
    <w:rsid w:val="05704DD8"/>
    <w:rsid w:val="0571302A"/>
    <w:rsid w:val="05720B50"/>
    <w:rsid w:val="057448C8"/>
    <w:rsid w:val="05776166"/>
    <w:rsid w:val="058C1932"/>
    <w:rsid w:val="0591547A"/>
    <w:rsid w:val="0597561F"/>
    <w:rsid w:val="05B2719F"/>
    <w:rsid w:val="05B44CC5"/>
    <w:rsid w:val="05B922DB"/>
    <w:rsid w:val="05B9677F"/>
    <w:rsid w:val="05BB42A5"/>
    <w:rsid w:val="05BC001D"/>
    <w:rsid w:val="05C313AC"/>
    <w:rsid w:val="05CF7D50"/>
    <w:rsid w:val="05D15877"/>
    <w:rsid w:val="05D37841"/>
    <w:rsid w:val="05D45367"/>
    <w:rsid w:val="05D47115"/>
    <w:rsid w:val="05DB04A3"/>
    <w:rsid w:val="05E05ABA"/>
    <w:rsid w:val="05E355AA"/>
    <w:rsid w:val="05EF542E"/>
    <w:rsid w:val="05F25B5C"/>
    <w:rsid w:val="05F45A09"/>
    <w:rsid w:val="05F6352F"/>
    <w:rsid w:val="05FD666C"/>
    <w:rsid w:val="06007FA3"/>
    <w:rsid w:val="06055520"/>
    <w:rsid w:val="0633208D"/>
    <w:rsid w:val="0644419E"/>
    <w:rsid w:val="064804C2"/>
    <w:rsid w:val="064F2C3F"/>
    <w:rsid w:val="064F49ED"/>
    <w:rsid w:val="06500E91"/>
    <w:rsid w:val="06540256"/>
    <w:rsid w:val="065C0DC0"/>
    <w:rsid w:val="066372CC"/>
    <w:rsid w:val="06640499"/>
    <w:rsid w:val="0664493D"/>
    <w:rsid w:val="0671705A"/>
    <w:rsid w:val="06734B80"/>
    <w:rsid w:val="067B686D"/>
    <w:rsid w:val="0680104B"/>
    <w:rsid w:val="06832233"/>
    <w:rsid w:val="068A3C77"/>
    <w:rsid w:val="068A72B7"/>
    <w:rsid w:val="06955A9B"/>
    <w:rsid w:val="06A27213"/>
    <w:rsid w:val="06B07B82"/>
    <w:rsid w:val="06B244F7"/>
    <w:rsid w:val="06B37672"/>
    <w:rsid w:val="06C74ECC"/>
    <w:rsid w:val="06D05B2E"/>
    <w:rsid w:val="06DA075B"/>
    <w:rsid w:val="06DE46EF"/>
    <w:rsid w:val="06E23AB3"/>
    <w:rsid w:val="06EB0BBA"/>
    <w:rsid w:val="06EE2458"/>
    <w:rsid w:val="06F2019A"/>
    <w:rsid w:val="06F51A39"/>
    <w:rsid w:val="06F55595"/>
    <w:rsid w:val="06F62BBA"/>
    <w:rsid w:val="07126AB7"/>
    <w:rsid w:val="071D4AEC"/>
    <w:rsid w:val="072B545A"/>
    <w:rsid w:val="073201DF"/>
    <w:rsid w:val="0744651C"/>
    <w:rsid w:val="075524D7"/>
    <w:rsid w:val="076B1CFB"/>
    <w:rsid w:val="076D8683"/>
    <w:rsid w:val="07711A28"/>
    <w:rsid w:val="0774295E"/>
    <w:rsid w:val="0777297F"/>
    <w:rsid w:val="07794418"/>
    <w:rsid w:val="077D5F75"/>
    <w:rsid w:val="078057A6"/>
    <w:rsid w:val="078608E3"/>
    <w:rsid w:val="079C1EB4"/>
    <w:rsid w:val="07A75AB0"/>
    <w:rsid w:val="07AD5E6F"/>
    <w:rsid w:val="07B04F69"/>
    <w:rsid w:val="07BC2556"/>
    <w:rsid w:val="07BC60B3"/>
    <w:rsid w:val="07C02047"/>
    <w:rsid w:val="07C17B6D"/>
    <w:rsid w:val="07C26AB4"/>
    <w:rsid w:val="07CD206E"/>
    <w:rsid w:val="07CF228A"/>
    <w:rsid w:val="07D94EB6"/>
    <w:rsid w:val="07DC6755"/>
    <w:rsid w:val="07DE24CD"/>
    <w:rsid w:val="07E13D6B"/>
    <w:rsid w:val="07E5385B"/>
    <w:rsid w:val="07E8334B"/>
    <w:rsid w:val="07EC4BEA"/>
    <w:rsid w:val="07ED44BE"/>
    <w:rsid w:val="07EF46DA"/>
    <w:rsid w:val="07FE2B6F"/>
    <w:rsid w:val="07FE66CB"/>
    <w:rsid w:val="08030185"/>
    <w:rsid w:val="08033CE1"/>
    <w:rsid w:val="08057A5A"/>
    <w:rsid w:val="080C0DE8"/>
    <w:rsid w:val="08144141"/>
    <w:rsid w:val="08147C9D"/>
    <w:rsid w:val="082F0F7A"/>
    <w:rsid w:val="0831084F"/>
    <w:rsid w:val="083420ED"/>
    <w:rsid w:val="083E11BD"/>
    <w:rsid w:val="08624EAC"/>
    <w:rsid w:val="08626C5A"/>
    <w:rsid w:val="086A28C5"/>
    <w:rsid w:val="086C1887"/>
    <w:rsid w:val="08707CF7"/>
    <w:rsid w:val="08726929"/>
    <w:rsid w:val="087846CF"/>
    <w:rsid w:val="08931509"/>
    <w:rsid w:val="08A53712"/>
    <w:rsid w:val="08A92ADB"/>
    <w:rsid w:val="08A94889"/>
    <w:rsid w:val="08A954E5"/>
    <w:rsid w:val="08AC6127"/>
    <w:rsid w:val="08AE00F1"/>
    <w:rsid w:val="08B60D54"/>
    <w:rsid w:val="08B77DCB"/>
    <w:rsid w:val="08BC0A60"/>
    <w:rsid w:val="08C01BD2"/>
    <w:rsid w:val="08C23D5A"/>
    <w:rsid w:val="08C30964"/>
    <w:rsid w:val="08C55F20"/>
    <w:rsid w:val="08C77405"/>
    <w:rsid w:val="08CC67C9"/>
    <w:rsid w:val="08CE609D"/>
    <w:rsid w:val="08D35DAA"/>
    <w:rsid w:val="08D8516E"/>
    <w:rsid w:val="08DF2DD9"/>
    <w:rsid w:val="08EE7CFD"/>
    <w:rsid w:val="08F00960"/>
    <w:rsid w:val="08F24482"/>
    <w:rsid w:val="08F5187C"/>
    <w:rsid w:val="090D074B"/>
    <w:rsid w:val="0911242E"/>
    <w:rsid w:val="091B505B"/>
    <w:rsid w:val="091D640A"/>
    <w:rsid w:val="0921144B"/>
    <w:rsid w:val="092263E9"/>
    <w:rsid w:val="092D370C"/>
    <w:rsid w:val="092D54BA"/>
    <w:rsid w:val="09300B06"/>
    <w:rsid w:val="09383E5F"/>
    <w:rsid w:val="093A7BD7"/>
    <w:rsid w:val="093B5176"/>
    <w:rsid w:val="093D1475"/>
    <w:rsid w:val="09442803"/>
    <w:rsid w:val="094620D8"/>
    <w:rsid w:val="09646A02"/>
    <w:rsid w:val="096802A0"/>
    <w:rsid w:val="096A04BC"/>
    <w:rsid w:val="096B5FE2"/>
    <w:rsid w:val="096D3B08"/>
    <w:rsid w:val="096F5AD2"/>
    <w:rsid w:val="097A6225"/>
    <w:rsid w:val="097F1A8E"/>
    <w:rsid w:val="098B0432"/>
    <w:rsid w:val="098F7F23"/>
    <w:rsid w:val="09977E7C"/>
    <w:rsid w:val="099C263F"/>
    <w:rsid w:val="09A12173"/>
    <w:rsid w:val="09A432A2"/>
    <w:rsid w:val="09AD2157"/>
    <w:rsid w:val="09AD65FB"/>
    <w:rsid w:val="09B764E9"/>
    <w:rsid w:val="09B94F9F"/>
    <w:rsid w:val="09B96D4E"/>
    <w:rsid w:val="09C340D7"/>
    <w:rsid w:val="09C92704"/>
    <w:rsid w:val="09CD0A4B"/>
    <w:rsid w:val="09D516AE"/>
    <w:rsid w:val="09DB3168"/>
    <w:rsid w:val="09DD3CB7"/>
    <w:rsid w:val="09E240CC"/>
    <w:rsid w:val="09ED2377"/>
    <w:rsid w:val="09F14739"/>
    <w:rsid w:val="09F2400E"/>
    <w:rsid w:val="09F5235C"/>
    <w:rsid w:val="09FB7366"/>
    <w:rsid w:val="0A026946"/>
    <w:rsid w:val="0A044004"/>
    <w:rsid w:val="0A0501E5"/>
    <w:rsid w:val="0A1246B0"/>
    <w:rsid w:val="0A163537"/>
    <w:rsid w:val="0A206DCD"/>
    <w:rsid w:val="0A283ED3"/>
    <w:rsid w:val="0A2A7C4B"/>
    <w:rsid w:val="0A2C751F"/>
    <w:rsid w:val="0A326B00"/>
    <w:rsid w:val="0A36039E"/>
    <w:rsid w:val="0A3D172D"/>
    <w:rsid w:val="0A40746F"/>
    <w:rsid w:val="0A420FF3"/>
    <w:rsid w:val="0A481E7F"/>
    <w:rsid w:val="0A496A5E"/>
    <w:rsid w:val="0A4A6522"/>
    <w:rsid w:val="0A4D7496"/>
    <w:rsid w:val="0A5847B8"/>
    <w:rsid w:val="0A5D1DCF"/>
    <w:rsid w:val="0A5D3B7D"/>
    <w:rsid w:val="0A5F1409"/>
    <w:rsid w:val="0A60366D"/>
    <w:rsid w:val="0A65612B"/>
    <w:rsid w:val="0A7B04A7"/>
    <w:rsid w:val="0A7B4003"/>
    <w:rsid w:val="0A852F24"/>
    <w:rsid w:val="0A867DF4"/>
    <w:rsid w:val="0A8729A8"/>
    <w:rsid w:val="0A892BC4"/>
    <w:rsid w:val="0A93759F"/>
    <w:rsid w:val="0A9F4195"/>
    <w:rsid w:val="0AA07F0D"/>
    <w:rsid w:val="0AA479FE"/>
    <w:rsid w:val="0AA51080"/>
    <w:rsid w:val="0AAC60CF"/>
    <w:rsid w:val="0AB45767"/>
    <w:rsid w:val="0AC01458"/>
    <w:rsid w:val="0AC230F3"/>
    <w:rsid w:val="0AC91212"/>
    <w:rsid w:val="0ACF434F"/>
    <w:rsid w:val="0AD354B1"/>
    <w:rsid w:val="0ADC71BF"/>
    <w:rsid w:val="0AE4604C"/>
    <w:rsid w:val="0AE95411"/>
    <w:rsid w:val="0AEF054D"/>
    <w:rsid w:val="0AF26CBC"/>
    <w:rsid w:val="0AFB5144"/>
    <w:rsid w:val="0AFF4C34"/>
    <w:rsid w:val="0B057D70"/>
    <w:rsid w:val="0B0C55A3"/>
    <w:rsid w:val="0B0E4E77"/>
    <w:rsid w:val="0B136931"/>
    <w:rsid w:val="0B23794B"/>
    <w:rsid w:val="0B27418B"/>
    <w:rsid w:val="0B293A5F"/>
    <w:rsid w:val="0B372620"/>
    <w:rsid w:val="0B386398"/>
    <w:rsid w:val="0B424B21"/>
    <w:rsid w:val="0B440467"/>
    <w:rsid w:val="0B440899"/>
    <w:rsid w:val="0B44226D"/>
    <w:rsid w:val="0B522B50"/>
    <w:rsid w:val="0B5723AE"/>
    <w:rsid w:val="0B574A70"/>
    <w:rsid w:val="0B5C5BE2"/>
    <w:rsid w:val="0B5DA815"/>
    <w:rsid w:val="0B6131F9"/>
    <w:rsid w:val="0B6831E5"/>
    <w:rsid w:val="0B6947A3"/>
    <w:rsid w:val="0B6E3B68"/>
    <w:rsid w:val="0B8415DD"/>
    <w:rsid w:val="0B8B64C8"/>
    <w:rsid w:val="0B995089"/>
    <w:rsid w:val="0B9C2483"/>
    <w:rsid w:val="0B9D61FB"/>
    <w:rsid w:val="0BA17A99"/>
    <w:rsid w:val="0BA63302"/>
    <w:rsid w:val="0BBF621D"/>
    <w:rsid w:val="0BCC5F9E"/>
    <w:rsid w:val="0BD51E39"/>
    <w:rsid w:val="0BE107DE"/>
    <w:rsid w:val="0BEF4CA9"/>
    <w:rsid w:val="0BFB189F"/>
    <w:rsid w:val="0C0D3381"/>
    <w:rsid w:val="0C1269F3"/>
    <w:rsid w:val="0C152235"/>
    <w:rsid w:val="0C1666D9"/>
    <w:rsid w:val="0C191D25"/>
    <w:rsid w:val="0C1C1816"/>
    <w:rsid w:val="0C264442"/>
    <w:rsid w:val="0C2661F0"/>
    <w:rsid w:val="0C2D757F"/>
    <w:rsid w:val="0C4548C9"/>
    <w:rsid w:val="0C474AE5"/>
    <w:rsid w:val="0C4D5E73"/>
    <w:rsid w:val="0C517711"/>
    <w:rsid w:val="0C525237"/>
    <w:rsid w:val="0C526FE5"/>
    <w:rsid w:val="0C614036"/>
    <w:rsid w:val="0C71390F"/>
    <w:rsid w:val="0C7156BE"/>
    <w:rsid w:val="0C807FF6"/>
    <w:rsid w:val="0C833643"/>
    <w:rsid w:val="0C886EAB"/>
    <w:rsid w:val="0C8C699B"/>
    <w:rsid w:val="0C931AD8"/>
    <w:rsid w:val="0C985340"/>
    <w:rsid w:val="0C9870EE"/>
    <w:rsid w:val="0C9A3091"/>
    <w:rsid w:val="0C9E047D"/>
    <w:rsid w:val="0CA33189"/>
    <w:rsid w:val="0CAC4948"/>
    <w:rsid w:val="0CAE6912"/>
    <w:rsid w:val="0CBF0B1F"/>
    <w:rsid w:val="0CC25F19"/>
    <w:rsid w:val="0CC90B9E"/>
    <w:rsid w:val="0CD43E9E"/>
    <w:rsid w:val="0CD619C5"/>
    <w:rsid w:val="0CD8398F"/>
    <w:rsid w:val="0CDD2D53"/>
    <w:rsid w:val="0CDF50F0"/>
    <w:rsid w:val="0CE02843"/>
    <w:rsid w:val="0CE20369"/>
    <w:rsid w:val="0CE340E1"/>
    <w:rsid w:val="0CE42333"/>
    <w:rsid w:val="0CFF1FE9"/>
    <w:rsid w:val="0D002EE5"/>
    <w:rsid w:val="0D004C93"/>
    <w:rsid w:val="0D020A0B"/>
    <w:rsid w:val="0D091D9A"/>
    <w:rsid w:val="0D1136B2"/>
    <w:rsid w:val="0D1D5845"/>
    <w:rsid w:val="0D224C0A"/>
    <w:rsid w:val="0D31555C"/>
    <w:rsid w:val="0D362493"/>
    <w:rsid w:val="0D3820AC"/>
    <w:rsid w:val="0D38267F"/>
    <w:rsid w:val="0D3D4FB3"/>
    <w:rsid w:val="0D3D5EE8"/>
    <w:rsid w:val="0D4170AE"/>
    <w:rsid w:val="0D474EC2"/>
    <w:rsid w:val="0D484B7B"/>
    <w:rsid w:val="0D562B05"/>
    <w:rsid w:val="0D5F7C0C"/>
    <w:rsid w:val="0D6671EC"/>
    <w:rsid w:val="0D6E42F3"/>
    <w:rsid w:val="0D6E60A1"/>
    <w:rsid w:val="0D71793F"/>
    <w:rsid w:val="0D754038"/>
    <w:rsid w:val="0D782A7C"/>
    <w:rsid w:val="0D815DD4"/>
    <w:rsid w:val="0D821B4C"/>
    <w:rsid w:val="0D867784"/>
    <w:rsid w:val="0D935B07"/>
    <w:rsid w:val="0DB117B0"/>
    <w:rsid w:val="0DB60E48"/>
    <w:rsid w:val="0DB990AC"/>
    <w:rsid w:val="0DBB4F33"/>
    <w:rsid w:val="0DBE0DD6"/>
    <w:rsid w:val="0DC3019B"/>
    <w:rsid w:val="0DC7755F"/>
    <w:rsid w:val="0DCF5F11"/>
    <w:rsid w:val="0DD51C7C"/>
    <w:rsid w:val="0DE40111"/>
    <w:rsid w:val="0DE545B5"/>
    <w:rsid w:val="0DF01E5A"/>
    <w:rsid w:val="0DF77E44"/>
    <w:rsid w:val="0DFF49FB"/>
    <w:rsid w:val="0E060087"/>
    <w:rsid w:val="0E1C5AFD"/>
    <w:rsid w:val="0E214EC1"/>
    <w:rsid w:val="0E2D1AB8"/>
    <w:rsid w:val="0E341099"/>
    <w:rsid w:val="0E3C3C8B"/>
    <w:rsid w:val="0E407A3D"/>
    <w:rsid w:val="0E4D3F08"/>
    <w:rsid w:val="0E52151F"/>
    <w:rsid w:val="0E5B4877"/>
    <w:rsid w:val="0E603C3C"/>
    <w:rsid w:val="0E680D42"/>
    <w:rsid w:val="0E76520D"/>
    <w:rsid w:val="0E855450"/>
    <w:rsid w:val="0E8A0CB9"/>
    <w:rsid w:val="0E8D07A9"/>
    <w:rsid w:val="0E8D69FB"/>
    <w:rsid w:val="0E8F4521"/>
    <w:rsid w:val="0E9071C2"/>
    <w:rsid w:val="0EA07C62"/>
    <w:rsid w:val="0EA37FCC"/>
    <w:rsid w:val="0EA77ABC"/>
    <w:rsid w:val="0EC3241C"/>
    <w:rsid w:val="0EDB32C2"/>
    <w:rsid w:val="0EDE2DB2"/>
    <w:rsid w:val="0EEA79A9"/>
    <w:rsid w:val="0EEC1973"/>
    <w:rsid w:val="0EF12AE6"/>
    <w:rsid w:val="0EFD148A"/>
    <w:rsid w:val="0F005196"/>
    <w:rsid w:val="0F10225F"/>
    <w:rsid w:val="0F182768"/>
    <w:rsid w:val="0F2B249C"/>
    <w:rsid w:val="0F3A0931"/>
    <w:rsid w:val="0F423341"/>
    <w:rsid w:val="0F4470B9"/>
    <w:rsid w:val="0F4B669A"/>
    <w:rsid w:val="0F587009"/>
    <w:rsid w:val="0F5C6279"/>
    <w:rsid w:val="0F5F5CA1"/>
    <w:rsid w:val="0F6D9366"/>
    <w:rsid w:val="0F6E05DA"/>
    <w:rsid w:val="0F706100"/>
    <w:rsid w:val="0F753717"/>
    <w:rsid w:val="0F763231"/>
    <w:rsid w:val="0F783207"/>
    <w:rsid w:val="0F7A6AC3"/>
    <w:rsid w:val="0F850869"/>
    <w:rsid w:val="0F942170"/>
    <w:rsid w:val="0FA22032"/>
    <w:rsid w:val="0FBC1346"/>
    <w:rsid w:val="0FCB3337"/>
    <w:rsid w:val="0FD3668F"/>
    <w:rsid w:val="0FD82713"/>
    <w:rsid w:val="0FD91EF8"/>
    <w:rsid w:val="0FE24E74"/>
    <w:rsid w:val="0FED5320"/>
    <w:rsid w:val="0FEF4B78"/>
    <w:rsid w:val="0FEFB0C0"/>
    <w:rsid w:val="0FF22FB9"/>
    <w:rsid w:val="0FF24D67"/>
    <w:rsid w:val="0FF52AA9"/>
    <w:rsid w:val="0FF550F5"/>
    <w:rsid w:val="0FFD2FC7"/>
    <w:rsid w:val="10042CED"/>
    <w:rsid w:val="100827DD"/>
    <w:rsid w:val="1008458B"/>
    <w:rsid w:val="10190546"/>
    <w:rsid w:val="101F72A9"/>
    <w:rsid w:val="10240C99"/>
    <w:rsid w:val="103233B6"/>
    <w:rsid w:val="1034712E"/>
    <w:rsid w:val="103E61FE"/>
    <w:rsid w:val="103E7FAD"/>
    <w:rsid w:val="103F5AD3"/>
    <w:rsid w:val="10405E6E"/>
    <w:rsid w:val="104730F8"/>
    <w:rsid w:val="10480E2B"/>
    <w:rsid w:val="10572E1C"/>
    <w:rsid w:val="10611EED"/>
    <w:rsid w:val="10635C65"/>
    <w:rsid w:val="106C2D6C"/>
    <w:rsid w:val="10703EDE"/>
    <w:rsid w:val="107439CE"/>
    <w:rsid w:val="10797237"/>
    <w:rsid w:val="10A03268"/>
    <w:rsid w:val="10A2678D"/>
    <w:rsid w:val="10A5002C"/>
    <w:rsid w:val="10A51DDA"/>
    <w:rsid w:val="10B262A5"/>
    <w:rsid w:val="10BD35C7"/>
    <w:rsid w:val="10C81F6C"/>
    <w:rsid w:val="10D17073"/>
    <w:rsid w:val="10DC1574"/>
    <w:rsid w:val="10E32902"/>
    <w:rsid w:val="10EE19D3"/>
    <w:rsid w:val="10F93ED3"/>
    <w:rsid w:val="10FFC485"/>
    <w:rsid w:val="111807FE"/>
    <w:rsid w:val="111927C8"/>
    <w:rsid w:val="11252F1A"/>
    <w:rsid w:val="113B0990"/>
    <w:rsid w:val="11421D1E"/>
    <w:rsid w:val="114A472F"/>
    <w:rsid w:val="116E48C1"/>
    <w:rsid w:val="117A14B8"/>
    <w:rsid w:val="117B0D8C"/>
    <w:rsid w:val="11847C41"/>
    <w:rsid w:val="118B7221"/>
    <w:rsid w:val="118C11EC"/>
    <w:rsid w:val="11916802"/>
    <w:rsid w:val="1193257A"/>
    <w:rsid w:val="11951E4E"/>
    <w:rsid w:val="11963E18"/>
    <w:rsid w:val="11987B90"/>
    <w:rsid w:val="119F2CCD"/>
    <w:rsid w:val="11AD363C"/>
    <w:rsid w:val="11AE4CBE"/>
    <w:rsid w:val="11B524F0"/>
    <w:rsid w:val="11CC783A"/>
    <w:rsid w:val="11CE35B2"/>
    <w:rsid w:val="11D16BFE"/>
    <w:rsid w:val="11D24E50"/>
    <w:rsid w:val="11D72467"/>
    <w:rsid w:val="11E132E5"/>
    <w:rsid w:val="11E76422"/>
    <w:rsid w:val="11EC3A38"/>
    <w:rsid w:val="11F1104F"/>
    <w:rsid w:val="11F528ED"/>
    <w:rsid w:val="11F72B09"/>
    <w:rsid w:val="11F8418B"/>
    <w:rsid w:val="11FD5C45"/>
    <w:rsid w:val="1209283C"/>
    <w:rsid w:val="12137217"/>
    <w:rsid w:val="121C60CC"/>
    <w:rsid w:val="122F38C7"/>
    <w:rsid w:val="12301B77"/>
    <w:rsid w:val="12307DC9"/>
    <w:rsid w:val="12345644"/>
    <w:rsid w:val="123478B9"/>
    <w:rsid w:val="12364185"/>
    <w:rsid w:val="12485112"/>
    <w:rsid w:val="12490E8B"/>
    <w:rsid w:val="124F0752"/>
    <w:rsid w:val="12514938"/>
    <w:rsid w:val="12530CCC"/>
    <w:rsid w:val="125C296C"/>
    <w:rsid w:val="12641821"/>
    <w:rsid w:val="126662DC"/>
    <w:rsid w:val="126D2DCB"/>
    <w:rsid w:val="12706417"/>
    <w:rsid w:val="1271324B"/>
    <w:rsid w:val="12723F3D"/>
    <w:rsid w:val="127E28E2"/>
    <w:rsid w:val="12916C17"/>
    <w:rsid w:val="129245E0"/>
    <w:rsid w:val="1299771C"/>
    <w:rsid w:val="129C063B"/>
    <w:rsid w:val="129C720C"/>
    <w:rsid w:val="12A12A75"/>
    <w:rsid w:val="12A33082"/>
    <w:rsid w:val="12A83E03"/>
    <w:rsid w:val="12B5069E"/>
    <w:rsid w:val="12C10A21"/>
    <w:rsid w:val="12C66037"/>
    <w:rsid w:val="12C86253"/>
    <w:rsid w:val="12CA5219"/>
    <w:rsid w:val="12CF1390"/>
    <w:rsid w:val="12D70244"/>
    <w:rsid w:val="12DB71B2"/>
    <w:rsid w:val="12DE5A77"/>
    <w:rsid w:val="12E52961"/>
    <w:rsid w:val="12EA7F78"/>
    <w:rsid w:val="12EC1F42"/>
    <w:rsid w:val="12F157AA"/>
    <w:rsid w:val="130848A2"/>
    <w:rsid w:val="130B7EEE"/>
    <w:rsid w:val="130C6140"/>
    <w:rsid w:val="130F7D0F"/>
    <w:rsid w:val="131274CE"/>
    <w:rsid w:val="132C67E2"/>
    <w:rsid w:val="133D09EF"/>
    <w:rsid w:val="133D279D"/>
    <w:rsid w:val="13427DB4"/>
    <w:rsid w:val="134A6C68"/>
    <w:rsid w:val="135950FD"/>
    <w:rsid w:val="135D699C"/>
    <w:rsid w:val="1360023A"/>
    <w:rsid w:val="13651CF4"/>
    <w:rsid w:val="1374267F"/>
    <w:rsid w:val="13781A27"/>
    <w:rsid w:val="137A57A0"/>
    <w:rsid w:val="1380268A"/>
    <w:rsid w:val="138F0B1F"/>
    <w:rsid w:val="139879D4"/>
    <w:rsid w:val="139D4FEA"/>
    <w:rsid w:val="13A52BEE"/>
    <w:rsid w:val="13B40EFD"/>
    <w:rsid w:val="13BD743A"/>
    <w:rsid w:val="13BF31B2"/>
    <w:rsid w:val="13C55B0B"/>
    <w:rsid w:val="13C7475D"/>
    <w:rsid w:val="13C7650B"/>
    <w:rsid w:val="13CC00BB"/>
    <w:rsid w:val="13CC58CF"/>
    <w:rsid w:val="13CE5AEB"/>
    <w:rsid w:val="13D33102"/>
    <w:rsid w:val="13D6315D"/>
    <w:rsid w:val="13DD7ADC"/>
    <w:rsid w:val="13E250F3"/>
    <w:rsid w:val="13EC30B5"/>
    <w:rsid w:val="13EE1CEA"/>
    <w:rsid w:val="13F82B68"/>
    <w:rsid w:val="140C2170"/>
    <w:rsid w:val="140E7C96"/>
    <w:rsid w:val="14107EB2"/>
    <w:rsid w:val="141352AC"/>
    <w:rsid w:val="141554C8"/>
    <w:rsid w:val="141831B2"/>
    <w:rsid w:val="141B23B3"/>
    <w:rsid w:val="142373C4"/>
    <w:rsid w:val="14237BE5"/>
    <w:rsid w:val="14270D58"/>
    <w:rsid w:val="14397409"/>
    <w:rsid w:val="143D057B"/>
    <w:rsid w:val="143F2545"/>
    <w:rsid w:val="1442755C"/>
    <w:rsid w:val="144933C4"/>
    <w:rsid w:val="14575AE1"/>
    <w:rsid w:val="145C4EA5"/>
    <w:rsid w:val="14627FE2"/>
    <w:rsid w:val="14634486"/>
    <w:rsid w:val="14830684"/>
    <w:rsid w:val="148A24DD"/>
    <w:rsid w:val="14904B4F"/>
    <w:rsid w:val="149A3C1F"/>
    <w:rsid w:val="149C7998"/>
    <w:rsid w:val="14B44CE1"/>
    <w:rsid w:val="14C03686"/>
    <w:rsid w:val="14C36CD2"/>
    <w:rsid w:val="14C56C3C"/>
    <w:rsid w:val="14CA0061"/>
    <w:rsid w:val="14D302E6"/>
    <w:rsid w:val="14D47131"/>
    <w:rsid w:val="14DA60F4"/>
    <w:rsid w:val="14E60C13"/>
    <w:rsid w:val="14EA24B1"/>
    <w:rsid w:val="14F47B3E"/>
    <w:rsid w:val="14F74BCE"/>
    <w:rsid w:val="15145780"/>
    <w:rsid w:val="15190982"/>
    <w:rsid w:val="151A266A"/>
    <w:rsid w:val="15202377"/>
    <w:rsid w:val="15211C4B"/>
    <w:rsid w:val="153110E2"/>
    <w:rsid w:val="153656F6"/>
    <w:rsid w:val="15512530"/>
    <w:rsid w:val="15533B0A"/>
    <w:rsid w:val="15596A7E"/>
    <w:rsid w:val="156C1118"/>
    <w:rsid w:val="156E60D3"/>
    <w:rsid w:val="156F29B6"/>
    <w:rsid w:val="15763D45"/>
    <w:rsid w:val="157D1577"/>
    <w:rsid w:val="157D50D3"/>
    <w:rsid w:val="15A05265"/>
    <w:rsid w:val="15A85EC8"/>
    <w:rsid w:val="15AB77B5"/>
    <w:rsid w:val="15B036FB"/>
    <w:rsid w:val="15B64A89"/>
    <w:rsid w:val="15BA444A"/>
    <w:rsid w:val="15BF56EC"/>
    <w:rsid w:val="15C42D02"/>
    <w:rsid w:val="15D54F0F"/>
    <w:rsid w:val="15D867AD"/>
    <w:rsid w:val="15DE18EA"/>
    <w:rsid w:val="15DF12F2"/>
    <w:rsid w:val="15F829AC"/>
    <w:rsid w:val="15FC6940"/>
    <w:rsid w:val="15FD4466"/>
    <w:rsid w:val="15FD6214"/>
    <w:rsid w:val="16024682"/>
    <w:rsid w:val="1606331B"/>
    <w:rsid w:val="160E21CF"/>
    <w:rsid w:val="161A1A13"/>
    <w:rsid w:val="162E0AC3"/>
    <w:rsid w:val="163065E9"/>
    <w:rsid w:val="163559AE"/>
    <w:rsid w:val="1638724C"/>
    <w:rsid w:val="163A0879"/>
    <w:rsid w:val="16436C21"/>
    <w:rsid w:val="1652235A"/>
    <w:rsid w:val="16565924"/>
    <w:rsid w:val="165A18B8"/>
    <w:rsid w:val="165B2F3A"/>
    <w:rsid w:val="165D0448"/>
    <w:rsid w:val="16644988"/>
    <w:rsid w:val="166938A9"/>
    <w:rsid w:val="16704C38"/>
    <w:rsid w:val="167209B0"/>
    <w:rsid w:val="16774218"/>
    <w:rsid w:val="16775464"/>
    <w:rsid w:val="167C6157"/>
    <w:rsid w:val="16826719"/>
    <w:rsid w:val="16830AEB"/>
    <w:rsid w:val="168801D3"/>
    <w:rsid w:val="168E50BE"/>
    <w:rsid w:val="16922E00"/>
    <w:rsid w:val="1693624A"/>
    <w:rsid w:val="1695644C"/>
    <w:rsid w:val="169F376F"/>
    <w:rsid w:val="16A10D7E"/>
    <w:rsid w:val="16A576FF"/>
    <w:rsid w:val="16AD19E8"/>
    <w:rsid w:val="16B34B25"/>
    <w:rsid w:val="16B40FC8"/>
    <w:rsid w:val="16B72867"/>
    <w:rsid w:val="16BA5EB3"/>
    <w:rsid w:val="16CA259A"/>
    <w:rsid w:val="16D14F17"/>
    <w:rsid w:val="16D46F5F"/>
    <w:rsid w:val="16D76A65"/>
    <w:rsid w:val="16DE7DF3"/>
    <w:rsid w:val="16E41182"/>
    <w:rsid w:val="16E82A20"/>
    <w:rsid w:val="16E86EC4"/>
    <w:rsid w:val="16EB42BE"/>
    <w:rsid w:val="16F4AEA6"/>
    <w:rsid w:val="16FC64CC"/>
    <w:rsid w:val="170D2487"/>
    <w:rsid w:val="170D692B"/>
    <w:rsid w:val="171B1048"/>
    <w:rsid w:val="171E28E6"/>
    <w:rsid w:val="17216435"/>
    <w:rsid w:val="17255A22"/>
    <w:rsid w:val="172C5003"/>
    <w:rsid w:val="173619DD"/>
    <w:rsid w:val="173C0FBE"/>
    <w:rsid w:val="174D4F79"/>
    <w:rsid w:val="17544559"/>
    <w:rsid w:val="17575DF8"/>
    <w:rsid w:val="17655D76"/>
    <w:rsid w:val="17667DE9"/>
    <w:rsid w:val="1767603B"/>
    <w:rsid w:val="176F3141"/>
    <w:rsid w:val="176F3BD1"/>
    <w:rsid w:val="17712A16"/>
    <w:rsid w:val="17716EB9"/>
    <w:rsid w:val="17836BED"/>
    <w:rsid w:val="17863421"/>
    <w:rsid w:val="17946704"/>
    <w:rsid w:val="179B48B7"/>
    <w:rsid w:val="179B5CE4"/>
    <w:rsid w:val="179F5F07"/>
    <w:rsid w:val="179F7042"/>
    <w:rsid w:val="17A0779F"/>
    <w:rsid w:val="17A10E21"/>
    <w:rsid w:val="17A32469"/>
    <w:rsid w:val="17A34B99"/>
    <w:rsid w:val="17AB1153"/>
    <w:rsid w:val="17B40B54"/>
    <w:rsid w:val="17B46DA6"/>
    <w:rsid w:val="17B478A7"/>
    <w:rsid w:val="17B80644"/>
    <w:rsid w:val="17B86896"/>
    <w:rsid w:val="17CA65CA"/>
    <w:rsid w:val="17CF1E32"/>
    <w:rsid w:val="17CF598E"/>
    <w:rsid w:val="17D5194F"/>
    <w:rsid w:val="17D75700"/>
    <w:rsid w:val="17DA4A5F"/>
    <w:rsid w:val="17DE4FAA"/>
    <w:rsid w:val="17E416FE"/>
    <w:rsid w:val="17E551B2"/>
    <w:rsid w:val="17E7717C"/>
    <w:rsid w:val="17EA27C8"/>
    <w:rsid w:val="17EB6C6C"/>
    <w:rsid w:val="17EB79FC"/>
    <w:rsid w:val="17FDEC5A"/>
    <w:rsid w:val="180715CC"/>
    <w:rsid w:val="180A4C18"/>
    <w:rsid w:val="180D46C7"/>
    <w:rsid w:val="18185587"/>
    <w:rsid w:val="181A12FF"/>
    <w:rsid w:val="181B6E25"/>
    <w:rsid w:val="18245CDA"/>
    <w:rsid w:val="182A7068"/>
    <w:rsid w:val="1830159B"/>
    <w:rsid w:val="183521E7"/>
    <w:rsid w:val="18426B32"/>
    <w:rsid w:val="18463EA2"/>
    <w:rsid w:val="18491BE4"/>
    <w:rsid w:val="18495740"/>
    <w:rsid w:val="185145F5"/>
    <w:rsid w:val="185A16FC"/>
    <w:rsid w:val="185B2634"/>
    <w:rsid w:val="18730A0F"/>
    <w:rsid w:val="1879160D"/>
    <w:rsid w:val="187B3D57"/>
    <w:rsid w:val="18866995"/>
    <w:rsid w:val="188744BB"/>
    <w:rsid w:val="1888270D"/>
    <w:rsid w:val="189015C1"/>
    <w:rsid w:val="18952734"/>
    <w:rsid w:val="189746FE"/>
    <w:rsid w:val="189F35B2"/>
    <w:rsid w:val="18A94431"/>
    <w:rsid w:val="18AE1A47"/>
    <w:rsid w:val="18B34526"/>
    <w:rsid w:val="18B90B18"/>
    <w:rsid w:val="18BC23B6"/>
    <w:rsid w:val="18BF3C55"/>
    <w:rsid w:val="18CB43A7"/>
    <w:rsid w:val="18CE3E98"/>
    <w:rsid w:val="18D15FE1"/>
    <w:rsid w:val="18E37943"/>
    <w:rsid w:val="18EF1364"/>
    <w:rsid w:val="18FF72E5"/>
    <w:rsid w:val="1901397F"/>
    <w:rsid w:val="19033B41"/>
    <w:rsid w:val="19080C8E"/>
    <w:rsid w:val="1912647A"/>
    <w:rsid w:val="19137AFC"/>
    <w:rsid w:val="19145D4E"/>
    <w:rsid w:val="191775ED"/>
    <w:rsid w:val="191C2E55"/>
    <w:rsid w:val="191E6BCD"/>
    <w:rsid w:val="192C753C"/>
    <w:rsid w:val="192D6E10"/>
    <w:rsid w:val="19306900"/>
    <w:rsid w:val="19362169"/>
    <w:rsid w:val="19393A07"/>
    <w:rsid w:val="193C7053"/>
    <w:rsid w:val="19404D95"/>
    <w:rsid w:val="194D74B2"/>
    <w:rsid w:val="19604FD6"/>
    <w:rsid w:val="196656B5"/>
    <w:rsid w:val="19670574"/>
    <w:rsid w:val="19682AE1"/>
    <w:rsid w:val="19754254"/>
    <w:rsid w:val="19762565"/>
    <w:rsid w:val="19805192"/>
    <w:rsid w:val="198509FA"/>
    <w:rsid w:val="19866520"/>
    <w:rsid w:val="198B3B37"/>
    <w:rsid w:val="198F3627"/>
    <w:rsid w:val="19940C3D"/>
    <w:rsid w:val="19A03A86"/>
    <w:rsid w:val="19AF5A77"/>
    <w:rsid w:val="19B117EF"/>
    <w:rsid w:val="19B7492C"/>
    <w:rsid w:val="19BE215E"/>
    <w:rsid w:val="19C01A32"/>
    <w:rsid w:val="19CC487B"/>
    <w:rsid w:val="19CF1C75"/>
    <w:rsid w:val="19CF7EC7"/>
    <w:rsid w:val="19D454DE"/>
    <w:rsid w:val="19D83220"/>
    <w:rsid w:val="19E73463"/>
    <w:rsid w:val="19F032F0"/>
    <w:rsid w:val="19F4792E"/>
    <w:rsid w:val="19FA13E8"/>
    <w:rsid w:val="1A1324AA"/>
    <w:rsid w:val="1A147FD0"/>
    <w:rsid w:val="1A1678A4"/>
    <w:rsid w:val="1A18361C"/>
    <w:rsid w:val="1A22449B"/>
    <w:rsid w:val="1A255D39"/>
    <w:rsid w:val="1A450189"/>
    <w:rsid w:val="1A491A28"/>
    <w:rsid w:val="1A4D1F48"/>
    <w:rsid w:val="1A501008"/>
    <w:rsid w:val="1A5403CD"/>
    <w:rsid w:val="1A566123"/>
    <w:rsid w:val="1A584361"/>
    <w:rsid w:val="1A606D71"/>
    <w:rsid w:val="1A626F8D"/>
    <w:rsid w:val="1A6920CA"/>
    <w:rsid w:val="1A6C2DF3"/>
    <w:rsid w:val="1A7016AA"/>
    <w:rsid w:val="1A705206"/>
    <w:rsid w:val="1A7B1DFD"/>
    <w:rsid w:val="1A82318C"/>
    <w:rsid w:val="1AA7955D"/>
    <w:rsid w:val="1AB162BD"/>
    <w:rsid w:val="1AB30BDD"/>
    <w:rsid w:val="1AB31597"/>
    <w:rsid w:val="1AB33345"/>
    <w:rsid w:val="1AB41255"/>
    <w:rsid w:val="1AB53561"/>
    <w:rsid w:val="1AC217DA"/>
    <w:rsid w:val="1AC97B14"/>
    <w:rsid w:val="1ACD2659"/>
    <w:rsid w:val="1AD35795"/>
    <w:rsid w:val="1AD82DAC"/>
    <w:rsid w:val="1AE23C2A"/>
    <w:rsid w:val="1AE259D8"/>
    <w:rsid w:val="1AE6371B"/>
    <w:rsid w:val="1AE96D67"/>
    <w:rsid w:val="1AEE25CF"/>
    <w:rsid w:val="1AF22A30"/>
    <w:rsid w:val="1AF776D6"/>
    <w:rsid w:val="1B020AE1"/>
    <w:rsid w:val="1B090296"/>
    <w:rsid w:val="1B0D0CA7"/>
    <w:rsid w:val="1B193AF0"/>
    <w:rsid w:val="1B1C713C"/>
    <w:rsid w:val="1B1E1106"/>
    <w:rsid w:val="1B222279"/>
    <w:rsid w:val="1B244243"/>
    <w:rsid w:val="1B302BE8"/>
    <w:rsid w:val="1B3E5305"/>
    <w:rsid w:val="1B3F2E2B"/>
    <w:rsid w:val="1B50619C"/>
    <w:rsid w:val="1B527002"/>
    <w:rsid w:val="1B612DA1"/>
    <w:rsid w:val="1B666391"/>
    <w:rsid w:val="1B684130"/>
    <w:rsid w:val="1B6B1E72"/>
    <w:rsid w:val="1B6D1746"/>
    <w:rsid w:val="1B6D5BEA"/>
    <w:rsid w:val="1B7156DA"/>
    <w:rsid w:val="1B740D26"/>
    <w:rsid w:val="1B7D0613"/>
    <w:rsid w:val="1B7DEE07"/>
    <w:rsid w:val="1B881812"/>
    <w:rsid w:val="1B974A15"/>
    <w:rsid w:val="1B997EB0"/>
    <w:rsid w:val="1B9E5DA3"/>
    <w:rsid w:val="1BA15893"/>
    <w:rsid w:val="1BA809D0"/>
    <w:rsid w:val="1BAF6202"/>
    <w:rsid w:val="1BB2184F"/>
    <w:rsid w:val="1BB630ED"/>
    <w:rsid w:val="1BB819D7"/>
    <w:rsid w:val="1BBC1BBB"/>
    <w:rsid w:val="1BBD091F"/>
    <w:rsid w:val="1BBE01F3"/>
    <w:rsid w:val="1BC11A92"/>
    <w:rsid w:val="1BC75C6B"/>
    <w:rsid w:val="1BCA303C"/>
    <w:rsid w:val="1BCA6649"/>
    <w:rsid w:val="1BCD0437"/>
    <w:rsid w:val="1BCD48DA"/>
    <w:rsid w:val="1BD23C9F"/>
    <w:rsid w:val="1BD55FBC"/>
    <w:rsid w:val="1BD6378F"/>
    <w:rsid w:val="1BE0460E"/>
    <w:rsid w:val="1BEA2D97"/>
    <w:rsid w:val="1BED58F4"/>
    <w:rsid w:val="1BF105C9"/>
    <w:rsid w:val="1BF27E9D"/>
    <w:rsid w:val="1BF65BDF"/>
    <w:rsid w:val="1BFAC307"/>
    <w:rsid w:val="1BFB1448"/>
    <w:rsid w:val="1C073948"/>
    <w:rsid w:val="1C0E117B"/>
    <w:rsid w:val="1C183B46"/>
    <w:rsid w:val="1C185B56"/>
    <w:rsid w:val="1C1B3898"/>
    <w:rsid w:val="1C1C7D64"/>
    <w:rsid w:val="1C200EAE"/>
    <w:rsid w:val="1C2344FA"/>
    <w:rsid w:val="1C2E5379"/>
    <w:rsid w:val="1C393D1E"/>
    <w:rsid w:val="1C3A1F70"/>
    <w:rsid w:val="1C493F61"/>
    <w:rsid w:val="1C4E77C9"/>
    <w:rsid w:val="1C4F3541"/>
    <w:rsid w:val="1C626DD1"/>
    <w:rsid w:val="1C662D65"/>
    <w:rsid w:val="1C6963B1"/>
    <w:rsid w:val="1C6D02DA"/>
    <w:rsid w:val="1C715266"/>
    <w:rsid w:val="1C7A236C"/>
    <w:rsid w:val="1C84143D"/>
    <w:rsid w:val="1C890801"/>
    <w:rsid w:val="1C9A2A0F"/>
    <w:rsid w:val="1CA05B4B"/>
    <w:rsid w:val="1CA473E9"/>
    <w:rsid w:val="1CB473D8"/>
    <w:rsid w:val="1CB87339"/>
    <w:rsid w:val="1CBB2985"/>
    <w:rsid w:val="1CBF06C7"/>
    <w:rsid w:val="1CBF2475"/>
    <w:rsid w:val="1CC21F65"/>
    <w:rsid w:val="1CC41839"/>
    <w:rsid w:val="1CC57360"/>
    <w:rsid w:val="1CCE4466"/>
    <w:rsid w:val="1CCF465E"/>
    <w:rsid w:val="1CD13F56"/>
    <w:rsid w:val="1CD81789"/>
    <w:rsid w:val="1CE1063D"/>
    <w:rsid w:val="1CE67A02"/>
    <w:rsid w:val="1CE75528"/>
    <w:rsid w:val="1CEA3809"/>
    <w:rsid w:val="1CEB6DC6"/>
    <w:rsid w:val="1CF3211F"/>
    <w:rsid w:val="1CF85987"/>
    <w:rsid w:val="1CFF0AC4"/>
    <w:rsid w:val="1D0B6021"/>
    <w:rsid w:val="1D1207F7"/>
    <w:rsid w:val="1D1502E7"/>
    <w:rsid w:val="1D244763"/>
    <w:rsid w:val="1D352737"/>
    <w:rsid w:val="1D412E8A"/>
    <w:rsid w:val="1D4209B0"/>
    <w:rsid w:val="1D4A4435"/>
    <w:rsid w:val="1D4F5124"/>
    <w:rsid w:val="1D57445C"/>
    <w:rsid w:val="1D5914D3"/>
    <w:rsid w:val="1D5F77B4"/>
    <w:rsid w:val="1D631DC4"/>
    <w:rsid w:val="1D666D95"/>
    <w:rsid w:val="1D6923E1"/>
    <w:rsid w:val="1D721295"/>
    <w:rsid w:val="1D7414B2"/>
    <w:rsid w:val="1D7E564E"/>
    <w:rsid w:val="1D9456B0"/>
    <w:rsid w:val="1DAB47A7"/>
    <w:rsid w:val="1DAB7ED0"/>
    <w:rsid w:val="1DB00010"/>
    <w:rsid w:val="1DB21FDA"/>
    <w:rsid w:val="1DBA49EB"/>
    <w:rsid w:val="1DBD7C30"/>
    <w:rsid w:val="1DBE44DB"/>
    <w:rsid w:val="1DBF704C"/>
    <w:rsid w:val="1DC83B88"/>
    <w:rsid w:val="1DCB6BF8"/>
    <w:rsid w:val="1DCF0496"/>
    <w:rsid w:val="1DD27F86"/>
    <w:rsid w:val="1DD71A40"/>
    <w:rsid w:val="1DDE692B"/>
    <w:rsid w:val="1DE55F0B"/>
    <w:rsid w:val="1DEF28E6"/>
    <w:rsid w:val="1E116CA0"/>
    <w:rsid w:val="1E1B36DB"/>
    <w:rsid w:val="1E1E65FA"/>
    <w:rsid w:val="1E220F0E"/>
    <w:rsid w:val="1E2702D2"/>
    <w:rsid w:val="1E2A1B70"/>
    <w:rsid w:val="1E2A7DC2"/>
    <w:rsid w:val="1E31278D"/>
    <w:rsid w:val="1E354889"/>
    <w:rsid w:val="1E3649B9"/>
    <w:rsid w:val="1E3824DF"/>
    <w:rsid w:val="1E3D18A3"/>
    <w:rsid w:val="1E4470D6"/>
    <w:rsid w:val="1E4569AA"/>
    <w:rsid w:val="1E472722"/>
    <w:rsid w:val="1E4A3FC0"/>
    <w:rsid w:val="1E537319"/>
    <w:rsid w:val="1E5F5605"/>
    <w:rsid w:val="1E6A6411"/>
    <w:rsid w:val="1E74103D"/>
    <w:rsid w:val="1E780B2E"/>
    <w:rsid w:val="1E78617C"/>
    <w:rsid w:val="1E845724"/>
    <w:rsid w:val="1E8C6387"/>
    <w:rsid w:val="1E8E0351"/>
    <w:rsid w:val="1EA44311"/>
    <w:rsid w:val="1EB27D68"/>
    <w:rsid w:val="1EBB4EBE"/>
    <w:rsid w:val="1EBC3110"/>
    <w:rsid w:val="1EBF49AE"/>
    <w:rsid w:val="1EC10726"/>
    <w:rsid w:val="1ECC70CB"/>
    <w:rsid w:val="1ED0096A"/>
    <w:rsid w:val="1ED146E2"/>
    <w:rsid w:val="1ED3045A"/>
    <w:rsid w:val="1EECBF9A"/>
    <w:rsid w:val="1EF742C3"/>
    <w:rsid w:val="1EF83A1C"/>
    <w:rsid w:val="1EFB52BB"/>
    <w:rsid w:val="1EFF6C83"/>
    <w:rsid w:val="1F0B19A2"/>
    <w:rsid w:val="1F0C74C8"/>
    <w:rsid w:val="1F0E4FEE"/>
    <w:rsid w:val="1F1F369F"/>
    <w:rsid w:val="1F1F544D"/>
    <w:rsid w:val="1F2225CB"/>
    <w:rsid w:val="1F2962CC"/>
    <w:rsid w:val="1F2B5BA0"/>
    <w:rsid w:val="1F334A54"/>
    <w:rsid w:val="1F494278"/>
    <w:rsid w:val="1F4E188E"/>
    <w:rsid w:val="1F52137F"/>
    <w:rsid w:val="1F66307C"/>
    <w:rsid w:val="1F6B0692"/>
    <w:rsid w:val="1F6F0167"/>
    <w:rsid w:val="1F703EFB"/>
    <w:rsid w:val="1F767BAB"/>
    <w:rsid w:val="1F7E2174"/>
    <w:rsid w:val="1F89387B"/>
    <w:rsid w:val="1F8A4FBC"/>
    <w:rsid w:val="1F9A4AD4"/>
    <w:rsid w:val="1F9D6372"/>
    <w:rsid w:val="1FA31BDA"/>
    <w:rsid w:val="1FA871F0"/>
    <w:rsid w:val="1FAE057F"/>
    <w:rsid w:val="1FC65386"/>
    <w:rsid w:val="1FC81641"/>
    <w:rsid w:val="1FCD9F57"/>
    <w:rsid w:val="1FD2426D"/>
    <w:rsid w:val="1FD77AD6"/>
    <w:rsid w:val="1FDB5818"/>
    <w:rsid w:val="1FDE0E64"/>
    <w:rsid w:val="1FE76547"/>
    <w:rsid w:val="1FED72F9"/>
    <w:rsid w:val="1FEF4E1F"/>
    <w:rsid w:val="1FF7A9A3"/>
    <w:rsid w:val="1FFD1710"/>
    <w:rsid w:val="1FFF9B65"/>
    <w:rsid w:val="20052895"/>
    <w:rsid w:val="200603BB"/>
    <w:rsid w:val="200F101E"/>
    <w:rsid w:val="20112FE8"/>
    <w:rsid w:val="2012202A"/>
    <w:rsid w:val="20176124"/>
    <w:rsid w:val="20210D51"/>
    <w:rsid w:val="202248A0"/>
    <w:rsid w:val="202A5E57"/>
    <w:rsid w:val="202D28A2"/>
    <w:rsid w:val="202D5948"/>
    <w:rsid w:val="203211B0"/>
    <w:rsid w:val="204505AD"/>
    <w:rsid w:val="2046506A"/>
    <w:rsid w:val="204809D3"/>
    <w:rsid w:val="204A02A8"/>
    <w:rsid w:val="20545DA0"/>
    <w:rsid w:val="20592BE1"/>
    <w:rsid w:val="205A1477"/>
    <w:rsid w:val="205E3D53"/>
    <w:rsid w:val="20621A95"/>
    <w:rsid w:val="206E5764"/>
    <w:rsid w:val="206F29C8"/>
    <w:rsid w:val="207D067D"/>
    <w:rsid w:val="207D242B"/>
    <w:rsid w:val="20803CC9"/>
    <w:rsid w:val="20855784"/>
    <w:rsid w:val="208A05C2"/>
    <w:rsid w:val="209459C7"/>
    <w:rsid w:val="209B6D55"/>
    <w:rsid w:val="20A43E5C"/>
    <w:rsid w:val="20A976C4"/>
    <w:rsid w:val="20AF2801"/>
    <w:rsid w:val="20B22721"/>
    <w:rsid w:val="20BD4F1E"/>
    <w:rsid w:val="20E00C0C"/>
    <w:rsid w:val="20E30EE1"/>
    <w:rsid w:val="21004E0A"/>
    <w:rsid w:val="21050673"/>
    <w:rsid w:val="210C37AF"/>
    <w:rsid w:val="210E39CB"/>
    <w:rsid w:val="210E5779"/>
    <w:rsid w:val="21234104"/>
    <w:rsid w:val="21262AC3"/>
    <w:rsid w:val="212925B3"/>
    <w:rsid w:val="2129610F"/>
    <w:rsid w:val="212B632B"/>
    <w:rsid w:val="212C2B0A"/>
    <w:rsid w:val="212D20A3"/>
    <w:rsid w:val="21350F58"/>
    <w:rsid w:val="213A47C0"/>
    <w:rsid w:val="214E3DC8"/>
    <w:rsid w:val="21535882"/>
    <w:rsid w:val="215C4736"/>
    <w:rsid w:val="215D04AF"/>
    <w:rsid w:val="215D225D"/>
    <w:rsid w:val="215E0B0B"/>
    <w:rsid w:val="215F4227"/>
    <w:rsid w:val="21674E89"/>
    <w:rsid w:val="21676C37"/>
    <w:rsid w:val="2172400D"/>
    <w:rsid w:val="217D1928"/>
    <w:rsid w:val="217FB79B"/>
    <w:rsid w:val="21823A71"/>
    <w:rsid w:val="21846342"/>
    <w:rsid w:val="2188552B"/>
    <w:rsid w:val="219537A4"/>
    <w:rsid w:val="219E4D4F"/>
    <w:rsid w:val="219E891E"/>
    <w:rsid w:val="21A67760"/>
    <w:rsid w:val="21AE2AB8"/>
    <w:rsid w:val="21B55BF5"/>
    <w:rsid w:val="21C4408A"/>
    <w:rsid w:val="21C916A0"/>
    <w:rsid w:val="21CA5B44"/>
    <w:rsid w:val="21CC726B"/>
    <w:rsid w:val="21D03C6A"/>
    <w:rsid w:val="21D73DBD"/>
    <w:rsid w:val="21D97B35"/>
    <w:rsid w:val="21DC13D3"/>
    <w:rsid w:val="21E00BE9"/>
    <w:rsid w:val="21E07116"/>
    <w:rsid w:val="21EF7359"/>
    <w:rsid w:val="21F030D1"/>
    <w:rsid w:val="21F4671D"/>
    <w:rsid w:val="21F611BF"/>
    <w:rsid w:val="21F84180"/>
    <w:rsid w:val="21FB3F4F"/>
    <w:rsid w:val="21FE57EE"/>
    <w:rsid w:val="21FE759C"/>
    <w:rsid w:val="22054C02"/>
    <w:rsid w:val="22077ED1"/>
    <w:rsid w:val="220821C8"/>
    <w:rsid w:val="22095228"/>
    <w:rsid w:val="221D0DBA"/>
    <w:rsid w:val="221E19EC"/>
    <w:rsid w:val="222F59A7"/>
    <w:rsid w:val="22356D36"/>
    <w:rsid w:val="22477195"/>
    <w:rsid w:val="22515385"/>
    <w:rsid w:val="2254540E"/>
    <w:rsid w:val="2260764C"/>
    <w:rsid w:val="226338A3"/>
    <w:rsid w:val="22682C67"/>
    <w:rsid w:val="226A144B"/>
    <w:rsid w:val="227E248B"/>
    <w:rsid w:val="22813D29"/>
    <w:rsid w:val="22883309"/>
    <w:rsid w:val="228A0E2F"/>
    <w:rsid w:val="228D0920"/>
    <w:rsid w:val="229159BD"/>
    <w:rsid w:val="22947F00"/>
    <w:rsid w:val="229E0D7F"/>
    <w:rsid w:val="22A00653"/>
    <w:rsid w:val="22A75E85"/>
    <w:rsid w:val="22B365D8"/>
    <w:rsid w:val="22BA6296"/>
    <w:rsid w:val="22BB723B"/>
    <w:rsid w:val="22C2681B"/>
    <w:rsid w:val="22CC58EC"/>
    <w:rsid w:val="22CE047A"/>
    <w:rsid w:val="22CF0F38"/>
    <w:rsid w:val="22D402FC"/>
    <w:rsid w:val="22DF73CD"/>
    <w:rsid w:val="22E13CE0"/>
    <w:rsid w:val="22E42C35"/>
    <w:rsid w:val="22E449E3"/>
    <w:rsid w:val="22E91FFA"/>
    <w:rsid w:val="22EB3FC4"/>
    <w:rsid w:val="22FE5379"/>
    <w:rsid w:val="23045086"/>
    <w:rsid w:val="23111551"/>
    <w:rsid w:val="231828DF"/>
    <w:rsid w:val="231A0549"/>
    <w:rsid w:val="23240E85"/>
    <w:rsid w:val="23305E7B"/>
    <w:rsid w:val="23353491"/>
    <w:rsid w:val="2335523F"/>
    <w:rsid w:val="23360FB7"/>
    <w:rsid w:val="233C481F"/>
    <w:rsid w:val="233D692C"/>
    <w:rsid w:val="23400BF8"/>
    <w:rsid w:val="2342795C"/>
    <w:rsid w:val="23471E27"/>
    <w:rsid w:val="234907C2"/>
    <w:rsid w:val="234A05BF"/>
    <w:rsid w:val="234B1A6D"/>
    <w:rsid w:val="23521C49"/>
    <w:rsid w:val="23641680"/>
    <w:rsid w:val="23671171"/>
    <w:rsid w:val="2369138D"/>
    <w:rsid w:val="23694EE9"/>
    <w:rsid w:val="236A0F1A"/>
    <w:rsid w:val="236E24FF"/>
    <w:rsid w:val="23700025"/>
    <w:rsid w:val="237815D0"/>
    <w:rsid w:val="2378512C"/>
    <w:rsid w:val="237F64BA"/>
    <w:rsid w:val="23841D23"/>
    <w:rsid w:val="23847F75"/>
    <w:rsid w:val="23A14683"/>
    <w:rsid w:val="23A44173"/>
    <w:rsid w:val="23A91789"/>
    <w:rsid w:val="23AE0B4E"/>
    <w:rsid w:val="23BA1BE8"/>
    <w:rsid w:val="23BC14BC"/>
    <w:rsid w:val="23C142D5"/>
    <w:rsid w:val="23D305B4"/>
    <w:rsid w:val="23D31205"/>
    <w:rsid w:val="23E32EED"/>
    <w:rsid w:val="23EB6BA1"/>
    <w:rsid w:val="23F46EA8"/>
    <w:rsid w:val="23FECD34"/>
    <w:rsid w:val="24062738"/>
    <w:rsid w:val="240A66CC"/>
    <w:rsid w:val="240B5FA0"/>
    <w:rsid w:val="240F5A90"/>
    <w:rsid w:val="24280900"/>
    <w:rsid w:val="24294678"/>
    <w:rsid w:val="242B219E"/>
    <w:rsid w:val="242F6132"/>
    <w:rsid w:val="24311EAA"/>
    <w:rsid w:val="243472A5"/>
    <w:rsid w:val="243674C1"/>
    <w:rsid w:val="243E6375"/>
    <w:rsid w:val="24523BCF"/>
    <w:rsid w:val="2457DE85"/>
    <w:rsid w:val="246A53BC"/>
    <w:rsid w:val="246D6C5B"/>
    <w:rsid w:val="2479115B"/>
    <w:rsid w:val="247D50F0"/>
    <w:rsid w:val="24853FA4"/>
    <w:rsid w:val="24863878"/>
    <w:rsid w:val="249441E7"/>
    <w:rsid w:val="24A106B2"/>
    <w:rsid w:val="24A25583"/>
    <w:rsid w:val="24A355C5"/>
    <w:rsid w:val="24A627A3"/>
    <w:rsid w:val="24A85EE5"/>
    <w:rsid w:val="24AA3A0B"/>
    <w:rsid w:val="24AF1021"/>
    <w:rsid w:val="24B769CF"/>
    <w:rsid w:val="24BB5C18"/>
    <w:rsid w:val="24C45587"/>
    <w:rsid w:val="24CC3981"/>
    <w:rsid w:val="24D10F97"/>
    <w:rsid w:val="24D740D4"/>
    <w:rsid w:val="24D91068"/>
    <w:rsid w:val="24D942F0"/>
    <w:rsid w:val="24DD793C"/>
    <w:rsid w:val="24DE1906"/>
    <w:rsid w:val="24E231A5"/>
    <w:rsid w:val="24E567F1"/>
    <w:rsid w:val="24EF6208"/>
    <w:rsid w:val="24F15196"/>
    <w:rsid w:val="24F44C86"/>
    <w:rsid w:val="24F86524"/>
    <w:rsid w:val="250550E5"/>
    <w:rsid w:val="25070E5D"/>
    <w:rsid w:val="25090731"/>
    <w:rsid w:val="250A1994"/>
    <w:rsid w:val="250A26FB"/>
    <w:rsid w:val="250F1AC0"/>
    <w:rsid w:val="251E0098"/>
    <w:rsid w:val="252217F3"/>
    <w:rsid w:val="25292B82"/>
    <w:rsid w:val="252C4420"/>
    <w:rsid w:val="253B28B5"/>
    <w:rsid w:val="254774AC"/>
    <w:rsid w:val="254B34D1"/>
    <w:rsid w:val="255045B2"/>
    <w:rsid w:val="25513E86"/>
    <w:rsid w:val="2556149D"/>
    <w:rsid w:val="25566A31"/>
    <w:rsid w:val="2567153B"/>
    <w:rsid w:val="256E4A38"/>
    <w:rsid w:val="257264FC"/>
    <w:rsid w:val="25761B3F"/>
    <w:rsid w:val="2584600A"/>
    <w:rsid w:val="258B7398"/>
    <w:rsid w:val="25956469"/>
    <w:rsid w:val="25A20B86"/>
    <w:rsid w:val="25A4045A"/>
    <w:rsid w:val="25A95A70"/>
    <w:rsid w:val="25B508B9"/>
    <w:rsid w:val="25B75F7D"/>
    <w:rsid w:val="25BD32CA"/>
    <w:rsid w:val="25C44658"/>
    <w:rsid w:val="25C805EC"/>
    <w:rsid w:val="25CB3C39"/>
    <w:rsid w:val="25D54AB7"/>
    <w:rsid w:val="25DC4098"/>
    <w:rsid w:val="25E42F4C"/>
    <w:rsid w:val="25E76599"/>
    <w:rsid w:val="25E847EB"/>
    <w:rsid w:val="25EB42DB"/>
    <w:rsid w:val="25FA451E"/>
    <w:rsid w:val="25FB1C9A"/>
    <w:rsid w:val="25FDDD4A"/>
    <w:rsid w:val="26025181"/>
    <w:rsid w:val="260809E9"/>
    <w:rsid w:val="26086C3B"/>
    <w:rsid w:val="2609454D"/>
    <w:rsid w:val="260D5FFF"/>
    <w:rsid w:val="26103D41"/>
    <w:rsid w:val="26106CD4"/>
    <w:rsid w:val="26170C2C"/>
    <w:rsid w:val="261F3F85"/>
    <w:rsid w:val="262E5F76"/>
    <w:rsid w:val="263317DE"/>
    <w:rsid w:val="263502CA"/>
    <w:rsid w:val="26364C6D"/>
    <w:rsid w:val="26413EFB"/>
    <w:rsid w:val="26445799"/>
    <w:rsid w:val="26485289"/>
    <w:rsid w:val="264D28A0"/>
    <w:rsid w:val="266100F9"/>
    <w:rsid w:val="2666570F"/>
    <w:rsid w:val="266876DA"/>
    <w:rsid w:val="267468C4"/>
    <w:rsid w:val="267E0DD6"/>
    <w:rsid w:val="26931907"/>
    <w:rsid w:val="269F3FA4"/>
    <w:rsid w:val="26A85D28"/>
    <w:rsid w:val="26AD333E"/>
    <w:rsid w:val="26C37006"/>
    <w:rsid w:val="26C62652"/>
    <w:rsid w:val="26C8461C"/>
    <w:rsid w:val="26C863CA"/>
    <w:rsid w:val="26CC6D6F"/>
    <w:rsid w:val="26CD1C32"/>
    <w:rsid w:val="26CF7759"/>
    <w:rsid w:val="26D11723"/>
    <w:rsid w:val="26D22DA5"/>
    <w:rsid w:val="26D62895"/>
    <w:rsid w:val="26D94133"/>
    <w:rsid w:val="26E50D2A"/>
    <w:rsid w:val="26E56F7C"/>
    <w:rsid w:val="26E63869"/>
    <w:rsid w:val="26F14FB2"/>
    <w:rsid w:val="270513CC"/>
    <w:rsid w:val="2705317A"/>
    <w:rsid w:val="27070CA1"/>
    <w:rsid w:val="270A14E8"/>
    <w:rsid w:val="270E64D3"/>
    <w:rsid w:val="27207FB4"/>
    <w:rsid w:val="27231852"/>
    <w:rsid w:val="27340456"/>
    <w:rsid w:val="273F6718"/>
    <w:rsid w:val="274556D9"/>
    <w:rsid w:val="27457A1B"/>
    <w:rsid w:val="274719E5"/>
    <w:rsid w:val="274C6FFB"/>
    <w:rsid w:val="275B0DCC"/>
    <w:rsid w:val="275B2D9A"/>
    <w:rsid w:val="275B723E"/>
    <w:rsid w:val="275D6B12"/>
    <w:rsid w:val="276854B7"/>
    <w:rsid w:val="276E2ACE"/>
    <w:rsid w:val="27736336"/>
    <w:rsid w:val="279369D8"/>
    <w:rsid w:val="27960276"/>
    <w:rsid w:val="27978253"/>
    <w:rsid w:val="279938C3"/>
    <w:rsid w:val="27A06E4B"/>
    <w:rsid w:val="27AB1F17"/>
    <w:rsid w:val="27AC7A9A"/>
    <w:rsid w:val="27B150B0"/>
    <w:rsid w:val="27B4276B"/>
    <w:rsid w:val="27BD1CA7"/>
    <w:rsid w:val="27CF5806"/>
    <w:rsid w:val="27D45C2C"/>
    <w:rsid w:val="27DA0163"/>
    <w:rsid w:val="27DA63B5"/>
    <w:rsid w:val="27DD5EA5"/>
    <w:rsid w:val="27E27527"/>
    <w:rsid w:val="27EA0207"/>
    <w:rsid w:val="27FA3728"/>
    <w:rsid w:val="280E42B1"/>
    <w:rsid w:val="28101DD7"/>
    <w:rsid w:val="2811333C"/>
    <w:rsid w:val="28180C8B"/>
    <w:rsid w:val="281E2746"/>
    <w:rsid w:val="28244A65"/>
    <w:rsid w:val="28245B10"/>
    <w:rsid w:val="28377363"/>
    <w:rsid w:val="283C0E1E"/>
    <w:rsid w:val="283C4029"/>
    <w:rsid w:val="284303FE"/>
    <w:rsid w:val="28485A15"/>
    <w:rsid w:val="284A1C4B"/>
    <w:rsid w:val="284D302B"/>
    <w:rsid w:val="28500425"/>
    <w:rsid w:val="285162F7"/>
    <w:rsid w:val="28537F15"/>
    <w:rsid w:val="286E6AFD"/>
    <w:rsid w:val="28700AC7"/>
    <w:rsid w:val="28757E8C"/>
    <w:rsid w:val="28775782"/>
    <w:rsid w:val="287C746C"/>
    <w:rsid w:val="28804A3B"/>
    <w:rsid w:val="288325A9"/>
    <w:rsid w:val="28846321"/>
    <w:rsid w:val="28887BBF"/>
    <w:rsid w:val="288B1059"/>
    <w:rsid w:val="288B3B53"/>
    <w:rsid w:val="2891180C"/>
    <w:rsid w:val="289A78F2"/>
    <w:rsid w:val="28A30E9D"/>
    <w:rsid w:val="28A8200F"/>
    <w:rsid w:val="28AD1D1C"/>
    <w:rsid w:val="28B430A6"/>
    <w:rsid w:val="28BC3D0D"/>
    <w:rsid w:val="28C055AB"/>
    <w:rsid w:val="28C81C8E"/>
    <w:rsid w:val="28CC07C1"/>
    <w:rsid w:val="28CD1A76"/>
    <w:rsid w:val="28D01566"/>
    <w:rsid w:val="28D15A0A"/>
    <w:rsid w:val="28D64DCE"/>
    <w:rsid w:val="28D76D98"/>
    <w:rsid w:val="28D92B11"/>
    <w:rsid w:val="28D948BF"/>
    <w:rsid w:val="28DB0637"/>
    <w:rsid w:val="28DE3C83"/>
    <w:rsid w:val="28E15521"/>
    <w:rsid w:val="28EA67FF"/>
    <w:rsid w:val="28F416F8"/>
    <w:rsid w:val="29177195"/>
    <w:rsid w:val="29187854"/>
    <w:rsid w:val="291E22D1"/>
    <w:rsid w:val="29220014"/>
    <w:rsid w:val="292E4C0A"/>
    <w:rsid w:val="2935509C"/>
    <w:rsid w:val="29361D11"/>
    <w:rsid w:val="29385A89"/>
    <w:rsid w:val="29475CCC"/>
    <w:rsid w:val="294A30C6"/>
    <w:rsid w:val="294E705B"/>
    <w:rsid w:val="29542197"/>
    <w:rsid w:val="295B1778"/>
    <w:rsid w:val="296E63E0"/>
    <w:rsid w:val="29746395"/>
    <w:rsid w:val="29802F8C"/>
    <w:rsid w:val="298567F4"/>
    <w:rsid w:val="298B3C49"/>
    <w:rsid w:val="298E38FB"/>
    <w:rsid w:val="298F4F7D"/>
    <w:rsid w:val="299802D6"/>
    <w:rsid w:val="29982084"/>
    <w:rsid w:val="29AA1DB7"/>
    <w:rsid w:val="29AE18A7"/>
    <w:rsid w:val="29B10C44"/>
    <w:rsid w:val="29B669AE"/>
    <w:rsid w:val="29BD1AEA"/>
    <w:rsid w:val="29CC4423"/>
    <w:rsid w:val="29D46E34"/>
    <w:rsid w:val="29E4176D"/>
    <w:rsid w:val="29F15C38"/>
    <w:rsid w:val="29F3375E"/>
    <w:rsid w:val="29FB2613"/>
    <w:rsid w:val="29FD439E"/>
    <w:rsid w:val="2A0239A1"/>
    <w:rsid w:val="2A0C2A72"/>
    <w:rsid w:val="2A0D0CC4"/>
    <w:rsid w:val="2A0E2346"/>
    <w:rsid w:val="2A3224D8"/>
    <w:rsid w:val="2A504DC9"/>
    <w:rsid w:val="2A5073B7"/>
    <w:rsid w:val="2A5E32CD"/>
    <w:rsid w:val="2A5F0DF4"/>
    <w:rsid w:val="2A60590D"/>
    <w:rsid w:val="2A685EFA"/>
    <w:rsid w:val="2A693A20"/>
    <w:rsid w:val="2A6B7798"/>
    <w:rsid w:val="2A6E261F"/>
    <w:rsid w:val="2A6E7289"/>
    <w:rsid w:val="2A7C19A5"/>
    <w:rsid w:val="2A830F86"/>
    <w:rsid w:val="2A88356D"/>
    <w:rsid w:val="2A930540"/>
    <w:rsid w:val="2A952A67"/>
    <w:rsid w:val="2AAD1E00"/>
    <w:rsid w:val="2AAE108E"/>
    <w:rsid w:val="2AAE57AB"/>
    <w:rsid w:val="2AB078A1"/>
    <w:rsid w:val="2AB54EB7"/>
    <w:rsid w:val="2ABE3D6C"/>
    <w:rsid w:val="2ABF1892"/>
    <w:rsid w:val="2AC1385C"/>
    <w:rsid w:val="2AC944BF"/>
    <w:rsid w:val="2AD57308"/>
    <w:rsid w:val="2AD73080"/>
    <w:rsid w:val="2ADD7F15"/>
    <w:rsid w:val="2AE644A6"/>
    <w:rsid w:val="2AEB2687"/>
    <w:rsid w:val="2AF8590E"/>
    <w:rsid w:val="2AF94DA4"/>
    <w:rsid w:val="2AFD1AE8"/>
    <w:rsid w:val="2B006133"/>
    <w:rsid w:val="2B083239"/>
    <w:rsid w:val="2B0B4AD7"/>
    <w:rsid w:val="2B0C2F93"/>
    <w:rsid w:val="2B110340"/>
    <w:rsid w:val="2B1273E0"/>
    <w:rsid w:val="2B285689"/>
    <w:rsid w:val="2B287437"/>
    <w:rsid w:val="2B2D0EF2"/>
    <w:rsid w:val="2B3B53BD"/>
    <w:rsid w:val="2B3C1135"/>
    <w:rsid w:val="2B3C2072"/>
    <w:rsid w:val="2B4029D3"/>
    <w:rsid w:val="2B430715"/>
    <w:rsid w:val="2B434271"/>
    <w:rsid w:val="2B496A2D"/>
    <w:rsid w:val="2B5126A9"/>
    <w:rsid w:val="2B514BE0"/>
    <w:rsid w:val="2B5B251A"/>
    <w:rsid w:val="2B5E10AB"/>
    <w:rsid w:val="2B620B9B"/>
    <w:rsid w:val="2B6761B2"/>
    <w:rsid w:val="2B6C1A1A"/>
    <w:rsid w:val="2B755B97"/>
    <w:rsid w:val="2B794137"/>
    <w:rsid w:val="2B7F799F"/>
    <w:rsid w:val="2B886128"/>
    <w:rsid w:val="2B911481"/>
    <w:rsid w:val="2B966A97"/>
    <w:rsid w:val="2B97729C"/>
    <w:rsid w:val="2B996587"/>
    <w:rsid w:val="2B9E76FA"/>
    <w:rsid w:val="2B9F3B9D"/>
    <w:rsid w:val="2BA016C4"/>
    <w:rsid w:val="2BAE2033"/>
    <w:rsid w:val="2BC52ED8"/>
    <w:rsid w:val="2BC7343E"/>
    <w:rsid w:val="2BC929C8"/>
    <w:rsid w:val="2BD33847"/>
    <w:rsid w:val="2BDF93B8"/>
    <w:rsid w:val="2BE45A54"/>
    <w:rsid w:val="2BE9306B"/>
    <w:rsid w:val="2BFFCE1A"/>
    <w:rsid w:val="2C0E0D23"/>
    <w:rsid w:val="2C11611D"/>
    <w:rsid w:val="2C2C2F57"/>
    <w:rsid w:val="2C3342E6"/>
    <w:rsid w:val="2C3A5674"/>
    <w:rsid w:val="2C3D6F12"/>
    <w:rsid w:val="2C412EA7"/>
    <w:rsid w:val="2C4604BD"/>
    <w:rsid w:val="2C46226B"/>
    <w:rsid w:val="2C4E7372"/>
    <w:rsid w:val="2C5A1872"/>
    <w:rsid w:val="2C5A3F68"/>
    <w:rsid w:val="2C5DBD9F"/>
    <w:rsid w:val="2C70553A"/>
    <w:rsid w:val="2C76065F"/>
    <w:rsid w:val="2C7F752B"/>
    <w:rsid w:val="2C99207D"/>
    <w:rsid w:val="2C9A25B7"/>
    <w:rsid w:val="2C9F197B"/>
    <w:rsid w:val="2C9F3729"/>
    <w:rsid w:val="2CA70094"/>
    <w:rsid w:val="2CB14D7A"/>
    <w:rsid w:val="2CB76CC5"/>
    <w:rsid w:val="2CC43190"/>
    <w:rsid w:val="2CC51B0F"/>
    <w:rsid w:val="2CC6515A"/>
    <w:rsid w:val="2CCD64E8"/>
    <w:rsid w:val="2CDE2011"/>
    <w:rsid w:val="2CDE6947"/>
    <w:rsid w:val="2CE13D42"/>
    <w:rsid w:val="2CE35749"/>
    <w:rsid w:val="2CE55B07"/>
    <w:rsid w:val="2CEA709A"/>
    <w:rsid w:val="2CF03F85"/>
    <w:rsid w:val="2CF9108B"/>
    <w:rsid w:val="2CF972DD"/>
    <w:rsid w:val="2CFB12A7"/>
    <w:rsid w:val="2D0068BE"/>
    <w:rsid w:val="2D0B0DBF"/>
    <w:rsid w:val="2D0D2D89"/>
    <w:rsid w:val="2D131DF4"/>
    <w:rsid w:val="2D1468EB"/>
    <w:rsid w:val="2D1A7254"/>
    <w:rsid w:val="2D1B3D78"/>
    <w:rsid w:val="2D1C4D7A"/>
    <w:rsid w:val="2D2105E2"/>
    <w:rsid w:val="2D2500D2"/>
    <w:rsid w:val="2D2B1461"/>
    <w:rsid w:val="2D2D342B"/>
    <w:rsid w:val="2D3447B9"/>
    <w:rsid w:val="2D3C7F3B"/>
    <w:rsid w:val="2D40315E"/>
    <w:rsid w:val="2D406CBA"/>
    <w:rsid w:val="2D430559"/>
    <w:rsid w:val="2D4F33A1"/>
    <w:rsid w:val="2D4F514F"/>
    <w:rsid w:val="2D510EC7"/>
    <w:rsid w:val="2D5269EE"/>
    <w:rsid w:val="2D5524DE"/>
    <w:rsid w:val="2D5C161A"/>
    <w:rsid w:val="2D5E5392"/>
    <w:rsid w:val="2D6147CA"/>
    <w:rsid w:val="2D7828F8"/>
    <w:rsid w:val="2D7C1CBC"/>
    <w:rsid w:val="2D7D16A7"/>
    <w:rsid w:val="2D811081"/>
    <w:rsid w:val="2D8172D3"/>
    <w:rsid w:val="2D8868B3"/>
    <w:rsid w:val="2D8A262B"/>
    <w:rsid w:val="2D9139BA"/>
    <w:rsid w:val="2D9C5EBB"/>
    <w:rsid w:val="2DA84860"/>
    <w:rsid w:val="2DAA43B3"/>
    <w:rsid w:val="2DAC25A2"/>
    <w:rsid w:val="2DB03710"/>
    <w:rsid w:val="2DB31B82"/>
    <w:rsid w:val="2DC25921"/>
    <w:rsid w:val="2DCF003E"/>
    <w:rsid w:val="2DD1025A"/>
    <w:rsid w:val="2DDB2E87"/>
    <w:rsid w:val="2DDB69E3"/>
    <w:rsid w:val="2DDC0F82"/>
    <w:rsid w:val="2DE133A7"/>
    <w:rsid w:val="2DE18D43"/>
    <w:rsid w:val="2DED1561"/>
    <w:rsid w:val="2DF950BB"/>
    <w:rsid w:val="2DF9D1FC"/>
    <w:rsid w:val="2DFB0E33"/>
    <w:rsid w:val="2DFE28CF"/>
    <w:rsid w:val="2E051CB2"/>
    <w:rsid w:val="2E057F04"/>
    <w:rsid w:val="2E063C32"/>
    <w:rsid w:val="2E0C3040"/>
    <w:rsid w:val="2E0C7FE0"/>
    <w:rsid w:val="2E0F48DF"/>
    <w:rsid w:val="2E13617D"/>
    <w:rsid w:val="2E156399"/>
    <w:rsid w:val="2E1777FA"/>
    <w:rsid w:val="2E1A575D"/>
    <w:rsid w:val="2E1B3283"/>
    <w:rsid w:val="2E1B37AE"/>
    <w:rsid w:val="2E2E1209"/>
    <w:rsid w:val="2E304F81"/>
    <w:rsid w:val="2E383912"/>
    <w:rsid w:val="2E383E35"/>
    <w:rsid w:val="2E3A7481"/>
    <w:rsid w:val="2E4722CA"/>
    <w:rsid w:val="2E580034"/>
    <w:rsid w:val="2E67296D"/>
    <w:rsid w:val="2E6764C9"/>
    <w:rsid w:val="2E6A7D67"/>
    <w:rsid w:val="2E6C58E0"/>
    <w:rsid w:val="2E6D7F83"/>
    <w:rsid w:val="2E6E5AA9"/>
    <w:rsid w:val="2E7D7A9A"/>
    <w:rsid w:val="2E8250B1"/>
    <w:rsid w:val="2E8B21B7"/>
    <w:rsid w:val="2E921798"/>
    <w:rsid w:val="2E973D6B"/>
    <w:rsid w:val="2E9A4AF0"/>
    <w:rsid w:val="2E9F3EB4"/>
    <w:rsid w:val="2EA414CB"/>
    <w:rsid w:val="2EA43279"/>
    <w:rsid w:val="2EB15996"/>
    <w:rsid w:val="2EB536D8"/>
    <w:rsid w:val="2EBC6814"/>
    <w:rsid w:val="2EBF4557"/>
    <w:rsid w:val="2EC92CDF"/>
    <w:rsid w:val="2ED75C91"/>
    <w:rsid w:val="2ED95618"/>
    <w:rsid w:val="2EDB7FA0"/>
    <w:rsid w:val="2EDF0755"/>
    <w:rsid w:val="2EE214BA"/>
    <w:rsid w:val="2EE87609"/>
    <w:rsid w:val="2EEA16A4"/>
    <w:rsid w:val="2EF73141"/>
    <w:rsid w:val="2EF73CF0"/>
    <w:rsid w:val="2EFCEBDD"/>
    <w:rsid w:val="2F0B5440"/>
    <w:rsid w:val="2F1321AD"/>
    <w:rsid w:val="2F195A15"/>
    <w:rsid w:val="2F1C5505"/>
    <w:rsid w:val="2F230642"/>
    <w:rsid w:val="2F2A7C22"/>
    <w:rsid w:val="2F2B399A"/>
    <w:rsid w:val="2F2D326E"/>
    <w:rsid w:val="2F37233F"/>
    <w:rsid w:val="2F3960B7"/>
    <w:rsid w:val="2F3C5BA7"/>
    <w:rsid w:val="2F474683"/>
    <w:rsid w:val="2F4777A0"/>
    <w:rsid w:val="2F4B5DEA"/>
    <w:rsid w:val="2F4F53F4"/>
    <w:rsid w:val="2F527179"/>
    <w:rsid w:val="2F5469C0"/>
    <w:rsid w:val="2F5729E1"/>
    <w:rsid w:val="2F5C0D20"/>
    <w:rsid w:val="2F6649D2"/>
    <w:rsid w:val="2F6A44C2"/>
    <w:rsid w:val="2F7BD126"/>
    <w:rsid w:val="2F7E04F5"/>
    <w:rsid w:val="2F8C4439"/>
    <w:rsid w:val="2F937491"/>
    <w:rsid w:val="2F95E1BC"/>
    <w:rsid w:val="2F970416"/>
    <w:rsid w:val="2F982F65"/>
    <w:rsid w:val="2F986A91"/>
    <w:rsid w:val="2F9C6EA9"/>
    <w:rsid w:val="2F9E416C"/>
    <w:rsid w:val="2F9E57CA"/>
    <w:rsid w:val="2F9E5F1A"/>
    <w:rsid w:val="2FA572A9"/>
    <w:rsid w:val="2FA8323D"/>
    <w:rsid w:val="2FA83615"/>
    <w:rsid w:val="2FB90FA6"/>
    <w:rsid w:val="2FBB0BA0"/>
    <w:rsid w:val="2FBF2E6A"/>
    <w:rsid w:val="2FBF6C12"/>
    <w:rsid w:val="2FC35981"/>
    <w:rsid w:val="2FC90A0E"/>
    <w:rsid w:val="2FCA4353"/>
    <w:rsid w:val="2FCC0CD9"/>
    <w:rsid w:val="2FDC6A42"/>
    <w:rsid w:val="2FE11A57"/>
    <w:rsid w:val="2FE33E09"/>
    <w:rsid w:val="2FE36023"/>
    <w:rsid w:val="2FE73D65"/>
    <w:rsid w:val="2FED29FE"/>
    <w:rsid w:val="2FEE6EA1"/>
    <w:rsid w:val="2FEE7C14"/>
    <w:rsid w:val="2FEFD828"/>
    <w:rsid w:val="2FF21325"/>
    <w:rsid w:val="2FF678CB"/>
    <w:rsid w:val="2FF95846"/>
    <w:rsid w:val="2FFA1997"/>
    <w:rsid w:val="2FFB9817"/>
    <w:rsid w:val="2FFD0E93"/>
    <w:rsid w:val="2FFF0037"/>
    <w:rsid w:val="30004E27"/>
    <w:rsid w:val="30085A89"/>
    <w:rsid w:val="30093CDB"/>
    <w:rsid w:val="300A7A53"/>
    <w:rsid w:val="300F506A"/>
    <w:rsid w:val="30112B90"/>
    <w:rsid w:val="30134B5A"/>
    <w:rsid w:val="301B1C70"/>
    <w:rsid w:val="30212E43"/>
    <w:rsid w:val="3029612C"/>
    <w:rsid w:val="30332B06"/>
    <w:rsid w:val="30386386"/>
    <w:rsid w:val="30393E95"/>
    <w:rsid w:val="304C1E1A"/>
    <w:rsid w:val="305331A8"/>
    <w:rsid w:val="305807BF"/>
    <w:rsid w:val="305B205D"/>
    <w:rsid w:val="305E1622"/>
    <w:rsid w:val="3069477A"/>
    <w:rsid w:val="30731B18"/>
    <w:rsid w:val="30792C17"/>
    <w:rsid w:val="307D1FD3"/>
    <w:rsid w:val="30831CBD"/>
    <w:rsid w:val="309D08C8"/>
    <w:rsid w:val="30A25EDE"/>
    <w:rsid w:val="30A43A04"/>
    <w:rsid w:val="30B860DB"/>
    <w:rsid w:val="30BA3228"/>
    <w:rsid w:val="30BA6D84"/>
    <w:rsid w:val="30C65728"/>
    <w:rsid w:val="30DF5D71"/>
    <w:rsid w:val="30E42053"/>
    <w:rsid w:val="30F2476F"/>
    <w:rsid w:val="30F415DE"/>
    <w:rsid w:val="30F42D27"/>
    <w:rsid w:val="30FA3624"/>
    <w:rsid w:val="31003190"/>
    <w:rsid w:val="3106021B"/>
    <w:rsid w:val="31097D0B"/>
    <w:rsid w:val="310B75DF"/>
    <w:rsid w:val="310F3573"/>
    <w:rsid w:val="31101099"/>
    <w:rsid w:val="3115220C"/>
    <w:rsid w:val="311F12DD"/>
    <w:rsid w:val="312132A7"/>
    <w:rsid w:val="312E32CE"/>
    <w:rsid w:val="31307046"/>
    <w:rsid w:val="313308E4"/>
    <w:rsid w:val="313C59EB"/>
    <w:rsid w:val="31490108"/>
    <w:rsid w:val="31556AAC"/>
    <w:rsid w:val="31592A40"/>
    <w:rsid w:val="315C7E3B"/>
    <w:rsid w:val="316136A3"/>
    <w:rsid w:val="316867E0"/>
    <w:rsid w:val="31815AF3"/>
    <w:rsid w:val="31884247"/>
    <w:rsid w:val="31A56340"/>
    <w:rsid w:val="31AA329C"/>
    <w:rsid w:val="31AB7E8D"/>
    <w:rsid w:val="31B5579D"/>
    <w:rsid w:val="31C14142"/>
    <w:rsid w:val="31C61758"/>
    <w:rsid w:val="31C83722"/>
    <w:rsid w:val="31CA1248"/>
    <w:rsid w:val="31CA56EC"/>
    <w:rsid w:val="31CA749A"/>
    <w:rsid w:val="31DA42D4"/>
    <w:rsid w:val="31DB5204"/>
    <w:rsid w:val="31E06CBE"/>
    <w:rsid w:val="31ED794E"/>
    <w:rsid w:val="32052280"/>
    <w:rsid w:val="32081D71"/>
    <w:rsid w:val="32084651"/>
    <w:rsid w:val="320C7AB3"/>
    <w:rsid w:val="320E382B"/>
    <w:rsid w:val="321626E0"/>
    <w:rsid w:val="321B5F48"/>
    <w:rsid w:val="322546D1"/>
    <w:rsid w:val="322E5C7B"/>
    <w:rsid w:val="32326DEE"/>
    <w:rsid w:val="324C7EAF"/>
    <w:rsid w:val="325750CD"/>
    <w:rsid w:val="325D20BC"/>
    <w:rsid w:val="3260395B"/>
    <w:rsid w:val="32622EB3"/>
    <w:rsid w:val="32676A97"/>
    <w:rsid w:val="326A5BDD"/>
    <w:rsid w:val="32737B32"/>
    <w:rsid w:val="3276317E"/>
    <w:rsid w:val="32766A06"/>
    <w:rsid w:val="32827D75"/>
    <w:rsid w:val="329D070B"/>
    <w:rsid w:val="32B759A1"/>
    <w:rsid w:val="32BA12BD"/>
    <w:rsid w:val="32BD0DAD"/>
    <w:rsid w:val="32BD6FFF"/>
    <w:rsid w:val="32BF4B25"/>
    <w:rsid w:val="32C959A4"/>
    <w:rsid w:val="32CA41AC"/>
    <w:rsid w:val="32CB34CA"/>
    <w:rsid w:val="32D00AE0"/>
    <w:rsid w:val="32D3237F"/>
    <w:rsid w:val="32E14A9C"/>
    <w:rsid w:val="32EFE078"/>
    <w:rsid w:val="32F12805"/>
    <w:rsid w:val="32FD35EC"/>
    <w:rsid w:val="32FF2731"/>
    <w:rsid w:val="330C763F"/>
    <w:rsid w:val="330E1609"/>
    <w:rsid w:val="33152997"/>
    <w:rsid w:val="33174961"/>
    <w:rsid w:val="331D7A9E"/>
    <w:rsid w:val="33233306"/>
    <w:rsid w:val="332350B4"/>
    <w:rsid w:val="332E3A59"/>
    <w:rsid w:val="3330332D"/>
    <w:rsid w:val="333077D1"/>
    <w:rsid w:val="334B460B"/>
    <w:rsid w:val="335F3F1B"/>
    <w:rsid w:val="33633703"/>
    <w:rsid w:val="336B0CE6"/>
    <w:rsid w:val="336B6A5B"/>
    <w:rsid w:val="33792F26"/>
    <w:rsid w:val="337A1509"/>
    <w:rsid w:val="337C47C4"/>
    <w:rsid w:val="339C4E66"/>
    <w:rsid w:val="33A06705"/>
    <w:rsid w:val="33A31D51"/>
    <w:rsid w:val="33A51F6D"/>
    <w:rsid w:val="33AD0E22"/>
    <w:rsid w:val="33AD497E"/>
    <w:rsid w:val="33B01C77"/>
    <w:rsid w:val="33B71CA0"/>
    <w:rsid w:val="33CF4028"/>
    <w:rsid w:val="33D75E9F"/>
    <w:rsid w:val="33D939C5"/>
    <w:rsid w:val="33E02FA5"/>
    <w:rsid w:val="33E65B1A"/>
    <w:rsid w:val="33F26F3F"/>
    <w:rsid w:val="33FB97EC"/>
    <w:rsid w:val="34000F51"/>
    <w:rsid w:val="340D6598"/>
    <w:rsid w:val="34117602"/>
    <w:rsid w:val="34160775"/>
    <w:rsid w:val="341C1B03"/>
    <w:rsid w:val="341C39C4"/>
    <w:rsid w:val="342A06C4"/>
    <w:rsid w:val="342A4220"/>
    <w:rsid w:val="342F5CDB"/>
    <w:rsid w:val="343432F1"/>
    <w:rsid w:val="34425A0E"/>
    <w:rsid w:val="344C23E9"/>
    <w:rsid w:val="344F1ED9"/>
    <w:rsid w:val="34533777"/>
    <w:rsid w:val="345530EC"/>
    <w:rsid w:val="34565015"/>
    <w:rsid w:val="345FD824"/>
    <w:rsid w:val="346239BA"/>
    <w:rsid w:val="346534AA"/>
    <w:rsid w:val="346F4329"/>
    <w:rsid w:val="3470246C"/>
    <w:rsid w:val="347D25A2"/>
    <w:rsid w:val="34847DD4"/>
    <w:rsid w:val="348558FB"/>
    <w:rsid w:val="34880F47"/>
    <w:rsid w:val="34904FED"/>
    <w:rsid w:val="349D49F2"/>
    <w:rsid w:val="34A55F9D"/>
    <w:rsid w:val="34A75871"/>
    <w:rsid w:val="34AC732B"/>
    <w:rsid w:val="34B166F0"/>
    <w:rsid w:val="34B63D06"/>
    <w:rsid w:val="34C53F49"/>
    <w:rsid w:val="34C71A6F"/>
    <w:rsid w:val="34CE72A2"/>
    <w:rsid w:val="34DE2FFE"/>
    <w:rsid w:val="34DF18A1"/>
    <w:rsid w:val="34E96722"/>
    <w:rsid w:val="34EC3BCC"/>
    <w:rsid w:val="34F36D08"/>
    <w:rsid w:val="34FD36E3"/>
    <w:rsid w:val="34FF6A3A"/>
    <w:rsid w:val="350031D3"/>
    <w:rsid w:val="350D1E06"/>
    <w:rsid w:val="352549E8"/>
    <w:rsid w:val="352E1AEE"/>
    <w:rsid w:val="35366BF5"/>
    <w:rsid w:val="353C420B"/>
    <w:rsid w:val="35417A73"/>
    <w:rsid w:val="35523A2F"/>
    <w:rsid w:val="35661288"/>
    <w:rsid w:val="3566572C"/>
    <w:rsid w:val="356D0868"/>
    <w:rsid w:val="356E2833"/>
    <w:rsid w:val="357240D1"/>
    <w:rsid w:val="35747A17"/>
    <w:rsid w:val="35780FBB"/>
    <w:rsid w:val="357E0CC8"/>
    <w:rsid w:val="357F67EE"/>
    <w:rsid w:val="357FE16A"/>
    <w:rsid w:val="35803815"/>
    <w:rsid w:val="35930182"/>
    <w:rsid w:val="3599165E"/>
    <w:rsid w:val="359F479A"/>
    <w:rsid w:val="35AB313F"/>
    <w:rsid w:val="35AD6EB7"/>
    <w:rsid w:val="35AE320A"/>
    <w:rsid w:val="35B93AAE"/>
    <w:rsid w:val="35BA1682"/>
    <w:rsid w:val="35BC70FA"/>
    <w:rsid w:val="35BC7482"/>
    <w:rsid w:val="35CD1307"/>
    <w:rsid w:val="35CF1523"/>
    <w:rsid w:val="35CF32D1"/>
    <w:rsid w:val="35EF127D"/>
    <w:rsid w:val="360311CD"/>
    <w:rsid w:val="36034D29"/>
    <w:rsid w:val="36160F00"/>
    <w:rsid w:val="36174C78"/>
    <w:rsid w:val="36367A4A"/>
    <w:rsid w:val="363E0457"/>
    <w:rsid w:val="364517E5"/>
    <w:rsid w:val="364F61C0"/>
    <w:rsid w:val="36525B04"/>
    <w:rsid w:val="36525CB0"/>
    <w:rsid w:val="365901D4"/>
    <w:rsid w:val="365C268B"/>
    <w:rsid w:val="366003CD"/>
    <w:rsid w:val="366A124C"/>
    <w:rsid w:val="3670459D"/>
    <w:rsid w:val="367B6FB5"/>
    <w:rsid w:val="367F102D"/>
    <w:rsid w:val="368045CB"/>
    <w:rsid w:val="368A71F8"/>
    <w:rsid w:val="368D0A96"/>
    <w:rsid w:val="368F480F"/>
    <w:rsid w:val="36955A56"/>
    <w:rsid w:val="36985DB9"/>
    <w:rsid w:val="36987B67"/>
    <w:rsid w:val="369B1405"/>
    <w:rsid w:val="36A209E6"/>
    <w:rsid w:val="36A52284"/>
    <w:rsid w:val="36A61965"/>
    <w:rsid w:val="36AB2013"/>
    <w:rsid w:val="36B14785"/>
    <w:rsid w:val="36B3674F"/>
    <w:rsid w:val="36B85B13"/>
    <w:rsid w:val="36BE366D"/>
    <w:rsid w:val="36C02C1A"/>
    <w:rsid w:val="36C32227"/>
    <w:rsid w:val="36C3270A"/>
    <w:rsid w:val="36C941C4"/>
    <w:rsid w:val="36CB4FFC"/>
    <w:rsid w:val="36D05553"/>
    <w:rsid w:val="36D6243D"/>
    <w:rsid w:val="36DD37CC"/>
    <w:rsid w:val="36E54FD9"/>
    <w:rsid w:val="36EC7EB3"/>
    <w:rsid w:val="36EE3C2B"/>
    <w:rsid w:val="36F62AE0"/>
    <w:rsid w:val="37024FE0"/>
    <w:rsid w:val="371116C7"/>
    <w:rsid w:val="37135440"/>
    <w:rsid w:val="3715740A"/>
    <w:rsid w:val="3720190B"/>
    <w:rsid w:val="37217B5C"/>
    <w:rsid w:val="37256F21"/>
    <w:rsid w:val="372C02AF"/>
    <w:rsid w:val="372F1B4E"/>
    <w:rsid w:val="37347390"/>
    <w:rsid w:val="373B04F2"/>
    <w:rsid w:val="373F23D0"/>
    <w:rsid w:val="374101FF"/>
    <w:rsid w:val="37441A9D"/>
    <w:rsid w:val="37465815"/>
    <w:rsid w:val="3747333B"/>
    <w:rsid w:val="374B2E2B"/>
    <w:rsid w:val="374C7519"/>
    <w:rsid w:val="37544A3B"/>
    <w:rsid w:val="375A6BCB"/>
    <w:rsid w:val="375C0B95"/>
    <w:rsid w:val="375D66BB"/>
    <w:rsid w:val="376BCF56"/>
    <w:rsid w:val="376E4194"/>
    <w:rsid w:val="377063EE"/>
    <w:rsid w:val="37753A04"/>
    <w:rsid w:val="377A54BF"/>
    <w:rsid w:val="377C1237"/>
    <w:rsid w:val="377D0B0B"/>
    <w:rsid w:val="377FB14D"/>
    <w:rsid w:val="378018A0"/>
    <w:rsid w:val="3784633D"/>
    <w:rsid w:val="37863E63"/>
    <w:rsid w:val="3790083E"/>
    <w:rsid w:val="379024CB"/>
    <w:rsid w:val="37A12A4B"/>
    <w:rsid w:val="37A442EA"/>
    <w:rsid w:val="37A75B88"/>
    <w:rsid w:val="37A82F92"/>
    <w:rsid w:val="37A83DDA"/>
    <w:rsid w:val="37AE5168"/>
    <w:rsid w:val="37B54749"/>
    <w:rsid w:val="37B92F56"/>
    <w:rsid w:val="37B95FE7"/>
    <w:rsid w:val="37BC5AD7"/>
    <w:rsid w:val="37BE184F"/>
    <w:rsid w:val="37C57441"/>
    <w:rsid w:val="37D0679A"/>
    <w:rsid w:val="37D270A9"/>
    <w:rsid w:val="37D40E88"/>
    <w:rsid w:val="37D746BF"/>
    <w:rsid w:val="37E56DDC"/>
    <w:rsid w:val="37E91373"/>
    <w:rsid w:val="37E936E9"/>
    <w:rsid w:val="37EB3CC7"/>
    <w:rsid w:val="37EB5B58"/>
    <w:rsid w:val="37EE111F"/>
    <w:rsid w:val="37F3459C"/>
    <w:rsid w:val="37F54B45"/>
    <w:rsid w:val="37F7266B"/>
    <w:rsid w:val="37F92887"/>
    <w:rsid w:val="37FE7E9E"/>
    <w:rsid w:val="37FF7772"/>
    <w:rsid w:val="37FFDBF3"/>
    <w:rsid w:val="38080D1C"/>
    <w:rsid w:val="3809239F"/>
    <w:rsid w:val="380F5C07"/>
    <w:rsid w:val="3810197F"/>
    <w:rsid w:val="38207E14"/>
    <w:rsid w:val="38233460"/>
    <w:rsid w:val="382947EF"/>
    <w:rsid w:val="38305B7D"/>
    <w:rsid w:val="3840650A"/>
    <w:rsid w:val="38431D54"/>
    <w:rsid w:val="38455ACD"/>
    <w:rsid w:val="384C1121"/>
    <w:rsid w:val="384E6583"/>
    <w:rsid w:val="38513040"/>
    <w:rsid w:val="38536423"/>
    <w:rsid w:val="3857135C"/>
    <w:rsid w:val="385C2E16"/>
    <w:rsid w:val="38714DDE"/>
    <w:rsid w:val="38727EE4"/>
    <w:rsid w:val="38787C50"/>
    <w:rsid w:val="387C0DC3"/>
    <w:rsid w:val="388859B9"/>
    <w:rsid w:val="388C54AA"/>
    <w:rsid w:val="388C7258"/>
    <w:rsid w:val="389A4CCF"/>
    <w:rsid w:val="389D1465"/>
    <w:rsid w:val="38A00F55"/>
    <w:rsid w:val="38A50319"/>
    <w:rsid w:val="38A87E0A"/>
    <w:rsid w:val="38B21A40"/>
    <w:rsid w:val="38B22A36"/>
    <w:rsid w:val="38BF587F"/>
    <w:rsid w:val="38C05153"/>
    <w:rsid w:val="38C07B70"/>
    <w:rsid w:val="38C6123C"/>
    <w:rsid w:val="38D97FC3"/>
    <w:rsid w:val="38DB3D3B"/>
    <w:rsid w:val="38E25244"/>
    <w:rsid w:val="38ED3A6E"/>
    <w:rsid w:val="38F35529"/>
    <w:rsid w:val="38F848ED"/>
    <w:rsid w:val="38FD63A7"/>
    <w:rsid w:val="38FEE0BF"/>
    <w:rsid w:val="39050DB8"/>
    <w:rsid w:val="390A2872"/>
    <w:rsid w:val="390A63CE"/>
    <w:rsid w:val="391159AF"/>
    <w:rsid w:val="391D4354"/>
    <w:rsid w:val="391E1E7A"/>
    <w:rsid w:val="39205BF2"/>
    <w:rsid w:val="39237490"/>
    <w:rsid w:val="39243934"/>
    <w:rsid w:val="39290F4A"/>
    <w:rsid w:val="392DE6B0"/>
    <w:rsid w:val="39335925"/>
    <w:rsid w:val="39377035"/>
    <w:rsid w:val="393A3157"/>
    <w:rsid w:val="394A0EC1"/>
    <w:rsid w:val="395F6E2C"/>
    <w:rsid w:val="39730417"/>
    <w:rsid w:val="397F0B6A"/>
    <w:rsid w:val="398048E2"/>
    <w:rsid w:val="398443D3"/>
    <w:rsid w:val="39875C71"/>
    <w:rsid w:val="39883A9E"/>
    <w:rsid w:val="398D772B"/>
    <w:rsid w:val="399860D0"/>
    <w:rsid w:val="39AD5BB3"/>
    <w:rsid w:val="39B27192"/>
    <w:rsid w:val="39B5458C"/>
    <w:rsid w:val="39BA4298"/>
    <w:rsid w:val="39C42A21"/>
    <w:rsid w:val="39C90037"/>
    <w:rsid w:val="39D0586A"/>
    <w:rsid w:val="39D05E08"/>
    <w:rsid w:val="39DA2245"/>
    <w:rsid w:val="39E44E71"/>
    <w:rsid w:val="39F552D0"/>
    <w:rsid w:val="39FFD7F9"/>
    <w:rsid w:val="3A013C75"/>
    <w:rsid w:val="3A085004"/>
    <w:rsid w:val="3A14459A"/>
    <w:rsid w:val="3A1C460B"/>
    <w:rsid w:val="3A323E2F"/>
    <w:rsid w:val="3A3951BD"/>
    <w:rsid w:val="3A4F678F"/>
    <w:rsid w:val="3A516769"/>
    <w:rsid w:val="3A5169AB"/>
    <w:rsid w:val="3A541FF7"/>
    <w:rsid w:val="3A6164C2"/>
    <w:rsid w:val="3A63048C"/>
    <w:rsid w:val="3A647D60"/>
    <w:rsid w:val="3A687850"/>
    <w:rsid w:val="3A6F6E31"/>
    <w:rsid w:val="3A704957"/>
    <w:rsid w:val="3A744447"/>
    <w:rsid w:val="3A881CA1"/>
    <w:rsid w:val="3A886068"/>
    <w:rsid w:val="3A8C1648"/>
    <w:rsid w:val="3AA0523C"/>
    <w:rsid w:val="3AA06FEA"/>
    <w:rsid w:val="3AA840F1"/>
    <w:rsid w:val="3AAA60BB"/>
    <w:rsid w:val="3AAB598F"/>
    <w:rsid w:val="3AB17449"/>
    <w:rsid w:val="3AB64A60"/>
    <w:rsid w:val="3AC16F61"/>
    <w:rsid w:val="3AC86B9F"/>
    <w:rsid w:val="3ACA22B9"/>
    <w:rsid w:val="3ACD1DA9"/>
    <w:rsid w:val="3AD0311D"/>
    <w:rsid w:val="3AD9108C"/>
    <w:rsid w:val="3ADB6274"/>
    <w:rsid w:val="3AE113B1"/>
    <w:rsid w:val="3AE72E6B"/>
    <w:rsid w:val="3AF2139A"/>
    <w:rsid w:val="3AFB06C4"/>
    <w:rsid w:val="3AFE703E"/>
    <w:rsid w:val="3B0532F1"/>
    <w:rsid w:val="3B0945B4"/>
    <w:rsid w:val="3B163750"/>
    <w:rsid w:val="3B1D063B"/>
    <w:rsid w:val="3B225C51"/>
    <w:rsid w:val="3B263BC6"/>
    <w:rsid w:val="3B273268"/>
    <w:rsid w:val="3B286FE0"/>
    <w:rsid w:val="3B2D45F6"/>
    <w:rsid w:val="3B3360B0"/>
    <w:rsid w:val="3B443E1A"/>
    <w:rsid w:val="3B455CCF"/>
    <w:rsid w:val="3B4929CE"/>
    <w:rsid w:val="3B4A6039"/>
    <w:rsid w:val="3B4E6A46"/>
    <w:rsid w:val="3B5129DA"/>
    <w:rsid w:val="3B53405D"/>
    <w:rsid w:val="3B5407ED"/>
    <w:rsid w:val="3B5A363D"/>
    <w:rsid w:val="3B60677A"/>
    <w:rsid w:val="3B675D5A"/>
    <w:rsid w:val="3B712735"/>
    <w:rsid w:val="3B7346FF"/>
    <w:rsid w:val="3B7C35D0"/>
    <w:rsid w:val="3B844933"/>
    <w:rsid w:val="3B856524"/>
    <w:rsid w:val="3B894F9E"/>
    <w:rsid w:val="3B90705F"/>
    <w:rsid w:val="3B915AA7"/>
    <w:rsid w:val="3B974891"/>
    <w:rsid w:val="3BA448B8"/>
    <w:rsid w:val="3BAD23FE"/>
    <w:rsid w:val="3BB52F69"/>
    <w:rsid w:val="3BC12AE4"/>
    <w:rsid w:val="3BC74A4B"/>
    <w:rsid w:val="3BC767F9"/>
    <w:rsid w:val="3BC772B6"/>
    <w:rsid w:val="3BD31641"/>
    <w:rsid w:val="3BDC22A4"/>
    <w:rsid w:val="3BDC6748"/>
    <w:rsid w:val="3BDFB435"/>
    <w:rsid w:val="3BE178BA"/>
    <w:rsid w:val="3BE21884"/>
    <w:rsid w:val="3BEC625F"/>
    <w:rsid w:val="3BF26E0D"/>
    <w:rsid w:val="3BFD03EB"/>
    <w:rsid w:val="3C047A4D"/>
    <w:rsid w:val="3C0A6165"/>
    <w:rsid w:val="3C0B0DDB"/>
    <w:rsid w:val="3C0B2B89"/>
    <w:rsid w:val="3C110C2B"/>
    <w:rsid w:val="3C1E1A22"/>
    <w:rsid w:val="3C2679C3"/>
    <w:rsid w:val="3C2E6878"/>
    <w:rsid w:val="3C320116"/>
    <w:rsid w:val="3C3245BA"/>
    <w:rsid w:val="3C3F2833"/>
    <w:rsid w:val="3C410359"/>
    <w:rsid w:val="3C5A766D"/>
    <w:rsid w:val="3C5B2F97"/>
    <w:rsid w:val="3C6D114E"/>
    <w:rsid w:val="3C6F3118"/>
    <w:rsid w:val="3C771FCD"/>
    <w:rsid w:val="3C7878F3"/>
    <w:rsid w:val="3C7921E9"/>
    <w:rsid w:val="3C8A7F52"/>
    <w:rsid w:val="3C925059"/>
    <w:rsid w:val="3C97266F"/>
    <w:rsid w:val="3C9C66B4"/>
    <w:rsid w:val="3CA06E5F"/>
    <w:rsid w:val="3CA408E8"/>
    <w:rsid w:val="3CAB1C76"/>
    <w:rsid w:val="3CB52AF5"/>
    <w:rsid w:val="3CB66F99"/>
    <w:rsid w:val="3CB7061B"/>
    <w:rsid w:val="3CB7686D"/>
    <w:rsid w:val="3CBED987"/>
    <w:rsid w:val="3CBF31D7"/>
    <w:rsid w:val="3CC01BC6"/>
    <w:rsid w:val="3CC05722"/>
    <w:rsid w:val="3CCA2A44"/>
    <w:rsid w:val="3CCD42E3"/>
    <w:rsid w:val="3CD1792F"/>
    <w:rsid w:val="3CD30A6A"/>
    <w:rsid w:val="3CD76F0F"/>
    <w:rsid w:val="3CDD2778"/>
    <w:rsid w:val="3CE533DA"/>
    <w:rsid w:val="3CEC2D22"/>
    <w:rsid w:val="3CF3516A"/>
    <w:rsid w:val="3CF4186F"/>
    <w:rsid w:val="3CF47AC1"/>
    <w:rsid w:val="3CF772CF"/>
    <w:rsid w:val="3CFA1FD8"/>
    <w:rsid w:val="3CFB3355"/>
    <w:rsid w:val="3D052D63"/>
    <w:rsid w:val="3D1F575E"/>
    <w:rsid w:val="3D22018A"/>
    <w:rsid w:val="3D2263DC"/>
    <w:rsid w:val="3D251A29"/>
    <w:rsid w:val="3D344362"/>
    <w:rsid w:val="3D363C36"/>
    <w:rsid w:val="3D364F13"/>
    <w:rsid w:val="3D377C62"/>
    <w:rsid w:val="3D3879AE"/>
    <w:rsid w:val="3D510A70"/>
    <w:rsid w:val="3D532A3A"/>
    <w:rsid w:val="3D584A02"/>
    <w:rsid w:val="3D5B369C"/>
    <w:rsid w:val="3D5D11C3"/>
    <w:rsid w:val="3D5F13DF"/>
    <w:rsid w:val="3D6407A3"/>
    <w:rsid w:val="3D65FE4C"/>
    <w:rsid w:val="3D687B67"/>
    <w:rsid w:val="3D69400B"/>
    <w:rsid w:val="3D6C3AFB"/>
    <w:rsid w:val="3D6E0B5D"/>
    <w:rsid w:val="3D6F7148"/>
    <w:rsid w:val="3D70539A"/>
    <w:rsid w:val="3D711112"/>
    <w:rsid w:val="3D74475E"/>
    <w:rsid w:val="3D785FFC"/>
    <w:rsid w:val="3D7E57B5"/>
    <w:rsid w:val="3D866B18"/>
    <w:rsid w:val="3D8E75CE"/>
    <w:rsid w:val="3D8FF886"/>
    <w:rsid w:val="3D913562"/>
    <w:rsid w:val="3D960B78"/>
    <w:rsid w:val="3D9D1F07"/>
    <w:rsid w:val="3DA037A5"/>
    <w:rsid w:val="3DA06C05"/>
    <w:rsid w:val="3DA07301"/>
    <w:rsid w:val="3DA53149"/>
    <w:rsid w:val="3DA74682"/>
    <w:rsid w:val="3DAC3EF8"/>
    <w:rsid w:val="3DAC5CA6"/>
    <w:rsid w:val="3DAE7C70"/>
    <w:rsid w:val="3DAF5796"/>
    <w:rsid w:val="3DB24F03"/>
    <w:rsid w:val="3DB66B25"/>
    <w:rsid w:val="3DC01751"/>
    <w:rsid w:val="3DC079A3"/>
    <w:rsid w:val="3DC2371B"/>
    <w:rsid w:val="3DDD2303"/>
    <w:rsid w:val="3DDD2EB8"/>
    <w:rsid w:val="3DE03BA2"/>
    <w:rsid w:val="3DEB4A20"/>
    <w:rsid w:val="3DEE1494"/>
    <w:rsid w:val="3DF16F67"/>
    <w:rsid w:val="3DFA3191"/>
    <w:rsid w:val="3DFBA423"/>
    <w:rsid w:val="3DFF21B6"/>
    <w:rsid w:val="3E004557"/>
    <w:rsid w:val="3E116551"/>
    <w:rsid w:val="3E150321"/>
    <w:rsid w:val="3E1A70B4"/>
    <w:rsid w:val="3E1C06CC"/>
    <w:rsid w:val="3E2148E6"/>
    <w:rsid w:val="3E23065E"/>
    <w:rsid w:val="3E2972F7"/>
    <w:rsid w:val="3E2C6DE7"/>
    <w:rsid w:val="3E347011"/>
    <w:rsid w:val="3E3A1504"/>
    <w:rsid w:val="3E3C1720"/>
    <w:rsid w:val="3E4736FE"/>
    <w:rsid w:val="3E5500EC"/>
    <w:rsid w:val="3E577856"/>
    <w:rsid w:val="3E5E3444"/>
    <w:rsid w:val="3E5F4CEC"/>
    <w:rsid w:val="3E601974"/>
    <w:rsid w:val="3E6239A3"/>
    <w:rsid w:val="3E6D18D9"/>
    <w:rsid w:val="3E772758"/>
    <w:rsid w:val="3E774506"/>
    <w:rsid w:val="3E7964D0"/>
    <w:rsid w:val="3E7C1B1C"/>
    <w:rsid w:val="3E7E01F4"/>
    <w:rsid w:val="3E815385"/>
    <w:rsid w:val="3E952BDE"/>
    <w:rsid w:val="3E976956"/>
    <w:rsid w:val="3E9C21BE"/>
    <w:rsid w:val="3EA42E21"/>
    <w:rsid w:val="3EA529B9"/>
    <w:rsid w:val="3EAD1CD6"/>
    <w:rsid w:val="3EB05C6A"/>
    <w:rsid w:val="3EB56DDC"/>
    <w:rsid w:val="3EB63280"/>
    <w:rsid w:val="3EBE0387"/>
    <w:rsid w:val="3ECD6BDA"/>
    <w:rsid w:val="3EDD2487"/>
    <w:rsid w:val="3EDD26DF"/>
    <w:rsid w:val="3EE37DED"/>
    <w:rsid w:val="3EE53B65"/>
    <w:rsid w:val="3EE6168C"/>
    <w:rsid w:val="3EE651E8"/>
    <w:rsid w:val="3EEB0A50"/>
    <w:rsid w:val="3EF21DDE"/>
    <w:rsid w:val="3EF232A9"/>
    <w:rsid w:val="3EF26282"/>
    <w:rsid w:val="3EF67B21"/>
    <w:rsid w:val="3EFB3293"/>
    <w:rsid w:val="3F087854"/>
    <w:rsid w:val="3F1104B7"/>
    <w:rsid w:val="3F114050"/>
    <w:rsid w:val="3F12205B"/>
    <w:rsid w:val="3F1461F9"/>
    <w:rsid w:val="3F147FA7"/>
    <w:rsid w:val="3F177A97"/>
    <w:rsid w:val="3F2006FA"/>
    <w:rsid w:val="3F224721"/>
    <w:rsid w:val="3F261A88"/>
    <w:rsid w:val="3F2F3033"/>
    <w:rsid w:val="3F3713C6"/>
    <w:rsid w:val="3F373C95"/>
    <w:rsid w:val="3F3BF700"/>
    <w:rsid w:val="3F3F3F43"/>
    <w:rsid w:val="3F3F64A3"/>
    <w:rsid w:val="3F422D66"/>
    <w:rsid w:val="3F4A7A4C"/>
    <w:rsid w:val="3F4C14EF"/>
    <w:rsid w:val="3F4E170B"/>
    <w:rsid w:val="3F4FDB8D"/>
    <w:rsid w:val="3F566811"/>
    <w:rsid w:val="3F6251B6"/>
    <w:rsid w:val="3F6525B0"/>
    <w:rsid w:val="3F6727CC"/>
    <w:rsid w:val="3F6BFFD2"/>
    <w:rsid w:val="3F762A0F"/>
    <w:rsid w:val="3F77294A"/>
    <w:rsid w:val="3F7A2500"/>
    <w:rsid w:val="3F7B6278"/>
    <w:rsid w:val="3F7BA5D1"/>
    <w:rsid w:val="3F7C344E"/>
    <w:rsid w:val="3F7D1FB3"/>
    <w:rsid w:val="3F7ECF79"/>
    <w:rsid w:val="3F8213B4"/>
    <w:rsid w:val="3F8760E5"/>
    <w:rsid w:val="3F8A2017"/>
    <w:rsid w:val="3F962486"/>
    <w:rsid w:val="3F966C0E"/>
    <w:rsid w:val="3F9A036E"/>
    <w:rsid w:val="3FA255B3"/>
    <w:rsid w:val="3FA7119C"/>
    <w:rsid w:val="3FAC4683"/>
    <w:rsid w:val="3FB11C9A"/>
    <w:rsid w:val="3FB452E6"/>
    <w:rsid w:val="3FB7714C"/>
    <w:rsid w:val="3FB77DDD"/>
    <w:rsid w:val="3FB907A0"/>
    <w:rsid w:val="3FBBAC49"/>
    <w:rsid w:val="3FBC0AFC"/>
    <w:rsid w:val="3FBC646C"/>
    <w:rsid w:val="3FBD063E"/>
    <w:rsid w:val="3FBD330F"/>
    <w:rsid w:val="3FBFA191"/>
    <w:rsid w:val="3FC11F77"/>
    <w:rsid w:val="3FC25C55"/>
    <w:rsid w:val="3FC90D91"/>
    <w:rsid w:val="3FDB0AC5"/>
    <w:rsid w:val="3FDBA3B2"/>
    <w:rsid w:val="3FE23C01"/>
    <w:rsid w:val="3FEDFFBA"/>
    <w:rsid w:val="3FF5703A"/>
    <w:rsid w:val="3FF78819"/>
    <w:rsid w:val="3FFD0A3B"/>
    <w:rsid w:val="3FFE19E1"/>
    <w:rsid w:val="40053EBD"/>
    <w:rsid w:val="40073668"/>
    <w:rsid w:val="40167D4F"/>
    <w:rsid w:val="401B7113"/>
    <w:rsid w:val="401F09B1"/>
    <w:rsid w:val="4024486D"/>
    <w:rsid w:val="403326AF"/>
    <w:rsid w:val="403F72A5"/>
    <w:rsid w:val="404C551E"/>
    <w:rsid w:val="40503261"/>
    <w:rsid w:val="405A0AAD"/>
    <w:rsid w:val="40646D0C"/>
    <w:rsid w:val="40672358"/>
    <w:rsid w:val="407231D7"/>
    <w:rsid w:val="407526A4"/>
    <w:rsid w:val="407C5E04"/>
    <w:rsid w:val="408334F8"/>
    <w:rsid w:val="4084115C"/>
    <w:rsid w:val="408460B7"/>
    <w:rsid w:val="409969B6"/>
    <w:rsid w:val="40A8309D"/>
    <w:rsid w:val="40B41A41"/>
    <w:rsid w:val="40B518EE"/>
    <w:rsid w:val="40BC4452"/>
    <w:rsid w:val="40BE18E9"/>
    <w:rsid w:val="40C854ED"/>
    <w:rsid w:val="40C96B6F"/>
    <w:rsid w:val="40D23C76"/>
    <w:rsid w:val="40D914A8"/>
    <w:rsid w:val="40DD79B5"/>
    <w:rsid w:val="40E44F98"/>
    <w:rsid w:val="40E8793D"/>
    <w:rsid w:val="40EB2F89"/>
    <w:rsid w:val="40F260C6"/>
    <w:rsid w:val="40F63E08"/>
    <w:rsid w:val="40FA4F7A"/>
    <w:rsid w:val="40FB141E"/>
    <w:rsid w:val="40FE34AB"/>
    <w:rsid w:val="4101455B"/>
    <w:rsid w:val="41061B71"/>
    <w:rsid w:val="41083B3B"/>
    <w:rsid w:val="41087697"/>
    <w:rsid w:val="410A78B3"/>
    <w:rsid w:val="410D3259"/>
    <w:rsid w:val="41122DB1"/>
    <w:rsid w:val="4114603C"/>
    <w:rsid w:val="411C3143"/>
    <w:rsid w:val="41200E85"/>
    <w:rsid w:val="41250249"/>
    <w:rsid w:val="412A1D04"/>
    <w:rsid w:val="412C5A7C"/>
    <w:rsid w:val="413466DE"/>
    <w:rsid w:val="41390199"/>
    <w:rsid w:val="413C37E5"/>
    <w:rsid w:val="41411DA1"/>
    <w:rsid w:val="41412BA9"/>
    <w:rsid w:val="41436921"/>
    <w:rsid w:val="414D77A0"/>
    <w:rsid w:val="4153125A"/>
    <w:rsid w:val="41566BC5"/>
    <w:rsid w:val="41594397"/>
    <w:rsid w:val="41642659"/>
    <w:rsid w:val="416F00CC"/>
    <w:rsid w:val="417076B9"/>
    <w:rsid w:val="418036D2"/>
    <w:rsid w:val="418A09F4"/>
    <w:rsid w:val="418E747B"/>
    <w:rsid w:val="41967399"/>
    <w:rsid w:val="41A575DC"/>
    <w:rsid w:val="41A75102"/>
    <w:rsid w:val="41B15F81"/>
    <w:rsid w:val="41B220EF"/>
    <w:rsid w:val="41B57819"/>
    <w:rsid w:val="41BB295C"/>
    <w:rsid w:val="41C236CA"/>
    <w:rsid w:val="41C23CEA"/>
    <w:rsid w:val="41C77552"/>
    <w:rsid w:val="41D13F2D"/>
    <w:rsid w:val="41D57EC1"/>
    <w:rsid w:val="41D91034"/>
    <w:rsid w:val="41E7246F"/>
    <w:rsid w:val="41F63994"/>
    <w:rsid w:val="41F83BB0"/>
    <w:rsid w:val="41FB71FC"/>
    <w:rsid w:val="41FE87CA"/>
    <w:rsid w:val="42044303"/>
    <w:rsid w:val="420460B1"/>
    <w:rsid w:val="42114C71"/>
    <w:rsid w:val="42181B5C"/>
    <w:rsid w:val="421B164C"/>
    <w:rsid w:val="42276243"/>
    <w:rsid w:val="42293D69"/>
    <w:rsid w:val="422B5DAF"/>
    <w:rsid w:val="422E137F"/>
    <w:rsid w:val="42462B6D"/>
    <w:rsid w:val="42470693"/>
    <w:rsid w:val="42497F67"/>
    <w:rsid w:val="424B1F31"/>
    <w:rsid w:val="424D3EFC"/>
    <w:rsid w:val="424E37D0"/>
    <w:rsid w:val="425132C0"/>
    <w:rsid w:val="425477EA"/>
    <w:rsid w:val="4258464E"/>
    <w:rsid w:val="425D3A13"/>
    <w:rsid w:val="425F3C2F"/>
    <w:rsid w:val="42641245"/>
    <w:rsid w:val="42753381"/>
    <w:rsid w:val="4290203A"/>
    <w:rsid w:val="42927B60"/>
    <w:rsid w:val="42957651"/>
    <w:rsid w:val="429C09DF"/>
    <w:rsid w:val="429F227D"/>
    <w:rsid w:val="429F5DD9"/>
    <w:rsid w:val="42A33B1C"/>
    <w:rsid w:val="42A81AA2"/>
    <w:rsid w:val="42A96C58"/>
    <w:rsid w:val="42AE0712"/>
    <w:rsid w:val="42AE426E"/>
    <w:rsid w:val="42B06238"/>
    <w:rsid w:val="42B942C7"/>
    <w:rsid w:val="42BC698B"/>
    <w:rsid w:val="42BE6BA7"/>
    <w:rsid w:val="42C817D4"/>
    <w:rsid w:val="42C83582"/>
    <w:rsid w:val="42DC527F"/>
    <w:rsid w:val="42DD6902"/>
    <w:rsid w:val="42E163F2"/>
    <w:rsid w:val="42F205FF"/>
    <w:rsid w:val="42F51D2B"/>
    <w:rsid w:val="430B16C1"/>
    <w:rsid w:val="430D368B"/>
    <w:rsid w:val="43150FF8"/>
    <w:rsid w:val="43192030"/>
    <w:rsid w:val="431F6F1A"/>
    <w:rsid w:val="43244A8B"/>
    <w:rsid w:val="43284021"/>
    <w:rsid w:val="432B8B6B"/>
    <w:rsid w:val="43302ED5"/>
    <w:rsid w:val="43340C18"/>
    <w:rsid w:val="43374264"/>
    <w:rsid w:val="435117C9"/>
    <w:rsid w:val="43560B8E"/>
    <w:rsid w:val="435A7F52"/>
    <w:rsid w:val="435E3EE6"/>
    <w:rsid w:val="436037BB"/>
    <w:rsid w:val="436275FE"/>
    <w:rsid w:val="43635C47"/>
    <w:rsid w:val="43672D9B"/>
    <w:rsid w:val="436A288B"/>
    <w:rsid w:val="43792ACE"/>
    <w:rsid w:val="437E1E93"/>
    <w:rsid w:val="43813731"/>
    <w:rsid w:val="438C0A54"/>
    <w:rsid w:val="438D657A"/>
    <w:rsid w:val="438F22F2"/>
    <w:rsid w:val="439B304D"/>
    <w:rsid w:val="43A01E09"/>
    <w:rsid w:val="43A17D18"/>
    <w:rsid w:val="43A55671"/>
    <w:rsid w:val="43A833B4"/>
    <w:rsid w:val="43AC2EA4"/>
    <w:rsid w:val="43B43B06"/>
    <w:rsid w:val="43B6162D"/>
    <w:rsid w:val="43B9736F"/>
    <w:rsid w:val="43BB6C43"/>
    <w:rsid w:val="43BD0C0D"/>
    <w:rsid w:val="43C71A8C"/>
    <w:rsid w:val="43C86BF6"/>
    <w:rsid w:val="43CB2932"/>
    <w:rsid w:val="43CF7629"/>
    <w:rsid w:val="43DB1093"/>
    <w:rsid w:val="43DB2051"/>
    <w:rsid w:val="43DD305D"/>
    <w:rsid w:val="43E048FB"/>
    <w:rsid w:val="43E268C5"/>
    <w:rsid w:val="43E4263E"/>
    <w:rsid w:val="43E7E0EA"/>
    <w:rsid w:val="43EA577A"/>
    <w:rsid w:val="43EA7528"/>
    <w:rsid w:val="43F62371"/>
    <w:rsid w:val="43F65ECD"/>
    <w:rsid w:val="43F87E97"/>
    <w:rsid w:val="43F933D3"/>
    <w:rsid w:val="43FB1735"/>
    <w:rsid w:val="43FE2FD4"/>
    <w:rsid w:val="43FF3870"/>
    <w:rsid w:val="440459A5"/>
    <w:rsid w:val="4407632C"/>
    <w:rsid w:val="440920A4"/>
    <w:rsid w:val="440B5CE5"/>
    <w:rsid w:val="44150A49"/>
    <w:rsid w:val="4416031D"/>
    <w:rsid w:val="441F247F"/>
    <w:rsid w:val="4420119C"/>
    <w:rsid w:val="442C18EF"/>
    <w:rsid w:val="44337740"/>
    <w:rsid w:val="44371C48"/>
    <w:rsid w:val="44385CF1"/>
    <w:rsid w:val="443A225E"/>
    <w:rsid w:val="4440539A"/>
    <w:rsid w:val="44511355"/>
    <w:rsid w:val="445175A7"/>
    <w:rsid w:val="44615A3C"/>
    <w:rsid w:val="4467501D"/>
    <w:rsid w:val="446C43E1"/>
    <w:rsid w:val="44775260"/>
    <w:rsid w:val="44824B7E"/>
    <w:rsid w:val="4487121B"/>
    <w:rsid w:val="4487506F"/>
    <w:rsid w:val="448D7806"/>
    <w:rsid w:val="448E07FB"/>
    <w:rsid w:val="44986F84"/>
    <w:rsid w:val="44A1408B"/>
    <w:rsid w:val="44A21BB1"/>
    <w:rsid w:val="44A61AED"/>
    <w:rsid w:val="44A973E3"/>
    <w:rsid w:val="44AE0556"/>
    <w:rsid w:val="44B57B36"/>
    <w:rsid w:val="44C61D43"/>
    <w:rsid w:val="44CD1324"/>
    <w:rsid w:val="44CD4E80"/>
    <w:rsid w:val="44D22496"/>
    <w:rsid w:val="44DA134B"/>
    <w:rsid w:val="44DF0C3C"/>
    <w:rsid w:val="44DF4BB3"/>
    <w:rsid w:val="44E26451"/>
    <w:rsid w:val="44EE3FA4"/>
    <w:rsid w:val="44F20D8A"/>
    <w:rsid w:val="44F3065E"/>
    <w:rsid w:val="44F56185"/>
    <w:rsid w:val="450308A1"/>
    <w:rsid w:val="45034D45"/>
    <w:rsid w:val="45097E82"/>
    <w:rsid w:val="4513485D"/>
    <w:rsid w:val="45187836"/>
    <w:rsid w:val="451900C5"/>
    <w:rsid w:val="451A5BEB"/>
    <w:rsid w:val="45234D20"/>
    <w:rsid w:val="45240818"/>
    <w:rsid w:val="45294080"/>
    <w:rsid w:val="452B7DF8"/>
    <w:rsid w:val="45303661"/>
    <w:rsid w:val="45322F35"/>
    <w:rsid w:val="45336CAD"/>
    <w:rsid w:val="45350C77"/>
    <w:rsid w:val="45372F88"/>
    <w:rsid w:val="45375398"/>
    <w:rsid w:val="453C0257"/>
    <w:rsid w:val="45401AF6"/>
    <w:rsid w:val="45516293"/>
    <w:rsid w:val="45521829"/>
    <w:rsid w:val="45525385"/>
    <w:rsid w:val="45561319"/>
    <w:rsid w:val="455C4456"/>
    <w:rsid w:val="45605CF4"/>
    <w:rsid w:val="45667082"/>
    <w:rsid w:val="456D6663"/>
    <w:rsid w:val="456F6FF4"/>
    <w:rsid w:val="45717F01"/>
    <w:rsid w:val="457B0D80"/>
    <w:rsid w:val="4582210E"/>
    <w:rsid w:val="45877724"/>
    <w:rsid w:val="458D460F"/>
    <w:rsid w:val="45921C25"/>
    <w:rsid w:val="45A32084"/>
    <w:rsid w:val="45A35BE1"/>
    <w:rsid w:val="45A71B75"/>
    <w:rsid w:val="45AF4585"/>
    <w:rsid w:val="45B31991"/>
    <w:rsid w:val="45B47BFC"/>
    <w:rsid w:val="45BB73CE"/>
    <w:rsid w:val="45C6385F"/>
    <w:rsid w:val="45DB181E"/>
    <w:rsid w:val="45DD7344"/>
    <w:rsid w:val="45E5444B"/>
    <w:rsid w:val="45E701C3"/>
    <w:rsid w:val="45E83F3B"/>
    <w:rsid w:val="45E85CE9"/>
    <w:rsid w:val="45EC57D9"/>
    <w:rsid w:val="45F4468E"/>
    <w:rsid w:val="45F7EE61"/>
    <w:rsid w:val="46004DE1"/>
    <w:rsid w:val="4607616F"/>
    <w:rsid w:val="460D5750"/>
    <w:rsid w:val="46132D66"/>
    <w:rsid w:val="461C2E0A"/>
    <w:rsid w:val="462C3E28"/>
    <w:rsid w:val="463158E2"/>
    <w:rsid w:val="46366A55"/>
    <w:rsid w:val="463827CD"/>
    <w:rsid w:val="463F7FFF"/>
    <w:rsid w:val="464473C4"/>
    <w:rsid w:val="464B69A4"/>
    <w:rsid w:val="465005B9"/>
    <w:rsid w:val="46531375"/>
    <w:rsid w:val="465D66D7"/>
    <w:rsid w:val="46686E80"/>
    <w:rsid w:val="466E2692"/>
    <w:rsid w:val="46753A21"/>
    <w:rsid w:val="46761547"/>
    <w:rsid w:val="4679612A"/>
    <w:rsid w:val="467A1037"/>
    <w:rsid w:val="467E4AA6"/>
    <w:rsid w:val="46827EEC"/>
    <w:rsid w:val="468752A2"/>
    <w:rsid w:val="468974CC"/>
    <w:rsid w:val="469519CD"/>
    <w:rsid w:val="469E0050"/>
    <w:rsid w:val="46A24E0A"/>
    <w:rsid w:val="46A55988"/>
    <w:rsid w:val="46AADB2B"/>
    <w:rsid w:val="46AC31BB"/>
    <w:rsid w:val="46AE6F33"/>
    <w:rsid w:val="46B04A59"/>
    <w:rsid w:val="46B8390E"/>
    <w:rsid w:val="46C44060"/>
    <w:rsid w:val="46CE3131"/>
    <w:rsid w:val="46D36999"/>
    <w:rsid w:val="46D71FE6"/>
    <w:rsid w:val="46DA7D28"/>
    <w:rsid w:val="46DB13AA"/>
    <w:rsid w:val="46DD4676"/>
    <w:rsid w:val="46DD5122"/>
    <w:rsid w:val="46E14C12"/>
    <w:rsid w:val="46E464B1"/>
    <w:rsid w:val="46F23F2A"/>
    <w:rsid w:val="46F506BE"/>
    <w:rsid w:val="46FF778E"/>
    <w:rsid w:val="47073A72"/>
    <w:rsid w:val="47094169"/>
    <w:rsid w:val="47095F17"/>
    <w:rsid w:val="470E1780"/>
    <w:rsid w:val="471A29C5"/>
    <w:rsid w:val="471B5E48"/>
    <w:rsid w:val="471C3E9C"/>
    <w:rsid w:val="47262F6D"/>
    <w:rsid w:val="473016F6"/>
    <w:rsid w:val="473C009B"/>
    <w:rsid w:val="47484C91"/>
    <w:rsid w:val="47502C34"/>
    <w:rsid w:val="47525B10"/>
    <w:rsid w:val="475528E1"/>
    <w:rsid w:val="475F2F95"/>
    <w:rsid w:val="47633879"/>
    <w:rsid w:val="476A10AC"/>
    <w:rsid w:val="477261B2"/>
    <w:rsid w:val="477535AD"/>
    <w:rsid w:val="47775577"/>
    <w:rsid w:val="47777325"/>
    <w:rsid w:val="477E06B3"/>
    <w:rsid w:val="477E6905"/>
    <w:rsid w:val="478657BA"/>
    <w:rsid w:val="47887784"/>
    <w:rsid w:val="478D6B48"/>
    <w:rsid w:val="479003E6"/>
    <w:rsid w:val="479F0276"/>
    <w:rsid w:val="47A125F4"/>
    <w:rsid w:val="47A81BD4"/>
    <w:rsid w:val="47AA14A8"/>
    <w:rsid w:val="47B25872"/>
    <w:rsid w:val="47B440D5"/>
    <w:rsid w:val="47B6609F"/>
    <w:rsid w:val="47BF164B"/>
    <w:rsid w:val="47C536E4"/>
    <w:rsid w:val="47CD0B0C"/>
    <w:rsid w:val="47D604EF"/>
    <w:rsid w:val="47E66258"/>
    <w:rsid w:val="47E726FC"/>
    <w:rsid w:val="47E80223"/>
    <w:rsid w:val="47EB386F"/>
    <w:rsid w:val="47F00E85"/>
    <w:rsid w:val="47F6649C"/>
    <w:rsid w:val="47F6791F"/>
    <w:rsid w:val="47F92430"/>
    <w:rsid w:val="47FE17F4"/>
    <w:rsid w:val="47FE35A2"/>
    <w:rsid w:val="480C2163"/>
    <w:rsid w:val="480F3A01"/>
    <w:rsid w:val="482E032B"/>
    <w:rsid w:val="48331E80"/>
    <w:rsid w:val="48345216"/>
    <w:rsid w:val="484E2B9C"/>
    <w:rsid w:val="485633DE"/>
    <w:rsid w:val="485853A8"/>
    <w:rsid w:val="485B09F4"/>
    <w:rsid w:val="48643D4D"/>
    <w:rsid w:val="487D6BBD"/>
    <w:rsid w:val="48825F81"/>
    <w:rsid w:val="48853CC3"/>
    <w:rsid w:val="48866ABE"/>
    <w:rsid w:val="488E2B78"/>
    <w:rsid w:val="48904B42"/>
    <w:rsid w:val="489363E0"/>
    <w:rsid w:val="48952158"/>
    <w:rsid w:val="48967C7F"/>
    <w:rsid w:val="489B34E7"/>
    <w:rsid w:val="48A95C04"/>
    <w:rsid w:val="48B84099"/>
    <w:rsid w:val="48B85E47"/>
    <w:rsid w:val="48BB1493"/>
    <w:rsid w:val="48C72042"/>
    <w:rsid w:val="48D16F09"/>
    <w:rsid w:val="48D47A82"/>
    <w:rsid w:val="48D840E9"/>
    <w:rsid w:val="48DB38E3"/>
    <w:rsid w:val="48E924A4"/>
    <w:rsid w:val="48E96A82"/>
    <w:rsid w:val="48EB7FCA"/>
    <w:rsid w:val="48F0738F"/>
    <w:rsid w:val="48F14EB5"/>
    <w:rsid w:val="48F428D0"/>
    <w:rsid w:val="48F86243"/>
    <w:rsid w:val="48FF5824"/>
    <w:rsid w:val="4901159C"/>
    <w:rsid w:val="490177EE"/>
    <w:rsid w:val="490C7F41"/>
    <w:rsid w:val="49117305"/>
    <w:rsid w:val="49177011"/>
    <w:rsid w:val="491955DD"/>
    <w:rsid w:val="491B3E80"/>
    <w:rsid w:val="49283B90"/>
    <w:rsid w:val="49290AF3"/>
    <w:rsid w:val="49296D45"/>
    <w:rsid w:val="493059DD"/>
    <w:rsid w:val="49366D6C"/>
    <w:rsid w:val="493952FF"/>
    <w:rsid w:val="49396F88"/>
    <w:rsid w:val="493A2D00"/>
    <w:rsid w:val="493A685C"/>
    <w:rsid w:val="493EBAF0"/>
    <w:rsid w:val="4944592C"/>
    <w:rsid w:val="494F32AE"/>
    <w:rsid w:val="494F67AB"/>
    <w:rsid w:val="4950607F"/>
    <w:rsid w:val="496164DE"/>
    <w:rsid w:val="49635DB3"/>
    <w:rsid w:val="49746212"/>
    <w:rsid w:val="49793828"/>
    <w:rsid w:val="497955D6"/>
    <w:rsid w:val="49804BB7"/>
    <w:rsid w:val="49822099"/>
    <w:rsid w:val="498459AE"/>
    <w:rsid w:val="498E6BA8"/>
    <w:rsid w:val="499046CE"/>
    <w:rsid w:val="49970EBB"/>
    <w:rsid w:val="499A72FA"/>
    <w:rsid w:val="499C7434"/>
    <w:rsid w:val="49A32653"/>
    <w:rsid w:val="49AD34D2"/>
    <w:rsid w:val="49BED329"/>
    <w:rsid w:val="49CA7BE0"/>
    <w:rsid w:val="49D15412"/>
    <w:rsid w:val="49D7054F"/>
    <w:rsid w:val="49E07403"/>
    <w:rsid w:val="49E669E4"/>
    <w:rsid w:val="49EA2030"/>
    <w:rsid w:val="49F92273"/>
    <w:rsid w:val="49FB248F"/>
    <w:rsid w:val="49FD17E1"/>
    <w:rsid w:val="49FE1F7F"/>
    <w:rsid w:val="4A113742"/>
    <w:rsid w:val="4A123335"/>
    <w:rsid w:val="4A1C41B3"/>
    <w:rsid w:val="4A1E617D"/>
    <w:rsid w:val="4A201EF6"/>
    <w:rsid w:val="4A281E19"/>
    <w:rsid w:val="4A2D63C1"/>
    <w:rsid w:val="4A3E237C"/>
    <w:rsid w:val="4A407EA2"/>
    <w:rsid w:val="4A471230"/>
    <w:rsid w:val="4A4A0D21"/>
    <w:rsid w:val="4A5120AF"/>
    <w:rsid w:val="4A514F90"/>
    <w:rsid w:val="4A5B2F2E"/>
    <w:rsid w:val="4A630034"/>
    <w:rsid w:val="4A633B90"/>
    <w:rsid w:val="4A6501EC"/>
    <w:rsid w:val="4A653DAC"/>
    <w:rsid w:val="4A6718D3"/>
    <w:rsid w:val="4A791606"/>
    <w:rsid w:val="4A7D2EA4"/>
    <w:rsid w:val="4A8E6E5F"/>
    <w:rsid w:val="4A91694F"/>
    <w:rsid w:val="4A954692"/>
    <w:rsid w:val="4A9A085A"/>
    <w:rsid w:val="4AA3092D"/>
    <w:rsid w:val="4AA77F21"/>
    <w:rsid w:val="4ABB1C1E"/>
    <w:rsid w:val="4AC856F1"/>
    <w:rsid w:val="4ACC5BD9"/>
    <w:rsid w:val="4AD020EA"/>
    <w:rsid w:val="4AD8632C"/>
    <w:rsid w:val="4AD87C28"/>
    <w:rsid w:val="4ADF1310"/>
    <w:rsid w:val="4AE41175"/>
    <w:rsid w:val="4AEB42B2"/>
    <w:rsid w:val="4AF13892"/>
    <w:rsid w:val="4AFC64BF"/>
    <w:rsid w:val="4B0215FB"/>
    <w:rsid w:val="4B052E99"/>
    <w:rsid w:val="4B094738"/>
    <w:rsid w:val="4B1F22F8"/>
    <w:rsid w:val="4B2047A0"/>
    <w:rsid w:val="4B217CD3"/>
    <w:rsid w:val="4B2234CB"/>
    <w:rsid w:val="4B2B10AB"/>
    <w:rsid w:val="4B2E419E"/>
    <w:rsid w:val="4B3B68BB"/>
    <w:rsid w:val="4B412124"/>
    <w:rsid w:val="4B50324F"/>
    <w:rsid w:val="4B524331"/>
    <w:rsid w:val="4B553E21"/>
    <w:rsid w:val="4B6127C6"/>
    <w:rsid w:val="4B6422B6"/>
    <w:rsid w:val="4B722FD4"/>
    <w:rsid w:val="4B7666AB"/>
    <w:rsid w:val="4B7C1C0C"/>
    <w:rsid w:val="4B7D0579"/>
    <w:rsid w:val="4B810772"/>
    <w:rsid w:val="4B8B15F1"/>
    <w:rsid w:val="4B9304A5"/>
    <w:rsid w:val="4B95421D"/>
    <w:rsid w:val="4B9F6B05"/>
    <w:rsid w:val="4BA34B8C"/>
    <w:rsid w:val="4BA426B2"/>
    <w:rsid w:val="4BAF5B88"/>
    <w:rsid w:val="4BBD8230"/>
    <w:rsid w:val="4BBE19C6"/>
    <w:rsid w:val="4BBF0EBE"/>
    <w:rsid w:val="4BC74FBB"/>
    <w:rsid w:val="4BCB0138"/>
    <w:rsid w:val="4BCE14DD"/>
    <w:rsid w:val="4BCF5981"/>
    <w:rsid w:val="4BD905AE"/>
    <w:rsid w:val="4BDA4326"/>
    <w:rsid w:val="4BE3142D"/>
    <w:rsid w:val="4BEA0DFF"/>
    <w:rsid w:val="4BF058F8"/>
    <w:rsid w:val="4BF453E8"/>
    <w:rsid w:val="4BF54F6F"/>
    <w:rsid w:val="4BF76C86"/>
    <w:rsid w:val="4BF7BD71"/>
    <w:rsid w:val="4BFA22D2"/>
    <w:rsid w:val="4BFF30C5"/>
    <w:rsid w:val="4C066574"/>
    <w:rsid w:val="4C066EC9"/>
    <w:rsid w:val="4C0A4C0B"/>
    <w:rsid w:val="4C143394"/>
    <w:rsid w:val="4C160596"/>
    <w:rsid w:val="4C1B38CA"/>
    <w:rsid w:val="4C211F55"/>
    <w:rsid w:val="4C213D03"/>
    <w:rsid w:val="4C2B6930"/>
    <w:rsid w:val="4C2F0383"/>
    <w:rsid w:val="4C303F46"/>
    <w:rsid w:val="4C327CBE"/>
    <w:rsid w:val="4C35155C"/>
    <w:rsid w:val="4C3954F1"/>
    <w:rsid w:val="4C3B239D"/>
    <w:rsid w:val="4C3E48B5"/>
    <w:rsid w:val="4C416153"/>
    <w:rsid w:val="4C43011D"/>
    <w:rsid w:val="4C4719BC"/>
    <w:rsid w:val="4C4C6FD2"/>
    <w:rsid w:val="4C4D2D4A"/>
    <w:rsid w:val="4C520360"/>
    <w:rsid w:val="4C545E87"/>
    <w:rsid w:val="4C547C35"/>
    <w:rsid w:val="4C5B0FC3"/>
    <w:rsid w:val="4C602A7D"/>
    <w:rsid w:val="4C62148D"/>
    <w:rsid w:val="4C6360CA"/>
    <w:rsid w:val="4C643BAB"/>
    <w:rsid w:val="4C653BF0"/>
    <w:rsid w:val="4C681932"/>
    <w:rsid w:val="4C6939FA"/>
    <w:rsid w:val="4C6C7D20"/>
    <w:rsid w:val="4C7402D7"/>
    <w:rsid w:val="4C7622A1"/>
    <w:rsid w:val="4C7C718B"/>
    <w:rsid w:val="4C806C7C"/>
    <w:rsid w:val="4C83676C"/>
    <w:rsid w:val="4C846B04"/>
    <w:rsid w:val="4C856040"/>
    <w:rsid w:val="4C87000A"/>
    <w:rsid w:val="4C8A7AFA"/>
    <w:rsid w:val="4C8C1658"/>
    <w:rsid w:val="4C942727"/>
    <w:rsid w:val="4CA0731E"/>
    <w:rsid w:val="4CAD5597"/>
    <w:rsid w:val="4CAE37E9"/>
    <w:rsid w:val="4CAF57B3"/>
    <w:rsid w:val="4CB44B77"/>
    <w:rsid w:val="4CBA037D"/>
    <w:rsid w:val="4CBA4888"/>
    <w:rsid w:val="4CBB7CB4"/>
    <w:rsid w:val="4CC34DBA"/>
    <w:rsid w:val="4CC72AFC"/>
    <w:rsid w:val="4CD55219"/>
    <w:rsid w:val="4CDF37BC"/>
    <w:rsid w:val="4CE216E4"/>
    <w:rsid w:val="4CE84DFB"/>
    <w:rsid w:val="4CF60CEC"/>
    <w:rsid w:val="4CFF8CF0"/>
    <w:rsid w:val="4D13189E"/>
    <w:rsid w:val="4D135D42"/>
    <w:rsid w:val="4D151ABA"/>
    <w:rsid w:val="4D1675E0"/>
    <w:rsid w:val="4D1F46E6"/>
    <w:rsid w:val="4D267823"/>
    <w:rsid w:val="4D275349"/>
    <w:rsid w:val="4D2B308B"/>
    <w:rsid w:val="4D301148"/>
    <w:rsid w:val="4D331F40"/>
    <w:rsid w:val="4D333CEE"/>
    <w:rsid w:val="4D464CF6"/>
    <w:rsid w:val="4D4E0B28"/>
    <w:rsid w:val="4D573E80"/>
    <w:rsid w:val="4D5A571F"/>
    <w:rsid w:val="4D5B7077"/>
    <w:rsid w:val="4D6577FA"/>
    <w:rsid w:val="4D6828D6"/>
    <w:rsid w:val="4D695962"/>
    <w:rsid w:val="4D6C7200"/>
    <w:rsid w:val="4D7560B4"/>
    <w:rsid w:val="4D7F33D7"/>
    <w:rsid w:val="4D7F698B"/>
    <w:rsid w:val="4D844549"/>
    <w:rsid w:val="4D875DE8"/>
    <w:rsid w:val="4D955609"/>
    <w:rsid w:val="4D970721"/>
    <w:rsid w:val="4D987FF5"/>
    <w:rsid w:val="4DA4699A"/>
    <w:rsid w:val="4DA70238"/>
    <w:rsid w:val="4DA90454"/>
    <w:rsid w:val="4DAE5A6A"/>
    <w:rsid w:val="4DB779E3"/>
    <w:rsid w:val="4DB841F3"/>
    <w:rsid w:val="4DBC5E9B"/>
    <w:rsid w:val="4DBF1E22"/>
    <w:rsid w:val="4DC40DEA"/>
    <w:rsid w:val="4DD059E1"/>
    <w:rsid w:val="4DDF8392"/>
    <w:rsid w:val="4DE17BEE"/>
    <w:rsid w:val="4DE35714"/>
    <w:rsid w:val="4DF27705"/>
    <w:rsid w:val="4DF47921"/>
    <w:rsid w:val="4DF94F37"/>
    <w:rsid w:val="4E0062C6"/>
    <w:rsid w:val="4E035DB6"/>
    <w:rsid w:val="4E15035B"/>
    <w:rsid w:val="4E177259"/>
    <w:rsid w:val="4E1E04FA"/>
    <w:rsid w:val="4E2B2C17"/>
    <w:rsid w:val="4E2D698F"/>
    <w:rsid w:val="4E374D44"/>
    <w:rsid w:val="4E404914"/>
    <w:rsid w:val="4E4B3008"/>
    <w:rsid w:val="4E4C25AC"/>
    <w:rsid w:val="4E4F6905"/>
    <w:rsid w:val="4E5403C0"/>
    <w:rsid w:val="4E616639"/>
    <w:rsid w:val="4E695985"/>
    <w:rsid w:val="4E86609F"/>
    <w:rsid w:val="4E86699F"/>
    <w:rsid w:val="4E872543"/>
    <w:rsid w:val="4E8812BF"/>
    <w:rsid w:val="4E8862BB"/>
    <w:rsid w:val="4E8B1908"/>
    <w:rsid w:val="4E8D38D2"/>
    <w:rsid w:val="4E9133C2"/>
    <w:rsid w:val="4E916F1E"/>
    <w:rsid w:val="4EA8070C"/>
    <w:rsid w:val="4EB41A99"/>
    <w:rsid w:val="4EB62E28"/>
    <w:rsid w:val="4EBB043F"/>
    <w:rsid w:val="4EBD41B7"/>
    <w:rsid w:val="4EBE0782"/>
    <w:rsid w:val="4EBF1CA0"/>
    <w:rsid w:val="4ECE0172"/>
    <w:rsid w:val="4ED10F45"/>
    <w:rsid w:val="4ED41501"/>
    <w:rsid w:val="4ED908C5"/>
    <w:rsid w:val="4EF63225"/>
    <w:rsid w:val="4EF676C9"/>
    <w:rsid w:val="4EFC68C6"/>
    <w:rsid w:val="4F0911AA"/>
    <w:rsid w:val="4F0C47F7"/>
    <w:rsid w:val="4F0E5FB8"/>
    <w:rsid w:val="4F133DD7"/>
    <w:rsid w:val="4F1D4C56"/>
    <w:rsid w:val="4F2002A2"/>
    <w:rsid w:val="4F22401A"/>
    <w:rsid w:val="4F237DE7"/>
    <w:rsid w:val="4F246E0E"/>
    <w:rsid w:val="4F2E0C11"/>
    <w:rsid w:val="4F326E51"/>
    <w:rsid w:val="4F4071CC"/>
    <w:rsid w:val="4F4421E2"/>
    <w:rsid w:val="4F4641AC"/>
    <w:rsid w:val="4F477F24"/>
    <w:rsid w:val="4F4A3571"/>
    <w:rsid w:val="4F4BCBE5"/>
    <w:rsid w:val="4F52563A"/>
    <w:rsid w:val="4F5A7C58"/>
    <w:rsid w:val="4F5C39D0"/>
    <w:rsid w:val="4F714FA1"/>
    <w:rsid w:val="4F732AC8"/>
    <w:rsid w:val="4F766114"/>
    <w:rsid w:val="4F78B94C"/>
    <w:rsid w:val="4F895E47"/>
    <w:rsid w:val="4F905E41"/>
    <w:rsid w:val="4F9B5B7A"/>
    <w:rsid w:val="4F9C201E"/>
    <w:rsid w:val="4F9D09E1"/>
    <w:rsid w:val="4FA26F09"/>
    <w:rsid w:val="4FA62E9D"/>
    <w:rsid w:val="4FAB400F"/>
    <w:rsid w:val="4FAE3B00"/>
    <w:rsid w:val="4FB56C3C"/>
    <w:rsid w:val="4FB649F0"/>
    <w:rsid w:val="4FB8672C"/>
    <w:rsid w:val="4FBB6355"/>
    <w:rsid w:val="4FBF86AB"/>
    <w:rsid w:val="4FBF9E7C"/>
    <w:rsid w:val="4FC32340"/>
    <w:rsid w:val="4FC357FD"/>
    <w:rsid w:val="4FCB46B2"/>
    <w:rsid w:val="4FCD042A"/>
    <w:rsid w:val="4FCD667C"/>
    <w:rsid w:val="4FD07F3D"/>
    <w:rsid w:val="4FD25A40"/>
    <w:rsid w:val="4FD277EE"/>
    <w:rsid w:val="4FDA48F5"/>
    <w:rsid w:val="4FDB28CB"/>
    <w:rsid w:val="4FDF1F0B"/>
    <w:rsid w:val="4FE11C33"/>
    <w:rsid w:val="4FE87012"/>
    <w:rsid w:val="4FE96CB3"/>
    <w:rsid w:val="4FEE56B8"/>
    <w:rsid w:val="4FEECCA0"/>
    <w:rsid w:val="4FEFB63F"/>
    <w:rsid w:val="4FF77255"/>
    <w:rsid w:val="4FFC3839"/>
    <w:rsid w:val="4FFC6818"/>
    <w:rsid w:val="4FFF7D39"/>
    <w:rsid w:val="4FFF88D7"/>
    <w:rsid w:val="50016325"/>
    <w:rsid w:val="50106568"/>
    <w:rsid w:val="50242014"/>
    <w:rsid w:val="502B565A"/>
    <w:rsid w:val="50306C0B"/>
    <w:rsid w:val="50321894"/>
    <w:rsid w:val="503264DF"/>
    <w:rsid w:val="504463BB"/>
    <w:rsid w:val="504B57F2"/>
    <w:rsid w:val="50502E09"/>
    <w:rsid w:val="50526B81"/>
    <w:rsid w:val="50575F45"/>
    <w:rsid w:val="505E72D4"/>
    <w:rsid w:val="506348EA"/>
    <w:rsid w:val="506A211C"/>
    <w:rsid w:val="506A3ECB"/>
    <w:rsid w:val="506B19EF"/>
    <w:rsid w:val="506F7733"/>
    <w:rsid w:val="50770396"/>
    <w:rsid w:val="507B7E86"/>
    <w:rsid w:val="507E7976"/>
    <w:rsid w:val="50841E54"/>
    <w:rsid w:val="508A1E77"/>
    <w:rsid w:val="508D1967"/>
    <w:rsid w:val="5099275A"/>
    <w:rsid w:val="50A13664"/>
    <w:rsid w:val="50A82C45"/>
    <w:rsid w:val="50AA2519"/>
    <w:rsid w:val="50AF18DD"/>
    <w:rsid w:val="50B83E09"/>
    <w:rsid w:val="50B9275C"/>
    <w:rsid w:val="50BB2978"/>
    <w:rsid w:val="50BD3AD5"/>
    <w:rsid w:val="50BE127F"/>
    <w:rsid w:val="50C07F8E"/>
    <w:rsid w:val="50CE26AB"/>
    <w:rsid w:val="50D13F4A"/>
    <w:rsid w:val="50DC43E5"/>
    <w:rsid w:val="50E113C1"/>
    <w:rsid w:val="50EE4AFC"/>
    <w:rsid w:val="50F419E6"/>
    <w:rsid w:val="50F43794"/>
    <w:rsid w:val="50F6750C"/>
    <w:rsid w:val="51022355"/>
    <w:rsid w:val="51024103"/>
    <w:rsid w:val="51047D5F"/>
    <w:rsid w:val="510C6D30"/>
    <w:rsid w:val="512C5624"/>
    <w:rsid w:val="513444D8"/>
    <w:rsid w:val="5139564B"/>
    <w:rsid w:val="5140188A"/>
    <w:rsid w:val="51497F84"/>
    <w:rsid w:val="514F30C0"/>
    <w:rsid w:val="51516E38"/>
    <w:rsid w:val="51537E65"/>
    <w:rsid w:val="515626A1"/>
    <w:rsid w:val="516721B8"/>
    <w:rsid w:val="516E3547"/>
    <w:rsid w:val="51795E28"/>
    <w:rsid w:val="51844B18"/>
    <w:rsid w:val="518B234A"/>
    <w:rsid w:val="518C7E71"/>
    <w:rsid w:val="51944BC6"/>
    <w:rsid w:val="51960CEF"/>
    <w:rsid w:val="51A2499A"/>
    <w:rsid w:val="51A74CAA"/>
    <w:rsid w:val="51BC6065"/>
    <w:rsid w:val="51C4760A"/>
    <w:rsid w:val="51C615D4"/>
    <w:rsid w:val="51C8534D"/>
    <w:rsid w:val="51CB2747"/>
    <w:rsid w:val="51D35A9F"/>
    <w:rsid w:val="51E65FB4"/>
    <w:rsid w:val="51EB103B"/>
    <w:rsid w:val="51EE0B2B"/>
    <w:rsid w:val="51EF65B1"/>
    <w:rsid w:val="51F003FF"/>
    <w:rsid w:val="51F10DB9"/>
    <w:rsid w:val="51F24178"/>
    <w:rsid w:val="51F53C68"/>
    <w:rsid w:val="51FA256E"/>
    <w:rsid w:val="51FA77A2"/>
    <w:rsid w:val="5201085F"/>
    <w:rsid w:val="5205455A"/>
    <w:rsid w:val="52075749"/>
    <w:rsid w:val="52097713"/>
    <w:rsid w:val="520C2D5F"/>
    <w:rsid w:val="521D4F6D"/>
    <w:rsid w:val="522956BF"/>
    <w:rsid w:val="52302EF2"/>
    <w:rsid w:val="523227C6"/>
    <w:rsid w:val="5233653E"/>
    <w:rsid w:val="524644C3"/>
    <w:rsid w:val="52466271"/>
    <w:rsid w:val="52466E0C"/>
    <w:rsid w:val="524A666C"/>
    <w:rsid w:val="525210BA"/>
    <w:rsid w:val="5255018C"/>
    <w:rsid w:val="52552958"/>
    <w:rsid w:val="52595FA5"/>
    <w:rsid w:val="525A13BB"/>
    <w:rsid w:val="525E180D"/>
    <w:rsid w:val="52685B92"/>
    <w:rsid w:val="526861E8"/>
    <w:rsid w:val="526D1A50"/>
    <w:rsid w:val="528648C0"/>
    <w:rsid w:val="529519AB"/>
    <w:rsid w:val="529E1C09"/>
    <w:rsid w:val="52A631B4"/>
    <w:rsid w:val="52A86F2C"/>
    <w:rsid w:val="52B358B3"/>
    <w:rsid w:val="52B4142D"/>
    <w:rsid w:val="52B94C95"/>
    <w:rsid w:val="52B96A43"/>
    <w:rsid w:val="52C47063"/>
    <w:rsid w:val="52CB49C9"/>
    <w:rsid w:val="52CC4967"/>
    <w:rsid w:val="52CD6993"/>
    <w:rsid w:val="52D039E9"/>
    <w:rsid w:val="52DB1E66"/>
    <w:rsid w:val="52E15F9A"/>
    <w:rsid w:val="52E8557B"/>
    <w:rsid w:val="52F331D3"/>
    <w:rsid w:val="52F4245E"/>
    <w:rsid w:val="52F7756C"/>
    <w:rsid w:val="52FE08FA"/>
    <w:rsid w:val="530D4FE1"/>
    <w:rsid w:val="531B10C7"/>
    <w:rsid w:val="532C36B9"/>
    <w:rsid w:val="533407C0"/>
    <w:rsid w:val="533C4333"/>
    <w:rsid w:val="534730CB"/>
    <w:rsid w:val="53487DC7"/>
    <w:rsid w:val="534A3B3F"/>
    <w:rsid w:val="534C3D5B"/>
    <w:rsid w:val="53530C46"/>
    <w:rsid w:val="53582700"/>
    <w:rsid w:val="535D7F7D"/>
    <w:rsid w:val="536015B5"/>
    <w:rsid w:val="53634C01"/>
    <w:rsid w:val="536410A5"/>
    <w:rsid w:val="536F35A6"/>
    <w:rsid w:val="536F4813"/>
    <w:rsid w:val="5372695A"/>
    <w:rsid w:val="537312E8"/>
    <w:rsid w:val="537A08C9"/>
    <w:rsid w:val="537B22D7"/>
    <w:rsid w:val="537D5CC3"/>
    <w:rsid w:val="53876B42"/>
    <w:rsid w:val="538E6122"/>
    <w:rsid w:val="53963229"/>
    <w:rsid w:val="539D6F14"/>
    <w:rsid w:val="53AC65A8"/>
    <w:rsid w:val="53B13BBE"/>
    <w:rsid w:val="53B316E5"/>
    <w:rsid w:val="53B95953"/>
    <w:rsid w:val="53BF62DB"/>
    <w:rsid w:val="53C03E02"/>
    <w:rsid w:val="53C438F2"/>
    <w:rsid w:val="53C641D6"/>
    <w:rsid w:val="53CC7162"/>
    <w:rsid w:val="53D53D51"/>
    <w:rsid w:val="53D63625"/>
    <w:rsid w:val="53DB0C3B"/>
    <w:rsid w:val="53DD43D8"/>
    <w:rsid w:val="53DD49B3"/>
    <w:rsid w:val="53DE7730"/>
    <w:rsid w:val="53DF697E"/>
    <w:rsid w:val="53E67D0C"/>
    <w:rsid w:val="53EE6BC1"/>
    <w:rsid w:val="53F817ED"/>
    <w:rsid w:val="53FEE1FB"/>
    <w:rsid w:val="54071A30"/>
    <w:rsid w:val="540B7773"/>
    <w:rsid w:val="541D3002"/>
    <w:rsid w:val="54260108"/>
    <w:rsid w:val="54273E81"/>
    <w:rsid w:val="54280325"/>
    <w:rsid w:val="54297BF9"/>
    <w:rsid w:val="542C1497"/>
    <w:rsid w:val="54322F51"/>
    <w:rsid w:val="54330A77"/>
    <w:rsid w:val="543547EF"/>
    <w:rsid w:val="5436564B"/>
    <w:rsid w:val="54422A68"/>
    <w:rsid w:val="544E765F"/>
    <w:rsid w:val="545253A1"/>
    <w:rsid w:val="54576514"/>
    <w:rsid w:val="545C1B15"/>
    <w:rsid w:val="545F361A"/>
    <w:rsid w:val="546155E5"/>
    <w:rsid w:val="546926EB"/>
    <w:rsid w:val="546D5D37"/>
    <w:rsid w:val="5477195C"/>
    <w:rsid w:val="54813591"/>
    <w:rsid w:val="548A4B3B"/>
    <w:rsid w:val="54912408"/>
    <w:rsid w:val="54994D7E"/>
    <w:rsid w:val="54A84FC1"/>
    <w:rsid w:val="54AD45FC"/>
    <w:rsid w:val="54B75204"/>
    <w:rsid w:val="54C14F7F"/>
    <w:rsid w:val="54C31DFB"/>
    <w:rsid w:val="54C47921"/>
    <w:rsid w:val="54C708C8"/>
    <w:rsid w:val="54C94F38"/>
    <w:rsid w:val="54E579B0"/>
    <w:rsid w:val="54E734EC"/>
    <w:rsid w:val="54F50F34"/>
    <w:rsid w:val="54FB4092"/>
    <w:rsid w:val="54FC70BB"/>
    <w:rsid w:val="5503669C"/>
    <w:rsid w:val="55110DB9"/>
    <w:rsid w:val="551408A9"/>
    <w:rsid w:val="55144405"/>
    <w:rsid w:val="55175CA3"/>
    <w:rsid w:val="55191A1B"/>
    <w:rsid w:val="5523289A"/>
    <w:rsid w:val="552705DC"/>
    <w:rsid w:val="553625CD"/>
    <w:rsid w:val="55376345"/>
    <w:rsid w:val="55434CEA"/>
    <w:rsid w:val="555100A3"/>
    <w:rsid w:val="555111B5"/>
    <w:rsid w:val="55564A1D"/>
    <w:rsid w:val="55570796"/>
    <w:rsid w:val="555962BC"/>
    <w:rsid w:val="556055B6"/>
    <w:rsid w:val="556C4241"/>
    <w:rsid w:val="556F6CD4"/>
    <w:rsid w:val="55741347"/>
    <w:rsid w:val="5575204E"/>
    <w:rsid w:val="558477DD"/>
    <w:rsid w:val="55857572"/>
    <w:rsid w:val="558C48E3"/>
    <w:rsid w:val="559317CE"/>
    <w:rsid w:val="55935C72"/>
    <w:rsid w:val="559612BE"/>
    <w:rsid w:val="559A7000"/>
    <w:rsid w:val="559E63C4"/>
    <w:rsid w:val="55A90FF1"/>
    <w:rsid w:val="55AE3CAC"/>
    <w:rsid w:val="55B95229"/>
    <w:rsid w:val="55BF2F94"/>
    <w:rsid w:val="55C93441"/>
    <w:rsid w:val="55CD78AA"/>
    <w:rsid w:val="55D62037"/>
    <w:rsid w:val="55E77D6B"/>
    <w:rsid w:val="55EFEF38"/>
    <w:rsid w:val="55F06C20"/>
    <w:rsid w:val="55F304BE"/>
    <w:rsid w:val="55F83D27"/>
    <w:rsid w:val="56004989"/>
    <w:rsid w:val="56064D8C"/>
    <w:rsid w:val="56170651"/>
    <w:rsid w:val="561B78EA"/>
    <w:rsid w:val="561D19DF"/>
    <w:rsid w:val="561F7505"/>
    <w:rsid w:val="5633B52B"/>
    <w:rsid w:val="56356D29"/>
    <w:rsid w:val="563F0E08"/>
    <w:rsid w:val="564B02FA"/>
    <w:rsid w:val="564B3E56"/>
    <w:rsid w:val="564D4072"/>
    <w:rsid w:val="565076BF"/>
    <w:rsid w:val="56531B75"/>
    <w:rsid w:val="56535401"/>
    <w:rsid w:val="565C2507"/>
    <w:rsid w:val="56625644"/>
    <w:rsid w:val="56665134"/>
    <w:rsid w:val="56666EE2"/>
    <w:rsid w:val="567E247E"/>
    <w:rsid w:val="568630E0"/>
    <w:rsid w:val="56893385"/>
    <w:rsid w:val="568F7843"/>
    <w:rsid w:val="56921A85"/>
    <w:rsid w:val="56951575"/>
    <w:rsid w:val="569D042A"/>
    <w:rsid w:val="56B37C4E"/>
    <w:rsid w:val="56C360E3"/>
    <w:rsid w:val="56CE6835"/>
    <w:rsid w:val="56D46542"/>
    <w:rsid w:val="56D77DE0"/>
    <w:rsid w:val="56E06053"/>
    <w:rsid w:val="56E458CB"/>
    <w:rsid w:val="56E85B49"/>
    <w:rsid w:val="56F3629C"/>
    <w:rsid w:val="56FD5AE0"/>
    <w:rsid w:val="56FDEDC9"/>
    <w:rsid w:val="56FF6386"/>
    <w:rsid w:val="570566FB"/>
    <w:rsid w:val="570D735E"/>
    <w:rsid w:val="572172AD"/>
    <w:rsid w:val="57226B03"/>
    <w:rsid w:val="57255484"/>
    <w:rsid w:val="57346FE0"/>
    <w:rsid w:val="57364B06"/>
    <w:rsid w:val="574511ED"/>
    <w:rsid w:val="575F907A"/>
    <w:rsid w:val="57601B83"/>
    <w:rsid w:val="5765719A"/>
    <w:rsid w:val="576C0528"/>
    <w:rsid w:val="577949F3"/>
    <w:rsid w:val="57831D16"/>
    <w:rsid w:val="57835872"/>
    <w:rsid w:val="5789732C"/>
    <w:rsid w:val="578C2978"/>
    <w:rsid w:val="579D2DD8"/>
    <w:rsid w:val="57A203EE"/>
    <w:rsid w:val="57A53A3A"/>
    <w:rsid w:val="57A557E8"/>
    <w:rsid w:val="57AAADF6"/>
    <w:rsid w:val="57ADE9AB"/>
    <w:rsid w:val="57B676FD"/>
    <w:rsid w:val="57C06AC6"/>
    <w:rsid w:val="57CA34A1"/>
    <w:rsid w:val="57CE09AB"/>
    <w:rsid w:val="57D119BF"/>
    <w:rsid w:val="57D85BBE"/>
    <w:rsid w:val="57DB54BA"/>
    <w:rsid w:val="57DE6F4C"/>
    <w:rsid w:val="57E0285A"/>
    <w:rsid w:val="57E427B4"/>
    <w:rsid w:val="57EE3633"/>
    <w:rsid w:val="57EF2E43"/>
    <w:rsid w:val="57F14ED1"/>
    <w:rsid w:val="57F605E6"/>
    <w:rsid w:val="57F76E8F"/>
    <w:rsid w:val="57F81DBC"/>
    <w:rsid w:val="57F95B34"/>
    <w:rsid w:val="57FBD8F3"/>
    <w:rsid w:val="57FD3876"/>
    <w:rsid w:val="57FDB77F"/>
    <w:rsid w:val="57FE314A"/>
    <w:rsid w:val="57FF139C"/>
    <w:rsid w:val="58136BF6"/>
    <w:rsid w:val="5814471C"/>
    <w:rsid w:val="58256929"/>
    <w:rsid w:val="582E57DE"/>
    <w:rsid w:val="583077A8"/>
    <w:rsid w:val="583628E4"/>
    <w:rsid w:val="583A0626"/>
    <w:rsid w:val="583F79EB"/>
    <w:rsid w:val="58403763"/>
    <w:rsid w:val="584E7C2E"/>
    <w:rsid w:val="585C1720"/>
    <w:rsid w:val="586236D9"/>
    <w:rsid w:val="586249BE"/>
    <w:rsid w:val="5866141B"/>
    <w:rsid w:val="586B4C84"/>
    <w:rsid w:val="586C7056"/>
    <w:rsid w:val="586E02D0"/>
    <w:rsid w:val="58727DC0"/>
    <w:rsid w:val="58733B38"/>
    <w:rsid w:val="5875340D"/>
    <w:rsid w:val="588418A2"/>
    <w:rsid w:val="5898534D"/>
    <w:rsid w:val="589F0489"/>
    <w:rsid w:val="589F66DB"/>
    <w:rsid w:val="58A61818"/>
    <w:rsid w:val="58AE62BB"/>
    <w:rsid w:val="58AE691E"/>
    <w:rsid w:val="58B21052"/>
    <w:rsid w:val="58B73A25"/>
    <w:rsid w:val="58BA52C3"/>
    <w:rsid w:val="58BD6B62"/>
    <w:rsid w:val="58BF28DA"/>
    <w:rsid w:val="58D97E3F"/>
    <w:rsid w:val="58E10AA2"/>
    <w:rsid w:val="58F509F1"/>
    <w:rsid w:val="58F742F0"/>
    <w:rsid w:val="58F85979"/>
    <w:rsid w:val="58FA7DB6"/>
    <w:rsid w:val="58FEA6DD"/>
    <w:rsid w:val="5903310E"/>
    <w:rsid w:val="59060509"/>
    <w:rsid w:val="59084281"/>
    <w:rsid w:val="590B5B1F"/>
    <w:rsid w:val="59123351"/>
    <w:rsid w:val="591250FF"/>
    <w:rsid w:val="591470C9"/>
    <w:rsid w:val="591C1ADA"/>
    <w:rsid w:val="591F781C"/>
    <w:rsid w:val="59301A29"/>
    <w:rsid w:val="59327D52"/>
    <w:rsid w:val="59396B30"/>
    <w:rsid w:val="593E5EF4"/>
    <w:rsid w:val="595A2602"/>
    <w:rsid w:val="5975743C"/>
    <w:rsid w:val="597C3D3A"/>
    <w:rsid w:val="597C6A1D"/>
    <w:rsid w:val="5980475F"/>
    <w:rsid w:val="59911CFE"/>
    <w:rsid w:val="5999137D"/>
    <w:rsid w:val="599E145F"/>
    <w:rsid w:val="59A044B9"/>
    <w:rsid w:val="59AA17DC"/>
    <w:rsid w:val="59AB25C2"/>
    <w:rsid w:val="59B63CDD"/>
    <w:rsid w:val="59BE5F98"/>
    <w:rsid w:val="59C7413C"/>
    <w:rsid w:val="59C83E99"/>
    <w:rsid w:val="59CF4D9E"/>
    <w:rsid w:val="59D40607"/>
    <w:rsid w:val="59D6612D"/>
    <w:rsid w:val="59FA9C5E"/>
    <w:rsid w:val="5A04713E"/>
    <w:rsid w:val="5A0E5BA7"/>
    <w:rsid w:val="5A155ACE"/>
    <w:rsid w:val="5A19426B"/>
    <w:rsid w:val="5A1D0200"/>
    <w:rsid w:val="5A1F7AD4"/>
    <w:rsid w:val="5A276988"/>
    <w:rsid w:val="5A307F33"/>
    <w:rsid w:val="5A3612C1"/>
    <w:rsid w:val="5A3D7F5A"/>
    <w:rsid w:val="5A3E3CD2"/>
    <w:rsid w:val="5A455061"/>
    <w:rsid w:val="5A45526D"/>
    <w:rsid w:val="5A494B51"/>
    <w:rsid w:val="5A4B606B"/>
    <w:rsid w:val="5A4E660B"/>
    <w:rsid w:val="5A517EA9"/>
    <w:rsid w:val="5A56726E"/>
    <w:rsid w:val="5A5C0D28"/>
    <w:rsid w:val="5A70032F"/>
    <w:rsid w:val="5A785436"/>
    <w:rsid w:val="5A7D2A4C"/>
    <w:rsid w:val="5A820063"/>
    <w:rsid w:val="5A951B44"/>
    <w:rsid w:val="5A963B0E"/>
    <w:rsid w:val="5A9A1850"/>
    <w:rsid w:val="5AA1498D"/>
    <w:rsid w:val="5AA47FD9"/>
    <w:rsid w:val="5AA601F5"/>
    <w:rsid w:val="5AA75D1B"/>
    <w:rsid w:val="5AA77AC9"/>
    <w:rsid w:val="5AB50438"/>
    <w:rsid w:val="5AB741B0"/>
    <w:rsid w:val="5ABF0E07"/>
    <w:rsid w:val="5AC46EDC"/>
    <w:rsid w:val="5AC78696"/>
    <w:rsid w:val="5ACB37B8"/>
    <w:rsid w:val="5ACC12DE"/>
    <w:rsid w:val="5AD1198A"/>
    <w:rsid w:val="5AD308BE"/>
    <w:rsid w:val="5AD3266C"/>
    <w:rsid w:val="5AE1122D"/>
    <w:rsid w:val="5AE825BC"/>
    <w:rsid w:val="5AEE74A6"/>
    <w:rsid w:val="5AF232D4"/>
    <w:rsid w:val="5AF947C9"/>
    <w:rsid w:val="5AFA22EF"/>
    <w:rsid w:val="5AFA409D"/>
    <w:rsid w:val="5AFF68D3"/>
    <w:rsid w:val="5B0373F5"/>
    <w:rsid w:val="5B0867BA"/>
    <w:rsid w:val="5B092532"/>
    <w:rsid w:val="5B172EA1"/>
    <w:rsid w:val="5B1A029B"/>
    <w:rsid w:val="5B1E5FDD"/>
    <w:rsid w:val="5B2336BE"/>
    <w:rsid w:val="5B2661BE"/>
    <w:rsid w:val="5B365BF4"/>
    <w:rsid w:val="5B372BFB"/>
    <w:rsid w:val="5B3A093D"/>
    <w:rsid w:val="5B4377F2"/>
    <w:rsid w:val="5B44356A"/>
    <w:rsid w:val="5B4D68C3"/>
    <w:rsid w:val="5B4F1969"/>
    <w:rsid w:val="5B5A2D8E"/>
    <w:rsid w:val="5B5FA946"/>
    <w:rsid w:val="5B6360E6"/>
    <w:rsid w:val="5B650C15"/>
    <w:rsid w:val="5B6B6D49"/>
    <w:rsid w:val="5B71E167"/>
    <w:rsid w:val="5B721E85"/>
    <w:rsid w:val="5B752D28"/>
    <w:rsid w:val="5B7643A1"/>
    <w:rsid w:val="5B7B3E55"/>
    <w:rsid w:val="5B7D6791"/>
    <w:rsid w:val="5B8878FB"/>
    <w:rsid w:val="5B8A71CF"/>
    <w:rsid w:val="5B8D3163"/>
    <w:rsid w:val="5B8D6CBF"/>
    <w:rsid w:val="5B8F2A37"/>
    <w:rsid w:val="5B943DBF"/>
    <w:rsid w:val="5B94475D"/>
    <w:rsid w:val="5B953DC6"/>
    <w:rsid w:val="5B9B762E"/>
    <w:rsid w:val="5B9E0ECC"/>
    <w:rsid w:val="5BAA7871"/>
    <w:rsid w:val="5BC56459"/>
    <w:rsid w:val="5BCE722B"/>
    <w:rsid w:val="5BEDDEEB"/>
    <w:rsid w:val="5BF86243"/>
    <w:rsid w:val="5BFB631F"/>
    <w:rsid w:val="5BFB6984"/>
    <w:rsid w:val="5BFD600F"/>
    <w:rsid w:val="5BFFC10D"/>
    <w:rsid w:val="5C003935"/>
    <w:rsid w:val="5C0C22DA"/>
    <w:rsid w:val="5C0F5926"/>
    <w:rsid w:val="5C270EC2"/>
    <w:rsid w:val="5C2815EA"/>
    <w:rsid w:val="5C2931EE"/>
    <w:rsid w:val="5C2A09B2"/>
    <w:rsid w:val="5C2F7D76"/>
    <w:rsid w:val="5C317F92"/>
    <w:rsid w:val="5C34538D"/>
    <w:rsid w:val="5C4B1E34"/>
    <w:rsid w:val="5C4E46A0"/>
    <w:rsid w:val="5C553C81"/>
    <w:rsid w:val="5C582FA8"/>
    <w:rsid w:val="5C5B0B6B"/>
    <w:rsid w:val="5C5F065B"/>
    <w:rsid w:val="5C6043D4"/>
    <w:rsid w:val="5C675762"/>
    <w:rsid w:val="5C6C28AE"/>
    <w:rsid w:val="5C6E2DE7"/>
    <w:rsid w:val="5C741C2D"/>
    <w:rsid w:val="5C8835A6"/>
    <w:rsid w:val="5C8B76A2"/>
    <w:rsid w:val="5C974299"/>
    <w:rsid w:val="5C9C508A"/>
    <w:rsid w:val="5CBC5AAE"/>
    <w:rsid w:val="5CBD20F7"/>
    <w:rsid w:val="5CC130C4"/>
    <w:rsid w:val="5CC901CB"/>
    <w:rsid w:val="5CDC1CAC"/>
    <w:rsid w:val="5CF05758"/>
    <w:rsid w:val="5CF77457"/>
    <w:rsid w:val="5CF8460C"/>
    <w:rsid w:val="5D011713"/>
    <w:rsid w:val="5D017965"/>
    <w:rsid w:val="5D072AA1"/>
    <w:rsid w:val="5D073912"/>
    <w:rsid w:val="5D0B433F"/>
    <w:rsid w:val="5D0D455B"/>
    <w:rsid w:val="5D0E5BDE"/>
    <w:rsid w:val="5D122061"/>
    <w:rsid w:val="5D174927"/>
    <w:rsid w:val="5D1A6C78"/>
    <w:rsid w:val="5D1DF1D1"/>
    <w:rsid w:val="5D325D70"/>
    <w:rsid w:val="5D335644"/>
    <w:rsid w:val="5D35760E"/>
    <w:rsid w:val="5D417D61"/>
    <w:rsid w:val="5D423AD9"/>
    <w:rsid w:val="5D447851"/>
    <w:rsid w:val="5D557CB0"/>
    <w:rsid w:val="5D5A52C7"/>
    <w:rsid w:val="5D656192"/>
    <w:rsid w:val="5D72616D"/>
    <w:rsid w:val="5D7F331F"/>
    <w:rsid w:val="5D881E34"/>
    <w:rsid w:val="5D8B4513"/>
    <w:rsid w:val="5D916F3A"/>
    <w:rsid w:val="5DA24FF7"/>
    <w:rsid w:val="5DA725AA"/>
    <w:rsid w:val="5DAB78D0"/>
    <w:rsid w:val="5DB9023F"/>
    <w:rsid w:val="5DBC388C"/>
    <w:rsid w:val="5DD010E5"/>
    <w:rsid w:val="5DD21301"/>
    <w:rsid w:val="5DE03A1E"/>
    <w:rsid w:val="5DEC23C3"/>
    <w:rsid w:val="5DEE4D3F"/>
    <w:rsid w:val="5DF701A6"/>
    <w:rsid w:val="5DF94AE0"/>
    <w:rsid w:val="5DFB8EB2"/>
    <w:rsid w:val="5DFBD5E6"/>
    <w:rsid w:val="5DFECC3B"/>
    <w:rsid w:val="5DFECD10"/>
    <w:rsid w:val="5E005E6E"/>
    <w:rsid w:val="5E015742"/>
    <w:rsid w:val="5E041DA9"/>
    <w:rsid w:val="5E113BD7"/>
    <w:rsid w:val="5E2C0A11"/>
    <w:rsid w:val="5E2C6C63"/>
    <w:rsid w:val="5E2D6537"/>
    <w:rsid w:val="5E2E29DB"/>
    <w:rsid w:val="5E323B4E"/>
    <w:rsid w:val="5E335697"/>
    <w:rsid w:val="5E385608"/>
    <w:rsid w:val="5E3B0C54"/>
    <w:rsid w:val="5E3B2A02"/>
    <w:rsid w:val="5E4915C3"/>
    <w:rsid w:val="5E4D2736"/>
    <w:rsid w:val="5E5A31EF"/>
    <w:rsid w:val="5E652175"/>
    <w:rsid w:val="5E732F37"/>
    <w:rsid w:val="5E750F77"/>
    <w:rsid w:val="5E7A5C21"/>
    <w:rsid w:val="5E7B54F5"/>
    <w:rsid w:val="5E7F7E7D"/>
    <w:rsid w:val="5E850121"/>
    <w:rsid w:val="5E8A398A"/>
    <w:rsid w:val="5E8A5738"/>
    <w:rsid w:val="5E8E347A"/>
    <w:rsid w:val="5E93283E"/>
    <w:rsid w:val="5E9D190F"/>
    <w:rsid w:val="5EA902B4"/>
    <w:rsid w:val="5EAA35A6"/>
    <w:rsid w:val="5EAF42C4"/>
    <w:rsid w:val="5EBA601D"/>
    <w:rsid w:val="5EC0115A"/>
    <w:rsid w:val="5EC43019"/>
    <w:rsid w:val="5EC549C2"/>
    <w:rsid w:val="5EC96260"/>
    <w:rsid w:val="5ECE1C88"/>
    <w:rsid w:val="5ED2083A"/>
    <w:rsid w:val="5ED82947"/>
    <w:rsid w:val="5EE531B6"/>
    <w:rsid w:val="5EF84D97"/>
    <w:rsid w:val="5EF8B82E"/>
    <w:rsid w:val="5EFB43A2"/>
    <w:rsid w:val="5EFEAB82"/>
    <w:rsid w:val="5F013C4C"/>
    <w:rsid w:val="5F0313AF"/>
    <w:rsid w:val="5F0E0117"/>
    <w:rsid w:val="5F13397F"/>
    <w:rsid w:val="5F155949"/>
    <w:rsid w:val="5F17346F"/>
    <w:rsid w:val="5F180F96"/>
    <w:rsid w:val="5F191906"/>
    <w:rsid w:val="5F1A4D0E"/>
    <w:rsid w:val="5F271766"/>
    <w:rsid w:val="5F2B2A77"/>
    <w:rsid w:val="5F2C67EF"/>
    <w:rsid w:val="5F2DCE0F"/>
    <w:rsid w:val="5F334021"/>
    <w:rsid w:val="5F380B41"/>
    <w:rsid w:val="5F3A0F0C"/>
    <w:rsid w:val="5F3B02EE"/>
    <w:rsid w:val="5F3D2B9D"/>
    <w:rsid w:val="5F476BD9"/>
    <w:rsid w:val="5F4973A1"/>
    <w:rsid w:val="5F4B136B"/>
    <w:rsid w:val="5F4E2C09"/>
    <w:rsid w:val="5F56685C"/>
    <w:rsid w:val="5F5C5326"/>
    <w:rsid w:val="5F5F0972"/>
    <w:rsid w:val="5F5F4E16"/>
    <w:rsid w:val="5F61293D"/>
    <w:rsid w:val="5F682FD3"/>
    <w:rsid w:val="5F685A79"/>
    <w:rsid w:val="5F6D308F"/>
    <w:rsid w:val="5F6D7533"/>
    <w:rsid w:val="5F775CBC"/>
    <w:rsid w:val="5F776C17"/>
    <w:rsid w:val="5F7E529D"/>
    <w:rsid w:val="5F7F412A"/>
    <w:rsid w:val="5F8403D9"/>
    <w:rsid w:val="5F8B1768"/>
    <w:rsid w:val="5F8E3006"/>
    <w:rsid w:val="5F960AB4"/>
    <w:rsid w:val="5F97010C"/>
    <w:rsid w:val="5F9E149B"/>
    <w:rsid w:val="5FA32F55"/>
    <w:rsid w:val="5FA6034F"/>
    <w:rsid w:val="5FAE6A89"/>
    <w:rsid w:val="5FBB4E2B"/>
    <w:rsid w:val="5FBCEF6A"/>
    <w:rsid w:val="5FBD240F"/>
    <w:rsid w:val="5FBFCCAF"/>
    <w:rsid w:val="5FC627A0"/>
    <w:rsid w:val="5FC857F7"/>
    <w:rsid w:val="5FCA04E2"/>
    <w:rsid w:val="5FCB8E68"/>
    <w:rsid w:val="5FCCC8AB"/>
    <w:rsid w:val="5FCD7FD2"/>
    <w:rsid w:val="5FD21144"/>
    <w:rsid w:val="5FD50C35"/>
    <w:rsid w:val="5FD924D3"/>
    <w:rsid w:val="5FDA624B"/>
    <w:rsid w:val="5FE38959"/>
    <w:rsid w:val="5FEC5C10"/>
    <w:rsid w:val="5FEC6887"/>
    <w:rsid w:val="5FF3C40D"/>
    <w:rsid w:val="5FF6E166"/>
    <w:rsid w:val="5FF90DC7"/>
    <w:rsid w:val="5FF92B75"/>
    <w:rsid w:val="5FFA3E22"/>
    <w:rsid w:val="5FFB0716"/>
    <w:rsid w:val="5FFC4413"/>
    <w:rsid w:val="5FFC7735"/>
    <w:rsid w:val="5FFE1F39"/>
    <w:rsid w:val="5FFF72AF"/>
    <w:rsid w:val="5FFF8C52"/>
    <w:rsid w:val="601963E7"/>
    <w:rsid w:val="60206354"/>
    <w:rsid w:val="60363A23"/>
    <w:rsid w:val="60365B77"/>
    <w:rsid w:val="603B3A66"/>
    <w:rsid w:val="60430294"/>
    <w:rsid w:val="604A33D1"/>
    <w:rsid w:val="604E1113"/>
    <w:rsid w:val="6054518C"/>
    <w:rsid w:val="60566219"/>
    <w:rsid w:val="60593614"/>
    <w:rsid w:val="60695F4D"/>
    <w:rsid w:val="606C1599"/>
    <w:rsid w:val="606F1089"/>
    <w:rsid w:val="607B5C80"/>
    <w:rsid w:val="60822B6A"/>
    <w:rsid w:val="6088514E"/>
    <w:rsid w:val="6089214B"/>
    <w:rsid w:val="608D150F"/>
    <w:rsid w:val="60966616"/>
    <w:rsid w:val="609805E0"/>
    <w:rsid w:val="609E54CA"/>
    <w:rsid w:val="60A0631D"/>
    <w:rsid w:val="60AF1486"/>
    <w:rsid w:val="60B116A2"/>
    <w:rsid w:val="60B371C8"/>
    <w:rsid w:val="60B82A30"/>
    <w:rsid w:val="60C211B9"/>
    <w:rsid w:val="60DA0BF8"/>
    <w:rsid w:val="60DD4245"/>
    <w:rsid w:val="60E27AAD"/>
    <w:rsid w:val="60E47381"/>
    <w:rsid w:val="60EC4488"/>
    <w:rsid w:val="60ED7D0A"/>
    <w:rsid w:val="60EE83F9"/>
    <w:rsid w:val="60EF5D26"/>
    <w:rsid w:val="60F03F78"/>
    <w:rsid w:val="60F17CF0"/>
    <w:rsid w:val="60F3608D"/>
    <w:rsid w:val="60F61F78"/>
    <w:rsid w:val="60F65306"/>
    <w:rsid w:val="60FB291D"/>
    <w:rsid w:val="61001CE1"/>
    <w:rsid w:val="61077514"/>
    <w:rsid w:val="610E7D0F"/>
    <w:rsid w:val="61333E65"/>
    <w:rsid w:val="61371BA7"/>
    <w:rsid w:val="613A3445"/>
    <w:rsid w:val="615838CB"/>
    <w:rsid w:val="61686204"/>
    <w:rsid w:val="616D381B"/>
    <w:rsid w:val="616E1341"/>
    <w:rsid w:val="61736957"/>
    <w:rsid w:val="61757C25"/>
    <w:rsid w:val="617A1A94"/>
    <w:rsid w:val="617A5F38"/>
    <w:rsid w:val="617D1584"/>
    <w:rsid w:val="617EA44F"/>
    <w:rsid w:val="61812E22"/>
    <w:rsid w:val="61842912"/>
    <w:rsid w:val="61880654"/>
    <w:rsid w:val="618925DC"/>
    <w:rsid w:val="6192725F"/>
    <w:rsid w:val="61964274"/>
    <w:rsid w:val="61A22D98"/>
    <w:rsid w:val="61AE5983"/>
    <w:rsid w:val="61B34FA6"/>
    <w:rsid w:val="61B50D1E"/>
    <w:rsid w:val="61B74433"/>
    <w:rsid w:val="61BA27D8"/>
    <w:rsid w:val="61BC02FE"/>
    <w:rsid w:val="61D75993"/>
    <w:rsid w:val="61E433B1"/>
    <w:rsid w:val="61F02D3E"/>
    <w:rsid w:val="61FA2BD4"/>
    <w:rsid w:val="61FE4473"/>
    <w:rsid w:val="61FF01EB"/>
    <w:rsid w:val="6200468F"/>
    <w:rsid w:val="620852F1"/>
    <w:rsid w:val="620D0B5A"/>
    <w:rsid w:val="62126170"/>
    <w:rsid w:val="62133442"/>
    <w:rsid w:val="62142F87"/>
    <w:rsid w:val="621719D8"/>
    <w:rsid w:val="6220263B"/>
    <w:rsid w:val="62233ED9"/>
    <w:rsid w:val="622F287E"/>
    <w:rsid w:val="622F7727"/>
    <w:rsid w:val="624520A2"/>
    <w:rsid w:val="62487DE4"/>
    <w:rsid w:val="624A76B8"/>
    <w:rsid w:val="625247BE"/>
    <w:rsid w:val="6252656D"/>
    <w:rsid w:val="62540537"/>
    <w:rsid w:val="62581015"/>
    <w:rsid w:val="62612C54"/>
    <w:rsid w:val="626A1B08"/>
    <w:rsid w:val="626F5370"/>
    <w:rsid w:val="627B4B29"/>
    <w:rsid w:val="627B5AC3"/>
    <w:rsid w:val="627E3805"/>
    <w:rsid w:val="628030DA"/>
    <w:rsid w:val="6280757E"/>
    <w:rsid w:val="62830E1C"/>
    <w:rsid w:val="628E1C9B"/>
    <w:rsid w:val="628F77C1"/>
    <w:rsid w:val="62930CDA"/>
    <w:rsid w:val="629C3446"/>
    <w:rsid w:val="62A0377C"/>
    <w:rsid w:val="62A45115"/>
    <w:rsid w:val="62AB5F81"/>
    <w:rsid w:val="62B30B23"/>
    <w:rsid w:val="62B32D27"/>
    <w:rsid w:val="62BD3500"/>
    <w:rsid w:val="62BE1E54"/>
    <w:rsid w:val="62C332D8"/>
    <w:rsid w:val="62CC4571"/>
    <w:rsid w:val="62D376AD"/>
    <w:rsid w:val="62E01DCA"/>
    <w:rsid w:val="62E33669"/>
    <w:rsid w:val="62E55633"/>
    <w:rsid w:val="62EC1445"/>
    <w:rsid w:val="62EE2739"/>
    <w:rsid w:val="62FE04A2"/>
    <w:rsid w:val="63051831"/>
    <w:rsid w:val="63071A4D"/>
    <w:rsid w:val="63097573"/>
    <w:rsid w:val="63116428"/>
    <w:rsid w:val="6313114C"/>
    <w:rsid w:val="631877B6"/>
    <w:rsid w:val="63220635"/>
    <w:rsid w:val="63250D4F"/>
    <w:rsid w:val="63253FAD"/>
    <w:rsid w:val="63312626"/>
    <w:rsid w:val="633A3BD0"/>
    <w:rsid w:val="635051A2"/>
    <w:rsid w:val="635A392B"/>
    <w:rsid w:val="636447A9"/>
    <w:rsid w:val="63725AE4"/>
    <w:rsid w:val="637644DD"/>
    <w:rsid w:val="63770981"/>
    <w:rsid w:val="63AD49A5"/>
    <w:rsid w:val="63B07A5F"/>
    <w:rsid w:val="63B15515"/>
    <w:rsid w:val="63BB283B"/>
    <w:rsid w:val="63BF5E84"/>
    <w:rsid w:val="63C17E4E"/>
    <w:rsid w:val="63C416EC"/>
    <w:rsid w:val="63C811DC"/>
    <w:rsid w:val="63C94F54"/>
    <w:rsid w:val="63CE310C"/>
    <w:rsid w:val="63D25BB7"/>
    <w:rsid w:val="63DC07E4"/>
    <w:rsid w:val="63DD455C"/>
    <w:rsid w:val="63DE3446"/>
    <w:rsid w:val="63E63410"/>
    <w:rsid w:val="63E678B4"/>
    <w:rsid w:val="63F35B2D"/>
    <w:rsid w:val="63F59F05"/>
    <w:rsid w:val="63F7386F"/>
    <w:rsid w:val="63FF0976"/>
    <w:rsid w:val="64144421"/>
    <w:rsid w:val="641451FA"/>
    <w:rsid w:val="6417181C"/>
    <w:rsid w:val="641C5084"/>
    <w:rsid w:val="641C6E32"/>
    <w:rsid w:val="641D2BD6"/>
    <w:rsid w:val="64217E4F"/>
    <w:rsid w:val="642277FE"/>
    <w:rsid w:val="64294B00"/>
    <w:rsid w:val="642B44DA"/>
    <w:rsid w:val="64326656"/>
    <w:rsid w:val="643A375C"/>
    <w:rsid w:val="64412D3D"/>
    <w:rsid w:val="64463CF7"/>
    <w:rsid w:val="644FC3A0"/>
    <w:rsid w:val="6470717E"/>
    <w:rsid w:val="64803865"/>
    <w:rsid w:val="648F1CFA"/>
    <w:rsid w:val="64923598"/>
    <w:rsid w:val="64953E09"/>
    <w:rsid w:val="64A82DBC"/>
    <w:rsid w:val="64AD03D2"/>
    <w:rsid w:val="64B17048"/>
    <w:rsid w:val="64B17EC2"/>
    <w:rsid w:val="64B27796"/>
    <w:rsid w:val="64B41760"/>
    <w:rsid w:val="64B96D77"/>
    <w:rsid w:val="64E124F6"/>
    <w:rsid w:val="64E738E4"/>
    <w:rsid w:val="64F8789F"/>
    <w:rsid w:val="65077AE2"/>
    <w:rsid w:val="650B538E"/>
    <w:rsid w:val="65130235"/>
    <w:rsid w:val="6518584B"/>
    <w:rsid w:val="651E6BDA"/>
    <w:rsid w:val="652A1A23"/>
    <w:rsid w:val="653603C7"/>
    <w:rsid w:val="6549634D"/>
    <w:rsid w:val="654A5C21"/>
    <w:rsid w:val="65533F54"/>
    <w:rsid w:val="65566374"/>
    <w:rsid w:val="65586590"/>
    <w:rsid w:val="656942F9"/>
    <w:rsid w:val="656F7435"/>
    <w:rsid w:val="65766A16"/>
    <w:rsid w:val="65842EE1"/>
    <w:rsid w:val="658630FD"/>
    <w:rsid w:val="658729D1"/>
    <w:rsid w:val="658C6239"/>
    <w:rsid w:val="659550EE"/>
    <w:rsid w:val="659D3FA3"/>
    <w:rsid w:val="65A05841"/>
    <w:rsid w:val="65A90B99"/>
    <w:rsid w:val="65AC507C"/>
    <w:rsid w:val="65BD2897"/>
    <w:rsid w:val="65BD4645"/>
    <w:rsid w:val="65BD63F3"/>
    <w:rsid w:val="65C21C5B"/>
    <w:rsid w:val="65C23A09"/>
    <w:rsid w:val="65C6174B"/>
    <w:rsid w:val="65C634F9"/>
    <w:rsid w:val="65CE23AE"/>
    <w:rsid w:val="65D35C16"/>
    <w:rsid w:val="65DC0F6F"/>
    <w:rsid w:val="65E25E59"/>
    <w:rsid w:val="65E676F8"/>
    <w:rsid w:val="65EE7FEA"/>
    <w:rsid w:val="65F748C8"/>
    <w:rsid w:val="65FDFDEE"/>
    <w:rsid w:val="66057B9C"/>
    <w:rsid w:val="660758C0"/>
    <w:rsid w:val="66091638"/>
    <w:rsid w:val="660A5ADC"/>
    <w:rsid w:val="660D1128"/>
    <w:rsid w:val="660E4EA0"/>
    <w:rsid w:val="661A3845"/>
    <w:rsid w:val="662D01F6"/>
    <w:rsid w:val="662D17CA"/>
    <w:rsid w:val="662E109F"/>
    <w:rsid w:val="66320B8F"/>
    <w:rsid w:val="66391F1D"/>
    <w:rsid w:val="66456B14"/>
    <w:rsid w:val="66527633"/>
    <w:rsid w:val="6659436D"/>
    <w:rsid w:val="66680A54"/>
    <w:rsid w:val="666B40A1"/>
    <w:rsid w:val="666B5E4F"/>
    <w:rsid w:val="666F593F"/>
    <w:rsid w:val="667411A7"/>
    <w:rsid w:val="667473F9"/>
    <w:rsid w:val="66754F1F"/>
    <w:rsid w:val="66763171"/>
    <w:rsid w:val="667B2536"/>
    <w:rsid w:val="667E3DD4"/>
    <w:rsid w:val="6681025D"/>
    <w:rsid w:val="668D2269"/>
    <w:rsid w:val="66911D59"/>
    <w:rsid w:val="66996E60"/>
    <w:rsid w:val="669E7FD2"/>
    <w:rsid w:val="66A01A88"/>
    <w:rsid w:val="66A80E51"/>
    <w:rsid w:val="66AA2E1B"/>
    <w:rsid w:val="66AB0941"/>
    <w:rsid w:val="66AD63BC"/>
    <w:rsid w:val="66AECD96"/>
    <w:rsid w:val="66AF3F8D"/>
    <w:rsid w:val="66B21CD0"/>
    <w:rsid w:val="66B477F6"/>
    <w:rsid w:val="66BA4EA8"/>
    <w:rsid w:val="66C0263F"/>
    <w:rsid w:val="66CA0DC7"/>
    <w:rsid w:val="66DE4873"/>
    <w:rsid w:val="66E75E1D"/>
    <w:rsid w:val="66EA76BB"/>
    <w:rsid w:val="66F44096"/>
    <w:rsid w:val="66FA9B14"/>
    <w:rsid w:val="66FBD22B"/>
    <w:rsid w:val="67002A3B"/>
    <w:rsid w:val="670342D9"/>
    <w:rsid w:val="67050051"/>
    <w:rsid w:val="670D6F06"/>
    <w:rsid w:val="670F115E"/>
    <w:rsid w:val="6718068C"/>
    <w:rsid w:val="67191B1C"/>
    <w:rsid w:val="671B1623"/>
    <w:rsid w:val="672F92BA"/>
    <w:rsid w:val="67423054"/>
    <w:rsid w:val="67424634"/>
    <w:rsid w:val="67424D5A"/>
    <w:rsid w:val="674548F2"/>
    <w:rsid w:val="674E7C4A"/>
    <w:rsid w:val="675114E9"/>
    <w:rsid w:val="67535261"/>
    <w:rsid w:val="67550FD9"/>
    <w:rsid w:val="675F3C06"/>
    <w:rsid w:val="67613B55"/>
    <w:rsid w:val="67674868"/>
    <w:rsid w:val="676C6322"/>
    <w:rsid w:val="676E29FC"/>
    <w:rsid w:val="67794935"/>
    <w:rsid w:val="677E1BB2"/>
    <w:rsid w:val="6784541A"/>
    <w:rsid w:val="67851192"/>
    <w:rsid w:val="6788329A"/>
    <w:rsid w:val="679D472E"/>
    <w:rsid w:val="679D64DC"/>
    <w:rsid w:val="679E732E"/>
    <w:rsid w:val="67A45ABC"/>
    <w:rsid w:val="67A70F66"/>
    <w:rsid w:val="67A71109"/>
    <w:rsid w:val="67A7735B"/>
    <w:rsid w:val="67B13D35"/>
    <w:rsid w:val="67B36479"/>
    <w:rsid w:val="67B6134C"/>
    <w:rsid w:val="67BA0E3C"/>
    <w:rsid w:val="67BC5C64"/>
    <w:rsid w:val="67BF6452"/>
    <w:rsid w:val="67C41CBB"/>
    <w:rsid w:val="67C47F0C"/>
    <w:rsid w:val="67C73559"/>
    <w:rsid w:val="67CE2B39"/>
    <w:rsid w:val="67D52F54"/>
    <w:rsid w:val="67D839B8"/>
    <w:rsid w:val="67DC5256"/>
    <w:rsid w:val="67DD2D7C"/>
    <w:rsid w:val="67DF6AF4"/>
    <w:rsid w:val="67E36AB5"/>
    <w:rsid w:val="67E8338F"/>
    <w:rsid w:val="67EA4422"/>
    <w:rsid w:val="67ED05CE"/>
    <w:rsid w:val="67EF3AFA"/>
    <w:rsid w:val="67F26828"/>
    <w:rsid w:val="67F390C4"/>
    <w:rsid w:val="67FEAA21"/>
    <w:rsid w:val="68012F0F"/>
    <w:rsid w:val="68060525"/>
    <w:rsid w:val="680E1188"/>
    <w:rsid w:val="68120C78"/>
    <w:rsid w:val="68294213"/>
    <w:rsid w:val="68341A40"/>
    <w:rsid w:val="68354966"/>
    <w:rsid w:val="684150B9"/>
    <w:rsid w:val="68444BA9"/>
    <w:rsid w:val="68460921"/>
    <w:rsid w:val="68555008"/>
    <w:rsid w:val="6857280B"/>
    <w:rsid w:val="68594AF9"/>
    <w:rsid w:val="685C1EF3"/>
    <w:rsid w:val="685E5C6B"/>
    <w:rsid w:val="686139AD"/>
    <w:rsid w:val="68633258"/>
    <w:rsid w:val="6864524C"/>
    <w:rsid w:val="686B65DA"/>
    <w:rsid w:val="68880F3A"/>
    <w:rsid w:val="68896A60"/>
    <w:rsid w:val="68921DB9"/>
    <w:rsid w:val="68A35D74"/>
    <w:rsid w:val="68B43ADD"/>
    <w:rsid w:val="68CA50AF"/>
    <w:rsid w:val="68CB0E27"/>
    <w:rsid w:val="68D215BE"/>
    <w:rsid w:val="68DC1286"/>
    <w:rsid w:val="68DD74D8"/>
    <w:rsid w:val="68DE0B5A"/>
    <w:rsid w:val="68DE4FFE"/>
    <w:rsid w:val="68E048D2"/>
    <w:rsid w:val="68ED3493"/>
    <w:rsid w:val="68FE2FAA"/>
    <w:rsid w:val="69194288"/>
    <w:rsid w:val="69196036"/>
    <w:rsid w:val="691B590A"/>
    <w:rsid w:val="69286279"/>
    <w:rsid w:val="692C7858"/>
    <w:rsid w:val="693E03E0"/>
    <w:rsid w:val="694A4441"/>
    <w:rsid w:val="695A6C6E"/>
    <w:rsid w:val="696279DD"/>
    <w:rsid w:val="69676DA1"/>
    <w:rsid w:val="696A2193"/>
    <w:rsid w:val="69766FE4"/>
    <w:rsid w:val="697B284D"/>
    <w:rsid w:val="697D65C5"/>
    <w:rsid w:val="697F058F"/>
    <w:rsid w:val="69807E63"/>
    <w:rsid w:val="69847953"/>
    <w:rsid w:val="699121E7"/>
    <w:rsid w:val="699461E4"/>
    <w:rsid w:val="69972592"/>
    <w:rsid w:val="699B6A4B"/>
    <w:rsid w:val="699B7AB7"/>
    <w:rsid w:val="699E4FA8"/>
    <w:rsid w:val="69A71894"/>
    <w:rsid w:val="69B1626F"/>
    <w:rsid w:val="69B30239"/>
    <w:rsid w:val="69BF098B"/>
    <w:rsid w:val="69CA7330"/>
    <w:rsid w:val="69E137D5"/>
    <w:rsid w:val="69E242C9"/>
    <w:rsid w:val="69E5416A"/>
    <w:rsid w:val="69E55F18"/>
    <w:rsid w:val="69EB79D2"/>
    <w:rsid w:val="69EC374B"/>
    <w:rsid w:val="69F36887"/>
    <w:rsid w:val="69F57C0C"/>
    <w:rsid w:val="69F66377"/>
    <w:rsid w:val="69FBA2E7"/>
    <w:rsid w:val="69FC398E"/>
    <w:rsid w:val="69FF5E1C"/>
    <w:rsid w:val="6A042842"/>
    <w:rsid w:val="6A0445F0"/>
    <w:rsid w:val="6A050368"/>
    <w:rsid w:val="6A0665BA"/>
    <w:rsid w:val="6A0C7949"/>
    <w:rsid w:val="6A0E1913"/>
    <w:rsid w:val="6A0E36C1"/>
    <w:rsid w:val="6A116D0D"/>
    <w:rsid w:val="6A152CA1"/>
    <w:rsid w:val="6A154FED"/>
    <w:rsid w:val="6A1C5DDE"/>
    <w:rsid w:val="6A1F142A"/>
    <w:rsid w:val="6A2026EB"/>
    <w:rsid w:val="6A215BB0"/>
    <w:rsid w:val="6A2E3D63"/>
    <w:rsid w:val="6A3D3FA6"/>
    <w:rsid w:val="6A49294B"/>
    <w:rsid w:val="6A674B7F"/>
    <w:rsid w:val="6A696B49"/>
    <w:rsid w:val="6A6D3134"/>
    <w:rsid w:val="6A6E4160"/>
    <w:rsid w:val="6A7A0D56"/>
    <w:rsid w:val="6A7FFDC7"/>
    <w:rsid w:val="6A8A71EB"/>
    <w:rsid w:val="6A995680"/>
    <w:rsid w:val="6A9BBF55"/>
    <w:rsid w:val="6A9E67F3"/>
    <w:rsid w:val="6AA302AD"/>
    <w:rsid w:val="6AA933EA"/>
    <w:rsid w:val="6AAF6C52"/>
    <w:rsid w:val="6AB853DB"/>
    <w:rsid w:val="6ABC311D"/>
    <w:rsid w:val="6AC65D4A"/>
    <w:rsid w:val="6AC83870"/>
    <w:rsid w:val="6ACB3360"/>
    <w:rsid w:val="6AD00976"/>
    <w:rsid w:val="6AD14E1A"/>
    <w:rsid w:val="6AD20B92"/>
    <w:rsid w:val="6AD5398F"/>
    <w:rsid w:val="6AD62431"/>
    <w:rsid w:val="6AD71D05"/>
    <w:rsid w:val="6AD761A9"/>
    <w:rsid w:val="6AD80A33"/>
    <w:rsid w:val="6ADF0BB9"/>
    <w:rsid w:val="6AF01018"/>
    <w:rsid w:val="6AFC79BD"/>
    <w:rsid w:val="6AFE7291"/>
    <w:rsid w:val="6B021A71"/>
    <w:rsid w:val="6B0B19AE"/>
    <w:rsid w:val="6B0C76DF"/>
    <w:rsid w:val="6B0F5943"/>
    <w:rsid w:val="6B106FC5"/>
    <w:rsid w:val="6B1940CB"/>
    <w:rsid w:val="6B2807B2"/>
    <w:rsid w:val="6B32518D"/>
    <w:rsid w:val="6B3C600C"/>
    <w:rsid w:val="6B3C7DBA"/>
    <w:rsid w:val="6B4D325B"/>
    <w:rsid w:val="6B4F5D3F"/>
    <w:rsid w:val="6B5A4EA4"/>
    <w:rsid w:val="6B601CFA"/>
    <w:rsid w:val="6B623CC4"/>
    <w:rsid w:val="6B633598"/>
    <w:rsid w:val="6B6932A5"/>
    <w:rsid w:val="6B6C069F"/>
    <w:rsid w:val="6B934A00"/>
    <w:rsid w:val="6B9DB318"/>
    <w:rsid w:val="6B9FDE24"/>
    <w:rsid w:val="6BA442DD"/>
    <w:rsid w:val="6BA50055"/>
    <w:rsid w:val="6BA918F3"/>
    <w:rsid w:val="6BAC3191"/>
    <w:rsid w:val="6BAC4F3F"/>
    <w:rsid w:val="6BB107A8"/>
    <w:rsid w:val="6BC07C08"/>
    <w:rsid w:val="6BD050D2"/>
    <w:rsid w:val="6BD3071E"/>
    <w:rsid w:val="6BDEED58"/>
    <w:rsid w:val="6BE40B7D"/>
    <w:rsid w:val="6BE76D1E"/>
    <w:rsid w:val="6BEE0090"/>
    <w:rsid w:val="6BEE7306"/>
    <w:rsid w:val="6BF15048"/>
    <w:rsid w:val="6BF3491C"/>
    <w:rsid w:val="6BF4E424"/>
    <w:rsid w:val="6BF7BC1E"/>
    <w:rsid w:val="6BF80185"/>
    <w:rsid w:val="6BFD0053"/>
    <w:rsid w:val="6BFD39ED"/>
    <w:rsid w:val="6BFF1A30"/>
    <w:rsid w:val="6BFF61D3"/>
    <w:rsid w:val="6BFF839E"/>
    <w:rsid w:val="6C007039"/>
    <w:rsid w:val="6C0171DE"/>
    <w:rsid w:val="6C027255"/>
    <w:rsid w:val="6C042FCD"/>
    <w:rsid w:val="6C05633C"/>
    <w:rsid w:val="6C0B435C"/>
    <w:rsid w:val="6C134FBF"/>
    <w:rsid w:val="6C2C5D1D"/>
    <w:rsid w:val="6C305B70"/>
    <w:rsid w:val="6C3A079D"/>
    <w:rsid w:val="6C407FC9"/>
    <w:rsid w:val="6C4347E5"/>
    <w:rsid w:val="6C4433CA"/>
    <w:rsid w:val="6C47110C"/>
    <w:rsid w:val="6C474C68"/>
    <w:rsid w:val="6C4909E0"/>
    <w:rsid w:val="6C55B173"/>
    <w:rsid w:val="6C6121CE"/>
    <w:rsid w:val="6C692BA0"/>
    <w:rsid w:val="6C6B4DFB"/>
    <w:rsid w:val="6C77554D"/>
    <w:rsid w:val="6C7A503E"/>
    <w:rsid w:val="6C7A7F05"/>
    <w:rsid w:val="6C7F4402"/>
    <w:rsid w:val="6C830396"/>
    <w:rsid w:val="6C86270B"/>
    <w:rsid w:val="6C88775B"/>
    <w:rsid w:val="6C8934D3"/>
    <w:rsid w:val="6C8D4D71"/>
    <w:rsid w:val="6C951E77"/>
    <w:rsid w:val="6C9A123C"/>
    <w:rsid w:val="6C9A56E0"/>
    <w:rsid w:val="6C9C3206"/>
    <w:rsid w:val="6CA06D4D"/>
    <w:rsid w:val="6CA976D1"/>
    <w:rsid w:val="6CAF118B"/>
    <w:rsid w:val="6CB22A29"/>
    <w:rsid w:val="6CB4220A"/>
    <w:rsid w:val="6CC162E3"/>
    <w:rsid w:val="6CC369E5"/>
    <w:rsid w:val="6CDF30F3"/>
    <w:rsid w:val="6CE54BAD"/>
    <w:rsid w:val="6CED272F"/>
    <w:rsid w:val="6CF21078"/>
    <w:rsid w:val="6CF63A92"/>
    <w:rsid w:val="6CFC3CA5"/>
    <w:rsid w:val="6D0019E7"/>
    <w:rsid w:val="6D142D9C"/>
    <w:rsid w:val="6D1E3C1B"/>
    <w:rsid w:val="6D21195D"/>
    <w:rsid w:val="6D396CA7"/>
    <w:rsid w:val="6D3B2A1F"/>
    <w:rsid w:val="6D403D96"/>
    <w:rsid w:val="6D4318D3"/>
    <w:rsid w:val="6D4573FA"/>
    <w:rsid w:val="6D4713C4"/>
    <w:rsid w:val="6D4B2536"/>
    <w:rsid w:val="6D4C4C2C"/>
    <w:rsid w:val="6D54763D"/>
    <w:rsid w:val="6D5533B5"/>
    <w:rsid w:val="6D567859"/>
    <w:rsid w:val="6D5910F7"/>
    <w:rsid w:val="6D594C53"/>
    <w:rsid w:val="6D5E04BB"/>
    <w:rsid w:val="6D6141DB"/>
    <w:rsid w:val="6D631F76"/>
    <w:rsid w:val="6D655CEE"/>
    <w:rsid w:val="6D6C0E2A"/>
    <w:rsid w:val="6D7221B9"/>
    <w:rsid w:val="6D747CDF"/>
    <w:rsid w:val="6D75F87E"/>
    <w:rsid w:val="6D7DD45E"/>
    <w:rsid w:val="6D7E46BA"/>
    <w:rsid w:val="6D800432"/>
    <w:rsid w:val="6D8343C6"/>
    <w:rsid w:val="6D8A7502"/>
    <w:rsid w:val="6D8C5028"/>
    <w:rsid w:val="6D9143ED"/>
    <w:rsid w:val="6DB12CE1"/>
    <w:rsid w:val="6DBB6BB1"/>
    <w:rsid w:val="6DC32C3B"/>
    <w:rsid w:val="6DC42A14"/>
    <w:rsid w:val="6DC9002B"/>
    <w:rsid w:val="6DC9627D"/>
    <w:rsid w:val="6DCEBF45"/>
    <w:rsid w:val="6DD10C8D"/>
    <w:rsid w:val="6DD16018"/>
    <w:rsid w:val="6DD24A05"/>
    <w:rsid w:val="6DD30EA9"/>
    <w:rsid w:val="6DDA2238"/>
    <w:rsid w:val="6DDB1B0C"/>
    <w:rsid w:val="6DDB5FB0"/>
    <w:rsid w:val="6DDE33AA"/>
    <w:rsid w:val="6DE2733E"/>
    <w:rsid w:val="6DE36C13"/>
    <w:rsid w:val="6DE72288"/>
    <w:rsid w:val="6DE72678"/>
    <w:rsid w:val="6DE76703"/>
    <w:rsid w:val="6DEC5AC7"/>
    <w:rsid w:val="6DEE7A91"/>
    <w:rsid w:val="6DF17581"/>
    <w:rsid w:val="6DF40E20"/>
    <w:rsid w:val="6DFB44CA"/>
    <w:rsid w:val="6DFE81CE"/>
    <w:rsid w:val="6E005A16"/>
    <w:rsid w:val="6E072901"/>
    <w:rsid w:val="6E0A23F1"/>
    <w:rsid w:val="6E0F2B7A"/>
    <w:rsid w:val="6E11552E"/>
    <w:rsid w:val="6E2214E9"/>
    <w:rsid w:val="6E2C2368"/>
    <w:rsid w:val="6E3000AA"/>
    <w:rsid w:val="6E3F02ED"/>
    <w:rsid w:val="6E3F209B"/>
    <w:rsid w:val="6E421B8B"/>
    <w:rsid w:val="6E4E6782"/>
    <w:rsid w:val="6E5D310B"/>
    <w:rsid w:val="6E6B10E2"/>
    <w:rsid w:val="6E70494A"/>
    <w:rsid w:val="6E7066F8"/>
    <w:rsid w:val="6E7543A1"/>
    <w:rsid w:val="6E755ABD"/>
    <w:rsid w:val="6E7B6E4B"/>
    <w:rsid w:val="6E7B9BD3"/>
    <w:rsid w:val="6E881C94"/>
    <w:rsid w:val="6E900B48"/>
    <w:rsid w:val="6E94BDD3"/>
    <w:rsid w:val="6E95615F"/>
    <w:rsid w:val="6E957F0D"/>
    <w:rsid w:val="6E9F6FDD"/>
    <w:rsid w:val="6EA2087C"/>
    <w:rsid w:val="6EAE0FCF"/>
    <w:rsid w:val="6EB25649"/>
    <w:rsid w:val="6EB56801"/>
    <w:rsid w:val="6EBD1212"/>
    <w:rsid w:val="6EBF4F8A"/>
    <w:rsid w:val="6EC52DE9"/>
    <w:rsid w:val="6ED231E6"/>
    <w:rsid w:val="6ED924EF"/>
    <w:rsid w:val="6EDA6267"/>
    <w:rsid w:val="6EE3511C"/>
    <w:rsid w:val="6EEE158A"/>
    <w:rsid w:val="6EF34A32"/>
    <w:rsid w:val="6EF521FD"/>
    <w:rsid w:val="6EF5972E"/>
    <w:rsid w:val="6EF72976"/>
    <w:rsid w:val="6EFA06B8"/>
    <w:rsid w:val="6EFA41ED"/>
    <w:rsid w:val="6EFAC1D8"/>
    <w:rsid w:val="6EFF563A"/>
    <w:rsid w:val="6F0230C8"/>
    <w:rsid w:val="6F2038FE"/>
    <w:rsid w:val="6F255735"/>
    <w:rsid w:val="6F2B0871"/>
    <w:rsid w:val="6F2C33B6"/>
    <w:rsid w:val="6F377216"/>
    <w:rsid w:val="6F441389"/>
    <w:rsid w:val="6F484F7F"/>
    <w:rsid w:val="6F4C154A"/>
    <w:rsid w:val="6F4F4560"/>
    <w:rsid w:val="6F4F630E"/>
    <w:rsid w:val="6F5778B8"/>
    <w:rsid w:val="6F5953DE"/>
    <w:rsid w:val="6F5E29F5"/>
    <w:rsid w:val="6F60051B"/>
    <w:rsid w:val="6F6049BF"/>
    <w:rsid w:val="6F60676D"/>
    <w:rsid w:val="6F667AFB"/>
    <w:rsid w:val="6F66D8E8"/>
    <w:rsid w:val="6F6C3363"/>
    <w:rsid w:val="6F6D1929"/>
    <w:rsid w:val="6F6FA036"/>
    <w:rsid w:val="6F767D3E"/>
    <w:rsid w:val="6F7C2E7B"/>
    <w:rsid w:val="6F7C731F"/>
    <w:rsid w:val="6F7D6FD7"/>
    <w:rsid w:val="6F80296B"/>
    <w:rsid w:val="6F806E0F"/>
    <w:rsid w:val="6F8310F3"/>
    <w:rsid w:val="6F8A37EA"/>
    <w:rsid w:val="6F8A5598"/>
    <w:rsid w:val="6F946416"/>
    <w:rsid w:val="6FA840AB"/>
    <w:rsid w:val="6FAC3760"/>
    <w:rsid w:val="6FB10D76"/>
    <w:rsid w:val="6FB62831"/>
    <w:rsid w:val="6FB70357"/>
    <w:rsid w:val="6FB74C49"/>
    <w:rsid w:val="6FBD0161"/>
    <w:rsid w:val="6FBE0803"/>
    <w:rsid w:val="6FBFED25"/>
    <w:rsid w:val="6FC211D5"/>
    <w:rsid w:val="6FE0340A"/>
    <w:rsid w:val="6FEC6252"/>
    <w:rsid w:val="6FED1473"/>
    <w:rsid w:val="6FEF0F0A"/>
    <w:rsid w:val="6FF3210A"/>
    <w:rsid w:val="6FF6A211"/>
    <w:rsid w:val="6FF84BF7"/>
    <w:rsid w:val="6FF854B4"/>
    <w:rsid w:val="6FFF5A77"/>
    <w:rsid w:val="6FFF9279"/>
    <w:rsid w:val="6FFFDA6D"/>
    <w:rsid w:val="7000585A"/>
    <w:rsid w:val="70124EFA"/>
    <w:rsid w:val="701518E2"/>
    <w:rsid w:val="7016507D"/>
    <w:rsid w:val="70231548"/>
    <w:rsid w:val="70335C2F"/>
    <w:rsid w:val="70455963"/>
    <w:rsid w:val="704A5ECE"/>
    <w:rsid w:val="70567B70"/>
    <w:rsid w:val="705721FC"/>
    <w:rsid w:val="705931BC"/>
    <w:rsid w:val="7060279C"/>
    <w:rsid w:val="70671D7D"/>
    <w:rsid w:val="706758D9"/>
    <w:rsid w:val="706C7393"/>
    <w:rsid w:val="70764913"/>
    <w:rsid w:val="707A1AB0"/>
    <w:rsid w:val="707A560C"/>
    <w:rsid w:val="707B1384"/>
    <w:rsid w:val="707E2F35"/>
    <w:rsid w:val="70910BA8"/>
    <w:rsid w:val="70934920"/>
    <w:rsid w:val="709B37D5"/>
    <w:rsid w:val="70A46B2D"/>
    <w:rsid w:val="70AD6FF9"/>
    <w:rsid w:val="70B56644"/>
    <w:rsid w:val="70BF5715"/>
    <w:rsid w:val="70C65B25"/>
    <w:rsid w:val="70CC1BE0"/>
    <w:rsid w:val="70D251A8"/>
    <w:rsid w:val="70D54F38"/>
    <w:rsid w:val="70D56614"/>
    <w:rsid w:val="70D56CE6"/>
    <w:rsid w:val="70D6480D"/>
    <w:rsid w:val="70ED4030"/>
    <w:rsid w:val="70F51137"/>
    <w:rsid w:val="71017ADB"/>
    <w:rsid w:val="7104581E"/>
    <w:rsid w:val="710E3FA6"/>
    <w:rsid w:val="71123A97"/>
    <w:rsid w:val="71126C39"/>
    <w:rsid w:val="7113780F"/>
    <w:rsid w:val="71155335"/>
    <w:rsid w:val="711C2B67"/>
    <w:rsid w:val="711E68DF"/>
    <w:rsid w:val="71213CDA"/>
    <w:rsid w:val="7130216F"/>
    <w:rsid w:val="713D663A"/>
    <w:rsid w:val="7141612A"/>
    <w:rsid w:val="71431EA2"/>
    <w:rsid w:val="71444C2E"/>
    <w:rsid w:val="714A76D4"/>
    <w:rsid w:val="715C2F64"/>
    <w:rsid w:val="71662034"/>
    <w:rsid w:val="71685DAD"/>
    <w:rsid w:val="716D5171"/>
    <w:rsid w:val="71704C61"/>
    <w:rsid w:val="71754026"/>
    <w:rsid w:val="717C6248"/>
    <w:rsid w:val="717E2EDA"/>
    <w:rsid w:val="717F6C52"/>
    <w:rsid w:val="718D75C1"/>
    <w:rsid w:val="718F3339"/>
    <w:rsid w:val="71956476"/>
    <w:rsid w:val="71997D14"/>
    <w:rsid w:val="71A36DE5"/>
    <w:rsid w:val="71A52B5D"/>
    <w:rsid w:val="71AA1F21"/>
    <w:rsid w:val="71BA2D94"/>
    <w:rsid w:val="71BC1C54"/>
    <w:rsid w:val="71C50B09"/>
    <w:rsid w:val="71C578FA"/>
    <w:rsid w:val="71C85206"/>
    <w:rsid w:val="71E371E1"/>
    <w:rsid w:val="71E573FD"/>
    <w:rsid w:val="71EF202A"/>
    <w:rsid w:val="71EF5B86"/>
    <w:rsid w:val="7200772E"/>
    <w:rsid w:val="721B697B"/>
    <w:rsid w:val="722142B5"/>
    <w:rsid w:val="72225F5B"/>
    <w:rsid w:val="72275320"/>
    <w:rsid w:val="72323CC5"/>
    <w:rsid w:val="7238752D"/>
    <w:rsid w:val="72395053"/>
    <w:rsid w:val="72404633"/>
    <w:rsid w:val="7245721D"/>
    <w:rsid w:val="72473C14"/>
    <w:rsid w:val="724F2AC9"/>
    <w:rsid w:val="724F4877"/>
    <w:rsid w:val="725325B9"/>
    <w:rsid w:val="72604CD6"/>
    <w:rsid w:val="72623B00"/>
    <w:rsid w:val="72695938"/>
    <w:rsid w:val="726F6CC7"/>
    <w:rsid w:val="727D3192"/>
    <w:rsid w:val="727FBF74"/>
    <w:rsid w:val="72822E9E"/>
    <w:rsid w:val="728409C4"/>
    <w:rsid w:val="72872262"/>
    <w:rsid w:val="728F1117"/>
    <w:rsid w:val="729606F7"/>
    <w:rsid w:val="729624A5"/>
    <w:rsid w:val="72966949"/>
    <w:rsid w:val="729D3E11"/>
    <w:rsid w:val="729F35F0"/>
    <w:rsid w:val="72AE77EF"/>
    <w:rsid w:val="72B1108D"/>
    <w:rsid w:val="72BA6194"/>
    <w:rsid w:val="72BB1F0C"/>
    <w:rsid w:val="72C60FDD"/>
    <w:rsid w:val="72D059B7"/>
    <w:rsid w:val="72DA6836"/>
    <w:rsid w:val="72DB610A"/>
    <w:rsid w:val="72DF3E4C"/>
    <w:rsid w:val="72E41463"/>
    <w:rsid w:val="72F62F44"/>
    <w:rsid w:val="72F9AC37"/>
    <w:rsid w:val="72FF2280"/>
    <w:rsid w:val="72FF2542"/>
    <w:rsid w:val="730B4C41"/>
    <w:rsid w:val="73117D7E"/>
    <w:rsid w:val="73121A0B"/>
    <w:rsid w:val="73155AC0"/>
    <w:rsid w:val="73165394"/>
    <w:rsid w:val="731D4975"/>
    <w:rsid w:val="732B52E4"/>
    <w:rsid w:val="733028FA"/>
    <w:rsid w:val="733D5287"/>
    <w:rsid w:val="734168B5"/>
    <w:rsid w:val="734939BC"/>
    <w:rsid w:val="734B14E2"/>
    <w:rsid w:val="734B3290"/>
    <w:rsid w:val="73532145"/>
    <w:rsid w:val="73555EBD"/>
    <w:rsid w:val="736425A4"/>
    <w:rsid w:val="73751A30"/>
    <w:rsid w:val="7375A67C"/>
    <w:rsid w:val="7379604F"/>
    <w:rsid w:val="737E5413"/>
    <w:rsid w:val="738B18DE"/>
    <w:rsid w:val="73922C6D"/>
    <w:rsid w:val="73927DF8"/>
    <w:rsid w:val="73942E89"/>
    <w:rsid w:val="739C1D3D"/>
    <w:rsid w:val="73A3131E"/>
    <w:rsid w:val="73A806E2"/>
    <w:rsid w:val="73B61051"/>
    <w:rsid w:val="73BE1CB4"/>
    <w:rsid w:val="73BF6A5A"/>
    <w:rsid w:val="73C848E1"/>
    <w:rsid w:val="73CA68AB"/>
    <w:rsid w:val="73D6524F"/>
    <w:rsid w:val="73D96AC5"/>
    <w:rsid w:val="73DB1DFB"/>
    <w:rsid w:val="73E13BF4"/>
    <w:rsid w:val="73E21E46"/>
    <w:rsid w:val="73E254A6"/>
    <w:rsid w:val="73EE4354"/>
    <w:rsid w:val="73EF3C33"/>
    <w:rsid w:val="73F12089"/>
    <w:rsid w:val="73FC458A"/>
    <w:rsid w:val="73FE297A"/>
    <w:rsid w:val="73FF687E"/>
    <w:rsid w:val="73FFE7C5"/>
    <w:rsid w:val="740F42BD"/>
    <w:rsid w:val="74136484"/>
    <w:rsid w:val="74147B26"/>
    <w:rsid w:val="74161AF0"/>
    <w:rsid w:val="742C4E6F"/>
    <w:rsid w:val="742D0BE7"/>
    <w:rsid w:val="74367A9C"/>
    <w:rsid w:val="74371129"/>
    <w:rsid w:val="743B3304"/>
    <w:rsid w:val="743E2DF5"/>
    <w:rsid w:val="743E4BA3"/>
    <w:rsid w:val="7440091B"/>
    <w:rsid w:val="744E128A"/>
    <w:rsid w:val="744F6DB0"/>
    <w:rsid w:val="74597C2E"/>
    <w:rsid w:val="745B39A7"/>
    <w:rsid w:val="745B7503"/>
    <w:rsid w:val="7460720F"/>
    <w:rsid w:val="74645220"/>
    <w:rsid w:val="7467234B"/>
    <w:rsid w:val="746A1E3C"/>
    <w:rsid w:val="74714F78"/>
    <w:rsid w:val="747E4778"/>
    <w:rsid w:val="7481149D"/>
    <w:rsid w:val="748644CD"/>
    <w:rsid w:val="748C1DB2"/>
    <w:rsid w:val="748C590E"/>
    <w:rsid w:val="74934EEE"/>
    <w:rsid w:val="74982505"/>
    <w:rsid w:val="74AA048A"/>
    <w:rsid w:val="74AD26CC"/>
    <w:rsid w:val="74B135C7"/>
    <w:rsid w:val="74B74EF2"/>
    <w:rsid w:val="74BB7AF3"/>
    <w:rsid w:val="74C96B62"/>
    <w:rsid w:val="74CA6436"/>
    <w:rsid w:val="74CC6652"/>
    <w:rsid w:val="74CE3805"/>
    <w:rsid w:val="74CE5F27"/>
    <w:rsid w:val="74D472B5"/>
    <w:rsid w:val="74D55507"/>
    <w:rsid w:val="74D62B2B"/>
    <w:rsid w:val="74D774D1"/>
    <w:rsid w:val="74DA0D6F"/>
    <w:rsid w:val="74DB0F01"/>
    <w:rsid w:val="74DEC5D0"/>
    <w:rsid w:val="74E62FDA"/>
    <w:rsid w:val="74E7348C"/>
    <w:rsid w:val="74EB4D2A"/>
    <w:rsid w:val="74F3598D"/>
    <w:rsid w:val="74F71921"/>
    <w:rsid w:val="74F82FA3"/>
    <w:rsid w:val="75061B64"/>
    <w:rsid w:val="751002ED"/>
    <w:rsid w:val="75120509"/>
    <w:rsid w:val="751853F4"/>
    <w:rsid w:val="751C1388"/>
    <w:rsid w:val="751D6EAE"/>
    <w:rsid w:val="752B3379"/>
    <w:rsid w:val="752D7A71"/>
    <w:rsid w:val="753164B5"/>
    <w:rsid w:val="7536F6E5"/>
    <w:rsid w:val="7544443B"/>
    <w:rsid w:val="754461E9"/>
    <w:rsid w:val="754F1096"/>
    <w:rsid w:val="75556648"/>
    <w:rsid w:val="75610F24"/>
    <w:rsid w:val="75627394"/>
    <w:rsid w:val="75693EA1"/>
    <w:rsid w:val="7572DE28"/>
    <w:rsid w:val="757E794D"/>
    <w:rsid w:val="75862CA5"/>
    <w:rsid w:val="758807CB"/>
    <w:rsid w:val="758B3E18"/>
    <w:rsid w:val="758D5DE2"/>
    <w:rsid w:val="758D6487"/>
    <w:rsid w:val="7592164A"/>
    <w:rsid w:val="759F078F"/>
    <w:rsid w:val="75A4312B"/>
    <w:rsid w:val="75A5137D"/>
    <w:rsid w:val="75A849CA"/>
    <w:rsid w:val="75AB7DC9"/>
    <w:rsid w:val="75AD1FE0"/>
    <w:rsid w:val="75BB2BFD"/>
    <w:rsid w:val="75BF1D13"/>
    <w:rsid w:val="75BF9AAF"/>
    <w:rsid w:val="75C94940"/>
    <w:rsid w:val="75CF63FA"/>
    <w:rsid w:val="75D30843"/>
    <w:rsid w:val="75D5092A"/>
    <w:rsid w:val="75D71AEB"/>
    <w:rsid w:val="75D81CEE"/>
    <w:rsid w:val="75D92DD5"/>
    <w:rsid w:val="75E72E00"/>
    <w:rsid w:val="75EB6F14"/>
    <w:rsid w:val="75EC34E3"/>
    <w:rsid w:val="75EDDECD"/>
    <w:rsid w:val="75EF8C81"/>
    <w:rsid w:val="75F06371"/>
    <w:rsid w:val="75F42C05"/>
    <w:rsid w:val="75F47C0F"/>
    <w:rsid w:val="75F62DFF"/>
    <w:rsid w:val="75FB0290"/>
    <w:rsid w:val="75FC2F67"/>
    <w:rsid w:val="75FF78B0"/>
    <w:rsid w:val="75FF8A89"/>
    <w:rsid w:val="76037E52"/>
    <w:rsid w:val="760A5884"/>
    <w:rsid w:val="760D0CD1"/>
    <w:rsid w:val="760D2A7F"/>
    <w:rsid w:val="760F3194"/>
    <w:rsid w:val="761402B1"/>
    <w:rsid w:val="76157B85"/>
    <w:rsid w:val="76165DD7"/>
    <w:rsid w:val="761738FD"/>
    <w:rsid w:val="7625601A"/>
    <w:rsid w:val="762F50EB"/>
    <w:rsid w:val="762F5738"/>
    <w:rsid w:val="763346BA"/>
    <w:rsid w:val="76524935"/>
    <w:rsid w:val="76530DD9"/>
    <w:rsid w:val="76563F03"/>
    <w:rsid w:val="765863F0"/>
    <w:rsid w:val="76592168"/>
    <w:rsid w:val="765E777E"/>
    <w:rsid w:val="76674885"/>
    <w:rsid w:val="766823AB"/>
    <w:rsid w:val="76685F07"/>
    <w:rsid w:val="76740D50"/>
    <w:rsid w:val="76816FC9"/>
    <w:rsid w:val="768472BE"/>
    <w:rsid w:val="768947FB"/>
    <w:rsid w:val="768C7E47"/>
    <w:rsid w:val="768D3BBF"/>
    <w:rsid w:val="768F1979"/>
    <w:rsid w:val="76942116"/>
    <w:rsid w:val="76974D64"/>
    <w:rsid w:val="76984A3E"/>
    <w:rsid w:val="76A31467"/>
    <w:rsid w:val="76A97E84"/>
    <w:rsid w:val="76B37ACA"/>
    <w:rsid w:val="76B4739E"/>
    <w:rsid w:val="76B62F73"/>
    <w:rsid w:val="76B64EC4"/>
    <w:rsid w:val="76B850E0"/>
    <w:rsid w:val="76C770D1"/>
    <w:rsid w:val="76D812DE"/>
    <w:rsid w:val="76DA5057"/>
    <w:rsid w:val="76E00193"/>
    <w:rsid w:val="76E949E5"/>
    <w:rsid w:val="76EC4D8A"/>
    <w:rsid w:val="76F115AC"/>
    <w:rsid w:val="76F36118"/>
    <w:rsid w:val="76FB3CCF"/>
    <w:rsid w:val="76FE2047"/>
    <w:rsid w:val="76FF71DC"/>
    <w:rsid w:val="770C0F88"/>
    <w:rsid w:val="770E2F52"/>
    <w:rsid w:val="770E56A1"/>
    <w:rsid w:val="771F0CBB"/>
    <w:rsid w:val="77366005"/>
    <w:rsid w:val="773724A9"/>
    <w:rsid w:val="773A3D47"/>
    <w:rsid w:val="773C7ABF"/>
    <w:rsid w:val="773D7394"/>
    <w:rsid w:val="77420E4E"/>
    <w:rsid w:val="774B1AB0"/>
    <w:rsid w:val="7750356B"/>
    <w:rsid w:val="77534E09"/>
    <w:rsid w:val="7755292F"/>
    <w:rsid w:val="775B1CAC"/>
    <w:rsid w:val="775B5A6C"/>
    <w:rsid w:val="77660698"/>
    <w:rsid w:val="776808B4"/>
    <w:rsid w:val="776D5316"/>
    <w:rsid w:val="777059BB"/>
    <w:rsid w:val="7770799C"/>
    <w:rsid w:val="777234E1"/>
    <w:rsid w:val="777A4144"/>
    <w:rsid w:val="777C4360"/>
    <w:rsid w:val="777F5BFE"/>
    <w:rsid w:val="777F5FC8"/>
    <w:rsid w:val="778154D2"/>
    <w:rsid w:val="77882D05"/>
    <w:rsid w:val="77955421"/>
    <w:rsid w:val="779F1DFC"/>
    <w:rsid w:val="77A2369A"/>
    <w:rsid w:val="77A80CB1"/>
    <w:rsid w:val="77AAE5C1"/>
    <w:rsid w:val="77AF1B3D"/>
    <w:rsid w:val="77B9B461"/>
    <w:rsid w:val="77BF37D3"/>
    <w:rsid w:val="77C17FC5"/>
    <w:rsid w:val="77C427CB"/>
    <w:rsid w:val="77C47AB5"/>
    <w:rsid w:val="77C771F6"/>
    <w:rsid w:val="77C984B0"/>
    <w:rsid w:val="77CB1F0C"/>
    <w:rsid w:val="77D01D36"/>
    <w:rsid w:val="77D221D2"/>
    <w:rsid w:val="77DA1086"/>
    <w:rsid w:val="77DAA5AA"/>
    <w:rsid w:val="77E690C4"/>
    <w:rsid w:val="77E9101A"/>
    <w:rsid w:val="77EC377A"/>
    <w:rsid w:val="77F008AA"/>
    <w:rsid w:val="77F24622"/>
    <w:rsid w:val="77F51A1C"/>
    <w:rsid w:val="77F72FC5"/>
    <w:rsid w:val="77F78221"/>
    <w:rsid w:val="77F834A9"/>
    <w:rsid w:val="77F91E7D"/>
    <w:rsid w:val="77F9775E"/>
    <w:rsid w:val="77FBBBD3"/>
    <w:rsid w:val="77FEE318"/>
    <w:rsid w:val="77FF25BE"/>
    <w:rsid w:val="77FFA238"/>
    <w:rsid w:val="7808174F"/>
    <w:rsid w:val="780879A1"/>
    <w:rsid w:val="780A371A"/>
    <w:rsid w:val="780C3400"/>
    <w:rsid w:val="780D320A"/>
    <w:rsid w:val="78177082"/>
    <w:rsid w:val="781C169F"/>
    <w:rsid w:val="7820118F"/>
    <w:rsid w:val="78232A2D"/>
    <w:rsid w:val="782A3DBC"/>
    <w:rsid w:val="782C1E65"/>
    <w:rsid w:val="782C7B34"/>
    <w:rsid w:val="78306EF8"/>
    <w:rsid w:val="783E7867"/>
    <w:rsid w:val="784C3D32"/>
    <w:rsid w:val="7851759A"/>
    <w:rsid w:val="7855070D"/>
    <w:rsid w:val="785B5D23"/>
    <w:rsid w:val="785E75C1"/>
    <w:rsid w:val="78686692"/>
    <w:rsid w:val="78716CE6"/>
    <w:rsid w:val="787E5EB6"/>
    <w:rsid w:val="78872FBC"/>
    <w:rsid w:val="78880AE2"/>
    <w:rsid w:val="788860C0"/>
    <w:rsid w:val="78886D34"/>
    <w:rsid w:val="788A2AAC"/>
    <w:rsid w:val="78964FAD"/>
    <w:rsid w:val="78970D25"/>
    <w:rsid w:val="78972AD3"/>
    <w:rsid w:val="789D27E0"/>
    <w:rsid w:val="789E3E62"/>
    <w:rsid w:val="78A771BA"/>
    <w:rsid w:val="78AA0A59"/>
    <w:rsid w:val="78AF7665"/>
    <w:rsid w:val="78B42360"/>
    <w:rsid w:val="78B74F24"/>
    <w:rsid w:val="78BB4A14"/>
    <w:rsid w:val="78DB790C"/>
    <w:rsid w:val="78DD0E2E"/>
    <w:rsid w:val="78DD2BDC"/>
    <w:rsid w:val="78E21FA1"/>
    <w:rsid w:val="78E81581"/>
    <w:rsid w:val="78E82CD2"/>
    <w:rsid w:val="78E8332F"/>
    <w:rsid w:val="78EB6DC5"/>
    <w:rsid w:val="78EE303B"/>
    <w:rsid w:val="78EE4DE9"/>
    <w:rsid w:val="78F61EF0"/>
    <w:rsid w:val="78F63C9E"/>
    <w:rsid w:val="78F85C68"/>
    <w:rsid w:val="78FB3E5F"/>
    <w:rsid w:val="78FF0DA4"/>
    <w:rsid w:val="79020895"/>
    <w:rsid w:val="790C6D01"/>
    <w:rsid w:val="790D78E4"/>
    <w:rsid w:val="79132AA2"/>
    <w:rsid w:val="79144124"/>
    <w:rsid w:val="79164340"/>
    <w:rsid w:val="791660EE"/>
    <w:rsid w:val="79243797"/>
    <w:rsid w:val="79294073"/>
    <w:rsid w:val="792D64F4"/>
    <w:rsid w:val="793547C6"/>
    <w:rsid w:val="79366790"/>
    <w:rsid w:val="79393B8B"/>
    <w:rsid w:val="79407133"/>
    <w:rsid w:val="79501600"/>
    <w:rsid w:val="79570BE0"/>
    <w:rsid w:val="79586707"/>
    <w:rsid w:val="795A247F"/>
    <w:rsid w:val="796E0E92"/>
    <w:rsid w:val="79724C28"/>
    <w:rsid w:val="7972D46F"/>
    <w:rsid w:val="797760F0"/>
    <w:rsid w:val="798C63B0"/>
    <w:rsid w:val="798E2128"/>
    <w:rsid w:val="79905EA0"/>
    <w:rsid w:val="7993773F"/>
    <w:rsid w:val="799534B7"/>
    <w:rsid w:val="79A100AE"/>
    <w:rsid w:val="79A27982"/>
    <w:rsid w:val="79A96F62"/>
    <w:rsid w:val="79B7342D"/>
    <w:rsid w:val="79BC0A44"/>
    <w:rsid w:val="79C913B2"/>
    <w:rsid w:val="79CE69C9"/>
    <w:rsid w:val="79CFFDED"/>
    <w:rsid w:val="79D00993"/>
    <w:rsid w:val="79D35D8D"/>
    <w:rsid w:val="79D95BF8"/>
    <w:rsid w:val="79DFC942"/>
    <w:rsid w:val="79E03389"/>
    <w:rsid w:val="79E32474"/>
    <w:rsid w:val="79E55CBA"/>
    <w:rsid w:val="79E7016D"/>
    <w:rsid w:val="79E93803"/>
    <w:rsid w:val="79EF6A7A"/>
    <w:rsid w:val="79F04831"/>
    <w:rsid w:val="79F04B91"/>
    <w:rsid w:val="79F226B7"/>
    <w:rsid w:val="79F3642F"/>
    <w:rsid w:val="79F50CD4"/>
    <w:rsid w:val="79F71A7C"/>
    <w:rsid w:val="79FF38F5"/>
    <w:rsid w:val="7A0A4260"/>
    <w:rsid w:val="7A0B5527"/>
    <w:rsid w:val="7A0D74F1"/>
    <w:rsid w:val="7A212F9C"/>
    <w:rsid w:val="7A234BEB"/>
    <w:rsid w:val="7A2C0E09"/>
    <w:rsid w:val="7A320D06"/>
    <w:rsid w:val="7A3356AA"/>
    <w:rsid w:val="7A344A7E"/>
    <w:rsid w:val="7A3C1B84"/>
    <w:rsid w:val="7A546ECE"/>
    <w:rsid w:val="7A560E98"/>
    <w:rsid w:val="7A5944E4"/>
    <w:rsid w:val="7A680BCB"/>
    <w:rsid w:val="7A68361F"/>
    <w:rsid w:val="7A684727"/>
    <w:rsid w:val="7A6D4434"/>
    <w:rsid w:val="7A6F1F5A"/>
    <w:rsid w:val="7A8560C9"/>
    <w:rsid w:val="7A862E00"/>
    <w:rsid w:val="7A8D23E0"/>
    <w:rsid w:val="7A8F6158"/>
    <w:rsid w:val="7A9153FC"/>
    <w:rsid w:val="7A9FC5E9"/>
    <w:rsid w:val="7AA02113"/>
    <w:rsid w:val="7AA24C40"/>
    <w:rsid w:val="7AA253A5"/>
    <w:rsid w:val="7AA64A51"/>
    <w:rsid w:val="7AA8546C"/>
    <w:rsid w:val="7AAC6D0A"/>
    <w:rsid w:val="7AAE40C3"/>
    <w:rsid w:val="7AAF8600"/>
    <w:rsid w:val="7AB579B2"/>
    <w:rsid w:val="7AB931D5"/>
    <w:rsid w:val="7ACC2F08"/>
    <w:rsid w:val="7AD718AD"/>
    <w:rsid w:val="7AD95625"/>
    <w:rsid w:val="7ADB314B"/>
    <w:rsid w:val="7ADB75EF"/>
    <w:rsid w:val="7ADF09F4"/>
    <w:rsid w:val="7AE069B4"/>
    <w:rsid w:val="7AE55D78"/>
    <w:rsid w:val="7AE77D42"/>
    <w:rsid w:val="7AEA7832"/>
    <w:rsid w:val="7AEC7106"/>
    <w:rsid w:val="7AEF6BF7"/>
    <w:rsid w:val="7AEF7293"/>
    <w:rsid w:val="7AF20495"/>
    <w:rsid w:val="7AF406B1"/>
    <w:rsid w:val="7AF64429"/>
    <w:rsid w:val="7B032B4D"/>
    <w:rsid w:val="7B034450"/>
    <w:rsid w:val="7B073F40"/>
    <w:rsid w:val="7B1623D5"/>
    <w:rsid w:val="7B1F572E"/>
    <w:rsid w:val="7B2F3497"/>
    <w:rsid w:val="7B352E0A"/>
    <w:rsid w:val="7B390427"/>
    <w:rsid w:val="7B476A33"/>
    <w:rsid w:val="7B4E6013"/>
    <w:rsid w:val="7B560A24"/>
    <w:rsid w:val="7B585393"/>
    <w:rsid w:val="7B5B5E4D"/>
    <w:rsid w:val="7B5F1FCE"/>
    <w:rsid w:val="7B607414"/>
    <w:rsid w:val="7B607AF4"/>
    <w:rsid w:val="7B6B7572"/>
    <w:rsid w:val="7B6FC0A8"/>
    <w:rsid w:val="7B77AA7D"/>
    <w:rsid w:val="7B7A0BB6"/>
    <w:rsid w:val="7B7F9F0D"/>
    <w:rsid w:val="7B823FE2"/>
    <w:rsid w:val="7B863B2E"/>
    <w:rsid w:val="7B8F3F36"/>
    <w:rsid w:val="7B98103C"/>
    <w:rsid w:val="7B9832A2"/>
    <w:rsid w:val="7B9BB6C4"/>
    <w:rsid w:val="7B9C6D7F"/>
    <w:rsid w:val="7B9D868A"/>
    <w:rsid w:val="7B9E29D9"/>
    <w:rsid w:val="7B9F061D"/>
    <w:rsid w:val="7BA21EBB"/>
    <w:rsid w:val="7BA37F1B"/>
    <w:rsid w:val="7BA93249"/>
    <w:rsid w:val="7BAC4124"/>
    <w:rsid w:val="7BAE042E"/>
    <w:rsid w:val="7BB8348D"/>
    <w:rsid w:val="7BBB4D2B"/>
    <w:rsid w:val="7BC77B74"/>
    <w:rsid w:val="7BCB6C46"/>
    <w:rsid w:val="7BD22F4F"/>
    <w:rsid w:val="7BD375DD"/>
    <w:rsid w:val="7BDE3E64"/>
    <w:rsid w:val="7BDF3E7F"/>
    <w:rsid w:val="7BE75317"/>
    <w:rsid w:val="7BE97AEA"/>
    <w:rsid w:val="7BEB6D71"/>
    <w:rsid w:val="7BEB9B88"/>
    <w:rsid w:val="7BF05E4A"/>
    <w:rsid w:val="7BF2699E"/>
    <w:rsid w:val="7BF32717"/>
    <w:rsid w:val="7BF5023D"/>
    <w:rsid w:val="7BF74231"/>
    <w:rsid w:val="7BF7FC2B"/>
    <w:rsid w:val="7BFA09CF"/>
    <w:rsid w:val="7BFBC32B"/>
    <w:rsid w:val="7BFDFDEA"/>
    <w:rsid w:val="7BFFCE41"/>
    <w:rsid w:val="7C01147A"/>
    <w:rsid w:val="7C013085"/>
    <w:rsid w:val="7C036DFE"/>
    <w:rsid w:val="7C044924"/>
    <w:rsid w:val="7C0E12FE"/>
    <w:rsid w:val="7C1E59E5"/>
    <w:rsid w:val="7C240B22"/>
    <w:rsid w:val="7C2808A1"/>
    <w:rsid w:val="7C296138"/>
    <w:rsid w:val="7C372C37"/>
    <w:rsid w:val="7C376AA7"/>
    <w:rsid w:val="7C39281F"/>
    <w:rsid w:val="7C3F770A"/>
    <w:rsid w:val="7C43544C"/>
    <w:rsid w:val="7C484810"/>
    <w:rsid w:val="7C6B6751"/>
    <w:rsid w:val="7C6F6241"/>
    <w:rsid w:val="7C6FD132"/>
    <w:rsid w:val="7C722DDE"/>
    <w:rsid w:val="7C725D31"/>
    <w:rsid w:val="7C727ADF"/>
    <w:rsid w:val="7C7C44BA"/>
    <w:rsid w:val="7C7F3FAA"/>
    <w:rsid w:val="7C8A04F2"/>
    <w:rsid w:val="7C8A4E29"/>
    <w:rsid w:val="7C8C4966"/>
    <w:rsid w:val="7C9561E0"/>
    <w:rsid w:val="7C986576"/>
    <w:rsid w:val="7C9C4B5C"/>
    <w:rsid w:val="7C9E08D4"/>
    <w:rsid w:val="7CAA55C2"/>
    <w:rsid w:val="7CAB4D9F"/>
    <w:rsid w:val="7CAC1243"/>
    <w:rsid w:val="7CB4634A"/>
    <w:rsid w:val="7CC145C3"/>
    <w:rsid w:val="7CCA16C9"/>
    <w:rsid w:val="7CD82038"/>
    <w:rsid w:val="7CDC13FD"/>
    <w:rsid w:val="7CDE277B"/>
    <w:rsid w:val="7CE02C9B"/>
    <w:rsid w:val="7CE309DD"/>
    <w:rsid w:val="7CF91FAF"/>
    <w:rsid w:val="7CFB5D27"/>
    <w:rsid w:val="7CFFCB22"/>
    <w:rsid w:val="7D0821F2"/>
    <w:rsid w:val="7D083FA0"/>
    <w:rsid w:val="7D21425A"/>
    <w:rsid w:val="7D2863F0"/>
    <w:rsid w:val="7D2D3A06"/>
    <w:rsid w:val="7D2E685E"/>
    <w:rsid w:val="7D2F777E"/>
    <w:rsid w:val="7D35BF50"/>
    <w:rsid w:val="7D394964"/>
    <w:rsid w:val="7D3F63AB"/>
    <w:rsid w:val="7D53A52C"/>
    <w:rsid w:val="7D580A83"/>
    <w:rsid w:val="7D652812"/>
    <w:rsid w:val="7D6C452F"/>
    <w:rsid w:val="7D6F2271"/>
    <w:rsid w:val="7D7004C3"/>
    <w:rsid w:val="7D7DBA55"/>
    <w:rsid w:val="7D9F0934"/>
    <w:rsid w:val="7DA0067C"/>
    <w:rsid w:val="7DA41F1A"/>
    <w:rsid w:val="7DA71A0B"/>
    <w:rsid w:val="7DA95783"/>
    <w:rsid w:val="7DAA5057"/>
    <w:rsid w:val="7DAB14FB"/>
    <w:rsid w:val="7DAD409C"/>
    <w:rsid w:val="7DAEF9F4"/>
    <w:rsid w:val="7DB3215D"/>
    <w:rsid w:val="7DB72F18"/>
    <w:rsid w:val="7DBE2C41"/>
    <w:rsid w:val="7DBF553D"/>
    <w:rsid w:val="7DBFC48D"/>
    <w:rsid w:val="7DBFCA95"/>
    <w:rsid w:val="7DC91981"/>
    <w:rsid w:val="7DCB315E"/>
    <w:rsid w:val="7DCE51E9"/>
    <w:rsid w:val="7DD50326"/>
    <w:rsid w:val="7DD7F0D2"/>
    <w:rsid w:val="7DDA1DE0"/>
    <w:rsid w:val="7DDF11A4"/>
    <w:rsid w:val="7DE65EF4"/>
    <w:rsid w:val="7DE95B7F"/>
    <w:rsid w:val="7DEB5D9B"/>
    <w:rsid w:val="7DED5F04"/>
    <w:rsid w:val="7DEF8732"/>
    <w:rsid w:val="7DEFB9CD"/>
    <w:rsid w:val="7DF1F6A6"/>
    <w:rsid w:val="7DF34C50"/>
    <w:rsid w:val="7DF37E95"/>
    <w:rsid w:val="7DFB58B2"/>
    <w:rsid w:val="7DFED0A5"/>
    <w:rsid w:val="7E024E93"/>
    <w:rsid w:val="7E0D3F64"/>
    <w:rsid w:val="7E105802"/>
    <w:rsid w:val="7E176B90"/>
    <w:rsid w:val="7E1B3C0A"/>
    <w:rsid w:val="7E201D23"/>
    <w:rsid w:val="7E292420"/>
    <w:rsid w:val="7E2C3CBE"/>
    <w:rsid w:val="7E2DB924"/>
    <w:rsid w:val="7E2EF3D6"/>
    <w:rsid w:val="7E310A0D"/>
    <w:rsid w:val="7E327526"/>
    <w:rsid w:val="7E34F8E8"/>
    <w:rsid w:val="7E385014"/>
    <w:rsid w:val="7E392D7C"/>
    <w:rsid w:val="7E3E411D"/>
    <w:rsid w:val="7E4B4A8C"/>
    <w:rsid w:val="7E4B4C51"/>
    <w:rsid w:val="7E505BFE"/>
    <w:rsid w:val="7E521976"/>
    <w:rsid w:val="7E562688"/>
    <w:rsid w:val="7E57AEFD"/>
    <w:rsid w:val="7E584AB3"/>
    <w:rsid w:val="7E5C45A3"/>
    <w:rsid w:val="7E655B4E"/>
    <w:rsid w:val="7E6FE523"/>
    <w:rsid w:val="7E751FC7"/>
    <w:rsid w:val="7E755665"/>
    <w:rsid w:val="7E7A44AA"/>
    <w:rsid w:val="7E7C69F3"/>
    <w:rsid w:val="7E7E09BD"/>
    <w:rsid w:val="7E8458A8"/>
    <w:rsid w:val="7E8B32DB"/>
    <w:rsid w:val="7E8B6C36"/>
    <w:rsid w:val="7E9F372D"/>
    <w:rsid w:val="7E9FA733"/>
    <w:rsid w:val="7EAB1087"/>
    <w:rsid w:val="7EB73213"/>
    <w:rsid w:val="7EB9020F"/>
    <w:rsid w:val="7EBC3294"/>
    <w:rsid w:val="7EBC7738"/>
    <w:rsid w:val="7EC23181"/>
    <w:rsid w:val="7EC6E36A"/>
    <w:rsid w:val="7ED405DD"/>
    <w:rsid w:val="7ED50D80"/>
    <w:rsid w:val="7ED7D88E"/>
    <w:rsid w:val="7EDA0A17"/>
    <w:rsid w:val="7EDA196C"/>
    <w:rsid w:val="7EDA4FB6"/>
    <w:rsid w:val="7EDD30DE"/>
    <w:rsid w:val="7EDF712C"/>
    <w:rsid w:val="7EE34CC4"/>
    <w:rsid w:val="7EE527EB"/>
    <w:rsid w:val="7EE54876"/>
    <w:rsid w:val="7EE60311"/>
    <w:rsid w:val="7EEA7E01"/>
    <w:rsid w:val="7EEF18BB"/>
    <w:rsid w:val="7EEF1E28"/>
    <w:rsid w:val="7EEF36E2"/>
    <w:rsid w:val="7EF16D2C"/>
    <w:rsid w:val="7EF34A39"/>
    <w:rsid w:val="7EF46ED2"/>
    <w:rsid w:val="7EF75199"/>
    <w:rsid w:val="7EF944E8"/>
    <w:rsid w:val="7EFA3546"/>
    <w:rsid w:val="7EFB1E05"/>
    <w:rsid w:val="7EFD276B"/>
    <w:rsid w:val="7EFEF90A"/>
    <w:rsid w:val="7EFF12A1"/>
    <w:rsid w:val="7EFF182A"/>
    <w:rsid w:val="7EFFBC9B"/>
    <w:rsid w:val="7F0EDDEB"/>
    <w:rsid w:val="7F121106"/>
    <w:rsid w:val="7F1430D0"/>
    <w:rsid w:val="7F1615DE"/>
    <w:rsid w:val="7F17496E"/>
    <w:rsid w:val="7F195E74"/>
    <w:rsid w:val="7F1B26B0"/>
    <w:rsid w:val="7F1BC467"/>
    <w:rsid w:val="7F1BF854"/>
    <w:rsid w:val="7F1C3D32"/>
    <w:rsid w:val="7F2044B5"/>
    <w:rsid w:val="7F24748B"/>
    <w:rsid w:val="7F2552DD"/>
    <w:rsid w:val="7F280929"/>
    <w:rsid w:val="7F2A28F3"/>
    <w:rsid w:val="7F2E14AF"/>
    <w:rsid w:val="7F323556"/>
    <w:rsid w:val="7F361298"/>
    <w:rsid w:val="7F365AC9"/>
    <w:rsid w:val="7F4879A0"/>
    <w:rsid w:val="7F4FD1CD"/>
    <w:rsid w:val="7F5259A6"/>
    <w:rsid w:val="7F587460"/>
    <w:rsid w:val="7F5B1644"/>
    <w:rsid w:val="7F5C7D12"/>
    <w:rsid w:val="7F5D802A"/>
    <w:rsid w:val="7F5F7E62"/>
    <w:rsid w:val="7F5F91DD"/>
    <w:rsid w:val="7F606315"/>
    <w:rsid w:val="7F6F2C86"/>
    <w:rsid w:val="7F6F4856"/>
    <w:rsid w:val="7F741DC0"/>
    <w:rsid w:val="7F74FB02"/>
    <w:rsid w:val="7F77361E"/>
    <w:rsid w:val="7F77E7E0"/>
    <w:rsid w:val="7F7D2A23"/>
    <w:rsid w:val="7F7D543C"/>
    <w:rsid w:val="7F7EAF3B"/>
    <w:rsid w:val="7F7EDEC0"/>
    <w:rsid w:val="7F7EE18F"/>
    <w:rsid w:val="7F7F1EC5"/>
    <w:rsid w:val="7F7F8511"/>
    <w:rsid w:val="7F8636C2"/>
    <w:rsid w:val="7F891E99"/>
    <w:rsid w:val="7F8A8E96"/>
    <w:rsid w:val="7F8C2C66"/>
    <w:rsid w:val="7F8D69DE"/>
    <w:rsid w:val="7F8FAF56"/>
    <w:rsid w:val="7F9F6E3D"/>
    <w:rsid w:val="7FA2547F"/>
    <w:rsid w:val="7FAE7080"/>
    <w:rsid w:val="7FAFAABF"/>
    <w:rsid w:val="7FB7A679"/>
    <w:rsid w:val="7FBB208E"/>
    <w:rsid w:val="7FBB8C17"/>
    <w:rsid w:val="7FBBBE08"/>
    <w:rsid w:val="7FBDA44F"/>
    <w:rsid w:val="7FBE67ED"/>
    <w:rsid w:val="7FBE8DD6"/>
    <w:rsid w:val="7FBF426C"/>
    <w:rsid w:val="7FC136F1"/>
    <w:rsid w:val="7FC20D7E"/>
    <w:rsid w:val="7FC71EF0"/>
    <w:rsid w:val="7FC9210C"/>
    <w:rsid w:val="7FCB4FF3"/>
    <w:rsid w:val="7FD10FC1"/>
    <w:rsid w:val="7FD75BAF"/>
    <w:rsid w:val="7FDCDBB5"/>
    <w:rsid w:val="7FDEBC19"/>
    <w:rsid w:val="7FDF19DE"/>
    <w:rsid w:val="7FDF4383"/>
    <w:rsid w:val="7FDF548C"/>
    <w:rsid w:val="7FDF7279"/>
    <w:rsid w:val="7FDF9832"/>
    <w:rsid w:val="7FDF9A27"/>
    <w:rsid w:val="7FDFD982"/>
    <w:rsid w:val="7FEB363E"/>
    <w:rsid w:val="7FEBAEE1"/>
    <w:rsid w:val="7FEBDC70"/>
    <w:rsid w:val="7FEC02A3"/>
    <w:rsid w:val="7FEC8CED"/>
    <w:rsid w:val="7FED7451"/>
    <w:rsid w:val="7FEE0C11"/>
    <w:rsid w:val="7FEE6C1A"/>
    <w:rsid w:val="7FEF66B5"/>
    <w:rsid w:val="7FEFCE52"/>
    <w:rsid w:val="7FEFDF2A"/>
    <w:rsid w:val="7FF151BF"/>
    <w:rsid w:val="7FF223DF"/>
    <w:rsid w:val="7FF313AF"/>
    <w:rsid w:val="7FF3AD7A"/>
    <w:rsid w:val="7FF56EC0"/>
    <w:rsid w:val="7FF6B154"/>
    <w:rsid w:val="7FF703FF"/>
    <w:rsid w:val="7FF7086E"/>
    <w:rsid w:val="7FF8479F"/>
    <w:rsid w:val="7FF8DF2E"/>
    <w:rsid w:val="7FFA3578"/>
    <w:rsid w:val="7FFA5C86"/>
    <w:rsid w:val="7FFBAE86"/>
    <w:rsid w:val="7FFBDF50"/>
    <w:rsid w:val="7FFC1B87"/>
    <w:rsid w:val="7FFE22EA"/>
    <w:rsid w:val="7FFE7C7E"/>
    <w:rsid w:val="7FFE865F"/>
    <w:rsid w:val="7FFE9653"/>
    <w:rsid w:val="7FFEA87E"/>
    <w:rsid w:val="7FFF025D"/>
    <w:rsid w:val="7FFF168A"/>
    <w:rsid w:val="7FFF1EC5"/>
    <w:rsid w:val="7FFF4D61"/>
    <w:rsid w:val="7FFF7DE5"/>
    <w:rsid w:val="7FFF85CC"/>
    <w:rsid w:val="7FFF890C"/>
    <w:rsid w:val="7FFFB064"/>
    <w:rsid w:val="7FFFBB04"/>
    <w:rsid w:val="7FFFBEAD"/>
    <w:rsid w:val="7FFFC17E"/>
    <w:rsid w:val="7FFFDA18"/>
    <w:rsid w:val="85FF8E3A"/>
    <w:rsid w:val="87BDDA7E"/>
    <w:rsid w:val="8B27141D"/>
    <w:rsid w:val="8B9E878E"/>
    <w:rsid w:val="8DFAAB4A"/>
    <w:rsid w:val="8F7DE6C1"/>
    <w:rsid w:val="9366D013"/>
    <w:rsid w:val="97BF5944"/>
    <w:rsid w:val="97E506AE"/>
    <w:rsid w:val="99FFDB35"/>
    <w:rsid w:val="9A7F1D7F"/>
    <w:rsid w:val="9AC7AD97"/>
    <w:rsid w:val="9BF3762D"/>
    <w:rsid w:val="9CF5675F"/>
    <w:rsid w:val="9DF6F115"/>
    <w:rsid w:val="9DFDE42A"/>
    <w:rsid w:val="9EF05DAF"/>
    <w:rsid w:val="9F45F4D8"/>
    <w:rsid w:val="9F57A062"/>
    <w:rsid w:val="9F6FD369"/>
    <w:rsid w:val="9FBA0F51"/>
    <w:rsid w:val="9FBA7562"/>
    <w:rsid w:val="9FBF97E6"/>
    <w:rsid w:val="9FDF0A9C"/>
    <w:rsid w:val="9FDFBEAA"/>
    <w:rsid w:val="9FE716DF"/>
    <w:rsid w:val="9FEFFF99"/>
    <w:rsid w:val="9FF54E1E"/>
    <w:rsid w:val="9FF722EF"/>
    <w:rsid w:val="9FFF42C1"/>
    <w:rsid w:val="9FFF4791"/>
    <w:rsid w:val="A1EE3E91"/>
    <w:rsid w:val="A3FDA9B8"/>
    <w:rsid w:val="A5DB5915"/>
    <w:rsid w:val="A7FD1D3D"/>
    <w:rsid w:val="ABB533D8"/>
    <w:rsid w:val="ABE7E5F2"/>
    <w:rsid w:val="AD1C216D"/>
    <w:rsid w:val="ADEF10EA"/>
    <w:rsid w:val="ADF7C6E4"/>
    <w:rsid w:val="ADFF2FC2"/>
    <w:rsid w:val="AEDA6260"/>
    <w:rsid w:val="AEE67442"/>
    <w:rsid w:val="AEF6EBE7"/>
    <w:rsid w:val="AEFFD75B"/>
    <w:rsid w:val="AFAADDB9"/>
    <w:rsid w:val="AFBD9762"/>
    <w:rsid w:val="AFBF883A"/>
    <w:rsid w:val="AFE71477"/>
    <w:rsid w:val="AFED0AEE"/>
    <w:rsid w:val="AFEF69FE"/>
    <w:rsid w:val="AFF39C64"/>
    <w:rsid w:val="AFF5F587"/>
    <w:rsid w:val="AFFD9639"/>
    <w:rsid w:val="AFFF4DF7"/>
    <w:rsid w:val="B0ED3030"/>
    <w:rsid w:val="B2ED50CC"/>
    <w:rsid w:val="B2FF2A37"/>
    <w:rsid w:val="B3FF6F43"/>
    <w:rsid w:val="B5BDAAAA"/>
    <w:rsid w:val="B5EFF4C5"/>
    <w:rsid w:val="B6DF9EF0"/>
    <w:rsid w:val="B73E85CE"/>
    <w:rsid w:val="B75D20C6"/>
    <w:rsid w:val="B77F056B"/>
    <w:rsid w:val="B77FD4AC"/>
    <w:rsid w:val="B7E4E461"/>
    <w:rsid w:val="B7EDBB93"/>
    <w:rsid w:val="B7F7A643"/>
    <w:rsid w:val="B7F7E687"/>
    <w:rsid w:val="B7FF0639"/>
    <w:rsid w:val="B98B254C"/>
    <w:rsid w:val="B9F606A6"/>
    <w:rsid w:val="B9FAAAC6"/>
    <w:rsid w:val="BAAF20C6"/>
    <w:rsid w:val="BABB8870"/>
    <w:rsid w:val="BAFB9613"/>
    <w:rsid w:val="BAFBC602"/>
    <w:rsid w:val="BAFF123E"/>
    <w:rsid w:val="BBC71DCD"/>
    <w:rsid w:val="BBD762A6"/>
    <w:rsid w:val="BBEC2B6F"/>
    <w:rsid w:val="BBF30BE4"/>
    <w:rsid w:val="BBF3867E"/>
    <w:rsid w:val="BBF7D839"/>
    <w:rsid w:val="BBFFEB4F"/>
    <w:rsid w:val="BC7F6ADC"/>
    <w:rsid w:val="BCAF9045"/>
    <w:rsid w:val="BCB26D82"/>
    <w:rsid w:val="BCB6472C"/>
    <w:rsid w:val="BCEEDBFC"/>
    <w:rsid w:val="BCF76E13"/>
    <w:rsid w:val="BD2EA6AC"/>
    <w:rsid w:val="BD9EC88D"/>
    <w:rsid w:val="BD9F6191"/>
    <w:rsid w:val="BDB743A7"/>
    <w:rsid w:val="BDD76FA0"/>
    <w:rsid w:val="BDDF2E0E"/>
    <w:rsid w:val="BDF741DB"/>
    <w:rsid w:val="BDFA2693"/>
    <w:rsid w:val="BDFDC141"/>
    <w:rsid w:val="BDFF121A"/>
    <w:rsid w:val="BDFF43A3"/>
    <w:rsid w:val="BDFFA982"/>
    <w:rsid w:val="BE18C605"/>
    <w:rsid w:val="BE5FA3C0"/>
    <w:rsid w:val="BE6D5426"/>
    <w:rsid w:val="BEBECF35"/>
    <w:rsid w:val="BEEF4B03"/>
    <w:rsid w:val="BEF76D0A"/>
    <w:rsid w:val="BEFF89A8"/>
    <w:rsid w:val="BEFFE360"/>
    <w:rsid w:val="BF75DD34"/>
    <w:rsid w:val="BF7BBA14"/>
    <w:rsid w:val="BF7D1081"/>
    <w:rsid w:val="BF7F7645"/>
    <w:rsid w:val="BFA7BB0E"/>
    <w:rsid w:val="BFB3E85B"/>
    <w:rsid w:val="BFB75063"/>
    <w:rsid w:val="BFBA4147"/>
    <w:rsid w:val="BFDC4816"/>
    <w:rsid w:val="BFDDD73F"/>
    <w:rsid w:val="BFF77019"/>
    <w:rsid w:val="BFF79E12"/>
    <w:rsid w:val="BFF7BADF"/>
    <w:rsid w:val="BFF7EC31"/>
    <w:rsid w:val="BFF9A18F"/>
    <w:rsid w:val="BFFCDECE"/>
    <w:rsid w:val="BFFF7E05"/>
    <w:rsid w:val="BFFF9EC5"/>
    <w:rsid w:val="BFFFC217"/>
    <w:rsid w:val="C3EF066F"/>
    <w:rsid w:val="C57A0221"/>
    <w:rsid w:val="C5CDBF07"/>
    <w:rsid w:val="C6F6C55D"/>
    <w:rsid w:val="C7777B89"/>
    <w:rsid w:val="C78EFD22"/>
    <w:rsid w:val="C7BD3543"/>
    <w:rsid w:val="C7F7281A"/>
    <w:rsid w:val="C7FA6EEA"/>
    <w:rsid w:val="C7FB1D48"/>
    <w:rsid w:val="C7FFEAAC"/>
    <w:rsid w:val="C8FB1382"/>
    <w:rsid w:val="CB6FC6D1"/>
    <w:rsid w:val="CBD3E4B6"/>
    <w:rsid w:val="CBFBD8E9"/>
    <w:rsid w:val="CD3CEDCA"/>
    <w:rsid w:val="CDD2011E"/>
    <w:rsid w:val="CDD5567F"/>
    <w:rsid w:val="CDD7FA64"/>
    <w:rsid w:val="CDD90039"/>
    <w:rsid w:val="CDFFAF92"/>
    <w:rsid w:val="CE7BCF16"/>
    <w:rsid w:val="CF7ED8A7"/>
    <w:rsid w:val="CF7F7FDA"/>
    <w:rsid w:val="CFDA0648"/>
    <w:rsid w:val="CFDE7315"/>
    <w:rsid w:val="D1FFFCFF"/>
    <w:rsid w:val="D37F3145"/>
    <w:rsid w:val="D3F1F66A"/>
    <w:rsid w:val="D4F764AD"/>
    <w:rsid w:val="D5F73086"/>
    <w:rsid w:val="D5FE50AE"/>
    <w:rsid w:val="D6FB9CEE"/>
    <w:rsid w:val="D75F1F63"/>
    <w:rsid w:val="D7F7111E"/>
    <w:rsid w:val="D8EFE2AD"/>
    <w:rsid w:val="D977A415"/>
    <w:rsid w:val="D9F942DD"/>
    <w:rsid w:val="D9FBCE81"/>
    <w:rsid w:val="DB97E43E"/>
    <w:rsid w:val="DB9A3054"/>
    <w:rsid w:val="DB9F2C62"/>
    <w:rsid w:val="DBEFFDBE"/>
    <w:rsid w:val="DBF9C77C"/>
    <w:rsid w:val="DBFACC0A"/>
    <w:rsid w:val="DBFD6FD8"/>
    <w:rsid w:val="DBFF4E7C"/>
    <w:rsid w:val="DC7FFF48"/>
    <w:rsid w:val="DCF790E8"/>
    <w:rsid w:val="DCF794F9"/>
    <w:rsid w:val="DD6657BA"/>
    <w:rsid w:val="DD67825C"/>
    <w:rsid w:val="DD6E5E11"/>
    <w:rsid w:val="DD7D58D4"/>
    <w:rsid w:val="DD91886D"/>
    <w:rsid w:val="DDE70E0D"/>
    <w:rsid w:val="DDE842C2"/>
    <w:rsid w:val="DDEF04BC"/>
    <w:rsid w:val="DDFF1E08"/>
    <w:rsid w:val="DDFF86A4"/>
    <w:rsid w:val="DE1C567F"/>
    <w:rsid w:val="DE5DA981"/>
    <w:rsid w:val="DE7BEF7B"/>
    <w:rsid w:val="DE7FAFF3"/>
    <w:rsid w:val="DE7FC6E7"/>
    <w:rsid w:val="DEBB027E"/>
    <w:rsid w:val="DEBD585B"/>
    <w:rsid w:val="DEC194DA"/>
    <w:rsid w:val="DED7B3E2"/>
    <w:rsid w:val="DEEF0710"/>
    <w:rsid w:val="DEF9A9F3"/>
    <w:rsid w:val="DEFCC7A3"/>
    <w:rsid w:val="DEFF899D"/>
    <w:rsid w:val="DF17D516"/>
    <w:rsid w:val="DF1F1930"/>
    <w:rsid w:val="DF4F1F83"/>
    <w:rsid w:val="DF5F7EFB"/>
    <w:rsid w:val="DF7F61F2"/>
    <w:rsid w:val="DF97EF22"/>
    <w:rsid w:val="DF9E6DA9"/>
    <w:rsid w:val="DFA76C75"/>
    <w:rsid w:val="DFAF55AD"/>
    <w:rsid w:val="DFAFBF5D"/>
    <w:rsid w:val="DFBEB88B"/>
    <w:rsid w:val="DFD55520"/>
    <w:rsid w:val="DFD7D371"/>
    <w:rsid w:val="DFD96679"/>
    <w:rsid w:val="DFD9EB1D"/>
    <w:rsid w:val="DFDF3931"/>
    <w:rsid w:val="DFEF7BAE"/>
    <w:rsid w:val="DFF11533"/>
    <w:rsid w:val="DFF9F793"/>
    <w:rsid w:val="DFFB03E5"/>
    <w:rsid w:val="DFFB8D73"/>
    <w:rsid w:val="DFFBC9E7"/>
    <w:rsid w:val="DFFCFCC4"/>
    <w:rsid w:val="DFFF380F"/>
    <w:rsid w:val="DFFF7CAF"/>
    <w:rsid w:val="DFFF86B8"/>
    <w:rsid w:val="DFFFDE71"/>
    <w:rsid w:val="E37FD8D9"/>
    <w:rsid w:val="E3FAB6A8"/>
    <w:rsid w:val="E3FD3BC3"/>
    <w:rsid w:val="E52121EE"/>
    <w:rsid w:val="E5476DCC"/>
    <w:rsid w:val="E5FFAD3E"/>
    <w:rsid w:val="E677D871"/>
    <w:rsid w:val="E6D7E515"/>
    <w:rsid w:val="E6FF16B5"/>
    <w:rsid w:val="E77314B1"/>
    <w:rsid w:val="E7CB5885"/>
    <w:rsid w:val="E7EA882E"/>
    <w:rsid w:val="E7ED63DF"/>
    <w:rsid w:val="E7F7B4D0"/>
    <w:rsid w:val="E7FD6F5A"/>
    <w:rsid w:val="E98714DC"/>
    <w:rsid w:val="E9EF1986"/>
    <w:rsid w:val="EA233668"/>
    <w:rsid w:val="EA9B58EF"/>
    <w:rsid w:val="EAFE8363"/>
    <w:rsid w:val="EAFE8D39"/>
    <w:rsid w:val="EB3D9FE2"/>
    <w:rsid w:val="EB6D4191"/>
    <w:rsid w:val="EB6F9A7D"/>
    <w:rsid w:val="EB7FD0D1"/>
    <w:rsid w:val="EB8F7B92"/>
    <w:rsid w:val="EBBE9FC3"/>
    <w:rsid w:val="EBEF66F3"/>
    <w:rsid w:val="EBFFB809"/>
    <w:rsid w:val="ECBE0408"/>
    <w:rsid w:val="ECE7C54A"/>
    <w:rsid w:val="ED3F658B"/>
    <w:rsid w:val="ED3FE149"/>
    <w:rsid w:val="ED8FAC50"/>
    <w:rsid w:val="ED978832"/>
    <w:rsid w:val="EDA51F48"/>
    <w:rsid w:val="EDBBBCE2"/>
    <w:rsid w:val="EDC35648"/>
    <w:rsid w:val="EDEF4B5D"/>
    <w:rsid w:val="EDFE3A3E"/>
    <w:rsid w:val="EE3BD559"/>
    <w:rsid w:val="EE67D8ED"/>
    <w:rsid w:val="EEB34195"/>
    <w:rsid w:val="EEB751B2"/>
    <w:rsid w:val="EEBFB456"/>
    <w:rsid w:val="EEBFD706"/>
    <w:rsid w:val="EED72178"/>
    <w:rsid w:val="EED73AFD"/>
    <w:rsid w:val="EEEE45F1"/>
    <w:rsid w:val="EEEFE77D"/>
    <w:rsid w:val="EEF7A145"/>
    <w:rsid w:val="EF0D93CD"/>
    <w:rsid w:val="EF31D01C"/>
    <w:rsid w:val="EF3FC61C"/>
    <w:rsid w:val="EF4F8A78"/>
    <w:rsid w:val="EF607162"/>
    <w:rsid w:val="EF69E316"/>
    <w:rsid w:val="EF7D8366"/>
    <w:rsid w:val="EF7F4B2D"/>
    <w:rsid w:val="EF941DFF"/>
    <w:rsid w:val="EF97D40E"/>
    <w:rsid w:val="EF9D992B"/>
    <w:rsid w:val="EFACE3AA"/>
    <w:rsid w:val="EFAF2E58"/>
    <w:rsid w:val="EFBB557A"/>
    <w:rsid w:val="EFBF7CF9"/>
    <w:rsid w:val="EFCB3A5D"/>
    <w:rsid w:val="EFD3C5F3"/>
    <w:rsid w:val="EFDF4F3B"/>
    <w:rsid w:val="EFDF5252"/>
    <w:rsid w:val="EFDFBD5C"/>
    <w:rsid w:val="EFEE8420"/>
    <w:rsid w:val="EFF19026"/>
    <w:rsid w:val="EFF5255C"/>
    <w:rsid w:val="EFF573F9"/>
    <w:rsid w:val="EFF67400"/>
    <w:rsid w:val="EFF9F099"/>
    <w:rsid w:val="EFFA4C81"/>
    <w:rsid w:val="EFFBFE60"/>
    <w:rsid w:val="EFFDF401"/>
    <w:rsid w:val="EFFE6735"/>
    <w:rsid w:val="EFFE8E59"/>
    <w:rsid w:val="EFFEA79B"/>
    <w:rsid w:val="EFFF39DC"/>
    <w:rsid w:val="EFFF81FC"/>
    <w:rsid w:val="EFFF9E6C"/>
    <w:rsid w:val="EFFFA673"/>
    <w:rsid w:val="F1C95174"/>
    <w:rsid w:val="F1FC4410"/>
    <w:rsid w:val="F23DB2F7"/>
    <w:rsid w:val="F2BE0465"/>
    <w:rsid w:val="F2F7D8AB"/>
    <w:rsid w:val="F2FF1722"/>
    <w:rsid w:val="F352F249"/>
    <w:rsid w:val="F3BB8A1E"/>
    <w:rsid w:val="F3D50794"/>
    <w:rsid w:val="F3EC81F8"/>
    <w:rsid w:val="F3FFDC6E"/>
    <w:rsid w:val="F4371BB8"/>
    <w:rsid w:val="F46E3483"/>
    <w:rsid w:val="F4BF574E"/>
    <w:rsid w:val="F4EF85FD"/>
    <w:rsid w:val="F57BCFA5"/>
    <w:rsid w:val="F57F0EAA"/>
    <w:rsid w:val="F5AF56E5"/>
    <w:rsid w:val="F5CD38F2"/>
    <w:rsid w:val="F5F32051"/>
    <w:rsid w:val="F5F350A2"/>
    <w:rsid w:val="F5FBF8DB"/>
    <w:rsid w:val="F6B72AD8"/>
    <w:rsid w:val="F6DFF1E1"/>
    <w:rsid w:val="F6EE7554"/>
    <w:rsid w:val="F6FDECD2"/>
    <w:rsid w:val="F75F1EA8"/>
    <w:rsid w:val="F76CF1E0"/>
    <w:rsid w:val="F76F1422"/>
    <w:rsid w:val="F76F749B"/>
    <w:rsid w:val="F77D827C"/>
    <w:rsid w:val="F79B6EAB"/>
    <w:rsid w:val="F7AB7C3A"/>
    <w:rsid w:val="F7B79D48"/>
    <w:rsid w:val="F7BF6610"/>
    <w:rsid w:val="F7D100B6"/>
    <w:rsid w:val="F7D703B2"/>
    <w:rsid w:val="F7DDB04C"/>
    <w:rsid w:val="F7DF9AB7"/>
    <w:rsid w:val="F7EE774A"/>
    <w:rsid w:val="F7EEEA18"/>
    <w:rsid w:val="F7EF1290"/>
    <w:rsid w:val="F7FB28E4"/>
    <w:rsid w:val="F7FD6B81"/>
    <w:rsid w:val="F7FFAEEA"/>
    <w:rsid w:val="F7FFB0AC"/>
    <w:rsid w:val="F8EF1CC1"/>
    <w:rsid w:val="F8FE504F"/>
    <w:rsid w:val="F97E1F6C"/>
    <w:rsid w:val="F9B166FB"/>
    <w:rsid w:val="F9ED419A"/>
    <w:rsid w:val="F9F93884"/>
    <w:rsid w:val="F9FFF264"/>
    <w:rsid w:val="FA3F8DA5"/>
    <w:rsid w:val="FA6E393C"/>
    <w:rsid w:val="FA75A746"/>
    <w:rsid w:val="FAB863A1"/>
    <w:rsid w:val="FAF7C59C"/>
    <w:rsid w:val="FAFAB04A"/>
    <w:rsid w:val="FAFBA3DC"/>
    <w:rsid w:val="FAFCE7AA"/>
    <w:rsid w:val="FAFE3F49"/>
    <w:rsid w:val="FB4F354A"/>
    <w:rsid w:val="FB6E2F22"/>
    <w:rsid w:val="FB7D893B"/>
    <w:rsid w:val="FB7F121B"/>
    <w:rsid w:val="FBBB1561"/>
    <w:rsid w:val="FBBEE674"/>
    <w:rsid w:val="FBCB55C8"/>
    <w:rsid w:val="FBDF8AFB"/>
    <w:rsid w:val="FBFB0F4A"/>
    <w:rsid w:val="FBFCC790"/>
    <w:rsid w:val="FBFF0C2A"/>
    <w:rsid w:val="FBFF524F"/>
    <w:rsid w:val="FBFFDCA1"/>
    <w:rsid w:val="FC6EAE32"/>
    <w:rsid w:val="FCAD02B5"/>
    <w:rsid w:val="FCB5D9E3"/>
    <w:rsid w:val="FCB73E63"/>
    <w:rsid w:val="FCBE91EF"/>
    <w:rsid w:val="FCBF39A3"/>
    <w:rsid w:val="FCCB260C"/>
    <w:rsid w:val="FCCF3106"/>
    <w:rsid w:val="FCEB5311"/>
    <w:rsid w:val="FCF3141E"/>
    <w:rsid w:val="FCFDCE29"/>
    <w:rsid w:val="FCFDD7B2"/>
    <w:rsid w:val="FCFF5D70"/>
    <w:rsid w:val="FCFFDDC5"/>
    <w:rsid w:val="FD56C0C0"/>
    <w:rsid w:val="FD7348AB"/>
    <w:rsid w:val="FD7AF68C"/>
    <w:rsid w:val="FD7EFB00"/>
    <w:rsid w:val="FDA6ACCD"/>
    <w:rsid w:val="FDAD077C"/>
    <w:rsid w:val="FDB5748F"/>
    <w:rsid w:val="FDBFD61B"/>
    <w:rsid w:val="FDD6F770"/>
    <w:rsid w:val="FDD73970"/>
    <w:rsid w:val="FDDDA089"/>
    <w:rsid w:val="FDDDF5C2"/>
    <w:rsid w:val="FDDFA4AB"/>
    <w:rsid w:val="FDEFBF66"/>
    <w:rsid w:val="FDF35D24"/>
    <w:rsid w:val="FDF395EB"/>
    <w:rsid w:val="FDFC3AA0"/>
    <w:rsid w:val="FDFD10F6"/>
    <w:rsid w:val="FDFF59C1"/>
    <w:rsid w:val="FDFFCA94"/>
    <w:rsid w:val="FE338E85"/>
    <w:rsid w:val="FE3FD118"/>
    <w:rsid w:val="FE67C25F"/>
    <w:rsid w:val="FE6B3BC3"/>
    <w:rsid w:val="FE750BD9"/>
    <w:rsid w:val="FE7F5B14"/>
    <w:rsid w:val="FE8D595B"/>
    <w:rsid w:val="FE9DF3B9"/>
    <w:rsid w:val="FE9F0C3A"/>
    <w:rsid w:val="FEAE327D"/>
    <w:rsid w:val="FEBEC306"/>
    <w:rsid w:val="FEBF51F1"/>
    <w:rsid w:val="FEBF737C"/>
    <w:rsid w:val="FECEF290"/>
    <w:rsid w:val="FEE2F409"/>
    <w:rsid w:val="FEEA5E38"/>
    <w:rsid w:val="FEEFC8B7"/>
    <w:rsid w:val="FEF3DCEF"/>
    <w:rsid w:val="FEFAE89C"/>
    <w:rsid w:val="FEFCBCB7"/>
    <w:rsid w:val="FEFD4C07"/>
    <w:rsid w:val="FEFEA571"/>
    <w:rsid w:val="FEFF1900"/>
    <w:rsid w:val="FEFFA7E9"/>
    <w:rsid w:val="FF1E947C"/>
    <w:rsid w:val="FF2DF542"/>
    <w:rsid w:val="FF2FFCCB"/>
    <w:rsid w:val="FF399A02"/>
    <w:rsid w:val="FF3F79F4"/>
    <w:rsid w:val="FF3FDBF9"/>
    <w:rsid w:val="FF5F6BA7"/>
    <w:rsid w:val="FF5FD986"/>
    <w:rsid w:val="FF7B29CE"/>
    <w:rsid w:val="FF7B61A4"/>
    <w:rsid w:val="FF7BE334"/>
    <w:rsid w:val="FF7C270D"/>
    <w:rsid w:val="FF7C4473"/>
    <w:rsid w:val="FF7E4600"/>
    <w:rsid w:val="FF7E465A"/>
    <w:rsid w:val="FF7F2989"/>
    <w:rsid w:val="FF7F4320"/>
    <w:rsid w:val="FF9D432F"/>
    <w:rsid w:val="FF9DFAFF"/>
    <w:rsid w:val="FF9E62BE"/>
    <w:rsid w:val="FFABF58C"/>
    <w:rsid w:val="FFADAC5C"/>
    <w:rsid w:val="FFB6B2B6"/>
    <w:rsid w:val="FFBC8A12"/>
    <w:rsid w:val="FFBE3F50"/>
    <w:rsid w:val="FFBE5CDC"/>
    <w:rsid w:val="FFBEC6C0"/>
    <w:rsid w:val="FFBFAFC6"/>
    <w:rsid w:val="FFD1785F"/>
    <w:rsid w:val="FFD399AB"/>
    <w:rsid w:val="FFD498CD"/>
    <w:rsid w:val="FFD6FE5D"/>
    <w:rsid w:val="FFD76004"/>
    <w:rsid w:val="FFD76C40"/>
    <w:rsid w:val="FFD93F20"/>
    <w:rsid w:val="FFD9E2BB"/>
    <w:rsid w:val="FFDF60DB"/>
    <w:rsid w:val="FFDF9830"/>
    <w:rsid w:val="FFE2260E"/>
    <w:rsid w:val="FFE30E15"/>
    <w:rsid w:val="FFE5A16B"/>
    <w:rsid w:val="FFE7EF9B"/>
    <w:rsid w:val="FFEBCC2E"/>
    <w:rsid w:val="FFEED691"/>
    <w:rsid w:val="FFEF96DA"/>
    <w:rsid w:val="FFEFC0F6"/>
    <w:rsid w:val="FFF1DCD0"/>
    <w:rsid w:val="FFF30648"/>
    <w:rsid w:val="FFF53446"/>
    <w:rsid w:val="FFF6CE3B"/>
    <w:rsid w:val="FFF74BF0"/>
    <w:rsid w:val="FFF7CDC7"/>
    <w:rsid w:val="FFF93DEA"/>
    <w:rsid w:val="FFF9601F"/>
    <w:rsid w:val="FFF97700"/>
    <w:rsid w:val="FFF9E5D4"/>
    <w:rsid w:val="FFFB1F1C"/>
    <w:rsid w:val="FFFB5899"/>
    <w:rsid w:val="FFFC678B"/>
    <w:rsid w:val="FFFCB7FE"/>
    <w:rsid w:val="FFFF01FD"/>
    <w:rsid w:val="FFFF0EB9"/>
    <w:rsid w:val="FFFF4B9B"/>
    <w:rsid w:val="FFFF4D1A"/>
    <w:rsid w:val="FFFF6AF4"/>
    <w:rsid w:val="FFFFAA73"/>
    <w:rsid w:val="FFFFE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1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560" w:firstLineChars="200"/>
    </w:pPr>
    <w:rPr>
      <w:rFonts w:ascii="仿宋" w:hAnsi="仿宋" w:eastAsia="仿宋" w:cs="Times New Roman"/>
      <w:kern w:val="2"/>
      <w:sz w:val="28"/>
      <w:szCs w:val="28"/>
      <w:lang w:val="en-US" w:eastAsia="zh-CN" w:bidi="ar-SA"/>
    </w:rPr>
  </w:style>
  <w:style w:type="paragraph" w:styleId="2">
    <w:name w:val="heading 1"/>
    <w:basedOn w:val="1"/>
    <w:next w:val="3"/>
    <w:link w:val="44"/>
    <w:qFormat/>
    <w:uiPriority w:val="7"/>
    <w:pPr>
      <w:numPr>
        <w:ilvl w:val="0"/>
        <w:numId w:val="1"/>
      </w:numPr>
      <w:ind w:firstLineChars="0"/>
      <w:outlineLvl w:val="0"/>
    </w:pPr>
    <w:rPr>
      <w:rFonts w:ascii="黑体" w:eastAsia="黑体"/>
      <w:bCs/>
      <w:kern w:val="44"/>
      <w:sz w:val="36"/>
      <w:szCs w:val="36"/>
    </w:rPr>
  </w:style>
  <w:style w:type="paragraph" w:styleId="3">
    <w:name w:val="heading 2"/>
    <w:basedOn w:val="1"/>
    <w:next w:val="1"/>
    <w:link w:val="45"/>
    <w:qFormat/>
    <w:uiPriority w:val="8"/>
    <w:pPr>
      <w:numPr>
        <w:ilvl w:val="1"/>
        <w:numId w:val="1"/>
      </w:numPr>
      <w:ind w:firstLineChars="0"/>
      <w:outlineLvl w:val="1"/>
    </w:pPr>
    <w:rPr>
      <w:rFonts w:ascii="宋体" w:hAnsi="宋体" w:eastAsia="宋体"/>
      <w:b/>
      <w:bCs/>
      <w:sz w:val="32"/>
      <w:szCs w:val="32"/>
    </w:rPr>
  </w:style>
  <w:style w:type="paragraph" w:styleId="4">
    <w:name w:val="heading 3"/>
    <w:basedOn w:val="1"/>
    <w:next w:val="1"/>
    <w:link w:val="46"/>
    <w:qFormat/>
    <w:uiPriority w:val="9"/>
    <w:pPr>
      <w:numPr>
        <w:ilvl w:val="2"/>
        <w:numId w:val="1"/>
      </w:numPr>
      <w:ind w:firstLine="0" w:firstLineChars="0"/>
      <w:outlineLvl w:val="2"/>
    </w:pPr>
    <w:rPr>
      <w:rFonts w:ascii="楷体" w:hAnsi="楷体" w:eastAsia="楷体"/>
      <w:b/>
      <w:bCs/>
      <w:sz w:val="30"/>
      <w:szCs w:val="30"/>
    </w:rPr>
  </w:style>
  <w:style w:type="paragraph" w:styleId="5">
    <w:name w:val="heading 4"/>
    <w:basedOn w:val="1"/>
    <w:next w:val="1"/>
    <w:link w:val="47"/>
    <w:qFormat/>
    <w:uiPriority w:val="10"/>
    <w:pPr>
      <w:numPr>
        <w:ilvl w:val="3"/>
        <w:numId w:val="1"/>
      </w:numPr>
      <w:ind w:firstLineChars="0"/>
      <w:outlineLvl w:val="3"/>
    </w:pPr>
    <w:rPr>
      <w:b/>
      <w:bCs/>
    </w:rPr>
  </w:style>
  <w:style w:type="paragraph" w:styleId="6">
    <w:name w:val="heading 5"/>
    <w:basedOn w:val="1"/>
    <w:next w:val="1"/>
    <w:link w:val="48"/>
    <w:qFormat/>
    <w:uiPriority w:val="9"/>
    <w:pPr>
      <w:numPr>
        <w:ilvl w:val="4"/>
        <w:numId w:val="1"/>
      </w:numPr>
      <w:ind w:firstLine="0" w:firstLineChars="0"/>
      <w:outlineLvl w:val="4"/>
    </w:pPr>
    <w:rPr>
      <w:bCs/>
    </w:rPr>
  </w:style>
  <w:style w:type="paragraph" w:styleId="7">
    <w:name w:val="heading 6"/>
    <w:basedOn w:val="1"/>
    <w:next w:val="1"/>
    <w:link w:val="49"/>
    <w:qFormat/>
    <w:uiPriority w:val="9"/>
    <w:pPr>
      <w:numPr>
        <w:ilvl w:val="5"/>
        <w:numId w:val="1"/>
      </w:numPr>
      <w:ind w:firstLineChars="0"/>
      <w:outlineLvl w:val="5"/>
    </w:pPr>
    <w:rPr>
      <w:bCs/>
    </w:rPr>
  </w:style>
  <w:style w:type="paragraph" w:styleId="8">
    <w:name w:val="heading 7"/>
    <w:basedOn w:val="1"/>
    <w:next w:val="1"/>
    <w:link w:val="50"/>
    <w:qFormat/>
    <w:uiPriority w:val="9"/>
    <w:pPr>
      <w:numPr>
        <w:ilvl w:val="6"/>
        <w:numId w:val="1"/>
      </w:numPr>
      <w:ind w:firstLineChars="0"/>
      <w:outlineLvl w:val="6"/>
    </w:pPr>
    <w:rPr>
      <w:bCs/>
    </w:rPr>
  </w:style>
  <w:style w:type="paragraph" w:styleId="9">
    <w:name w:val="heading 8"/>
    <w:basedOn w:val="1"/>
    <w:next w:val="1"/>
    <w:link w:val="51"/>
    <w:qFormat/>
    <w:uiPriority w:val="0"/>
    <w:pPr>
      <w:numPr>
        <w:ilvl w:val="7"/>
        <w:numId w:val="1"/>
      </w:numPr>
      <w:ind w:firstLineChars="0"/>
      <w:outlineLvl w:val="7"/>
    </w:pPr>
    <w:rPr>
      <w:rFonts w:ascii="仿宋_GB2312" w:hAnsi="Arial"/>
    </w:rPr>
  </w:style>
  <w:style w:type="paragraph" w:styleId="10">
    <w:name w:val="heading 9"/>
    <w:basedOn w:val="1"/>
    <w:next w:val="1"/>
    <w:link w:val="52"/>
    <w:qFormat/>
    <w:uiPriority w:val="0"/>
    <w:pPr>
      <w:numPr>
        <w:ilvl w:val="8"/>
        <w:numId w:val="1"/>
      </w:numPr>
      <w:ind w:firstLineChars="0"/>
      <w:outlineLvl w:val="8"/>
    </w:p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680"/>
    </w:pPr>
    <w:rPr>
      <w:rFonts w:ascii="Calibri" w:hAnsi="Calibri"/>
      <w:sz w:val="18"/>
      <w:szCs w:val="18"/>
    </w:rPr>
  </w:style>
  <w:style w:type="paragraph" w:styleId="12">
    <w:name w:val="Normal Indent"/>
    <w:basedOn w:val="1"/>
    <w:link w:val="66"/>
    <w:qFormat/>
    <w:uiPriority w:val="0"/>
    <w:pPr>
      <w:ind w:firstLine="420" w:firstLineChars="0"/>
      <w:jc w:val="both"/>
    </w:pPr>
    <w:rPr>
      <w:rFonts w:ascii="Calibri" w:hAnsi="Calibri" w:eastAsia="宋体"/>
      <w:snapToGrid w:val="0"/>
      <w:kern w:val="0"/>
      <w:sz w:val="21"/>
      <w:szCs w:val="20"/>
    </w:rPr>
  </w:style>
  <w:style w:type="paragraph" w:styleId="13">
    <w:name w:val="List Bullet"/>
    <w:basedOn w:val="1"/>
    <w:unhideWhenUsed/>
    <w:qFormat/>
    <w:uiPriority w:val="0"/>
    <w:pPr>
      <w:numPr>
        <w:ilvl w:val="0"/>
        <w:numId w:val="2"/>
      </w:numPr>
      <w:contextualSpacing/>
      <w:jc w:val="both"/>
    </w:pPr>
    <w:rPr>
      <w:rFonts w:ascii="Calibri" w:hAnsi="Calibri" w:eastAsia="宋体"/>
      <w:sz w:val="24"/>
      <w:szCs w:val="22"/>
    </w:rPr>
  </w:style>
  <w:style w:type="paragraph" w:styleId="14">
    <w:name w:val="Document Map"/>
    <w:basedOn w:val="1"/>
    <w:link w:val="55"/>
    <w:semiHidden/>
    <w:qFormat/>
    <w:uiPriority w:val="99"/>
    <w:pPr>
      <w:shd w:val="clear" w:color="auto" w:fill="000080"/>
    </w:pPr>
  </w:style>
  <w:style w:type="paragraph" w:styleId="15">
    <w:name w:val="annotation text"/>
    <w:basedOn w:val="1"/>
    <w:link w:val="74"/>
    <w:semiHidden/>
    <w:qFormat/>
    <w:uiPriority w:val="99"/>
    <w:pPr>
      <w:ind w:firstLine="0" w:firstLineChars="0"/>
    </w:pPr>
    <w:rPr>
      <w:rFonts w:ascii="Calibri" w:hAnsi="Calibri" w:eastAsia="宋体"/>
      <w:sz w:val="24"/>
    </w:rPr>
  </w:style>
  <w:style w:type="paragraph" w:styleId="16">
    <w:name w:val="Body Text"/>
    <w:basedOn w:val="1"/>
    <w:link w:val="68"/>
    <w:unhideWhenUsed/>
    <w:qFormat/>
    <w:uiPriority w:val="0"/>
    <w:pPr>
      <w:spacing w:after="120"/>
      <w:ind w:firstLine="0" w:firstLineChars="0"/>
      <w:jc w:val="both"/>
    </w:pPr>
    <w:rPr>
      <w:rFonts w:ascii="Calibri" w:hAnsi="Calibri" w:eastAsia="宋体"/>
      <w:sz w:val="24"/>
    </w:rPr>
  </w:style>
  <w:style w:type="paragraph" w:styleId="17">
    <w:name w:val="Body Text Indent"/>
    <w:basedOn w:val="1"/>
    <w:link w:val="69"/>
    <w:unhideWhenUsed/>
    <w:qFormat/>
    <w:uiPriority w:val="0"/>
    <w:pPr>
      <w:spacing w:after="120"/>
      <w:ind w:left="420" w:leftChars="200" w:firstLine="0" w:firstLineChars="0"/>
      <w:jc w:val="both"/>
    </w:pPr>
    <w:rPr>
      <w:rFonts w:ascii="Calibri" w:hAnsi="Calibri" w:eastAsia="宋体"/>
      <w:sz w:val="24"/>
    </w:rPr>
  </w:style>
  <w:style w:type="paragraph" w:styleId="18">
    <w:name w:val="toc 5"/>
    <w:basedOn w:val="1"/>
    <w:next w:val="1"/>
    <w:unhideWhenUsed/>
    <w:qFormat/>
    <w:uiPriority w:val="39"/>
    <w:pPr>
      <w:ind w:left="1120"/>
    </w:pPr>
    <w:rPr>
      <w:rFonts w:ascii="Calibri" w:hAnsi="Calibri"/>
      <w:sz w:val="18"/>
      <w:szCs w:val="18"/>
    </w:rPr>
  </w:style>
  <w:style w:type="paragraph" w:styleId="19">
    <w:name w:val="toc 3"/>
    <w:basedOn w:val="1"/>
    <w:next w:val="1"/>
    <w:unhideWhenUsed/>
    <w:qFormat/>
    <w:uiPriority w:val="39"/>
    <w:pPr>
      <w:ind w:left="560"/>
    </w:pPr>
    <w:rPr>
      <w:rFonts w:ascii="Calibri" w:hAnsi="Calibri"/>
      <w:i/>
      <w:iCs/>
      <w:sz w:val="20"/>
      <w:szCs w:val="20"/>
    </w:rPr>
  </w:style>
  <w:style w:type="paragraph" w:styleId="20">
    <w:name w:val="Plain Text"/>
    <w:basedOn w:val="1"/>
    <w:link w:val="65"/>
    <w:qFormat/>
    <w:uiPriority w:val="0"/>
    <w:pPr>
      <w:ind w:firstLine="0" w:firstLineChars="0"/>
      <w:jc w:val="both"/>
    </w:pPr>
    <w:rPr>
      <w:rFonts w:ascii="宋体" w:hAnsi="Courier New" w:eastAsia="宋体" w:cs="Courier New"/>
      <w:sz w:val="21"/>
      <w:szCs w:val="21"/>
    </w:rPr>
  </w:style>
  <w:style w:type="paragraph" w:styleId="21">
    <w:name w:val="toc 8"/>
    <w:basedOn w:val="1"/>
    <w:next w:val="1"/>
    <w:unhideWhenUsed/>
    <w:qFormat/>
    <w:uiPriority w:val="39"/>
    <w:pPr>
      <w:ind w:left="1960"/>
    </w:pPr>
    <w:rPr>
      <w:rFonts w:ascii="Calibri" w:hAnsi="Calibri"/>
      <w:sz w:val="18"/>
      <w:szCs w:val="18"/>
    </w:rPr>
  </w:style>
  <w:style w:type="paragraph" w:styleId="22">
    <w:name w:val="Date"/>
    <w:basedOn w:val="1"/>
    <w:next w:val="1"/>
    <w:link w:val="61"/>
    <w:qFormat/>
    <w:uiPriority w:val="0"/>
    <w:pPr>
      <w:ind w:left="100" w:leftChars="2500" w:firstLine="0" w:firstLineChars="0"/>
      <w:jc w:val="both"/>
    </w:pPr>
    <w:rPr>
      <w:rFonts w:ascii="Calibri" w:hAnsi="Calibri" w:eastAsia="宋体"/>
      <w:sz w:val="24"/>
    </w:rPr>
  </w:style>
  <w:style w:type="paragraph" w:styleId="23">
    <w:name w:val="Body Text Indent 2"/>
    <w:basedOn w:val="1"/>
    <w:link w:val="84"/>
    <w:unhideWhenUsed/>
    <w:qFormat/>
    <w:uiPriority w:val="99"/>
    <w:pPr>
      <w:spacing w:after="120" w:line="480" w:lineRule="auto"/>
      <w:ind w:left="420" w:leftChars="200" w:firstLine="0" w:firstLineChars="0"/>
      <w:jc w:val="both"/>
    </w:pPr>
    <w:rPr>
      <w:rFonts w:ascii="Calibri" w:hAnsi="Calibri" w:eastAsia="宋体"/>
      <w:sz w:val="21"/>
      <w:szCs w:val="22"/>
    </w:rPr>
  </w:style>
  <w:style w:type="paragraph" w:styleId="24">
    <w:name w:val="Balloon Text"/>
    <w:basedOn w:val="1"/>
    <w:link w:val="56"/>
    <w:semiHidden/>
    <w:qFormat/>
    <w:uiPriority w:val="99"/>
    <w:rPr>
      <w:sz w:val="18"/>
      <w:szCs w:val="18"/>
    </w:rPr>
  </w:style>
  <w:style w:type="paragraph" w:styleId="25">
    <w:name w:val="footer"/>
    <w:basedOn w:val="1"/>
    <w:link w:val="57"/>
    <w:qFormat/>
    <w:uiPriority w:val="99"/>
    <w:pPr>
      <w:tabs>
        <w:tab w:val="center" w:pos="4153"/>
        <w:tab w:val="right" w:pos="8306"/>
      </w:tabs>
      <w:snapToGrid w:val="0"/>
      <w:ind w:firstLine="0" w:firstLineChars="0"/>
      <w:jc w:val="center"/>
    </w:pPr>
    <w:rPr>
      <w:rFonts w:ascii="宋体" w:hAnsi="宋体" w:eastAsia="宋体"/>
      <w:sz w:val="18"/>
      <w:szCs w:val="18"/>
    </w:rPr>
  </w:style>
  <w:style w:type="paragraph" w:styleId="26">
    <w:name w:val="header"/>
    <w:basedOn w:val="1"/>
    <w:link w:val="53"/>
    <w:qFormat/>
    <w:uiPriority w:val="99"/>
    <w:pPr>
      <w:pBdr>
        <w:bottom w:val="single" w:color="auto" w:sz="6" w:space="1"/>
      </w:pBdr>
      <w:tabs>
        <w:tab w:val="center" w:pos="4153"/>
        <w:tab w:val="right" w:pos="8306"/>
      </w:tabs>
      <w:snapToGrid w:val="0"/>
      <w:ind w:firstLine="0" w:firstLineChars="0"/>
      <w:jc w:val="center"/>
    </w:pPr>
    <w:rPr>
      <w:rFonts w:eastAsia="宋体"/>
      <w:sz w:val="18"/>
      <w:szCs w:val="18"/>
    </w:rPr>
  </w:style>
  <w:style w:type="paragraph" w:styleId="27">
    <w:name w:val="toc 1"/>
    <w:basedOn w:val="1"/>
    <w:next w:val="1"/>
    <w:qFormat/>
    <w:uiPriority w:val="39"/>
    <w:pPr>
      <w:spacing w:before="120" w:after="120"/>
    </w:pPr>
    <w:rPr>
      <w:rFonts w:ascii="Calibri" w:hAnsi="Calibri"/>
      <w:b/>
      <w:bCs/>
      <w:caps/>
      <w:sz w:val="20"/>
      <w:szCs w:val="20"/>
    </w:rPr>
  </w:style>
  <w:style w:type="paragraph" w:styleId="28">
    <w:name w:val="toc 4"/>
    <w:basedOn w:val="1"/>
    <w:next w:val="1"/>
    <w:unhideWhenUsed/>
    <w:qFormat/>
    <w:uiPriority w:val="39"/>
    <w:pPr>
      <w:ind w:left="840"/>
    </w:pPr>
    <w:rPr>
      <w:rFonts w:ascii="Calibri" w:hAnsi="Calibri"/>
      <w:sz w:val="18"/>
      <w:szCs w:val="18"/>
    </w:rPr>
  </w:style>
  <w:style w:type="paragraph" w:styleId="29">
    <w:name w:val="Subtitle"/>
    <w:basedOn w:val="1"/>
    <w:next w:val="1"/>
    <w:link w:val="58"/>
    <w:qFormat/>
    <w:uiPriority w:val="0"/>
    <w:pPr>
      <w:spacing w:before="240" w:after="60" w:line="312" w:lineRule="auto"/>
      <w:ind w:firstLine="643"/>
      <w:jc w:val="center"/>
      <w:outlineLvl w:val="1"/>
    </w:pPr>
    <w:rPr>
      <w:rFonts w:ascii="黑体" w:hAnsi="黑体" w:eastAsia="黑体"/>
      <w:b/>
      <w:bCs/>
      <w:kern w:val="28"/>
      <w:sz w:val="32"/>
      <w:szCs w:val="32"/>
    </w:rPr>
  </w:style>
  <w:style w:type="paragraph" w:styleId="30">
    <w:name w:val="toc 6"/>
    <w:basedOn w:val="1"/>
    <w:next w:val="1"/>
    <w:unhideWhenUsed/>
    <w:qFormat/>
    <w:uiPriority w:val="39"/>
    <w:pPr>
      <w:ind w:left="1400"/>
    </w:pPr>
    <w:rPr>
      <w:rFonts w:ascii="Calibri" w:hAnsi="Calibri"/>
      <w:sz w:val="18"/>
      <w:szCs w:val="18"/>
    </w:rPr>
  </w:style>
  <w:style w:type="paragraph" w:styleId="31">
    <w:name w:val="toc 2"/>
    <w:basedOn w:val="1"/>
    <w:next w:val="1"/>
    <w:qFormat/>
    <w:uiPriority w:val="39"/>
    <w:pPr>
      <w:ind w:left="280"/>
    </w:pPr>
    <w:rPr>
      <w:rFonts w:ascii="Calibri" w:hAnsi="Calibri"/>
      <w:smallCaps/>
      <w:sz w:val="20"/>
      <w:szCs w:val="20"/>
    </w:rPr>
  </w:style>
  <w:style w:type="paragraph" w:styleId="32">
    <w:name w:val="toc 9"/>
    <w:basedOn w:val="1"/>
    <w:next w:val="1"/>
    <w:unhideWhenUsed/>
    <w:qFormat/>
    <w:uiPriority w:val="39"/>
    <w:pPr>
      <w:ind w:left="2240"/>
    </w:pPr>
    <w:rPr>
      <w:rFonts w:ascii="Calibri" w:hAnsi="Calibri"/>
      <w:sz w:val="18"/>
      <w:szCs w:val="18"/>
    </w:rPr>
  </w:style>
  <w:style w:type="paragraph" w:styleId="33">
    <w:name w:val="Normal (Web)"/>
    <w:basedOn w:val="1"/>
    <w:qFormat/>
    <w:uiPriority w:val="99"/>
    <w:pPr>
      <w:widowControl/>
      <w:spacing w:before="100" w:beforeAutospacing="1" w:after="100" w:afterAutospacing="1"/>
      <w:ind w:firstLine="0" w:firstLineChars="0"/>
      <w:jc w:val="both"/>
    </w:pPr>
    <w:rPr>
      <w:rFonts w:ascii="宋体" w:hAnsi="宋体" w:eastAsia="宋体" w:cs="宋体"/>
      <w:kern w:val="0"/>
      <w:sz w:val="24"/>
    </w:rPr>
  </w:style>
  <w:style w:type="paragraph" w:styleId="34">
    <w:name w:val="Title"/>
    <w:basedOn w:val="1"/>
    <w:link w:val="54"/>
    <w:qFormat/>
    <w:uiPriority w:val="0"/>
    <w:pPr>
      <w:ind w:firstLine="0" w:firstLineChars="0"/>
      <w:jc w:val="center"/>
    </w:pPr>
    <w:rPr>
      <w:rFonts w:ascii="黑体" w:hAnsi="黑体" w:eastAsia="黑体" w:cs="宋体"/>
      <w:sz w:val="44"/>
      <w:szCs w:val="20"/>
    </w:rPr>
  </w:style>
  <w:style w:type="paragraph" w:styleId="35">
    <w:name w:val="annotation subject"/>
    <w:basedOn w:val="15"/>
    <w:next w:val="15"/>
    <w:link w:val="75"/>
    <w:semiHidden/>
    <w:qFormat/>
    <w:uiPriority w:val="99"/>
    <w:rPr>
      <w:b/>
      <w:bCs/>
    </w:rPr>
  </w:style>
  <w:style w:type="table" w:styleId="37">
    <w:name w:val="Table Grid"/>
    <w:basedOn w:val="36"/>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9">
    <w:name w:val="Strong"/>
    <w:qFormat/>
    <w:uiPriority w:val="22"/>
    <w:rPr>
      <w:b/>
      <w:bCs/>
    </w:rPr>
  </w:style>
  <w:style w:type="character" w:styleId="40">
    <w:name w:val="line number"/>
    <w:basedOn w:val="38"/>
    <w:qFormat/>
    <w:uiPriority w:val="0"/>
  </w:style>
  <w:style w:type="character" w:styleId="41">
    <w:name w:val="Hyperlink"/>
    <w:qFormat/>
    <w:uiPriority w:val="99"/>
    <w:rPr>
      <w:color w:val="auto"/>
      <w:u w:val="none"/>
    </w:rPr>
  </w:style>
  <w:style w:type="character" w:styleId="42">
    <w:name w:val="annotation reference"/>
    <w:semiHidden/>
    <w:qFormat/>
    <w:uiPriority w:val="99"/>
    <w:rPr>
      <w:sz w:val="21"/>
      <w:szCs w:val="21"/>
    </w:rPr>
  </w:style>
  <w:style w:type="paragraph" w:customStyle="1" w:styleId="43">
    <w:name w:val="@顶格文字"/>
    <w:basedOn w:val="1"/>
    <w:qFormat/>
    <w:uiPriority w:val="0"/>
    <w:pPr>
      <w:ind w:firstLine="0" w:firstLineChars="0"/>
    </w:pPr>
    <w:rPr>
      <w:rFonts w:cs="宋体"/>
      <w:szCs w:val="20"/>
    </w:rPr>
  </w:style>
  <w:style w:type="character" w:customStyle="1" w:styleId="44">
    <w:name w:val="标题 1 字符"/>
    <w:basedOn w:val="38"/>
    <w:link w:val="2"/>
    <w:qFormat/>
    <w:uiPriority w:val="7"/>
    <w:rPr>
      <w:rFonts w:ascii="黑体" w:hAnsi="仿宋" w:eastAsia="黑体" w:cs="Times New Roman"/>
      <w:bCs/>
      <w:kern w:val="44"/>
      <w:sz w:val="36"/>
      <w:szCs w:val="36"/>
    </w:rPr>
  </w:style>
  <w:style w:type="character" w:customStyle="1" w:styleId="45">
    <w:name w:val="标题 2 字符"/>
    <w:basedOn w:val="38"/>
    <w:link w:val="3"/>
    <w:qFormat/>
    <w:uiPriority w:val="8"/>
    <w:rPr>
      <w:rFonts w:ascii="宋体" w:hAnsi="宋体" w:eastAsia="宋体" w:cs="Times New Roman"/>
      <w:b/>
      <w:bCs/>
      <w:sz w:val="32"/>
      <w:szCs w:val="32"/>
    </w:rPr>
  </w:style>
  <w:style w:type="character" w:customStyle="1" w:styleId="46">
    <w:name w:val="标题 3 字符"/>
    <w:basedOn w:val="38"/>
    <w:link w:val="4"/>
    <w:qFormat/>
    <w:uiPriority w:val="9"/>
    <w:rPr>
      <w:rFonts w:ascii="楷体" w:hAnsi="楷体" w:eastAsia="楷体" w:cs="Times New Roman"/>
      <w:b/>
      <w:bCs/>
      <w:sz w:val="30"/>
      <w:szCs w:val="30"/>
    </w:rPr>
  </w:style>
  <w:style w:type="character" w:customStyle="1" w:styleId="47">
    <w:name w:val="标题 4 字符"/>
    <w:basedOn w:val="38"/>
    <w:link w:val="5"/>
    <w:qFormat/>
    <w:uiPriority w:val="10"/>
    <w:rPr>
      <w:rFonts w:ascii="仿宋" w:hAnsi="仿宋" w:eastAsia="仿宋" w:cs="Times New Roman"/>
      <w:b/>
      <w:bCs/>
      <w:sz w:val="28"/>
      <w:szCs w:val="28"/>
    </w:rPr>
  </w:style>
  <w:style w:type="character" w:customStyle="1" w:styleId="48">
    <w:name w:val="标题 5 字符"/>
    <w:basedOn w:val="38"/>
    <w:link w:val="6"/>
    <w:qFormat/>
    <w:uiPriority w:val="9"/>
    <w:rPr>
      <w:rFonts w:ascii="仿宋" w:hAnsi="仿宋" w:eastAsia="仿宋" w:cs="Times New Roman"/>
      <w:bCs/>
      <w:sz w:val="28"/>
      <w:szCs w:val="28"/>
    </w:rPr>
  </w:style>
  <w:style w:type="character" w:customStyle="1" w:styleId="49">
    <w:name w:val="标题 6 字符"/>
    <w:basedOn w:val="38"/>
    <w:link w:val="7"/>
    <w:qFormat/>
    <w:uiPriority w:val="9"/>
    <w:rPr>
      <w:rFonts w:ascii="仿宋" w:hAnsi="仿宋" w:eastAsia="仿宋" w:cs="Times New Roman"/>
      <w:bCs/>
      <w:sz w:val="28"/>
      <w:szCs w:val="28"/>
    </w:rPr>
  </w:style>
  <w:style w:type="character" w:customStyle="1" w:styleId="50">
    <w:name w:val="标题 7 字符"/>
    <w:basedOn w:val="38"/>
    <w:link w:val="8"/>
    <w:qFormat/>
    <w:uiPriority w:val="9"/>
    <w:rPr>
      <w:rFonts w:ascii="仿宋" w:hAnsi="仿宋" w:eastAsia="仿宋" w:cs="Times New Roman"/>
      <w:bCs/>
      <w:sz w:val="28"/>
      <w:szCs w:val="28"/>
    </w:rPr>
  </w:style>
  <w:style w:type="character" w:customStyle="1" w:styleId="51">
    <w:name w:val="标题 8 字符"/>
    <w:basedOn w:val="38"/>
    <w:link w:val="9"/>
    <w:qFormat/>
    <w:uiPriority w:val="0"/>
    <w:rPr>
      <w:rFonts w:ascii="仿宋_GB2312" w:hAnsi="Arial" w:eastAsia="仿宋" w:cs="Times New Roman"/>
      <w:sz w:val="28"/>
      <w:szCs w:val="28"/>
    </w:rPr>
  </w:style>
  <w:style w:type="character" w:customStyle="1" w:styleId="52">
    <w:name w:val="标题 9 字符"/>
    <w:basedOn w:val="38"/>
    <w:link w:val="10"/>
    <w:qFormat/>
    <w:uiPriority w:val="0"/>
    <w:rPr>
      <w:rFonts w:ascii="仿宋" w:hAnsi="仿宋" w:eastAsia="仿宋" w:cs="Times New Roman"/>
      <w:sz w:val="28"/>
      <w:szCs w:val="28"/>
    </w:rPr>
  </w:style>
  <w:style w:type="character" w:customStyle="1" w:styleId="53">
    <w:name w:val="页眉 字符"/>
    <w:basedOn w:val="38"/>
    <w:link w:val="26"/>
    <w:qFormat/>
    <w:uiPriority w:val="99"/>
    <w:rPr>
      <w:rFonts w:ascii="仿宋" w:hAnsi="仿宋" w:eastAsia="宋体" w:cs="Times New Roman"/>
      <w:sz w:val="18"/>
      <w:szCs w:val="18"/>
    </w:rPr>
  </w:style>
  <w:style w:type="character" w:customStyle="1" w:styleId="54">
    <w:name w:val="标题 字符"/>
    <w:basedOn w:val="38"/>
    <w:link w:val="34"/>
    <w:qFormat/>
    <w:uiPriority w:val="0"/>
    <w:rPr>
      <w:rFonts w:ascii="黑体" w:hAnsi="黑体" w:eastAsia="黑体" w:cs="宋体"/>
      <w:sz w:val="44"/>
      <w:szCs w:val="20"/>
    </w:rPr>
  </w:style>
  <w:style w:type="character" w:customStyle="1" w:styleId="55">
    <w:name w:val="文档结构图 字符"/>
    <w:basedOn w:val="38"/>
    <w:link w:val="14"/>
    <w:semiHidden/>
    <w:qFormat/>
    <w:uiPriority w:val="99"/>
    <w:rPr>
      <w:rFonts w:ascii="仿宋" w:hAnsi="仿宋" w:eastAsia="仿宋" w:cs="Times New Roman"/>
      <w:sz w:val="28"/>
      <w:szCs w:val="28"/>
      <w:shd w:val="clear" w:color="auto" w:fill="000080"/>
    </w:rPr>
  </w:style>
  <w:style w:type="character" w:customStyle="1" w:styleId="56">
    <w:name w:val="批注框文本 字符"/>
    <w:basedOn w:val="38"/>
    <w:link w:val="24"/>
    <w:semiHidden/>
    <w:qFormat/>
    <w:uiPriority w:val="99"/>
    <w:rPr>
      <w:rFonts w:ascii="仿宋" w:hAnsi="仿宋" w:eastAsia="仿宋" w:cs="Times New Roman"/>
      <w:sz w:val="18"/>
      <w:szCs w:val="18"/>
    </w:rPr>
  </w:style>
  <w:style w:type="character" w:customStyle="1" w:styleId="57">
    <w:name w:val="页脚 字符"/>
    <w:basedOn w:val="38"/>
    <w:link w:val="25"/>
    <w:qFormat/>
    <w:uiPriority w:val="99"/>
    <w:rPr>
      <w:rFonts w:ascii="宋体" w:hAnsi="宋体" w:eastAsia="宋体" w:cs="Times New Roman"/>
      <w:sz w:val="18"/>
      <w:szCs w:val="18"/>
    </w:rPr>
  </w:style>
  <w:style w:type="character" w:customStyle="1" w:styleId="58">
    <w:name w:val="副标题 字符"/>
    <w:basedOn w:val="38"/>
    <w:link w:val="29"/>
    <w:qFormat/>
    <w:uiPriority w:val="0"/>
    <w:rPr>
      <w:rFonts w:ascii="黑体" w:hAnsi="黑体" w:eastAsia="黑体" w:cs="Times New Roman"/>
      <w:b/>
      <w:bCs/>
      <w:kern w:val="28"/>
      <w:sz w:val="32"/>
      <w:szCs w:val="32"/>
    </w:rPr>
  </w:style>
  <w:style w:type="paragraph" w:customStyle="1" w:styleId="59">
    <w:name w:val="@正文"/>
    <w:basedOn w:val="1"/>
    <w:link w:val="60"/>
    <w:qFormat/>
    <w:uiPriority w:val="0"/>
  </w:style>
  <w:style w:type="character" w:customStyle="1" w:styleId="60">
    <w:name w:val="@正文 Char"/>
    <w:link w:val="59"/>
    <w:qFormat/>
    <w:uiPriority w:val="0"/>
    <w:rPr>
      <w:rFonts w:ascii="仿宋" w:hAnsi="仿宋" w:eastAsia="仿宋" w:cs="Times New Roman"/>
      <w:sz w:val="28"/>
      <w:szCs w:val="28"/>
    </w:rPr>
  </w:style>
  <w:style w:type="character" w:customStyle="1" w:styleId="61">
    <w:name w:val="日期 字符"/>
    <w:basedOn w:val="38"/>
    <w:link w:val="22"/>
    <w:qFormat/>
    <w:uiPriority w:val="0"/>
    <w:rPr>
      <w:rFonts w:ascii="Calibri" w:hAnsi="Calibri" w:eastAsia="宋体" w:cs="Times New Roman"/>
      <w:sz w:val="24"/>
      <w:szCs w:val="28"/>
    </w:rPr>
  </w:style>
  <w:style w:type="paragraph" w:customStyle="1" w:styleId="62">
    <w:name w:val="TOC 标题1"/>
    <w:basedOn w:val="2"/>
    <w:next w:val="1"/>
    <w:qFormat/>
    <w:uiPriority w:val="39"/>
    <w:pPr>
      <w:keepNext/>
      <w:keepLines/>
      <w:widowControl/>
      <w:numPr>
        <w:numId w:val="0"/>
      </w:numPr>
      <w:spacing w:before="480" w:line="276" w:lineRule="auto"/>
      <w:outlineLvl w:val="9"/>
    </w:pPr>
    <w:rPr>
      <w:rFonts w:ascii="Cambria" w:hAnsi="Cambria" w:eastAsia="宋体"/>
      <w:b/>
      <w:color w:val="365F91"/>
      <w:kern w:val="0"/>
      <w:sz w:val="28"/>
      <w:szCs w:val="28"/>
    </w:rPr>
  </w:style>
  <w:style w:type="paragraph" w:styleId="63">
    <w:name w:val="List Paragraph"/>
    <w:basedOn w:val="1"/>
    <w:qFormat/>
    <w:uiPriority w:val="34"/>
    <w:pPr>
      <w:ind w:firstLine="420"/>
      <w:jc w:val="both"/>
    </w:pPr>
    <w:rPr>
      <w:rFonts w:ascii="Calibri" w:hAnsi="Calibri" w:eastAsia="宋体"/>
      <w:sz w:val="24"/>
    </w:rPr>
  </w:style>
  <w:style w:type="paragraph" w:customStyle="1" w:styleId="64">
    <w:name w:val="Default Text"/>
    <w:basedOn w:val="1"/>
    <w:qFormat/>
    <w:uiPriority w:val="0"/>
    <w:pPr>
      <w:widowControl/>
      <w:overflowPunct w:val="0"/>
      <w:autoSpaceDE w:val="0"/>
      <w:autoSpaceDN w:val="0"/>
      <w:adjustRightInd w:val="0"/>
      <w:ind w:firstLine="0" w:firstLineChars="0"/>
      <w:jc w:val="both"/>
      <w:textAlignment w:val="baseline"/>
    </w:pPr>
    <w:rPr>
      <w:rFonts w:ascii="Calibri" w:hAnsi="Calibri" w:eastAsia="宋体"/>
      <w:kern w:val="0"/>
      <w:sz w:val="24"/>
      <w:lang w:eastAsia="en-US"/>
    </w:rPr>
  </w:style>
  <w:style w:type="character" w:customStyle="1" w:styleId="65">
    <w:name w:val="纯文本 字符"/>
    <w:basedOn w:val="38"/>
    <w:link w:val="20"/>
    <w:qFormat/>
    <w:uiPriority w:val="0"/>
    <w:rPr>
      <w:rFonts w:ascii="宋体" w:hAnsi="Courier New" w:eastAsia="宋体" w:cs="Courier New"/>
      <w:szCs w:val="21"/>
    </w:rPr>
  </w:style>
  <w:style w:type="character" w:customStyle="1" w:styleId="66">
    <w:name w:val="正文缩进 字符"/>
    <w:link w:val="12"/>
    <w:qFormat/>
    <w:uiPriority w:val="0"/>
    <w:rPr>
      <w:rFonts w:ascii="Calibri" w:hAnsi="Calibri" w:eastAsia="宋体" w:cs="Times New Roman"/>
      <w:snapToGrid w:val="0"/>
      <w:kern w:val="0"/>
      <w:szCs w:val="20"/>
    </w:rPr>
  </w:style>
  <w:style w:type="paragraph" w:customStyle="1" w:styleId="67">
    <w:name w:val="样式 正文文字 + 宋体 四号 首行缩进:  0.95 厘米"/>
    <w:basedOn w:val="16"/>
    <w:qFormat/>
    <w:uiPriority w:val="0"/>
    <w:pPr>
      <w:spacing w:after="0"/>
      <w:ind w:firstLine="539"/>
    </w:pPr>
    <w:rPr>
      <w:rFonts w:ascii="宋体" w:hAnsi="宋体" w:cs="宋体"/>
      <w:color w:val="000000"/>
      <w:szCs w:val="20"/>
    </w:rPr>
  </w:style>
  <w:style w:type="character" w:customStyle="1" w:styleId="68">
    <w:name w:val="正文文本 字符"/>
    <w:basedOn w:val="38"/>
    <w:link w:val="16"/>
    <w:qFormat/>
    <w:uiPriority w:val="0"/>
    <w:rPr>
      <w:rFonts w:ascii="Calibri" w:hAnsi="Calibri" w:eastAsia="宋体" w:cs="Times New Roman"/>
      <w:sz w:val="24"/>
      <w:szCs w:val="28"/>
    </w:rPr>
  </w:style>
  <w:style w:type="character" w:customStyle="1" w:styleId="69">
    <w:name w:val="正文文本缩进 字符"/>
    <w:basedOn w:val="38"/>
    <w:link w:val="17"/>
    <w:qFormat/>
    <w:uiPriority w:val="0"/>
    <w:rPr>
      <w:rFonts w:ascii="Calibri" w:hAnsi="Calibri" w:eastAsia="宋体" w:cs="Times New Roman"/>
      <w:sz w:val="24"/>
      <w:szCs w:val="28"/>
    </w:rPr>
  </w:style>
  <w:style w:type="character" w:customStyle="1" w:styleId="70">
    <w:name w:val="DeltaView Insertion"/>
    <w:qFormat/>
    <w:uiPriority w:val="0"/>
  </w:style>
  <w:style w:type="paragraph" w:customStyle="1" w:styleId="71">
    <w:name w:val="_Style 2"/>
    <w:qFormat/>
    <w:uiPriority w:val="1"/>
    <w:pPr>
      <w:widowControl w:val="0"/>
      <w:jc w:val="both"/>
    </w:pPr>
    <w:rPr>
      <w:rFonts w:ascii="Times New Roman" w:hAnsi="Times New Roman" w:eastAsia="宋体" w:cs="Times New Roman"/>
      <w:kern w:val="2"/>
      <w:sz w:val="21"/>
      <w:szCs w:val="22"/>
      <w:lang w:val="en-US" w:eastAsia="zh-CN" w:bidi="ar-SA"/>
    </w:rPr>
  </w:style>
  <w:style w:type="paragraph" w:customStyle="1" w:styleId="72">
    <w:name w:val="修订1"/>
    <w:hidden/>
    <w:semiHidden/>
    <w:qFormat/>
    <w:uiPriority w:val="99"/>
    <w:rPr>
      <w:rFonts w:ascii="Calibri" w:hAnsi="Calibri" w:eastAsia="宋体" w:cs="Times New Roman"/>
      <w:kern w:val="2"/>
      <w:sz w:val="24"/>
      <w:szCs w:val="24"/>
      <w:lang w:val="en-US" w:eastAsia="zh-CN" w:bidi="ar-SA"/>
    </w:rPr>
  </w:style>
  <w:style w:type="paragraph" w:customStyle="1" w:styleId="73">
    <w:name w:val="Char"/>
    <w:basedOn w:val="1"/>
    <w:qFormat/>
    <w:uiPriority w:val="0"/>
    <w:pPr>
      <w:widowControl/>
      <w:spacing w:after="160" w:line="240" w:lineRule="exact"/>
      <w:ind w:firstLine="0" w:firstLineChars="0"/>
    </w:pPr>
    <w:rPr>
      <w:rFonts w:ascii="Verdana" w:hAnsi="Verdana" w:eastAsia="宋体"/>
      <w:kern w:val="0"/>
      <w:sz w:val="20"/>
      <w:szCs w:val="20"/>
      <w:lang w:eastAsia="en-US"/>
    </w:rPr>
  </w:style>
  <w:style w:type="character" w:customStyle="1" w:styleId="74">
    <w:name w:val="批注文字 字符"/>
    <w:basedOn w:val="38"/>
    <w:link w:val="15"/>
    <w:semiHidden/>
    <w:qFormat/>
    <w:uiPriority w:val="99"/>
    <w:rPr>
      <w:rFonts w:ascii="Calibri" w:hAnsi="Calibri" w:eastAsia="宋体" w:cs="Times New Roman"/>
      <w:sz w:val="24"/>
      <w:szCs w:val="28"/>
    </w:rPr>
  </w:style>
  <w:style w:type="character" w:customStyle="1" w:styleId="75">
    <w:name w:val="批注主题 字符"/>
    <w:basedOn w:val="74"/>
    <w:link w:val="35"/>
    <w:semiHidden/>
    <w:qFormat/>
    <w:uiPriority w:val="99"/>
    <w:rPr>
      <w:rFonts w:ascii="Calibri" w:hAnsi="Calibri" w:eastAsia="宋体" w:cs="Times New Roman"/>
      <w:b/>
      <w:bCs/>
      <w:sz w:val="24"/>
      <w:szCs w:val="28"/>
    </w:rPr>
  </w:style>
  <w:style w:type="paragraph" w:customStyle="1" w:styleId="76">
    <w:name w:val="TOC 标题11"/>
    <w:basedOn w:val="2"/>
    <w:next w:val="1"/>
    <w:unhideWhenUsed/>
    <w:qFormat/>
    <w:uiPriority w:val="39"/>
    <w:pPr>
      <w:keepNext/>
      <w:keepLines/>
      <w:pageBreakBefore/>
      <w:widowControl/>
      <w:numPr>
        <w:numId w:val="0"/>
      </w:numPr>
      <w:spacing w:before="240" w:after="330" w:line="259" w:lineRule="auto"/>
      <w:jc w:val="both"/>
      <w:outlineLvl w:val="9"/>
    </w:pPr>
    <w:rPr>
      <w:rFonts w:ascii="Cambria" w:hAnsi="Cambria" w:eastAsia="宋体"/>
      <w:b/>
      <w:bCs w:val="0"/>
      <w:color w:val="365F91"/>
      <w:kern w:val="0"/>
      <w:sz w:val="32"/>
      <w:szCs w:val="32"/>
    </w:rPr>
  </w:style>
  <w:style w:type="paragraph" w:customStyle="1" w:styleId="77">
    <w:name w:val="列出段落1"/>
    <w:basedOn w:val="1"/>
    <w:qFormat/>
    <w:uiPriority w:val="34"/>
    <w:pPr>
      <w:ind w:firstLine="420" w:firstLineChars="0"/>
      <w:jc w:val="both"/>
    </w:pPr>
    <w:rPr>
      <w:rFonts w:ascii="Calibri" w:hAnsi="Calibri" w:eastAsia="宋体"/>
      <w:sz w:val="24"/>
    </w:rPr>
  </w:style>
  <w:style w:type="character" w:customStyle="1" w:styleId="78">
    <w:name w:val="批注文字 Char1"/>
    <w:semiHidden/>
    <w:qFormat/>
    <w:uiPriority w:val="0"/>
    <w:rPr>
      <w:rFonts w:eastAsia="仿宋_GB2312"/>
      <w:kern w:val="2"/>
      <w:sz w:val="28"/>
      <w:szCs w:val="24"/>
    </w:rPr>
  </w:style>
  <w:style w:type="character" w:customStyle="1" w:styleId="79">
    <w:name w:val="apple-converted-space"/>
    <w:basedOn w:val="38"/>
    <w:qFormat/>
    <w:uiPriority w:val="0"/>
  </w:style>
  <w:style w:type="paragraph" w:customStyle="1" w:styleId="80">
    <w:name w:val="默认段落字体 Para Char"/>
    <w:basedOn w:val="1"/>
    <w:semiHidden/>
    <w:qFormat/>
    <w:uiPriority w:val="0"/>
    <w:pPr>
      <w:numPr>
        <w:ilvl w:val="0"/>
        <w:numId w:val="3"/>
      </w:numPr>
      <w:tabs>
        <w:tab w:val="left" w:pos="360"/>
      </w:tabs>
      <w:ind w:firstLine="0" w:firstLineChars="0"/>
      <w:jc w:val="both"/>
    </w:pPr>
    <w:rPr>
      <w:rFonts w:ascii="Calibri" w:hAnsi="Calibri" w:eastAsia="宋体"/>
      <w:sz w:val="24"/>
    </w:rPr>
  </w:style>
  <w:style w:type="paragraph" w:customStyle="1" w:styleId="81">
    <w:name w:val="样式 标题 2H2H21H22H23H24H25H26H27H28H29H210H211H212H2..."/>
    <w:basedOn w:val="3"/>
    <w:qFormat/>
    <w:uiPriority w:val="0"/>
    <w:pPr>
      <w:keepNext/>
      <w:keepLines/>
      <w:numPr>
        <w:numId w:val="3"/>
      </w:numPr>
      <w:spacing w:after="100" w:afterAutospacing="1"/>
      <w:ind w:left="360" w:right="100" w:hanging="360"/>
      <w:jc w:val="both"/>
    </w:pPr>
    <w:rPr>
      <w:rFonts w:ascii="Arial" w:hAnsi="Arial" w:cs="宋体"/>
      <w:sz w:val="28"/>
      <w:szCs w:val="20"/>
    </w:rPr>
  </w:style>
  <w:style w:type="paragraph" w:customStyle="1" w:styleId="82">
    <w:name w:val="GDB样式标题3"/>
    <w:basedOn w:val="4"/>
    <w:qFormat/>
    <w:uiPriority w:val="0"/>
    <w:pPr>
      <w:keepNext/>
      <w:keepLines/>
      <w:numPr>
        <w:numId w:val="3"/>
      </w:numPr>
      <w:tabs>
        <w:tab w:val="left" w:pos="1620"/>
      </w:tabs>
      <w:autoSpaceDE w:val="0"/>
      <w:autoSpaceDN w:val="0"/>
      <w:adjustRightInd w:val="0"/>
      <w:snapToGrid w:val="0"/>
      <w:spacing w:beforeLines="100" w:afterLines="100" w:line="240" w:lineRule="auto"/>
      <w:ind w:left="2100" w:hanging="360"/>
      <w:jc w:val="both"/>
    </w:pPr>
    <w:rPr>
      <w:rFonts w:ascii="宋体" w:hAnsi="宋体" w:eastAsia="宋体"/>
      <w:bCs w:val="0"/>
      <w:sz w:val="28"/>
      <w:szCs w:val="28"/>
    </w:rPr>
  </w:style>
  <w:style w:type="paragraph" w:customStyle="1" w:styleId="83">
    <w:name w:val="GDB样式 标题 4"/>
    <w:basedOn w:val="5"/>
    <w:qFormat/>
    <w:uiPriority w:val="0"/>
    <w:pPr>
      <w:keepNext/>
      <w:keepLines/>
      <w:numPr>
        <w:numId w:val="3"/>
      </w:numPr>
      <w:tabs>
        <w:tab w:val="left" w:pos="1800"/>
      </w:tabs>
      <w:adjustRightInd w:val="0"/>
      <w:snapToGrid w:val="0"/>
      <w:spacing w:before="280" w:after="290"/>
      <w:ind w:left="1800" w:hanging="540"/>
      <w:jc w:val="both"/>
    </w:pPr>
    <w:rPr>
      <w:rFonts w:ascii="Arial" w:hAnsi="Cambria" w:eastAsia="宋体" w:cs="宋体"/>
      <w:b w:val="0"/>
      <w:bCs w:val="0"/>
      <w:kern w:val="0"/>
      <w:sz w:val="24"/>
    </w:rPr>
  </w:style>
  <w:style w:type="character" w:customStyle="1" w:styleId="84">
    <w:name w:val="正文文本缩进 2 字符"/>
    <w:basedOn w:val="38"/>
    <w:link w:val="23"/>
    <w:qFormat/>
    <w:uiPriority w:val="99"/>
    <w:rPr>
      <w:rFonts w:ascii="Calibri" w:hAnsi="Calibri" w:eastAsia="宋体" w:cs="Times New Roman"/>
    </w:rPr>
  </w:style>
  <w:style w:type="paragraph" w:customStyle="1" w:styleId="8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86">
    <w:name w:val="Char2"/>
    <w:basedOn w:val="1"/>
    <w:qFormat/>
    <w:uiPriority w:val="99"/>
    <w:pPr>
      <w:numPr>
        <w:ilvl w:val="0"/>
        <w:numId w:val="4"/>
      </w:numPr>
      <w:tabs>
        <w:tab w:val="left" w:pos="360"/>
      </w:tabs>
      <w:spacing w:line="240" w:lineRule="auto"/>
      <w:ind w:left="720" w:hanging="720" w:firstLineChars="0"/>
    </w:pPr>
    <w:rPr>
      <w:rFonts w:ascii="Tahoma" w:hAnsi="Tahoma" w:eastAsia="宋体"/>
      <w:b/>
    </w:rPr>
  </w:style>
  <w:style w:type="paragraph" w:customStyle="1" w:styleId="87">
    <w:name w:val="样式2 + Before:  0 pt After:  0 pt Line spacing:  1.5 lines"/>
    <w:basedOn w:val="1"/>
    <w:qFormat/>
    <w:uiPriority w:val="0"/>
    <w:pPr>
      <w:keepNext/>
      <w:keepLines/>
      <w:numPr>
        <w:ilvl w:val="1"/>
        <w:numId w:val="4"/>
      </w:numPr>
      <w:ind w:firstLine="0" w:firstLineChars="0"/>
      <w:jc w:val="both"/>
      <w:outlineLvl w:val="1"/>
    </w:pPr>
    <w:rPr>
      <w:rFonts w:ascii="Times New Roman" w:hAnsi="Times New Roman" w:eastAsia="宋体"/>
      <w:b/>
      <w:bCs/>
      <w:kern w:val="28"/>
      <w:szCs w:val="20"/>
    </w:rPr>
  </w:style>
  <w:style w:type="paragraph" w:customStyle="1" w:styleId="88">
    <w:name w:val="WPSOffice手动目录 1"/>
    <w:qFormat/>
    <w:uiPriority w:val="0"/>
    <w:rPr>
      <w:rFonts w:ascii="Times New Roman" w:hAnsi="Times New Roman" w:eastAsia="宋体" w:cs="Times New Roman"/>
      <w:lang w:val="en-US" w:eastAsia="zh-CN" w:bidi="ar-SA"/>
    </w:rPr>
  </w:style>
  <w:style w:type="paragraph" w:customStyle="1" w:styleId="89">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9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91">
    <w:name w:val="样式 首行缩进:  2 字符5"/>
    <w:basedOn w:val="1"/>
    <w:link w:val="92"/>
    <w:qFormat/>
    <w:uiPriority w:val="0"/>
    <w:pPr>
      <w:spacing w:before="120"/>
      <w:ind w:firstLine="480"/>
      <w:jc w:val="both"/>
    </w:pPr>
    <w:rPr>
      <w:rFonts w:ascii="Times New Roman" w:hAnsi="Times New Roman" w:eastAsia="宋体" w:cs="宋体"/>
      <w:sz w:val="24"/>
      <w:szCs w:val="20"/>
    </w:rPr>
  </w:style>
  <w:style w:type="character" w:customStyle="1" w:styleId="92">
    <w:name w:val="样式 首行缩进:  2 字符5 Char"/>
    <w:link w:val="91"/>
    <w:qFormat/>
    <w:uiPriority w:val="0"/>
    <w:rPr>
      <w:rFonts w:ascii="Times New Roman" w:hAnsi="Times New Roman" w:eastAsia="宋体" w:cs="宋体"/>
      <w:sz w:val="24"/>
      <w:szCs w:val="20"/>
    </w:rPr>
  </w:style>
  <w:style w:type="character" w:customStyle="1" w:styleId="93">
    <w:name w:val="fontstyle01"/>
    <w:basedOn w:val="38"/>
    <w:qFormat/>
    <w:uiPriority w:val="0"/>
    <w:rPr>
      <w:rFonts w:hint="eastAsia" w:ascii="宋体" w:hAnsi="宋体" w:eastAsia="宋体"/>
      <w:color w:val="000000"/>
      <w:sz w:val="22"/>
      <w:szCs w:val="22"/>
    </w:rPr>
  </w:style>
  <w:style w:type="paragraph" w:customStyle="1" w:styleId="94">
    <w:name w:val="修订2"/>
    <w:hidden/>
    <w:semiHidden/>
    <w:qFormat/>
    <w:uiPriority w:val="99"/>
    <w:rPr>
      <w:rFonts w:ascii="仿宋" w:hAnsi="仿宋" w:eastAsia="仿宋" w:cs="Times New Roman"/>
      <w:kern w:val="2"/>
      <w:sz w:val="28"/>
      <w:szCs w:val="28"/>
      <w:lang w:val="en-US" w:eastAsia="zh-CN" w:bidi="ar-SA"/>
    </w:rPr>
  </w:style>
  <w:style w:type="paragraph" w:customStyle="1" w:styleId="95">
    <w:name w:val="修订3"/>
    <w:hidden/>
    <w:semiHidden/>
    <w:qFormat/>
    <w:uiPriority w:val="99"/>
    <w:rPr>
      <w:rFonts w:ascii="仿宋" w:hAnsi="仿宋" w:eastAsia="仿宋" w:cs="Times New Roman"/>
      <w:kern w:val="2"/>
      <w:sz w:val="28"/>
      <w:szCs w:val="28"/>
      <w:lang w:val="en-US" w:eastAsia="zh-CN" w:bidi="ar-SA"/>
    </w:rPr>
  </w:style>
  <w:style w:type="paragraph" w:customStyle="1" w:styleId="96">
    <w:name w:val="字母编号列项（一级）"/>
    <w:qFormat/>
    <w:uiPriority w:val="0"/>
    <w:pPr>
      <w:tabs>
        <w:tab w:val="left" w:pos="840"/>
      </w:tabs>
      <w:ind w:left="839" w:hanging="419"/>
      <w:jc w:val="both"/>
    </w:pPr>
    <w:rPr>
      <w:rFonts w:ascii="宋体" w:hAnsi="Times New Roman" w:eastAsia="宋体" w:cs="Times New Roman"/>
      <w:sz w:val="21"/>
      <w:lang w:val="en-US" w:eastAsia="zh-CN" w:bidi="ar-SA"/>
    </w:rPr>
  </w:style>
  <w:style w:type="character" w:customStyle="1" w:styleId="97">
    <w:name w:val="font11"/>
    <w:basedOn w:val="38"/>
    <w:qFormat/>
    <w:uiPriority w:val="0"/>
    <w:rPr>
      <w:rFonts w:hint="eastAsia" w:ascii="宋体" w:hAnsi="宋体" w:eastAsia="宋体" w:cs="宋体"/>
      <w:color w:val="000000"/>
      <w:sz w:val="20"/>
      <w:szCs w:val="20"/>
      <w:u w:val="none"/>
    </w:rPr>
  </w:style>
  <w:style w:type="character" w:customStyle="1" w:styleId="98">
    <w:name w:val="font31"/>
    <w:basedOn w:val="38"/>
    <w:qFormat/>
    <w:uiPriority w:val="0"/>
    <w:rPr>
      <w:rFonts w:hint="eastAsia" w:ascii="宋体" w:hAnsi="宋体" w:eastAsia="宋体" w:cs="宋体"/>
      <w:color w:val="FF0000"/>
      <w:sz w:val="20"/>
      <w:szCs w:val="20"/>
      <w:u w:val="none"/>
    </w:rPr>
  </w:style>
  <w:style w:type="character" w:customStyle="1" w:styleId="99">
    <w:name w:val="font41"/>
    <w:basedOn w:val="38"/>
    <w:qFormat/>
    <w:uiPriority w:val="0"/>
    <w:rPr>
      <w:rFonts w:hint="eastAsia" w:ascii="宋体" w:hAnsi="宋体" w:eastAsia="宋体" w:cs="宋体"/>
      <w:color w:val="000000"/>
      <w:sz w:val="20"/>
      <w:szCs w:val="20"/>
      <w:u w:val="none"/>
    </w:rPr>
  </w:style>
  <w:style w:type="character" w:customStyle="1" w:styleId="100">
    <w:name w:val="font51"/>
    <w:basedOn w:val="38"/>
    <w:qFormat/>
    <w:uiPriority w:val="0"/>
    <w:rPr>
      <w:rFonts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64</Pages>
  <Words>33106</Words>
  <Characters>38189</Characters>
  <Lines>338</Lines>
  <Paragraphs>95</Paragraphs>
  <TotalTime>3</TotalTime>
  <ScaleCrop>false</ScaleCrop>
  <LinksUpToDate>false</LinksUpToDate>
  <CharactersWithSpaces>38693</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2023-04-05T23:38:00Z</dcterms:created>
  <dc:creator>ht</dc:creator>
  <cp:lastModifiedBy>李修辞</cp:lastModifiedBy>
  <cp:lastPrinted>2023-03-24T21:11:00Z</cp:lastPrinted>
  <dcterms:modified xsi:type="dcterms:W3CDTF">2026-07-13T09:26:49Z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0B5BECE52489812AFD1C006A6C14B3E4_43</vt:lpwstr>
  </property>
</Properties>
</file>