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769119">
      <w:pPr>
        <w:spacing w:line="600" w:lineRule="exact"/>
        <w:jc w:val="center"/>
        <w:rPr>
          <w:rFonts w:ascii="宋体" w:hAnsi="宋体" w:eastAsia="宋体" w:cs="宋体"/>
          <w:b/>
        </w:rPr>
      </w:pPr>
      <w:r>
        <w:rPr>
          <w:rFonts w:hint="eastAsia" w:ascii="宋体" w:hAnsi="宋体" w:eastAsia="宋体" w:cs="宋体"/>
          <w:b/>
          <w:sz w:val="44"/>
          <w:szCs w:val="44"/>
        </w:rPr>
        <w:t>采购需求</w:t>
      </w:r>
    </w:p>
    <w:p w14:paraId="31A2B649">
      <w:pPr>
        <w:spacing w:after="0" w:line="360" w:lineRule="auto"/>
        <w:ind w:firstLine="640" w:firstLineChars="200"/>
        <w:jc w:val="left"/>
        <w:rPr>
          <w:rFonts w:ascii="黑体" w:hAnsi="黑体" w:eastAsia="黑体" w:cs="黑体"/>
          <w:sz w:val="32"/>
          <w:szCs w:val="32"/>
        </w:rPr>
      </w:pPr>
      <w:r>
        <w:rPr>
          <w:rFonts w:hint="eastAsia" w:ascii="黑体" w:hAnsi="黑体" w:eastAsia="黑体" w:cs="黑体"/>
          <w:sz w:val="32"/>
          <w:szCs w:val="32"/>
        </w:rPr>
        <w:t>一、项目基本情况</w:t>
      </w:r>
    </w:p>
    <w:p w14:paraId="64554A4E">
      <w:pPr>
        <w:spacing w:after="0" w:line="360" w:lineRule="auto"/>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（一）指导思想</w:t>
      </w:r>
    </w:p>
    <w:p w14:paraId="2EACEB20">
      <w:pPr>
        <w:spacing w:after="0" w:line="360" w:lineRule="auto"/>
        <w:ind w:firstLine="640" w:firstLineChars="200"/>
        <w:rPr>
          <w:rFonts w:ascii="仿宋_GB2312" w:hAnsi="仿宋_GB2312" w:eastAsia="仿宋_GB2312" w:cs="仿宋_GB2312"/>
          <w:sz w:val="32"/>
          <w:szCs w:val="32"/>
        </w:rPr>
      </w:pPr>
      <w:r>
        <w:rPr>
          <w:rFonts w:ascii="仿宋_GB2312" w:hAnsi="Times New Roman" w:eastAsia="仿宋_GB2312"/>
          <w:sz w:val="32"/>
          <w:szCs w:val="32"/>
        </w:rPr>
        <w:t>为深入贯彻习近平总书记有关重要讲话及指示批示精神，全面落实中央关于做好常态化帮扶工作的决策部署，持续深化消费帮扶长效机制，推动我市对口地区特色产业提质增效和群众就业增收，</w:t>
      </w:r>
      <w:r>
        <w:rPr>
          <w:rFonts w:hint="eastAsia" w:ascii="仿宋_GB2312" w:hAnsi="Times New Roman" w:eastAsia="仿宋_GB2312"/>
          <w:sz w:val="32"/>
          <w:szCs w:val="32"/>
        </w:rPr>
        <w:t>定</w:t>
      </w:r>
      <w:r>
        <w:rPr>
          <w:rFonts w:ascii="仿宋_GB2312" w:hAnsi="Times New Roman" w:eastAsia="仿宋_GB2312"/>
          <w:sz w:val="32"/>
          <w:szCs w:val="32"/>
        </w:rPr>
        <w:t>于2026年10月</w:t>
      </w:r>
      <w:r>
        <w:rPr>
          <w:rFonts w:hint="eastAsia" w:ascii="仿宋_GB2312" w:hAnsi="Times New Roman" w:eastAsia="仿宋_GB2312"/>
          <w:sz w:val="32"/>
          <w:szCs w:val="32"/>
        </w:rPr>
        <w:t>下</w:t>
      </w:r>
      <w:r>
        <w:rPr>
          <w:rFonts w:ascii="仿宋_GB2312" w:hAnsi="Times New Roman" w:eastAsia="仿宋_GB2312"/>
          <w:sz w:val="32"/>
          <w:szCs w:val="32"/>
        </w:rPr>
        <w:t>旬举办第九届上海市对口地区特色商品展销会（以下简称展销会）。</w:t>
      </w:r>
    </w:p>
    <w:p w14:paraId="4E71B8FA">
      <w:pPr>
        <w:spacing w:after="0" w:line="360" w:lineRule="auto"/>
        <w:ind w:firstLine="640" w:firstLineChars="200"/>
        <w:contextualSpacing/>
        <w:rPr>
          <w:rFonts w:ascii="仿宋_GB2312" w:hAnsi="黑体" w:eastAsia="仿宋_GB2312" w:cs="黑体"/>
          <w:bCs/>
          <w:sz w:val="32"/>
          <w:szCs w:val="32"/>
        </w:rPr>
      </w:pPr>
      <w:r>
        <w:rPr>
          <w:rFonts w:hint="eastAsia" w:ascii="仿宋_GB2312" w:hAnsi="仿宋_GB2312" w:eastAsia="仿宋_GB2312" w:cs="仿宋_GB2312"/>
          <w:sz w:val="32"/>
          <w:szCs w:val="32"/>
        </w:rPr>
        <w:t>（二）</w:t>
      </w:r>
      <w:r>
        <w:rPr>
          <w:rFonts w:hint="eastAsia" w:ascii="仿宋_GB2312" w:hAnsi="黑体" w:eastAsia="仿宋_GB2312" w:cs="黑体"/>
          <w:bCs/>
          <w:sz w:val="32"/>
          <w:szCs w:val="32"/>
        </w:rPr>
        <w:t>参展对象</w:t>
      </w:r>
    </w:p>
    <w:p w14:paraId="79866095">
      <w:pPr>
        <w:spacing w:after="0" w:line="360" w:lineRule="auto"/>
        <w:ind w:firstLine="640" w:firstLineChars="200"/>
        <w:contextualSpacing/>
        <w:rPr>
          <w:rFonts w:ascii="仿宋_GB2312" w:hAnsi="黑体" w:eastAsia="仿宋_GB2312" w:cs="黑体"/>
          <w:bCs/>
          <w:sz w:val="32"/>
          <w:szCs w:val="32"/>
        </w:rPr>
      </w:pPr>
      <w:r>
        <w:rPr>
          <w:rFonts w:hint="eastAsia" w:ascii="仿宋_GB2312" w:hAnsi="等线" w:eastAsia="仿宋_GB2312" w:cs="Times New Roman"/>
          <w:sz w:val="32"/>
          <w:szCs w:val="32"/>
        </w:rPr>
        <w:t>我市对口支援地区新疆喀什、新疆生产建设兵团草湖项目区</w:t>
      </w:r>
      <w:r>
        <w:rPr>
          <w:rFonts w:hint="eastAsia" w:ascii="仿宋_GB2312" w:hAnsi="等线" w:eastAsia="仿宋_GB2312" w:cs="Times New Roman"/>
          <w:sz w:val="32"/>
          <w:szCs w:val="32"/>
          <w:lang w:eastAsia="zh-CN"/>
        </w:rPr>
        <w:t>、新疆</w:t>
      </w:r>
      <w:r>
        <w:rPr>
          <w:rFonts w:hint="eastAsia" w:ascii="仿宋_GB2312" w:hAnsi="等线" w:eastAsia="仿宋_GB2312" w:cs="Times New Roman"/>
          <w:sz w:val="32"/>
          <w:szCs w:val="32"/>
        </w:rPr>
        <w:t>克拉玛依，西藏日喀则，青海果洛，重庆万州，湖北宜昌夷陵；对口协作地区云南；对口合作地区福建三明、安徽六安、辽宁大连；合作框架协议地区内蒙古、</w:t>
      </w:r>
      <w:r>
        <w:rPr>
          <w:rFonts w:hint="eastAsia" w:ascii="仿宋_GB2312" w:eastAsia="仿宋_GB2312"/>
          <w:sz w:val="32"/>
          <w:szCs w:val="32"/>
        </w:rPr>
        <w:t>吉林</w:t>
      </w:r>
      <w:r>
        <w:rPr>
          <w:rFonts w:hint="eastAsia" w:ascii="仿宋_GB2312" w:eastAsia="仿宋_GB2312"/>
          <w:sz w:val="32"/>
          <w:szCs w:val="32"/>
          <w:lang w:eastAsia="zh-CN"/>
        </w:rPr>
        <w:t>、</w:t>
      </w:r>
      <w:r>
        <w:rPr>
          <w:rFonts w:hint="eastAsia" w:ascii="仿宋_GB2312" w:hAnsi="等线" w:eastAsia="仿宋_GB2312" w:cs="Times New Roman"/>
          <w:sz w:val="32"/>
          <w:szCs w:val="32"/>
        </w:rPr>
        <w:t>山东、贵州、宁夏。</w:t>
      </w:r>
    </w:p>
    <w:p w14:paraId="448FDB62">
      <w:pPr>
        <w:spacing w:after="0" w:line="360" w:lineRule="auto"/>
        <w:ind w:firstLine="640" w:firstLineChars="200"/>
        <w:contextualSpacing/>
        <w:rPr>
          <w:rFonts w:ascii="仿宋_GB2312" w:hAnsi="黑体" w:eastAsia="仿宋_GB2312" w:cs="黑体"/>
          <w:bCs/>
          <w:sz w:val="32"/>
          <w:szCs w:val="32"/>
        </w:rPr>
      </w:pPr>
      <w:r>
        <w:rPr>
          <w:rFonts w:hint="eastAsia" w:ascii="仿宋_GB2312" w:hAnsi="仿宋_GB2312" w:eastAsia="仿宋_GB2312" w:cs="仿宋_GB2312"/>
          <w:sz w:val="32"/>
          <w:szCs w:val="32"/>
        </w:rPr>
        <w:t>（三）</w:t>
      </w:r>
      <w:r>
        <w:rPr>
          <w:rFonts w:hint="eastAsia" w:ascii="仿宋_GB2312" w:hAnsi="黑体" w:eastAsia="仿宋_GB2312" w:cs="黑体"/>
          <w:bCs/>
          <w:sz w:val="32"/>
          <w:szCs w:val="32"/>
        </w:rPr>
        <w:t>主办单位</w:t>
      </w:r>
    </w:p>
    <w:p w14:paraId="76758463">
      <w:pPr>
        <w:spacing w:after="0" w:line="360" w:lineRule="auto"/>
        <w:ind w:firstLine="640" w:firstLineChars="200"/>
        <w:contextualSpacing/>
        <w:rPr>
          <w:rFonts w:ascii="仿宋_GB2312" w:hAnsi="黑体" w:eastAsia="仿宋_GB2312" w:cs="黑体"/>
          <w:bCs/>
          <w:sz w:val="32"/>
          <w:szCs w:val="32"/>
        </w:rPr>
      </w:pPr>
      <w:r>
        <w:rPr>
          <w:rFonts w:hint="eastAsia" w:ascii="仿宋_GB2312" w:hAnsi="Times New Roman" w:eastAsia="仿宋_GB2312"/>
          <w:sz w:val="32"/>
          <w:szCs w:val="32"/>
        </w:rPr>
        <w:t>上海市人民政府合作交流办公室</w:t>
      </w:r>
    </w:p>
    <w:p w14:paraId="0150A5D4">
      <w:pPr>
        <w:spacing w:after="0" w:line="360" w:lineRule="auto"/>
        <w:ind w:firstLine="640" w:firstLineChars="200"/>
        <w:contextualSpacing/>
        <w:rPr>
          <w:rFonts w:ascii="仿宋_GB2312" w:hAnsi="黑体" w:eastAsia="仿宋_GB2312" w:cs="黑体"/>
          <w:bCs/>
          <w:sz w:val="32"/>
          <w:szCs w:val="32"/>
        </w:rPr>
      </w:pPr>
      <w:r>
        <w:rPr>
          <w:rFonts w:hint="eastAsia" w:ascii="仿宋_GB2312" w:hAnsi="仿宋_GB2312" w:eastAsia="仿宋_GB2312" w:cs="仿宋_GB2312"/>
          <w:sz w:val="32"/>
          <w:szCs w:val="32"/>
        </w:rPr>
        <w:t>（四）</w:t>
      </w:r>
      <w:r>
        <w:rPr>
          <w:rFonts w:hint="eastAsia" w:ascii="仿宋_GB2312" w:hAnsi="黑体" w:eastAsia="仿宋_GB2312" w:cs="黑体"/>
          <w:bCs/>
          <w:sz w:val="32"/>
          <w:szCs w:val="32"/>
        </w:rPr>
        <w:t>时间</w:t>
      </w:r>
    </w:p>
    <w:p w14:paraId="4BE91AC1">
      <w:pPr>
        <w:spacing w:after="0" w:line="360" w:lineRule="auto"/>
        <w:ind w:firstLine="640" w:firstLineChars="200"/>
        <w:contextualSpacing/>
        <w:rPr>
          <w:rFonts w:ascii="仿宋_GB2312" w:hAnsi="黑体" w:eastAsia="仿宋_GB2312" w:cs="黑体"/>
          <w:bCs/>
          <w:sz w:val="32"/>
          <w:szCs w:val="32"/>
        </w:rPr>
      </w:pPr>
      <w:r>
        <w:rPr>
          <w:rFonts w:hint="eastAsia" w:ascii="仿宋_GB2312" w:hAnsi="Times New Roman" w:eastAsia="仿宋_GB2312"/>
          <w:sz w:val="32"/>
          <w:szCs w:val="32"/>
        </w:rPr>
        <w:t>2026年10月23日至26日（10月20日至22日搭建布展）</w:t>
      </w:r>
    </w:p>
    <w:p w14:paraId="2FF76C3E">
      <w:pPr>
        <w:spacing w:after="0" w:line="360" w:lineRule="auto"/>
        <w:ind w:firstLine="640" w:firstLineChars="200"/>
        <w:contextualSpacing/>
        <w:rPr>
          <w:rFonts w:ascii="仿宋_GB2312" w:hAnsi="黑体" w:eastAsia="仿宋_GB2312" w:cs="黑体"/>
          <w:bCs/>
          <w:sz w:val="32"/>
          <w:szCs w:val="32"/>
        </w:rPr>
      </w:pPr>
      <w:r>
        <w:rPr>
          <w:rFonts w:hint="eastAsia" w:ascii="仿宋_GB2312" w:hAnsi="仿宋_GB2312" w:eastAsia="仿宋_GB2312" w:cs="仿宋_GB2312"/>
          <w:sz w:val="32"/>
          <w:szCs w:val="32"/>
        </w:rPr>
        <w:t>（五）</w:t>
      </w:r>
      <w:r>
        <w:rPr>
          <w:rFonts w:hint="eastAsia" w:ascii="仿宋_GB2312" w:hAnsi="黑体" w:eastAsia="仿宋_GB2312" w:cs="黑体"/>
          <w:bCs/>
          <w:sz w:val="32"/>
          <w:szCs w:val="32"/>
        </w:rPr>
        <w:t>地点</w:t>
      </w:r>
    </w:p>
    <w:p w14:paraId="37F411C1">
      <w:pPr>
        <w:spacing w:after="0" w:line="360" w:lineRule="auto"/>
        <w:ind w:firstLine="640" w:firstLineChars="200"/>
        <w:contextualSpacing/>
        <w:rPr>
          <w:rFonts w:ascii="仿宋_GB2312" w:hAnsi="黑体" w:eastAsia="仿宋_GB2312" w:cs="黑体"/>
          <w:bCs/>
          <w:sz w:val="32"/>
          <w:szCs w:val="32"/>
        </w:rPr>
      </w:pPr>
      <w:r>
        <w:rPr>
          <w:rFonts w:hint="eastAsia" w:ascii="仿宋_GB2312" w:hAnsi="Times New Roman" w:eastAsia="仿宋_GB2312"/>
          <w:sz w:val="32"/>
          <w:szCs w:val="32"/>
        </w:rPr>
        <w:t>上海展览中心全馆（包括中央大厅、东西平台及序馆、东一馆、西一馆）</w:t>
      </w:r>
    </w:p>
    <w:p w14:paraId="1A98DE1E">
      <w:pPr>
        <w:spacing w:after="0" w:line="360" w:lineRule="auto"/>
        <w:ind w:firstLine="640" w:firstLineChars="200"/>
        <w:contextualSpacing/>
        <w:rPr>
          <w:rFonts w:ascii="仿宋_GB2312" w:hAnsi="黑体" w:eastAsia="仿宋_GB2312" w:cs="黑体"/>
          <w:bCs/>
          <w:sz w:val="32"/>
          <w:szCs w:val="32"/>
        </w:rPr>
      </w:pPr>
      <w:r>
        <w:rPr>
          <w:rFonts w:hint="eastAsia" w:ascii="仿宋_GB2312" w:hAnsi="仿宋_GB2312" w:eastAsia="仿宋_GB2312" w:cs="仿宋_GB2312"/>
          <w:sz w:val="32"/>
          <w:szCs w:val="32"/>
        </w:rPr>
        <w:t>（六）</w:t>
      </w:r>
      <w:r>
        <w:rPr>
          <w:rFonts w:hint="eastAsia" w:ascii="仿宋_GB2312" w:hAnsi="黑体" w:eastAsia="仿宋_GB2312" w:cs="黑体"/>
          <w:bCs/>
          <w:sz w:val="32"/>
          <w:szCs w:val="32"/>
        </w:rPr>
        <w:t>主题</w:t>
      </w:r>
    </w:p>
    <w:p w14:paraId="103554F5">
      <w:pPr>
        <w:spacing w:after="0" w:line="360" w:lineRule="auto"/>
        <w:ind w:firstLine="640" w:firstLineChars="200"/>
        <w:contextualSpacing/>
        <w:rPr>
          <w:rFonts w:ascii="仿宋_GB2312" w:hAnsi="黑体" w:eastAsia="仿宋_GB2312" w:cs="黑体"/>
          <w:bCs/>
          <w:sz w:val="32"/>
          <w:szCs w:val="32"/>
        </w:rPr>
      </w:pPr>
      <w:r>
        <w:rPr>
          <w:rFonts w:hint="eastAsia" w:ascii="仿宋_GB2312" w:hAnsi="黑体" w:eastAsia="仿宋_GB2312" w:cs="黑体"/>
          <w:bCs/>
          <w:sz w:val="32"/>
          <w:szCs w:val="32"/>
        </w:rPr>
        <w:t>“跨越山海 申情乐购”</w:t>
      </w:r>
    </w:p>
    <w:p w14:paraId="775D6876">
      <w:pPr>
        <w:spacing w:after="0" w:line="360" w:lineRule="auto"/>
        <w:ind w:firstLine="640" w:firstLineChars="200"/>
        <w:contextualSpacing/>
        <w:rPr>
          <w:rFonts w:ascii="仿宋_GB2312" w:hAnsi="黑体" w:eastAsia="仿宋_GB2312" w:cs="黑体"/>
          <w:bCs/>
          <w:sz w:val="32"/>
          <w:szCs w:val="32"/>
        </w:rPr>
      </w:pPr>
      <w:r>
        <w:rPr>
          <w:rFonts w:hint="eastAsia" w:ascii="仿宋_GB2312" w:hAnsi="仿宋_GB2312" w:eastAsia="仿宋_GB2312" w:cs="仿宋_GB2312"/>
          <w:sz w:val="32"/>
          <w:szCs w:val="32"/>
        </w:rPr>
        <w:t>（七）</w:t>
      </w:r>
      <w:r>
        <w:rPr>
          <w:rFonts w:hint="eastAsia" w:ascii="仿宋_GB2312" w:hAnsi="黑体" w:eastAsia="仿宋_GB2312" w:cs="黑体"/>
          <w:bCs/>
          <w:sz w:val="32"/>
          <w:szCs w:val="32"/>
        </w:rPr>
        <w:t>展馆总体设计及区域（功能）划分</w:t>
      </w:r>
    </w:p>
    <w:p w14:paraId="0C7D4D79">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1.展销区</w:t>
      </w:r>
    </w:p>
    <w:p w14:paraId="6612ECB3">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全馆预计安排展位（企业）610个，一般按照1家参展企业1个展位的原则。其中：对口地区安排510个展位，合作框架协议地区安排100个展位。</w:t>
      </w:r>
    </w:p>
    <w:p w14:paraId="2D9F6DFD">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2.活动区</w:t>
      </w:r>
    </w:p>
    <w:p w14:paraId="308A3E7C">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设置展示区、推介区、洽谈区和直播区。其中：</w:t>
      </w:r>
    </w:p>
    <w:p w14:paraId="240D1FA9">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（1）展示区（作为向市领导作集中展示和巡馆区域）</w:t>
      </w:r>
    </w:p>
    <w:p w14:paraId="4FC435B6">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■对口工作成果展示区：</w:t>
      </w:r>
      <w:r>
        <w:rPr>
          <w:rFonts w:ascii="仿宋_GB2312" w:hAnsi="Times New Roman" w:eastAsia="仿宋_GB2312"/>
          <w:sz w:val="32"/>
          <w:szCs w:val="32"/>
        </w:rPr>
        <w:t>设于序馆，</w:t>
      </w:r>
      <w:r>
        <w:rPr>
          <w:rFonts w:hint="eastAsia" w:ascii="仿宋_GB2312" w:hAnsi="仿宋_GB2312" w:eastAsia="仿宋_GB2312" w:cs="仿宋_GB2312"/>
          <w:sz w:val="32"/>
          <w:szCs w:val="32"/>
        </w:rPr>
        <w:t>聚焦“双向赋能”主题，丰富互动场景，重点展示近年来我市在消费帮扶领域案例。</w:t>
      </w:r>
    </w:p>
    <w:p w14:paraId="11ABB38A">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■特色展示区（特装）：</w:t>
      </w:r>
      <w:r>
        <w:rPr>
          <w:rFonts w:ascii="仿宋_GB2312" w:hAnsi="Times New Roman" w:eastAsia="仿宋_GB2312"/>
          <w:sz w:val="32"/>
          <w:szCs w:val="32"/>
        </w:rPr>
        <w:t>设于中央大厅，计划安排特装展位16个。其中云南整体设于一侧，以云果、云咖、云茶、云花等分类展示（</w:t>
      </w:r>
      <w:r>
        <w:rPr>
          <w:rFonts w:hint="eastAsia" w:ascii="仿宋_GB2312" w:hAnsi="Times New Roman" w:eastAsia="仿宋_GB2312"/>
          <w:sz w:val="32"/>
          <w:szCs w:val="32"/>
        </w:rPr>
        <w:t>待定</w:t>
      </w:r>
      <w:r>
        <w:rPr>
          <w:rFonts w:ascii="仿宋_GB2312" w:hAnsi="Times New Roman" w:eastAsia="仿宋_GB2312"/>
          <w:sz w:val="32"/>
          <w:szCs w:val="32"/>
        </w:rPr>
        <w:t>）；其他展位按照行政区域划分并集中展示参展地区优质代表商品及文旅特色。</w:t>
      </w:r>
    </w:p>
    <w:p w14:paraId="5075875E">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（2）推介区（活动区）</w:t>
      </w:r>
    </w:p>
    <w:p w14:paraId="13482CEC">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■展演舞台区：</w:t>
      </w:r>
      <w:r>
        <w:rPr>
          <w:rFonts w:ascii="仿宋_GB2312" w:hAnsi="Times New Roman" w:eastAsia="仿宋_GB2312"/>
          <w:sz w:val="32"/>
          <w:szCs w:val="32"/>
        </w:rPr>
        <w:t>设于中央大厅，搭建展演舞台并设置LED大屏，用于推介和演出等。</w:t>
      </w:r>
    </w:p>
    <w:p w14:paraId="480D81B1">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■主题推介区：</w:t>
      </w:r>
      <w:r>
        <w:rPr>
          <w:rFonts w:ascii="仿宋_GB2312" w:hAnsi="Times New Roman" w:eastAsia="仿宋_GB2312"/>
          <w:sz w:val="32"/>
          <w:szCs w:val="32"/>
        </w:rPr>
        <w:t>设于中央大厅西北厢房，拟邀请参展各地业务主管部门组织开展当地特色商品、地标产业、农文旅项目等推介。</w:t>
      </w:r>
    </w:p>
    <w:p w14:paraId="3CFF8D2E">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w:t>
      </w:r>
      <w:r>
        <w:rPr>
          <w:rFonts w:ascii="仿宋_GB2312" w:hAnsi="Times New Roman" w:eastAsia="仿宋_GB2312"/>
          <w:sz w:val="32"/>
          <w:szCs w:val="32"/>
        </w:rPr>
        <w:t>文化体验活动区</w:t>
      </w:r>
      <w:r>
        <w:rPr>
          <w:rFonts w:hint="eastAsia" w:ascii="仿宋_GB2312" w:hAnsi="Times New Roman" w:eastAsia="仿宋_GB2312"/>
          <w:sz w:val="32"/>
          <w:szCs w:val="32"/>
        </w:rPr>
        <w:t>：</w:t>
      </w:r>
      <w:r>
        <w:rPr>
          <w:rFonts w:ascii="仿宋_GB2312" w:hAnsi="Times New Roman" w:eastAsia="仿宋_GB2312"/>
          <w:sz w:val="32"/>
          <w:szCs w:val="32"/>
        </w:rPr>
        <w:t>设于西馆，云咖文化活动区（设于西馆二楼圆厅及连廊）以及云南非遗文化活动区（设于一楼圆厅）。</w:t>
      </w:r>
    </w:p>
    <w:p w14:paraId="7C967DEB">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w:t>
      </w:r>
      <w:r>
        <w:rPr>
          <w:rFonts w:ascii="仿宋_GB2312" w:hAnsi="Times New Roman" w:eastAsia="仿宋_GB2312"/>
          <w:sz w:val="32"/>
          <w:szCs w:val="32"/>
        </w:rPr>
        <w:t>互动体验专区</w:t>
      </w:r>
      <w:r>
        <w:rPr>
          <w:rFonts w:hint="eastAsia" w:ascii="仿宋_GB2312" w:hAnsi="Times New Roman" w:eastAsia="仿宋_GB2312"/>
          <w:sz w:val="32"/>
          <w:szCs w:val="32"/>
        </w:rPr>
        <w:t>：设于</w:t>
      </w:r>
      <w:r>
        <w:rPr>
          <w:rFonts w:ascii="仿宋_GB2312" w:hAnsi="Times New Roman" w:eastAsia="仿宋_GB2312"/>
          <w:sz w:val="32"/>
          <w:szCs w:val="32"/>
        </w:rPr>
        <w:t>东馆二楼（靠近中央大厅）。设置“消费帮扶工作平台”及“盒马”互动体验专区，以线下购物场景和线上推广销售相结合的方式，引导更多消费者形成线上采购对口地区优品好物的消费习惯</w:t>
      </w:r>
      <w:r>
        <w:rPr>
          <w:rFonts w:hint="eastAsia" w:ascii="仿宋_GB2312" w:hAnsi="Times New Roman" w:eastAsia="仿宋_GB2312"/>
          <w:sz w:val="32"/>
          <w:szCs w:val="32"/>
        </w:rPr>
        <w:t>。</w:t>
      </w:r>
    </w:p>
    <w:p w14:paraId="09507134">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（3）洽谈区</w:t>
      </w:r>
    </w:p>
    <w:p w14:paraId="44708D96">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设于中央大厅西南、东北厢房，</w:t>
      </w:r>
      <w:r>
        <w:rPr>
          <w:rFonts w:hint="eastAsia" w:ascii="仿宋_GB2312" w:hAnsi="等线" w:eastAsia="仿宋_GB2312"/>
          <w:sz w:val="32"/>
          <w:szCs w:val="32"/>
        </w:rPr>
        <w:t>拟邀请电商、餐饮、商超等相关渠道专业采购商进场与参展企业开展对接洽谈。</w:t>
      </w:r>
    </w:p>
    <w:p w14:paraId="01512CE2">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（4）直播区</w:t>
      </w:r>
    </w:p>
    <w:p w14:paraId="53E064BC">
      <w:pPr>
        <w:snapToGrid w:val="0"/>
        <w:spacing w:line="580" w:lineRule="exact"/>
        <w:ind w:firstLine="640" w:firstLineChars="200"/>
        <w:rPr>
          <w:rFonts w:ascii="仿宋_GB2312" w:hAnsi="Times New Roman" w:eastAsia="仿宋_GB2312"/>
          <w:sz w:val="32"/>
          <w:szCs w:val="32"/>
        </w:rPr>
      </w:pPr>
      <w:r>
        <w:rPr>
          <w:rFonts w:ascii="仿宋_GB2312" w:hAnsi="Times New Roman" w:eastAsia="仿宋_GB2312"/>
          <w:sz w:val="32"/>
          <w:szCs w:val="32"/>
        </w:rPr>
        <w:t>设于中央大厅东平台，拟邀请专业直播团队驻场，为参展企业提供线上直播带货服务；同时新设共享直播区，供对口地区相关机构以及直播达人开展现场直播带货活动。</w:t>
      </w:r>
    </w:p>
    <w:p w14:paraId="0EB9B303">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3.物流仓储区</w:t>
      </w:r>
    </w:p>
    <w:p w14:paraId="35D176B2">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在上海展览中心设主仓库和第二仓库用于展前铺货周转，同时为方便展品管理及配送，于各展厅角落设置临时仓库，用于展销会商品、设备等临时存放。</w:t>
      </w:r>
    </w:p>
    <w:p w14:paraId="2C16AFAF">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4.其他区域：计划设置展商报道处、主办方办公室、户外货物临时存储区篷房等。</w:t>
      </w:r>
    </w:p>
    <w:p w14:paraId="3BE255F7">
      <w:pPr>
        <w:spacing w:after="0" w:line="360" w:lineRule="auto"/>
        <w:ind w:firstLine="640" w:firstLineChars="200"/>
        <w:jc w:val="left"/>
        <w:rPr>
          <w:rFonts w:ascii="黑体" w:hAnsi="黑体" w:eastAsia="黑体" w:cs="黑体"/>
          <w:sz w:val="32"/>
          <w:szCs w:val="32"/>
        </w:rPr>
      </w:pPr>
      <w:r>
        <w:rPr>
          <w:rFonts w:hint="eastAsia" w:ascii="黑体" w:hAnsi="黑体" w:eastAsia="黑体" w:cs="黑体"/>
          <w:sz w:val="32"/>
          <w:szCs w:val="32"/>
        </w:rPr>
        <w:t>二</w:t>
      </w:r>
      <w:r>
        <w:rPr>
          <w:rFonts w:hint="eastAsia" w:ascii="黑体" w:hAnsi="黑体" w:eastAsia="黑体" w:cs="黑体"/>
          <w:sz w:val="32"/>
          <w:szCs w:val="32"/>
          <w:lang w:eastAsia="zh-Hans"/>
        </w:rPr>
        <w:t>、</w:t>
      </w:r>
      <w:r>
        <w:rPr>
          <w:rFonts w:hint="eastAsia" w:ascii="黑体" w:hAnsi="黑体" w:eastAsia="黑体" w:cs="黑体"/>
          <w:sz w:val="32"/>
          <w:szCs w:val="32"/>
        </w:rPr>
        <w:t>供应商要求</w:t>
      </w:r>
    </w:p>
    <w:p w14:paraId="2EB28A56">
      <w:pPr>
        <w:spacing w:after="0" w:line="360" w:lineRule="auto"/>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具有展览承办经验及较强的策略规划制定、创意设计、展会执行等能力；具备在项目活动期间适应高强度工作节奏的能力，并对项目执行过程中的各种困难，具有充分预计和解决问题的经验能力；内部管理规范，具有良好的信誉，无重大违法、违规、失信行为。</w:t>
      </w:r>
    </w:p>
    <w:p w14:paraId="0B558F90">
      <w:pPr>
        <w:pStyle w:val="3"/>
        <w:spacing w:after="0" w:line="360" w:lineRule="auto"/>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w:t>
      </w:r>
      <w:r>
        <w:rPr>
          <w:rFonts w:hint="eastAsia" w:ascii="仿宋_GB2312" w:hAnsi="仿宋_GB2312" w:eastAsia="仿宋_GB2312" w:cs="仿宋_GB2312"/>
          <w:sz w:val="32"/>
          <w:szCs w:val="32"/>
          <w:lang w:eastAsia="zh-CN"/>
        </w:rPr>
        <w:t>供应商需承诺：</w:t>
      </w:r>
      <w:r>
        <w:rPr>
          <w:rFonts w:hint="eastAsia" w:ascii="仿宋_GB2312" w:hAnsi="仿宋_GB2312" w:eastAsia="仿宋_GB2312" w:cs="仿宋_GB2312"/>
          <w:sz w:val="32"/>
          <w:szCs w:val="32"/>
        </w:rPr>
        <w:t>展会现场如有特定工种施工时，施工人员需持相关部门颁发的合法有效证件上岗作业。</w:t>
      </w:r>
    </w:p>
    <w:p w14:paraId="6104962A">
      <w:pPr>
        <w:spacing w:after="0" w:line="360" w:lineRule="auto"/>
        <w:ind w:firstLine="640" w:firstLineChars="200"/>
        <w:contextualSpacing/>
        <w:jc w:val="left"/>
        <w:rPr>
          <w:rFonts w:ascii="黑体" w:hAnsi="黑体" w:eastAsia="黑体" w:cs="黑体"/>
          <w:bCs/>
          <w:sz w:val="32"/>
          <w:szCs w:val="32"/>
        </w:rPr>
      </w:pPr>
    </w:p>
    <w:p w14:paraId="60E370D4">
      <w:pPr>
        <w:spacing w:after="0" w:line="360" w:lineRule="auto"/>
        <w:rPr>
          <w:rFonts w:ascii="黑体" w:hAnsi="黑体" w:eastAsia="黑体" w:cs="黑体"/>
          <w:sz w:val="32"/>
          <w:szCs w:val="32"/>
        </w:rPr>
      </w:pPr>
      <w:r>
        <w:rPr>
          <w:rFonts w:hint="eastAsia" w:ascii="黑体" w:hAnsi="黑体" w:eastAsia="黑体" w:cs="黑体"/>
          <w:sz w:val="32"/>
          <w:szCs w:val="32"/>
        </w:rPr>
        <w:t>三、交付状态</w:t>
      </w:r>
    </w:p>
    <w:p w14:paraId="7455367D">
      <w:pPr>
        <w:spacing w:after="0" w:line="360" w:lineRule="auto"/>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展会开幕前，采购人现场进行实地验收；展会结束后，供应商及时报送项目实施总结评估报告，由采购人组织最终验收。</w:t>
      </w:r>
    </w:p>
    <w:p w14:paraId="25326BEE">
      <w:pPr>
        <w:spacing w:after="0" w:line="360" w:lineRule="auto"/>
        <w:ind w:firstLine="640" w:firstLineChars="200"/>
        <w:contextualSpacing/>
        <w:jc w:val="left"/>
        <w:rPr>
          <w:rFonts w:ascii="黑体" w:hAnsi="黑体" w:eastAsia="黑体" w:cs="黑体"/>
          <w:bCs/>
          <w:sz w:val="32"/>
          <w:szCs w:val="32"/>
        </w:rPr>
      </w:pPr>
    </w:p>
    <w:p w14:paraId="6356210F">
      <w:pPr>
        <w:pStyle w:val="2"/>
        <w:spacing w:after="0" w:line="360" w:lineRule="auto"/>
        <w:ind w:left="0" w:leftChars="0"/>
        <w:rPr>
          <w:rFonts w:cs="黑体"/>
          <w:b w:val="0"/>
          <w:kern w:val="2"/>
          <w:sz w:val="32"/>
          <w:szCs w:val="32"/>
        </w:rPr>
      </w:pPr>
      <w:r>
        <w:rPr>
          <w:rFonts w:hint="eastAsia" w:cs="黑体"/>
          <w:b w:val="0"/>
          <w:kern w:val="2"/>
          <w:sz w:val="32"/>
          <w:szCs w:val="32"/>
        </w:rPr>
        <w:t>四、需求概述</w:t>
      </w:r>
    </w:p>
    <w:p w14:paraId="29B3A9E9">
      <w:pPr>
        <w:spacing w:after="0" w:line="360" w:lineRule="auto"/>
        <w:ind w:firstLine="640" w:firstLineChars="200"/>
        <w:rPr>
          <w:rFonts w:ascii="仿宋_GB2312" w:hAnsi="宋体" w:eastAsia="仿宋_GB2312" w:cs="宋体"/>
          <w:sz w:val="32"/>
          <w:szCs w:val="32"/>
        </w:rPr>
      </w:pPr>
      <w:r>
        <w:rPr>
          <w:rFonts w:hint="eastAsia" w:ascii="仿宋_GB2312" w:hAnsi="宋体" w:eastAsia="仿宋_GB2312" w:cs="宋体"/>
          <w:sz w:val="32"/>
          <w:szCs w:val="32"/>
        </w:rPr>
        <w:t>（一）设计原则</w:t>
      </w:r>
    </w:p>
    <w:p w14:paraId="59CB3A8F">
      <w:pPr>
        <w:spacing w:after="0" w:line="360" w:lineRule="auto"/>
        <w:ind w:firstLine="640" w:firstLineChars="200"/>
        <w:rPr>
          <w:rFonts w:ascii="仿宋_GB2312" w:hAnsi="宋体" w:eastAsia="仿宋_GB2312" w:cs="宋体"/>
          <w:sz w:val="32"/>
          <w:szCs w:val="32"/>
        </w:rPr>
      </w:pPr>
      <w:r>
        <w:rPr>
          <w:rFonts w:hint="eastAsia" w:ascii="仿宋_GB2312" w:hAnsi="宋体" w:eastAsia="仿宋_GB2312" w:cs="宋体"/>
          <w:sz w:val="32"/>
          <w:szCs w:val="32"/>
        </w:rPr>
        <w:t>1.</w:t>
      </w:r>
      <w:r>
        <w:rPr>
          <w:rFonts w:ascii="仿宋_GB2312" w:hAnsi="宋体" w:eastAsia="仿宋_GB2312" w:cs="宋体"/>
          <w:sz w:val="32"/>
          <w:szCs w:val="32"/>
        </w:rPr>
        <w:t>设计原则：展会活动需提出完整的设计及施工搭建方案并提供全流程搭建管理服务，尤其在造型和制作工艺上需充分考虑展区的外观形象性及整体性，主体结构的安全性和环保性等方面。设计应采取展品与形象表达并重的原则，以创新的思维和现代设计理念及艺术展示手法，实现学术性、知识性、艺术性、趣味性和互动性的有机结合，能呈现展区主题特色和重点亮点。具体如下：</w:t>
      </w:r>
    </w:p>
    <w:p w14:paraId="5BD98D62">
      <w:pPr>
        <w:spacing w:after="0" w:line="360" w:lineRule="auto"/>
        <w:ind w:firstLine="640" w:firstLineChars="200"/>
        <w:rPr>
          <w:rFonts w:ascii="仿宋_GB2312" w:hAnsi="宋体" w:eastAsia="仿宋_GB2312" w:cs="宋体"/>
          <w:sz w:val="32"/>
          <w:szCs w:val="32"/>
        </w:rPr>
      </w:pPr>
      <w:r>
        <w:rPr>
          <w:rFonts w:hint="eastAsia" w:ascii="仿宋_GB2312" w:hAnsi="仿宋_GB2312" w:eastAsia="仿宋_GB2312" w:cs="仿宋_GB2312"/>
          <w:color w:val="000000" w:themeColor="text1"/>
          <w:sz w:val="32"/>
          <w:szCs w:val="32"/>
          <w14:textFill>
            <w14:solidFill>
              <w14:schemeClr w14:val="tx1"/>
            </w14:solidFill>
          </w14:textFill>
        </w:rPr>
        <w:t>（1）</w:t>
      </w:r>
      <w:r>
        <w:rPr>
          <w:rFonts w:hint="eastAsia" w:ascii="仿宋_GB2312" w:hAnsi="宋体" w:eastAsia="仿宋_GB2312" w:cs="宋体"/>
          <w:sz w:val="32"/>
          <w:szCs w:val="32"/>
        </w:rPr>
        <w:t>布局巧妙，空间合理。紧扣内容，精心布局，内容、形式、空间相辅相成，高效引导参展观众注意力。</w:t>
      </w:r>
    </w:p>
    <w:p w14:paraId="09EF7E2C">
      <w:pPr>
        <w:spacing w:after="0" w:line="360" w:lineRule="auto"/>
        <w:ind w:firstLine="640" w:firstLineChars="200"/>
        <w:rPr>
          <w:rFonts w:ascii="仿宋_GB2312" w:hAnsi="宋体" w:eastAsia="仿宋_GB2312" w:cs="宋体"/>
          <w:sz w:val="32"/>
          <w:szCs w:val="32"/>
        </w:rPr>
      </w:pPr>
      <w:r>
        <w:rPr>
          <w:rFonts w:hint="eastAsia" w:ascii="仿宋_GB2312" w:hAnsi="仿宋_GB2312" w:eastAsia="仿宋_GB2312" w:cs="仿宋_GB2312"/>
          <w:color w:val="000000" w:themeColor="text1"/>
          <w:sz w:val="32"/>
          <w:szCs w:val="32"/>
          <w14:textFill>
            <w14:solidFill>
              <w14:schemeClr w14:val="tx1"/>
            </w14:solidFill>
          </w14:textFill>
        </w:rPr>
        <w:t>（2）</w:t>
      </w:r>
      <w:r>
        <w:rPr>
          <w:rFonts w:hint="eastAsia" w:ascii="仿宋_GB2312" w:hAnsi="宋体" w:eastAsia="仿宋_GB2312" w:cs="宋体"/>
          <w:sz w:val="32"/>
          <w:szCs w:val="32"/>
        </w:rPr>
        <w:t>参观动线有序，完整顺畅。参观动线设计考虑全面，重点展品展项尽量布置在主通道区域。</w:t>
      </w:r>
    </w:p>
    <w:p w14:paraId="5DEC7228">
      <w:pPr>
        <w:spacing w:after="0" w:line="360" w:lineRule="auto"/>
        <w:ind w:firstLine="640" w:firstLineChars="200"/>
        <w:rPr>
          <w:rFonts w:ascii="仿宋_GB2312" w:hAnsi="宋体" w:eastAsia="仿宋_GB2312" w:cs="宋体"/>
          <w:sz w:val="32"/>
          <w:szCs w:val="32"/>
        </w:rPr>
      </w:pPr>
      <w:r>
        <w:rPr>
          <w:rFonts w:hint="eastAsia" w:ascii="仿宋_GB2312" w:hAnsi="仿宋_GB2312" w:eastAsia="仿宋_GB2312" w:cs="仿宋_GB2312"/>
          <w:color w:val="000000" w:themeColor="text1"/>
          <w:sz w:val="32"/>
          <w:szCs w:val="32"/>
          <w14:textFill>
            <w14:solidFill>
              <w14:schemeClr w14:val="tx1"/>
            </w14:solidFill>
          </w14:textFill>
        </w:rPr>
        <w:t>（3）</w:t>
      </w:r>
      <w:r>
        <w:rPr>
          <w:rFonts w:hint="eastAsia" w:ascii="仿宋_GB2312" w:hAnsi="宋体" w:eastAsia="仿宋_GB2312" w:cs="宋体"/>
          <w:sz w:val="32"/>
          <w:szCs w:val="32"/>
        </w:rPr>
        <w:t>运用图文、视频、多媒体等形式丰富多样的展陈形式，使展区形态鲜活生动富有艺术张力，充分体现参与性、互动性、体验性。</w:t>
      </w:r>
    </w:p>
    <w:p w14:paraId="144CBFBF">
      <w:pPr>
        <w:spacing w:after="0" w:line="360" w:lineRule="auto"/>
        <w:ind w:firstLine="640" w:firstLineChars="200"/>
        <w:rPr>
          <w:rFonts w:ascii="仿宋_GB2312" w:hAnsi="宋体" w:eastAsia="仿宋_GB2312" w:cs="宋体"/>
          <w:sz w:val="32"/>
          <w:szCs w:val="32"/>
        </w:rPr>
      </w:pPr>
      <w:r>
        <w:rPr>
          <w:rFonts w:hint="eastAsia" w:ascii="仿宋_GB2312" w:hAnsi="仿宋_GB2312" w:eastAsia="仿宋_GB2312" w:cs="仿宋_GB2312"/>
          <w:color w:val="000000" w:themeColor="text1"/>
          <w:sz w:val="32"/>
          <w:szCs w:val="32"/>
          <w14:textFill>
            <w14:solidFill>
              <w14:schemeClr w14:val="tx1"/>
            </w14:solidFill>
          </w14:textFill>
        </w:rPr>
        <w:t>（4）</w:t>
      </w:r>
      <w:r>
        <w:rPr>
          <w:rFonts w:hint="eastAsia" w:ascii="仿宋_GB2312" w:hAnsi="宋体" w:eastAsia="仿宋_GB2312" w:cs="宋体"/>
          <w:sz w:val="32"/>
          <w:szCs w:val="32"/>
        </w:rPr>
        <w:t>生态节能，绿色环保。使用材料在满足展馆标准的同时，追求生态节能，打造绿色展馆。</w:t>
      </w:r>
    </w:p>
    <w:p w14:paraId="4A1E8A25">
      <w:pPr>
        <w:spacing w:line="360" w:lineRule="auto"/>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（二）展示总体要求：</w:t>
      </w:r>
    </w:p>
    <w:p w14:paraId="0ED6B11D">
      <w:pPr>
        <w:spacing w:line="360" w:lineRule="auto"/>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展示内容：</w:t>
      </w:r>
    </w:p>
    <w:p w14:paraId="0F7BB147">
      <w:pPr>
        <w:spacing w:line="360" w:lineRule="auto"/>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1.展品主要为实物、展板、多媒体等。成交供应商根据采购人所提供的素材，设计整体布局、参观动线、完整方案和单体方案。</w:t>
      </w:r>
    </w:p>
    <w:p w14:paraId="1134663B">
      <w:pPr>
        <w:spacing w:line="360" w:lineRule="auto"/>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2.在图片、实物、置景等传统展示手段的基础上，充分运用现代展示手段，融入上海和对口地区元素，各类布局安排合理有序、错落有致。</w:t>
      </w:r>
    </w:p>
    <w:p w14:paraId="17A598E9">
      <w:pPr>
        <w:spacing w:line="360" w:lineRule="auto"/>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3.设计方面，色彩搭配把握上要简约、明亮、协调。设计方案须符合上海社会主义现代化国际大都市的形象特质。</w:t>
      </w:r>
    </w:p>
    <w:p w14:paraId="30270004">
      <w:pPr>
        <w:spacing w:line="360" w:lineRule="auto"/>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4.搭建方面，首先要考虑结构安全性，其次要满足采购人的展示要求。</w:t>
      </w:r>
    </w:p>
    <w:p w14:paraId="4D7B2A5F">
      <w:pPr>
        <w:spacing w:line="360" w:lineRule="auto"/>
        <w:ind w:left="638" w:leftChars="304"/>
        <w:rPr>
          <w:rFonts w:ascii="黑体" w:hAnsi="黑体" w:eastAsia="黑体" w:cs="黑体"/>
          <w:b/>
          <w:bCs/>
          <w:color w:val="000000" w:themeColor="text1"/>
          <w:sz w:val="32"/>
          <w:szCs w:val="32"/>
          <w14:textFill>
            <w14:solidFill>
              <w14:schemeClr w14:val="tx1"/>
            </w14:solidFill>
          </w14:textFill>
        </w:rPr>
      </w:pPr>
    </w:p>
    <w:p w14:paraId="2C81013E">
      <w:pPr>
        <w:spacing w:line="360" w:lineRule="auto"/>
        <w:ind w:left="638" w:leftChars="304"/>
        <w:rPr>
          <w:rFonts w:ascii="黑体" w:hAnsi="黑体" w:eastAsia="黑体" w:cs="黑体"/>
          <w:b/>
          <w:bCs/>
          <w:color w:val="000000" w:themeColor="text1"/>
          <w:sz w:val="32"/>
          <w:szCs w:val="32"/>
          <w14:textFill>
            <w14:solidFill>
              <w14:schemeClr w14:val="tx1"/>
            </w14:solidFill>
          </w14:textFill>
        </w:rPr>
      </w:pPr>
      <w:r>
        <w:rPr>
          <w:rFonts w:hint="eastAsia" w:ascii="黑体" w:hAnsi="黑体" w:eastAsia="黑体" w:cs="黑体"/>
          <w:b/>
          <w:bCs/>
          <w:color w:val="000000" w:themeColor="text1"/>
          <w:sz w:val="32"/>
          <w:szCs w:val="32"/>
          <w14:textFill>
            <w14:solidFill>
              <w14:schemeClr w14:val="tx1"/>
            </w14:solidFill>
          </w14:textFill>
        </w:rPr>
        <w:t>五、服务范围及需求</w:t>
      </w:r>
    </w:p>
    <w:p w14:paraId="77D05AF6">
      <w:pPr>
        <w:spacing w:after="0" w:line="360" w:lineRule="auto"/>
        <w:ind w:firstLine="640" w:firstLineChars="200"/>
        <w:rPr>
          <w:rFonts w:ascii="仿宋_GB2312" w:hAnsi="宋体" w:eastAsia="仿宋_GB2312" w:cs="宋体"/>
          <w:color w:val="000000" w:themeColor="text1"/>
          <w:sz w:val="32"/>
          <w:szCs w:val="32"/>
          <w14:textFill>
            <w14:solidFill>
              <w14:schemeClr w14:val="tx1"/>
            </w14:solidFill>
          </w14:textFill>
        </w:rPr>
      </w:pPr>
      <w:r>
        <w:rPr>
          <w:rFonts w:hint="eastAsia" w:ascii="仿宋_GB2312" w:hAnsi="宋体" w:eastAsia="仿宋_GB2312" w:cs="宋体"/>
          <w:color w:val="000000" w:themeColor="text1"/>
          <w:sz w:val="32"/>
          <w:szCs w:val="32"/>
          <w14:textFill>
            <w14:solidFill>
              <w14:schemeClr w14:val="tx1"/>
            </w14:solidFill>
          </w14:textFill>
        </w:rPr>
        <w:t>全馆各区域设计布局、人流动线、展台3</w:t>
      </w:r>
      <w:r>
        <w:rPr>
          <w:rFonts w:ascii="仿宋_GB2312" w:hAnsi="宋体" w:eastAsia="仿宋_GB2312" w:cs="宋体"/>
          <w:color w:val="000000" w:themeColor="text1"/>
          <w:sz w:val="32"/>
          <w:szCs w:val="32"/>
          <w14:textFill>
            <w14:solidFill>
              <w14:schemeClr w14:val="tx1"/>
            </w14:solidFill>
          </w14:textFill>
        </w:rPr>
        <w:t>D</w:t>
      </w:r>
      <w:r>
        <w:rPr>
          <w:rFonts w:hint="eastAsia" w:ascii="仿宋_GB2312" w:hAnsi="宋体" w:eastAsia="仿宋_GB2312" w:cs="宋体"/>
          <w:color w:val="000000" w:themeColor="text1"/>
          <w:sz w:val="32"/>
          <w:szCs w:val="32"/>
          <w14:textFill>
            <w14:solidFill>
              <w14:schemeClr w14:val="tx1"/>
            </w14:solidFill>
          </w14:textFill>
        </w:rPr>
        <w:t>效果图、平面展示等的设计制作工作；全馆各区域主体搭建结构、图文美工制作；展会现场布展施工搭建及撤展拆除工作。</w:t>
      </w:r>
    </w:p>
    <w:p w14:paraId="59FC1A53">
      <w:pPr>
        <w:snapToGrid w:val="0"/>
        <w:spacing w:line="580" w:lineRule="exact"/>
        <w:ind w:firstLine="640" w:firstLineChars="200"/>
        <w:rPr>
          <w:rFonts w:ascii="楷体_GB2312" w:hAnsi="楷体_GB2312" w:eastAsia="楷体_GB2312" w:cs="楷体_GB2312"/>
          <w:sz w:val="32"/>
          <w:szCs w:val="32"/>
        </w:rPr>
      </w:pPr>
      <w:r>
        <w:rPr>
          <w:rFonts w:hint="eastAsia" w:ascii="楷体_GB2312" w:hAnsi="楷体_GB2312" w:eastAsia="楷体_GB2312" w:cs="楷体_GB2312"/>
          <w:sz w:val="32"/>
          <w:szCs w:val="32"/>
        </w:rPr>
        <w:t>（一）整体方案设计</w:t>
      </w:r>
    </w:p>
    <w:p w14:paraId="0366E2E6">
      <w:pPr>
        <w:snapToGrid w:val="0"/>
        <w:spacing w:line="580" w:lineRule="exact"/>
        <w:ind w:firstLine="640" w:firstLineChars="200"/>
        <w:rPr>
          <w:rFonts w:ascii="仿宋_GB2312" w:hAnsi="Times New Roman" w:eastAsia="仿宋_GB2312"/>
          <w:sz w:val="32"/>
          <w:szCs w:val="32"/>
        </w:rPr>
      </w:pPr>
      <w:r>
        <w:rPr>
          <w:rFonts w:ascii="仿宋_GB2312" w:hAnsi="Times New Roman" w:eastAsia="仿宋_GB2312"/>
          <w:sz w:val="32"/>
          <w:szCs w:val="32"/>
        </w:rPr>
        <w:t>完成展台3D渲染效果图、场地平面布置图、展位单体设计图</w:t>
      </w:r>
      <w:r>
        <w:rPr>
          <w:rFonts w:hint="eastAsia" w:ascii="仿宋_GB2312" w:hAnsi="Times New Roman" w:eastAsia="仿宋_GB2312"/>
          <w:sz w:val="32"/>
          <w:szCs w:val="32"/>
        </w:rPr>
        <w:t>等</w:t>
      </w:r>
      <w:r>
        <w:rPr>
          <w:rFonts w:ascii="仿宋_GB2312" w:hAnsi="Times New Roman" w:eastAsia="仿宋_GB2312"/>
          <w:sz w:val="32"/>
          <w:szCs w:val="32"/>
        </w:rPr>
        <w:t>全套设计图纸编制工作。整体设计美观大气、视觉质感突出，充分展现上海国际化城市风貌，并综合兼顾展区布局优化、人流有序疏导、观众互动体验、安全环保及运维管理等各项实际需求，确保整体设计方案科学合理、直观清晰、符合</w:t>
      </w:r>
      <w:r>
        <w:rPr>
          <w:rFonts w:hint="eastAsia" w:ascii="仿宋_GB2312" w:hAnsi="Times New Roman" w:eastAsia="仿宋_GB2312"/>
          <w:sz w:val="32"/>
          <w:szCs w:val="32"/>
        </w:rPr>
        <w:t>场馆要求</w:t>
      </w:r>
      <w:r>
        <w:rPr>
          <w:rFonts w:ascii="仿宋_GB2312" w:hAnsi="Times New Roman" w:eastAsia="仿宋_GB2312"/>
          <w:sz w:val="32"/>
          <w:szCs w:val="32"/>
        </w:rPr>
        <w:t>。</w:t>
      </w:r>
    </w:p>
    <w:p w14:paraId="43274FE5">
      <w:pPr>
        <w:snapToGrid w:val="0"/>
        <w:spacing w:line="580" w:lineRule="exact"/>
        <w:ind w:firstLine="640" w:firstLineChars="200"/>
        <w:rPr>
          <w:rFonts w:ascii="楷体_GB2312" w:hAnsi="楷体_GB2312" w:eastAsia="楷体_GB2312" w:cs="楷体_GB2312"/>
          <w:sz w:val="32"/>
          <w:szCs w:val="32"/>
        </w:rPr>
      </w:pPr>
      <w:r>
        <w:rPr>
          <w:rFonts w:hint="eastAsia" w:ascii="楷体_GB2312" w:hAnsi="楷体_GB2312" w:eastAsia="楷体_GB2312" w:cs="楷体_GB2312"/>
          <w:sz w:val="32"/>
          <w:szCs w:val="32"/>
        </w:rPr>
        <w:t>（二）物料制作</w:t>
      </w:r>
    </w:p>
    <w:p w14:paraId="3EE0BFEF">
      <w:pPr>
        <w:snapToGrid w:val="0"/>
        <w:spacing w:line="580" w:lineRule="exact"/>
        <w:ind w:firstLine="640" w:firstLineChars="200"/>
        <w:rPr>
          <w:rFonts w:ascii="仿宋_GB2312" w:hAnsi="Times New Roman" w:eastAsia="仿宋_GB2312"/>
          <w:sz w:val="32"/>
          <w:szCs w:val="32"/>
        </w:rPr>
      </w:pPr>
      <w:r>
        <w:rPr>
          <w:rFonts w:ascii="仿宋_GB2312" w:hAnsi="Times New Roman" w:eastAsia="仿宋_GB2312"/>
          <w:sz w:val="32"/>
          <w:szCs w:val="32"/>
        </w:rPr>
        <w:t>严格</w:t>
      </w:r>
      <w:r>
        <w:rPr>
          <w:rFonts w:hint="eastAsia" w:ascii="仿宋_GB2312" w:hAnsi="Times New Roman" w:eastAsia="仿宋_GB2312"/>
          <w:sz w:val="32"/>
          <w:szCs w:val="32"/>
        </w:rPr>
        <w:t>按照</w:t>
      </w:r>
      <w:r>
        <w:rPr>
          <w:rFonts w:ascii="仿宋_GB2312" w:hAnsi="Times New Roman" w:eastAsia="仿宋_GB2312"/>
          <w:sz w:val="32"/>
          <w:szCs w:val="32"/>
        </w:rPr>
        <w:t>设计方案，保质按期完成美工物料的制作工作，全程严控制作工艺，优先选用符合国家行业标准、安全可靠的绿色环保布展材料，确保所有物料质量达标、完好耐用、无破损变形</w:t>
      </w:r>
      <w:r>
        <w:rPr>
          <w:rFonts w:hint="eastAsia" w:ascii="仿宋_GB2312" w:hAnsi="Times New Roman" w:eastAsia="仿宋_GB2312"/>
          <w:sz w:val="32"/>
          <w:szCs w:val="32"/>
        </w:rPr>
        <w:t>。</w:t>
      </w:r>
      <w:r>
        <w:rPr>
          <w:rFonts w:ascii="仿宋_GB2312" w:hAnsi="Times New Roman" w:eastAsia="仿宋_GB2312"/>
          <w:sz w:val="32"/>
          <w:szCs w:val="32"/>
        </w:rPr>
        <w:t>所有用材的材质、尺寸、性能参数须达到或优于既定标准，确保无瑕疵、无安全隐患，施工安装严格依规操作</w:t>
      </w:r>
      <w:r>
        <w:rPr>
          <w:rFonts w:hint="eastAsia" w:ascii="仿宋_GB2312" w:hAnsi="Times New Roman" w:eastAsia="仿宋_GB2312"/>
          <w:sz w:val="32"/>
          <w:szCs w:val="32"/>
        </w:rPr>
        <w:t>。活动</w:t>
      </w:r>
      <w:r>
        <w:rPr>
          <w:rFonts w:ascii="仿宋_GB2312" w:hAnsi="Times New Roman" w:eastAsia="仿宋_GB2312"/>
          <w:sz w:val="32"/>
          <w:szCs w:val="32"/>
        </w:rPr>
        <w:t>配套</w:t>
      </w:r>
      <w:r>
        <w:rPr>
          <w:rFonts w:hint="eastAsia" w:ascii="仿宋_GB2312" w:hAnsi="Times New Roman" w:eastAsia="仿宋_GB2312"/>
          <w:sz w:val="32"/>
          <w:szCs w:val="32"/>
        </w:rPr>
        <w:t>的</w:t>
      </w:r>
      <w:r>
        <w:rPr>
          <w:rFonts w:ascii="仿宋_GB2312" w:hAnsi="Times New Roman" w:eastAsia="仿宋_GB2312"/>
          <w:sz w:val="32"/>
          <w:szCs w:val="32"/>
        </w:rPr>
        <w:t>LED屏、播放系统、操控设备等软硬件设施配置齐全、运行稳定</w:t>
      </w:r>
      <w:r>
        <w:rPr>
          <w:rFonts w:hint="eastAsia" w:ascii="仿宋_GB2312" w:hAnsi="Times New Roman" w:eastAsia="仿宋_GB2312"/>
          <w:sz w:val="32"/>
          <w:szCs w:val="32"/>
        </w:rPr>
        <w:t>。</w:t>
      </w:r>
    </w:p>
    <w:p w14:paraId="746861DB">
      <w:pPr>
        <w:snapToGrid w:val="0"/>
        <w:spacing w:line="580" w:lineRule="exact"/>
        <w:ind w:firstLine="640" w:firstLineChars="200"/>
        <w:rPr>
          <w:rFonts w:ascii="楷体_GB2312" w:hAnsi="楷体_GB2312" w:eastAsia="楷体_GB2312" w:cs="楷体_GB2312"/>
          <w:sz w:val="32"/>
          <w:szCs w:val="32"/>
        </w:rPr>
      </w:pPr>
      <w:r>
        <w:rPr>
          <w:rFonts w:hint="eastAsia" w:ascii="楷体_GB2312" w:hAnsi="楷体_GB2312" w:eastAsia="楷体_GB2312" w:cs="楷体_GB2312"/>
          <w:sz w:val="32"/>
          <w:szCs w:val="32"/>
        </w:rPr>
        <w:t>（三）布展搭建及撤展</w:t>
      </w:r>
    </w:p>
    <w:p w14:paraId="03A32E31">
      <w:pPr>
        <w:snapToGrid w:val="0"/>
        <w:spacing w:line="580" w:lineRule="exact"/>
        <w:ind w:firstLine="640" w:firstLineChars="200"/>
        <w:rPr>
          <w:rFonts w:ascii="仿宋_GB2312" w:hAnsi="Times New Roman" w:eastAsia="仿宋_GB2312"/>
          <w:sz w:val="32"/>
          <w:szCs w:val="32"/>
        </w:rPr>
      </w:pPr>
      <w:r>
        <w:rPr>
          <w:rFonts w:ascii="仿宋_GB2312" w:hAnsi="Times New Roman" w:eastAsia="仿宋_GB2312"/>
          <w:sz w:val="32"/>
          <w:szCs w:val="32"/>
        </w:rPr>
        <w:t>严格遵照展馆施工规范与用材要求，统一办理进场施工、场地设施使用等全部报备手续，</w:t>
      </w:r>
      <w:r>
        <w:rPr>
          <w:rFonts w:hint="eastAsia" w:ascii="仿宋_GB2312" w:hAnsi="Times New Roman" w:eastAsia="仿宋_GB2312"/>
          <w:sz w:val="32"/>
          <w:szCs w:val="32"/>
        </w:rPr>
        <w:t>在</w:t>
      </w:r>
      <w:r>
        <w:rPr>
          <w:rFonts w:ascii="仿宋_GB2312" w:hAnsi="Times New Roman" w:eastAsia="仿宋_GB2312"/>
          <w:sz w:val="32"/>
          <w:szCs w:val="32"/>
        </w:rPr>
        <w:t>第三方专业机构监督管理</w:t>
      </w:r>
      <w:r>
        <w:rPr>
          <w:rFonts w:hint="eastAsia" w:ascii="仿宋_GB2312" w:hAnsi="Times New Roman" w:eastAsia="仿宋_GB2312"/>
          <w:sz w:val="32"/>
          <w:szCs w:val="32"/>
        </w:rPr>
        <w:t>下</w:t>
      </w:r>
      <w:r>
        <w:rPr>
          <w:rFonts w:ascii="仿宋_GB2312" w:hAnsi="Times New Roman" w:eastAsia="仿宋_GB2312"/>
          <w:sz w:val="32"/>
          <w:szCs w:val="32"/>
        </w:rPr>
        <w:t>，</w:t>
      </w:r>
      <w:r>
        <w:rPr>
          <w:rFonts w:hint="eastAsia" w:ascii="仿宋_GB2312" w:hAnsi="Times New Roman" w:eastAsia="仿宋_GB2312"/>
          <w:sz w:val="32"/>
          <w:szCs w:val="32"/>
        </w:rPr>
        <w:t>按时</w:t>
      </w:r>
      <w:r>
        <w:rPr>
          <w:rFonts w:ascii="仿宋_GB2312" w:hAnsi="Times New Roman" w:eastAsia="仿宋_GB2312"/>
          <w:sz w:val="32"/>
          <w:szCs w:val="32"/>
        </w:rPr>
        <w:t>完成全馆展区展位的安全搭建、设备安装与系统调试工作</w:t>
      </w:r>
      <w:r>
        <w:rPr>
          <w:rFonts w:hint="eastAsia" w:ascii="仿宋_GB2312" w:hAnsi="Times New Roman" w:eastAsia="仿宋_GB2312"/>
          <w:sz w:val="32"/>
          <w:szCs w:val="32"/>
        </w:rPr>
        <w:t>。</w:t>
      </w:r>
      <w:r>
        <w:rPr>
          <w:rFonts w:ascii="仿宋_GB2312" w:hAnsi="Times New Roman" w:eastAsia="仿宋_GB2312"/>
          <w:sz w:val="32"/>
          <w:szCs w:val="32"/>
        </w:rPr>
        <w:t>展会结束后在规定时限内完成全场展台拆除、物料清运与撤展收尾工作</w:t>
      </w:r>
      <w:r>
        <w:rPr>
          <w:rFonts w:hint="eastAsia" w:ascii="仿宋_GB2312" w:hAnsi="Times New Roman" w:eastAsia="仿宋_GB2312"/>
          <w:sz w:val="32"/>
          <w:szCs w:val="32"/>
        </w:rPr>
        <w:t>。</w:t>
      </w:r>
      <w:r>
        <w:rPr>
          <w:rFonts w:ascii="仿宋_GB2312" w:hAnsi="Times New Roman" w:eastAsia="仿宋_GB2312"/>
          <w:sz w:val="32"/>
          <w:szCs w:val="32"/>
        </w:rPr>
        <w:t>布展、展期、撤展</w:t>
      </w:r>
      <w:r>
        <w:rPr>
          <w:rFonts w:hint="eastAsia" w:ascii="仿宋_GB2312" w:hAnsi="Times New Roman" w:eastAsia="仿宋_GB2312"/>
          <w:sz w:val="32"/>
          <w:szCs w:val="32"/>
        </w:rPr>
        <w:t>各阶段</w:t>
      </w:r>
      <w:r>
        <w:rPr>
          <w:rFonts w:ascii="仿宋_GB2312" w:hAnsi="Times New Roman" w:eastAsia="仿宋_GB2312"/>
          <w:sz w:val="32"/>
          <w:szCs w:val="32"/>
        </w:rPr>
        <w:t>分别足额配备现场管理及保障人员，负责进度管控、安全排查、技术运维、应急处置及场地清退等工作。</w:t>
      </w:r>
    </w:p>
    <w:p w14:paraId="755AED4C">
      <w:pPr>
        <w:spacing w:after="0" w:line="360" w:lineRule="auto"/>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人员要求：布展期</w:t>
      </w:r>
      <w:r>
        <w:rPr>
          <w:rFonts w:ascii="仿宋_GB2312" w:hAnsi="仿宋_GB2312" w:eastAsia="仿宋_GB2312" w:cs="仿宋_GB2312"/>
          <w:color w:val="auto"/>
          <w:sz w:val="32"/>
          <w:szCs w:val="32"/>
        </w:rPr>
        <w:t>现场管理人员不得少于3人，</w:t>
      </w:r>
      <w:r>
        <w:rPr>
          <w:rFonts w:hint="eastAsia" w:ascii="仿宋_GB2312" w:hAnsi="仿宋_GB2312" w:eastAsia="仿宋_GB2312" w:cs="仿宋_GB2312"/>
          <w:color w:val="auto"/>
          <w:sz w:val="32"/>
          <w:szCs w:val="32"/>
        </w:rPr>
        <w:t>负责统筹施工进度和安全风险排查，确保搭建工作按计划完成</w:t>
      </w:r>
      <w:r>
        <w:rPr>
          <w:rFonts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rPr>
        <w:t>开展期现场管理人员及保障人员不得少于</w:t>
      </w:r>
      <w:r>
        <w:rPr>
          <w:rFonts w:ascii="仿宋_GB2312" w:hAnsi="仿宋_GB2312" w:eastAsia="仿宋_GB2312" w:cs="仿宋_GB2312"/>
          <w:color w:val="auto"/>
          <w:sz w:val="32"/>
          <w:szCs w:val="32"/>
        </w:rPr>
        <w:t>5人，负责展台</w:t>
      </w:r>
      <w:r>
        <w:rPr>
          <w:rFonts w:hint="eastAsia" w:ascii="仿宋_GB2312" w:hAnsi="仿宋_GB2312" w:eastAsia="仿宋_GB2312" w:cs="仿宋_GB2312"/>
          <w:color w:val="auto"/>
          <w:sz w:val="32"/>
          <w:szCs w:val="32"/>
        </w:rPr>
        <w:t>技术维护及应急处理</w:t>
      </w:r>
      <w:r>
        <w:rPr>
          <w:rFonts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rPr>
        <w:t>撤展期现场管理人员不得少于</w:t>
      </w:r>
      <w:r>
        <w:rPr>
          <w:rFonts w:ascii="仿宋_GB2312" w:hAnsi="仿宋_GB2312" w:eastAsia="仿宋_GB2312" w:cs="仿宋_GB2312"/>
          <w:color w:val="auto"/>
          <w:sz w:val="32"/>
          <w:szCs w:val="32"/>
        </w:rPr>
        <w:t>2人，</w:t>
      </w:r>
      <w:r>
        <w:rPr>
          <w:rFonts w:hint="eastAsia" w:ascii="仿宋_GB2312" w:hAnsi="仿宋_GB2312" w:eastAsia="仿宋_GB2312" w:cs="仿宋_GB2312"/>
          <w:color w:val="auto"/>
          <w:sz w:val="32"/>
          <w:szCs w:val="32"/>
        </w:rPr>
        <w:t>确保撤展作业顺利完成且场地无遗留物。</w:t>
      </w:r>
    </w:p>
    <w:p w14:paraId="28D8280F">
      <w:pPr>
        <w:snapToGrid w:val="0"/>
        <w:spacing w:line="580" w:lineRule="exact"/>
        <w:ind w:firstLine="640" w:firstLineChars="200"/>
        <w:rPr>
          <w:rFonts w:ascii="仿宋_GB2312" w:hAnsi="Times New Roman" w:eastAsia="仿宋_GB2312"/>
          <w:sz w:val="32"/>
          <w:szCs w:val="32"/>
        </w:rPr>
      </w:pPr>
    </w:p>
    <w:p w14:paraId="336D2E01">
      <w:pPr>
        <w:snapToGrid w:val="0"/>
        <w:spacing w:line="580" w:lineRule="exact"/>
        <w:ind w:firstLine="640" w:firstLineChars="200"/>
        <w:rPr>
          <w:rFonts w:ascii="楷体_GB2312" w:hAnsi="楷体_GB2312" w:eastAsia="楷体_GB2312" w:cs="楷体_GB2312"/>
          <w:sz w:val="32"/>
          <w:szCs w:val="32"/>
        </w:rPr>
      </w:pPr>
      <w:r>
        <w:rPr>
          <w:rFonts w:hint="eastAsia" w:ascii="楷体_GB2312" w:hAnsi="楷体_GB2312" w:eastAsia="楷体_GB2312" w:cs="楷体_GB2312"/>
          <w:sz w:val="32"/>
          <w:szCs w:val="32"/>
        </w:rPr>
        <w:t>（四）展期运营保障</w:t>
      </w:r>
    </w:p>
    <w:p w14:paraId="517EC872">
      <w:pPr>
        <w:snapToGrid w:val="0"/>
        <w:spacing w:line="580" w:lineRule="exact"/>
        <w:ind w:firstLine="640" w:firstLineChars="200"/>
        <w:rPr>
          <w:rFonts w:ascii="仿宋_GB2312" w:hAnsi="Times New Roman" w:eastAsia="仿宋_GB2312"/>
          <w:sz w:val="32"/>
          <w:szCs w:val="32"/>
        </w:rPr>
      </w:pPr>
      <w:r>
        <w:rPr>
          <w:rFonts w:ascii="仿宋_GB2312" w:hAnsi="Times New Roman" w:eastAsia="仿宋_GB2312"/>
          <w:sz w:val="32"/>
          <w:szCs w:val="32"/>
        </w:rPr>
        <w:t>展期内落实常态化现场运营保障工作，每日开展前安排专职人员对展区各类设备开展例行检查，及时排查并整改设备隐患；负责展示结构及美工物料的日常检修与更换维护；每日闭馆、展商完成展品断电操作后，全面开展场地安全巡查，</w:t>
      </w:r>
      <w:r>
        <w:rPr>
          <w:rFonts w:hint="eastAsia" w:ascii="仿宋_GB2312" w:hAnsi="Times New Roman" w:eastAsia="仿宋_GB2312"/>
          <w:sz w:val="32"/>
          <w:szCs w:val="32"/>
        </w:rPr>
        <w:t>完成后通知展馆方</w:t>
      </w:r>
      <w:r>
        <w:rPr>
          <w:rFonts w:ascii="仿宋_GB2312" w:hAnsi="Times New Roman" w:eastAsia="仿宋_GB2312"/>
          <w:sz w:val="32"/>
          <w:szCs w:val="32"/>
        </w:rPr>
        <w:t>关闭总电源。</w:t>
      </w:r>
    </w:p>
    <w:p w14:paraId="033D6FC4">
      <w:pPr>
        <w:snapToGrid w:val="0"/>
        <w:spacing w:line="580" w:lineRule="exact"/>
        <w:ind w:firstLine="640" w:firstLineChars="200"/>
        <w:rPr>
          <w:rFonts w:ascii="楷体_GB2312" w:hAnsi="楷体_GB2312" w:eastAsia="楷体_GB2312" w:cs="楷体_GB2312"/>
          <w:sz w:val="32"/>
          <w:szCs w:val="32"/>
        </w:rPr>
      </w:pPr>
      <w:r>
        <w:rPr>
          <w:rFonts w:hint="eastAsia" w:ascii="楷体_GB2312" w:hAnsi="楷体_GB2312" w:eastAsia="楷体_GB2312" w:cs="楷体_GB2312"/>
          <w:sz w:val="32"/>
          <w:szCs w:val="32"/>
        </w:rPr>
        <w:t>（五）人员保障</w:t>
      </w:r>
    </w:p>
    <w:p w14:paraId="22A261B8">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组建专项展会服务保障团队，实行分级管理体系，明确各岗位工作职责、工作流程、考核标准。总负责人全程统筹项目设计、制作、搭建、运营、撤展全流程工作，对接主办方开展日常沟通、进度汇报、问题处置;各专项分管人员分别负责设计施工、设备运维、现场服务、安全保障、物料管理等细分板块;现场运维、技术、保障人员全程轮值值守，布展、展期、撤展各阶段人力足额配置，确保各项工作有人管、有落实、有反馈。</w:t>
      </w:r>
    </w:p>
    <w:p w14:paraId="42115DE8">
      <w:pPr>
        <w:snapToGrid w:val="0"/>
        <w:spacing w:line="580" w:lineRule="exact"/>
        <w:ind w:firstLine="640" w:firstLineChars="200"/>
        <w:rPr>
          <w:rFonts w:ascii="楷体_GB2312" w:hAnsi="楷体_GB2312" w:eastAsia="楷体_GB2312" w:cs="楷体_GB2312"/>
          <w:sz w:val="32"/>
          <w:szCs w:val="32"/>
        </w:rPr>
      </w:pPr>
      <w:r>
        <w:rPr>
          <w:rFonts w:hint="eastAsia" w:ascii="楷体_GB2312" w:hAnsi="楷体_GB2312" w:eastAsia="楷体_GB2312" w:cs="楷体_GB2312"/>
          <w:sz w:val="32"/>
          <w:szCs w:val="32"/>
        </w:rPr>
        <w:t>（六）制度保障</w:t>
      </w:r>
    </w:p>
    <w:p w14:paraId="09196852">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建立健全项目全流程管理制度体系。一是建立项目进度管控制度，细化各阶段工作节点、工期计划，每日开展进度复盘，确保项目按期推进;二是建立质量验收制度，对设计成果、物料制作、搭建施工、设备调试、现场运维各环节开展分级验收;三是建立安全管理制度，落实消防安全、施工安全、用电安全、人员安全、场地安全管控要求，常态化开展安全巡查与隐患整改;四是建立应急处置制度，针对设备故障、突发舆情、恶劣天气、安全隐患等各类突发情况，制定专项应急预案。</w:t>
      </w:r>
      <w:r>
        <w:rPr>
          <w:rFonts w:ascii="仿宋_GB2312" w:hAnsi="Times New Roman" w:eastAsia="仿宋_GB2312"/>
          <w:sz w:val="32"/>
          <w:szCs w:val="32"/>
        </w:rPr>
        <w:t>。</w:t>
      </w:r>
    </w:p>
    <w:p w14:paraId="3873442E">
      <w:pPr>
        <w:snapToGrid w:val="0"/>
        <w:spacing w:line="580" w:lineRule="exact"/>
        <w:ind w:firstLine="640" w:firstLineChars="200"/>
        <w:rPr>
          <w:rFonts w:ascii="楷体_GB2312" w:hAnsi="楷体_GB2312" w:eastAsia="楷体_GB2312" w:cs="楷体_GB2312"/>
          <w:sz w:val="32"/>
          <w:szCs w:val="32"/>
        </w:rPr>
      </w:pPr>
      <w:r>
        <w:rPr>
          <w:rFonts w:hint="eastAsia" w:ascii="楷体_GB2312" w:hAnsi="楷体_GB2312" w:eastAsia="楷体_GB2312" w:cs="楷体_GB2312"/>
          <w:sz w:val="32"/>
          <w:szCs w:val="32"/>
        </w:rPr>
        <w:t>（七）沟通保障</w:t>
      </w:r>
    </w:p>
    <w:p w14:paraId="61A0422F">
      <w:pPr>
        <w:snapToGrid w:val="0"/>
        <w:spacing w:line="58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搭建全方位、常态化沟通对接机制。建立与主办方的日常对接机制，每日报送工作进度、阶段成果、存在问题:建立与场馆方、第三方监理的专项沟通机制，确保各项工作合规落地;建立内部团队沟通机制，每日召开工作例会同步工作进度、协调解决问题、部署次日工作:建立展商咨询对接机制，及时响应展商诉求、解答参展疑问、解决现场问题。</w:t>
      </w:r>
    </w:p>
    <w:p w14:paraId="6B1C911C"/>
    <w:p w14:paraId="7DDF2F29">
      <w:pPr>
        <w:spacing w:after="0" w:line="360" w:lineRule="auto"/>
        <w:rPr>
          <w:rFonts w:hint="eastAsia" w:ascii="黑体" w:hAnsi="黑体" w:eastAsia="黑体" w:cs="黑体"/>
          <w:sz w:val="32"/>
          <w:szCs w:val="32"/>
          <w:lang w:eastAsia="zh-CN"/>
        </w:rPr>
      </w:pPr>
      <w:r>
        <w:rPr>
          <w:rFonts w:hint="eastAsia" w:ascii="黑体" w:hAnsi="黑体" w:eastAsia="黑体" w:cs="黑体"/>
          <w:sz w:val="32"/>
          <w:szCs w:val="32"/>
        </w:rPr>
        <w:t>六</w:t>
      </w:r>
      <w:r>
        <w:rPr>
          <w:rFonts w:hint="eastAsia" w:ascii="黑体" w:hAnsi="黑体" w:eastAsia="黑体" w:cs="黑体"/>
          <w:sz w:val="32"/>
          <w:szCs w:val="32"/>
          <w:lang w:eastAsia="zh-Hans"/>
        </w:rPr>
        <w:t>、</w:t>
      </w:r>
      <w:r>
        <w:rPr>
          <w:rFonts w:hint="eastAsia" w:ascii="黑体" w:hAnsi="黑体" w:eastAsia="黑体" w:cs="黑体"/>
          <w:sz w:val="32"/>
          <w:szCs w:val="32"/>
          <w:lang w:eastAsia="zh-CN"/>
        </w:rPr>
        <w:t>搭建明细</w:t>
      </w:r>
    </w:p>
    <w:tbl>
      <w:tblPr>
        <w:tblStyle w:val="10"/>
        <w:tblW w:w="8637"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72"/>
        <w:gridCol w:w="1404"/>
        <w:gridCol w:w="852"/>
        <w:gridCol w:w="753"/>
        <w:gridCol w:w="4656"/>
      </w:tblGrid>
      <w:tr w14:paraId="42B19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01A65">
            <w:pPr>
              <w:keepNext w:val="0"/>
              <w:keepLines w:val="0"/>
              <w:widowControl/>
              <w:suppressLineNumbers w:val="0"/>
              <w:jc w:val="center"/>
              <w:textAlignment w:val="center"/>
              <w:rPr>
                <w:rFonts w:ascii="微软雅黑" w:hAnsi="微软雅黑" w:eastAsia="微软雅黑" w:cs="微软雅黑"/>
                <w:b/>
                <w:bCs/>
                <w:i w:val="0"/>
                <w:iCs w:val="0"/>
                <w:color w:val="000000"/>
                <w:sz w:val="20"/>
                <w:szCs w:val="20"/>
                <w:u w:val="none"/>
              </w:rPr>
            </w:pPr>
            <w:r>
              <w:rPr>
                <w:rFonts w:hint="default" w:ascii="微软雅黑" w:hAnsi="微软雅黑" w:eastAsia="微软雅黑" w:cs="微软雅黑"/>
                <w:b/>
                <w:bCs/>
                <w:i w:val="0"/>
                <w:iCs w:val="0"/>
                <w:color w:val="000000"/>
                <w:kern w:val="0"/>
                <w:sz w:val="20"/>
                <w:szCs w:val="20"/>
                <w:u w:val="none"/>
                <w:lang w:val="en-US" w:eastAsia="zh-CN" w:bidi="ar"/>
              </w:rPr>
              <w:t>项目</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64F24">
            <w:pPr>
              <w:keepNext w:val="0"/>
              <w:keepLines w:val="0"/>
              <w:widowControl/>
              <w:suppressLineNumbers w:val="0"/>
              <w:jc w:val="center"/>
              <w:textAlignment w:val="center"/>
              <w:rPr>
                <w:rFonts w:hint="default" w:ascii="微软雅黑" w:hAnsi="微软雅黑" w:eastAsia="微软雅黑" w:cs="微软雅黑"/>
                <w:b/>
                <w:bCs/>
                <w:i w:val="0"/>
                <w:iCs w:val="0"/>
                <w:color w:val="000000"/>
                <w:sz w:val="20"/>
                <w:szCs w:val="20"/>
                <w:u w:val="none"/>
              </w:rPr>
            </w:pPr>
            <w:r>
              <w:rPr>
                <w:rFonts w:hint="default" w:ascii="微软雅黑" w:hAnsi="微软雅黑" w:eastAsia="微软雅黑" w:cs="微软雅黑"/>
                <w:b/>
                <w:bCs/>
                <w:i w:val="0"/>
                <w:iCs w:val="0"/>
                <w:color w:val="000000"/>
                <w:kern w:val="0"/>
                <w:sz w:val="20"/>
                <w:szCs w:val="20"/>
                <w:u w:val="none"/>
                <w:lang w:val="en-US" w:eastAsia="zh-CN" w:bidi="ar"/>
              </w:rPr>
              <w:t>项目内容</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7ACA4">
            <w:pPr>
              <w:keepNext w:val="0"/>
              <w:keepLines w:val="0"/>
              <w:widowControl/>
              <w:suppressLineNumbers w:val="0"/>
              <w:jc w:val="center"/>
              <w:textAlignment w:val="center"/>
              <w:rPr>
                <w:rFonts w:hint="default" w:ascii="微软雅黑" w:hAnsi="微软雅黑" w:eastAsia="微软雅黑" w:cs="微软雅黑"/>
                <w:b/>
                <w:bCs/>
                <w:i w:val="0"/>
                <w:iCs w:val="0"/>
                <w:color w:val="000000"/>
                <w:sz w:val="20"/>
                <w:szCs w:val="20"/>
                <w:u w:val="none"/>
              </w:rPr>
            </w:pPr>
            <w:r>
              <w:rPr>
                <w:rFonts w:hint="default" w:ascii="微软雅黑" w:hAnsi="微软雅黑" w:eastAsia="微软雅黑" w:cs="微软雅黑"/>
                <w:b/>
                <w:bCs/>
                <w:i w:val="0"/>
                <w:iCs w:val="0"/>
                <w:color w:val="000000"/>
                <w:kern w:val="0"/>
                <w:sz w:val="20"/>
                <w:szCs w:val="20"/>
                <w:u w:val="none"/>
                <w:lang w:val="en-US" w:eastAsia="zh-CN" w:bidi="ar"/>
              </w:rPr>
              <w:t>单位</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3C672">
            <w:pPr>
              <w:keepNext w:val="0"/>
              <w:keepLines w:val="0"/>
              <w:widowControl/>
              <w:suppressLineNumbers w:val="0"/>
              <w:jc w:val="center"/>
              <w:textAlignment w:val="center"/>
              <w:rPr>
                <w:rFonts w:hint="default" w:ascii="微软雅黑" w:hAnsi="微软雅黑" w:eastAsia="微软雅黑" w:cs="微软雅黑"/>
                <w:b/>
                <w:bCs/>
                <w:i w:val="0"/>
                <w:iCs w:val="0"/>
                <w:color w:val="000000"/>
                <w:sz w:val="20"/>
                <w:szCs w:val="20"/>
                <w:u w:val="none"/>
              </w:rPr>
            </w:pPr>
            <w:r>
              <w:rPr>
                <w:rFonts w:hint="default" w:ascii="微软雅黑" w:hAnsi="微软雅黑" w:eastAsia="微软雅黑" w:cs="微软雅黑"/>
                <w:b/>
                <w:bCs/>
                <w:i w:val="0"/>
                <w:iCs w:val="0"/>
                <w:color w:val="000000"/>
                <w:kern w:val="0"/>
                <w:sz w:val="20"/>
                <w:szCs w:val="20"/>
                <w:u w:val="none"/>
                <w:lang w:val="en-US" w:eastAsia="zh-CN" w:bidi="ar"/>
              </w:rPr>
              <w:t>预估数量</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A988A">
            <w:pPr>
              <w:keepNext w:val="0"/>
              <w:keepLines w:val="0"/>
              <w:widowControl/>
              <w:suppressLineNumbers w:val="0"/>
              <w:jc w:val="center"/>
              <w:textAlignment w:val="center"/>
              <w:rPr>
                <w:rFonts w:hint="default" w:ascii="微软雅黑" w:hAnsi="微软雅黑" w:eastAsia="微软雅黑" w:cs="微软雅黑"/>
                <w:b/>
                <w:bCs/>
                <w:i w:val="0"/>
                <w:iCs w:val="0"/>
                <w:color w:val="000000"/>
                <w:sz w:val="20"/>
                <w:szCs w:val="20"/>
                <w:u w:val="none"/>
              </w:rPr>
            </w:pPr>
            <w:r>
              <w:rPr>
                <w:rFonts w:hint="default" w:ascii="微软雅黑" w:hAnsi="微软雅黑" w:eastAsia="微软雅黑" w:cs="微软雅黑"/>
                <w:b/>
                <w:bCs/>
                <w:i w:val="0"/>
                <w:iCs w:val="0"/>
                <w:color w:val="000000"/>
                <w:kern w:val="0"/>
                <w:sz w:val="20"/>
                <w:szCs w:val="20"/>
                <w:u w:val="none"/>
                <w:lang w:val="en-US" w:eastAsia="zh-CN" w:bidi="ar"/>
              </w:rPr>
              <w:t>备注</w:t>
            </w:r>
          </w:p>
        </w:tc>
      </w:tr>
      <w:tr w14:paraId="766A2F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3981" w:type="dxa"/>
            <w:gridSpan w:val="4"/>
            <w:tcBorders>
              <w:top w:val="single" w:color="000000" w:sz="4" w:space="0"/>
              <w:left w:val="single" w:color="000000" w:sz="4" w:space="0"/>
              <w:bottom w:val="single" w:color="000000" w:sz="4" w:space="0"/>
              <w:right w:val="nil"/>
            </w:tcBorders>
            <w:shd w:val="clear" w:color="auto" w:fill="auto"/>
            <w:vAlign w:val="center"/>
          </w:tcPr>
          <w:p w14:paraId="5FABD1AC">
            <w:pPr>
              <w:keepNext w:val="0"/>
              <w:keepLines w:val="0"/>
              <w:widowControl/>
              <w:suppressLineNumbers w:val="0"/>
              <w:jc w:val="left"/>
              <w:textAlignment w:val="center"/>
              <w:rPr>
                <w:rFonts w:hint="default" w:ascii="微软雅黑" w:hAnsi="微软雅黑" w:eastAsia="微软雅黑" w:cs="微软雅黑"/>
                <w:b/>
                <w:bCs/>
                <w:i w:val="0"/>
                <w:iCs w:val="0"/>
                <w:color w:val="000000"/>
                <w:sz w:val="20"/>
                <w:szCs w:val="20"/>
                <w:u w:val="none"/>
              </w:rPr>
            </w:pPr>
            <w:r>
              <w:rPr>
                <w:rFonts w:hint="default" w:ascii="微软雅黑" w:hAnsi="微软雅黑" w:eastAsia="微软雅黑" w:cs="微软雅黑"/>
                <w:b/>
                <w:bCs/>
                <w:i w:val="0"/>
                <w:iCs w:val="0"/>
                <w:color w:val="000000"/>
                <w:kern w:val="0"/>
                <w:sz w:val="20"/>
                <w:szCs w:val="20"/>
                <w:u w:val="none"/>
                <w:lang w:val="en-US" w:eastAsia="zh-CN" w:bidi="ar"/>
              </w:rPr>
              <w:t>一、设计费用</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9FB96">
            <w:pPr>
              <w:rPr>
                <w:rFonts w:hint="default" w:ascii="微软雅黑" w:hAnsi="微软雅黑" w:eastAsia="微软雅黑" w:cs="微软雅黑"/>
                <w:b/>
                <w:bCs/>
                <w:i w:val="0"/>
                <w:iCs w:val="0"/>
                <w:color w:val="000000"/>
                <w:sz w:val="20"/>
                <w:szCs w:val="20"/>
                <w:u w:val="none"/>
              </w:rPr>
            </w:pPr>
          </w:p>
        </w:tc>
      </w:tr>
      <w:tr w14:paraId="227720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D17D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展区设计</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DFF49">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整体设计方案</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150AC">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项</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EA9DF">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A619F">
            <w:pPr>
              <w:keepNext w:val="0"/>
              <w:keepLines w:val="0"/>
              <w:widowControl/>
              <w:suppressLineNumbers w:val="0"/>
              <w:jc w:val="both"/>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含展区布局规划、立体设计、平面设计、施工图设计等。</w:t>
            </w:r>
          </w:p>
        </w:tc>
      </w:tr>
      <w:tr w14:paraId="3A6EC7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3981" w:type="dxa"/>
            <w:gridSpan w:val="4"/>
            <w:tcBorders>
              <w:top w:val="single" w:color="000000" w:sz="4" w:space="0"/>
              <w:left w:val="single" w:color="000000" w:sz="4" w:space="0"/>
              <w:bottom w:val="single" w:color="000000" w:sz="4" w:space="0"/>
              <w:right w:val="nil"/>
            </w:tcBorders>
            <w:shd w:val="clear" w:color="auto" w:fill="auto"/>
            <w:vAlign w:val="center"/>
          </w:tcPr>
          <w:p w14:paraId="3A4B9F9A">
            <w:pPr>
              <w:keepNext w:val="0"/>
              <w:keepLines w:val="0"/>
              <w:widowControl/>
              <w:suppressLineNumbers w:val="0"/>
              <w:jc w:val="left"/>
              <w:textAlignment w:val="center"/>
              <w:rPr>
                <w:rFonts w:hint="default" w:ascii="微软雅黑" w:hAnsi="微软雅黑" w:eastAsia="微软雅黑" w:cs="微软雅黑"/>
                <w:b/>
                <w:bCs/>
                <w:i w:val="0"/>
                <w:iCs w:val="0"/>
                <w:color w:val="000000"/>
                <w:sz w:val="20"/>
                <w:szCs w:val="20"/>
                <w:u w:val="none"/>
              </w:rPr>
            </w:pPr>
            <w:r>
              <w:rPr>
                <w:rFonts w:hint="default" w:ascii="微软雅黑" w:hAnsi="微软雅黑" w:eastAsia="微软雅黑" w:cs="微软雅黑"/>
                <w:b/>
                <w:bCs/>
                <w:i w:val="0"/>
                <w:iCs w:val="0"/>
                <w:color w:val="000000"/>
                <w:kern w:val="0"/>
                <w:sz w:val="20"/>
                <w:szCs w:val="20"/>
                <w:u w:val="none"/>
                <w:lang w:val="en-US" w:eastAsia="zh-CN" w:bidi="ar"/>
              </w:rPr>
              <w:t>二、布展费用</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6BA5C">
            <w:pPr>
              <w:rPr>
                <w:rFonts w:hint="default" w:ascii="微软雅黑" w:hAnsi="微软雅黑" w:eastAsia="微软雅黑" w:cs="微软雅黑"/>
                <w:b/>
                <w:bCs/>
                <w:i w:val="0"/>
                <w:iCs w:val="0"/>
                <w:color w:val="000000"/>
                <w:sz w:val="20"/>
                <w:szCs w:val="20"/>
                <w:u w:val="none"/>
              </w:rPr>
            </w:pPr>
          </w:p>
        </w:tc>
      </w:tr>
      <w:tr w14:paraId="78C20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B49C73">
            <w:pPr>
              <w:keepNext w:val="0"/>
              <w:keepLines w:val="0"/>
              <w:widowControl/>
              <w:suppressLineNumbers w:val="0"/>
              <w:jc w:val="center"/>
              <w:textAlignment w:val="center"/>
              <w:rPr>
                <w:rFonts w:hint="default" w:ascii="微软雅黑" w:hAnsi="微软雅黑" w:eastAsia="微软雅黑" w:cs="微软雅黑"/>
                <w:i w:val="0"/>
                <w:iCs w:val="0"/>
                <w:color w:val="000000"/>
                <w:sz w:val="21"/>
                <w:szCs w:val="21"/>
                <w:u w:val="none"/>
              </w:rPr>
            </w:pPr>
            <w:r>
              <w:rPr>
                <w:rFonts w:hint="default" w:ascii="微软雅黑" w:hAnsi="微软雅黑" w:eastAsia="微软雅黑" w:cs="微软雅黑"/>
                <w:i w:val="0"/>
                <w:iCs w:val="0"/>
                <w:color w:val="000000"/>
                <w:kern w:val="0"/>
                <w:sz w:val="21"/>
                <w:szCs w:val="21"/>
                <w:u w:val="none"/>
                <w:lang w:val="en-US" w:eastAsia="zh-CN" w:bidi="ar"/>
              </w:rPr>
              <w:t>结构部分</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75564">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标准展位结构</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6CF73">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FA0BD">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5000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08CC1">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40铝合金八棱柱，1000*2500宝丽板展板，每个标准展位面积约8-9平米。</w:t>
            </w:r>
          </w:p>
        </w:tc>
      </w:tr>
      <w:tr w14:paraId="5E202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67CA1">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023B5">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标准问询台</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37AAA">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1F477">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1000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73357">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40铝合金八棱柱，1000*500*750。</w:t>
            </w:r>
          </w:p>
        </w:tc>
      </w:tr>
      <w:tr w14:paraId="0A7AE3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327244">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A7CA3">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标准货架</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D4DB6">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37C36">
            <w:pPr>
              <w:keepNext w:val="0"/>
              <w:keepLines w:val="0"/>
              <w:widowControl/>
              <w:suppressLineNumbers w:val="0"/>
              <w:jc w:val="center"/>
              <w:textAlignment w:val="center"/>
              <w:rPr>
                <w:rFonts w:hint="default" w:ascii="微软雅黑" w:hAnsi="微软雅黑" w:eastAsia="微软雅黑" w:cs="微软雅黑"/>
                <w:i w:val="0"/>
                <w:iCs w:val="0"/>
                <w:color w:val="000000"/>
                <w:sz w:val="21"/>
                <w:szCs w:val="21"/>
                <w:u w:val="none"/>
              </w:rPr>
            </w:pPr>
            <w:r>
              <w:rPr>
                <w:rFonts w:hint="default" w:ascii="微软雅黑" w:hAnsi="微软雅黑" w:eastAsia="微软雅黑" w:cs="微软雅黑"/>
                <w:i w:val="0"/>
                <w:iCs w:val="0"/>
                <w:color w:val="000000"/>
                <w:kern w:val="0"/>
                <w:sz w:val="21"/>
                <w:szCs w:val="21"/>
                <w:u w:val="none"/>
                <w:lang w:val="en-US" w:eastAsia="zh-CN" w:bidi="ar"/>
              </w:rPr>
              <w:t>300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B10F1">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1.5mm钢板折边，1500*450*2000。</w:t>
            </w:r>
          </w:p>
        </w:tc>
      </w:tr>
      <w:tr w14:paraId="54A4BC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C28812">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14283">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桁架结构</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051A5">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3EBD2">
            <w:pPr>
              <w:keepNext w:val="0"/>
              <w:keepLines w:val="0"/>
              <w:widowControl/>
              <w:suppressLineNumbers w:val="0"/>
              <w:jc w:val="center"/>
              <w:textAlignment w:val="center"/>
              <w:rPr>
                <w:rFonts w:hint="default" w:ascii="微软雅黑" w:hAnsi="微软雅黑" w:eastAsia="微软雅黑" w:cs="微软雅黑"/>
                <w:i w:val="0"/>
                <w:iCs w:val="0"/>
                <w:color w:val="000000"/>
                <w:sz w:val="21"/>
                <w:szCs w:val="21"/>
                <w:u w:val="none"/>
              </w:rPr>
            </w:pPr>
            <w:r>
              <w:rPr>
                <w:rFonts w:hint="default" w:ascii="微软雅黑" w:hAnsi="微软雅黑" w:eastAsia="微软雅黑" w:cs="微软雅黑"/>
                <w:i w:val="0"/>
                <w:iCs w:val="0"/>
                <w:color w:val="000000"/>
                <w:kern w:val="0"/>
                <w:sz w:val="21"/>
                <w:szCs w:val="21"/>
                <w:u w:val="none"/>
                <w:lang w:val="en-US" w:eastAsia="zh-CN" w:bidi="ar"/>
              </w:rPr>
              <w:t>275</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89817">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20*20四方桁架，外包黑底PVC喷绘布。</w:t>
            </w:r>
          </w:p>
        </w:tc>
      </w:tr>
      <w:tr w14:paraId="7BDB6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E8DACD">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BEEE3">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顶部结构</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71C52">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延米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F416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200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9E2E8">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不低于400*400毫米航空铝 桁架或同等承重量的支撑结构。</w:t>
            </w:r>
          </w:p>
        </w:tc>
      </w:tr>
      <w:tr w14:paraId="5FF07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0D9B80">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4F1F5">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立柱</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820AB">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根</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F09C2">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15</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53766">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400*400毫米航空铝桁，底部不小于1米X1米的落地钢板）。</w:t>
            </w:r>
          </w:p>
        </w:tc>
      </w:tr>
      <w:tr w14:paraId="458D44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5"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76797C">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5B212">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展示墙体</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0F95D">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CBD98">
            <w:pPr>
              <w:keepNext w:val="0"/>
              <w:keepLines w:val="0"/>
              <w:widowControl/>
              <w:suppressLineNumbers w:val="0"/>
              <w:jc w:val="center"/>
              <w:textAlignment w:val="center"/>
              <w:rPr>
                <w:rFonts w:hint="default" w:ascii="微软雅黑" w:hAnsi="微软雅黑" w:eastAsia="微软雅黑" w:cs="微软雅黑"/>
                <w:i w:val="0"/>
                <w:iCs w:val="0"/>
                <w:color w:val="000000"/>
                <w:sz w:val="21"/>
                <w:szCs w:val="21"/>
                <w:u w:val="none"/>
              </w:rPr>
            </w:pPr>
            <w:r>
              <w:rPr>
                <w:rFonts w:hint="default" w:ascii="微软雅黑" w:hAnsi="微软雅黑" w:eastAsia="微软雅黑" w:cs="微软雅黑"/>
                <w:i w:val="0"/>
                <w:iCs w:val="0"/>
                <w:color w:val="000000"/>
                <w:kern w:val="0"/>
                <w:sz w:val="21"/>
                <w:szCs w:val="21"/>
                <w:u w:val="none"/>
                <w:lang w:val="en-US" w:eastAsia="zh-CN" w:bidi="ar"/>
              </w:rPr>
              <w:t>560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CF95A">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单面加厚板墙，家私宝饰面， 内打不小于400*400毫米木龙骨或同等强度钢结构，内面涂刷涂防火材料。如高度＜4500毫米，厚度需≥150毫米；如高度＞ 4500毫米，厚度需≥200毫米。</w:t>
            </w:r>
          </w:p>
        </w:tc>
      </w:tr>
      <w:tr w14:paraId="686318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A06324">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C5038">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地面结构</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0FADA">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AC141">
            <w:pPr>
              <w:keepNext w:val="0"/>
              <w:keepLines w:val="0"/>
              <w:widowControl/>
              <w:suppressLineNumbers w:val="0"/>
              <w:jc w:val="center"/>
              <w:textAlignment w:val="center"/>
              <w:rPr>
                <w:rFonts w:hint="default" w:ascii="微软雅黑" w:hAnsi="微软雅黑" w:eastAsia="微软雅黑" w:cs="微软雅黑"/>
                <w:i w:val="0"/>
                <w:iCs w:val="0"/>
                <w:color w:val="000000"/>
                <w:sz w:val="21"/>
                <w:szCs w:val="21"/>
                <w:u w:val="none"/>
              </w:rPr>
            </w:pPr>
            <w:r>
              <w:rPr>
                <w:rFonts w:hint="default" w:ascii="微软雅黑" w:hAnsi="微软雅黑" w:eastAsia="微软雅黑" w:cs="微软雅黑"/>
                <w:i w:val="0"/>
                <w:iCs w:val="0"/>
                <w:color w:val="000000"/>
                <w:kern w:val="0"/>
                <w:sz w:val="21"/>
                <w:szCs w:val="21"/>
                <w:u w:val="none"/>
                <w:lang w:val="en-US" w:eastAsia="zh-CN" w:bidi="ar"/>
              </w:rPr>
              <w:t>5000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FC1C7">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铺设B1级阻燃地毯。</w:t>
            </w:r>
          </w:p>
        </w:tc>
      </w:tr>
      <w:tr w14:paraId="112901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95"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219FE0">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D37A6">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LED墙</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2C835">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2C407">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45</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0A900">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木质外框结构，正面开窗用于安装LED大屏，双面加厚板墙单体，家私宝饰面, 内打不小于400*400毫米 木龙骨或同等强度钢结构；LED承重地台落地内打钢结构，侧边开检修门，厚度≥800毫米。</w:t>
            </w:r>
          </w:p>
        </w:tc>
      </w:tr>
      <w:tr w14:paraId="13E65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416E2">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展柜</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C5551">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展柜</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992A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EF39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140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2BFBB">
            <w:pPr>
              <w:keepNext w:val="0"/>
              <w:keepLines w:val="0"/>
              <w:widowControl/>
              <w:suppressLineNumbers w:val="0"/>
              <w:jc w:val="both"/>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正面宽度1米，桌面承重≥ 50公斤/平方米，木质或同等其他材质，外覆写真画面，内置储存空间。至少为每个展商提供1个展柜。</w:t>
            </w:r>
          </w:p>
        </w:tc>
      </w:tr>
      <w:tr w14:paraId="77129F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35" w:hRule="atLeast"/>
        </w:trPr>
        <w:tc>
          <w:tcPr>
            <w:tcW w:w="9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88D008">
            <w:pPr>
              <w:keepNext w:val="0"/>
              <w:keepLines w:val="0"/>
              <w:widowControl/>
              <w:suppressLineNumbers w:val="0"/>
              <w:jc w:val="center"/>
              <w:textAlignment w:val="center"/>
              <w:rPr>
                <w:rFonts w:hint="default" w:ascii="微软雅黑" w:hAnsi="微软雅黑" w:eastAsia="微软雅黑" w:cs="微软雅黑"/>
                <w:i w:val="0"/>
                <w:iCs w:val="0"/>
                <w:color w:val="000000"/>
                <w:sz w:val="21"/>
                <w:szCs w:val="21"/>
                <w:u w:val="none"/>
              </w:rPr>
            </w:pPr>
            <w:r>
              <w:rPr>
                <w:rFonts w:hint="default" w:ascii="微软雅黑" w:hAnsi="微软雅黑" w:eastAsia="微软雅黑" w:cs="微软雅黑"/>
                <w:i w:val="0"/>
                <w:iCs w:val="0"/>
                <w:color w:val="000000"/>
                <w:kern w:val="0"/>
                <w:sz w:val="21"/>
                <w:szCs w:val="21"/>
                <w:u w:val="none"/>
                <w:lang w:val="en-US" w:eastAsia="zh-CN" w:bidi="ar"/>
              </w:rPr>
              <w:t>AV设备</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14660">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LED大屏幕</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966AC">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1EFE5">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80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73EF5">
            <w:pPr>
              <w:keepNext w:val="0"/>
              <w:keepLines w:val="0"/>
              <w:widowControl/>
              <w:suppressLineNumbers w:val="0"/>
              <w:jc w:val="both"/>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不低于P3规格的LED屏，P3LED屏，点距小于等于3.10mm，单体模块：0.5m*0.5m，无坏点。含支撑日字背架，锁扣或飞机带固定。含LED中央处理器 及稳压器，保证电流稳定。</w:t>
            </w:r>
          </w:p>
        </w:tc>
      </w:tr>
      <w:tr w14:paraId="7139F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60"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FC2C30">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FE989">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音响设备</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80B64">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套</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9AA3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3</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1B962">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配置不低于PS-15等级音响,单个音响功率≥500W，含落地支架；功放：单体 功放功率≥2000W；话筒：配置手持及鹅颈话筒；音响系统，含音乐播放器或 笔记本电脑，笔记本线， 适配3.5插口至卡侬接口，用于现场播放音频，现场 配备硅箱，整合电流；调 音台：除现场音响设备之 外，至少预留4路信号口，以备现场外接设备使用。</w:t>
            </w:r>
          </w:p>
        </w:tc>
      </w:tr>
      <w:tr w14:paraId="0E1FB3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1FA245">
            <w:pPr>
              <w:jc w:val="center"/>
              <w:rPr>
                <w:rFonts w:hint="default" w:ascii="微软雅黑" w:hAnsi="微软雅黑" w:eastAsia="微软雅黑" w:cs="微软雅黑"/>
                <w:i w:val="0"/>
                <w:iCs w:val="0"/>
                <w:color w:val="000000"/>
                <w:sz w:val="21"/>
                <w:szCs w:val="21"/>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CDB42">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电视或显示设备</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8CB49">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台</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2B9AC">
            <w:pPr>
              <w:keepNext w:val="0"/>
              <w:keepLines w:val="0"/>
              <w:widowControl/>
              <w:suppressLineNumbers w:val="0"/>
              <w:jc w:val="center"/>
              <w:textAlignment w:val="center"/>
              <w:rPr>
                <w:rFonts w:hint="default" w:ascii="微软雅黑" w:hAnsi="微软雅黑" w:eastAsia="微软雅黑" w:cs="微软雅黑"/>
                <w:i w:val="0"/>
                <w:iCs w:val="0"/>
                <w:color w:val="000000"/>
                <w:sz w:val="24"/>
                <w:szCs w:val="24"/>
                <w:u w:val="none"/>
              </w:rPr>
            </w:pPr>
            <w:r>
              <w:rPr>
                <w:rFonts w:hint="default" w:ascii="微软雅黑" w:hAnsi="微软雅黑" w:eastAsia="微软雅黑" w:cs="微软雅黑"/>
                <w:i w:val="0"/>
                <w:iCs w:val="0"/>
                <w:color w:val="000000"/>
                <w:kern w:val="0"/>
                <w:sz w:val="24"/>
                <w:szCs w:val="24"/>
                <w:u w:val="none"/>
                <w:lang w:val="en-US" w:eastAsia="zh-CN" w:bidi="ar"/>
              </w:rPr>
              <w:t>10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84D09">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尺寸≥55寸LCD统一品牌电视含背架或落地支架，亮度≥200尼特，首选能耗一级产品。</w:t>
            </w:r>
          </w:p>
        </w:tc>
      </w:tr>
      <w:tr w14:paraId="7992F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5C0EE6">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电气设备</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27C94">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电箱</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FBE1A">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2642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FA21E">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需配备二级电箱（符合GB标准的品牌电箱，总开关保护整定值应≤接入展馆固定电箱开关保护整定值的80%，需带断电保护）。</w:t>
            </w:r>
          </w:p>
        </w:tc>
      </w:tr>
      <w:tr w14:paraId="144FBC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45"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18812A">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27EA9">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电线</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C6FA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91AA1">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50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24AF0">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符合GB标准品牌电线，应  使用ZR-BVV(难燃双塑铜芯电线)、ZR-RVVB护套线或ZR-VV电缆(参照低压配电系统三相五线制须使用三芯或五芯线缆)，禁止使用双绞线(花线)、四芯线(缆 )和铝芯电线。</w:t>
            </w:r>
          </w:p>
        </w:tc>
      </w:tr>
      <w:tr w14:paraId="7413DA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0FDA12">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629F9">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灯具</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8652B">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5B896">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600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3E0C8">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符合GB标准，灯具整流器和触发器须选用消防部门检验合格产品。</w:t>
            </w:r>
          </w:p>
        </w:tc>
      </w:tr>
      <w:tr w14:paraId="7F326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F80710">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297EC">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插座</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32270">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CE351">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400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B3A2C">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符合GB标准，功率≥800瓦/个。</w:t>
            </w:r>
          </w:p>
        </w:tc>
      </w:tr>
      <w:tr w14:paraId="24564E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5F8FE3">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家具</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A8116">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洽谈桌椅</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C4D3D">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套</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2B7D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600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ECDC3">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洽谈桌直径≥600毫米，配4张洽谈椅。</w:t>
            </w:r>
          </w:p>
        </w:tc>
      </w:tr>
      <w:tr w14:paraId="14FC8A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A19717">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F83BE">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吧椅</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3E2CC">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FAF8A">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160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A3F7B">
            <w:pPr>
              <w:rPr>
                <w:rFonts w:hint="default" w:ascii="微软雅黑" w:hAnsi="微软雅黑" w:eastAsia="微软雅黑" w:cs="微软雅黑"/>
                <w:i w:val="0"/>
                <w:iCs w:val="0"/>
                <w:color w:val="000000"/>
                <w:sz w:val="21"/>
                <w:szCs w:val="21"/>
                <w:u w:val="none"/>
              </w:rPr>
            </w:pPr>
          </w:p>
        </w:tc>
      </w:tr>
      <w:tr w14:paraId="585CB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11724E">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7ECC3">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垃圾桶</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B3482">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E57AA">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60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92972">
            <w:pPr>
              <w:rPr>
                <w:rFonts w:hint="default" w:ascii="微软雅黑" w:hAnsi="微软雅黑" w:eastAsia="微软雅黑" w:cs="微软雅黑"/>
                <w:i w:val="0"/>
                <w:iCs w:val="0"/>
                <w:color w:val="000000"/>
                <w:sz w:val="21"/>
                <w:szCs w:val="21"/>
                <w:u w:val="none"/>
              </w:rPr>
            </w:pPr>
          </w:p>
        </w:tc>
      </w:tr>
      <w:tr w14:paraId="04429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55919E">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2DEA7">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资料架</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7972D">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DD3DC">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B73DD">
            <w:pPr>
              <w:rPr>
                <w:rFonts w:hint="default" w:ascii="微软雅黑" w:hAnsi="微软雅黑" w:eastAsia="微软雅黑" w:cs="微软雅黑"/>
                <w:i w:val="0"/>
                <w:iCs w:val="0"/>
                <w:color w:val="000000"/>
                <w:sz w:val="21"/>
                <w:szCs w:val="21"/>
                <w:u w:val="none"/>
              </w:rPr>
            </w:pPr>
          </w:p>
        </w:tc>
      </w:tr>
      <w:tr w14:paraId="143193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A1B4F7">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3F04E">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绿植</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F9B7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个</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89157">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20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706B9">
            <w:pPr>
              <w:rPr>
                <w:rFonts w:hint="default" w:ascii="微软雅黑" w:hAnsi="微软雅黑" w:eastAsia="微软雅黑" w:cs="微软雅黑"/>
                <w:i w:val="0"/>
                <w:iCs w:val="0"/>
                <w:color w:val="000000"/>
                <w:sz w:val="21"/>
                <w:szCs w:val="21"/>
                <w:u w:val="none"/>
              </w:rPr>
            </w:pPr>
          </w:p>
        </w:tc>
      </w:tr>
      <w:tr w14:paraId="5FB3D3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5C38B6">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美工物料</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4B8F4">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软膜灯箱</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1597D">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E520F">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56</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AE5DB">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软膜密度≥25s；灯箱亮度≥500尼特，LED灯带间距≥50毫米，光线均匀。</w:t>
            </w:r>
          </w:p>
        </w:tc>
      </w:tr>
      <w:tr w14:paraId="56065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BAF8C9">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2B776">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喷绘画面</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5E67C">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EAB62">
            <w:pPr>
              <w:keepNext w:val="0"/>
              <w:keepLines w:val="0"/>
              <w:widowControl/>
              <w:suppressLineNumbers w:val="0"/>
              <w:jc w:val="center"/>
              <w:textAlignment w:val="center"/>
              <w:rPr>
                <w:rFonts w:hint="default" w:ascii="微软雅黑" w:hAnsi="微软雅黑" w:eastAsia="微软雅黑" w:cs="微软雅黑"/>
                <w:i w:val="0"/>
                <w:iCs w:val="0"/>
                <w:color w:val="000000"/>
                <w:sz w:val="21"/>
                <w:szCs w:val="21"/>
                <w:u w:val="none"/>
              </w:rPr>
            </w:pPr>
            <w:r>
              <w:rPr>
                <w:rFonts w:hint="default" w:ascii="微软雅黑" w:hAnsi="微软雅黑" w:eastAsia="微软雅黑" w:cs="微软雅黑"/>
                <w:i w:val="0"/>
                <w:iCs w:val="0"/>
                <w:color w:val="000000"/>
                <w:kern w:val="0"/>
                <w:sz w:val="21"/>
                <w:szCs w:val="21"/>
                <w:u w:val="none"/>
                <w:lang w:val="en-US" w:eastAsia="zh-CN" w:bidi="ar"/>
              </w:rPr>
              <w:t>500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B1C17">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PVC黑底喷绘布。</w:t>
            </w:r>
          </w:p>
        </w:tc>
      </w:tr>
      <w:tr w14:paraId="65F10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75F27">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08AFC">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背胶写真画面</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3D663">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57D72">
            <w:pPr>
              <w:keepNext w:val="0"/>
              <w:keepLines w:val="0"/>
              <w:widowControl/>
              <w:suppressLineNumbers w:val="0"/>
              <w:jc w:val="center"/>
              <w:textAlignment w:val="center"/>
              <w:rPr>
                <w:rFonts w:hint="default" w:ascii="微软雅黑" w:hAnsi="微软雅黑" w:eastAsia="微软雅黑" w:cs="微软雅黑"/>
                <w:i w:val="0"/>
                <w:iCs w:val="0"/>
                <w:color w:val="000000"/>
                <w:sz w:val="21"/>
                <w:szCs w:val="21"/>
                <w:u w:val="none"/>
              </w:rPr>
            </w:pPr>
            <w:r>
              <w:rPr>
                <w:rFonts w:hint="default" w:ascii="微软雅黑" w:hAnsi="微软雅黑" w:eastAsia="微软雅黑" w:cs="微软雅黑"/>
                <w:i w:val="0"/>
                <w:iCs w:val="0"/>
                <w:color w:val="000000"/>
                <w:kern w:val="0"/>
                <w:sz w:val="21"/>
                <w:szCs w:val="21"/>
                <w:u w:val="none"/>
                <w:lang w:val="en-US" w:eastAsia="zh-CN" w:bidi="ar"/>
              </w:rPr>
              <w:t>1000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F0E38">
            <w:pPr>
              <w:rPr>
                <w:rFonts w:hint="default" w:ascii="微软雅黑" w:hAnsi="微软雅黑" w:eastAsia="微软雅黑" w:cs="微软雅黑"/>
                <w:i w:val="0"/>
                <w:iCs w:val="0"/>
                <w:color w:val="000000"/>
                <w:sz w:val="21"/>
                <w:szCs w:val="21"/>
                <w:u w:val="none"/>
              </w:rPr>
            </w:pPr>
          </w:p>
        </w:tc>
      </w:tr>
      <w:tr w14:paraId="1BA00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029D6F">
            <w:pPr>
              <w:jc w:val="center"/>
              <w:rPr>
                <w:rFonts w:hint="default" w:ascii="微软雅黑" w:hAnsi="微软雅黑" w:eastAsia="微软雅黑" w:cs="微软雅黑"/>
                <w:i w:val="0"/>
                <w:iCs w:val="0"/>
                <w:color w:val="000000"/>
                <w:sz w:val="20"/>
                <w:szCs w:val="20"/>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8B778">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立体字</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BDF83">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平方米</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68747">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60</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8C9F6">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雪佛板异形雕刻，厚度≥15毫米。</w:t>
            </w:r>
          </w:p>
        </w:tc>
      </w:tr>
      <w:tr w14:paraId="10D2B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3981" w:type="dxa"/>
            <w:gridSpan w:val="4"/>
            <w:tcBorders>
              <w:top w:val="single" w:color="000000" w:sz="4" w:space="0"/>
              <w:left w:val="single" w:color="000000" w:sz="4" w:space="0"/>
              <w:bottom w:val="single" w:color="000000" w:sz="4" w:space="0"/>
              <w:right w:val="nil"/>
            </w:tcBorders>
            <w:shd w:val="clear" w:color="auto" w:fill="auto"/>
            <w:vAlign w:val="center"/>
          </w:tcPr>
          <w:p w14:paraId="0B5CCC99">
            <w:pPr>
              <w:keepNext w:val="0"/>
              <w:keepLines w:val="0"/>
              <w:widowControl/>
              <w:suppressLineNumbers w:val="0"/>
              <w:jc w:val="left"/>
              <w:textAlignment w:val="center"/>
              <w:rPr>
                <w:rFonts w:hint="default" w:ascii="微软雅黑" w:hAnsi="微软雅黑" w:eastAsia="微软雅黑" w:cs="微软雅黑"/>
                <w:b/>
                <w:bCs/>
                <w:i w:val="0"/>
                <w:iCs w:val="0"/>
                <w:color w:val="000000"/>
                <w:sz w:val="20"/>
                <w:szCs w:val="20"/>
                <w:u w:val="none"/>
              </w:rPr>
            </w:pPr>
            <w:r>
              <w:rPr>
                <w:rFonts w:hint="default" w:ascii="微软雅黑" w:hAnsi="微软雅黑" w:eastAsia="微软雅黑" w:cs="微软雅黑"/>
                <w:b/>
                <w:bCs/>
                <w:i w:val="0"/>
                <w:iCs w:val="0"/>
                <w:color w:val="000000"/>
                <w:kern w:val="0"/>
                <w:sz w:val="20"/>
                <w:szCs w:val="20"/>
                <w:u w:val="none"/>
                <w:lang w:val="en-US" w:eastAsia="zh-CN" w:bidi="ar"/>
              </w:rPr>
              <w:t>三、现场费用</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69461">
            <w:pPr>
              <w:rPr>
                <w:rFonts w:hint="default" w:ascii="微软雅黑" w:hAnsi="微软雅黑" w:eastAsia="微软雅黑" w:cs="微软雅黑"/>
                <w:b/>
                <w:bCs/>
                <w:i w:val="0"/>
                <w:iCs w:val="0"/>
                <w:color w:val="000000"/>
                <w:sz w:val="20"/>
                <w:szCs w:val="20"/>
                <w:u w:val="none"/>
              </w:rPr>
            </w:pPr>
          </w:p>
        </w:tc>
      </w:tr>
      <w:tr w14:paraId="40D67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80"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69060">
            <w:pPr>
              <w:keepNext w:val="0"/>
              <w:keepLines w:val="0"/>
              <w:widowControl/>
              <w:suppressLineNumbers w:val="0"/>
              <w:jc w:val="center"/>
              <w:textAlignment w:val="center"/>
              <w:rPr>
                <w:rFonts w:hint="default" w:ascii="微软雅黑" w:hAnsi="微软雅黑" w:eastAsia="微软雅黑" w:cs="微软雅黑"/>
                <w:i w:val="0"/>
                <w:iCs w:val="0"/>
                <w:color w:val="000000"/>
                <w:sz w:val="21"/>
                <w:szCs w:val="21"/>
                <w:u w:val="none"/>
              </w:rPr>
            </w:pPr>
            <w:r>
              <w:rPr>
                <w:rFonts w:hint="default" w:ascii="微软雅黑" w:hAnsi="微软雅黑" w:eastAsia="微软雅黑" w:cs="微软雅黑"/>
                <w:i w:val="0"/>
                <w:iCs w:val="0"/>
                <w:color w:val="000000"/>
                <w:kern w:val="0"/>
                <w:sz w:val="21"/>
                <w:szCs w:val="21"/>
                <w:u w:val="none"/>
                <w:lang w:val="en-US" w:eastAsia="zh-CN" w:bidi="ar"/>
              </w:rPr>
              <w:t>场馆费用</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9EE54">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电箱、审图、清洁、特装管理费, 布撤展证，消防品、机力费</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E0D78">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项</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AC3E4">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E5C92">
            <w:pPr>
              <w:rPr>
                <w:rFonts w:hint="default" w:ascii="微软雅黑" w:hAnsi="微软雅黑" w:eastAsia="微软雅黑" w:cs="微软雅黑"/>
                <w:i w:val="0"/>
                <w:iCs w:val="0"/>
                <w:color w:val="000000"/>
                <w:sz w:val="21"/>
                <w:szCs w:val="21"/>
                <w:u w:val="none"/>
              </w:rPr>
            </w:pPr>
          </w:p>
        </w:tc>
      </w:tr>
      <w:tr w14:paraId="2C43D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A7754">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管理费用</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B9127">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现场管理措施，如管理方案，管理人员等</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0907A">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项</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55CCB">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1</w:t>
            </w:r>
          </w:p>
        </w:tc>
        <w:tc>
          <w:tcPr>
            <w:tcW w:w="4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10228">
            <w:pPr>
              <w:keepNext w:val="0"/>
              <w:keepLines w:val="0"/>
              <w:widowControl/>
              <w:suppressLineNumbers w:val="0"/>
              <w:jc w:val="left"/>
              <w:textAlignment w:val="center"/>
              <w:rPr>
                <w:rFonts w:hint="default" w:ascii="微软雅黑" w:hAnsi="微软雅黑" w:eastAsia="微软雅黑" w:cs="微软雅黑"/>
                <w:i w:val="0"/>
                <w:iCs w:val="0"/>
                <w:color w:val="000000"/>
                <w:sz w:val="20"/>
                <w:szCs w:val="20"/>
                <w:u w:val="none"/>
              </w:rPr>
            </w:pPr>
            <w:r>
              <w:rPr>
                <w:rFonts w:hint="default" w:ascii="微软雅黑" w:hAnsi="微软雅黑" w:eastAsia="微软雅黑" w:cs="微软雅黑"/>
                <w:i w:val="0"/>
                <w:iCs w:val="0"/>
                <w:color w:val="000000"/>
                <w:kern w:val="0"/>
                <w:sz w:val="20"/>
                <w:szCs w:val="20"/>
                <w:u w:val="none"/>
                <w:lang w:val="en-US" w:eastAsia="zh-CN" w:bidi="ar"/>
              </w:rPr>
              <w:t>布展期:现场管理人员≥3人；开展期：现场管理人员及保障人员≥5人；撤展期：现场管理人员≥2人。</w:t>
            </w:r>
          </w:p>
        </w:tc>
      </w:tr>
    </w:tbl>
    <w:p w14:paraId="40019E90">
      <w:pPr>
        <w:spacing w:after="0" w:line="360" w:lineRule="auto"/>
        <w:rPr>
          <w:rFonts w:hint="eastAsia" w:ascii="黑体" w:hAnsi="黑体" w:eastAsia="黑体" w:cs="黑体"/>
          <w:sz w:val="32"/>
          <w:szCs w:val="32"/>
          <w:lang w:eastAsia="zh-Hans"/>
        </w:rPr>
      </w:pPr>
      <w:bookmarkStart w:id="0" w:name="_GoBack"/>
      <w:bookmarkEnd w:id="0"/>
    </w:p>
    <w:p w14:paraId="42F65054">
      <w:pPr>
        <w:spacing w:after="0" w:line="360" w:lineRule="auto"/>
        <w:rPr>
          <w:rFonts w:ascii="黑体" w:hAnsi="黑体" w:eastAsia="黑体" w:cs="黑体"/>
          <w:sz w:val="32"/>
          <w:szCs w:val="32"/>
        </w:rPr>
      </w:pPr>
      <w:r>
        <w:rPr>
          <w:rFonts w:hint="eastAsia" w:ascii="黑体" w:hAnsi="黑体" w:eastAsia="黑体" w:cs="黑体"/>
          <w:sz w:val="32"/>
          <w:szCs w:val="32"/>
          <w:lang w:eastAsia="zh-CN"/>
        </w:rPr>
        <w:t>七、附件</w:t>
      </w:r>
    </w:p>
    <w:p w14:paraId="60D5D0E4">
      <w:pPr>
        <w:spacing w:after="0" w:line="360" w:lineRule="auto"/>
        <w:ind w:firstLine="640" w:firstLineChars="200"/>
        <w:rPr>
          <w:rFonts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t>上海展览中心图纸</w:t>
      </w:r>
    </w:p>
    <w:sectPr>
      <w:footerReference r:id="rId5"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embedRegular r:id="rId1" w:fontKey="{E9FB1D9B-FFE1-311D-79EB-7B6AFD6D683E}"/>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embedRegular r:id="rId2" w:fontKey="{2CEE0898-E8C8-99EF-79EB-7B6A39EBDC44}"/>
  </w:font>
  <w:font w:name="DejaVu Sans">
    <w:panose1 w:val="020B0603030804020204"/>
    <w:charset w:val="00"/>
    <w:family w:val="auto"/>
    <w:pitch w:val="default"/>
    <w:sig w:usb0="E7006EFF" w:usb1="D200FDFF" w:usb2="0A246029" w:usb3="0400200C" w:csb0="600001FF" w:csb1="DFFF0000"/>
    <w:embedRegular r:id="rId3" w:fontKey="{DCDC1DFE-E93C-5BB6-79EB-7B6A99E63A7C}"/>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embedRegular r:id="rId4" w:fontKey="{98279A16-C92D-76EC-79EB-7B6A58668380}"/>
  </w:font>
  <w:font w:name="等线">
    <w:altName w:val="Noto Sans CJK SC"/>
    <w:panose1 w:val="02010600030101010101"/>
    <w:charset w:val="86"/>
    <w:family w:val="auto"/>
    <w:pitch w:val="default"/>
    <w:sig w:usb0="00000000" w:usb1="00000000" w:usb2="00000016" w:usb3="00000000" w:csb0="0004000F" w:csb1="00000000"/>
  </w:font>
  <w:font w:name="Noto Sans CJK SC">
    <w:panose1 w:val="020B0500000000000000"/>
    <w:charset w:val="86"/>
    <w:family w:val="auto"/>
    <w:pitch w:val="default"/>
    <w:sig w:usb0="30000003" w:usb1="2BDF3C10" w:usb2="00000016" w:usb3="00000000" w:csb0="602E0107" w:csb1="00000000"/>
    <w:embedRegular r:id="rId5" w:fontKey="{21489499-7B80-A834-79EB-7B6AA4E29D55}"/>
  </w:font>
  <w:font w:name="方正黑体_GBK">
    <w:panose1 w:val="02000000000000000000"/>
    <w:charset w:val="86"/>
    <w:family w:val="auto"/>
    <w:pitch w:val="default"/>
    <w:sig w:usb0="00000001" w:usb1="08000000" w:usb2="00000000" w:usb3="00000000" w:csb0="00040000" w:csb1="00000000"/>
    <w:embedRegular r:id="rId6" w:fontKey="{4E480909-F3E8-3D52-79EB-7B6AB31914E3}"/>
  </w:font>
  <w:font w:name="仿宋_GB2312">
    <w:altName w:val="方正仿宋_GBK"/>
    <w:panose1 w:val="02010609030101010101"/>
    <w:charset w:val="86"/>
    <w:family w:val="modern"/>
    <w:pitch w:val="default"/>
    <w:sig w:usb0="00000000" w:usb1="00000000" w:usb2="00000000" w:usb3="00000000" w:csb0="00040000" w:csb1="00000000"/>
  </w:font>
  <w:font w:name="方正仿宋_GBK">
    <w:panose1 w:val="03000509000000000000"/>
    <w:charset w:val="86"/>
    <w:family w:val="auto"/>
    <w:pitch w:val="default"/>
    <w:sig w:usb0="00000001" w:usb1="080E0000" w:usb2="00000000" w:usb3="00000000" w:csb0="00040000" w:csb1="00000000"/>
    <w:embedRegular r:id="rId7" w:fontKey="{CD5D162C-160A-00A0-79EB-7B6A6E0C6341}"/>
  </w:font>
  <w:font w:name="楷体_GB2312">
    <w:altName w:val="方正楷体_GBK"/>
    <w:panose1 w:val="02010609030101010101"/>
    <w:charset w:val="86"/>
    <w:family w:val="modern"/>
    <w:pitch w:val="default"/>
    <w:sig w:usb0="00000000" w:usb1="00000000" w:usb2="00000000" w:usb3="00000000" w:csb0="00040000" w:csb1="00000000"/>
  </w:font>
  <w:font w:name="方正楷体_GBK">
    <w:panose1 w:val="02000000000000000000"/>
    <w:charset w:val="86"/>
    <w:family w:val="auto"/>
    <w:pitch w:val="default"/>
    <w:sig w:usb0="00000001" w:usb1="08000000" w:usb2="00000000" w:usb3="00000000" w:csb0="00040000" w:csb1="00000000"/>
    <w:embedRegular r:id="rId8" w:fontKey="{5801E89F-7075-4520-79EB-7B6AB93DB5D3}"/>
  </w:font>
  <w:font w:name="等线">
    <w:altName w:val="Noto Sans CJK SC"/>
    <w:panose1 w:val="00000000000000000000"/>
    <w:charset w:val="00"/>
    <w:family w:val="auto"/>
    <w:pitch w:val="default"/>
    <w:sig w:usb0="00000000" w:usb1="00000000" w:usb2="00000000" w:usb3="00000000" w:csb0="00000000" w:csb1="00000000"/>
  </w:font>
  <w:font w:name="微软雅黑">
    <w:altName w:val="文泉驿微米黑"/>
    <w:panose1 w:val="020B0503020204020204"/>
    <w:charset w:val="86"/>
    <w:family w:val="swiss"/>
    <w:pitch w:val="default"/>
    <w:sig w:usb0="00000000" w:usb1="00000000" w:usb2="00000016" w:usb3="00000000" w:csb0="0004001F" w:csb1="00000000"/>
  </w:font>
  <w:font w:name="文泉驿微米黑">
    <w:panose1 w:val="020B0606030804020204"/>
    <w:charset w:val="86"/>
    <w:family w:val="auto"/>
    <w:pitch w:val="default"/>
    <w:sig w:usb0="E10002EF" w:usb1="6BDFFCFB" w:usb2="00800036" w:usb3="00000000" w:csb0="603E019F" w:csb1="DFD70000"/>
    <w:embedRegular r:id="rId9" w:fontKey="{F50EBF20-4896-59F0-79EB-7B6AEBADD4E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549570">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51D30D">
                          <w:pPr>
                            <w:pStyle w:val="7"/>
                            <w:rPr>
                              <w:sz w:val="28"/>
                              <w:szCs w:val="28"/>
                            </w:rPr>
                          </w:pPr>
                          <w:r>
                            <w:rPr>
                              <w:sz w:val="28"/>
                              <w:szCs w:val="28"/>
                            </w:rPr>
                            <w:fldChar w:fldCharType="begin"/>
                          </w:r>
                          <w:r>
                            <w:rPr>
                              <w:sz w:val="28"/>
                              <w:szCs w:val="28"/>
                            </w:rPr>
                            <w:instrText xml:space="preserve"> PAGE  \* MERGEFORMAT </w:instrText>
                          </w:r>
                          <w:r>
                            <w:rPr>
                              <w:sz w:val="28"/>
                              <w:szCs w:val="28"/>
                            </w:rPr>
                            <w:fldChar w:fldCharType="separate"/>
                          </w:r>
                          <w:r>
                            <w:rPr>
                              <w:sz w:val="28"/>
                              <w:szCs w:val="28"/>
                            </w:rPr>
                            <w:t>11</w:t>
                          </w:r>
                          <w:r>
                            <w:rPr>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5151D30D">
                    <w:pPr>
                      <w:pStyle w:val="7"/>
                      <w:rPr>
                        <w:sz w:val="28"/>
                        <w:szCs w:val="28"/>
                      </w:rPr>
                    </w:pPr>
                    <w:r>
                      <w:rPr>
                        <w:sz w:val="28"/>
                        <w:szCs w:val="28"/>
                      </w:rPr>
                      <w:fldChar w:fldCharType="begin"/>
                    </w:r>
                    <w:r>
                      <w:rPr>
                        <w:sz w:val="28"/>
                        <w:szCs w:val="28"/>
                      </w:rPr>
                      <w:instrText xml:space="preserve"> PAGE  \* MERGEFORMAT </w:instrText>
                    </w:r>
                    <w:r>
                      <w:rPr>
                        <w:sz w:val="28"/>
                        <w:szCs w:val="28"/>
                      </w:rPr>
                      <w:fldChar w:fldCharType="separate"/>
                    </w:r>
                    <w:r>
                      <w:rPr>
                        <w:sz w:val="28"/>
                        <w:szCs w:val="28"/>
                      </w:rPr>
                      <w:t>11</w:t>
                    </w:r>
                    <w:r>
                      <w:rPr>
                        <w:sz w:val="28"/>
                        <w:szCs w:val="28"/>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lMzJiYTgyNTJkM2E5NzA5NDNiNGU0YmVkYTRiODEifQ=="/>
  </w:docVars>
  <w:rsids>
    <w:rsidRoot w:val="00663C30"/>
    <w:rsid w:val="000035FC"/>
    <w:rsid w:val="00011759"/>
    <w:rsid w:val="00014A40"/>
    <w:rsid w:val="00031CFF"/>
    <w:rsid w:val="00031EBC"/>
    <w:rsid w:val="00042421"/>
    <w:rsid w:val="0004341B"/>
    <w:rsid w:val="00053165"/>
    <w:rsid w:val="00056E8A"/>
    <w:rsid w:val="000635F1"/>
    <w:rsid w:val="000726AA"/>
    <w:rsid w:val="00082344"/>
    <w:rsid w:val="0008687F"/>
    <w:rsid w:val="00086D14"/>
    <w:rsid w:val="00090B0A"/>
    <w:rsid w:val="00093AB2"/>
    <w:rsid w:val="000A54B9"/>
    <w:rsid w:val="000B1C53"/>
    <w:rsid w:val="000B654E"/>
    <w:rsid w:val="000C0784"/>
    <w:rsid w:val="000D1111"/>
    <w:rsid w:val="000D4FDD"/>
    <w:rsid w:val="000D5812"/>
    <w:rsid w:val="000E6E07"/>
    <w:rsid w:val="000F41C2"/>
    <w:rsid w:val="00103E7C"/>
    <w:rsid w:val="00112F6E"/>
    <w:rsid w:val="001145D3"/>
    <w:rsid w:val="0013054A"/>
    <w:rsid w:val="0013360D"/>
    <w:rsid w:val="00137F9C"/>
    <w:rsid w:val="001555EA"/>
    <w:rsid w:val="0017039C"/>
    <w:rsid w:val="001A10BA"/>
    <w:rsid w:val="001A4662"/>
    <w:rsid w:val="001D0191"/>
    <w:rsid w:val="001E105B"/>
    <w:rsid w:val="001F724A"/>
    <w:rsid w:val="00231D11"/>
    <w:rsid w:val="00252A9D"/>
    <w:rsid w:val="00267941"/>
    <w:rsid w:val="00296EF9"/>
    <w:rsid w:val="002A4337"/>
    <w:rsid w:val="002A4572"/>
    <w:rsid w:val="002B0D81"/>
    <w:rsid w:val="002B5C06"/>
    <w:rsid w:val="002D00A3"/>
    <w:rsid w:val="002D36E6"/>
    <w:rsid w:val="00304092"/>
    <w:rsid w:val="00304667"/>
    <w:rsid w:val="00306D54"/>
    <w:rsid w:val="00307D50"/>
    <w:rsid w:val="00314269"/>
    <w:rsid w:val="00323E09"/>
    <w:rsid w:val="00336341"/>
    <w:rsid w:val="00340072"/>
    <w:rsid w:val="00340723"/>
    <w:rsid w:val="00342C62"/>
    <w:rsid w:val="00352506"/>
    <w:rsid w:val="00364EA9"/>
    <w:rsid w:val="00364ECF"/>
    <w:rsid w:val="003664D6"/>
    <w:rsid w:val="003A6610"/>
    <w:rsid w:val="003B1790"/>
    <w:rsid w:val="003B2521"/>
    <w:rsid w:val="003C23BE"/>
    <w:rsid w:val="003F768D"/>
    <w:rsid w:val="0041074C"/>
    <w:rsid w:val="00414F93"/>
    <w:rsid w:val="00423606"/>
    <w:rsid w:val="00431FF4"/>
    <w:rsid w:val="004515B0"/>
    <w:rsid w:val="00457D58"/>
    <w:rsid w:val="00463E0F"/>
    <w:rsid w:val="00465DCF"/>
    <w:rsid w:val="0047665C"/>
    <w:rsid w:val="004A3BAF"/>
    <w:rsid w:val="004B09F5"/>
    <w:rsid w:val="004C574B"/>
    <w:rsid w:val="004E0185"/>
    <w:rsid w:val="004F18A1"/>
    <w:rsid w:val="004F26B2"/>
    <w:rsid w:val="004F41B2"/>
    <w:rsid w:val="004F4A7C"/>
    <w:rsid w:val="00506695"/>
    <w:rsid w:val="005339A7"/>
    <w:rsid w:val="00536ED7"/>
    <w:rsid w:val="0055286A"/>
    <w:rsid w:val="0056141E"/>
    <w:rsid w:val="00572AEB"/>
    <w:rsid w:val="005733CF"/>
    <w:rsid w:val="0057442F"/>
    <w:rsid w:val="00580C56"/>
    <w:rsid w:val="00592C55"/>
    <w:rsid w:val="005A6231"/>
    <w:rsid w:val="005A714C"/>
    <w:rsid w:val="005B36C4"/>
    <w:rsid w:val="005B639F"/>
    <w:rsid w:val="005C377C"/>
    <w:rsid w:val="005D21F7"/>
    <w:rsid w:val="005E609B"/>
    <w:rsid w:val="005E72D4"/>
    <w:rsid w:val="005F4678"/>
    <w:rsid w:val="00614A93"/>
    <w:rsid w:val="00616701"/>
    <w:rsid w:val="006179B0"/>
    <w:rsid w:val="00630844"/>
    <w:rsid w:val="00634BD3"/>
    <w:rsid w:val="00663C30"/>
    <w:rsid w:val="00667014"/>
    <w:rsid w:val="00677D56"/>
    <w:rsid w:val="006A5092"/>
    <w:rsid w:val="006B2FF3"/>
    <w:rsid w:val="006B6FF2"/>
    <w:rsid w:val="006C0745"/>
    <w:rsid w:val="006D624B"/>
    <w:rsid w:val="006E52BE"/>
    <w:rsid w:val="006F1A26"/>
    <w:rsid w:val="006F340B"/>
    <w:rsid w:val="00702905"/>
    <w:rsid w:val="00716EAC"/>
    <w:rsid w:val="00716F8C"/>
    <w:rsid w:val="007265A1"/>
    <w:rsid w:val="00732017"/>
    <w:rsid w:val="00733E8D"/>
    <w:rsid w:val="00734051"/>
    <w:rsid w:val="00744632"/>
    <w:rsid w:val="00751621"/>
    <w:rsid w:val="00755B92"/>
    <w:rsid w:val="00760567"/>
    <w:rsid w:val="00763879"/>
    <w:rsid w:val="00770C10"/>
    <w:rsid w:val="00772B2A"/>
    <w:rsid w:val="00776793"/>
    <w:rsid w:val="0077757A"/>
    <w:rsid w:val="00790B69"/>
    <w:rsid w:val="007955C9"/>
    <w:rsid w:val="007A0B62"/>
    <w:rsid w:val="007A6188"/>
    <w:rsid w:val="007C0F06"/>
    <w:rsid w:val="007D6520"/>
    <w:rsid w:val="007F67B0"/>
    <w:rsid w:val="00812CED"/>
    <w:rsid w:val="00814C05"/>
    <w:rsid w:val="008153D1"/>
    <w:rsid w:val="00825B1C"/>
    <w:rsid w:val="00830478"/>
    <w:rsid w:val="00855B95"/>
    <w:rsid w:val="00874698"/>
    <w:rsid w:val="00886B85"/>
    <w:rsid w:val="00887838"/>
    <w:rsid w:val="00895299"/>
    <w:rsid w:val="008A5295"/>
    <w:rsid w:val="008B1170"/>
    <w:rsid w:val="008C67C9"/>
    <w:rsid w:val="008D2156"/>
    <w:rsid w:val="008E4BCC"/>
    <w:rsid w:val="00902C78"/>
    <w:rsid w:val="00903490"/>
    <w:rsid w:val="00912FD6"/>
    <w:rsid w:val="00916E04"/>
    <w:rsid w:val="0093198A"/>
    <w:rsid w:val="00941065"/>
    <w:rsid w:val="0094271C"/>
    <w:rsid w:val="009434C9"/>
    <w:rsid w:val="00947623"/>
    <w:rsid w:val="00952A8D"/>
    <w:rsid w:val="00965D7F"/>
    <w:rsid w:val="00973113"/>
    <w:rsid w:val="009742AC"/>
    <w:rsid w:val="009774C6"/>
    <w:rsid w:val="00981F36"/>
    <w:rsid w:val="009970E0"/>
    <w:rsid w:val="009B3AFF"/>
    <w:rsid w:val="009C163C"/>
    <w:rsid w:val="009D7FC9"/>
    <w:rsid w:val="009F1E27"/>
    <w:rsid w:val="009F39A4"/>
    <w:rsid w:val="009F7C3B"/>
    <w:rsid w:val="00A022A1"/>
    <w:rsid w:val="00A12DB6"/>
    <w:rsid w:val="00A30E33"/>
    <w:rsid w:val="00A41D91"/>
    <w:rsid w:val="00A4226B"/>
    <w:rsid w:val="00A43B78"/>
    <w:rsid w:val="00A43B84"/>
    <w:rsid w:val="00A45BA6"/>
    <w:rsid w:val="00A4730A"/>
    <w:rsid w:val="00A55A1C"/>
    <w:rsid w:val="00A61259"/>
    <w:rsid w:val="00A6746E"/>
    <w:rsid w:val="00A6776C"/>
    <w:rsid w:val="00A72786"/>
    <w:rsid w:val="00A72D54"/>
    <w:rsid w:val="00A73AF9"/>
    <w:rsid w:val="00A76D16"/>
    <w:rsid w:val="00A846C8"/>
    <w:rsid w:val="00A86DAB"/>
    <w:rsid w:val="00A94956"/>
    <w:rsid w:val="00AA62AC"/>
    <w:rsid w:val="00AB32B4"/>
    <w:rsid w:val="00AB67B4"/>
    <w:rsid w:val="00AC3D5B"/>
    <w:rsid w:val="00AC4F84"/>
    <w:rsid w:val="00AE7CAD"/>
    <w:rsid w:val="00B01FEF"/>
    <w:rsid w:val="00B17A54"/>
    <w:rsid w:val="00B23683"/>
    <w:rsid w:val="00B2421C"/>
    <w:rsid w:val="00B33A33"/>
    <w:rsid w:val="00B35D49"/>
    <w:rsid w:val="00B3632C"/>
    <w:rsid w:val="00B5328F"/>
    <w:rsid w:val="00B85D2B"/>
    <w:rsid w:val="00B86D8B"/>
    <w:rsid w:val="00B97723"/>
    <w:rsid w:val="00B97AA0"/>
    <w:rsid w:val="00BA4FF2"/>
    <w:rsid w:val="00BA5701"/>
    <w:rsid w:val="00BC4F26"/>
    <w:rsid w:val="00BD3056"/>
    <w:rsid w:val="00BD42DA"/>
    <w:rsid w:val="00BD6257"/>
    <w:rsid w:val="00BE5F40"/>
    <w:rsid w:val="00C0669C"/>
    <w:rsid w:val="00C11374"/>
    <w:rsid w:val="00C14757"/>
    <w:rsid w:val="00C1729B"/>
    <w:rsid w:val="00C2055A"/>
    <w:rsid w:val="00C30FE6"/>
    <w:rsid w:val="00C3356C"/>
    <w:rsid w:val="00C40570"/>
    <w:rsid w:val="00C448C3"/>
    <w:rsid w:val="00C557D7"/>
    <w:rsid w:val="00C65CC9"/>
    <w:rsid w:val="00C67FE1"/>
    <w:rsid w:val="00C7594B"/>
    <w:rsid w:val="00C76FD2"/>
    <w:rsid w:val="00C8210C"/>
    <w:rsid w:val="00C90EBE"/>
    <w:rsid w:val="00CA0BB9"/>
    <w:rsid w:val="00CA13AD"/>
    <w:rsid w:val="00CA6892"/>
    <w:rsid w:val="00CB6AE2"/>
    <w:rsid w:val="00CC3255"/>
    <w:rsid w:val="00CD148C"/>
    <w:rsid w:val="00CD4399"/>
    <w:rsid w:val="00CD52EA"/>
    <w:rsid w:val="00CE6574"/>
    <w:rsid w:val="00CE6C2B"/>
    <w:rsid w:val="00CF611D"/>
    <w:rsid w:val="00D12E5C"/>
    <w:rsid w:val="00D20B50"/>
    <w:rsid w:val="00D21760"/>
    <w:rsid w:val="00D25579"/>
    <w:rsid w:val="00D37E6D"/>
    <w:rsid w:val="00D54FE8"/>
    <w:rsid w:val="00D56456"/>
    <w:rsid w:val="00D57FD2"/>
    <w:rsid w:val="00D642F6"/>
    <w:rsid w:val="00D7245C"/>
    <w:rsid w:val="00D7320B"/>
    <w:rsid w:val="00D813CD"/>
    <w:rsid w:val="00D908EB"/>
    <w:rsid w:val="00D9231D"/>
    <w:rsid w:val="00D95ECF"/>
    <w:rsid w:val="00D95F49"/>
    <w:rsid w:val="00D973B2"/>
    <w:rsid w:val="00DA0024"/>
    <w:rsid w:val="00DB1547"/>
    <w:rsid w:val="00DB6E78"/>
    <w:rsid w:val="00DB7B0F"/>
    <w:rsid w:val="00DC6079"/>
    <w:rsid w:val="00DD0F3E"/>
    <w:rsid w:val="00DD24A1"/>
    <w:rsid w:val="00DD312E"/>
    <w:rsid w:val="00DD4037"/>
    <w:rsid w:val="00DE1212"/>
    <w:rsid w:val="00DE1CF6"/>
    <w:rsid w:val="00DE231F"/>
    <w:rsid w:val="00DF09B0"/>
    <w:rsid w:val="00E03B6E"/>
    <w:rsid w:val="00E27A62"/>
    <w:rsid w:val="00E33161"/>
    <w:rsid w:val="00E4324A"/>
    <w:rsid w:val="00E50BC5"/>
    <w:rsid w:val="00E63412"/>
    <w:rsid w:val="00E72BF9"/>
    <w:rsid w:val="00E7721F"/>
    <w:rsid w:val="00E82C51"/>
    <w:rsid w:val="00E8643D"/>
    <w:rsid w:val="00EA4467"/>
    <w:rsid w:val="00EB1761"/>
    <w:rsid w:val="00EB536B"/>
    <w:rsid w:val="00EC0F74"/>
    <w:rsid w:val="00EC3140"/>
    <w:rsid w:val="00ED385B"/>
    <w:rsid w:val="00ED4301"/>
    <w:rsid w:val="00EE58F3"/>
    <w:rsid w:val="00EF1D20"/>
    <w:rsid w:val="00F02888"/>
    <w:rsid w:val="00F067B2"/>
    <w:rsid w:val="00F12D81"/>
    <w:rsid w:val="00F23628"/>
    <w:rsid w:val="00F344DD"/>
    <w:rsid w:val="00F36847"/>
    <w:rsid w:val="00F423AF"/>
    <w:rsid w:val="00F46E1B"/>
    <w:rsid w:val="00F565F7"/>
    <w:rsid w:val="00F674D0"/>
    <w:rsid w:val="00F71610"/>
    <w:rsid w:val="00F73EA5"/>
    <w:rsid w:val="00F7792B"/>
    <w:rsid w:val="00F83E71"/>
    <w:rsid w:val="00F87338"/>
    <w:rsid w:val="00F91C30"/>
    <w:rsid w:val="00F923A7"/>
    <w:rsid w:val="00FA0236"/>
    <w:rsid w:val="00FA0924"/>
    <w:rsid w:val="00FC1474"/>
    <w:rsid w:val="00FC7965"/>
    <w:rsid w:val="00FD68E8"/>
    <w:rsid w:val="00FE0744"/>
    <w:rsid w:val="00FE3A86"/>
    <w:rsid w:val="00FF1655"/>
    <w:rsid w:val="03C76963"/>
    <w:rsid w:val="05E82BC0"/>
    <w:rsid w:val="08D04E2F"/>
    <w:rsid w:val="0A6D28B2"/>
    <w:rsid w:val="0A7D5FCD"/>
    <w:rsid w:val="0E8F62CF"/>
    <w:rsid w:val="102869DB"/>
    <w:rsid w:val="12850115"/>
    <w:rsid w:val="12AB56A1"/>
    <w:rsid w:val="16F93C3E"/>
    <w:rsid w:val="17ED553E"/>
    <w:rsid w:val="183E7A46"/>
    <w:rsid w:val="1ABF1FFF"/>
    <w:rsid w:val="1B4B17D0"/>
    <w:rsid w:val="1D076614"/>
    <w:rsid w:val="1E80442A"/>
    <w:rsid w:val="1EE75CB3"/>
    <w:rsid w:val="242A78F6"/>
    <w:rsid w:val="24D13584"/>
    <w:rsid w:val="26F21066"/>
    <w:rsid w:val="27985D9D"/>
    <w:rsid w:val="28C037FD"/>
    <w:rsid w:val="292411BF"/>
    <w:rsid w:val="2A1853C2"/>
    <w:rsid w:val="2AA7672D"/>
    <w:rsid w:val="2ACF250E"/>
    <w:rsid w:val="2B911481"/>
    <w:rsid w:val="2BA83601"/>
    <w:rsid w:val="2CCF789E"/>
    <w:rsid w:val="2EC1207D"/>
    <w:rsid w:val="2EDC602A"/>
    <w:rsid w:val="2EDE49DD"/>
    <w:rsid w:val="2F0D1E7C"/>
    <w:rsid w:val="2FE87E8A"/>
    <w:rsid w:val="2FF051B5"/>
    <w:rsid w:val="303D3985"/>
    <w:rsid w:val="31FD5099"/>
    <w:rsid w:val="32B177B3"/>
    <w:rsid w:val="342A4220"/>
    <w:rsid w:val="34844512"/>
    <w:rsid w:val="3804014E"/>
    <w:rsid w:val="386817BB"/>
    <w:rsid w:val="3AFF8CAF"/>
    <w:rsid w:val="3CCF238D"/>
    <w:rsid w:val="3F7FD59A"/>
    <w:rsid w:val="40377B31"/>
    <w:rsid w:val="409704CC"/>
    <w:rsid w:val="43F81C45"/>
    <w:rsid w:val="44F85C75"/>
    <w:rsid w:val="45BB0838"/>
    <w:rsid w:val="45C17918"/>
    <w:rsid w:val="469043B7"/>
    <w:rsid w:val="49BB1B0D"/>
    <w:rsid w:val="4A093BC3"/>
    <w:rsid w:val="4A4A6018"/>
    <w:rsid w:val="4AB87DE9"/>
    <w:rsid w:val="4C2537F3"/>
    <w:rsid w:val="4C2A72E5"/>
    <w:rsid w:val="4ED92673"/>
    <w:rsid w:val="50824F0E"/>
    <w:rsid w:val="52486BB6"/>
    <w:rsid w:val="52BB9A43"/>
    <w:rsid w:val="534A697E"/>
    <w:rsid w:val="56951575"/>
    <w:rsid w:val="57CB1E6E"/>
    <w:rsid w:val="57FF139C"/>
    <w:rsid w:val="590A0A3C"/>
    <w:rsid w:val="5C545A2F"/>
    <w:rsid w:val="5DE66A2C"/>
    <w:rsid w:val="5E820594"/>
    <w:rsid w:val="600D113F"/>
    <w:rsid w:val="61380253"/>
    <w:rsid w:val="61BB0BCB"/>
    <w:rsid w:val="61D92C5E"/>
    <w:rsid w:val="61E0223F"/>
    <w:rsid w:val="64852C29"/>
    <w:rsid w:val="65FF3A70"/>
    <w:rsid w:val="66B75B1A"/>
    <w:rsid w:val="6822579E"/>
    <w:rsid w:val="695D4175"/>
    <w:rsid w:val="6AD71D05"/>
    <w:rsid w:val="6B4F21E3"/>
    <w:rsid w:val="6C1370C5"/>
    <w:rsid w:val="6C651507"/>
    <w:rsid w:val="6CBB308B"/>
    <w:rsid w:val="6D885538"/>
    <w:rsid w:val="6EFF9FD2"/>
    <w:rsid w:val="6F334EF9"/>
    <w:rsid w:val="702D3795"/>
    <w:rsid w:val="7036571F"/>
    <w:rsid w:val="70467B14"/>
    <w:rsid w:val="715F4802"/>
    <w:rsid w:val="72BA2C79"/>
    <w:rsid w:val="735E7F1F"/>
    <w:rsid w:val="73F7F03E"/>
    <w:rsid w:val="74365E32"/>
    <w:rsid w:val="755E02D7"/>
    <w:rsid w:val="7693567A"/>
    <w:rsid w:val="77316C41"/>
    <w:rsid w:val="777ED79A"/>
    <w:rsid w:val="778F06C6"/>
    <w:rsid w:val="78A13A2B"/>
    <w:rsid w:val="7ACF29F8"/>
    <w:rsid w:val="7C5C02BC"/>
    <w:rsid w:val="7DFBB6EE"/>
    <w:rsid w:val="7DFEB4F5"/>
    <w:rsid w:val="7E3F7E95"/>
    <w:rsid w:val="7F1F151E"/>
    <w:rsid w:val="7F2A644F"/>
    <w:rsid w:val="8AF6333B"/>
    <w:rsid w:val="AFFD8744"/>
    <w:rsid w:val="BF9F078A"/>
    <w:rsid w:val="D7D373AD"/>
    <w:rsid w:val="DBA9A341"/>
    <w:rsid w:val="DDB61B5C"/>
    <w:rsid w:val="DFCE1C5C"/>
    <w:rsid w:val="DFFFBFF8"/>
    <w:rsid w:val="EB3D7840"/>
    <w:rsid w:val="EE863AA1"/>
    <w:rsid w:val="EFF7DC4E"/>
    <w:rsid w:val="F2FEF0CB"/>
    <w:rsid w:val="F4ED7995"/>
    <w:rsid w:val="F5DF31F0"/>
    <w:rsid w:val="F6DD14D6"/>
    <w:rsid w:val="F6DF0A5C"/>
    <w:rsid w:val="F6FBE987"/>
    <w:rsid w:val="FB7BA155"/>
    <w:rsid w:val="FCBAA3FF"/>
    <w:rsid w:val="FEBF961C"/>
    <w:rsid w:val="FF6CE7D1"/>
    <w:rsid w:val="FFBF4373"/>
    <w:rsid w:val="FFFBA3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0"/>
    <w:qFormat/>
    <w:uiPriority w:val="9"/>
    <w:pPr>
      <w:ind w:left="600" w:leftChars="200"/>
      <w:jc w:val="left"/>
      <w:outlineLvl w:val="0"/>
    </w:pPr>
    <w:rPr>
      <w:rFonts w:ascii="黑体" w:hAnsi="黑体" w:eastAsia="黑体" w:cs="Times New Roman"/>
      <w:b/>
      <w:kern w:val="44"/>
      <w:szCs w:val="48"/>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Normal Indent"/>
    <w:basedOn w:val="1"/>
    <w:semiHidden/>
    <w:unhideWhenUsed/>
    <w:qFormat/>
    <w:uiPriority w:val="99"/>
    <w:pPr>
      <w:ind w:firstLine="420" w:firstLineChars="200"/>
    </w:pPr>
  </w:style>
  <w:style w:type="paragraph" w:styleId="4">
    <w:name w:val="annotation text"/>
    <w:basedOn w:val="1"/>
    <w:link w:val="21"/>
    <w:semiHidden/>
    <w:unhideWhenUsed/>
    <w:qFormat/>
    <w:uiPriority w:val="99"/>
    <w:pPr>
      <w:jc w:val="left"/>
    </w:pPr>
  </w:style>
  <w:style w:type="paragraph" w:styleId="5">
    <w:name w:val="Body Text"/>
    <w:basedOn w:val="1"/>
    <w:qFormat/>
    <w:uiPriority w:val="1"/>
    <w:pPr>
      <w:ind w:left="449"/>
    </w:pPr>
    <w:rPr>
      <w:rFonts w:ascii="宋体" w:hAnsi="宋体" w:cs="宋体"/>
      <w:szCs w:val="21"/>
      <w:lang w:val="zh-CN" w:bidi="zh-CN"/>
    </w:rPr>
  </w:style>
  <w:style w:type="paragraph" w:styleId="6">
    <w:name w:val="Balloon Text"/>
    <w:basedOn w:val="1"/>
    <w:link w:val="19"/>
    <w:semiHidden/>
    <w:unhideWhenUsed/>
    <w:qFormat/>
    <w:uiPriority w:val="99"/>
    <w:pPr>
      <w:spacing w:after="0" w:line="240" w:lineRule="auto"/>
    </w:pPr>
    <w:rPr>
      <w:sz w:val="18"/>
      <w:szCs w:val="18"/>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tabs>
        <w:tab w:val="center" w:pos="4153"/>
        <w:tab w:val="right" w:pos="8306"/>
      </w:tabs>
      <w:snapToGrid w:val="0"/>
      <w:jc w:val="center"/>
    </w:pPr>
    <w:rPr>
      <w:sz w:val="18"/>
      <w:szCs w:val="18"/>
    </w:rPr>
  </w:style>
  <w:style w:type="paragraph" w:styleId="9">
    <w:name w:val="annotation subject"/>
    <w:basedOn w:val="4"/>
    <w:next w:val="4"/>
    <w:link w:val="22"/>
    <w:semiHidden/>
    <w:unhideWhenUsed/>
    <w:qFormat/>
    <w:uiPriority w:val="99"/>
    <w:rPr>
      <w:b/>
      <w:bCs/>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Emphasis"/>
    <w:basedOn w:val="12"/>
    <w:qFormat/>
    <w:uiPriority w:val="20"/>
    <w:rPr>
      <w:i/>
    </w:rPr>
  </w:style>
  <w:style w:type="character" w:styleId="14">
    <w:name w:val="annotation reference"/>
    <w:basedOn w:val="12"/>
    <w:semiHidden/>
    <w:unhideWhenUsed/>
    <w:qFormat/>
    <w:uiPriority w:val="99"/>
    <w:rPr>
      <w:sz w:val="21"/>
      <w:szCs w:val="21"/>
    </w:rPr>
  </w:style>
  <w:style w:type="paragraph" w:styleId="15">
    <w:name w:val="List Paragraph"/>
    <w:basedOn w:val="1"/>
    <w:qFormat/>
    <w:uiPriority w:val="34"/>
    <w:pPr>
      <w:ind w:firstLine="420" w:firstLineChars="200"/>
    </w:pPr>
    <w:rPr>
      <w:rFonts w:ascii="Calibri" w:hAnsi="Calibri" w:eastAsia="宋体" w:cs="Times New Roman"/>
    </w:rPr>
  </w:style>
  <w:style w:type="character" w:customStyle="1" w:styleId="16">
    <w:name w:val="UserStyle_0"/>
    <w:semiHidden/>
    <w:qFormat/>
    <w:uiPriority w:val="0"/>
  </w:style>
  <w:style w:type="character" w:customStyle="1" w:styleId="17">
    <w:name w:val="页眉 字符"/>
    <w:basedOn w:val="12"/>
    <w:link w:val="8"/>
    <w:qFormat/>
    <w:uiPriority w:val="99"/>
    <w:rPr>
      <w:sz w:val="18"/>
      <w:szCs w:val="18"/>
    </w:rPr>
  </w:style>
  <w:style w:type="character" w:customStyle="1" w:styleId="18">
    <w:name w:val="页脚 字符"/>
    <w:basedOn w:val="12"/>
    <w:link w:val="7"/>
    <w:qFormat/>
    <w:uiPriority w:val="99"/>
    <w:rPr>
      <w:sz w:val="18"/>
      <w:szCs w:val="18"/>
    </w:rPr>
  </w:style>
  <w:style w:type="character" w:customStyle="1" w:styleId="19">
    <w:name w:val="批注框文本 字符"/>
    <w:basedOn w:val="12"/>
    <w:link w:val="6"/>
    <w:semiHidden/>
    <w:qFormat/>
    <w:uiPriority w:val="99"/>
    <w:rPr>
      <w:kern w:val="2"/>
      <w:sz w:val="18"/>
      <w:szCs w:val="18"/>
    </w:rPr>
  </w:style>
  <w:style w:type="character" w:customStyle="1" w:styleId="20">
    <w:name w:val="标题 1 字符"/>
    <w:basedOn w:val="12"/>
    <w:link w:val="2"/>
    <w:qFormat/>
    <w:uiPriority w:val="9"/>
    <w:rPr>
      <w:rFonts w:ascii="黑体" w:hAnsi="黑体" w:eastAsia="黑体"/>
      <w:b/>
      <w:kern w:val="44"/>
      <w:sz w:val="21"/>
      <w:szCs w:val="48"/>
    </w:rPr>
  </w:style>
  <w:style w:type="character" w:customStyle="1" w:styleId="21">
    <w:name w:val="批注文字 字符"/>
    <w:basedOn w:val="12"/>
    <w:link w:val="4"/>
    <w:semiHidden/>
    <w:qFormat/>
    <w:uiPriority w:val="99"/>
    <w:rPr>
      <w:rFonts w:asciiTheme="minorHAnsi" w:hAnsiTheme="minorHAnsi" w:eastAsiaTheme="minorEastAsia" w:cstheme="minorBidi"/>
      <w:kern w:val="2"/>
      <w:sz w:val="21"/>
      <w:szCs w:val="22"/>
    </w:rPr>
  </w:style>
  <w:style w:type="character" w:customStyle="1" w:styleId="22">
    <w:name w:val="批注主题 字符"/>
    <w:basedOn w:val="21"/>
    <w:link w:val="9"/>
    <w:semiHidden/>
    <w:qFormat/>
    <w:uiPriority w:val="99"/>
    <w:rPr>
      <w:rFonts w:asciiTheme="minorHAnsi" w:hAnsiTheme="minorHAnsi" w:eastAsiaTheme="minorEastAsia" w:cstheme="minorBidi"/>
      <w:b/>
      <w:bCs/>
      <w:kern w:val="2"/>
      <w:sz w:val="21"/>
      <w:szCs w:val="22"/>
    </w:rPr>
  </w:style>
  <w:style w:type="paragraph" w:customStyle="1" w:styleId="23">
    <w:name w:val="修订1"/>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2727</Words>
  <Characters>2764</Characters>
  <Lines>20</Lines>
  <Paragraphs>5</Paragraphs>
  <TotalTime>1</TotalTime>
  <ScaleCrop>false</ScaleCrop>
  <LinksUpToDate>false</LinksUpToDate>
  <CharactersWithSpaces>2765</CharactersWithSpaces>
  <Application>WPS Office_12.8.2.18605_F1E327BC-269C-435d-A152-05C5408002CA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2025-07-21T14:02:00Z</dcterms:created>
  <dc:creator>佳嘉 陈</dc:creator>
  <cp:lastModifiedBy>user</cp:lastModifiedBy>
  <cp:lastPrinted>2025-03-22T19:27:00Z</cp:lastPrinted>
  <dcterms:modified xsi:type="dcterms:W3CDTF">2026-08-12T11:41:45Z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28FA6B8B70654F1A87253660E7A918A2_13</vt:lpwstr>
  </property>
  <property fmtid="{D5CDD505-2E9C-101B-9397-08002B2CF9AE}" pid="4" name="KSOTemplateDocerSaveRecord">
    <vt:lpwstr>eyJoZGlkIjoiZDNjOGM4OTcwZTgxMmRkZjIwNGNiYTg2MWE3OGFiMzYiLCJ1c2VySWQiOiIxMjgxODg0MiJ9</vt:lpwstr>
  </property>
</Properties>
</file>