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C9C73">
      <w:pPr>
        <w:pStyle w:val="2"/>
        <w:rPr>
          <w:rFonts w:hint="eastAsia"/>
        </w:rPr>
      </w:pPr>
      <w:bookmarkStart w:id="0" w:name="_Toc63785461"/>
      <w:r>
        <w:rPr>
          <w:rFonts w:hint="eastAsia"/>
        </w:rPr>
        <w:t>项目概况</w:t>
      </w:r>
      <w:bookmarkEnd w:id="0"/>
    </w:p>
    <w:p w14:paraId="39FAAA77">
      <w:r>
        <w:rPr>
          <w:rFonts w:hint="eastAsia"/>
        </w:rPr>
        <w:t>上海市第一人民医院始建于1864年，是国内建院历史悠久的综合性百年医院，1992年获评全国首批三级甲等综合性医院，目前形成北部、南部双院区一体化协同发展布局。医院始终坚守公益性办院宗旨，贯彻全流程质量管理体系，聚焦疑难危重症综合救治、急危重症快速处置、特色专病规范化诊疗持续夯实核心医疗服务能力。院内平台资源积淀深厚，拥有国家临床医学研究中心、国家临床重点专科、上海市临床医学中心、市级重点实验室与工程研究中心等多层次高水平科研临床载体；眼科、消化内镜、内分泌代谢、急诊危重症、泌尿外科、普外科等优势学科临床病例资源充足、专家团队力量雄厚，覆盖肿瘤、肾病、儿科、妇产、辅助生殖、疼痛、白内障、骨科、消化、内分泌等全谱系疾病，为医学大模型、多模态智能体、计算机视觉等人工智能技术落地提供丰富、真实、多元化临床应用场景与权威医学知识支撑。</w:t>
      </w:r>
    </w:p>
    <w:p w14:paraId="606A6408">
      <w:r>
        <w:rPr>
          <w:rFonts w:hint="eastAsia"/>
        </w:rPr>
        <w:t>随着健康中国战略持续深化，国家、上海市相继出台癌症防治、慢病管理、智慧医院建设、医疗数据安全、医疗人工智能创新应用系列政策文件，要求医疗机构加快推动医疗服务由“以疾病治疗为中心”向“以患者全生命周期健康管理为中心”转型，大力发展数据驱动的精准诊疗、线上线下一体化连续服务、标准化临床科研、院内精细化质控与跨医联体协同服务。顺应政策导向与行业发展趋势，医院近年来持续推进数字化转型，大力发展互联网医院、远程诊疗、居家随访管理等新业态，临床科室、管理部门对多源数据融合利用、诊疗流程减负增效、全周期患者健康管理、专科科研数据自动化归集、医疗质量数字化管控的需求持续攀升。</w:t>
      </w:r>
    </w:p>
    <w:p w14:paraId="6C8C67B6">
      <w:r>
        <w:rPr>
          <w:rFonts w:hint="eastAsia"/>
        </w:rPr>
        <w:t>医院已将智慧医院升级、数据驱动精准医疗、医联体互联互通、AI创新服务模式纳入中长期核心发展规划，同步布局统一数据中台、国产大模型智能体基础平台、算力基础设施与标准化集成接口，为全院规模化、场景化人工智能落地搭建底层技术底座。在此基础上，医院统筹规划多项医学人工智能细分场景项目。项目精准匹配各临床科室、管理科室长期存在的数据孤岛割裂、诊疗流程存在断点、医护文书与统计人工负担繁重、医疗质控高度依赖人工经验、临床科研数据提取与分析效率低下、出院后患者院外随访管理薄弱等现实业务痛点，依托院内成熟学科、数据与算力资源，系统性落地一批贴合临床实际、可落地、可复用的AI智能体应用体系。</w:t>
      </w:r>
    </w:p>
    <w:p w14:paraId="6173A508">
      <w:r>
        <w:t>是否按</w:t>
      </w:r>
      <w:r>
        <w:rPr>
          <w:rFonts w:hint="eastAsia"/>
          <w:lang w:eastAsia="zh-CN"/>
        </w:rPr>
        <w:t>XC</w:t>
      </w:r>
      <w:r>
        <w:t>要求建设：</w:t>
      </w:r>
      <w:r>
        <w:rPr>
          <w:rFonts w:hint="eastAsia"/>
        </w:rPr>
        <w:t>否</w:t>
      </w:r>
    </w:p>
    <w:p w14:paraId="2C8EFDBF">
      <w:pPr>
        <w:pStyle w:val="2"/>
        <w:rPr>
          <w:rFonts w:hint="eastAsia"/>
        </w:rPr>
      </w:pPr>
      <w:bookmarkStart w:id="1" w:name="_Toc47532255"/>
      <w:bookmarkEnd w:id="1"/>
      <w:bookmarkStart w:id="2" w:name="_Toc47533256"/>
      <w:bookmarkEnd w:id="2"/>
      <w:bookmarkStart w:id="3" w:name="_Toc47536644"/>
      <w:bookmarkEnd w:id="3"/>
      <w:bookmarkStart w:id="4" w:name="_Toc47531634"/>
      <w:bookmarkEnd w:id="4"/>
      <w:bookmarkStart w:id="5" w:name="_Toc47539070"/>
      <w:bookmarkEnd w:id="5"/>
      <w:bookmarkStart w:id="6" w:name="_Toc47532891"/>
      <w:bookmarkEnd w:id="6"/>
      <w:bookmarkStart w:id="7" w:name="_Toc47536272"/>
      <w:bookmarkEnd w:id="7"/>
      <w:bookmarkStart w:id="8" w:name="_Toc47537134"/>
      <w:bookmarkEnd w:id="8"/>
      <w:bookmarkStart w:id="9" w:name="_Toc63785463"/>
      <w:bookmarkStart w:id="10" w:name="_Toc48223882"/>
      <w:r>
        <w:rPr>
          <w:rFonts w:hint="eastAsia"/>
        </w:rPr>
        <w:t>建设目标</w:t>
      </w:r>
      <w:bookmarkEnd w:id="9"/>
      <w:bookmarkEnd w:id="10"/>
    </w:p>
    <w:p w14:paraId="04A95A10">
      <w:r>
        <w:rPr>
          <w:lang w:bidi="ar"/>
        </w:rPr>
        <w:t>全院"数据—模型—智能体—安全"四位一体的AI技术架构层面，通过建设MLOPS全生命周期运营平台、多源异构数据标准化治理体系、通用智能体研发工具链、国产大模型集成推理服务、高质量专科语料库及安全态势感知智能体七大核心模块，实现从离散的医疗原始数据到可信的临床AI应用之间的全链路贯通，起到统一纳管全院AI能力、降低专科智能体开发门槛、保障医疗AI安全合规运行、支撑</w:t>
      </w:r>
      <w:r>
        <w:rPr>
          <w:rFonts w:hint="eastAsia"/>
          <w:lang w:bidi="ar"/>
        </w:rPr>
        <w:t>多</w:t>
      </w:r>
      <w:r>
        <w:rPr>
          <w:lang w:bidi="ar"/>
        </w:rPr>
        <w:t>个临床场景规模化落地的核心支撑作用。</w:t>
      </w:r>
    </w:p>
    <w:p w14:paraId="6FF0CAD6">
      <w:r>
        <w:rPr>
          <w:rFonts w:hint="eastAsia"/>
        </w:rPr>
        <w:t>1、夯实标准化AI技术底座，实现模型可持续复用、监管与迭代</w:t>
      </w:r>
    </w:p>
    <w:p w14:paraId="03A26856">
      <w:r>
        <w:rPr>
          <w:rFonts w:hint="eastAsia"/>
        </w:rPr>
        <w:t>各专科临床数据分散在HIS、EMR、LIS、PACS、监护设备、手术设备、互联网医院等异构系统，数据标准不统一、治理能力缺失，导致AI模型重复开发、难以跨科室复用。项目依托院内统一数据中台、多源异构数据标准化治理框架、MLOps模型全生命周期运营平台、私有化算力集群与</w:t>
      </w:r>
      <w:r>
        <w:rPr>
          <w:rFonts w:hint="eastAsia"/>
          <w:lang w:eastAsia="zh-CN"/>
        </w:rPr>
        <w:t>XC</w:t>
      </w:r>
      <w:r>
        <w:rPr>
          <w:rFonts w:hint="eastAsia"/>
        </w:rPr>
        <w:t>安全底座，统一规范数据接入、清洗、标注、存储、调用标准，实现智能体、算法模型跨专科复用共享；同步搭建模型运行监控、性能评估、版本管理体系，支持基于新增临床数据持续微调迭代，解决传统AI项目一次性建设、后期难以优化维护的短板，构建长效可持续的院内AI运营支撑体系。</w:t>
      </w:r>
    </w:p>
    <w:p w14:paraId="088950A3">
      <w:r>
        <w:rPr>
          <w:rFonts w:hint="eastAsia"/>
        </w:rPr>
        <w:t>2、建立医疗AI可信落地机制，解决临床“不敢用、不好用、难追溯”痛点</w:t>
      </w:r>
    </w:p>
    <w:p w14:paraId="16E722D5">
      <w:r>
        <w:rPr>
          <w:rFonts w:hint="eastAsia"/>
        </w:rPr>
        <w:t>医疗场景对AI输出严谨性、可解释性、责任边界有极高要求，纯生成式大模型易存在信息幻觉、引用无依据、风险无法溯源等问题。本批全部项目统一配套RAG检索增强、专科知识图谱、标准化临床规则引擎、多轮证据核验、SHAP可解释分析、人工复核确认、全链路操作日志审计、低置信度结果强制人工兜底多重约束机制。所有AI输出仅作为医护辅助参考，最终诊疗、质控、科研结论由医务人员确认留存，完整记录AI推理依据、引用文献、检验影像证据与人工修改痕迹，实现每一条智能提示有据可查、责任清晰，从技术和流程层面保障医疗AI合规、可信、可追溯，切实解决临床人员使用顾虑。</w:t>
      </w:r>
    </w:p>
    <w:p w14:paraId="3C2FFFE6">
      <w:r>
        <w:rPr>
          <w:rFonts w:hint="eastAsia"/>
        </w:rPr>
        <w:t>3、破解临床科室现存多重业务痛点，全面提升医疗服务与管理综合效能</w:t>
      </w:r>
    </w:p>
    <w:p w14:paraId="1878EF14">
      <w:r>
        <w:rPr>
          <w:rFonts w:hint="eastAsia"/>
        </w:rPr>
        <w:t>各临床科室长期存在多类现实短板：院内多系统数据不互通，调取病历、影像、检验需多平台切换；护理、病程、随访文书录入工作量巨大，挤占医患沟通时间；疼痛、透析、手术部位感染、急诊等质控工作依靠人工抽查，时效性差；胃癌、内分泌、肿瘤等专病科研数据手动筛选、统计周期漫长；患者出院后缺乏系统化居家随访管理，高危风险无法及时回流院内干预。通过本批系列AI项目集中建设，以自动化数据采集、智能文书生成、风险实时预警、科研数据自动归集、院内外随访联动智能体为抓手，系统性化解流程断点、人工负荷重、质控滞后、院外管理缺位等难题，同步提升疑难危重症救治、慢病长期管理、临床科研产出、医院精细化运营管理整体水平，助力医院持续巩固区域医疗中心引领地位。</w:t>
      </w:r>
    </w:p>
    <w:p w14:paraId="7278818B">
      <w:r>
        <w:rPr>
          <w:rFonts w:hint="eastAsia"/>
        </w:rPr>
        <w:t>4、响应国家及上海市智慧医疗、医疗AI创新发展政策要求</w:t>
      </w:r>
    </w:p>
    <w:p w14:paraId="140EA2F1">
      <w:r>
        <w:rPr>
          <w:rFonts w:hint="eastAsia"/>
        </w:rPr>
        <w:t>上海市智慧医院建设、医疗人工智能创新应用相关政策均明确要求医疗机构加快建设覆盖筛查、诊疗、康复、随访全周期数字化体系，推进多模态医疗数据融合、临床大模型与智能辅助系统落地，提升慢病规范化管理、急危重症快速处置、医疗质量智慧管控能力。本项目全面契合政策对智慧医疗、精准医疗、慢病综合防控、医疗质控数字化的建设导向，是医院落实智慧医院建设任务、推进医疗科技创新的核心落地载体。</w:t>
      </w:r>
    </w:p>
    <w:p w14:paraId="108DAB2E">
      <w:pPr>
        <w:pStyle w:val="2"/>
        <w:rPr>
          <w:rFonts w:hint="eastAsia"/>
        </w:rPr>
      </w:pPr>
      <w:bookmarkStart w:id="11" w:name="_Toc47536304"/>
      <w:bookmarkEnd w:id="11"/>
      <w:bookmarkStart w:id="12" w:name="_Toc47537166"/>
      <w:bookmarkEnd w:id="12"/>
      <w:bookmarkStart w:id="13" w:name="_Toc47539102"/>
      <w:bookmarkEnd w:id="13"/>
      <w:bookmarkStart w:id="14" w:name="_Toc47533288"/>
      <w:bookmarkEnd w:id="14"/>
      <w:bookmarkStart w:id="15" w:name="_Toc47536676"/>
      <w:bookmarkEnd w:id="15"/>
      <w:bookmarkStart w:id="16" w:name="_Toc47532923"/>
      <w:bookmarkEnd w:id="16"/>
      <w:r>
        <w:rPr>
          <w:rFonts w:hint="eastAsia"/>
        </w:rPr>
        <w:t>项目建设内容</w:t>
      </w:r>
    </w:p>
    <w:p w14:paraId="25ECBCF5">
      <w:pPr>
        <w:pStyle w:val="5"/>
        <w:ind w:firstLine="480"/>
      </w:pPr>
      <w:r>
        <w:rPr>
          <w:rFonts w:hint="eastAsia"/>
        </w:rPr>
        <w:t>构建支撑全院多个医学AI场景统一开发、训练、部署、运营的智能体中台，涵盖模型全生命周期管理、多源异构数据治理、智能体研发编排、大模型集成推理、高质量语料治理、数据资产管理及安全态势感知七大核心模块。</w:t>
      </w:r>
    </w:p>
    <w:p w14:paraId="0619D428">
      <w:pPr>
        <w:pStyle w:val="5"/>
        <w:ind w:firstLine="480"/>
      </w:pPr>
      <w:r>
        <w:rPr>
          <w:rFonts w:hint="eastAsia"/>
        </w:rPr>
        <w:t>MLOPS平台提供从数据接入、模型训练、算法管理到应用部署的全链路能力。数据层面支持文档、文本、图片、音频、视频、表格等多模态数据接入，兼容PDF、XML、JSON、DICOM等医疗常用格式，内置端到端数据加工模板实现多模态解析与训练数据合成。训练层面支持全量微调、LoRA、QLoRA等高效微调方法及SFT、PPO、DPO、GRPO等强化学习策略，集成TensorBoard实时监控与FlashAttention加速技术。部署层面支持一键部署在线推理服务，提供标准RESTful API及可视化调试工具，兼容ModelScope、HuggingFace等外部模型社区。</w:t>
      </w:r>
    </w:p>
    <w:p w14:paraId="27ECAB25">
      <w:pPr>
        <w:pStyle w:val="5"/>
        <w:ind w:firstLine="480"/>
      </w:pPr>
      <w:r>
        <w:rPr>
          <w:rFonts w:hint="eastAsia"/>
        </w:rPr>
        <w:t>医疗多源异构数据管理平台作为全院统一数据底座，向下对接HIS、LIS、PACS、EMR等核心业务系统，通过标准连接器实现异构数据源动态接入与批量同步；向上提供元数据管理、数据质量监控、敏感信息自动识别与静态动态脱敏、统一数据目录与全文检索、细粒度访问控制与全链路审计追溯等核心数据治理能力，满足医疗数据安全与隐私保护合规要求。</w:t>
      </w:r>
    </w:p>
    <w:p w14:paraId="3D6E6F27">
      <w:pPr>
        <w:pStyle w:val="5"/>
        <w:ind w:firstLine="480"/>
      </w:pPr>
      <w:r>
        <w:rPr>
          <w:rFonts w:hint="eastAsia"/>
        </w:rPr>
        <w:t>智能体研发工具集面向全院临床科室与科研团队提供低门槛的AI应用构建能力。核心功能包括：智能体全生命周期管理（创建、编排、版本控制、加密导入导出、跨环境迁移），拖拽式可视化工作流画布（内置大模型调用、知识库检索、条件判断、循环、代码等丰富节点），自主规划型智能体（采用规划-执行架构，支持多步骤任务拆解与工具调用），以及支持Embedded Python/JavaScript的自定义逻辑嵌入。工具集支持短期记忆与长期记忆管理，包括历史对话轮数设置、重要实体自动抽取、重点问答记录与用户画像构建。</w:t>
      </w:r>
    </w:p>
    <w:p w14:paraId="50AAF44C">
      <w:pPr>
        <w:pStyle w:val="5"/>
        <w:ind w:firstLine="480"/>
      </w:pPr>
      <w:r>
        <w:rPr>
          <w:rFonts w:hint="eastAsia"/>
        </w:rPr>
        <w:t>大模型推理与集成工程预置通义千问、DeepSeek等国产主流大语言模型及多模态基础模型组件，支持可视化训练配置与数据集管理，集成vLLM高性能推理引擎与模型量化策略（INT4、INT8、FP8），支持HuggingFace与Megatron格式双向转换。</w:t>
      </w:r>
    </w:p>
    <w:p w14:paraId="496AEC3D">
      <w:pPr>
        <w:pStyle w:val="5"/>
        <w:ind w:firstLine="480"/>
      </w:pPr>
      <w:r>
        <w:rPr>
          <w:rFonts w:hint="eastAsia"/>
        </w:rPr>
        <w:t>面向AI语料库的高质量数据统一治理模块以白内障专病为示范，建立了覆盖临床指南与共识、医学文献、手术操作规范、人工晶体说明书、医患问诊录音转写、术前谈话语料、术后随访语料等十五类语料体系，配套ICD-10编码治理引擎实现临床术语标准化。</w:t>
      </w:r>
    </w:p>
    <w:p w14:paraId="25F5B7D4">
      <w:pPr>
        <w:pStyle w:val="5"/>
        <w:ind w:firstLine="480"/>
      </w:pPr>
      <w:r>
        <w:rPr>
          <w:rFonts w:hint="eastAsia"/>
        </w:rPr>
        <w:t>数智基座威胁态势感知攻防演练一体化智能体提供AI结论风险评估与安全攻防模拟能力，保障全院AI应用安全运行。</w:t>
      </w:r>
    </w:p>
    <w:p w14:paraId="5E9A076C">
      <w:pPr>
        <w:pStyle w:val="5"/>
        <w:ind w:firstLine="480"/>
      </w:pPr>
      <w:r>
        <w:rPr>
          <w:rFonts w:hint="eastAsia"/>
        </w:rPr>
        <w:t>临床医学数据资产管理工程构建"素材采集、信息抽取、内容组织、文本生成、人工审校"五阶段处理流水线，实现从原始医疗数据到标准化数据资产的全流程转化。</w:t>
      </w:r>
    </w:p>
    <w:p w14:paraId="561B980B">
      <w:pPr>
        <w:pStyle w:val="3"/>
      </w:pPr>
      <w:r>
        <w:rPr>
          <w:rFonts w:hint="eastAsia"/>
        </w:rPr>
        <w:t>软件开发清单</w:t>
      </w:r>
    </w:p>
    <w:p w14:paraId="7BA4C7B7">
      <w:r>
        <w:rPr>
          <w:rFonts w:hint="eastAsia"/>
        </w:rPr>
        <w:t>MLOPS平台</w:t>
      </w:r>
    </w:p>
    <w:tbl>
      <w:tblPr>
        <w:tblStyle w:val="7"/>
        <w:tblW w:w="8319" w:type="dxa"/>
        <w:tblInd w:w="0" w:type="dxa"/>
        <w:tblLayout w:type="fixed"/>
        <w:tblCellMar>
          <w:top w:w="15" w:type="dxa"/>
          <w:left w:w="15" w:type="dxa"/>
          <w:bottom w:w="15" w:type="dxa"/>
          <w:right w:w="15" w:type="dxa"/>
        </w:tblCellMar>
      </w:tblPr>
      <w:tblGrid>
        <w:gridCol w:w="860"/>
        <w:gridCol w:w="1054"/>
        <w:gridCol w:w="1013"/>
        <w:gridCol w:w="5392"/>
      </w:tblGrid>
      <w:tr w14:paraId="7845202D">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7B8EC2FE">
            <w:pPr>
              <w:ind w:left="0" w:leftChars="0" w:firstLine="0" w:firstLineChars="0"/>
              <w:jc w:val="center"/>
            </w:pPr>
            <w:r>
              <w:rPr>
                <w:rFonts w:hint="eastAsia"/>
              </w:rPr>
              <w:t>序号</w:t>
            </w:r>
          </w:p>
        </w:tc>
        <w:tc>
          <w:tcPr>
            <w:tcW w:w="1054" w:type="dxa"/>
            <w:tcBorders>
              <w:top w:val="single" w:color="auto" w:sz="4" w:space="0"/>
              <w:left w:val="single" w:color="auto" w:sz="4" w:space="0"/>
              <w:bottom w:val="single" w:color="auto" w:sz="4" w:space="0"/>
              <w:right w:val="single" w:color="auto" w:sz="4" w:space="0"/>
            </w:tcBorders>
            <w:noWrap/>
            <w:vAlign w:val="center"/>
          </w:tcPr>
          <w:p w14:paraId="2EDB92B8">
            <w:pPr>
              <w:ind w:left="0" w:leftChars="0" w:firstLine="0" w:firstLineChars="0"/>
              <w:jc w:val="center"/>
            </w:pPr>
            <w:r>
              <w:rPr>
                <w:rFonts w:hint="eastAsia"/>
              </w:rPr>
              <w:t>系统/设备名称</w:t>
            </w:r>
          </w:p>
        </w:tc>
        <w:tc>
          <w:tcPr>
            <w:tcW w:w="1013" w:type="dxa"/>
            <w:tcBorders>
              <w:top w:val="single" w:color="auto" w:sz="4" w:space="0"/>
              <w:left w:val="single" w:color="auto" w:sz="4" w:space="0"/>
              <w:bottom w:val="single" w:color="auto" w:sz="4" w:space="0"/>
              <w:right w:val="single" w:color="auto" w:sz="4" w:space="0"/>
            </w:tcBorders>
            <w:noWrap/>
            <w:vAlign w:val="center"/>
          </w:tcPr>
          <w:p w14:paraId="38986DD8">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pPr>
            <w:r>
              <w:rPr>
                <w:rFonts w:hint="eastAsia"/>
              </w:rPr>
              <w:t>指标项</w:t>
            </w:r>
          </w:p>
        </w:tc>
        <w:tc>
          <w:tcPr>
            <w:tcW w:w="5392" w:type="dxa"/>
            <w:tcBorders>
              <w:top w:val="single" w:color="auto" w:sz="4" w:space="0"/>
              <w:left w:val="single" w:color="auto" w:sz="4" w:space="0"/>
              <w:bottom w:val="single" w:color="auto" w:sz="4" w:space="0"/>
              <w:right w:val="single" w:color="auto" w:sz="4" w:space="0"/>
            </w:tcBorders>
            <w:vAlign w:val="center"/>
          </w:tcPr>
          <w:p w14:paraId="4ABAB882">
            <w:pPr>
              <w:jc w:val="center"/>
            </w:pPr>
            <w:r>
              <w:rPr>
                <w:rFonts w:hint="eastAsia"/>
              </w:rPr>
              <w:t>参数要求</w:t>
            </w:r>
          </w:p>
        </w:tc>
      </w:tr>
      <w:tr w14:paraId="25DC2EC2">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0EF04D18">
            <w:pPr>
              <w:ind w:left="0" w:leftChars="0" w:firstLine="0" w:firstLineChars="0"/>
              <w:rPr>
                <w:lang w:bidi="ar"/>
              </w:rPr>
            </w:pPr>
            <w:r>
              <w:rPr>
                <w:rFonts w:hint="eastAsia"/>
                <w:lang w:bidi="ar"/>
              </w:rPr>
              <w:t>1</w:t>
            </w:r>
          </w:p>
        </w:tc>
        <w:tc>
          <w:tcPr>
            <w:tcW w:w="1054" w:type="dxa"/>
            <w:vMerge w:val="restart"/>
            <w:tcBorders>
              <w:top w:val="single" w:color="auto" w:sz="4" w:space="0"/>
              <w:left w:val="single" w:color="auto" w:sz="4" w:space="0"/>
              <w:bottom w:val="single" w:color="auto" w:sz="4" w:space="0"/>
              <w:right w:val="single" w:color="auto" w:sz="4" w:space="0"/>
            </w:tcBorders>
            <w:noWrap/>
            <w:vAlign w:val="center"/>
          </w:tcPr>
          <w:p w14:paraId="33CA5707">
            <w:pPr>
              <w:ind w:left="0" w:leftChars="0" w:firstLine="0" w:firstLineChars="0"/>
            </w:pPr>
            <w:r>
              <w:rPr>
                <w:rFonts w:hint="eastAsia"/>
                <w:lang w:bidi="ar"/>
              </w:rPr>
              <w:t>医疗模型训练数据</w:t>
            </w:r>
          </w:p>
        </w:tc>
        <w:tc>
          <w:tcPr>
            <w:tcW w:w="1013" w:type="dxa"/>
            <w:tcBorders>
              <w:top w:val="single" w:color="auto" w:sz="4" w:space="0"/>
              <w:left w:val="single" w:color="auto" w:sz="4" w:space="0"/>
              <w:bottom w:val="single" w:color="auto" w:sz="4" w:space="0"/>
              <w:right w:val="single" w:color="auto" w:sz="4" w:space="0"/>
            </w:tcBorders>
            <w:noWrap/>
            <w:vAlign w:val="center"/>
          </w:tcPr>
          <w:p w14:paraId="7479820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▲数据接入</w:t>
            </w:r>
          </w:p>
        </w:tc>
        <w:tc>
          <w:tcPr>
            <w:tcW w:w="5392" w:type="dxa"/>
            <w:tcBorders>
              <w:top w:val="single" w:color="auto" w:sz="4" w:space="0"/>
              <w:left w:val="single" w:color="auto" w:sz="4" w:space="0"/>
              <w:bottom w:val="single" w:color="auto" w:sz="4" w:space="0"/>
              <w:right w:val="single" w:color="auto" w:sz="4" w:space="0"/>
            </w:tcBorders>
            <w:vAlign w:val="center"/>
          </w:tcPr>
          <w:p w14:paraId="747F3D1B">
            <w:pPr>
              <w:ind w:left="0" w:leftChars="0" w:firstLine="0" w:firstLineChars="0"/>
            </w:pPr>
            <w:r>
              <w:rPr>
                <w:rFonts w:hint="eastAsia"/>
              </w:rPr>
              <w:t>支持创建与管理数据集，支持文档、文本、图片、音频、视频、表格多种模态的数据类型的管理，数据集的文件支持定义按照层级路径进行管理同步到训练集，同时支持结构化数据、文本类、多种图片类、视频类非结构化数据、多种标签类数据、压缩包文件等不同的数据类型。</w:t>
            </w:r>
          </w:p>
          <w:p w14:paraId="505835E9">
            <w:pPr>
              <w:ind w:left="0" w:leftChars="0" w:firstLine="0" w:firstLineChars="0"/>
            </w:pPr>
            <w:r>
              <w:rPr>
                <w:rFonts w:hint="eastAsia"/>
              </w:rPr>
              <w:t>支持托管多种文件类型：</w:t>
            </w:r>
          </w:p>
          <w:p w14:paraId="63190448">
            <w:pPr>
              <w:ind w:left="0" w:leftChars="0" w:firstLine="0" w:firstLineChars="0"/>
              <w:jc w:val="left"/>
              <w:rPr>
                <w:rFonts w:hint="eastAsia" w:eastAsia="宋体"/>
                <w:lang w:eastAsia="zh-CN"/>
              </w:rPr>
            </w:pPr>
            <w:r>
              <w:rPr>
                <w:rFonts w:hint="eastAsia"/>
              </w:rPr>
              <w:t>文档格式至少</w:t>
            </w:r>
            <w:r>
              <w:rPr>
                <w:rFonts w:hint="eastAsia"/>
                <w:lang w:eastAsia="zh-CN"/>
              </w:rPr>
              <w:t>支持</w:t>
            </w:r>
            <w:r>
              <w:rPr>
                <w:rFonts w:hint="eastAsia"/>
              </w:rPr>
              <w:t>.pdf, .txt, .md, .doc, .docx, .epub, .caj, .wps, .xlsx, .xls</w:t>
            </w:r>
          </w:p>
          <w:p w14:paraId="51C639CA">
            <w:pPr>
              <w:ind w:left="0" w:leftChars="0" w:firstLine="0" w:firstLineChars="0"/>
            </w:pPr>
            <w:r>
              <w:rPr>
                <w:rFonts w:hint="eastAsia"/>
              </w:rPr>
              <w:t>图片格式至少支持.png, .jpg, .jpeg, .gif, .bmp</w:t>
            </w:r>
          </w:p>
          <w:p w14:paraId="3CA3C8FC">
            <w:pPr>
              <w:ind w:left="0" w:leftChars="0" w:firstLine="0" w:firstLineChars="0"/>
            </w:pPr>
            <w:r>
              <w:rPr>
                <w:rFonts w:hint="eastAsia"/>
              </w:rPr>
              <w:t>音频格式至少支持.wav, .mp3, .aac, .flac</w:t>
            </w:r>
          </w:p>
          <w:p w14:paraId="726233C6">
            <w:pPr>
              <w:ind w:left="0" w:leftChars="0" w:firstLine="0" w:firstLineChars="0"/>
            </w:pPr>
            <w:r>
              <w:rPr>
                <w:rFonts w:hint="eastAsia"/>
              </w:rPr>
              <w:t>视频文件格式至少支持.mp4, .mkv, .avi, .mov</w:t>
            </w:r>
          </w:p>
          <w:p w14:paraId="3C693707">
            <w:pPr>
              <w:ind w:left="0" w:leftChars="0" w:firstLine="0" w:firstLineChars="0"/>
            </w:pPr>
            <w:r>
              <w:rPr>
                <w:rFonts w:hint="eastAsia"/>
              </w:rPr>
              <w:t xml:space="preserve">表格型文件格式至少支持json、jsonl、csv、parquet </w:t>
            </w:r>
          </w:p>
          <w:p w14:paraId="2B70EA60">
            <w:pPr>
              <w:ind w:left="0" w:leftChars="0" w:firstLine="0" w:firstLineChars="0"/>
            </w:pPr>
            <w:r>
              <w:rPr>
                <w:rFonts w:hint="eastAsia"/>
              </w:rPr>
              <w:t>（多种文件类型支持功能，提供功能截图证明）</w:t>
            </w:r>
          </w:p>
        </w:tc>
      </w:tr>
      <w:tr w14:paraId="029CBD5B">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0AFA7FB4">
            <w:pPr>
              <w:ind w:left="0" w:leftChars="0" w:firstLine="0" w:firstLineChars="0"/>
            </w:pPr>
            <w:r>
              <w:rPr>
                <w:rFonts w:hint="eastAsia"/>
              </w:rPr>
              <w:t>2</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4701CAD9">
            <w:pPr>
              <w:ind w:left="0" w:leftChars="0" w:firstLine="0" w:firstLineChars="0"/>
            </w:pPr>
          </w:p>
        </w:tc>
        <w:tc>
          <w:tcPr>
            <w:tcW w:w="1013" w:type="dxa"/>
            <w:vMerge w:val="restart"/>
            <w:tcBorders>
              <w:top w:val="single" w:color="auto" w:sz="4" w:space="0"/>
              <w:left w:val="single" w:color="auto" w:sz="4" w:space="0"/>
              <w:right w:val="single" w:color="auto" w:sz="4" w:space="0"/>
            </w:tcBorders>
            <w:noWrap/>
            <w:vAlign w:val="center"/>
          </w:tcPr>
          <w:p w14:paraId="2ACFB1FD">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数据管理</w:t>
            </w:r>
          </w:p>
        </w:tc>
        <w:tc>
          <w:tcPr>
            <w:tcW w:w="5392" w:type="dxa"/>
            <w:tcBorders>
              <w:top w:val="single" w:color="auto" w:sz="4" w:space="0"/>
              <w:left w:val="single" w:color="auto" w:sz="4" w:space="0"/>
              <w:bottom w:val="single" w:color="auto" w:sz="4" w:space="0"/>
              <w:right w:val="single" w:color="auto" w:sz="4" w:space="0"/>
            </w:tcBorders>
            <w:vAlign w:val="center"/>
          </w:tcPr>
          <w:p w14:paraId="7CEBF180">
            <w:pPr>
              <w:ind w:left="0" w:leftChars="0" w:firstLine="0" w:firstLineChars="0"/>
            </w:pPr>
            <w:r>
              <w:rPr>
                <w:rFonts w:hint="eastAsia"/>
                <w:lang w:bidi="ar"/>
              </w:rPr>
              <w:t>训练集管理按照数据视图对数据资产统一进行进行归并、存储等管理过程，支持多种类型的数据存储和管理，支持多种方式上传和同步数据到训练集；数据集支持多子集、子集支持灵活数据格式，支持用户自定义配置子集与文件数据的映射，支持开启/关闭子集数据的自动更新，训练集支持版本管理，可以对一个训练集创建多个版本，多个版本之间相互不影响，可以从一个训练集版本创建另一个训练集版本，每个版本之间相互独立。</w:t>
            </w:r>
          </w:p>
        </w:tc>
      </w:tr>
      <w:tr w14:paraId="28817E64">
        <w:tblPrEx>
          <w:tblCellMar>
            <w:top w:w="15" w:type="dxa"/>
            <w:left w:w="15" w:type="dxa"/>
            <w:bottom w:w="15" w:type="dxa"/>
            <w:right w:w="15" w:type="dxa"/>
          </w:tblCellMar>
        </w:tblPrEx>
        <w:trPr>
          <w:trHeight w:val="23" w:hRule="atLeast"/>
        </w:trPr>
        <w:tc>
          <w:tcPr>
            <w:tcW w:w="860" w:type="dxa"/>
            <w:tcBorders>
              <w:left w:val="single" w:color="auto" w:sz="4" w:space="0"/>
              <w:bottom w:val="single" w:color="auto" w:sz="4" w:space="0"/>
              <w:right w:val="single" w:color="auto" w:sz="4" w:space="0"/>
            </w:tcBorders>
            <w:noWrap/>
            <w:vAlign w:val="center"/>
          </w:tcPr>
          <w:p w14:paraId="5218F74B">
            <w:pPr>
              <w:ind w:left="0" w:leftChars="0" w:firstLine="0" w:firstLineChars="0"/>
            </w:pPr>
            <w:r>
              <w:rPr>
                <w:rFonts w:hint="eastAsia"/>
              </w:rPr>
              <w:t>3</w:t>
            </w:r>
          </w:p>
        </w:tc>
        <w:tc>
          <w:tcPr>
            <w:tcW w:w="1054" w:type="dxa"/>
            <w:vMerge w:val="continue"/>
            <w:tcBorders>
              <w:left w:val="single" w:color="auto" w:sz="4" w:space="0"/>
              <w:bottom w:val="single" w:color="auto" w:sz="4" w:space="0"/>
              <w:right w:val="single" w:color="auto" w:sz="4" w:space="0"/>
            </w:tcBorders>
            <w:noWrap/>
            <w:vAlign w:val="center"/>
          </w:tcPr>
          <w:p w14:paraId="22D3CAAC">
            <w:pPr>
              <w:ind w:left="0" w:leftChars="0" w:firstLine="0" w:firstLineChars="0"/>
            </w:pPr>
          </w:p>
        </w:tc>
        <w:tc>
          <w:tcPr>
            <w:tcW w:w="1013" w:type="dxa"/>
            <w:vMerge w:val="continue"/>
            <w:tcBorders>
              <w:left w:val="single" w:color="auto" w:sz="4" w:space="0"/>
              <w:bottom w:val="single" w:color="auto" w:sz="4" w:space="0"/>
              <w:right w:val="single" w:color="auto" w:sz="4" w:space="0"/>
            </w:tcBorders>
            <w:noWrap/>
            <w:vAlign w:val="center"/>
          </w:tcPr>
          <w:p w14:paraId="3212EB7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5392" w:type="dxa"/>
            <w:tcBorders>
              <w:top w:val="single" w:color="auto" w:sz="4" w:space="0"/>
              <w:left w:val="single" w:color="auto" w:sz="4" w:space="0"/>
              <w:bottom w:val="single" w:color="auto" w:sz="4" w:space="0"/>
              <w:right w:val="single" w:color="auto" w:sz="4" w:space="0"/>
            </w:tcBorders>
            <w:vAlign w:val="center"/>
          </w:tcPr>
          <w:p w14:paraId="1AE04345">
            <w:pPr>
              <w:ind w:left="0" w:leftChars="0" w:firstLine="0" w:firstLineChars="0"/>
            </w:pPr>
            <w:r>
              <w:rPr>
                <w:rFonts w:hint="eastAsia"/>
              </w:rPr>
              <w:t>△支持创建与管理各类数据加工和数据合成任务，具备多模态解析和训练数据合成的能力：支持数据加工以及管理，具备端到端数据加工模板，包括文档-PDF基础解析生成知识片段，文档-PDF深度解析生成知识片段，文档-EXCEL基础解析生成知识片段，文档-WORD基础解析生成知识片段，文档-WORD深度解析生成知识片段，文档-纯文本文档生成知识片段，文档-PDF端到端SFT语料构建，视频-智能解析视频分段与关键帧，视频-视频切片，视频-视频抽帧等不同模板。</w:t>
            </w:r>
            <w:r>
              <w:rPr>
                <w:rFonts w:hint="eastAsia"/>
                <w:color w:val="000000"/>
              </w:rPr>
              <w:t>（</w:t>
            </w:r>
            <w:r>
              <w:rPr>
                <w:rFonts w:hint="eastAsia"/>
              </w:rPr>
              <w:t>支持数据加工以及管理，提供演示视频证明</w:t>
            </w:r>
            <w:r>
              <w:rPr>
                <w:rFonts w:hint="eastAsia"/>
                <w:color w:val="000000"/>
              </w:rPr>
              <w:t>）</w:t>
            </w:r>
          </w:p>
        </w:tc>
      </w:tr>
      <w:tr w14:paraId="3968E42D">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0ADA9162">
            <w:pPr>
              <w:ind w:left="0" w:leftChars="0" w:firstLine="0" w:firstLineChars="0"/>
              <w:rPr>
                <w:lang w:bidi="ar"/>
              </w:rPr>
            </w:pPr>
            <w:r>
              <w:rPr>
                <w:rFonts w:hint="eastAsia"/>
                <w:lang w:bidi="ar"/>
              </w:rPr>
              <w:t>4</w:t>
            </w:r>
          </w:p>
        </w:tc>
        <w:tc>
          <w:tcPr>
            <w:tcW w:w="1054" w:type="dxa"/>
            <w:vMerge w:val="restart"/>
            <w:tcBorders>
              <w:top w:val="single" w:color="auto" w:sz="4" w:space="0"/>
              <w:left w:val="single" w:color="auto" w:sz="4" w:space="0"/>
              <w:bottom w:val="single" w:color="auto" w:sz="4" w:space="0"/>
              <w:right w:val="single" w:color="auto" w:sz="4" w:space="0"/>
            </w:tcBorders>
            <w:noWrap/>
            <w:vAlign w:val="center"/>
          </w:tcPr>
          <w:p w14:paraId="7E0801EA">
            <w:pPr>
              <w:ind w:left="0" w:leftChars="0" w:firstLine="0" w:firstLineChars="0"/>
            </w:pPr>
            <w:r>
              <w:rPr>
                <w:rFonts w:hint="eastAsia"/>
                <w:lang w:bidi="ar"/>
              </w:rPr>
              <w:t>医疗模型研制</w:t>
            </w:r>
          </w:p>
        </w:tc>
        <w:tc>
          <w:tcPr>
            <w:tcW w:w="1013" w:type="dxa"/>
            <w:tcBorders>
              <w:top w:val="single" w:color="auto" w:sz="4" w:space="0"/>
              <w:left w:val="single" w:color="auto" w:sz="4" w:space="0"/>
              <w:bottom w:val="single" w:color="auto" w:sz="4" w:space="0"/>
              <w:right w:val="single" w:color="auto" w:sz="4" w:space="0"/>
            </w:tcBorders>
            <w:noWrap/>
            <w:vAlign w:val="center"/>
          </w:tcPr>
          <w:p w14:paraId="143E596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项目管理和配置</w:t>
            </w:r>
          </w:p>
        </w:tc>
        <w:tc>
          <w:tcPr>
            <w:tcW w:w="5392" w:type="dxa"/>
            <w:tcBorders>
              <w:top w:val="single" w:color="auto" w:sz="4" w:space="0"/>
              <w:left w:val="single" w:color="auto" w:sz="4" w:space="0"/>
              <w:bottom w:val="single" w:color="auto" w:sz="4" w:space="0"/>
              <w:right w:val="single" w:color="auto" w:sz="4" w:space="0"/>
            </w:tcBorders>
            <w:vAlign w:val="center"/>
          </w:tcPr>
          <w:p w14:paraId="36F7C351">
            <w:pPr>
              <w:ind w:left="0" w:leftChars="0" w:firstLine="0" w:firstLineChars="0"/>
              <w:rPr>
                <w:lang w:bidi="ar"/>
              </w:rPr>
            </w:pPr>
          </w:p>
          <w:p w14:paraId="5A0CD58A">
            <w:pPr>
              <w:ind w:left="0" w:leftChars="0" w:firstLine="0" w:firstLineChars="0"/>
            </w:pPr>
            <w:r>
              <w:rPr>
                <w:rFonts w:hint="eastAsia"/>
              </w:rPr>
              <w:t>模型调优任务可支持任务创建基础信息，包括任务的名称，在模型调优页面创建模型调优任务并进行策略配置。任务的基础信息包括所属组织、资源集、地域的归属设定，同时支持自定义任务名称以及任务描述信息的填写。在模型选择方面，支持选择系统模型、自定义模型（选择自定义模型后支持多模态模型）以及MaaS市场模型，并可选择调优时使用的模型类型，同时支持配置数据加速器以加速调优过程。</w:t>
            </w:r>
          </w:p>
        </w:tc>
      </w:tr>
      <w:tr w14:paraId="073FC584">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08067269">
            <w:pPr>
              <w:ind w:left="0" w:leftChars="0" w:firstLine="0" w:firstLineChars="0"/>
            </w:pPr>
            <w:r>
              <w:rPr>
                <w:rFonts w:hint="eastAsia"/>
              </w:rPr>
              <w:t>5</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7A5FD45F">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noWrap/>
            <w:vAlign w:val="center"/>
          </w:tcPr>
          <w:p w14:paraId="4963437C">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环境配置管理</w:t>
            </w:r>
          </w:p>
        </w:tc>
        <w:tc>
          <w:tcPr>
            <w:tcW w:w="5392" w:type="dxa"/>
            <w:tcBorders>
              <w:top w:val="single" w:color="auto" w:sz="4" w:space="0"/>
              <w:left w:val="single" w:color="auto" w:sz="4" w:space="0"/>
              <w:bottom w:val="single" w:color="auto" w:sz="4" w:space="0"/>
              <w:right w:val="single" w:color="auto" w:sz="4" w:space="0"/>
            </w:tcBorders>
            <w:vAlign w:val="center"/>
          </w:tcPr>
          <w:p w14:paraId="0020D95F">
            <w:pPr>
              <w:ind w:left="0" w:leftChars="0" w:firstLine="0" w:firstLineChars="0"/>
            </w:pPr>
            <w:r>
              <w:rPr>
                <w:rFonts w:hint="eastAsia"/>
                <w:lang w:bidi="ar"/>
              </w:rPr>
              <w:t>实现各种基础需求，包含AI框架、编程语言、基础组件和开发包；用户可以根据基础环境更新升级自定义环境可支持切换不同空间的环境，可以对环境信息分享。支持设置Notebook实例所需的资源配额。资源与数据配置阶段，支持选择资源配额并配置所需的CPU核数、内存、GPU卡数或GPU显存，当开启GPU共享虚拟化时可配置GPU显存，系统根据实际切分粒度自动适配并申请所需资源。</w:t>
            </w:r>
          </w:p>
        </w:tc>
      </w:tr>
      <w:tr w14:paraId="3A6C5DB7">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34890EAE">
            <w:pPr>
              <w:ind w:left="0" w:leftChars="0" w:firstLine="0" w:firstLineChars="0"/>
            </w:pPr>
            <w:r>
              <w:rPr>
                <w:rFonts w:hint="eastAsia"/>
              </w:rPr>
              <w:t>6</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0904F422">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noWrap/>
            <w:vAlign w:val="center"/>
          </w:tcPr>
          <w:p w14:paraId="1E16792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镜像管理</w:t>
            </w:r>
          </w:p>
        </w:tc>
        <w:tc>
          <w:tcPr>
            <w:tcW w:w="5392" w:type="dxa"/>
            <w:tcBorders>
              <w:top w:val="single" w:color="auto" w:sz="4" w:space="0"/>
              <w:left w:val="single" w:color="auto" w:sz="4" w:space="0"/>
              <w:bottom w:val="single" w:color="auto" w:sz="4" w:space="0"/>
              <w:right w:val="single" w:color="auto" w:sz="4" w:space="0"/>
            </w:tcBorders>
            <w:vAlign w:val="center"/>
          </w:tcPr>
          <w:p w14:paraId="5F32C996">
            <w:pPr>
              <w:ind w:left="0" w:leftChars="0" w:firstLine="0" w:firstLineChars="0"/>
              <w:jc w:val="both"/>
            </w:pPr>
            <w:r>
              <w:rPr>
                <w:rFonts w:hint="eastAsia"/>
                <w:lang w:bidi="ar"/>
              </w:rPr>
              <w:t>系统内置了各种基础的环境镜像，提供了基础的运行环境，用户可以选择基础的ai开发框架和CUDA版本和python版本之类的基础环境；用户在开发环境安装需要的环境和软件包之后，可以选择将当前的镜像保存为自定义镜像。镜像库为模型开发和模型训练提供相应的开发及运</w:t>
            </w:r>
            <w:r>
              <w:rPr>
                <w:rFonts w:hint="eastAsia" w:ascii="微软雅黑" w:hAnsi="微软雅黑" w:eastAsia="微软雅黑" w:cs="微软雅黑"/>
                <w:lang w:bidi="ar"/>
              </w:rPr>
              <w:t>⾏</w:t>
            </w:r>
            <w:r>
              <w:rPr>
                <w:rFonts w:hint="eastAsia"/>
                <w:lang w:bidi="ar"/>
              </w:rPr>
              <w:t>环境镜像，帮助</w:t>
            </w:r>
            <w:r>
              <w:rPr>
                <w:lang w:bidi="ar"/>
              </w:rPr>
              <w:t xml:space="preserve"> </w:t>
            </w:r>
            <w:r>
              <w:rPr>
                <w:rFonts w:hint="eastAsia"/>
                <w:lang w:bidi="ar"/>
              </w:rPr>
              <w:t>快速构建开发及训练任务。</w:t>
            </w:r>
            <w:r>
              <w:rPr>
                <w:lang w:bidi="ar"/>
              </w:rPr>
              <w:t xml:space="preserve"> </w:t>
            </w:r>
            <w:r>
              <w:rPr>
                <w:rFonts w:hint="eastAsia"/>
                <w:lang w:bidi="ar"/>
              </w:rPr>
              <w:t>分为公共镜像和</w:t>
            </w:r>
            <w:r>
              <w:rPr>
                <w:rFonts w:hint="eastAsia" w:ascii="微软雅黑" w:hAnsi="微软雅黑" w:eastAsia="微软雅黑" w:cs="微软雅黑"/>
                <w:lang w:bidi="ar"/>
              </w:rPr>
              <w:t>⾃</w:t>
            </w:r>
            <w:r>
              <w:rPr>
                <w:rFonts w:hint="eastAsia"/>
                <w:lang w:bidi="ar"/>
              </w:rPr>
              <w:t>定义镜像。</w:t>
            </w:r>
            <w:r>
              <w:rPr>
                <w:lang w:bidi="ar"/>
              </w:rPr>
              <w:t xml:space="preserve"> </w:t>
            </w:r>
            <w:r>
              <w:rPr>
                <w:rFonts w:hint="eastAsia" w:ascii="微软雅黑" w:hAnsi="微软雅黑" w:eastAsia="微软雅黑" w:cs="微软雅黑"/>
                <w:lang w:bidi="ar"/>
              </w:rPr>
              <w:t>⾃</w:t>
            </w:r>
            <w:r>
              <w:rPr>
                <w:rFonts w:hint="eastAsia"/>
                <w:lang w:bidi="ar"/>
              </w:rPr>
              <w:t>定义镜像</w:t>
            </w:r>
            <w:r>
              <w:rPr>
                <w:rFonts w:hint="eastAsia" w:ascii="微软雅黑" w:hAnsi="微软雅黑" w:eastAsia="微软雅黑" w:cs="微软雅黑"/>
                <w:lang w:bidi="ar"/>
              </w:rPr>
              <w:t>⽀</w:t>
            </w:r>
            <w:r>
              <w:rPr>
                <w:rFonts w:hint="eastAsia"/>
                <w:lang w:bidi="ar"/>
              </w:rPr>
              <w:t>持上传、删除、编辑和共享镜像。内置对</w:t>
            </w:r>
            <w:r>
              <w:rPr>
                <w:lang w:bidi="ar"/>
              </w:rPr>
              <w:t>Tensorflow/Pytorch/Megatron/vllm/sglang/MindSpore/DeepSpeed</w:t>
            </w:r>
            <w:r>
              <w:rPr>
                <w:rFonts w:hint="eastAsia"/>
                <w:lang w:bidi="ar"/>
              </w:rPr>
              <w:t>等算法框架的支持，也支持算法框架的自定义。</w:t>
            </w:r>
          </w:p>
        </w:tc>
      </w:tr>
      <w:tr w14:paraId="60B9CA68">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6A540C05">
            <w:pPr>
              <w:ind w:left="0" w:leftChars="0" w:firstLine="0" w:firstLineChars="0"/>
            </w:pPr>
            <w:r>
              <w:rPr>
                <w:rFonts w:hint="eastAsia"/>
              </w:rPr>
              <w:t>7</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355E1427">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noWrap/>
            <w:vAlign w:val="center"/>
          </w:tcPr>
          <w:p w14:paraId="7537EB11">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医疗训练集管理</w:t>
            </w:r>
          </w:p>
        </w:tc>
        <w:tc>
          <w:tcPr>
            <w:tcW w:w="5392" w:type="dxa"/>
            <w:tcBorders>
              <w:top w:val="single" w:color="auto" w:sz="4" w:space="0"/>
              <w:left w:val="single" w:color="auto" w:sz="4" w:space="0"/>
              <w:bottom w:val="single" w:color="auto" w:sz="4" w:space="0"/>
              <w:right w:val="single" w:color="auto" w:sz="4" w:space="0"/>
            </w:tcBorders>
            <w:vAlign w:val="center"/>
          </w:tcPr>
          <w:p w14:paraId="7D41CF47">
            <w:pPr>
              <w:ind w:left="0" w:leftChars="0" w:firstLine="0" w:firstLineChars="0"/>
            </w:pPr>
            <w:r>
              <w:rPr>
                <w:rFonts w:hint="eastAsia"/>
                <w:lang w:bidi="ar"/>
              </w:rPr>
              <w:t>私有训练是用户空间下的训练集，空间用户可以完整的使用训练集，包括租户可以使用训练数据集能力完成私有训练集的接入、管理、探索、处理和共享等操作；公开训练集是平台提供一系列基础公开训练集，用户可以使用公开训练集，并通过修改公开训练集将他们创建出新的私有训练集，公开训练集供各租户共同使用训练集，增强公开训练集的复用度。</w:t>
            </w:r>
          </w:p>
        </w:tc>
      </w:tr>
      <w:tr w14:paraId="07A32C53">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5296DC1C">
            <w:pPr>
              <w:ind w:left="0" w:leftChars="0" w:firstLine="0" w:firstLineChars="0"/>
            </w:pPr>
            <w:r>
              <w:rPr>
                <w:rFonts w:hint="eastAsia"/>
              </w:rPr>
              <w:t>8</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00870055">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noWrap/>
            <w:vAlign w:val="center"/>
          </w:tcPr>
          <w:p w14:paraId="56246E68">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医疗模型建模开发</w:t>
            </w:r>
          </w:p>
        </w:tc>
        <w:tc>
          <w:tcPr>
            <w:tcW w:w="5392" w:type="dxa"/>
            <w:tcBorders>
              <w:top w:val="single" w:color="auto" w:sz="4" w:space="0"/>
              <w:left w:val="single" w:color="auto" w:sz="4" w:space="0"/>
              <w:bottom w:val="single" w:color="auto" w:sz="4" w:space="0"/>
              <w:right w:val="single" w:color="auto" w:sz="4" w:space="0"/>
            </w:tcBorders>
            <w:vAlign w:val="center"/>
          </w:tcPr>
          <w:p w14:paraId="4EAC6818">
            <w:pPr>
              <w:ind w:left="0" w:leftChars="0" w:firstLine="0" w:firstLineChars="0"/>
              <w:rPr>
                <w:lang w:bidi="ar"/>
              </w:rPr>
            </w:pPr>
          </w:p>
          <w:p w14:paraId="47223DA1">
            <w:pPr>
              <w:ind w:left="0" w:leftChars="0" w:firstLine="0" w:firstLineChars="0"/>
            </w:pPr>
            <w:r>
              <w:rPr>
                <w:rFonts w:hint="eastAsia"/>
              </w:rPr>
              <w:t>支持任务建模，可视化建模，支持Notebook建模实例创建、编辑、克隆、监控、密码设置、启动、停止等操作。支持环境编辑设置，支持Vscode、JupyterLab编辑环境，在Jupyterlab及Vscode编辑环境中看到的文件目录一致，便于不同的开发环境文件管理。可视化建模支持周期性调度，可视化建模支持在画布拖拽组件进行训练工作流搭建，并对工作流编辑、克隆、监控、任务记录、训练结果导出、操作记录等管理，预置文本分类、线性回归、图像分类、二分类、图片目标检测、文本聚类模版，可一键进行工作流创建。</w:t>
            </w:r>
          </w:p>
        </w:tc>
      </w:tr>
      <w:tr w14:paraId="045CB68C">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19E80FAC">
            <w:pPr>
              <w:ind w:left="0" w:leftChars="0" w:firstLine="0" w:firstLineChars="0"/>
            </w:pPr>
            <w:r>
              <w:rPr>
                <w:rFonts w:hint="eastAsia"/>
              </w:rPr>
              <w:t>9</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76ADF0B4">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noWrap/>
            <w:vAlign w:val="center"/>
          </w:tcPr>
          <w:p w14:paraId="09F82494">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医疗模型训练管理</w:t>
            </w:r>
          </w:p>
        </w:tc>
        <w:tc>
          <w:tcPr>
            <w:tcW w:w="5392" w:type="dxa"/>
            <w:tcBorders>
              <w:top w:val="single" w:color="auto" w:sz="4" w:space="0"/>
              <w:left w:val="single" w:color="auto" w:sz="4" w:space="0"/>
              <w:bottom w:val="single" w:color="auto" w:sz="4" w:space="0"/>
              <w:right w:val="single" w:color="auto" w:sz="4" w:space="0"/>
            </w:tcBorders>
            <w:vAlign w:val="center"/>
          </w:tcPr>
          <w:p w14:paraId="0F9FE68F">
            <w:pPr>
              <w:ind w:left="0" w:leftChars="0" w:firstLine="0" w:firstLineChars="0"/>
            </w:pPr>
            <w:r>
              <w:rPr>
                <w:rFonts w:hint="eastAsia"/>
                <w:lang w:bidi="ar"/>
              </w:rPr>
              <w:t>对模型训练任务进行管理，制定模型训练计划，可支持立刻等不同调度模式多种模型训练任务，配置训练任务执行所需要的环境和资源、执行代码和关联训练集。实现对训练过程进行全程记录，包括训练程序执行日志、训练步骤日志、记录训练时长和执行状态等。训练完成，可对训练产生的模型和数据进行归档管理，可以查看训练生成的模型和数据，也可以下载和处理这些训练产生的数据用于二次训练。训练过程中有完整的监控，可以查看训练过程针对训练过程中训练的资源使用情况进行监控，包括CPU、内存、GPU等调用情况等。</w:t>
            </w:r>
          </w:p>
        </w:tc>
      </w:tr>
      <w:tr w14:paraId="3F073D07">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73D3CDFB">
            <w:pPr>
              <w:ind w:left="0" w:leftChars="0" w:firstLine="0" w:firstLineChars="0"/>
            </w:pPr>
            <w:r>
              <w:rPr>
                <w:rFonts w:hint="eastAsia"/>
              </w:rPr>
              <w:t>10</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1F920E12">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noWrap/>
            <w:vAlign w:val="center"/>
          </w:tcPr>
          <w:p w14:paraId="413293F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医疗模型训练结果管理</w:t>
            </w:r>
          </w:p>
        </w:tc>
        <w:tc>
          <w:tcPr>
            <w:tcW w:w="5392" w:type="dxa"/>
            <w:tcBorders>
              <w:top w:val="single" w:color="auto" w:sz="4" w:space="0"/>
              <w:left w:val="single" w:color="auto" w:sz="4" w:space="0"/>
              <w:bottom w:val="single" w:color="auto" w:sz="4" w:space="0"/>
              <w:right w:val="single" w:color="auto" w:sz="4" w:space="0"/>
            </w:tcBorders>
            <w:vAlign w:val="center"/>
          </w:tcPr>
          <w:p w14:paraId="4C644DBE">
            <w:pPr>
              <w:ind w:left="0" w:leftChars="0" w:firstLine="0" w:firstLineChars="0"/>
            </w:pPr>
            <w:r>
              <w:rPr>
                <w:rFonts w:hint="eastAsia"/>
                <w:lang w:bidi="ar"/>
              </w:rPr>
              <w:t>对训练过程中的文件进行归档处理，包括归档模型训练的结果，关联对应的训练的环境、代码、资源配置等信息；训练时支持版本管理，针对模型训练版本，针对实验模型的开发过程改进，持续对训练模型的版本进行改进和升级管理。</w:t>
            </w:r>
          </w:p>
        </w:tc>
      </w:tr>
      <w:tr w14:paraId="40F1BD21">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13BD0891">
            <w:pPr>
              <w:ind w:left="0" w:leftChars="0" w:firstLine="0" w:firstLineChars="0"/>
            </w:pPr>
            <w:r>
              <w:rPr>
                <w:rFonts w:hint="eastAsia"/>
              </w:rPr>
              <w:t>11</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55FE600B">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noWrap/>
            <w:vAlign w:val="center"/>
          </w:tcPr>
          <w:p w14:paraId="1AB756C5">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▲资源监控</w:t>
            </w:r>
          </w:p>
        </w:tc>
        <w:tc>
          <w:tcPr>
            <w:tcW w:w="5392" w:type="dxa"/>
            <w:tcBorders>
              <w:top w:val="single" w:color="auto" w:sz="4" w:space="0"/>
              <w:left w:val="single" w:color="auto" w:sz="4" w:space="0"/>
              <w:bottom w:val="single" w:color="auto" w:sz="4" w:space="0"/>
              <w:right w:val="single" w:color="auto" w:sz="4" w:space="0"/>
            </w:tcBorders>
            <w:vAlign w:val="center"/>
          </w:tcPr>
          <w:p w14:paraId="06889611">
            <w:pPr>
              <w:ind w:left="0" w:leftChars="0" w:firstLine="0" w:firstLineChars="0"/>
            </w:pPr>
            <w:r>
              <w:rPr>
                <w:rFonts w:hint="eastAsia"/>
                <w:lang w:bidi="ar"/>
              </w:rPr>
              <w:t>针对运行环境，进行实时的资源监控，包括实时CPU、内存、GPU、算力等指标的监控及展示。提供对应功能的产品截图证明。</w:t>
            </w:r>
          </w:p>
        </w:tc>
      </w:tr>
      <w:tr w14:paraId="58255844">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14F1623F">
            <w:pPr>
              <w:ind w:left="0" w:leftChars="0" w:firstLine="0" w:firstLineChars="0"/>
              <w:rPr>
                <w:lang w:bidi="ar"/>
              </w:rPr>
            </w:pPr>
            <w:r>
              <w:rPr>
                <w:rFonts w:hint="eastAsia"/>
                <w:lang w:bidi="ar"/>
              </w:rPr>
              <w:t>12</w:t>
            </w:r>
          </w:p>
        </w:tc>
        <w:tc>
          <w:tcPr>
            <w:tcW w:w="1054" w:type="dxa"/>
            <w:vMerge w:val="restart"/>
            <w:tcBorders>
              <w:top w:val="single" w:color="auto" w:sz="4" w:space="0"/>
              <w:left w:val="single" w:color="auto" w:sz="4" w:space="0"/>
              <w:bottom w:val="single" w:color="auto" w:sz="4" w:space="0"/>
              <w:right w:val="single" w:color="auto" w:sz="4" w:space="0"/>
            </w:tcBorders>
            <w:noWrap/>
            <w:vAlign w:val="center"/>
          </w:tcPr>
          <w:p w14:paraId="0B52DAC4">
            <w:pPr>
              <w:ind w:left="0" w:leftChars="0" w:firstLine="0" w:firstLineChars="0"/>
            </w:pPr>
            <w:r>
              <w:rPr>
                <w:rFonts w:hint="eastAsia"/>
                <w:lang w:bidi="ar"/>
              </w:rPr>
              <w:t>医疗算法库</w:t>
            </w:r>
          </w:p>
        </w:tc>
        <w:tc>
          <w:tcPr>
            <w:tcW w:w="1013" w:type="dxa"/>
            <w:tcBorders>
              <w:top w:val="single" w:color="auto" w:sz="4" w:space="0"/>
              <w:left w:val="single" w:color="auto" w:sz="4" w:space="0"/>
              <w:bottom w:val="single" w:color="auto" w:sz="4" w:space="0"/>
              <w:right w:val="single" w:color="auto" w:sz="4" w:space="0"/>
            </w:tcBorders>
            <w:noWrap/>
            <w:vAlign w:val="center"/>
          </w:tcPr>
          <w:p w14:paraId="049F367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医疗算法模型管理</w:t>
            </w:r>
          </w:p>
        </w:tc>
        <w:tc>
          <w:tcPr>
            <w:tcW w:w="5392" w:type="dxa"/>
            <w:tcBorders>
              <w:top w:val="single" w:color="auto" w:sz="4" w:space="0"/>
              <w:left w:val="single" w:color="auto" w:sz="4" w:space="0"/>
              <w:bottom w:val="single" w:color="auto" w:sz="4" w:space="0"/>
              <w:right w:val="single" w:color="auto" w:sz="4" w:space="0"/>
            </w:tcBorders>
            <w:vAlign w:val="center"/>
          </w:tcPr>
          <w:p w14:paraId="6AF87174">
            <w:pPr>
              <w:ind w:left="0" w:leftChars="0" w:firstLine="0" w:firstLineChars="0"/>
            </w:pPr>
            <w:r>
              <w:rPr>
                <w:rFonts w:hint="eastAsia"/>
                <w:lang w:bidi="ar"/>
              </w:rPr>
              <w:t>对算法模型进行规范化统一管理，提供平台算法模型和用户自定义算法模型归档管理版本控制等。模型支持完整的使用说明文档，通过在线md对模型进行全方面的描述，对算法模型提供使用说明和方法，在训练开发过程中可以引入加载算法模型，增加算法模型的复用度；对接管理1-2个额外渠道的算法模型管理；对算法模型提供评价及评估报告机制，便于用户快速筛选定位所需算法。</w:t>
            </w:r>
          </w:p>
        </w:tc>
      </w:tr>
      <w:tr w14:paraId="673101A8">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2BB7FC8D">
            <w:pPr>
              <w:ind w:left="0" w:leftChars="0" w:firstLine="0" w:firstLineChars="0"/>
            </w:pPr>
            <w:r>
              <w:rPr>
                <w:rFonts w:hint="eastAsia"/>
              </w:rPr>
              <w:t>13</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4C606A83">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noWrap/>
            <w:vAlign w:val="center"/>
          </w:tcPr>
          <w:p w14:paraId="29E313C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医疗算法服务配置</w:t>
            </w:r>
          </w:p>
        </w:tc>
        <w:tc>
          <w:tcPr>
            <w:tcW w:w="5392" w:type="dxa"/>
            <w:tcBorders>
              <w:top w:val="single" w:color="auto" w:sz="4" w:space="0"/>
              <w:left w:val="single" w:color="auto" w:sz="4" w:space="0"/>
              <w:bottom w:val="single" w:color="auto" w:sz="4" w:space="0"/>
              <w:right w:val="single" w:color="auto" w:sz="4" w:space="0"/>
            </w:tcBorders>
            <w:vAlign w:val="center"/>
          </w:tcPr>
          <w:p w14:paraId="0779D019">
            <w:pPr>
              <w:ind w:left="0" w:leftChars="0" w:firstLine="0" w:firstLineChars="0"/>
            </w:pPr>
            <w:r>
              <w:rPr>
                <w:rFonts w:hint="eastAsia"/>
                <w:lang w:bidi="ar"/>
              </w:rPr>
              <w:t>配置管理算法服务，形成对外提供算法服务能力，供或外部快捷使用算法服务；为算法服务提供服务使用授权、安全合规的调用平台算法能力。</w:t>
            </w:r>
          </w:p>
        </w:tc>
      </w:tr>
      <w:tr w14:paraId="0B033485">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5E197B2C">
            <w:pPr>
              <w:ind w:left="0" w:leftChars="0" w:firstLine="0" w:firstLineChars="0"/>
            </w:pPr>
            <w:r>
              <w:rPr>
                <w:rFonts w:hint="eastAsia"/>
              </w:rPr>
              <w:t>14</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12972B77">
            <w:pPr>
              <w:ind w:left="0" w:leftChars="0" w:firstLine="0" w:firstLineChars="0"/>
            </w:pPr>
          </w:p>
        </w:tc>
        <w:tc>
          <w:tcPr>
            <w:tcW w:w="1013" w:type="dxa"/>
            <w:vMerge w:val="restart"/>
            <w:tcBorders>
              <w:top w:val="single" w:color="auto" w:sz="4" w:space="0"/>
              <w:left w:val="single" w:color="auto" w:sz="4" w:space="0"/>
              <w:right w:val="single" w:color="auto" w:sz="4" w:space="0"/>
            </w:tcBorders>
            <w:noWrap/>
            <w:vAlign w:val="center"/>
          </w:tcPr>
          <w:p w14:paraId="4C6B3DF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算法市场门户</w:t>
            </w:r>
          </w:p>
        </w:tc>
        <w:tc>
          <w:tcPr>
            <w:tcW w:w="5392" w:type="dxa"/>
            <w:tcBorders>
              <w:top w:val="single" w:color="auto" w:sz="4" w:space="0"/>
              <w:left w:val="single" w:color="auto" w:sz="4" w:space="0"/>
              <w:bottom w:val="single" w:color="auto" w:sz="4" w:space="0"/>
              <w:right w:val="single" w:color="auto" w:sz="4" w:space="0"/>
            </w:tcBorders>
            <w:vAlign w:val="center"/>
          </w:tcPr>
          <w:p w14:paraId="4934D604">
            <w:pPr>
              <w:ind w:left="0" w:leftChars="0" w:firstLine="0" w:firstLineChars="0"/>
            </w:pPr>
            <w:r>
              <w:rPr>
                <w:rFonts w:hint="eastAsia"/>
                <w:lang w:bidi="ar"/>
              </w:rPr>
              <w:t>算法市场门户（模型广场）从不同的维度提供算法服务、算法模型的检索、方便用户快速高效的检索需要算法资源，内置系统预置模型，用户可基于内置模型部署模型服务。可以提供集成外部服务能力，引入外部AI能力；为平台内算法能力对外开放提供能力，可供外部系统调用服务能力。支持导入自定义模型，支持对模型进行模型类型、模型用途、模型厂商、模型特性打标；</w:t>
            </w:r>
          </w:p>
        </w:tc>
      </w:tr>
      <w:tr w14:paraId="1CAAE86B">
        <w:tblPrEx>
          <w:tblCellMar>
            <w:top w:w="15" w:type="dxa"/>
            <w:left w:w="15" w:type="dxa"/>
            <w:bottom w:w="15" w:type="dxa"/>
            <w:right w:w="15" w:type="dxa"/>
          </w:tblCellMar>
        </w:tblPrEx>
        <w:trPr>
          <w:trHeight w:val="23" w:hRule="atLeast"/>
        </w:trPr>
        <w:tc>
          <w:tcPr>
            <w:tcW w:w="860" w:type="dxa"/>
            <w:tcBorders>
              <w:left w:val="single" w:color="auto" w:sz="4" w:space="0"/>
              <w:bottom w:val="single" w:color="auto" w:sz="4" w:space="0"/>
              <w:right w:val="single" w:color="auto" w:sz="4" w:space="0"/>
            </w:tcBorders>
            <w:noWrap/>
            <w:vAlign w:val="center"/>
          </w:tcPr>
          <w:p w14:paraId="1502765C">
            <w:pPr>
              <w:ind w:left="0" w:leftChars="0" w:firstLine="0" w:firstLineChars="0"/>
            </w:pPr>
            <w:r>
              <w:rPr>
                <w:rFonts w:hint="eastAsia"/>
              </w:rPr>
              <w:t>15</w:t>
            </w:r>
          </w:p>
        </w:tc>
        <w:tc>
          <w:tcPr>
            <w:tcW w:w="1054" w:type="dxa"/>
            <w:vMerge w:val="continue"/>
            <w:tcBorders>
              <w:left w:val="single" w:color="auto" w:sz="4" w:space="0"/>
              <w:bottom w:val="single" w:color="auto" w:sz="4" w:space="0"/>
              <w:right w:val="single" w:color="auto" w:sz="4" w:space="0"/>
            </w:tcBorders>
            <w:noWrap/>
            <w:vAlign w:val="center"/>
          </w:tcPr>
          <w:p w14:paraId="1A836910">
            <w:pPr>
              <w:ind w:left="0" w:leftChars="0" w:firstLine="0" w:firstLineChars="0"/>
            </w:pPr>
          </w:p>
        </w:tc>
        <w:tc>
          <w:tcPr>
            <w:tcW w:w="1013" w:type="dxa"/>
            <w:vMerge w:val="continue"/>
            <w:tcBorders>
              <w:left w:val="single" w:color="auto" w:sz="4" w:space="0"/>
              <w:bottom w:val="single" w:color="auto" w:sz="4" w:space="0"/>
              <w:right w:val="single" w:color="auto" w:sz="4" w:space="0"/>
            </w:tcBorders>
            <w:noWrap/>
            <w:vAlign w:val="center"/>
          </w:tcPr>
          <w:p w14:paraId="3E6242C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5392" w:type="dxa"/>
            <w:tcBorders>
              <w:top w:val="single" w:color="auto" w:sz="4" w:space="0"/>
              <w:left w:val="single" w:color="auto" w:sz="4" w:space="0"/>
              <w:bottom w:val="single" w:color="auto" w:sz="4" w:space="0"/>
              <w:right w:val="single" w:color="auto" w:sz="4" w:space="0"/>
            </w:tcBorders>
            <w:vAlign w:val="center"/>
          </w:tcPr>
          <w:p w14:paraId="5AA8E6CB">
            <w:pPr>
              <w:ind w:left="0" w:leftChars="0" w:firstLine="0" w:firstLineChars="0"/>
              <w:rPr>
                <w:lang w:bidi="ar"/>
              </w:rPr>
            </w:pPr>
            <w:r>
              <w:rPr>
                <w:rFonts w:hint="eastAsia"/>
                <w:lang w:bidi="ar"/>
              </w:rPr>
              <w:t>支持与魔搭社区对接，实现外部模型的本地化一键下载、部署及使用。</w:t>
            </w:r>
          </w:p>
        </w:tc>
      </w:tr>
      <w:tr w14:paraId="639A090B">
        <w:tblPrEx>
          <w:tblCellMar>
            <w:top w:w="15" w:type="dxa"/>
            <w:left w:w="15" w:type="dxa"/>
            <w:bottom w:w="15" w:type="dxa"/>
            <w:right w:w="15" w:type="dxa"/>
          </w:tblCellMar>
        </w:tblPrEx>
        <w:trPr>
          <w:trHeight w:val="23" w:hRule="atLeast"/>
        </w:trPr>
        <w:tc>
          <w:tcPr>
            <w:tcW w:w="860" w:type="dxa"/>
            <w:tcBorders>
              <w:left w:val="single" w:color="auto" w:sz="4" w:space="0"/>
              <w:bottom w:val="single" w:color="auto" w:sz="4" w:space="0"/>
              <w:right w:val="single" w:color="auto" w:sz="4" w:space="0"/>
            </w:tcBorders>
            <w:noWrap/>
            <w:vAlign w:val="center"/>
          </w:tcPr>
          <w:p w14:paraId="63A30F36">
            <w:pPr>
              <w:ind w:left="0" w:leftChars="0" w:firstLine="0" w:firstLineChars="0"/>
            </w:pPr>
            <w:r>
              <w:rPr>
                <w:rFonts w:hint="eastAsia"/>
              </w:rPr>
              <w:t>16</w:t>
            </w:r>
          </w:p>
        </w:tc>
        <w:tc>
          <w:tcPr>
            <w:tcW w:w="1054" w:type="dxa"/>
            <w:vMerge w:val="continue"/>
            <w:tcBorders>
              <w:left w:val="single" w:color="auto" w:sz="4" w:space="0"/>
              <w:bottom w:val="single" w:color="auto" w:sz="4" w:space="0"/>
              <w:right w:val="single" w:color="auto" w:sz="4" w:space="0"/>
            </w:tcBorders>
            <w:noWrap/>
            <w:vAlign w:val="center"/>
          </w:tcPr>
          <w:p w14:paraId="018B6941">
            <w:pPr>
              <w:ind w:left="0" w:leftChars="0" w:firstLine="0" w:firstLineChars="0"/>
            </w:pPr>
          </w:p>
        </w:tc>
        <w:tc>
          <w:tcPr>
            <w:tcW w:w="1013" w:type="dxa"/>
            <w:vMerge w:val="continue"/>
            <w:tcBorders>
              <w:left w:val="single" w:color="auto" w:sz="4" w:space="0"/>
              <w:bottom w:val="single" w:color="auto" w:sz="4" w:space="0"/>
              <w:right w:val="single" w:color="auto" w:sz="4" w:space="0"/>
            </w:tcBorders>
            <w:noWrap/>
            <w:vAlign w:val="center"/>
          </w:tcPr>
          <w:p w14:paraId="5C51A5E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5392" w:type="dxa"/>
            <w:tcBorders>
              <w:top w:val="single" w:color="auto" w:sz="4" w:space="0"/>
              <w:left w:val="single" w:color="auto" w:sz="4" w:space="0"/>
              <w:bottom w:val="single" w:color="auto" w:sz="4" w:space="0"/>
              <w:right w:val="single" w:color="auto" w:sz="4" w:space="0"/>
            </w:tcBorders>
            <w:vAlign w:val="center"/>
          </w:tcPr>
          <w:p w14:paraId="435646BE">
            <w:pPr>
              <w:ind w:left="0" w:leftChars="0" w:firstLine="0" w:firstLineChars="0"/>
              <w:rPr>
                <w:lang w:bidi="ar"/>
              </w:rPr>
            </w:pPr>
            <w:r>
              <w:rPr>
                <w:rFonts w:hint="eastAsia"/>
                <w:lang w:bidi="ar"/>
              </w:rPr>
              <w:t>△支持标识模型所用基础模型，保障在训推链路上的匹配性。支持托管算法服务能力（接口），并且提供可视化接口调试工具。</w:t>
            </w:r>
          </w:p>
          <w:p w14:paraId="5FE4B253">
            <w:pPr>
              <w:ind w:left="0" w:leftChars="0" w:firstLine="0" w:firstLineChars="0"/>
            </w:pPr>
            <w:r>
              <w:rPr>
                <w:rFonts w:hint="eastAsia"/>
              </w:rPr>
              <w:t>（提供演示视频证明）</w:t>
            </w:r>
          </w:p>
        </w:tc>
      </w:tr>
      <w:tr w14:paraId="6EF4CFDC">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2759E49B">
            <w:pPr>
              <w:ind w:left="0" w:leftChars="0" w:firstLine="0" w:firstLineChars="0"/>
            </w:pPr>
            <w:r>
              <w:rPr>
                <w:rFonts w:hint="eastAsia"/>
              </w:rPr>
              <w:t>17</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3EA3E095">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vAlign w:val="center"/>
          </w:tcPr>
          <w:p w14:paraId="2FEB788A">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大模型服务算法接口管理</w:t>
            </w:r>
          </w:p>
        </w:tc>
        <w:tc>
          <w:tcPr>
            <w:tcW w:w="5392" w:type="dxa"/>
            <w:tcBorders>
              <w:top w:val="single" w:color="auto" w:sz="4" w:space="0"/>
              <w:left w:val="single" w:color="auto" w:sz="4" w:space="0"/>
              <w:bottom w:val="single" w:color="auto" w:sz="4" w:space="0"/>
              <w:right w:val="single" w:color="auto" w:sz="4" w:space="0"/>
            </w:tcBorders>
            <w:vAlign w:val="center"/>
          </w:tcPr>
          <w:p w14:paraId="777C19C0">
            <w:pPr>
              <w:ind w:left="0" w:leftChars="0" w:firstLine="0" w:firstLineChars="0"/>
            </w:pPr>
            <w:r>
              <w:rPr>
                <w:rFonts w:hint="eastAsia"/>
                <w:lang w:bidi="ar"/>
              </w:rPr>
              <w:t>提供标准接口OPENAPI，支持数据集创建、数据文件上传、子集创建配置等数据集操作；</w:t>
            </w:r>
          </w:p>
        </w:tc>
      </w:tr>
      <w:tr w14:paraId="5B7C5250">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right w:val="single" w:color="auto" w:sz="4" w:space="0"/>
            </w:tcBorders>
            <w:noWrap/>
            <w:vAlign w:val="center"/>
          </w:tcPr>
          <w:p w14:paraId="40D72787">
            <w:pPr>
              <w:ind w:left="0" w:leftChars="0" w:firstLine="0" w:firstLineChars="0"/>
              <w:rPr>
                <w:lang w:bidi="ar"/>
              </w:rPr>
            </w:pPr>
            <w:r>
              <w:rPr>
                <w:rFonts w:hint="eastAsia"/>
                <w:lang w:bidi="ar"/>
              </w:rPr>
              <w:t>18</w:t>
            </w:r>
          </w:p>
        </w:tc>
        <w:tc>
          <w:tcPr>
            <w:tcW w:w="1054" w:type="dxa"/>
            <w:vMerge w:val="restart"/>
            <w:tcBorders>
              <w:top w:val="single" w:color="auto" w:sz="4" w:space="0"/>
              <w:left w:val="single" w:color="auto" w:sz="4" w:space="0"/>
              <w:right w:val="single" w:color="auto" w:sz="4" w:space="0"/>
            </w:tcBorders>
            <w:noWrap/>
            <w:vAlign w:val="center"/>
          </w:tcPr>
          <w:p w14:paraId="19144295">
            <w:pPr>
              <w:ind w:left="0" w:leftChars="0" w:firstLine="0" w:firstLineChars="0"/>
            </w:pPr>
            <w:r>
              <w:rPr>
                <w:rFonts w:hint="eastAsia"/>
                <w:lang w:bidi="ar"/>
              </w:rPr>
              <w:t>医疗模型交付</w:t>
            </w:r>
          </w:p>
        </w:tc>
        <w:tc>
          <w:tcPr>
            <w:tcW w:w="1013" w:type="dxa"/>
            <w:vMerge w:val="restart"/>
            <w:tcBorders>
              <w:top w:val="single" w:color="auto" w:sz="4" w:space="0"/>
              <w:left w:val="single" w:color="auto" w:sz="4" w:space="0"/>
              <w:right w:val="single" w:color="auto" w:sz="4" w:space="0"/>
            </w:tcBorders>
            <w:noWrap/>
            <w:vAlign w:val="center"/>
          </w:tcPr>
          <w:p w14:paraId="394B0E1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医疗模型部署管理</w:t>
            </w:r>
          </w:p>
        </w:tc>
        <w:tc>
          <w:tcPr>
            <w:tcW w:w="5392" w:type="dxa"/>
            <w:tcBorders>
              <w:top w:val="single" w:color="auto" w:sz="4" w:space="0"/>
              <w:left w:val="single" w:color="auto" w:sz="4" w:space="0"/>
              <w:bottom w:val="single" w:color="auto" w:sz="4" w:space="0"/>
              <w:right w:val="single" w:color="auto" w:sz="4" w:space="0"/>
            </w:tcBorders>
            <w:vAlign w:val="center"/>
          </w:tcPr>
          <w:p w14:paraId="0F697363">
            <w:pPr>
              <w:ind w:left="0" w:leftChars="0" w:firstLine="0" w:firstLineChars="0"/>
            </w:pPr>
            <w:r>
              <w:rPr>
                <w:rFonts w:hint="eastAsia"/>
                <w:lang w:bidi="ar"/>
              </w:rPr>
              <w:t>在平台上可以一键将模型部署到线上，用户在开发环境创建部署配置，通过部署配置并选择相应的模型在模型部署配置页面一键将模型部署到线上并生成api提供模型服务；配置模型部署的基本机信息，包括计算资源、环境配置等，</w:t>
            </w:r>
          </w:p>
        </w:tc>
      </w:tr>
      <w:tr w14:paraId="4A52D226">
        <w:tblPrEx>
          <w:tblCellMar>
            <w:top w:w="15" w:type="dxa"/>
            <w:left w:w="15" w:type="dxa"/>
            <w:bottom w:w="15" w:type="dxa"/>
            <w:right w:w="15" w:type="dxa"/>
          </w:tblCellMar>
        </w:tblPrEx>
        <w:trPr>
          <w:trHeight w:val="23" w:hRule="atLeast"/>
        </w:trPr>
        <w:tc>
          <w:tcPr>
            <w:tcW w:w="860" w:type="dxa"/>
            <w:tcBorders>
              <w:left w:val="single" w:color="auto" w:sz="4" w:space="0"/>
              <w:bottom w:val="single" w:color="auto" w:sz="4" w:space="0"/>
              <w:right w:val="single" w:color="auto" w:sz="4" w:space="0"/>
            </w:tcBorders>
            <w:noWrap/>
            <w:vAlign w:val="center"/>
          </w:tcPr>
          <w:p w14:paraId="4B6EAD7D">
            <w:pPr>
              <w:ind w:left="0" w:leftChars="0" w:firstLine="0" w:firstLineChars="0"/>
            </w:pPr>
          </w:p>
        </w:tc>
        <w:tc>
          <w:tcPr>
            <w:tcW w:w="1054" w:type="dxa"/>
            <w:vMerge w:val="continue"/>
            <w:tcBorders>
              <w:left w:val="single" w:color="auto" w:sz="4" w:space="0"/>
              <w:bottom w:val="single" w:color="auto" w:sz="4" w:space="0"/>
              <w:right w:val="single" w:color="auto" w:sz="4" w:space="0"/>
            </w:tcBorders>
            <w:noWrap/>
            <w:vAlign w:val="center"/>
          </w:tcPr>
          <w:p w14:paraId="700279DC">
            <w:pPr>
              <w:ind w:left="0" w:leftChars="0" w:firstLine="0" w:firstLineChars="0"/>
            </w:pPr>
          </w:p>
        </w:tc>
        <w:tc>
          <w:tcPr>
            <w:tcW w:w="1013" w:type="dxa"/>
            <w:vMerge w:val="continue"/>
            <w:tcBorders>
              <w:left w:val="single" w:color="auto" w:sz="4" w:space="0"/>
              <w:bottom w:val="single" w:color="auto" w:sz="4" w:space="0"/>
              <w:right w:val="single" w:color="auto" w:sz="4" w:space="0"/>
            </w:tcBorders>
            <w:noWrap/>
            <w:vAlign w:val="center"/>
          </w:tcPr>
          <w:p w14:paraId="2A09EAE1">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5392" w:type="dxa"/>
            <w:tcBorders>
              <w:top w:val="single" w:color="auto" w:sz="4" w:space="0"/>
              <w:left w:val="single" w:color="auto" w:sz="4" w:space="0"/>
              <w:bottom w:val="single" w:color="auto" w:sz="4" w:space="0"/>
              <w:right w:val="single" w:color="auto" w:sz="4" w:space="0"/>
            </w:tcBorders>
            <w:vAlign w:val="center"/>
          </w:tcPr>
          <w:p w14:paraId="59847A40">
            <w:pPr>
              <w:ind w:left="0" w:leftChars="0" w:firstLine="0" w:firstLineChars="0"/>
              <w:rPr>
                <w:lang w:bidi="ar"/>
              </w:rPr>
            </w:pPr>
            <w:r>
              <w:rPr>
                <w:rFonts w:hint="eastAsia"/>
                <w:lang w:bidi="ar"/>
              </w:rPr>
              <w:t>▲支持创建在线服务，基于部署模型对外提供模型API服务，供上层业务进行AI应用开发及使用；（</w:t>
            </w:r>
            <w:r>
              <w:rPr>
                <w:rFonts w:hint="eastAsia"/>
                <w:color w:val="000000"/>
              </w:rPr>
              <w:t>提供功能截图证明）</w:t>
            </w:r>
          </w:p>
        </w:tc>
      </w:tr>
      <w:tr w14:paraId="7EA8A489">
        <w:tblPrEx>
          <w:tblCellMar>
            <w:top w:w="15" w:type="dxa"/>
            <w:left w:w="15" w:type="dxa"/>
            <w:bottom w:w="15" w:type="dxa"/>
            <w:right w:w="15" w:type="dxa"/>
          </w:tblCellMar>
        </w:tblPrEx>
        <w:trPr>
          <w:trHeight w:val="23" w:hRule="atLeast"/>
        </w:trPr>
        <w:tc>
          <w:tcPr>
            <w:tcW w:w="860" w:type="dxa"/>
            <w:tcBorders>
              <w:left w:val="single" w:color="auto" w:sz="4" w:space="0"/>
              <w:bottom w:val="single" w:color="auto" w:sz="4" w:space="0"/>
              <w:right w:val="single" w:color="auto" w:sz="4" w:space="0"/>
            </w:tcBorders>
            <w:noWrap/>
            <w:vAlign w:val="center"/>
          </w:tcPr>
          <w:p w14:paraId="6654E108">
            <w:pPr>
              <w:ind w:left="0" w:leftChars="0" w:firstLine="0" w:firstLineChars="0"/>
            </w:pPr>
            <w:r>
              <w:rPr>
                <w:rFonts w:hint="eastAsia"/>
              </w:rPr>
              <w:t>19</w:t>
            </w:r>
          </w:p>
        </w:tc>
        <w:tc>
          <w:tcPr>
            <w:tcW w:w="1054" w:type="dxa"/>
            <w:vMerge w:val="continue"/>
            <w:tcBorders>
              <w:left w:val="single" w:color="auto" w:sz="4" w:space="0"/>
              <w:bottom w:val="single" w:color="auto" w:sz="4" w:space="0"/>
              <w:right w:val="single" w:color="auto" w:sz="4" w:space="0"/>
            </w:tcBorders>
            <w:noWrap/>
            <w:vAlign w:val="center"/>
          </w:tcPr>
          <w:p w14:paraId="6149D8F4">
            <w:pPr>
              <w:ind w:left="0" w:leftChars="0" w:firstLine="0" w:firstLineChars="0"/>
            </w:pPr>
          </w:p>
        </w:tc>
        <w:tc>
          <w:tcPr>
            <w:tcW w:w="1013" w:type="dxa"/>
            <w:vMerge w:val="continue"/>
            <w:tcBorders>
              <w:left w:val="single" w:color="auto" w:sz="4" w:space="0"/>
              <w:bottom w:val="single" w:color="auto" w:sz="4" w:space="0"/>
              <w:right w:val="single" w:color="auto" w:sz="4" w:space="0"/>
            </w:tcBorders>
            <w:noWrap/>
            <w:vAlign w:val="center"/>
          </w:tcPr>
          <w:p w14:paraId="6914FBC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5392" w:type="dxa"/>
            <w:tcBorders>
              <w:top w:val="single" w:color="auto" w:sz="4" w:space="0"/>
              <w:left w:val="single" w:color="auto" w:sz="4" w:space="0"/>
              <w:bottom w:val="single" w:color="auto" w:sz="4" w:space="0"/>
              <w:right w:val="single" w:color="auto" w:sz="4" w:space="0"/>
            </w:tcBorders>
            <w:vAlign w:val="center"/>
          </w:tcPr>
          <w:p w14:paraId="650CEEA4">
            <w:pPr>
              <w:ind w:left="0" w:leftChars="0" w:firstLine="0" w:firstLineChars="0"/>
              <w:rPr>
                <w:lang w:bidi="ar"/>
              </w:rPr>
            </w:pPr>
            <w:r>
              <w:rPr>
                <w:rFonts w:hint="eastAsia"/>
                <w:lang w:bidi="ar"/>
              </w:rPr>
              <w:t>支持对在线服务的查看、创建、启停、删除、变配等操作。</w:t>
            </w:r>
          </w:p>
          <w:p w14:paraId="3C2BFD7E">
            <w:pPr>
              <w:ind w:left="0" w:leftChars="0" w:firstLine="0" w:firstLineChars="0"/>
              <w:rPr>
                <w:lang w:bidi="ar"/>
              </w:rPr>
            </w:pPr>
            <w:r>
              <w:rPr>
                <w:rFonts w:hint="eastAsia"/>
                <w:lang w:bidi="ar"/>
              </w:rPr>
              <w:t>支持推理套件的部署方式，根据套件中预定义的资源配置、镜像、启动方式等参数实现标准化模型部署。</w:t>
            </w:r>
          </w:p>
        </w:tc>
      </w:tr>
      <w:tr w14:paraId="72FBB3A5">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26BD0CD7">
            <w:pPr>
              <w:ind w:left="0" w:leftChars="0" w:firstLine="0" w:firstLineChars="0"/>
            </w:pPr>
            <w:r>
              <w:rPr>
                <w:rFonts w:hint="eastAsia"/>
              </w:rPr>
              <w:t>20</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3DA24B54">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vAlign w:val="center"/>
          </w:tcPr>
          <w:p w14:paraId="1630AA5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医疗模型发布管理</w:t>
            </w:r>
          </w:p>
        </w:tc>
        <w:tc>
          <w:tcPr>
            <w:tcW w:w="5392" w:type="dxa"/>
            <w:tcBorders>
              <w:top w:val="single" w:color="auto" w:sz="4" w:space="0"/>
              <w:left w:val="single" w:color="auto" w:sz="4" w:space="0"/>
              <w:bottom w:val="single" w:color="auto" w:sz="4" w:space="0"/>
              <w:right w:val="single" w:color="auto" w:sz="4" w:space="0"/>
            </w:tcBorders>
            <w:vAlign w:val="center"/>
          </w:tcPr>
          <w:p w14:paraId="64037065">
            <w:pPr>
              <w:ind w:left="0" w:leftChars="0" w:firstLine="0" w:firstLineChars="0"/>
            </w:pPr>
            <w:r>
              <w:rPr>
                <w:rFonts w:hint="eastAsia"/>
                <w:lang w:bidi="ar"/>
              </w:rPr>
              <w:t>模型部署后上下线发布管理，对服务增加安全管理。</w:t>
            </w:r>
          </w:p>
        </w:tc>
      </w:tr>
      <w:tr w14:paraId="50BDB33A">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3D27C2CB">
            <w:pPr>
              <w:ind w:left="0" w:leftChars="0" w:firstLine="0" w:firstLineChars="0"/>
            </w:pPr>
            <w:r>
              <w:rPr>
                <w:rFonts w:hint="eastAsia"/>
              </w:rPr>
              <w:t>21</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3968B758">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noWrap/>
            <w:vAlign w:val="center"/>
          </w:tcPr>
          <w:p w14:paraId="014E7D65">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大模型集成交付</w:t>
            </w:r>
          </w:p>
        </w:tc>
        <w:tc>
          <w:tcPr>
            <w:tcW w:w="5392" w:type="dxa"/>
            <w:tcBorders>
              <w:top w:val="single" w:color="auto" w:sz="4" w:space="0"/>
              <w:left w:val="single" w:color="auto" w:sz="4" w:space="0"/>
              <w:bottom w:val="single" w:color="auto" w:sz="4" w:space="0"/>
              <w:right w:val="single" w:color="auto" w:sz="4" w:space="0"/>
            </w:tcBorders>
            <w:vAlign w:val="center"/>
          </w:tcPr>
          <w:p w14:paraId="3B2D37AD">
            <w:pPr>
              <w:ind w:left="0" w:leftChars="0" w:firstLine="0" w:firstLineChars="0"/>
            </w:pPr>
            <w:r>
              <w:rPr>
                <w:rFonts w:hint="eastAsia"/>
                <w:lang w:bidi="ar"/>
              </w:rPr>
              <w:t>基于预训练好的大模型，通过少量特定领域或任务的数据进一步调整模型参数，使其适配具体任务需求的技术；支持部署集成大模型，支持国产服务器、国产显卡；大模型能力输出接口，统一注册管理，形成大模型能力网关统一管理（包含调用鉴权）；大模型能力调用的鉴权密钥管理；记录大模型接口能力的调用、使用日志。</w:t>
            </w:r>
          </w:p>
        </w:tc>
      </w:tr>
      <w:tr w14:paraId="2DEDCB88">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18919309">
            <w:pPr>
              <w:ind w:left="0" w:leftChars="0" w:firstLine="0" w:firstLineChars="0"/>
              <w:rPr>
                <w:lang w:bidi="ar"/>
              </w:rPr>
            </w:pPr>
            <w:r>
              <w:rPr>
                <w:rFonts w:hint="eastAsia"/>
                <w:lang w:bidi="ar"/>
              </w:rPr>
              <w:t>22</w:t>
            </w:r>
          </w:p>
        </w:tc>
        <w:tc>
          <w:tcPr>
            <w:tcW w:w="1054" w:type="dxa"/>
            <w:vMerge w:val="restart"/>
            <w:tcBorders>
              <w:top w:val="single" w:color="auto" w:sz="4" w:space="0"/>
              <w:left w:val="single" w:color="auto" w:sz="4" w:space="0"/>
              <w:bottom w:val="single" w:color="auto" w:sz="4" w:space="0"/>
              <w:right w:val="single" w:color="auto" w:sz="4" w:space="0"/>
            </w:tcBorders>
            <w:noWrap/>
            <w:vAlign w:val="center"/>
          </w:tcPr>
          <w:p w14:paraId="23C28761">
            <w:pPr>
              <w:ind w:left="0" w:leftChars="0" w:firstLine="0" w:firstLineChars="0"/>
            </w:pPr>
            <w:r>
              <w:rPr>
                <w:rFonts w:hint="eastAsia"/>
                <w:lang w:bidi="ar"/>
              </w:rPr>
              <w:t>医疗计算空间管理</w:t>
            </w:r>
          </w:p>
        </w:tc>
        <w:tc>
          <w:tcPr>
            <w:tcW w:w="1013" w:type="dxa"/>
            <w:tcBorders>
              <w:top w:val="single" w:color="auto" w:sz="4" w:space="0"/>
              <w:left w:val="single" w:color="auto" w:sz="4" w:space="0"/>
              <w:bottom w:val="single" w:color="auto" w:sz="4" w:space="0"/>
              <w:right w:val="single" w:color="auto" w:sz="4" w:space="0"/>
            </w:tcBorders>
            <w:noWrap/>
            <w:vAlign w:val="center"/>
          </w:tcPr>
          <w:p w14:paraId="78D0562C">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租户空间管理</w:t>
            </w:r>
          </w:p>
        </w:tc>
        <w:tc>
          <w:tcPr>
            <w:tcW w:w="5392" w:type="dxa"/>
            <w:tcBorders>
              <w:top w:val="single" w:color="auto" w:sz="4" w:space="0"/>
              <w:left w:val="single" w:color="auto" w:sz="4" w:space="0"/>
              <w:bottom w:val="single" w:color="auto" w:sz="4" w:space="0"/>
              <w:right w:val="single" w:color="auto" w:sz="4" w:space="0"/>
            </w:tcBorders>
            <w:vAlign w:val="center"/>
          </w:tcPr>
          <w:p w14:paraId="6B86D031">
            <w:pPr>
              <w:ind w:left="0" w:leftChars="0" w:firstLine="0" w:firstLineChars="0"/>
            </w:pPr>
            <w:r>
              <w:rPr>
                <w:rFonts w:hint="eastAsia"/>
                <w:lang w:bidi="ar"/>
              </w:rPr>
              <w:t>实现对AI训练实验室的空间创建和管理，实现空间级别的租户隔离，并对空间分配对应的GPU、CPU、内存和磁盘资源，实现资源调度；实现对空间下分配用户权限、训练集、模型开发、模型交付及算法库的隔离。</w:t>
            </w:r>
          </w:p>
        </w:tc>
      </w:tr>
      <w:tr w14:paraId="1982E0BA">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16A5F142">
            <w:pPr>
              <w:ind w:left="0" w:leftChars="0" w:firstLine="0" w:firstLineChars="0"/>
            </w:pPr>
            <w:r>
              <w:rPr>
                <w:rFonts w:hint="eastAsia"/>
              </w:rPr>
              <w:t>23</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77252413">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noWrap/>
            <w:vAlign w:val="center"/>
          </w:tcPr>
          <w:p w14:paraId="66E5E875">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用户管理</w:t>
            </w:r>
          </w:p>
        </w:tc>
        <w:tc>
          <w:tcPr>
            <w:tcW w:w="5392" w:type="dxa"/>
            <w:tcBorders>
              <w:top w:val="single" w:color="auto" w:sz="4" w:space="0"/>
              <w:left w:val="single" w:color="auto" w:sz="4" w:space="0"/>
              <w:bottom w:val="single" w:color="auto" w:sz="4" w:space="0"/>
              <w:right w:val="single" w:color="auto" w:sz="4" w:space="0"/>
            </w:tcBorders>
            <w:vAlign w:val="center"/>
          </w:tcPr>
          <w:p w14:paraId="1D13BE93">
            <w:pPr>
              <w:ind w:left="0" w:leftChars="0" w:firstLine="0" w:firstLineChars="0"/>
            </w:pPr>
            <w:r>
              <w:rPr>
                <w:rFonts w:hint="eastAsia"/>
                <w:lang w:bidi="ar"/>
              </w:rPr>
              <w:t>实现用户身份标识和鉴权，满足双因子认证等安全鉴权模式；实现用户角色配置、权限配置、空间租户隔离等权限管理。</w:t>
            </w:r>
          </w:p>
        </w:tc>
      </w:tr>
      <w:tr w14:paraId="6CC0D48A">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4CF3F272">
            <w:pPr>
              <w:ind w:left="0" w:leftChars="0" w:firstLine="0" w:firstLineChars="0"/>
            </w:pPr>
            <w:r>
              <w:rPr>
                <w:rFonts w:hint="eastAsia"/>
              </w:rPr>
              <w:t>24</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45A8E611">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noWrap/>
            <w:vAlign w:val="center"/>
          </w:tcPr>
          <w:p w14:paraId="7B8EEE2B">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基础配置</w:t>
            </w:r>
          </w:p>
        </w:tc>
        <w:tc>
          <w:tcPr>
            <w:tcW w:w="5392" w:type="dxa"/>
            <w:tcBorders>
              <w:top w:val="single" w:color="auto" w:sz="4" w:space="0"/>
              <w:left w:val="single" w:color="auto" w:sz="4" w:space="0"/>
              <w:bottom w:val="single" w:color="auto" w:sz="4" w:space="0"/>
              <w:right w:val="single" w:color="auto" w:sz="4" w:space="0"/>
            </w:tcBorders>
            <w:vAlign w:val="center"/>
          </w:tcPr>
          <w:p w14:paraId="3553D937">
            <w:pPr>
              <w:ind w:left="0" w:leftChars="0" w:firstLine="0" w:firstLineChars="0"/>
            </w:pPr>
            <w:r>
              <w:rPr>
                <w:rFonts w:hint="eastAsia"/>
                <w:lang w:bidi="ar"/>
              </w:rPr>
              <w:t>实现对平台全局资源的配置管理；实现对平台消息管理，包含系统消息、训练任务、状态变更等内容；实现平台全局的系统配置，完成训练平台及定义和配置的设定和修改。</w:t>
            </w:r>
          </w:p>
        </w:tc>
      </w:tr>
      <w:tr w14:paraId="6130BDBB">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3CA6AFDD">
            <w:pPr>
              <w:ind w:left="0" w:leftChars="0" w:firstLine="0" w:firstLineChars="0"/>
            </w:pPr>
            <w:r>
              <w:rPr>
                <w:rFonts w:hint="eastAsia"/>
              </w:rPr>
              <w:t>25</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61B5832E">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vAlign w:val="center"/>
          </w:tcPr>
          <w:p w14:paraId="0B766A0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▲统计分析管理</w:t>
            </w:r>
          </w:p>
        </w:tc>
        <w:tc>
          <w:tcPr>
            <w:tcW w:w="5392" w:type="dxa"/>
            <w:tcBorders>
              <w:top w:val="single" w:color="auto" w:sz="4" w:space="0"/>
              <w:left w:val="single" w:color="auto" w:sz="4" w:space="0"/>
              <w:bottom w:val="single" w:color="auto" w:sz="4" w:space="0"/>
              <w:right w:val="single" w:color="auto" w:sz="4" w:space="0"/>
            </w:tcBorders>
            <w:vAlign w:val="center"/>
          </w:tcPr>
          <w:p w14:paraId="58CD9096">
            <w:pPr>
              <w:ind w:left="0" w:leftChars="0" w:firstLine="0" w:firstLineChars="0"/>
            </w:pPr>
            <w:r>
              <w:rPr>
                <w:rFonts w:hint="eastAsia"/>
                <w:lang w:bidi="ar"/>
              </w:rPr>
              <w:t>实现对计算资源使用量的统计分析，包含平台计量统计和各训练维度的计量统计。（</w:t>
            </w:r>
            <w:r>
              <w:rPr>
                <w:rFonts w:hint="eastAsia"/>
                <w:color w:val="000000"/>
              </w:rPr>
              <w:t>提供功能截图证明）</w:t>
            </w:r>
          </w:p>
        </w:tc>
      </w:tr>
      <w:tr w14:paraId="36431CFB">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25EB96B6">
            <w:pPr>
              <w:ind w:left="0" w:leftChars="0" w:firstLine="0" w:firstLineChars="0"/>
            </w:pPr>
            <w:r>
              <w:rPr>
                <w:rFonts w:hint="eastAsia"/>
              </w:rPr>
              <w:t>26</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5A018D8C">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noWrap/>
            <w:vAlign w:val="center"/>
          </w:tcPr>
          <w:p w14:paraId="08A00E00">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平台日志管理</w:t>
            </w:r>
          </w:p>
        </w:tc>
        <w:tc>
          <w:tcPr>
            <w:tcW w:w="5392" w:type="dxa"/>
            <w:tcBorders>
              <w:top w:val="single" w:color="auto" w:sz="4" w:space="0"/>
              <w:left w:val="single" w:color="auto" w:sz="4" w:space="0"/>
              <w:bottom w:val="single" w:color="auto" w:sz="4" w:space="0"/>
              <w:right w:val="single" w:color="auto" w:sz="4" w:space="0"/>
            </w:tcBorders>
            <w:vAlign w:val="center"/>
          </w:tcPr>
          <w:p w14:paraId="7F45DD2E">
            <w:pPr>
              <w:ind w:left="0" w:leftChars="0" w:firstLine="0" w:firstLineChars="0"/>
            </w:pPr>
            <w:r>
              <w:rPr>
                <w:rFonts w:hint="eastAsia"/>
                <w:lang w:bidi="ar"/>
              </w:rPr>
              <w:t>平台支持展示与在线服务相关的日志、事件和操作记录。可支持Trace追踪功能，提供请求级别的深度分析能力。每个智能体请求都被记录完整的调用链路（Trace），包含每个子步骤（Span）的起止时间、执行状态、输入输出内容。开发者可以通过requestID精确定位任意一次请求，回溯完整的处理过程，这对于分析偶发性错误、可评估性能瓶颈和验证优化效果。</w:t>
            </w:r>
          </w:p>
        </w:tc>
      </w:tr>
      <w:tr w14:paraId="2AAB2C28">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47BB98FB">
            <w:pPr>
              <w:ind w:left="0" w:leftChars="0" w:firstLine="0" w:firstLineChars="0"/>
            </w:pPr>
            <w:r>
              <w:rPr>
                <w:rFonts w:hint="eastAsia"/>
              </w:rPr>
              <w:t>27</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02E8C02F">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vAlign w:val="center"/>
          </w:tcPr>
          <w:p w14:paraId="36218D3D">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平台字典管理</w:t>
            </w:r>
          </w:p>
        </w:tc>
        <w:tc>
          <w:tcPr>
            <w:tcW w:w="5392" w:type="dxa"/>
            <w:tcBorders>
              <w:top w:val="single" w:color="auto" w:sz="4" w:space="0"/>
              <w:left w:val="single" w:color="auto" w:sz="4" w:space="0"/>
              <w:bottom w:val="single" w:color="auto" w:sz="4" w:space="0"/>
              <w:right w:val="single" w:color="auto" w:sz="4" w:space="0"/>
            </w:tcBorders>
            <w:vAlign w:val="center"/>
          </w:tcPr>
          <w:p w14:paraId="40341F8D">
            <w:pPr>
              <w:ind w:left="0" w:leftChars="0" w:firstLine="0" w:firstLineChars="0"/>
            </w:pPr>
            <w:r>
              <w:rPr>
                <w:rFonts w:hint="eastAsia"/>
                <w:lang w:bidi="ar"/>
              </w:rPr>
              <w:t>平台智能体短期记忆-重要实体抽取 重要实体指的是在历史对话中抽取有价值的信息单独保存，避免因上下文过长造成重要信息被遗忘。支持开关，支持设置实体名称、描述和类型，将按照设置进行实体抽取。最多支持设置10个，支持选择重要实体抽取模型和设置重要实体抽取prompt，以改善抽取效果</w:t>
            </w:r>
          </w:p>
        </w:tc>
      </w:tr>
      <w:tr w14:paraId="46E2930C">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03C9BC66">
            <w:pPr>
              <w:ind w:left="0" w:leftChars="0" w:firstLine="0" w:firstLineChars="0"/>
            </w:pPr>
            <w:r>
              <w:rPr>
                <w:rFonts w:hint="eastAsia"/>
              </w:rPr>
              <w:t>28</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6D4D3B91">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vAlign w:val="center"/>
          </w:tcPr>
          <w:p w14:paraId="46F31174">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平台资源管理</w:t>
            </w:r>
          </w:p>
        </w:tc>
        <w:tc>
          <w:tcPr>
            <w:tcW w:w="5392" w:type="dxa"/>
            <w:tcBorders>
              <w:top w:val="single" w:color="auto" w:sz="4" w:space="0"/>
              <w:left w:val="single" w:color="auto" w:sz="4" w:space="0"/>
              <w:bottom w:val="single" w:color="auto" w:sz="4" w:space="0"/>
              <w:right w:val="single" w:color="auto" w:sz="4" w:space="0"/>
            </w:tcBorders>
            <w:vAlign w:val="center"/>
          </w:tcPr>
          <w:p w14:paraId="75F158A4">
            <w:pPr>
              <w:ind w:left="0" w:leftChars="0" w:firstLine="0" w:firstLineChars="0"/>
            </w:pPr>
            <w:r>
              <w:rPr>
                <w:rFonts w:hint="eastAsia"/>
                <w:lang w:bidi="ar"/>
              </w:rPr>
              <w:t>对AI算法平台的物理资源进行集中管理，包括CPU、内存、显卡以及数据磁盘资源等。</w:t>
            </w:r>
          </w:p>
        </w:tc>
      </w:tr>
      <w:tr w14:paraId="146D9717">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7D301CC8">
            <w:pPr>
              <w:ind w:left="0" w:leftChars="0" w:firstLine="0" w:firstLineChars="0"/>
            </w:pPr>
            <w:r>
              <w:rPr>
                <w:rFonts w:hint="eastAsia"/>
              </w:rPr>
              <w:t>29</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39CD144D">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noWrap/>
            <w:vAlign w:val="center"/>
          </w:tcPr>
          <w:p w14:paraId="0B909A2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平台监控</w:t>
            </w:r>
          </w:p>
        </w:tc>
        <w:tc>
          <w:tcPr>
            <w:tcW w:w="5392" w:type="dxa"/>
            <w:tcBorders>
              <w:top w:val="single" w:color="auto" w:sz="4" w:space="0"/>
              <w:left w:val="single" w:color="auto" w:sz="4" w:space="0"/>
              <w:bottom w:val="single" w:color="auto" w:sz="4" w:space="0"/>
              <w:right w:val="single" w:color="auto" w:sz="4" w:space="0"/>
            </w:tcBorders>
            <w:vAlign w:val="center"/>
          </w:tcPr>
          <w:p w14:paraId="45777FC6">
            <w:pPr>
              <w:ind w:left="0" w:leftChars="0" w:firstLine="0" w:firstLineChars="0"/>
            </w:pPr>
            <w:r>
              <w:rPr>
                <w:rFonts w:hint="eastAsia"/>
                <w:lang w:bidi="ar"/>
              </w:rPr>
              <w:t>实现对平台的计算资源的监控、监控资源调度情况、保障系统平稳运行；实现对平台服务能力的监控，保障平台软件运行稳定。</w:t>
            </w:r>
          </w:p>
        </w:tc>
      </w:tr>
      <w:tr w14:paraId="4B723177">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4B49FDC2">
            <w:pPr>
              <w:ind w:left="0" w:leftChars="0" w:firstLine="0" w:firstLineChars="0"/>
            </w:pPr>
            <w:r>
              <w:rPr>
                <w:rFonts w:hint="eastAsia"/>
              </w:rPr>
              <w:t>30</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7098E25A">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noWrap/>
            <w:vAlign w:val="center"/>
          </w:tcPr>
          <w:p w14:paraId="34307F9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平台文档管理</w:t>
            </w:r>
          </w:p>
        </w:tc>
        <w:tc>
          <w:tcPr>
            <w:tcW w:w="5392" w:type="dxa"/>
            <w:tcBorders>
              <w:top w:val="single" w:color="auto" w:sz="4" w:space="0"/>
              <w:left w:val="single" w:color="auto" w:sz="4" w:space="0"/>
              <w:bottom w:val="single" w:color="auto" w:sz="4" w:space="0"/>
              <w:right w:val="single" w:color="auto" w:sz="4" w:space="0"/>
            </w:tcBorders>
            <w:vAlign w:val="center"/>
          </w:tcPr>
          <w:p w14:paraId="439BCF72">
            <w:pPr>
              <w:ind w:left="0" w:leftChars="0" w:firstLine="0" w:firstLineChars="0"/>
            </w:pPr>
            <w:r>
              <w:rPr>
                <w:rFonts w:hint="eastAsia"/>
                <w:lang w:bidi="ar"/>
              </w:rPr>
              <w:t>提供平台的使用手册，里面可以查看平台的各种操作的帮助文档；对平台使用的常见文件进行解答，方便用户更加快速的使用平台相关功能。</w:t>
            </w:r>
          </w:p>
        </w:tc>
      </w:tr>
      <w:tr w14:paraId="39727530">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76E06F07">
            <w:pPr>
              <w:ind w:left="0" w:leftChars="0" w:firstLine="0" w:firstLineChars="0"/>
              <w:rPr>
                <w:lang w:bidi="ar"/>
              </w:rPr>
            </w:pPr>
            <w:r>
              <w:rPr>
                <w:rFonts w:hint="eastAsia"/>
                <w:lang w:bidi="ar"/>
              </w:rPr>
              <w:t>31</w:t>
            </w:r>
          </w:p>
        </w:tc>
        <w:tc>
          <w:tcPr>
            <w:tcW w:w="1054" w:type="dxa"/>
            <w:vMerge w:val="restart"/>
            <w:tcBorders>
              <w:top w:val="single" w:color="auto" w:sz="4" w:space="0"/>
              <w:left w:val="single" w:color="auto" w:sz="4" w:space="0"/>
              <w:bottom w:val="single" w:color="auto" w:sz="4" w:space="0"/>
              <w:right w:val="single" w:color="auto" w:sz="4" w:space="0"/>
            </w:tcBorders>
            <w:noWrap/>
            <w:vAlign w:val="center"/>
          </w:tcPr>
          <w:p w14:paraId="1B1066B7">
            <w:pPr>
              <w:ind w:left="0" w:leftChars="0" w:firstLine="0" w:firstLineChars="0"/>
            </w:pPr>
            <w:r>
              <w:rPr>
                <w:rFonts w:hint="eastAsia"/>
                <w:lang w:bidi="ar"/>
              </w:rPr>
              <w:t>医疗GPU虚拟化管理平台</w:t>
            </w:r>
          </w:p>
        </w:tc>
        <w:tc>
          <w:tcPr>
            <w:tcW w:w="1013" w:type="dxa"/>
            <w:tcBorders>
              <w:top w:val="single" w:color="auto" w:sz="4" w:space="0"/>
              <w:left w:val="single" w:color="auto" w:sz="4" w:space="0"/>
              <w:bottom w:val="single" w:color="auto" w:sz="4" w:space="0"/>
              <w:right w:val="single" w:color="auto" w:sz="4" w:space="0"/>
            </w:tcBorders>
            <w:noWrap/>
            <w:vAlign w:val="center"/>
          </w:tcPr>
          <w:p w14:paraId="5F414808">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▲GPU多卡调度管理</w:t>
            </w:r>
          </w:p>
        </w:tc>
        <w:tc>
          <w:tcPr>
            <w:tcW w:w="5392" w:type="dxa"/>
            <w:tcBorders>
              <w:top w:val="single" w:color="auto" w:sz="4" w:space="0"/>
              <w:left w:val="single" w:color="auto" w:sz="4" w:space="0"/>
              <w:bottom w:val="single" w:color="auto" w:sz="4" w:space="0"/>
              <w:right w:val="single" w:color="auto" w:sz="4" w:space="0"/>
            </w:tcBorders>
            <w:vAlign w:val="center"/>
          </w:tcPr>
          <w:p w14:paraId="667534AB">
            <w:pPr>
              <w:ind w:left="0" w:leftChars="0" w:firstLine="0" w:firstLineChars="0"/>
            </w:pPr>
            <w:r>
              <w:rPr>
                <w:rFonts w:hint="eastAsia"/>
                <w:lang w:bidi="ar"/>
              </w:rPr>
              <w:t>对整个服务器集群进行硬件虚拟化，对服务器节点gpu虚拟化，让软件管理硬件；对每个物理设备虚拟化出虚拟设备，方便虚拟设备调度。（提供对应功能的产品截图证明）</w:t>
            </w:r>
          </w:p>
        </w:tc>
      </w:tr>
      <w:tr w14:paraId="27ED0A1E">
        <w:tblPrEx>
          <w:tblCellMar>
            <w:top w:w="15" w:type="dxa"/>
            <w:left w:w="15" w:type="dxa"/>
            <w:bottom w:w="15" w:type="dxa"/>
            <w:right w:w="15" w:type="dxa"/>
          </w:tblCellMar>
        </w:tblPrEx>
        <w:trPr>
          <w:trHeight w:val="23" w:hRule="atLeast"/>
        </w:trPr>
        <w:tc>
          <w:tcPr>
            <w:tcW w:w="860" w:type="dxa"/>
            <w:tcBorders>
              <w:top w:val="single" w:color="auto" w:sz="4" w:space="0"/>
              <w:left w:val="single" w:color="auto" w:sz="4" w:space="0"/>
              <w:bottom w:val="single" w:color="auto" w:sz="4" w:space="0"/>
              <w:right w:val="single" w:color="auto" w:sz="4" w:space="0"/>
            </w:tcBorders>
            <w:noWrap/>
            <w:vAlign w:val="center"/>
          </w:tcPr>
          <w:p w14:paraId="77068FF2">
            <w:pPr>
              <w:ind w:left="0" w:leftChars="0" w:firstLine="0" w:firstLineChars="0"/>
            </w:pPr>
            <w:r>
              <w:rPr>
                <w:rFonts w:hint="eastAsia"/>
              </w:rPr>
              <w:t>32</w:t>
            </w:r>
          </w:p>
        </w:tc>
        <w:tc>
          <w:tcPr>
            <w:tcW w:w="1054" w:type="dxa"/>
            <w:vMerge w:val="continue"/>
            <w:tcBorders>
              <w:top w:val="single" w:color="auto" w:sz="4" w:space="0"/>
              <w:left w:val="single" w:color="auto" w:sz="4" w:space="0"/>
              <w:bottom w:val="single" w:color="auto" w:sz="4" w:space="0"/>
              <w:right w:val="single" w:color="auto" w:sz="4" w:space="0"/>
            </w:tcBorders>
            <w:noWrap/>
            <w:vAlign w:val="center"/>
          </w:tcPr>
          <w:p w14:paraId="51CD2B21">
            <w:pPr>
              <w:ind w:left="0" w:leftChars="0" w:firstLine="0" w:firstLineChars="0"/>
            </w:pPr>
          </w:p>
        </w:tc>
        <w:tc>
          <w:tcPr>
            <w:tcW w:w="1013" w:type="dxa"/>
            <w:tcBorders>
              <w:top w:val="single" w:color="auto" w:sz="4" w:space="0"/>
              <w:left w:val="single" w:color="auto" w:sz="4" w:space="0"/>
              <w:bottom w:val="single" w:color="auto" w:sz="4" w:space="0"/>
              <w:right w:val="single" w:color="auto" w:sz="4" w:space="0"/>
            </w:tcBorders>
            <w:noWrap/>
            <w:vAlign w:val="center"/>
          </w:tcPr>
          <w:p w14:paraId="46FC605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△硬件计算资源调度监管</w:t>
            </w:r>
          </w:p>
        </w:tc>
        <w:tc>
          <w:tcPr>
            <w:tcW w:w="5392" w:type="dxa"/>
            <w:tcBorders>
              <w:top w:val="single" w:color="auto" w:sz="4" w:space="0"/>
              <w:left w:val="single" w:color="auto" w:sz="4" w:space="0"/>
              <w:bottom w:val="single" w:color="auto" w:sz="4" w:space="0"/>
              <w:right w:val="single" w:color="auto" w:sz="4" w:space="0"/>
            </w:tcBorders>
            <w:vAlign w:val="center"/>
          </w:tcPr>
          <w:p w14:paraId="768D08A2">
            <w:pPr>
              <w:ind w:left="0" w:leftChars="0" w:firstLine="0" w:firstLineChars="0"/>
              <w:rPr>
                <w:lang w:bidi="ar"/>
              </w:rPr>
            </w:pPr>
            <w:r>
              <w:rPr>
                <w:rFonts w:hint="eastAsia"/>
                <w:lang w:bidi="ar"/>
              </w:rPr>
              <w:t>支持对AI资源池进行集群监控，包含基础监控（CPU/内存/网络/负载）、GPU监控（GPU温度/GPU功率/GPU利用率/GPU编码器利用率/GPU解码器利用率/GPU帧缓存使用率）等</w:t>
            </w:r>
          </w:p>
          <w:p w14:paraId="1B91155B">
            <w:pPr>
              <w:ind w:left="0" w:leftChars="0" w:firstLine="0" w:firstLineChars="0"/>
              <w:rPr>
                <w:lang w:bidi="ar"/>
              </w:rPr>
            </w:pPr>
            <w:r>
              <w:rPr>
                <w:rFonts w:hint="eastAsia"/>
                <w:lang w:bidi="ar"/>
              </w:rPr>
              <w:t>（提供对应功能的演示视频证明）</w:t>
            </w:r>
          </w:p>
        </w:tc>
      </w:tr>
    </w:tbl>
    <w:p w14:paraId="4BA9F45E"/>
    <w:p w14:paraId="5210A153">
      <w:r>
        <w:rPr>
          <w:rFonts w:hint="eastAsia"/>
        </w:rPr>
        <w:t>医疗多源异构数据管理平台</w:t>
      </w:r>
    </w:p>
    <w:p w14:paraId="6309CB8F"/>
    <w:tbl>
      <w:tblPr>
        <w:tblStyle w:val="7"/>
        <w:tblW w:w="0" w:type="auto"/>
        <w:tblInd w:w="91" w:type="dxa"/>
        <w:tblLayout w:type="fixed"/>
        <w:tblCellMar>
          <w:top w:w="0" w:type="dxa"/>
          <w:left w:w="108" w:type="dxa"/>
          <w:bottom w:w="0" w:type="dxa"/>
          <w:right w:w="108" w:type="dxa"/>
        </w:tblCellMar>
      </w:tblPr>
      <w:tblGrid>
        <w:gridCol w:w="568"/>
        <w:gridCol w:w="1230"/>
        <w:gridCol w:w="697"/>
        <w:gridCol w:w="5605"/>
      </w:tblGrid>
      <w:tr w14:paraId="3A8DA772">
        <w:tblPrEx>
          <w:tblCellMar>
            <w:top w:w="0" w:type="dxa"/>
            <w:left w:w="108" w:type="dxa"/>
            <w:bottom w:w="0" w:type="dxa"/>
            <w:right w:w="108" w:type="dxa"/>
          </w:tblCellMar>
        </w:tblPrEx>
        <w:trPr>
          <w:trHeight w:val="23" w:hRule="atLeast"/>
        </w:trPr>
        <w:tc>
          <w:tcPr>
            <w:tcW w:w="568" w:type="dxa"/>
            <w:tcBorders>
              <w:top w:val="single" w:color="000000" w:sz="8" w:space="0"/>
              <w:left w:val="single" w:color="000000" w:sz="8" w:space="0"/>
              <w:bottom w:val="single" w:color="000000" w:sz="8" w:space="0"/>
              <w:right w:val="single" w:color="000000" w:sz="8" w:space="0"/>
            </w:tcBorders>
            <w:noWrap/>
            <w:vAlign w:val="center"/>
          </w:tcPr>
          <w:p w14:paraId="09D3280F">
            <w:pPr>
              <w:ind w:left="0" w:leftChars="0" w:firstLine="0" w:firstLineChars="0"/>
            </w:pPr>
            <w:r>
              <w:rPr>
                <w:rFonts w:hint="eastAsia"/>
                <w:lang w:bidi="ar"/>
              </w:rPr>
              <w:t>序号</w:t>
            </w:r>
          </w:p>
        </w:tc>
        <w:tc>
          <w:tcPr>
            <w:tcW w:w="1230" w:type="dxa"/>
            <w:tcBorders>
              <w:top w:val="single" w:color="000000" w:sz="8" w:space="0"/>
              <w:left w:val="nil"/>
              <w:bottom w:val="single" w:color="000000" w:sz="8" w:space="0"/>
              <w:right w:val="single" w:color="000000" w:sz="8" w:space="0"/>
            </w:tcBorders>
            <w:vAlign w:val="center"/>
          </w:tcPr>
          <w:p w14:paraId="04B48BA3">
            <w:pPr>
              <w:ind w:left="0" w:leftChars="0" w:firstLine="0" w:firstLineChars="0"/>
            </w:pPr>
            <w:r>
              <w:rPr>
                <w:rFonts w:hint="eastAsia"/>
                <w:lang w:bidi="ar"/>
              </w:rPr>
              <w:t>系统/设备名称</w:t>
            </w:r>
          </w:p>
        </w:tc>
        <w:tc>
          <w:tcPr>
            <w:tcW w:w="697" w:type="dxa"/>
            <w:tcBorders>
              <w:top w:val="single" w:color="000000" w:sz="8" w:space="0"/>
              <w:left w:val="nil"/>
              <w:bottom w:val="single" w:color="000000" w:sz="8" w:space="0"/>
              <w:right w:val="single" w:color="000000" w:sz="8" w:space="0"/>
            </w:tcBorders>
            <w:vAlign w:val="center"/>
          </w:tcPr>
          <w:p w14:paraId="1D5DAAEF">
            <w:pPr>
              <w:ind w:left="0" w:leftChars="0" w:firstLine="0" w:firstLineChars="0"/>
            </w:pPr>
            <w:r>
              <w:rPr>
                <w:rFonts w:hint="eastAsia"/>
                <w:lang w:bidi="ar"/>
              </w:rPr>
              <w:t>指标项</w:t>
            </w:r>
          </w:p>
        </w:tc>
        <w:tc>
          <w:tcPr>
            <w:tcW w:w="5605" w:type="dxa"/>
            <w:tcBorders>
              <w:top w:val="single" w:color="000000" w:sz="8" w:space="0"/>
              <w:left w:val="nil"/>
              <w:bottom w:val="single" w:color="000000" w:sz="8" w:space="0"/>
              <w:right w:val="single" w:color="000000" w:sz="8" w:space="0"/>
            </w:tcBorders>
            <w:vAlign w:val="center"/>
          </w:tcPr>
          <w:p w14:paraId="2D734793">
            <w:pPr>
              <w:ind w:left="0" w:leftChars="0" w:firstLine="0" w:firstLineChars="0"/>
            </w:pPr>
            <w:r>
              <w:rPr>
                <w:rFonts w:hint="eastAsia"/>
                <w:lang w:bidi="ar"/>
              </w:rPr>
              <w:t>参数要求</w:t>
            </w:r>
          </w:p>
        </w:tc>
      </w:tr>
      <w:tr w14:paraId="53953864">
        <w:tblPrEx>
          <w:tblCellMar>
            <w:top w:w="0" w:type="dxa"/>
            <w:left w:w="108" w:type="dxa"/>
            <w:bottom w:w="0" w:type="dxa"/>
            <w:right w:w="108" w:type="dxa"/>
          </w:tblCellMar>
        </w:tblPrEx>
        <w:trPr>
          <w:trHeight w:val="23" w:hRule="atLeast"/>
        </w:trPr>
        <w:tc>
          <w:tcPr>
            <w:tcW w:w="568" w:type="dxa"/>
            <w:tcBorders>
              <w:top w:val="nil"/>
              <w:left w:val="single" w:color="000000" w:sz="8" w:space="0"/>
              <w:bottom w:val="single" w:color="000000" w:sz="8" w:space="0"/>
              <w:right w:val="single" w:color="000000" w:sz="8" w:space="0"/>
            </w:tcBorders>
            <w:noWrap/>
            <w:vAlign w:val="center"/>
          </w:tcPr>
          <w:p w14:paraId="675DA078">
            <w:pPr>
              <w:ind w:left="0" w:leftChars="0" w:firstLine="0" w:firstLineChars="0"/>
              <w:rPr>
                <w:lang w:bidi="ar"/>
              </w:rPr>
            </w:pPr>
            <w:r>
              <w:rPr>
                <w:rFonts w:hint="eastAsia"/>
                <w:lang w:bidi="ar"/>
              </w:rPr>
              <w:t>1</w:t>
            </w:r>
          </w:p>
        </w:tc>
        <w:tc>
          <w:tcPr>
            <w:tcW w:w="1230" w:type="dxa"/>
            <w:vMerge w:val="restart"/>
            <w:tcBorders>
              <w:top w:val="single" w:color="000000" w:sz="8" w:space="0"/>
              <w:left w:val="single" w:color="000000" w:sz="8" w:space="0"/>
              <w:bottom w:val="single" w:color="000000" w:sz="8" w:space="0"/>
              <w:right w:val="single" w:color="000000" w:sz="8" w:space="0"/>
            </w:tcBorders>
            <w:vAlign w:val="center"/>
          </w:tcPr>
          <w:p w14:paraId="0DE2168E">
            <w:pPr>
              <w:ind w:left="0" w:leftChars="0" w:firstLine="0" w:firstLineChars="0"/>
              <w:rPr>
                <w:lang w:bidi="ar"/>
              </w:rPr>
            </w:pPr>
            <w:r>
              <w:rPr>
                <w:rFonts w:hint="eastAsia"/>
                <w:lang w:bidi="ar"/>
              </w:rPr>
              <w:t>医疗多源异构数据接入</w:t>
            </w:r>
          </w:p>
        </w:tc>
        <w:tc>
          <w:tcPr>
            <w:tcW w:w="697" w:type="dxa"/>
            <w:tcBorders>
              <w:top w:val="single" w:color="000000" w:sz="8" w:space="0"/>
              <w:left w:val="single" w:color="000000" w:sz="8" w:space="0"/>
              <w:bottom w:val="single" w:color="000000" w:sz="8" w:space="0"/>
              <w:right w:val="single" w:color="000000" w:sz="8" w:space="0"/>
            </w:tcBorders>
            <w:vAlign w:val="center"/>
          </w:tcPr>
          <w:p w14:paraId="3587FBD6">
            <w:pPr>
              <w:ind w:left="0" w:leftChars="0" w:firstLine="0" w:firstLineChars="0"/>
              <w:rPr>
                <w:lang w:bidi="ar"/>
              </w:rPr>
            </w:pPr>
            <w:r>
              <w:rPr>
                <w:rFonts w:hint="eastAsia"/>
                <w:lang w:bidi="ar"/>
              </w:rPr>
              <w:t>医疗数据源管理</w:t>
            </w:r>
          </w:p>
        </w:tc>
        <w:tc>
          <w:tcPr>
            <w:tcW w:w="5605" w:type="dxa"/>
            <w:tcBorders>
              <w:top w:val="single" w:color="000000" w:sz="8" w:space="0"/>
              <w:left w:val="single" w:color="000000" w:sz="8" w:space="0"/>
              <w:bottom w:val="single" w:color="000000" w:sz="8" w:space="0"/>
              <w:right w:val="single" w:color="000000" w:sz="8" w:space="0"/>
            </w:tcBorders>
            <w:vAlign w:val="center"/>
          </w:tcPr>
          <w:p w14:paraId="3CD507B3">
            <w:pPr>
              <w:ind w:left="0" w:leftChars="0" w:firstLine="0" w:firstLineChars="0"/>
              <w:rPr>
                <w:lang w:bidi="ar"/>
              </w:rPr>
            </w:pPr>
            <w:r>
              <w:rPr>
                <w:rFonts w:hint="eastAsia"/>
                <w:lang w:bidi="ar"/>
              </w:rPr>
              <w:t>支持对医院内部及外部各类数据源（如HIS、LIS、PACS、EMR等对应的数据库）进行统一注册和管理，建立数据源目录；提供多种标准化连接器（JDBC、文件存储、消息队列、NoSQL、API数据源等），支持自定义数据源拓展，用于对接不同类型的异构数据源。</w:t>
            </w:r>
          </w:p>
        </w:tc>
      </w:tr>
      <w:tr w14:paraId="253789E0">
        <w:tblPrEx>
          <w:tblCellMar>
            <w:top w:w="0" w:type="dxa"/>
            <w:left w:w="108" w:type="dxa"/>
            <w:bottom w:w="0" w:type="dxa"/>
            <w:right w:w="108" w:type="dxa"/>
          </w:tblCellMar>
        </w:tblPrEx>
        <w:trPr>
          <w:trHeight w:val="23" w:hRule="atLeast"/>
        </w:trPr>
        <w:tc>
          <w:tcPr>
            <w:tcW w:w="568" w:type="dxa"/>
            <w:tcBorders>
              <w:top w:val="nil"/>
              <w:left w:val="single" w:color="000000" w:sz="8" w:space="0"/>
              <w:bottom w:val="single" w:color="000000" w:sz="8" w:space="0"/>
              <w:right w:val="single" w:color="000000" w:sz="8" w:space="0"/>
            </w:tcBorders>
            <w:noWrap/>
            <w:vAlign w:val="center"/>
          </w:tcPr>
          <w:p w14:paraId="1EA1306B">
            <w:pPr>
              <w:ind w:left="0" w:leftChars="0" w:firstLine="0" w:firstLineChars="0"/>
              <w:rPr>
                <w:lang w:bidi="ar"/>
              </w:rPr>
            </w:pPr>
            <w:r>
              <w:rPr>
                <w:rFonts w:hint="eastAsia"/>
                <w:lang w:bidi="ar"/>
              </w:rPr>
              <w:t>2</w:t>
            </w:r>
          </w:p>
        </w:tc>
        <w:tc>
          <w:tcPr>
            <w:tcW w:w="1230" w:type="dxa"/>
            <w:vMerge w:val="continue"/>
            <w:tcBorders>
              <w:top w:val="single" w:color="000000" w:sz="8" w:space="0"/>
              <w:left w:val="single" w:color="000000" w:sz="8" w:space="0"/>
              <w:bottom w:val="single" w:color="000000" w:sz="8" w:space="0"/>
              <w:right w:val="single" w:color="000000" w:sz="8" w:space="0"/>
            </w:tcBorders>
            <w:vAlign w:val="center"/>
          </w:tcPr>
          <w:p w14:paraId="28CB356A">
            <w:pPr>
              <w:ind w:left="0" w:leftChars="0" w:firstLine="0" w:firstLineChars="0"/>
              <w:rPr>
                <w:lang w:bidi="ar"/>
              </w:rPr>
            </w:pPr>
          </w:p>
        </w:tc>
        <w:tc>
          <w:tcPr>
            <w:tcW w:w="697" w:type="dxa"/>
            <w:tcBorders>
              <w:top w:val="nil"/>
              <w:left w:val="single" w:color="000000" w:sz="8" w:space="0"/>
              <w:bottom w:val="single" w:color="000000" w:sz="8" w:space="0"/>
              <w:right w:val="single" w:color="000000" w:sz="8" w:space="0"/>
            </w:tcBorders>
            <w:vAlign w:val="center"/>
          </w:tcPr>
          <w:p w14:paraId="16CCF45C">
            <w:pPr>
              <w:ind w:left="0" w:leftChars="0" w:firstLine="0" w:firstLineChars="0"/>
              <w:rPr>
                <w:lang w:bidi="ar"/>
              </w:rPr>
            </w:pPr>
            <w:r>
              <w:rPr>
                <w:rFonts w:hint="eastAsia"/>
                <w:lang w:bidi="ar"/>
              </w:rPr>
              <w:t>医疗数据接入管理</w:t>
            </w:r>
          </w:p>
        </w:tc>
        <w:tc>
          <w:tcPr>
            <w:tcW w:w="5605" w:type="dxa"/>
            <w:tcBorders>
              <w:top w:val="nil"/>
              <w:left w:val="single" w:color="000000" w:sz="8" w:space="0"/>
              <w:bottom w:val="single" w:color="000000" w:sz="8" w:space="0"/>
              <w:right w:val="single" w:color="000000" w:sz="8" w:space="0"/>
            </w:tcBorders>
            <w:vAlign w:val="center"/>
          </w:tcPr>
          <w:p w14:paraId="4FC72086">
            <w:pPr>
              <w:ind w:left="0" w:leftChars="0" w:firstLine="0" w:firstLineChars="0"/>
              <w:rPr>
                <w:lang w:bidi="ar"/>
              </w:rPr>
            </w:pPr>
            <w:r>
              <w:rPr>
                <w:rFonts w:hint="eastAsia"/>
                <w:lang w:bidi="ar"/>
              </w:rPr>
              <w:t>支持通过交换引擎，实现对注册的医疗数据源数据动态接入；支持定时或手动触发的批量数据抽取任务，将历史数据或非实时数据同步到平台。一键完成异构数据库整库迁移，可视化配置字段转换规则，显著降低跨源集成；灵活支持基于数据量或数据条数的双维度传输限速，便捷配置通道并发数与资源占用，有效平衡资源消耗与任务稳定性；</w:t>
            </w:r>
          </w:p>
        </w:tc>
      </w:tr>
      <w:tr w14:paraId="39165DEF">
        <w:tblPrEx>
          <w:tblCellMar>
            <w:top w:w="0" w:type="dxa"/>
            <w:left w:w="108" w:type="dxa"/>
            <w:bottom w:w="0" w:type="dxa"/>
            <w:right w:w="108" w:type="dxa"/>
          </w:tblCellMar>
        </w:tblPrEx>
        <w:trPr>
          <w:trHeight w:val="23" w:hRule="atLeast"/>
        </w:trPr>
        <w:tc>
          <w:tcPr>
            <w:tcW w:w="568" w:type="dxa"/>
            <w:tcBorders>
              <w:top w:val="nil"/>
              <w:left w:val="single" w:color="000000" w:sz="8" w:space="0"/>
              <w:bottom w:val="single" w:color="000000" w:sz="8" w:space="0"/>
              <w:right w:val="single" w:color="000000" w:sz="8" w:space="0"/>
            </w:tcBorders>
            <w:noWrap/>
            <w:vAlign w:val="center"/>
          </w:tcPr>
          <w:p w14:paraId="5EB11E01">
            <w:pPr>
              <w:ind w:left="0" w:leftChars="0" w:firstLine="0" w:firstLineChars="0"/>
              <w:rPr>
                <w:lang w:bidi="ar"/>
              </w:rPr>
            </w:pPr>
            <w:r>
              <w:rPr>
                <w:rFonts w:hint="eastAsia"/>
                <w:lang w:bidi="ar"/>
              </w:rPr>
              <w:t>3</w:t>
            </w:r>
          </w:p>
        </w:tc>
        <w:tc>
          <w:tcPr>
            <w:tcW w:w="1230" w:type="dxa"/>
            <w:vMerge w:val="restart"/>
            <w:tcBorders>
              <w:top w:val="nil"/>
              <w:left w:val="single" w:color="000000" w:sz="8" w:space="0"/>
              <w:bottom w:val="single" w:color="000000" w:sz="8" w:space="0"/>
              <w:right w:val="single" w:color="000000" w:sz="8" w:space="0"/>
            </w:tcBorders>
            <w:vAlign w:val="center"/>
          </w:tcPr>
          <w:p w14:paraId="4BD8FF14">
            <w:pPr>
              <w:ind w:left="0" w:leftChars="0" w:firstLine="0" w:firstLineChars="0"/>
              <w:rPr>
                <w:lang w:bidi="ar"/>
              </w:rPr>
            </w:pPr>
            <w:r>
              <w:rPr>
                <w:rFonts w:hint="eastAsia"/>
                <w:lang w:bidi="ar"/>
              </w:rPr>
              <w:t>医疗多源异构数据管理</w:t>
            </w:r>
          </w:p>
        </w:tc>
        <w:tc>
          <w:tcPr>
            <w:tcW w:w="697" w:type="dxa"/>
            <w:vMerge w:val="restart"/>
            <w:tcBorders>
              <w:top w:val="nil"/>
              <w:left w:val="single" w:color="000000" w:sz="8" w:space="0"/>
              <w:bottom w:val="single" w:color="000000" w:sz="8" w:space="0"/>
              <w:right w:val="single" w:color="000000" w:sz="8" w:space="0"/>
            </w:tcBorders>
            <w:vAlign w:val="center"/>
          </w:tcPr>
          <w:p w14:paraId="5EBE7FA0">
            <w:pPr>
              <w:ind w:left="0" w:leftChars="0" w:firstLine="0" w:firstLineChars="0"/>
              <w:rPr>
                <w:lang w:bidi="ar"/>
              </w:rPr>
            </w:pPr>
            <w:r>
              <w:rPr>
                <w:rFonts w:hint="eastAsia"/>
                <w:lang w:bidi="ar"/>
              </w:rPr>
              <w:t>数据质量管理</w:t>
            </w:r>
          </w:p>
        </w:tc>
        <w:tc>
          <w:tcPr>
            <w:tcW w:w="5605" w:type="dxa"/>
            <w:tcBorders>
              <w:top w:val="nil"/>
              <w:left w:val="single" w:color="000000" w:sz="8" w:space="0"/>
              <w:bottom w:val="single" w:color="000000" w:sz="8" w:space="0"/>
              <w:right w:val="single" w:color="000000" w:sz="8" w:space="0"/>
            </w:tcBorders>
            <w:vAlign w:val="center"/>
          </w:tcPr>
          <w:p w14:paraId="4D330367">
            <w:pPr>
              <w:ind w:left="0" w:leftChars="0" w:firstLine="0" w:firstLineChars="0"/>
              <w:rPr>
                <w:lang w:bidi="ar"/>
              </w:rPr>
            </w:pPr>
            <w:r>
              <w:rPr>
                <w:rFonts w:hint="eastAsia"/>
                <w:lang w:bidi="ar"/>
              </w:rPr>
              <w:t>提供可视化的数据质量规则配置界面，支持字段级的质量校验规则定义；</w:t>
            </w:r>
          </w:p>
        </w:tc>
      </w:tr>
      <w:tr w14:paraId="10404FF5">
        <w:tblPrEx>
          <w:tblCellMar>
            <w:top w:w="0" w:type="dxa"/>
            <w:left w:w="108" w:type="dxa"/>
            <w:bottom w:w="0" w:type="dxa"/>
            <w:right w:w="108" w:type="dxa"/>
          </w:tblCellMar>
        </w:tblPrEx>
        <w:trPr>
          <w:trHeight w:val="23" w:hRule="atLeast"/>
        </w:trPr>
        <w:tc>
          <w:tcPr>
            <w:tcW w:w="568" w:type="dxa"/>
            <w:tcBorders>
              <w:top w:val="nil"/>
              <w:left w:val="single" w:color="000000" w:sz="8" w:space="0"/>
              <w:bottom w:val="single" w:color="000000" w:sz="8" w:space="0"/>
              <w:right w:val="single" w:color="000000" w:sz="8" w:space="0"/>
            </w:tcBorders>
            <w:noWrap/>
            <w:vAlign w:val="center"/>
          </w:tcPr>
          <w:p w14:paraId="2A1E79A9">
            <w:pPr>
              <w:ind w:left="0" w:leftChars="0" w:firstLine="0" w:firstLineChars="0"/>
              <w:rPr>
                <w:lang w:bidi="ar"/>
              </w:rPr>
            </w:pPr>
            <w:r>
              <w:rPr>
                <w:rFonts w:hint="eastAsia"/>
                <w:lang w:bidi="ar"/>
              </w:rPr>
              <w:t>4</w:t>
            </w:r>
          </w:p>
        </w:tc>
        <w:tc>
          <w:tcPr>
            <w:tcW w:w="1230" w:type="dxa"/>
            <w:vMerge w:val="continue"/>
            <w:tcBorders>
              <w:top w:val="nil"/>
              <w:left w:val="single" w:color="000000" w:sz="8" w:space="0"/>
              <w:bottom w:val="single" w:color="000000" w:sz="8" w:space="0"/>
              <w:right w:val="single" w:color="000000" w:sz="8" w:space="0"/>
            </w:tcBorders>
            <w:vAlign w:val="center"/>
          </w:tcPr>
          <w:p w14:paraId="6E2E0815">
            <w:pPr>
              <w:ind w:left="0" w:leftChars="0" w:firstLine="0" w:firstLineChars="0"/>
              <w:rPr>
                <w:lang w:bidi="ar"/>
              </w:rPr>
            </w:pPr>
          </w:p>
        </w:tc>
        <w:tc>
          <w:tcPr>
            <w:tcW w:w="697" w:type="dxa"/>
            <w:vMerge w:val="continue"/>
            <w:tcBorders>
              <w:top w:val="nil"/>
              <w:left w:val="single" w:color="000000" w:sz="8" w:space="0"/>
              <w:bottom w:val="single" w:color="000000" w:sz="8" w:space="0"/>
              <w:right w:val="single" w:color="000000" w:sz="8" w:space="0"/>
            </w:tcBorders>
            <w:vAlign w:val="center"/>
          </w:tcPr>
          <w:p w14:paraId="76F8F69A">
            <w:pPr>
              <w:ind w:left="0" w:leftChars="0" w:firstLine="0" w:firstLineChars="0"/>
              <w:rPr>
                <w:lang w:bidi="ar"/>
              </w:rPr>
            </w:pPr>
          </w:p>
        </w:tc>
        <w:tc>
          <w:tcPr>
            <w:tcW w:w="5605" w:type="dxa"/>
            <w:tcBorders>
              <w:top w:val="nil"/>
              <w:left w:val="single" w:color="000000" w:sz="8" w:space="0"/>
              <w:bottom w:val="single" w:color="000000" w:sz="8" w:space="0"/>
              <w:right w:val="single" w:color="000000" w:sz="8" w:space="0"/>
            </w:tcBorders>
            <w:vAlign w:val="center"/>
          </w:tcPr>
          <w:p w14:paraId="48195E37">
            <w:pPr>
              <w:ind w:left="0" w:leftChars="0" w:firstLine="0" w:firstLineChars="0"/>
              <w:rPr>
                <w:lang w:bidi="ar"/>
              </w:rPr>
            </w:pPr>
            <w:r>
              <w:rPr>
                <w:rFonts w:hint="eastAsia"/>
                <w:lang w:bidi="ar"/>
              </w:rPr>
              <w:t>基于质控规则，动态生成质量大盘，支持对数据的质量查阅。批量导入质量监控规则，规则可基于系统预置模板或用户自定义模板创建，有效满足大规模质量规则的快速初始化与批量配置需求；</w:t>
            </w:r>
          </w:p>
        </w:tc>
      </w:tr>
      <w:tr w14:paraId="5DA2A7C7">
        <w:tblPrEx>
          <w:tblCellMar>
            <w:top w:w="0" w:type="dxa"/>
            <w:left w:w="108" w:type="dxa"/>
            <w:bottom w:w="0" w:type="dxa"/>
            <w:right w:w="108" w:type="dxa"/>
          </w:tblCellMar>
        </w:tblPrEx>
        <w:trPr>
          <w:trHeight w:val="23" w:hRule="atLeast"/>
        </w:trPr>
        <w:tc>
          <w:tcPr>
            <w:tcW w:w="568" w:type="dxa"/>
            <w:tcBorders>
              <w:top w:val="nil"/>
              <w:left w:val="single" w:color="000000" w:sz="8" w:space="0"/>
              <w:bottom w:val="single" w:color="000000" w:sz="8" w:space="0"/>
              <w:right w:val="single" w:color="000000" w:sz="8" w:space="0"/>
            </w:tcBorders>
            <w:noWrap/>
            <w:vAlign w:val="center"/>
          </w:tcPr>
          <w:p w14:paraId="0E4813AB">
            <w:pPr>
              <w:ind w:left="0" w:leftChars="0" w:firstLine="0" w:firstLineChars="0"/>
              <w:rPr>
                <w:lang w:bidi="ar"/>
              </w:rPr>
            </w:pPr>
            <w:r>
              <w:rPr>
                <w:rFonts w:hint="eastAsia"/>
                <w:lang w:bidi="ar"/>
              </w:rPr>
              <w:t>5</w:t>
            </w:r>
          </w:p>
        </w:tc>
        <w:tc>
          <w:tcPr>
            <w:tcW w:w="1230" w:type="dxa"/>
            <w:vMerge w:val="continue"/>
            <w:tcBorders>
              <w:top w:val="nil"/>
              <w:left w:val="single" w:color="000000" w:sz="8" w:space="0"/>
              <w:bottom w:val="single" w:color="000000" w:sz="8" w:space="0"/>
              <w:right w:val="single" w:color="000000" w:sz="8" w:space="0"/>
            </w:tcBorders>
            <w:vAlign w:val="center"/>
          </w:tcPr>
          <w:p w14:paraId="7E273A4B">
            <w:pPr>
              <w:ind w:left="0" w:leftChars="0" w:firstLine="0" w:firstLineChars="0"/>
              <w:rPr>
                <w:lang w:bidi="ar"/>
              </w:rPr>
            </w:pPr>
          </w:p>
        </w:tc>
        <w:tc>
          <w:tcPr>
            <w:tcW w:w="697" w:type="dxa"/>
            <w:vMerge w:val="continue"/>
            <w:tcBorders>
              <w:top w:val="nil"/>
              <w:left w:val="single" w:color="000000" w:sz="8" w:space="0"/>
              <w:bottom w:val="single" w:color="000000" w:sz="8" w:space="0"/>
              <w:right w:val="single" w:color="000000" w:sz="8" w:space="0"/>
            </w:tcBorders>
            <w:vAlign w:val="center"/>
          </w:tcPr>
          <w:p w14:paraId="41F451C5">
            <w:pPr>
              <w:ind w:left="0" w:leftChars="0" w:firstLine="0" w:firstLineChars="0"/>
              <w:rPr>
                <w:lang w:bidi="ar"/>
              </w:rPr>
            </w:pPr>
          </w:p>
        </w:tc>
        <w:tc>
          <w:tcPr>
            <w:tcW w:w="5605" w:type="dxa"/>
            <w:tcBorders>
              <w:top w:val="nil"/>
              <w:left w:val="single" w:color="000000" w:sz="8" w:space="0"/>
              <w:bottom w:val="single" w:color="000000" w:sz="8" w:space="0"/>
              <w:right w:val="single" w:color="000000" w:sz="8" w:space="0"/>
            </w:tcBorders>
            <w:vAlign w:val="center"/>
          </w:tcPr>
          <w:p w14:paraId="54F1DC70">
            <w:pPr>
              <w:ind w:left="0" w:leftChars="0" w:firstLine="0" w:firstLineChars="0"/>
              <w:rPr>
                <w:lang w:bidi="ar"/>
              </w:rPr>
            </w:pPr>
            <w:r>
              <w:rPr>
                <w:rFonts w:hint="eastAsia"/>
                <w:lang w:bidi="ar"/>
              </w:rPr>
              <w:t>自动归档质量校验产生的异常数据，便捷支持异常数据查看、下载与离线分析，并提供持久化存储能力，有效满足异常数据深度排查与历史回溯需求；</w:t>
            </w:r>
          </w:p>
        </w:tc>
      </w:tr>
      <w:tr w14:paraId="62E53675">
        <w:tblPrEx>
          <w:tblCellMar>
            <w:top w:w="0" w:type="dxa"/>
            <w:left w:w="108" w:type="dxa"/>
            <w:bottom w:w="0" w:type="dxa"/>
            <w:right w:w="108" w:type="dxa"/>
          </w:tblCellMar>
        </w:tblPrEx>
        <w:trPr>
          <w:trHeight w:val="23" w:hRule="atLeast"/>
        </w:trPr>
        <w:tc>
          <w:tcPr>
            <w:tcW w:w="568" w:type="dxa"/>
            <w:tcBorders>
              <w:top w:val="nil"/>
              <w:left w:val="single" w:color="000000" w:sz="8" w:space="0"/>
              <w:bottom w:val="single" w:color="000000" w:sz="8" w:space="0"/>
              <w:right w:val="single" w:color="000000" w:sz="8" w:space="0"/>
            </w:tcBorders>
            <w:noWrap/>
            <w:vAlign w:val="center"/>
          </w:tcPr>
          <w:p w14:paraId="440B5722">
            <w:pPr>
              <w:ind w:left="0" w:leftChars="0" w:firstLine="0" w:firstLineChars="0"/>
              <w:rPr>
                <w:lang w:bidi="ar"/>
              </w:rPr>
            </w:pPr>
            <w:r>
              <w:rPr>
                <w:rFonts w:hint="eastAsia"/>
                <w:lang w:bidi="ar"/>
              </w:rPr>
              <w:t>6</w:t>
            </w:r>
          </w:p>
        </w:tc>
        <w:tc>
          <w:tcPr>
            <w:tcW w:w="1230" w:type="dxa"/>
            <w:vMerge w:val="continue"/>
            <w:tcBorders>
              <w:top w:val="nil"/>
              <w:left w:val="single" w:color="000000" w:sz="8" w:space="0"/>
              <w:bottom w:val="single" w:color="000000" w:sz="8" w:space="0"/>
              <w:right w:val="single" w:color="000000" w:sz="8" w:space="0"/>
            </w:tcBorders>
            <w:vAlign w:val="center"/>
          </w:tcPr>
          <w:p w14:paraId="021A8507">
            <w:pPr>
              <w:ind w:left="0" w:leftChars="0" w:firstLine="0" w:firstLineChars="0"/>
              <w:rPr>
                <w:lang w:bidi="ar"/>
              </w:rPr>
            </w:pPr>
          </w:p>
        </w:tc>
        <w:tc>
          <w:tcPr>
            <w:tcW w:w="697" w:type="dxa"/>
            <w:vMerge w:val="continue"/>
            <w:tcBorders>
              <w:top w:val="nil"/>
              <w:left w:val="single" w:color="000000" w:sz="8" w:space="0"/>
              <w:bottom w:val="single" w:color="000000" w:sz="8" w:space="0"/>
              <w:right w:val="single" w:color="000000" w:sz="8" w:space="0"/>
            </w:tcBorders>
            <w:vAlign w:val="center"/>
          </w:tcPr>
          <w:p w14:paraId="4E6E1092">
            <w:pPr>
              <w:ind w:left="0" w:leftChars="0" w:firstLine="0" w:firstLineChars="0"/>
              <w:rPr>
                <w:lang w:bidi="ar"/>
              </w:rPr>
            </w:pPr>
          </w:p>
        </w:tc>
        <w:tc>
          <w:tcPr>
            <w:tcW w:w="5605" w:type="dxa"/>
            <w:tcBorders>
              <w:top w:val="nil"/>
              <w:left w:val="single" w:color="000000" w:sz="8" w:space="0"/>
              <w:bottom w:val="single" w:color="000000" w:sz="8" w:space="0"/>
              <w:right w:val="single" w:color="000000" w:sz="8" w:space="0"/>
            </w:tcBorders>
            <w:vAlign w:val="center"/>
          </w:tcPr>
          <w:p w14:paraId="6F7E7F44">
            <w:pPr>
              <w:ind w:left="0" w:leftChars="0" w:firstLine="0" w:firstLineChars="0"/>
              <w:rPr>
                <w:lang w:bidi="ar"/>
              </w:rPr>
            </w:pPr>
            <w:r>
              <w:rPr>
                <w:rFonts w:hint="eastAsia"/>
                <w:lang w:bidi="ar"/>
              </w:rPr>
              <w:t>全面提供质量问题清单管理，完整覆盖问题查看、整改、通知全生命周期，灵活支持问题类型自定义扩展，有效满足企业质量问题的闭环管控需求；提供质量问题清单管理，完整覆盖问题查看、整改、通知全生命周期，灵活支持问题类型自定义扩展，有效满足企业质量问题的闭环管控需求</w:t>
            </w:r>
          </w:p>
        </w:tc>
      </w:tr>
      <w:tr w14:paraId="1FFC4C8F">
        <w:tblPrEx>
          <w:tblCellMar>
            <w:top w:w="0" w:type="dxa"/>
            <w:left w:w="108" w:type="dxa"/>
            <w:bottom w:w="0" w:type="dxa"/>
            <w:right w:w="108" w:type="dxa"/>
          </w:tblCellMar>
        </w:tblPrEx>
        <w:trPr>
          <w:trHeight w:val="23" w:hRule="atLeast"/>
        </w:trPr>
        <w:tc>
          <w:tcPr>
            <w:tcW w:w="568" w:type="dxa"/>
            <w:tcBorders>
              <w:top w:val="nil"/>
              <w:left w:val="single" w:color="000000" w:sz="8" w:space="0"/>
              <w:bottom w:val="single" w:color="000000" w:sz="8" w:space="0"/>
              <w:right w:val="single" w:color="000000" w:sz="8" w:space="0"/>
            </w:tcBorders>
            <w:noWrap/>
            <w:vAlign w:val="center"/>
          </w:tcPr>
          <w:p w14:paraId="0E670FC8">
            <w:pPr>
              <w:ind w:left="0" w:leftChars="0" w:firstLine="0" w:firstLineChars="0"/>
              <w:rPr>
                <w:lang w:bidi="ar"/>
              </w:rPr>
            </w:pPr>
            <w:r>
              <w:rPr>
                <w:rFonts w:hint="eastAsia"/>
                <w:lang w:bidi="ar"/>
              </w:rPr>
              <w:t>7</w:t>
            </w:r>
          </w:p>
        </w:tc>
        <w:tc>
          <w:tcPr>
            <w:tcW w:w="1230" w:type="dxa"/>
            <w:vMerge w:val="continue"/>
            <w:tcBorders>
              <w:top w:val="nil"/>
              <w:left w:val="single" w:color="000000" w:sz="8" w:space="0"/>
              <w:bottom w:val="single" w:color="000000" w:sz="8" w:space="0"/>
              <w:right w:val="single" w:color="000000" w:sz="8" w:space="0"/>
            </w:tcBorders>
            <w:vAlign w:val="center"/>
          </w:tcPr>
          <w:p w14:paraId="22D52700">
            <w:pPr>
              <w:ind w:left="0" w:leftChars="0" w:firstLine="0" w:firstLineChars="0"/>
              <w:rPr>
                <w:lang w:bidi="ar"/>
              </w:rPr>
            </w:pPr>
          </w:p>
        </w:tc>
        <w:tc>
          <w:tcPr>
            <w:tcW w:w="697" w:type="dxa"/>
            <w:vMerge w:val="restart"/>
            <w:tcBorders>
              <w:top w:val="nil"/>
              <w:left w:val="single" w:color="000000" w:sz="8" w:space="0"/>
              <w:bottom w:val="single" w:color="000000" w:sz="8" w:space="0"/>
              <w:right w:val="single" w:color="000000" w:sz="8" w:space="0"/>
            </w:tcBorders>
            <w:vAlign w:val="center"/>
          </w:tcPr>
          <w:p w14:paraId="6645FF71">
            <w:pPr>
              <w:ind w:left="0" w:leftChars="0" w:firstLine="0" w:firstLineChars="0"/>
              <w:rPr>
                <w:lang w:bidi="ar"/>
              </w:rPr>
            </w:pPr>
            <w:r>
              <w:rPr>
                <w:rFonts w:hint="eastAsia"/>
                <w:lang w:bidi="ar"/>
              </w:rPr>
              <w:t>数据安全</w:t>
            </w:r>
          </w:p>
        </w:tc>
        <w:tc>
          <w:tcPr>
            <w:tcW w:w="5605" w:type="dxa"/>
            <w:tcBorders>
              <w:top w:val="nil"/>
              <w:left w:val="single" w:color="000000" w:sz="8" w:space="0"/>
              <w:bottom w:val="single" w:color="000000" w:sz="8" w:space="0"/>
              <w:right w:val="single" w:color="000000" w:sz="8" w:space="0"/>
            </w:tcBorders>
            <w:vAlign w:val="center"/>
          </w:tcPr>
          <w:p w14:paraId="26658717">
            <w:pPr>
              <w:ind w:left="0" w:leftChars="0" w:firstLine="0" w:firstLineChars="0"/>
              <w:rPr>
                <w:lang w:bidi="ar"/>
              </w:rPr>
            </w:pPr>
            <w:r>
              <w:rPr>
                <w:rFonts w:hint="eastAsia"/>
                <w:lang w:bidi="ar"/>
              </w:rPr>
              <w:t>自动扫描和识别数据中的敏感信息（如患者姓名、身份证号、病历号等）；</w:t>
            </w:r>
          </w:p>
        </w:tc>
      </w:tr>
      <w:tr w14:paraId="174449A8">
        <w:tblPrEx>
          <w:tblCellMar>
            <w:top w:w="0" w:type="dxa"/>
            <w:left w:w="108" w:type="dxa"/>
            <w:bottom w:w="0" w:type="dxa"/>
            <w:right w:w="108" w:type="dxa"/>
          </w:tblCellMar>
        </w:tblPrEx>
        <w:trPr>
          <w:trHeight w:val="23" w:hRule="atLeast"/>
        </w:trPr>
        <w:tc>
          <w:tcPr>
            <w:tcW w:w="568" w:type="dxa"/>
            <w:tcBorders>
              <w:top w:val="nil"/>
              <w:left w:val="single" w:color="000000" w:sz="8" w:space="0"/>
              <w:bottom w:val="single" w:color="000000" w:sz="8" w:space="0"/>
              <w:right w:val="single" w:color="000000" w:sz="8" w:space="0"/>
            </w:tcBorders>
            <w:noWrap/>
            <w:vAlign w:val="center"/>
          </w:tcPr>
          <w:p w14:paraId="2D11BD34">
            <w:pPr>
              <w:ind w:left="0" w:leftChars="0" w:firstLine="0" w:firstLineChars="0"/>
              <w:rPr>
                <w:lang w:bidi="ar"/>
              </w:rPr>
            </w:pPr>
            <w:r>
              <w:rPr>
                <w:rFonts w:hint="eastAsia"/>
                <w:lang w:bidi="ar"/>
              </w:rPr>
              <w:t>8</w:t>
            </w:r>
          </w:p>
        </w:tc>
        <w:tc>
          <w:tcPr>
            <w:tcW w:w="1230" w:type="dxa"/>
            <w:vMerge w:val="continue"/>
            <w:tcBorders>
              <w:top w:val="nil"/>
              <w:left w:val="single" w:color="000000" w:sz="8" w:space="0"/>
              <w:bottom w:val="single" w:color="000000" w:sz="8" w:space="0"/>
              <w:right w:val="single" w:color="000000" w:sz="8" w:space="0"/>
            </w:tcBorders>
            <w:vAlign w:val="center"/>
          </w:tcPr>
          <w:p w14:paraId="1C9430A9">
            <w:pPr>
              <w:ind w:left="0" w:leftChars="0" w:firstLine="0" w:firstLineChars="0"/>
              <w:rPr>
                <w:lang w:bidi="ar"/>
              </w:rPr>
            </w:pPr>
          </w:p>
        </w:tc>
        <w:tc>
          <w:tcPr>
            <w:tcW w:w="697" w:type="dxa"/>
            <w:vMerge w:val="continue"/>
            <w:tcBorders>
              <w:top w:val="nil"/>
              <w:left w:val="single" w:color="000000" w:sz="8" w:space="0"/>
              <w:bottom w:val="single" w:color="000000" w:sz="8" w:space="0"/>
              <w:right w:val="single" w:color="000000" w:sz="8" w:space="0"/>
            </w:tcBorders>
            <w:vAlign w:val="center"/>
          </w:tcPr>
          <w:p w14:paraId="7C1B82C8">
            <w:pPr>
              <w:ind w:left="0" w:leftChars="0" w:firstLine="0" w:firstLineChars="0"/>
              <w:rPr>
                <w:lang w:bidi="ar"/>
              </w:rPr>
            </w:pPr>
          </w:p>
        </w:tc>
        <w:tc>
          <w:tcPr>
            <w:tcW w:w="5605" w:type="dxa"/>
            <w:tcBorders>
              <w:top w:val="nil"/>
              <w:left w:val="single" w:color="000000" w:sz="8" w:space="0"/>
              <w:bottom w:val="single" w:color="000000" w:sz="8" w:space="0"/>
              <w:right w:val="single" w:color="000000" w:sz="8" w:space="0"/>
            </w:tcBorders>
            <w:vAlign w:val="center"/>
          </w:tcPr>
          <w:p w14:paraId="4675261F">
            <w:pPr>
              <w:ind w:left="0" w:leftChars="0" w:firstLine="0" w:firstLineChars="0"/>
              <w:rPr>
                <w:lang w:bidi="ar"/>
              </w:rPr>
            </w:pPr>
            <w:r>
              <w:rPr>
                <w:rFonts w:hint="eastAsia"/>
                <w:lang w:bidi="ar"/>
              </w:rPr>
              <w:t>提供静态和动态数据脱敏能力，在数据使用过程中保护患者隐私。全面提供质量问题清单管理，完整覆盖问题查看、整改、通知全生命周期，灵活支持问题类型自定义扩展，有效满足企业质量问题的闭环管控需求；</w:t>
            </w:r>
          </w:p>
        </w:tc>
      </w:tr>
      <w:tr w14:paraId="0F826862">
        <w:tblPrEx>
          <w:tblCellMar>
            <w:top w:w="0" w:type="dxa"/>
            <w:left w:w="108" w:type="dxa"/>
            <w:bottom w:w="0" w:type="dxa"/>
            <w:right w:w="108" w:type="dxa"/>
          </w:tblCellMar>
        </w:tblPrEx>
        <w:trPr>
          <w:trHeight w:val="23" w:hRule="atLeast"/>
        </w:trPr>
        <w:tc>
          <w:tcPr>
            <w:tcW w:w="568" w:type="dxa"/>
            <w:tcBorders>
              <w:top w:val="nil"/>
              <w:left w:val="single" w:color="000000" w:sz="8" w:space="0"/>
              <w:bottom w:val="single" w:color="000000" w:sz="8" w:space="0"/>
              <w:right w:val="single" w:color="000000" w:sz="8" w:space="0"/>
            </w:tcBorders>
            <w:noWrap/>
            <w:vAlign w:val="center"/>
          </w:tcPr>
          <w:p w14:paraId="31CA7611">
            <w:pPr>
              <w:ind w:left="0" w:leftChars="0" w:firstLine="0" w:firstLineChars="0"/>
              <w:rPr>
                <w:lang w:bidi="ar"/>
              </w:rPr>
            </w:pPr>
            <w:r>
              <w:rPr>
                <w:rFonts w:hint="eastAsia"/>
                <w:lang w:bidi="ar"/>
              </w:rPr>
              <w:t>9</w:t>
            </w:r>
          </w:p>
        </w:tc>
        <w:tc>
          <w:tcPr>
            <w:tcW w:w="1230" w:type="dxa"/>
            <w:vMerge w:val="continue"/>
            <w:tcBorders>
              <w:top w:val="nil"/>
              <w:left w:val="single" w:color="000000" w:sz="8" w:space="0"/>
              <w:bottom w:val="single" w:color="000000" w:sz="8" w:space="0"/>
              <w:right w:val="single" w:color="000000" w:sz="8" w:space="0"/>
            </w:tcBorders>
            <w:vAlign w:val="center"/>
          </w:tcPr>
          <w:p w14:paraId="3F204151">
            <w:pPr>
              <w:ind w:left="0" w:leftChars="0" w:firstLine="0" w:firstLineChars="0"/>
              <w:rPr>
                <w:lang w:bidi="ar"/>
              </w:rPr>
            </w:pPr>
          </w:p>
        </w:tc>
        <w:tc>
          <w:tcPr>
            <w:tcW w:w="697" w:type="dxa"/>
            <w:vMerge w:val="continue"/>
            <w:tcBorders>
              <w:top w:val="nil"/>
              <w:left w:val="single" w:color="000000" w:sz="8" w:space="0"/>
              <w:bottom w:val="single" w:color="000000" w:sz="8" w:space="0"/>
              <w:right w:val="single" w:color="000000" w:sz="8" w:space="0"/>
            </w:tcBorders>
            <w:vAlign w:val="center"/>
          </w:tcPr>
          <w:p w14:paraId="5376A3C8">
            <w:pPr>
              <w:ind w:left="0" w:leftChars="0" w:firstLine="0" w:firstLineChars="0"/>
              <w:rPr>
                <w:lang w:bidi="ar"/>
              </w:rPr>
            </w:pPr>
          </w:p>
        </w:tc>
        <w:tc>
          <w:tcPr>
            <w:tcW w:w="5605" w:type="dxa"/>
            <w:tcBorders>
              <w:top w:val="nil"/>
              <w:left w:val="single" w:color="000000" w:sz="8" w:space="0"/>
              <w:bottom w:val="single" w:color="000000" w:sz="8" w:space="0"/>
              <w:right w:val="single" w:color="000000" w:sz="8" w:space="0"/>
            </w:tcBorders>
            <w:vAlign w:val="center"/>
          </w:tcPr>
          <w:p w14:paraId="097603F4">
            <w:pPr>
              <w:ind w:left="0" w:leftChars="0" w:firstLine="0" w:firstLineChars="0"/>
              <w:rPr>
                <w:lang w:bidi="ar"/>
              </w:rPr>
            </w:pPr>
            <w:r>
              <w:rPr>
                <w:rFonts w:hint="eastAsia"/>
                <w:lang w:bidi="ar"/>
              </w:rPr>
              <w:t>灵活支持识别任务定时与实时双模式扫描，便捷配置执行策略与扫描范围，自动完成新增数据的实时识别与打标，有效实现数据安全的动态感知与自动化管控；</w:t>
            </w:r>
          </w:p>
        </w:tc>
      </w:tr>
      <w:tr w14:paraId="0F0C9A39">
        <w:tblPrEx>
          <w:tblCellMar>
            <w:top w:w="0" w:type="dxa"/>
            <w:left w:w="108" w:type="dxa"/>
            <w:bottom w:w="0" w:type="dxa"/>
            <w:right w:w="108" w:type="dxa"/>
          </w:tblCellMar>
        </w:tblPrEx>
        <w:trPr>
          <w:trHeight w:val="23" w:hRule="atLeast"/>
        </w:trPr>
        <w:tc>
          <w:tcPr>
            <w:tcW w:w="568" w:type="dxa"/>
            <w:tcBorders>
              <w:top w:val="nil"/>
              <w:left w:val="single" w:color="000000" w:sz="8" w:space="0"/>
              <w:bottom w:val="single" w:color="000000" w:sz="8" w:space="0"/>
              <w:right w:val="single" w:color="000000" w:sz="8" w:space="0"/>
            </w:tcBorders>
            <w:noWrap/>
            <w:vAlign w:val="center"/>
          </w:tcPr>
          <w:p w14:paraId="18EB28AF">
            <w:pPr>
              <w:ind w:left="0" w:leftChars="0" w:firstLine="0" w:firstLineChars="0"/>
              <w:rPr>
                <w:lang w:bidi="ar"/>
              </w:rPr>
            </w:pPr>
            <w:r>
              <w:rPr>
                <w:rFonts w:hint="eastAsia"/>
                <w:lang w:bidi="ar"/>
              </w:rPr>
              <w:t>10</w:t>
            </w:r>
          </w:p>
        </w:tc>
        <w:tc>
          <w:tcPr>
            <w:tcW w:w="1230" w:type="dxa"/>
            <w:vMerge w:val="continue"/>
            <w:tcBorders>
              <w:top w:val="nil"/>
              <w:left w:val="single" w:color="000000" w:sz="8" w:space="0"/>
              <w:bottom w:val="single" w:color="000000" w:sz="8" w:space="0"/>
              <w:right w:val="single" w:color="000000" w:sz="8" w:space="0"/>
            </w:tcBorders>
            <w:vAlign w:val="center"/>
          </w:tcPr>
          <w:p w14:paraId="10847414">
            <w:pPr>
              <w:ind w:left="0" w:leftChars="0" w:firstLine="0" w:firstLineChars="0"/>
              <w:rPr>
                <w:lang w:bidi="ar"/>
              </w:rPr>
            </w:pPr>
          </w:p>
        </w:tc>
        <w:tc>
          <w:tcPr>
            <w:tcW w:w="697" w:type="dxa"/>
            <w:vMerge w:val="continue"/>
            <w:tcBorders>
              <w:top w:val="nil"/>
              <w:left w:val="single" w:color="000000" w:sz="8" w:space="0"/>
              <w:bottom w:val="single" w:color="000000" w:sz="8" w:space="0"/>
              <w:right w:val="single" w:color="000000" w:sz="8" w:space="0"/>
            </w:tcBorders>
            <w:vAlign w:val="center"/>
          </w:tcPr>
          <w:p w14:paraId="4465E713">
            <w:pPr>
              <w:ind w:left="0" w:leftChars="0" w:firstLine="0" w:firstLineChars="0"/>
              <w:rPr>
                <w:lang w:bidi="ar"/>
              </w:rPr>
            </w:pPr>
          </w:p>
        </w:tc>
        <w:tc>
          <w:tcPr>
            <w:tcW w:w="5605" w:type="dxa"/>
            <w:tcBorders>
              <w:top w:val="nil"/>
              <w:left w:val="single" w:color="000000" w:sz="8" w:space="0"/>
              <w:bottom w:val="single" w:color="000000" w:sz="8" w:space="0"/>
              <w:right w:val="single" w:color="000000" w:sz="8" w:space="0"/>
            </w:tcBorders>
            <w:vAlign w:val="center"/>
          </w:tcPr>
          <w:p w14:paraId="145EAC81">
            <w:pPr>
              <w:ind w:left="0" w:leftChars="0" w:firstLine="0" w:firstLineChars="0"/>
              <w:rPr>
                <w:lang w:bidi="ar"/>
              </w:rPr>
            </w:pPr>
            <w:r>
              <w:rPr>
                <w:rFonts w:hint="eastAsia"/>
                <w:lang w:bidi="ar"/>
              </w:rPr>
              <w:t>完整支持密钥的创建、轮换、停用、销毁全生命周期管理，精细化控制密钥使用权限与可见范围，有效实现密钥安全管控与分级授权机制；内置丰富常用的数据识别特征模板，灵活支持自定义特征全生命周期管理，便捷扩充行业定制特征，有效驱动敏感数据的智能识别与分类管控</w:t>
            </w:r>
          </w:p>
        </w:tc>
      </w:tr>
      <w:tr w14:paraId="0A2F181F">
        <w:tblPrEx>
          <w:tblCellMar>
            <w:top w:w="0" w:type="dxa"/>
            <w:left w:w="108" w:type="dxa"/>
            <w:bottom w:w="0" w:type="dxa"/>
            <w:right w:w="108" w:type="dxa"/>
          </w:tblCellMar>
        </w:tblPrEx>
        <w:trPr>
          <w:trHeight w:val="23" w:hRule="atLeast"/>
        </w:trPr>
        <w:tc>
          <w:tcPr>
            <w:tcW w:w="568" w:type="dxa"/>
            <w:tcBorders>
              <w:top w:val="nil"/>
              <w:left w:val="single" w:color="000000" w:sz="8" w:space="0"/>
              <w:bottom w:val="single" w:color="000000" w:sz="8" w:space="0"/>
              <w:right w:val="single" w:color="000000" w:sz="8" w:space="0"/>
            </w:tcBorders>
            <w:noWrap/>
            <w:vAlign w:val="center"/>
          </w:tcPr>
          <w:p w14:paraId="71852983">
            <w:pPr>
              <w:ind w:left="0" w:leftChars="0" w:firstLine="0" w:firstLineChars="0"/>
              <w:rPr>
                <w:lang w:bidi="ar"/>
              </w:rPr>
            </w:pPr>
            <w:r>
              <w:rPr>
                <w:rFonts w:hint="eastAsia"/>
                <w:lang w:bidi="ar"/>
              </w:rPr>
              <w:t>11</w:t>
            </w:r>
          </w:p>
        </w:tc>
        <w:tc>
          <w:tcPr>
            <w:tcW w:w="1230" w:type="dxa"/>
            <w:vMerge w:val="restart"/>
            <w:tcBorders>
              <w:top w:val="nil"/>
              <w:left w:val="single" w:color="000000" w:sz="8" w:space="0"/>
              <w:bottom w:val="single" w:color="000000" w:sz="8" w:space="0"/>
              <w:right w:val="single" w:color="000000" w:sz="8" w:space="0"/>
            </w:tcBorders>
            <w:vAlign w:val="center"/>
          </w:tcPr>
          <w:p w14:paraId="1C967842">
            <w:pPr>
              <w:ind w:left="0" w:leftChars="0" w:firstLine="0" w:firstLineChars="0"/>
              <w:rPr>
                <w:lang w:bidi="ar"/>
              </w:rPr>
            </w:pPr>
            <w:r>
              <w:rPr>
                <w:rFonts w:hint="eastAsia"/>
                <w:lang w:bidi="ar"/>
              </w:rPr>
              <w:t>医疗多源异构数据目录</w:t>
            </w:r>
          </w:p>
        </w:tc>
        <w:tc>
          <w:tcPr>
            <w:tcW w:w="697" w:type="dxa"/>
            <w:tcBorders>
              <w:top w:val="nil"/>
              <w:left w:val="single" w:color="000000" w:sz="8" w:space="0"/>
              <w:bottom w:val="single" w:color="000000" w:sz="8" w:space="0"/>
              <w:right w:val="single" w:color="000000" w:sz="8" w:space="0"/>
            </w:tcBorders>
            <w:vAlign w:val="center"/>
          </w:tcPr>
          <w:p w14:paraId="53904495">
            <w:pPr>
              <w:ind w:left="0" w:leftChars="0" w:firstLine="0" w:firstLineChars="0"/>
              <w:rPr>
                <w:lang w:bidi="ar"/>
              </w:rPr>
            </w:pPr>
            <w:r>
              <w:rPr>
                <w:rFonts w:hint="eastAsia"/>
                <w:lang w:bidi="ar"/>
              </w:rPr>
              <w:t>医疗资产目录管理</w:t>
            </w:r>
          </w:p>
        </w:tc>
        <w:tc>
          <w:tcPr>
            <w:tcW w:w="5605" w:type="dxa"/>
            <w:tcBorders>
              <w:top w:val="nil"/>
              <w:left w:val="single" w:color="000000" w:sz="8" w:space="0"/>
              <w:bottom w:val="single" w:color="000000" w:sz="8" w:space="0"/>
              <w:right w:val="single" w:color="000000" w:sz="8" w:space="0"/>
            </w:tcBorders>
            <w:vAlign w:val="center"/>
          </w:tcPr>
          <w:p w14:paraId="60A3E257">
            <w:pPr>
              <w:ind w:left="0" w:leftChars="0" w:firstLine="0" w:firstLineChars="0"/>
              <w:rPr>
                <w:lang w:bidi="ar"/>
              </w:rPr>
            </w:pPr>
            <w:r>
              <w:rPr>
                <w:rFonts w:hint="eastAsia"/>
                <w:lang w:bidi="ar"/>
              </w:rPr>
              <w:t>支持医疗数据资产目录的按需定义，可按照数据分类、数据来源、数据业务等不同的维度；支持业务人员为数据资产打上业务标签（如“心血管”、“检验指标”、“门诊”等），便于业务理解。灵活支持资产目录多级编目，精细管控发布审批与上下架流程，便捷实现 Excel 批量操作与导入导出，高效支撑多人协同编辑，有效提升资产管理效率；灵活支持按资产范围圈选审批规则，分别配置上架与下架的审批模板，支持规则排序确定优先级，未命中规则则免审批，有效满足资产发布的规范化审批管控</w:t>
            </w:r>
          </w:p>
        </w:tc>
      </w:tr>
      <w:tr w14:paraId="30AD5A3D">
        <w:tblPrEx>
          <w:tblCellMar>
            <w:top w:w="0" w:type="dxa"/>
            <w:left w:w="108" w:type="dxa"/>
            <w:bottom w:w="0" w:type="dxa"/>
            <w:right w:w="108" w:type="dxa"/>
          </w:tblCellMar>
        </w:tblPrEx>
        <w:trPr>
          <w:trHeight w:val="23" w:hRule="atLeast"/>
        </w:trPr>
        <w:tc>
          <w:tcPr>
            <w:tcW w:w="568" w:type="dxa"/>
            <w:tcBorders>
              <w:top w:val="nil"/>
              <w:left w:val="single" w:color="000000" w:sz="8" w:space="0"/>
              <w:bottom w:val="single" w:color="000000" w:sz="8" w:space="0"/>
              <w:right w:val="single" w:color="000000" w:sz="8" w:space="0"/>
            </w:tcBorders>
            <w:noWrap/>
            <w:vAlign w:val="center"/>
          </w:tcPr>
          <w:p w14:paraId="4BBD220C">
            <w:pPr>
              <w:ind w:left="0" w:leftChars="0" w:firstLine="0" w:firstLineChars="0"/>
              <w:rPr>
                <w:lang w:bidi="ar"/>
              </w:rPr>
            </w:pPr>
            <w:r>
              <w:rPr>
                <w:rFonts w:hint="eastAsia"/>
                <w:lang w:bidi="ar"/>
              </w:rPr>
              <w:t>12</w:t>
            </w:r>
          </w:p>
        </w:tc>
        <w:tc>
          <w:tcPr>
            <w:tcW w:w="1230" w:type="dxa"/>
            <w:vMerge w:val="continue"/>
            <w:tcBorders>
              <w:top w:val="nil"/>
              <w:left w:val="single" w:color="000000" w:sz="8" w:space="0"/>
              <w:bottom w:val="single" w:color="000000" w:sz="8" w:space="0"/>
              <w:right w:val="single" w:color="000000" w:sz="8" w:space="0"/>
            </w:tcBorders>
            <w:vAlign w:val="center"/>
          </w:tcPr>
          <w:p w14:paraId="31CFF675">
            <w:pPr>
              <w:ind w:left="0" w:leftChars="0" w:firstLine="0" w:firstLineChars="0"/>
              <w:rPr>
                <w:lang w:bidi="ar"/>
              </w:rPr>
            </w:pPr>
          </w:p>
        </w:tc>
        <w:tc>
          <w:tcPr>
            <w:tcW w:w="697" w:type="dxa"/>
            <w:tcBorders>
              <w:top w:val="nil"/>
              <w:left w:val="single" w:color="000000" w:sz="8" w:space="0"/>
              <w:bottom w:val="single" w:color="000000" w:sz="8" w:space="0"/>
              <w:right w:val="single" w:color="000000" w:sz="8" w:space="0"/>
            </w:tcBorders>
            <w:vAlign w:val="center"/>
          </w:tcPr>
          <w:p w14:paraId="122EC704">
            <w:pPr>
              <w:ind w:left="0" w:leftChars="0" w:firstLine="0" w:firstLineChars="0"/>
              <w:rPr>
                <w:lang w:bidi="ar"/>
              </w:rPr>
            </w:pPr>
            <w:r>
              <w:rPr>
                <w:rFonts w:hint="eastAsia"/>
                <w:lang w:bidi="ar"/>
              </w:rPr>
              <w:t>医疗资产目录服务</w:t>
            </w:r>
          </w:p>
        </w:tc>
        <w:tc>
          <w:tcPr>
            <w:tcW w:w="5605" w:type="dxa"/>
            <w:tcBorders>
              <w:top w:val="nil"/>
              <w:left w:val="single" w:color="000000" w:sz="8" w:space="0"/>
              <w:bottom w:val="single" w:color="000000" w:sz="8" w:space="0"/>
              <w:right w:val="single" w:color="000000" w:sz="8" w:space="0"/>
            </w:tcBorders>
            <w:vAlign w:val="center"/>
          </w:tcPr>
          <w:p w14:paraId="27959622">
            <w:pPr>
              <w:ind w:left="0" w:leftChars="0" w:firstLine="0" w:firstLineChars="0"/>
              <w:rPr>
                <w:lang w:bidi="ar"/>
              </w:rPr>
            </w:pPr>
            <w:r>
              <w:rPr>
                <w:rFonts w:hint="eastAsia"/>
                <w:lang w:bidi="ar"/>
              </w:rPr>
              <w:t>提供强大的全文检索能力，用户可通过关键词、数据标签、数据来源等多种方式快速定位所需数据资产；分类导航 按照预设的分类体系（如按科室、按数据类型、按主题域）对数据资产进行导航。</w:t>
            </w:r>
          </w:p>
        </w:tc>
      </w:tr>
      <w:tr w14:paraId="21943AC8">
        <w:tblPrEx>
          <w:tblCellMar>
            <w:top w:w="0" w:type="dxa"/>
            <w:left w:w="108" w:type="dxa"/>
            <w:bottom w:w="0" w:type="dxa"/>
            <w:right w:w="108" w:type="dxa"/>
          </w:tblCellMar>
        </w:tblPrEx>
        <w:trPr>
          <w:trHeight w:val="23" w:hRule="atLeast"/>
        </w:trPr>
        <w:tc>
          <w:tcPr>
            <w:tcW w:w="568" w:type="dxa"/>
            <w:tcBorders>
              <w:top w:val="nil"/>
              <w:left w:val="single" w:color="000000" w:sz="8" w:space="0"/>
              <w:bottom w:val="single" w:color="000000" w:sz="8" w:space="0"/>
              <w:right w:val="single" w:color="000000" w:sz="8" w:space="0"/>
            </w:tcBorders>
            <w:noWrap/>
            <w:vAlign w:val="center"/>
          </w:tcPr>
          <w:p w14:paraId="056B9F5E">
            <w:pPr>
              <w:ind w:left="0" w:leftChars="0" w:firstLine="0" w:firstLineChars="0"/>
              <w:rPr>
                <w:lang w:bidi="ar"/>
              </w:rPr>
            </w:pPr>
            <w:r>
              <w:rPr>
                <w:rFonts w:hint="eastAsia"/>
                <w:lang w:bidi="ar"/>
              </w:rPr>
              <w:t>13</w:t>
            </w:r>
          </w:p>
        </w:tc>
        <w:tc>
          <w:tcPr>
            <w:tcW w:w="1230" w:type="dxa"/>
            <w:vMerge w:val="restart"/>
            <w:tcBorders>
              <w:top w:val="nil"/>
              <w:left w:val="single" w:color="000000" w:sz="8" w:space="0"/>
              <w:bottom w:val="single" w:color="000000" w:sz="8" w:space="0"/>
              <w:right w:val="single" w:color="000000" w:sz="8" w:space="0"/>
            </w:tcBorders>
            <w:vAlign w:val="center"/>
          </w:tcPr>
          <w:p w14:paraId="0CCD9E63">
            <w:pPr>
              <w:ind w:left="0" w:leftChars="0" w:firstLine="0" w:firstLineChars="0"/>
              <w:rPr>
                <w:lang w:bidi="ar"/>
              </w:rPr>
            </w:pPr>
            <w:r>
              <w:rPr>
                <w:rFonts w:hint="eastAsia"/>
                <w:lang w:bidi="ar"/>
              </w:rPr>
              <w:t>医疗多源异构数据检索</w:t>
            </w:r>
          </w:p>
        </w:tc>
        <w:tc>
          <w:tcPr>
            <w:tcW w:w="697" w:type="dxa"/>
            <w:tcBorders>
              <w:top w:val="nil"/>
              <w:left w:val="single" w:color="000000" w:sz="8" w:space="0"/>
              <w:bottom w:val="single" w:color="000000" w:sz="8" w:space="0"/>
              <w:right w:val="single" w:color="000000" w:sz="8" w:space="0"/>
            </w:tcBorders>
            <w:vAlign w:val="center"/>
          </w:tcPr>
          <w:p w14:paraId="4741E926">
            <w:pPr>
              <w:ind w:left="0" w:leftChars="0" w:firstLine="0" w:firstLineChars="0"/>
              <w:rPr>
                <w:lang w:bidi="ar"/>
              </w:rPr>
            </w:pPr>
            <w:r>
              <w:rPr>
                <w:rFonts w:hint="eastAsia"/>
                <w:lang w:bidi="ar"/>
              </w:rPr>
              <w:t>综合查询</w:t>
            </w:r>
          </w:p>
        </w:tc>
        <w:tc>
          <w:tcPr>
            <w:tcW w:w="5605" w:type="dxa"/>
            <w:tcBorders>
              <w:top w:val="nil"/>
              <w:left w:val="single" w:color="000000" w:sz="8" w:space="0"/>
              <w:bottom w:val="single" w:color="000000" w:sz="8" w:space="0"/>
              <w:right w:val="single" w:color="000000" w:sz="8" w:space="0"/>
            </w:tcBorders>
            <w:vAlign w:val="center"/>
          </w:tcPr>
          <w:p w14:paraId="469A1E96">
            <w:pPr>
              <w:ind w:left="0" w:leftChars="0" w:firstLine="0" w:firstLineChars="0"/>
              <w:rPr>
                <w:lang w:bidi="ar"/>
              </w:rPr>
            </w:pPr>
            <w:r>
              <w:rPr>
                <w:rFonts w:hint="eastAsia"/>
                <w:lang w:bidi="ar"/>
              </w:rPr>
              <w:t>SQL查询技术人员提供SQL查询界面，直接对底层数据进行探索和分析；支持查询结果数据可视化，包括折线图、条形图、柱状图和饼图。</w:t>
            </w:r>
          </w:p>
        </w:tc>
      </w:tr>
      <w:tr w14:paraId="3B97F336">
        <w:tblPrEx>
          <w:tblCellMar>
            <w:top w:w="0" w:type="dxa"/>
            <w:left w:w="108" w:type="dxa"/>
            <w:bottom w:w="0" w:type="dxa"/>
            <w:right w:w="108" w:type="dxa"/>
          </w:tblCellMar>
        </w:tblPrEx>
        <w:trPr>
          <w:trHeight w:val="23" w:hRule="atLeast"/>
        </w:trPr>
        <w:tc>
          <w:tcPr>
            <w:tcW w:w="568" w:type="dxa"/>
            <w:tcBorders>
              <w:top w:val="nil"/>
              <w:left w:val="single" w:color="000000" w:sz="8" w:space="0"/>
              <w:bottom w:val="single" w:color="000000" w:sz="8" w:space="0"/>
              <w:right w:val="single" w:color="000000" w:sz="8" w:space="0"/>
            </w:tcBorders>
            <w:noWrap/>
            <w:vAlign w:val="center"/>
          </w:tcPr>
          <w:p w14:paraId="4E9FDFC6">
            <w:pPr>
              <w:ind w:left="0" w:leftChars="0" w:firstLine="0" w:firstLineChars="0"/>
              <w:rPr>
                <w:lang w:bidi="ar"/>
              </w:rPr>
            </w:pPr>
            <w:r>
              <w:rPr>
                <w:rFonts w:hint="eastAsia"/>
                <w:lang w:bidi="ar"/>
              </w:rPr>
              <w:t>14</w:t>
            </w:r>
          </w:p>
        </w:tc>
        <w:tc>
          <w:tcPr>
            <w:tcW w:w="1230" w:type="dxa"/>
            <w:vMerge w:val="continue"/>
            <w:tcBorders>
              <w:top w:val="nil"/>
              <w:left w:val="single" w:color="000000" w:sz="8" w:space="0"/>
              <w:bottom w:val="single" w:color="000000" w:sz="8" w:space="0"/>
              <w:right w:val="single" w:color="000000" w:sz="8" w:space="0"/>
            </w:tcBorders>
            <w:vAlign w:val="center"/>
          </w:tcPr>
          <w:p w14:paraId="665895F4">
            <w:pPr>
              <w:ind w:left="0" w:leftChars="0" w:firstLine="0" w:firstLineChars="0"/>
              <w:rPr>
                <w:lang w:bidi="ar"/>
              </w:rPr>
            </w:pPr>
          </w:p>
        </w:tc>
        <w:tc>
          <w:tcPr>
            <w:tcW w:w="697" w:type="dxa"/>
            <w:tcBorders>
              <w:top w:val="nil"/>
              <w:left w:val="single" w:color="000000" w:sz="8" w:space="0"/>
              <w:bottom w:val="single" w:color="000000" w:sz="8" w:space="0"/>
              <w:right w:val="single" w:color="000000" w:sz="8" w:space="0"/>
            </w:tcBorders>
            <w:vAlign w:val="center"/>
          </w:tcPr>
          <w:p w14:paraId="6F7DA879">
            <w:pPr>
              <w:ind w:left="0" w:leftChars="0" w:firstLine="0" w:firstLineChars="0"/>
              <w:rPr>
                <w:lang w:bidi="ar"/>
              </w:rPr>
            </w:pPr>
            <w:r>
              <w:rPr>
                <w:rFonts w:hint="eastAsia"/>
                <w:lang w:bidi="ar"/>
              </w:rPr>
              <w:t>结果预览导出</w:t>
            </w:r>
          </w:p>
        </w:tc>
        <w:tc>
          <w:tcPr>
            <w:tcW w:w="5605" w:type="dxa"/>
            <w:tcBorders>
              <w:top w:val="nil"/>
              <w:left w:val="single" w:color="000000" w:sz="8" w:space="0"/>
              <w:bottom w:val="single" w:color="000000" w:sz="8" w:space="0"/>
              <w:right w:val="single" w:color="000000" w:sz="8" w:space="0"/>
            </w:tcBorders>
            <w:vAlign w:val="center"/>
          </w:tcPr>
          <w:p w14:paraId="42B52D4E">
            <w:pPr>
              <w:ind w:left="0" w:leftChars="0" w:firstLine="0" w:firstLineChars="0"/>
              <w:rPr>
                <w:lang w:bidi="ar"/>
              </w:rPr>
            </w:pPr>
            <w:r>
              <w:rPr>
                <w:rFonts w:hint="eastAsia"/>
                <w:lang w:bidi="ar"/>
              </w:rPr>
              <w:t>在查询结果返回前，支持对样例数据进行快速预览；支持将查询结果导出为CSV、Excel等格式，供线下分析使用。</w:t>
            </w:r>
          </w:p>
        </w:tc>
      </w:tr>
      <w:tr w14:paraId="6EE03FA4">
        <w:tblPrEx>
          <w:tblCellMar>
            <w:top w:w="0" w:type="dxa"/>
            <w:left w:w="108" w:type="dxa"/>
            <w:bottom w:w="0" w:type="dxa"/>
            <w:right w:w="108" w:type="dxa"/>
          </w:tblCellMar>
        </w:tblPrEx>
        <w:trPr>
          <w:trHeight w:val="23" w:hRule="atLeast"/>
        </w:trPr>
        <w:tc>
          <w:tcPr>
            <w:tcW w:w="568" w:type="dxa"/>
            <w:tcBorders>
              <w:top w:val="nil"/>
              <w:left w:val="single" w:color="000000" w:sz="8" w:space="0"/>
              <w:bottom w:val="single" w:color="000000" w:sz="8" w:space="0"/>
              <w:right w:val="single" w:color="000000" w:sz="8" w:space="0"/>
            </w:tcBorders>
            <w:noWrap/>
            <w:vAlign w:val="center"/>
          </w:tcPr>
          <w:p w14:paraId="4F5A2B58">
            <w:pPr>
              <w:ind w:left="0" w:leftChars="0" w:firstLine="0" w:firstLineChars="0"/>
              <w:rPr>
                <w:lang w:bidi="ar"/>
              </w:rPr>
            </w:pPr>
            <w:r>
              <w:rPr>
                <w:rFonts w:hint="eastAsia"/>
                <w:lang w:bidi="ar"/>
              </w:rPr>
              <w:t>15</w:t>
            </w:r>
          </w:p>
        </w:tc>
        <w:tc>
          <w:tcPr>
            <w:tcW w:w="1230" w:type="dxa"/>
            <w:vMerge w:val="restart"/>
            <w:tcBorders>
              <w:top w:val="nil"/>
              <w:left w:val="single" w:color="000000" w:sz="8" w:space="0"/>
              <w:bottom w:val="single" w:color="000000" w:sz="8" w:space="0"/>
              <w:right w:val="single" w:color="000000" w:sz="8" w:space="0"/>
            </w:tcBorders>
            <w:vAlign w:val="center"/>
          </w:tcPr>
          <w:p w14:paraId="513DA8CF">
            <w:pPr>
              <w:ind w:left="0" w:leftChars="0" w:firstLine="0" w:firstLineChars="0"/>
              <w:rPr>
                <w:lang w:bidi="ar"/>
              </w:rPr>
            </w:pPr>
            <w:r>
              <w:rPr>
                <w:rFonts w:hint="eastAsia"/>
                <w:lang w:bidi="ar"/>
              </w:rPr>
              <w:t>医疗多源异构数据授权访问</w:t>
            </w:r>
          </w:p>
        </w:tc>
        <w:tc>
          <w:tcPr>
            <w:tcW w:w="697" w:type="dxa"/>
            <w:tcBorders>
              <w:top w:val="nil"/>
              <w:left w:val="single" w:color="000000" w:sz="8" w:space="0"/>
              <w:bottom w:val="single" w:color="000000" w:sz="8" w:space="0"/>
              <w:right w:val="single" w:color="000000" w:sz="8" w:space="0"/>
            </w:tcBorders>
            <w:vAlign w:val="center"/>
          </w:tcPr>
          <w:p w14:paraId="4581DEDF">
            <w:pPr>
              <w:ind w:left="0" w:leftChars="0" w:firstLine="0" w:firstLineChars="0"/>
              <w:rPr>
                <w:lang w:bidi="ar"/>
              </w:rPr>
            </w:pPr>
            <w:r>
              <w:rPr>
                <w:rFonts w:hint="eastAsia"/>
                <w:lang w:bidi="ar"/>
              </w:rPr>
              <w:t>访问控制</w:t>
            </w:r>
          </w:p>
        </w:tc>
        <w:tc>
          <w:tcPr>
            <w:tcW w:w="5605" w:type="dxa"/>
            <w:tcBorders>
              <w:top w:val="nil"/>
              <w:left w:val="single" w:color="000000" w:sz="8" w:space="0"/>
              <w:bottom w:val="single" w:color="000000" w:sz="8" w:space="0"/>
              <w:right w:val="single" w:color="000000" w:sz="8" w:space="0"/>
            </w:tcBorders>
            <w:vAlign w:val="center"/>
          </w:tcPr>
          <w:p w14:paraId="224FEA67">
            <w:pPr>
              <w:ind w:left="0" w:leftChars="0" w:firstLine="0" w:firstLineChars="0"/>
              <w:rPr>
                <w:lang w:bidi="ar"/>
              </w:rPr>
            </w:pPr>
            <w:r>
              <w:rPr>
                <w:rFonts w:hint="eastAsia"/>
                <w:lang w:bidi="ar"/>
              </w:rPr>
              <w:t>支持不同的数据需求方对数据进行申请使用，经授权审批后方可获得申请数据的查阅权限。</w:t>
            </w:r>
          </w:p>
        </w:tc>
      </w:tr>
      <w:tr w14:paraId="5083E6CF">
        <w:tblPrEx>
          <w:tblCellMar>
            <w:top w:w="0" w:type="dxa"/>
            <w:left w:w="108" w:type="dxa"/>
            <w:bottom w:w="0" w:type="dxa"/>
            <w:right w:w="108" w:type="dxa"/>
          </w:tblCellMar>
        </w:tblPrEx>
        <w:trPr>
          <w:trHeight w:val="23" w:hRule="atLeast"/>
        </w:trPr>
        <w:tc>
          <w:tcPr>
            <w:tcW w:w="568" w:type="dxa"/>
            <w:tcBorders>
              <w:top w:val="nil"/>
              <w:left w:val="single" w:color="000000" w:sz="8" w:space="0"/>
              <w:bottom w:val="single" w:color="000000" w:sz="8" w:space="0"/>
              <w:right w:val="single" w:color="000000" w:sz="8" w:space="0"/>
            </w:tcBorders>
            <w:noWrap/>
            <w:vAlign w:val="center"/>
          </w:tcPr>
          <w:p w14:paraId="2BF668B2">
            <w:pPr>
              <w:ind w:left="0" w:leftChars="0" w:firstLine="0" w:firstLineChars="0"/>
              <w:rPr>
                <w:lang w:bidi="ar"/>
              </w:rPr>
            </w:pPr>
            <w:r>
              <w:rPr>
                <w:rFonts w:hint="eastAsia"/>
                <w:lang w:bidi="ar"/>
              </w:rPr>
              <w:t>16</w:t>
            </w:r>
          </w:p>
        </w:tc>
        <w:tc>
          <w:tcPr>
            <w:tcW w:w="1230" w:type="dxa"/>
            <w:vMerge w:val="continue"/>
            <w:tcBorders>
              <w:top w:val="nil"/>
              <w:left w:val="single" w:color="000000" w:sz="8" w:space="0"/>
              <w:bottom w:val="single" w:color="000000" w:sz="8" w:space="0"/>
              <w:right w:val="single" w:color="000000" w:sz="8" w:space="0"/>
            </w:tcBorders>
            <w:vAlign w:val="center"/>
          </w:tcPr>
          <w:p w14:paraId="271B40B8">
            <w:pPr>
              <w:ind w:left="0" w:leftChars="0" w:firstLine="0" w:firstLineChars="0"/>
              <w:rPr>
                <w:lang w:bidi="ar"/>
              </w:rPr>
            </w:pPr>
          </w:p>
        </w:tc>
        <w:tc>
          <w:tcPr>
            <w:tcW w:w="697" w:type="dxa"/>
            <w:tcBorders>
              <w:top w:val="nil"/>
              <w:left w:val="single" w:color="000000" w:sz="8" w:space="0"/>
              <w:bottom w:val="single" w:color="000000" w:sz="8" w:space="0"/>
              <w:right w:val="single" w:color="000000" w:sz="8" w:space="0"/>
            </w:tcBorders>
            <w:vAlign w:val="center"/>
          </w:tcPr>
          <w:p w14:paraId="5B8E9454">
            <w:pPr>
              <w:ind w:left="0" w:leftChars="0" w:firstLine="0" w:firstLineChars="0"/>
              <w:rPr>
                <w:lang w:bidi="ar"/>
              </w:rPr>
            </w:pPr>
            <w:r>
              <w:rPr>
                <w:rFonts w:hint="eastAsia"/>
                <w:lang w:bidi="ar"/>
              </w:rPr>
              <w:t>审计追踪</w:t>
            </w:r>
          </w:p>
        </w:tc>
        <w:tc>
          <w:tcPr>
            <w:tcW w:w="5605" w:type="dxa"/>
            <w:tcBorders>
              <w:top w:val="nil"/>
              <w:left w:val="single" w:color="000000" w:sz="8" w:space="0"/>
              <w:bottom w:val="single" w:color="000000" w:sz="8" w:space="0"/>
              <w:right w:val="single" w:color="000000" w:sz="8" w:space="0"/>
            </w:tcBorders>
            <w:vAlign w:val="center"/>
          </w:tcPr>
          <w:p w14:paraId="07DD5148">
            <w:pPr>
              <w:ind w:left="0" w:leftChars="0" w:firstLine="0" w:firstLineChars="0"/>
              <w:rPr>
                <w:lang w:bidi="ar"/>
              </w:rPr>
            </w:pPr>
            <w:r>
              <w:rPr>
                <w:rFonts w:hint="eastAsia"/>
                <w:lang w:bidi="ar"/>
              </w:rPr>
              <w:t>详细记录所有用户对数据的访问、查询、导出等操作行为。</w:t>
            </w:r>
          </w:p>
        </w:tc>
      </w:tr>
    </w:tbl>
    <w:p w14:paraId="6F3A811E">
      <w:pPr>
        <w:rPr>
          <w:lang w:bidi="ar"/>
        </w:rPr>
      </w:pPr>
    </w:p>
    <w:p w14:paraId="327847A5">
      <w:pPr>
        <w:rPr>
          <w:kern w:val="0"/>
          <w:szCs w:val="18"/>
          <w:lang w:bidi="ar"/>
        </w:rPr>
      </w:pPr>
      <w:r>
        <w:rPr>
          <w:rFonts w:hint="eastAsia"/>
        </w:rPr>
        <w:t>智能体研发工具集</w:t>
      </w:r>
    </w:p>
    <w:tbl>
      <w:tblPr>
        <w:tblStyle w:val="7"/>
        <w:tblW w:w="8090"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838"/>
        <w:gridCol w:w="936"/>
        <w:gridCol w:w="5380"/>
      </w:tblGrid>
      <w:tr w14:paraId="790DD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4B61666C">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序号</w:t>
            </w:r>
          </w:p>
        </w:tc>
        <w:tc>
          <w:tcPr>
            <w:tcW w:w="838" w:type="dxa"/>
            <w:vAlign w:val="center"/>
          </w:tcPr>
          <w:p w14:paraId="72A3232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系统/设备名称</w:t>
            </w:r>
          </w:p>
        </w:tc>
        <w:tc>
          <w:tcPr>
            <w:tcW w:w="936" w:type="dxa"/>
            <w:vAlign w:val="center"/>
          </w:tcPr>
          <w:p w14:paraId="7787D0C0">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指标项</w:t>
            </w:r>
          </w:p>
        </w:tc>
        <w:tc>
          <w:tcPr>
            <w:tcW w:w="5380" w:type="dxa"/>
            <w:vAlign w:val="center"/>
          </w:tcPr>
          <w:p w14:paraId="30604A44">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参数要求</w:t>
            </w:r>
          </w:p>
        </w:tc>
      </w:tr>
      <w:tr w14:paraId="0A96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2313866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1</w:t>
            </w:r>
          </w:p>
        </w:tc>
        <w:tc>
          <w:tcPr>
            <w:tcW w:w="838" w:type="dxa"/>
            <w:vMerge w:val="restart"/>
            <w:vAlign w:val="center"/>
          </w:tcPr>
          <w:p w14:paraId="3F1713A0">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医疗智能体统一管理</w:t>
            </w:r>
          </w:p>
        </w:tc>
        <w:tc>
          <w:tcPr>
            <w:tcW w:w="936" w:type="dxa"/>
            <w:vMerge w:val="restart"/>
            <w:vAlign w:val="center"/>
          </w:tcPr>
          <w:p w14:paraId="7358B98A">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智能体生命周期管理</w:t>
            </w:r>
          </w:p>
        </w:tc>
        <w:tc>
          <w:tcPr>
            <w:tcW w:w="5380" w:type="dxa"/>
            <w:vAlign w:val="center"/>
          </w:tcPr>
          <w:p w14:paraId="2DD2C9DC">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创建、管理、删除 提供统一的界面，对平台上所有的医疗智能体（Agent）进行管理，并实时监控每个智能体的运行状态。</w:t>
            </w:r>
          </w:p>
        </w:tc>
      </w:tr>
      <w:tr w14:paraId="72A62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57E7C671">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2</w:t>
            </w:r>
          </w:p>
        </w:tc>
        <w:tc>
          <w:tcPr>
            <w:tcW w:w="838" w:type="dxa"/>
            <w:vMerge w:val="continue"/>
            <w:vAlign w:val="center"/>
          </w:tcPr>
          <w:p w14:paraId="71B4C13A">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936" w:type="dxa"/>
            <w:vMerge w:val="continue"/>
            <w:vAlign w:val="center"/>
          </w:tcPr>
          <w:p w14:paraId="3E65C8A7">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5380" w:type="dxa"/>
            <w:vAlign w:val="center"/>
          </w:tcPr>
          <w:p w14:paraId="61CF8ECD">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支持通过模板创建和自定义工作流编排两种模式创建智能体。</w:t>
            </w:r>
          </w:p>
        </w:tc>
      </w:tr>
      <w:tr w14:paraId="2FECC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6BA773C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3</w:t>
            </w:r>
          </w:p>
        </w:tc>
        <w:tc>
          <w:tcPr>
            <w:tcW w:w="838" w:type="dxa"/>
            <w:vMerge w:val="continue"/>
            <w:vAlign w:val="center"/>
          </w:tcPr>
          <w:p w14:paraId="1210C740">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936" w:type="dxa"/>
            <w:vMerge w:val="continue"/>
            <w:vAlign w:val="center"/>
          </w:tcPr>
          <w:p w14:paraId="28B899C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5380" w:type="dxa"/>
            <w:vAlign w:val="center"/>
          </w:tcPr>
          <w:p w14:paraId="4CF00B4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支持智能体的编辑、删除、搜索及版本的全生命周期管理（含版本创建、发布上线、下线、删除），已创建的智能体版本支持克隆至当前智能体或其他空间（可选择已有智能体或新建智能体）</w:t>
            </w:r>
          </w:p>
        </w:tc>
      </w:tr>
      <w:tr w14:paraId="23975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2928632F">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4</w:t>
            </w:r>
          </w:p>
        </w:tc>
        <w:tc>
          <w:tcPr>
            <w:tcW w:w="838" w:type="dxa"/>
            <w:vMerge w:val="continue"/>
            <w:vAlign w:val="center"/>
          </w:tcPr>
          <w:p w14:paraId="0D71CF7B">
            <w:pPr>
              <w:keepNext w:val="0"/>
              <w:keepLines w:val="0"/>
              <w:pageBreakBefore w:val="0"/>
              <w:widowControl w:val="0"/>
              <w:kinsoku/>
              <w:wordWrap/>
              <w:overflowPunct/>
              <w:topLinePunct w:val="0"/>
              <w:autoSpaceDE/>
              <w:autoSpaceDN/>
              <w:bidi w:val="0"/>
              <w:adjustRightInd/>
              <w:snapToGrid/>
              <w:textAlignment w:val="auto"/>
            </w:pPr>
          </w:p>
        </w:tc>
        <w:tc>
          <w:tcPr>
            <w:tcW w:w="936" w:type="dxa"/>
            <w:vMerge w:val="continue"/>
            <w:vAlign w:val="center"/>
          </w:tcPr>
          <w:p w14:paraId="62314725">
            <w:pPr>
              <w:keepNext w:val="0"/>
              <w:keepLines w:val="0"/>
              <w:pageBreakBefore w:val="0"/>
              <w:widowControl w:val="0"/>
              <w:kinsoku/>
              <w:wordWrap/>
              <w:overflowPunct/>
              <w:topLinePunct w:val="0"/>
              <w:autoSpaceDE/>
              <w:autoSpaceDN/>
              <w:bidi w:val="0"/>
              <w:adjustRightInd/>
              <w:snapToGrid/>
              <w:textAlignment w:val="auto"/>
            </w:pPr>
          </w:p>
        </w:tc>
        <w:tc>
          <w:tcPr>
            <w:tcW w:w="5380" w:type="dxa"/>
            <w:vAlign w:val="center"/>
          </w:tcPr>
          <w:p w14:paraId="17834FC1">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支持智能体版本的加密导入与导出，实现跨环境迁移</w:t>
            </w:r>
          </w:p>
        </w:tc>
      </w:tr>
      <w:tr w14:paraId="72508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7FB8577B">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5</w:t>
            </w:r>
          </w:p>
        </w:tc>
        <w:tc>
          <w:tcPr>
            <w:tcW w:w="838" w:type="dxa"/>
            <w:vMerge w:val="continue"/>
            <w:vAlign w:val="center"/>
          </w:tcPr>
          <w:p w14:paraId="5E01022B">
            <w:pPr>
              <w:keepNext w:val="0"/>
              <w:keepLines w:val="0"/>
              <w:pageBreakBefore w:val="0"/>
              <w:widowControl w:val="0"/>
              <w:kinsoku/>
              <w:wordWrap/>
              <w:overflowPunct/>
              <w:topLinePunct w:val="0"/>
              <w:autoSpaceDE/>
              <w:autoSpaceDN/>
              <w:bidi w:val="0"/>
              <w:adjustRightInd/>
              <w:snapToGrid/>
              <w:textAlignment w:val="auto"/>
            </w:pPr>
          </w:p>
        </w:tc>
        <w:tc>
          <w:tcPr>
            <w:tcW w:w="936" w:type="dxa"/>
            <w:vMerge w:val="restart"/>
            <w:vAlign w:val="center"/>
          </w:tcPr>
          <w:p w14:paraId="67BD0875">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智能体配置管理</w:t>
            </w:r>
          </w:p>
        </w:tc>
        <w:tc>
          <w:tcPr>
            <w:tcW w:w="5380" w:type="dxa"/>
            <w:vAlign w:val="center"/>
          </w:tcPr>
          <w:p w14:paraId="59FA4C5D">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配置智能体的名称、描述、所属项目、版本等基本信息，并可对智能体进行权限设置。</w:t>
            </w:r>
          </w:p>
        </w:tc>
      </w:tr>
      <w:tr w14:paraId="0C940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15510F05">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6</w:t>
            </w:r>
          </w:p>
        </w:tc>
        <w:tc>
          <w:tcPr>
            <w:tcW w:w="838" w:type="dxa"/>
            <w:vMerge w:val="continue"/>
            <w:vAlign w:val="center"/>
          </w:tcPr>
          <w:p w14:paraId="61B9E4CB">
            <w:pPr>
              <w:keepNext w:val="0"/>
              <w:keepLines w:val="0"/>
              <w:pageBreakBefore w:val="0"/>
              <w:widowControl w:val="0"/>
              <w:kinsoku/>
              <w:wordWrap/>
              <w:overflowPunct/>
              <w:topLinePunct w:val="0"/>
              <w:autoSpaceDE/>
              <w:autoSpaceDN/>
              <w:bidi w:val="0"/>
              <w:adjustRightInd/>
              <w:snapToGrid/>
              <w:textAlignment w:val="auto"/>
            </w:pPr>
          </w:p>
        </w:tc>
        <w:tc>
          <w:tcPr>
            <w:tcW w:w="936" w:type="dxa"/>
            <w:vMerge w:val="continue"/>
            <w:vAlign w:val="center"/>
          </w:tcPr>
          <w:p w14:paraId="338B1F81">
            <w:pPr>
              <w:keepNext w:val="0"/>
              <w:keepLines w:val="0"/>
              <w:pageBreakBefore w:val="0"/>
              <w:widowControl w:val="0"/>
              <w:kinsoku/>
              <w:wordWrap/>
              <w:overflowPunct/>
              <w:topLinePunct w:val="0"/>
              <w:autoSpaceDE/>
              <w:autoSpaceDN/>
              <w:bidi w:val="0"/>
              <w:adjustRightInd/>
              <w:snapToGrid/>
              <w:textAlignment w:val="auto"/>
            </w:pPr>
          </w:p>
        </w:tc>
        <w:tc>
          <w:tcPr>
            <w:tcW w:w="5380" w:type="dxa"/>
            <w:vAlign w:val="center"/>
          </w:tcPr>
          <w:p w14:paraId="7B4476F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支持对智能体进行在线效果调试和稳定性验证，支持查看智能体的输入输出结果、中间任务执行过程、模型推理思考过程及运行日志。</w:t>
            </w:r>
          </w:p>
        </w:tc>
      </w:tr>
      <w:tr w14:paraId="7C14E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2710AB8D">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7</w:t>
            </w:r>
          </w:p>
        </w:tc>
        <w:tc>
          <w:tcPr>
            <w:tcW w:w="838" w:type="dxa"/>
            <w:vMerge w:val="continue"/>
            <w:vAlign w:val="center"/>
          </w:tcPr>
          <w:p w14:paraId="4592024F">
            <w:pPr>
              <w:keepNext w:val="0"/>
              <w:keepLines w:val="0"/>
              <w:pageBreakBefore w:val="0"/>
              <w:widowControl w:val="0"/>
              <w:kinsoku/>
              <w:wordWrap/>
              <w:overflowPunct/>
              <w:topLinePunct w:val="0"/>
              <w:autoSpaceDE/>
              <w:autoSpaceDN/>
              <w:bidi w:val="0"/>
              <w:adjustRightInd/>
              <w:snapToGrid/>
              <w:textAlignment w:val="auto"/>
            </w:pPr>
          </w:p>
        </w:tc>
        <w:tc>
          <w:tcPr>
            <w:tcW w:w="936" w:type="dxa"/>
            <w:vMerge w:val="continue"/>
            <w:vAlign w:val="center"/>
          </w:tcPr>
          <w:p w14:paraId="0D6F727C">
            <w:pPr>
              <w:keepNext w:val="0"/>
              <w:keepLines w:val="0"/>
              <w:pageBreakBefore w:val="0"/>
              <w:widowControl w:val="0"/>
              <w:kinsoku/>
              <w:wordWrap/>
              <w:overflowPunct/>
              <w:topLinePunct w:val="0"/>
              <w:autoSpaceDE/>
              <w:autoSpaceDN/>
              <w:bidi w:val="0"/>
              <w:adjustRightInd/>
              <w:snapToGrid/>
              <w:textAlignment w:val="auto"/>
            </w:pPr>
          </w:p>
        </w:tc>
        <w:tc>
          <w:tcPr>
            <w:tcW w:w="5380" w:type="dxa"/>
            <w:vAlign w:val="center"/>
          </w:tcPr>
          <w:p w14:paraId="0787B41A">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支持短期记忆和长期记忆两种类型的记忆管理能力。短期记忆支持历史对话轮数设置、长上下文压缩（截断或摘要）、重要实体自动抽取、自定义记忆读写；长期记忆支持重点问答记录、用户画像构建等。</w:t>
            </w:r>
          </w:p>
        </w:tc>
      </w:tr>
      <w:tr w14:paraId="49721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49ED55CA">
            <w:pPr>
              <w:ind w:left="0" w:leftChars="0" w:firstLine="0" w:firstLineChars="0"/>
            </w:pPr>
            <w:r>
              <w:rPr>
                <w:rFonts w:hint="eastAsia"/>
                <w:lang w:bidi="ar"/>
              </w:rPr>
              <w:t>8</w:t>
            </w:r>
          </w:p>
        </w:tc>
        <w:tc>
          <w:tcPr>
            <w:tcW w:w="838" w:type="dxa"/>
            <w:vMerge w:val="continue"/>
            <w:vAlign w:val="center"/>
          </w:tcPr>
          <w:p w14:paraId="3100FC7A"/>
        </w:tc>
        <w:tc>
          <w:tcPr>
            <w:tcW w:w="936" w:type="dxa"/>
            <w:vMerge w:val="continue"/>
            <w:vAlign w:val="center"/>
          </w:tcPr>
          <w:p w14:paraId="0DE2A2D9"/>
        </w:tc>
        <w:tc>
          <w:tcPr>
            <w:tcW w:w="5380" w:type="dxa"/>
            <w:vAlign w:val="center"/>
          </w:tcPr>
          <w:p w14:paraId="4A8E2018">
            <w:pPr>
              <w:ind w:left="0" w:leftChars="0" w:firstLine="0" w:firstLineChars="0"/>
            </w:pPr>
            <w:r>
              <w:rPr>
                <w:rFonts w:hint="eastAsia"/>
                <w:lang w:bidi="ar"/>
              </w:rPr>
              <w:t>支持自定义记忆生成策略、整理策略和召回策略。</w:t>
            </w:r>
          </w:p>
        </w:tc>
      </w:tr>
      <w:tr w14:paraId="508AF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39725BC9">
            <w:pPr>
              <w:ind w:left="0" w:leftChars="0" w:firstLine="0" w:firstLineChars="0"/>
            </w:pPr>
            <w:r>
              <w:rPr>
                <w:rFonts w:hint="eastAsia"/>
                <w:lang w:bidi="ar"/>
              </w:rPr>
              <w:t>9</w:t>
            </w:r>
          </w:p>
        </w:tc>
        <w:tc>
          <w:tcPr>
            <w:tcW w:w="838" w:type="dxa"/>
            <w:vMerge w:val="restart"/>
            <w:vAlign w:val="center"/>
          </w:tcPr>
          <w:p w14:paraId="7337F473">
            <w:pPr>
              <w:ind w:left="0" w:leftChars="0" w:firstLine="0" w:firstLineChars="0"/>
            </w:pPr>
            <w:r>
              <w:rPr>
                <w:rFonts w:hint="eastAsia"/>
                <w:lang w:bidi="ar"/>
              </w:rPr>
              <w:t>医疗智能体创建编排</w:t>
            </w:r>
          </w:p>
        </w:tc>
        <w:tc>
          <w:tcPr>
            <w:tcW w:w="936" w:type="dxa"/>
            <w:vMerge w:val="restart"/>
            <w:vAlign w:val="center"/>
          </w:tcPr>
          <w:p w14:paraId="44A9D617">
            <w:pPr>
              <w:ind w:left="0" w:leftChars="0" w:firstLine="0" w:firstLineChars="0"/>
            </w:pPr>
            <w:r>
              <w:rPr>
                <w:rFonts w:hint="eastAsia"/>
                <w:lang w:bidi="ar"/>
              </w:rPr>
              <w:t>智能体可视化编排</w:t>
            </w:r>
          </w:p>
        </w:tc>
        <w:tc>
          <w:tcPr>
            <w:tcW w:w="5380" w:type="dxa"/>
            <w:vAlign w:val="center"/>
          </w:tcPr>
          <w:p w14:paraId="42870300">
            <w:pPr>
              <w:ind w:left="0" w:leftChars="0" w:firstLine="0" w:firstLineChars="0"/>
            </w:pPr>
            <w:r>
              <w:rPr>
                <w:rFonts w:hint="eastAsia"/>
                <w:lang w:bidi="ar"/>
              </w:rPr>
              <w:t>提供一个拖拽式的流程画布，开发者可以通过连接不同的节点来定义智能体的工作流；</w:t>
            </w:r>
          </w:p>
        </w:tc>
      </w:tr>
      <w:tr w14:paraId="5F7D9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7F48C2A0">
            <w:pPr>
              <w:ind w:left="0" w:leftChars="0" w:firstLine="0" w:firstLineChars="0"/>
            </w:pPr>
            <w:r>
              <w:rPr>
                <w:rFonts w:hint="eastAsia"/>
                <w:lang w:bidi="ar"/>
              </w:rPr>
              <w:t>10</w:t>
            </w:r>
          </w:p>
        </w:tc>
        <w:tc>
          <w:tcPr>
            <w:tcW w:w="838" w:type="dxa"/>
            <w:vMerge w:val="continue"/>
            <w:vAlign w:val="center"/>
          </w:tcPr>
          <w:p w14:paraId="255F6B1D"/>
        </w:tc>
        <w:tc>
          <w:tcPr>
            <w:tcW w:w="936" w:type="dxa"/>
            <w:vMerge w:val="continue"/>
            <w:vAlign w:val="center"/>
          </w:tcPr>
          <w:p w14:paraId="589CFC18">
            <w:pPr>
              <w:ind w:left="0" w:leftChars="0" w:firstLine="0" w:firstLineChars="0"/>
            </w:pPr>
          </w:p>
        </w:tc>
        <w:tc>
          <w:tcPr>
            <w:tcW w:w="5380" w:type="dxa"/>
            <w:vAlign w:val="center"/>
          </w:tcPr>
          <w:p w14:paraId="19800647">
            <w:pPr>
              <w:ind w:left="0" w:leftChars="0" w:firstLine="0" w:firstLineChars="0"/>
            </w:pPr>
            <w:r>
              <w:rPr>
                <w:rFonts w:hint="eastAsia"/>
                <w:lang w:bidi="ar"/>
              </w:rPr>
              <w:t>▲提供丰富的内置节点，如大模型调用、知识库检索、条件判断、循环、代码、数据操作等。（提供产品功能截图证明）</w:t>
            </w:r>
          </w:p>
        </w:tc>
      </w:tr>
      <w:tr w14:paraId="5011C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704898E3">
            <w:pPr>
              <w:ind w:left="0" w:leftChars="0" w:firstLine="0" w:firstLineChars="0"/>
            </w:pPr>
            <w:r>
              <w:rPr>
                <w:rFonts w:hint="eastAsia"/>
                <w:lang w:bidi="ar"/>
              </w:rPr>
              <w:t>11</w:t>
            </w:r>
          </w:p>
        </w:tc>
        <w:tc>
          <w:tcPr>
            <w:tcW w:w="838" w:type="dxa"/>
            <w:vMerge w:val="continue"/>
            <w:vAlign w:val="center"/>
          </w:tcPr>
          <w:p w14:paraId="2C1E3148"/>
        </w:tc>
        <w:tc>
          <w:tcPr>
            <w:tcW w:w="936" w:type="dxa"/>
            <w:vMerge w:val="continue"/>
            <w:vAlign w:val="center"/>
          </w:tcPr>
          <w:p w14:paraId="1D555187">
            <w:pPr>
              <w:ind w:left="0" w:leftChars="0" w:firstLine="0" w:firstLineChars="0"/>
            </w:pPr>
          </w:p>
        </w:tc>
        <w:tc>
          <w:tcPr>
            <w:tcW w:w="5380" w:type="dxa"/>
            <w:vAlign w:val="center"/>
          </w:tcPr>
          <w:p w14:paraId="6D256E9F">
            <w:pPr>
              <w:ind w:left="0" w:leftChars="0" w:firstLine="0" w:firstLineChars="0"/>
            </w:pPr>
            <w:r>
              <w:rPr>
                <w:rFonts w:hint="eastAsia"/>
                <w:lang w:bidi="ar"/>
              </w:rPr>
              <w:t>支持创建自主规划型Agent（TrekAgent），采用规划-执行架构，通过配置大语言模型或多模态模型、自定义Prompt、绑定Skills、关联知识库及沙箱运行环境，使智能体具备自主理解用户意图、多步骤任务拆解与规划、工具调用和自主决策完成复杂任务的能力；</w:t>
            </w:r>
          </w:p>
        </w:tc>
      </w:tr>
      <w:tr w14:paraId="573A4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5619137E">
            <w:pPr>
              <w:ind w:left="0" w:leftChars="0" w:firstLine="0" w:firstLineChars="0"/>
            </w:pPr>
            <w:r>
              <w:rPr>
                <w:rFonts w:hint="eastAsia"/>
                <w:lang w:bidi="ar"/>
              </w:rPr>
              <w:t>12</w:t>
            </w:r>
          </w:p>
        </w:tc>
        <w:tc>
          <w:tcPr>
            <w:tcW w:w="838" w:type="dxa"/>
            <w:vMerge w:val="continue"/>
            <w:vAlign w:val="center"/>
          </w:tcPr>
          <w:p w14:paraId="1B0DB0C7"/>
        </w:tc>
        <w:tc>
          <w:tcPr>
            <w:tcW w:w="936" w:type="dxa"/>
            <w:vMerge w:val="continue"/>
            <w:vAlign w:val="center"/>
          </w:tcPr>
          <w:p w14:paraId="77437A43">
            <w:pPr>
              <w:ind w:left="0" w:leftChars="0" w:firstLine="0" w:firstLineChars="0"/>
            </w:pPr>
          </w:p>
        </w:tc>
        <w:tc>
          <w:tcPr>
            <w:tcW w:w="5380" w:type="dxa"/>
            <w:vAlign w:val="center"/>
          </w:tcPr>
          <w:p w14:paraId="72B6507A">
            <w:pPr>
              <w:ind w:left="0" w:leftChars="0" w:firstLine="0" w:firstLineChars="0"/>
            </w:pPr>
            <w:r>
              <w:rPr>
                <w:rFonts w:hint="eastAsia"/>
                <w:lang w:bidi="ar"/>
              </w:rPr>
              <w:t>△发布时支持选择沙箱规格，在发起会话任务时实时拉起对应规格的沙箱，会话结束后将销毁沙箱释放资源。（提供产品演示视频证明）</w:t>
            </w:r>
          </w:p>
        </w:tc>
      </w:tr>
      <w:tr w14:paraId="019E0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71C23CB0">
            <w:pPr>
              <w:ind w:left="0" w:leftChars="0" w:firstLine="0" w:firstLineChars="0"/>
            </w:pPr>
            <w:r>
              <w:rPr>
                <w:rFonts w:hint="eastAsia"/>
                <w:lang w:bidi="ar"/>
              </w:rPr>
              <w:t>13</w:t>
            </w:r>
          </w:p>
        </w:tc>
        <w:tc>
          <w:tcPr>
            <w:tcW w:w="838" w:type="dxa"/>
            <w:vMerge w:val="continue"/>
            <w:vAlign w:val="center"/>
          </w:tcPr>
          <w:p w14:paraId="439F118A"/>
        </w:tc>
        <w:tc>
          <w:tcPr>
            <w:tcW w:w="936" w:type="dxa"/>
            <w:vAlign w:val="center"/>
          </w:tcPr>
          <w:p w14:paraId="4870C0A9">
            <w:pPr>
              <w:ind w:left="0" w:leftChars="0" w:firstLine="0" w:firstLineChars="0"/>
            </w:pPr>
            <w:r>
              <w:rPr>
                <w:rFonts w:hint="eastAsia"/>
                <w:lang w:bidi="ar"/>
              </w:rPr>
              <w:t>编排语言设置</w:t>
            </w:r>
          </w:p>
        </w:tc>
        <w:tc>
          <w:tcPr>
            <w:tcW w:w="5380" w:type="dxa"/>
            <w:vAlign w:val="center"/>
          </w:tcPr>
          <w:p w14:paraId="289BF1F5">
            <w:pPr>
              <w:ind w:left="0" w:leftChars="0" w:firstLine="0" w:firstLineChars="0"/>
            </w:pPr>
            <w:r>
              <w:rPr>
                <w:rFonts w:hint="eastAsia"/>
                <w:lang w:bidi="ar"/>
              </w:rPr>
              <w:t>除可视化编排外，允许在编排流程中嵌入自定义Python或Javascript 编写自定义逻辑。</w:t>
            </w:r>
          </w:p>
        </w:tc>
      </w:tr>
      <w:tr w14:paraId="4D4DB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257F2C19">
            <w:pPr>
              <w:ind w:left="0" w:leftChars="0" w:firstLine="0" w:firstLineChars="0"/>
            </w:pPr>
            <w:r>
              <w:rPr>
                <w:rFonts w:hint="eastAsia"/>
                <w:lang w:bidi="ar"/>
              </w:rPr>
              <w:t>14</w:t>
            </w:r>
          </w:p>
        </w:tc>
        <w:tc>
          <w:tcPr>
            <w:tcW w:w="838" w:type="dxa"/>
            <w:vMerge w:val="restart"/>
            <w:vAlign w:val="center"/>
          </w:tcPr>
          <w:p w14:paraId="1ACB7A8D">
            <w:pPr>
              <w:ind w:left="0" w:leftChars="0" w:firstLine="0" w:firstLineChars="0"/>
            </w:pPr>
            <w:r>
              <w:rPr>
                <w:rFonts w:hint="eastAsia"/>
                <w:lang w:bidi="ar"/>
              </w:rPr>
              <w:t>医疗智能体工具集管理</w:t>
            </w:r>
          </w:p>
        </w:tc>
        <w:tc>
          <w:tcPr>
            <w:tcW w:w="936" w:type="dxa"/>
            <w:vMerge w:val="restart"/>
            <w:vAlign w:val="center"/>
          </w:tcPr>
          <w:p w14:paraId="0B292C6F">
            <w:pPr>
              <w:ind w:left="0" w:leftChars="0" w:firstLine="0" w:firstLineChars="0"/>
            </w:pPr>
            <w:r>
              <w:rPr>
                <w:rFonts w:hint="eastAsia"/>
                <w:lang w:bidi="ar"/>
              </w:rPr>
              <w:t>医疗智能体工具注册</w:t>
            </w:r>
          </w:p>
        </w:tc>
        <w:tc>
          <w:tcPr>
            <w:tcW w:w="5380" w:type="dxa"/>
            <w:vAlign w:val="center"/>
          </w:tcPr>
          <w:p w14:paraId="459A58CE">
            <w:pPr>
              <w:ind w:left="0" w:leftChars="0" w:firstLine="0" w:firstLineChars="0"/>
            </w:pPr>
            <w:r>
              <w:rPr>
                <w:rFonts w:hint="eastAsia"/>
                <w:lang w:bidi="ar"/>
              </w:rPr>
              <w:t>允许开发者将外部API、数据库查询、自定义函数等注册为可供智能体调用的“工具”；为每个工具提供详细的描述、输入输出参数说明和使用示例。</w:t>
            </w:r>
          </w:p>
        </w:tc>
      </w:tr>
      <w:tr w14:paraId="2D412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3A0DCCA5">
            <w:pPr>
              <w:ind w:left="0" w:leftChars="0" w:firstLine="0" w:firstLineChars="0"/>
            </w:pPr>
            <w:r>
              <w:rPr>
                <w:rFonts w:hint="eastAsia"/>
                <w:lang w:bidi="ar"/>
              </w:rPr>
              <w:t>15</w:t>
            </w:r>
          </w:p>
        </w:tc>
        <w:tc>
          <w:tcPr>
            <w:tcW w:w="838" w:type="dxa"/>
            <w:vMerge w:val="continue"/>
            <w:vAlign w:val="center"/>
          </w:tcPr>
          <w:p w14:paraId="3E70B780"/>
        </w:tc>
        <w:tc>
          <w:tcPr>
            <w:tcW w:w="936" w:type="dxa"/>
            <w:vMerge w:val="continue"/>
            <w:vAlign w:val="center"/>
          </w:tcPr>
          <w:p w14:paraId="053C7003">
            <w:pPr>
              <w:ind w:left="0" w:leftChars="0" w:firstLine="0" w:firstLineChars="0"/>
            </w:pPr>
          </w:p>
        </w:tc>
        <w:tc>
          <w:tcPr>
            <w:tcW w:w="5380" w:type="dxa"/>
            <w:vAlign w:val="center"/>
          </w:tcPr>
          <w:p w14:paraId="7AA1D3A4">
            <w:pPr>
              <w:ind w:left="0" w:leftChars="0" w:firstLine="0" w:firstLineChars="0"/>
            </w:pPr>
            <w:r>
              <w:rPr>
                <w:rFonts w:hint="eastAsia"/>
                <w:lang w:bidi="ar"/>
              </w:rPr>
              <w:t>支持选择已注册的MCP服务或API工具，编辑Skill.md信息，将工具转化为Skills，可选输入备注名称</w:t>
            </w:r>
          </w:p>
        </w:tc>
      </w:tr>
      <w:tr w14:paraId="6FC35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38C3F010">
            <w:pPr>
              <w:ind w:left="0" w:leftChars="0" w:firstLine="0" w:firstLineChars="0"/>
            </w:pPr>
            <w:r>
              <w:rPr>
                <w:rFonts w:hint="eastAsia"/>
                <w:lang w:bidi="ar"/>
              </w:rPr>
              <w:t>16</w:t>
            </w:r>
          </w:p>
        </w:tc>
        <w:tc>
          <w:tcPr>
            <w:tcW w:w="838" w:type="dxa"/>
            <w:vMerge w:val="continue"/>
            <w:vAlign w:val="center"/>
          </w:tcPr>
          <w:p w14:paraId="4FDD5C65"/>
        </w:tc>
        <w:tc>
          <w:tcPr>
            <w:tcW w:w="936" w:type="dxa"/>
            <w:vAlign w:val="center"/>
          </w:tcPr>
          <w:p w14:paraId="7A2E6C93">
            <w:pPr>
              <w:ind w:left="0" w:leftChars="0" w:firstLine="0" w:firstLineChars="0"/>
            </w:pPr>
            <w:r>
              <w:rPr>
                <w:rFonts w:hint="eastAsia"/>
                <w:lang w:bidi="ar"/>
              </w:rPr>
              <w:t>医疗智能体工具调用</w:t>
            </w:r>
          </w:p>
        </w:tc>
        <w:tc>
          <w:tcPr>
            <w:tcW w:w="5380" w:type="dxa"/>
            <w:vAlign w:val="center"/>
          </w:tcPr>
          <w:p w14:paraId="62083418">
            <w:pPr>
              <w:ind w:left="0" w:leftChars="0" w:firstLine="0" w:firstLineChars="0"/>
            </w:pPr>
            <w:r>
              <w:rPr>
                <w:rFonts w:hint="eastAsia"/>
                <w:lang w:bidi="ar"/>
              </w:rPr>
              <w:t>在智能体编排过程中，可以方便地从工具集中选择并绑定所需工具。</w:t>
            </w:r>
          </w:p>
        </w:tc>
      </w:tr>
      <w:tr w14:paraId="134F3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34F07135">
            <w:pPr>
              <w:ind w:left="0" w:leftChars="0" w:firstLine="0" w:firstLineChars="0"/>
            </w:pPr>
            <w:r>
              <w:rPr>
                <w:rFonts w:hint="eastAsia"/>
                <w:lang w:bidi="ar"/>
              </w:rPr>
              <w:t>17</w:t>
            </w:r>
          </w:p>
        </w:tc>
        <w:tc>
          <w:tcPr>
            <w:tcW w:w="838" w:type="dxa"/>
            <w:vAlign w:val="center"/>
          </w:tcPr>
          <w:p w14:paraId="0733CBA9">
            <w:pPr>
              <w:ind w:left="0" w:leftChars="0" w:firstLine="0" w:firstLineChars="0"/>
            </w:pPr>
            <w:r>
              <w:rPr>
                <w:rFonts w:hint="eastAsia"/>
                <w:lang w:bidi="ar"/>
              </w:rPr>
              <w:t>医疗智能体历史版本管理</w:t>
            </w:r>
          </w:p>
        </w:tc>
        <w:tc>
          <w:tcPr>
            <w:tcW w:w="936" w:type="dxa"/>
            <w:vAlign w:val="center"/>
          </w:tcPr>
          <w:p w14:paraId="6918B7DB">
            <w:pPr>
              <w:ind w:left="0" w:leftChars="0" w:firstLine="0" w:firstLineChars="0"/>
            </w:pPr>
            <w:r>
              <w:rPr>
                <w:rFonts w:hint="eastAsia"/>
                <w:lang w:bidi="ar"/>
              </w:rPr>
              <w:t>医疗智能体版本控制</w:t>
            </w:r>
          </w:p>
        </w:tc>
        <w:tc>
          <w:tcPr>
            <w:tcW w:w="5380" w:type="dxa"/>
            <w:vAlign w:val="center"/>
          </w:tcPr>
          <w:p w14:paraId="745245DD">
            <w:pPr>
              <w:ind w:left="0" w:leftChars="0" w:firstLine="0" w:firstLineChars="0"/>
            </w:pPr>
            <w:r>
              <w:rPr>
                <w:rFonts w:hint="eastAsia"/>
                <w:lang w:bidi="ar"/>
              </w:rPr>
              <w:t>每次对智能体进行修改和发布后，自动保存一个版本快照，可清晰展示每个版本的智能体编排内容；在新版本出现问题时，能够一键回滚到之前的稳定版本。</w:t>
            </w:r>
          </w:p>
        </w:tc>
      </w:tr>
      <w:tr w14:paraId="7014E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604DBB09">
            <w:pPr>
              <w:ind w:left="0" w:leftChars="0" w:firstLine="0" w:firstLineChars="0"/>
            </w:pPr>
            <w:r>
              <w:rPr>
                <w:rFonts w:hint="eastAsia"/>
                <w:lang w:bidi="ar"/>
              </w:rPr>
              <w:t>18</w:t>
            </w:r>
          </w:p>
        </w:tc>
        <w:tc>
          <w:tcPr>
            <w:tcW w:w="838" w:type="dxa"/>
            <w:vMerge w:val="restart"/>
            <w:vAlign w:val="center"/>
          </w:tcPr>
          <w:p w14:paraId="210D40C2">
            <w:pPr>
              <w:ind w:left="0" w:leftChars="0" w:firstLine="0" w:firstLineChars="0"/>
            </w:pPr>
            <w:r>
              <w:rPr>
                <w:rFonts w:hint="eastAsia"/>
                <w:lang w:bidi="ar"/>
              </w:rPr>
              <w:t>医疗智能体嵌入应用</w:t>
            </w:r>
          </w:p>
        </w:tc>
        <w:tc>
          <w:tcPr>
            <w:tcW w:w="936" w:type="dxa"/>
            <w:vAlign w:val="center"/>
          </w:tcPr>
          <w:p w14:paraId="147A08F4">
            <w:pPr>
              <w:ind w:left="0" w:leftChars="0" w:firstLine="0" w:firstLineChars="0"/>
            </w:pPr>
            <w:r>
              <w:rPr>
                <w:rFonts w:hint="eastAsia"/>
                <w:lang w:bidi="ar"/>
              </w:rPr>
              <w:t>医疗智能体发布部署</w:t>
            </w:r>
          </w:p>
        </w:tc>
        <w:tc>
          <w:tcPr>
            <w:tcW w:w="5380" w:type="dxa"/>
            <w:vAlign w:val="center"/>
          </w:tcPr>
          <w:p w14:paraId="28B62E24">
            <w:pPr>
              <w:ind w:left="0" w:leftChars="0" w:firstLine="0" w:firstLineChars="0"/>
            </w:pPr>
            <w:r>
              <w:rPr>
                <w:rFonts w:hint="eastAsia"/>
                <w:lang w:bidi="ar"/>
              </w:rPr>
              <w:t>将开发完成的智能体嵌入到网站。</w:t>
            </w:r>
          </w:p>
        </w:tc>
      </w:tr>
      <w:tr w14:paraId="66826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6" w:type="dxa"/>
            <w:noWrap/>
            <w:vAlign w:val="center"/>
          </w:tcPr>
          <w:p w14:paraId="6D3E8179">
            <w:pPr>
              <w:ind w:left="0" w:leftChars="0" w:firstLine="0" w:firstLineChars="0"/>
            </w:pPr>
            <w:r>
              <w:rPr>
                <w:rFonts w:hint="eastAsia"/>
                <w:lang w:bidi="ar"/>
              </w:rPr>
              <w:t>19</w:t>
            </w:r>
          </w:p>
        </w:tc>
        <w:tc>
          <w:tcPr>
            <w:tcW w:w="838" w:type="dxa"/>
            <w:vMerge w:val="continue"/>
            <w:vAlign w:val="center"/>
          </w:tcPr>
          <w:p w14:paraId="11F9FDAA"/>
        </w:tc>
        <w:tc>
          <w:tcPr>
            <w:tcW w:w="936" w:type="dxa"/>
            <w:vAlign w:val="center"/>
          </w:tcPr>
          <w:p w14:paraId="3E851C3A">
            <w:pPr>
              <w:ind w:left="0" w:leftChars="0" w:firstLine="0" w:firstLineChars="0"/>
            </w:pPr>
            <w:r>
              <w:rPr>
                <w:rFonts w:hint="eastAsia"/>
                <w:lang w:bidi="ar"/>
              </w:rPr>
              <w:t>医疗智能体导出</w:t>
            </w:r>
          </w:p>
        </w:tc>
        <w:tc>
          <w:tcPr>
            <w:tcW w:w="5380" w:type="dxa"/>
            <w:vAlign w:val="center"/>
          </w:tcPr>
          <w:p w14:paraId="1398C320">
            <w:pPr>
              <w:ind w:left="0" w:leftChars="0" w:firstLine="0" w:firstLineChars="0"/>
            </w:pPr>
            <w:r>
              <w:rPr>
                <w:rFonts w:hint="eastAsia"/>
                <w:lang w:bidi="ar"/>
              </w:rPr>
              <w:t>支持智能体导出为ENC文件。</w:t>
            </w:r>
          </w:p>
        </w:tc>
      </w:tr>
    </w:tbl>
    <w:p w14:paraId="33729AFF">
      <w:pPr>
        <w:rPr>
          <w:lang w:bidi="ar"/>
        </w:rPr>
      </w:pPr>
    </w:p>
    <w:p w14:paraId="4EB0E734">
      <w:pPr>
        <w:rPr>
          <w:lang w:bidi="ar"/>
        </w:rPr>
      </w:pPr>
    </w:p>
    <w:p w14:paraId="73A28310">
      <w:pPr>
        <w:rPr>
          <w:lang w:bidi="ar"/>
        </w:rPr>
      </w:pPr>
      <w:r>
        <w:rPr>
          <w:rFonts w:hint="eastAsia"/>
          <w:lang w:bidi="ar"/>
        </w:rPr>
        <w:t>大模型推理与集成工程</w:t>
      </w:r>
    </w:p>
    <w:p w14:paraId="3C8B0076">
      <w:pPr>
        <w:rPr>
          <w:lang w:bidi="ar"/>
        </w:rPr>
      </w:pPr>
    </w:p>
    <w:tbl>
      <w:tblPr>
        <w:tblStyle w:val="7"/>
        <w:tblW w:w="8139" w:type="dxa"/>
        <w:tblInd w:w="88" w:type="dxa"/>
        <w:tblLayout w:type="fixed"/>
        <w:tblCellMar>
          <w:top w:w="0" w:type="dxa"/>
          <w:left w:w="108" w:type="dxa"/>
          <w:bottom w:w="0" w:type="dxa"/>
          <w:right w:w="108" w:type="dxa"/>
        </w:tblCellMar>
      </w:tblPr>
      <w:tblGrid>
        <w:gridCol w:w="693"/>
        <w:gridCol w:w="1074"/>
        <w:gridCol w:w="958"/>
        <w:gridCol w:w="5414"/>
      </w:tblGrid>
      <w:tr w14:paraId="018FFEC7">
        <w:tblPrEx>
          <w:tblCellMar>
            <w:top w:w="0" w:type="dxa"/>
            <w:left w:w="108" w:type="dxa"/>
            <w:bottom w:w="0" w:type="dxa"/>
            <w:right w:w="108" w:type="dxa"/>
          </w:tblCellMar>
        </w:tblPrEx>
        <w:trPr>
          <w:trHeight w:val="735"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14:paraId="3B9D8E40">
            <w:pPr>
              <w:ind w:left="0" w:leftChars="0" w:firstLine="0" w:firstLineChars="0"/>
            </w:pPr>
            <w:r>
              <w:rPr>
                <w:rFonts w:hint="eastAsia"/>
                <w:lang w:bidi="ar"/>
              </w:rPr>
              <w:t>序号</w:t>
            </w:r>
          </w:p>
        </w:tc>
        <w:tc>
          <w:tcPr>
            <w:tcW w:w="1074" w:type="dxa"/>
            <w:tcBorders>
              <w:top w:val="single" w:color="000000" w:sz="4" w:space="0"/>
              <w:left w:val="single" w:color="000000" w:sz="4" w:space="0"/>
              <w:bottom w:val="single" w:color="000000" w:sz="4" w:space="0"/>
              <w:right w:val="single" w:color="000000" w:sz="4" w:space="0"/>
            </w:tcBorders>
            <w:vAlign w:val="center"/>
          </w:tcPr>
          <w:p w14:paraId="26670FDC">
            <w:pPr>
              <w:ind w:left="0" w:leftChars="0" w:firstLine="0" w:firstLineChars="0"/>
            </w:pPr>
            <w:r>
              <w:rPr>
                <w:rFonts w:hint="eastAsia"/>
                <w:lang w:bidi="ar"/>
              </w:rPr>
              <w:t>系统/设备名称</w:t>
            </w:r>
          </w:p>
        </w:tc>
        <w:tc>
          <w:tcPr>
            <w:tcW w:w="958" w:type="dxa"/>
            <w:tcBorders>
              <w:top w:val="single" w:color="000000" w:sz="4" w:space="0"/>
              <w:left w:val="single" w:color="000000" w:sz="4" w:space="0"/>
              <w:bottom w:val="single" w:color="000000" w:sz="4" w:space="0"/>
              <w:right w:val="single" w:color="000000" w:sz="4" w:space="0"/>
            </w:tcBorders>
            <w:vAlign w:val="center"/>
          </w:tcPr>
          <w:p w14:paraId="5AD81FE5">
            <w:pPr>
              <w:ind w:left="0" w:leftChars="0" w:firstLine="0" w:firstLineChars="0"/>
            </w:pPr>
            <w:r>
              <w:rPr>
                <w:rFonts w:hint="eastAsia"/>
                <w:lang w:bidi="ar"/>
              </w:rPr>
              <w:t>指标项</w:t>
            </w:r>
          </w:p>
        </w:tc>
        <w:tc>
          <w:tcPr>
            <w:tcW w:w="5414" w:type="dxa"/>
            <w:tcBorders>
              <w:top w:val="single" w:color="000000" w:sz="4" w:space="0"/>
              <w:left w:val="single" w:color="000000" w:sz="4" w:space="0"/>
              <w:bottom w:val="single" w:color="000000" w:sz="4" w:space="0"/>
              <w:right w:val="single" w:color="000000" w:sz="4" w:space="0"/>
            </w:tcBorders>
            <w:vAlign w:val="center"/>
          </w:tcPr>
          <w:p w14:paraId="304C7E24">
            <w:pPr>
              <w:ind w:left="0" w:leftChars="0" w:firstLine="0" w:firstLineChars="0"/>
            </w:pPr>
            <w:r>
              <w:rPr>
                <w:rFonts w:hint="eastAsia"/>
                <w:lang w:bidi="ar"/>
              </w:rPr>
              <w:t>参数要求</w:t>
            </w:r>
          </w:p>
        </w:tc>
      </w:tr>
      <w:tr w14:paraId="047F9664">
        <w:tblPrEx>
          <w:tblCellMar>
            <w:top w:w="0" w:type="dxa"/>
            <w:left w:w="108" w:type="dxa"/>
            <w:bottom w:w="0" w:type="dxa"/>
            <w:right w:w="108" w:type="dxa"/>
          </w:tblCellMar>
        </w:tblPrEx>
        <w:trPr>
          <w:trHeight w:val="2195" w:hRule="atLeast"/>
        </w:trPr>
        <w:tc>
          <w:tcPr>
            <w:tcW w:w="693" w:type="dxa"/>
            <w:vMerge w:val="restart"/>
            <w:tcBorders>
              <w:top w:val="single" w:color="000000" w:sz="4" w:space="0"/>
              <w:left w:val="single" w:color="000000" w:sz="4" w:space="0"/>
              <w:bottom w:val="single" w:color="000000" w:sz="4" w:space="0"/>
              <w:right w:val="single" w:color="000000" w:sz="4" w:space="0"/>
            </w:tcBorders>
            <w:noWrap/>
            <w:vAlign w:val="center"/>
          </w:tcPr>
          <w:p w14:paraId="0C2DC7A7">
            <w:pPr>
              <w:ind w:left="0" w:leftChars="0" w:firstLine="0" w:firstLineChars="0"/>
              <w:rPr>
                <w:lang w:bidi="ar"/>
              </w:rPr>
            </w:pPr>
            <w:r>
              <w:rPr>
                <w:rFonts w:hint="eastAsia"/>
                <w:lang w:bidi="ar"/>
              </w:rPr>
              <w:t>1</w:t>
            </w:r>
          </w:p>
        </w:tc>
        <w:tc>
          <w:tcPr>
            <w:tcW w:w="1074" w:type="dxa"/>
            <w:vMerge w:val="restart"/>
            <w:tcBorders>
              <w:top w:val="single" w:color="000000" w:sz="4" w:space="0"/>
              <w:left w:val="single" w:color="000000" w:sz="4" w:space="0"/>
              <w:bottom w:val="single" w:color="000000" w:sz="4" w:space="0"/>
              <w:right w:val="single" w:color="000000" w:sz="4" w:space="0"/>
            </w:tcBorders>
            <w:noWrap/>
            <w:vAlign w:val="center"/>
          </w:tcPr>
          <w:p w14:paraId="5350FD5A">
            <w:pPr>
              <w:ind w:left="0" w:leftChars="0" w:firstLine="0" w:firstLineChars="0"/>
              <w:rPr>
                <w:lang w:bidi="ar"/>
              </w:rPr>
            </w:pPr>
            <w:r>
              <w:rPr>
                <w:rFonts w:hint="eastAsia"/>
                <w:lang w:bidi="ar"/>
              </w:rPr>
              <w:t>常见大模型集成</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65144710">
            <w:pPr>
              <w:ind w:left="0" w:leftChars="0" w:firstLine="0" w:firstLineChars="0"/>
              <w:rPr>
                <w:lang w:bidi="ar"/>
              </w:rPr>
            </w:pPr>
            <w:r>
              <w:rPr>
                <w:rFonts w:hint="eastAsia"/>
                <w:lang w:bidi="ar"/>
              </w:rPr>
              <w:t>▲模型仓库</w:t>
            </w:r>
          </w:p>
        </w:tc>
        <w:tc>
          <w:tcPr>
            <w:tcW w:w="5414" w:type="dxa"/>
            <w:tcBorders>
              <w:top w:val="single" w:color="000000" w:sz="4" w:space="0"/>
              <w:left w:val="single" w:color="000000" w:sz="4" w:space="0"/>
              <w:bottom w:val="single" w:color="000000" w:sz="4" w:space="0"/>
              <w:right w:val="single" w:color="000000" w:sz="4" w:space="0"/>
            </w:tcBorders>
            <w:vAlign w:val="center"/>
          </w:tcPr>
          <w:p w14:paraId="55F71F7B">
            <w:pPr>
              <w:ind w:left="0" w:leftChars="0" w:firstLine="0" w:firstLineChars="0"/>
              <w:rPr>
                <w:lang w:bidi="ar"/>
              </w:rPr>
            </w:pPr>
            <w:r>
              <w:rPr>
                <w:rFonts w:hint="eastAsia"/>
                <w:lang w:bidi="ar"/>
              </w:rPr>
              <w:t>预置包括不限于下属内容的大语言和多模态基础模型组件：通义千问大语言模型（Qwen3-VL-8B-Instruct|、Qwen3-235B-A22B  、Qwen3-NEXT-80B-A3B ，QwQ32B等基础模型）、深度求索对话DeepSeek Chat（DeepSeek-R1-0528-BF16  等基础模型）。（提供产品功能截图证明）</w:t>
            </w:r>
          </w:p>
        </w:tc>
      </w:tr>
      <w:tr w14:paraId="0EE66D7F">
        <w:tblPrEx>
          <w:tblCellMar>
            <w:top w:w="0" w:type="dxa"/>
            <w:left w:w="108" w:type="dxa"/>
            <w:bottom w:w="0" w:type="dxa"/>
            <w:right w:w="108" w:type="dxa"/>
          </w:tblCellMar>
        </w:tblPrEx>
        <w:trPr>
          <w:trHeight w:val="1130" w:hRule="atLeast"/>
        </w:trPr>
        <w:tc>
          <w:tcPr>
            <w:tcW w:w="693" w:type="dxa"/>
            <w:vMerge w:val="continue"/>
            <w:tcBorders>
              <w:top w:val="single" w:color="000000" w:sz="4" w:space="0"/>
              <w:left w:val="single" w:color="000000" w:sz="4" w:space="0"/>
              <w:bottom w:val="single" w:color="000000" w:sz="4" w:space="0"/>
              <w:right w:val="single" w:color="000000" w:sz="4" w:space="0"/>
            </w:tcBorders>
            <w:noWrap/>
            <w:vAlign w:val="center"/>
          </w:tcPr>
          <w:p w14:paraId="2DB9329A">
            <w:pPr>
              <w:ind w:left="0" w:leftChars="0" w:firstLine="0" w:firstLineChars="0"/>
              <w:rPr>
                <w:lang w:bidi="ar"/>
              </w:rPr>
            </w:pPr>
          </w:p>
        </w:tc>
        <w:tc>
          <w:tcPr>
            <w:tcW w:w="1074" w:type="dxa"/>
            <w:vMerge w:val="continue"/>
            <w:tcBorders>
              <w:top w:val="single" w:color="000000" w:sz="4" w:space="0"/>
              <w:left w:val="single" w:color="000000" w:sz="4" w:space="0"/>
              <w:bottom w:val="single" w:color="000000" w:sz="4" w:space="0"/>
              <w:right w:val="single" w:color="000000" w:sz="4" w:space="0"/>
            </w:tcBorders>
            <w:noWrap/>
            <w:vAlign w:val="center"/>
          </w:tcPr>
          <w:p w14:paraId="34D7013B">
            <w:pPr>
              <w:ind w:left="0" w:leftChars="0" w:firstLine="0" w:firstLineChars="0"/>
              <w:rPr>
                <w:lang w:bidi="ar"/>
              </w:rPr>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3757129F">
            <w:pPr>
              <w:ind w:left="0" w:leftChars="0" w:firstLine="0" w:firstLineChars="0"/>
              <w:rPr>
                <w:lang w:bidi="ar"/>
              </w:rPr>
            </w:pPr>
            <w:r>
              <w:rPr>
                <w:rFonts w:hint="eastAsia"/>
                <w:lang w:bidi="ar"/>
              </w:rPr>
              <w:t>模型管理</w:t>
            </w:r>
          </w:p>
        </w:tc>
        <w:tc>
          <w:tcPr>
            <w:tcW w:w="5414" w:type="dxa"/>
            <w:tcBorders>
              <w:top w:val="single" w:color="000000" w:sz="4" w:space="0"/>
              <w:left w:val="single" w:color="000000" w:sz="4" w:space="0"/>
              <w:bottom w:val="single" w:color="000000" w:sz="4" w:space="0"/>
              <w:right w:val="single" w:color="000000" w:sz="4" w:space="0"/>
            </w:tcBorders>
            <w:vAlign w:val="center"/>
          </w:tcPr>
          <w:p w14:paraId="22721D9A">
            <w:pPr>
              <w:ind w:left="0" w:leftChars="0" w:firstLine="0" w:firstLineChars="0"/>
              <w:rPr>
                <w:lang w:bidi="ar"/>
              </w:rPr>
            </w:pPr>
            <w:r>
              <w:rPr>
                <w:rFonts w:hint="eastAsia"/>
                <w:lang w:bidi="ar"/>
              </w:rPr>
              <w:t>对已集成的大模型进行统一注册和管理，包括模型名称、版本、基础参数等；提供在线的交互式界面，用于快速测试和评估不同大模型的效果。</w:t>
            </w:r>
          </w:p>
        </w:tc>
      </w:tr>
      <w:tr w14:paraId="1C0920B1">
        <w:tblPrEx>
          <w:tblCellMar>
            <w:top w:w="0" w:type="dxa"/>
            <w:left w:w="108" w:type="dxa"/>
            <w:bottom w:w="0" w:type="dxa"/>
            <w:right w:w="108" w:type="dxa"/>
          </w:tblCellMar>
        </w:tblPrEx>
        <w:trPr>
          <w:trHeight w:val="1655" w:hRule="atLeast"/>
        </w:trPr>
        <w:tc>
          <w:tcPr>
            <w:tcW w:w="693" w:type="dxa"/>
            <w:vMerge w:val="restart"/>
            <w:tcBorders>
              <w:top w:val="single" w:color="000000" w:sz="4" w:space="0"/>
              <w:left w:val="single" w:color="000000" w:sz="4" w:space="0"/>
              <w:bottom w:val="single" w:color="000000" w:sz="4" w:space="0"/>
              <w:right w:val="single" w:color="000000" w:sz="4" w:space="0"/>
            </w:tcBorders>
            <w:noWrap/>
            <w:vAlign w:val="center"/>
          </w:tcPr>
          <w:p w14:paraId="39035EBB">
            <w:pPr>
              <w:ind w:left="0" w:leftChars="0" w:firstLine="0" w:firstLineChars="0"/>
              <w:rPr>
                <w:lang w:bidi="ar"/>
              </w:rPr>
            </w:pPr>
            <w:r>
              <w:rPr>
                <w:rFonts w:hint="eastAsia"/>
                <w:lang w:bidi="ar"/>
              </w:rPr>
              <w:t>2</w:t>
            </w:r>
          </w:p>
        </w:tc>
        <w:tc>
          <w:tcPr>
            <w:tcW w:w="1074" w:type="dxa"/>
            <w:vMerge w:val="restart"/>
            <w:tcBorders>
              <w:top w:val="single" w:color="000000" w:sz="4" w:space="0"/>
              <w:left w:val="single" w:color="000000" w:sz="4" w:space="0"/>
              <w:bottom w:val="single" w:color="000000" w:sz="4" w:space="0"/>
              <w:right w:val="single" w:color="000000" w:sz="4" w:space="0"/>
            </w:tcBorders>
            <w:noWrap/>
            <w:vAlign w:val="center"/>
          </w:tcPr>
          <w:p w14:paraId="5155EB3F">
            <w:pPr>
              <w:ind w:left="0" w:leftChars="0" w:firstLine="0" w:firstLineChars="0"/>
              <w:rPr>
                <w:lang w:bidi="ar"/>
              </w:rPr>
            </w:pPr>
            <w:r>
              <w:rPr>
                <w:rFonts w:hint="eastAsia"/>
                <w:lang w:bidi="ar"/>
              </w:rPr>
              <w:t>模型训练微调</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682EBC61">
            <w:pPr>
              <w:ind w:left="0" w:leftChars="0" w:firstLine="0" w:firstLineChars="0"/>
              <w:rPr>
                <w:lang w:bidi="ar"/>
              </w:rPr>
            </w:pPr>
            <w:r>
              <w:rPr>
                <w:rFonts w:hint="eastAsia"/>
                <w:lang w:bidi="ar"/>
              </w:rPr>
              <w:t>多样的训练方法</w:t>
            </w:r>
          </w:p>
        </w:tc>
        <w:tc>
          <w:tcPr>
            <w:tcW w:w="5414" w:type="dxa"/>
            <w:tcBorders>
              <w:top w:val="single" w:color="000000" w:sz="4" w:space="0"/>
              <w:left w:val="single" w:color="000000" w:sz="4" w:space="0"/>
              <w:bottom w:val="single" w:color="000000" w:sz="4" w:space="0"/>
              <w:right w:val="single" w:color="000000" w:sz="4" w:space="0"/>
            </w:tcBorders>
            <w:vAlign w:val="center"/>
          </w:tcPr>
          <w:p w14:paraId="63FDD60A">
            <w:pPr>
              <w:ind w:left="0" w:leftChars="0" w:firstLine="0" w:firstLineChars="0"/>
              <w:rPr>
                <w:lang w:bidi="ar"/>
              </w:rPr>
            </w:pPr>
            <w:r>
              <w:rPr>
                <w:rFonts w:hint="eastAsia"/>
                <w:lang w:bidi="ar"/>
              </w:rPr>
              <w:t>支持预训练，也支持全量微调(Full)、部分冻结(Freeze)以及LoRA/QLoRA等高效微调方法。支持SFT微调、PPO强化学习策略、DPO强化学习策略、GRPO强化学习策略的调优方式，可用于训练奖励模型。</w:t>
            </w:r>
          </w:p>
        </w:tc>
      </w:tr>
      <w:tr w14:paraId="75669162">
        <w:tblPrEx>
          <w:tblCellMar>
            <w:top w:w="0" w:type="dxa"/>
            <w:left w:w="108" w:type="dxa"/>
            <w:bottom w:w="0" w:type="dxa"/>
            <w:right w:w="108" w:type="dxa"/>
          </w:tblCellMar>
        </w:tblPrEx>
        <w:trPr>
          <w:trHeight w:val="1390" w:hRule="atLeast"/>
        </w:trPr>
        <w:tc>
          <w:tcPr>
            <w:tcW w:w="693" w:type="dxa"/>
            <w:vMerge w:val="continue"/>
            <w:tcBorders>
              <w:top w:val="single" w:color="000000" w:sz="4" w:space="0"/>
              <w:left w:val="single" w:color="000000" w:sz="4" w:space="0"/>
              <w:bottom w:val="single" w:color="000000" w:sz="4" w:space="0"/>
              <w:right w:val="single" w:color="000000" w:sz="4" w:space="0"/>
            </w:tcBorders>
            <w:noWrap/>
            <w:vAlign w:val="center"/>
          </w:tcPr>
          <w:p w14:paraId="2537DEB9">
            <w:pPr>
              <w:ind w:left="0" w:leftChars="0" w:firstLine="0" w:firstLineChars="0"/>
              <w:rPr>
                <w:lang w:bidi="ar"/>
              </w:rPr>
            </w:pPr>
          </w:p>
        </w:tc>
        <w:tc>
          <w:tcPr>
            <w:tcW w:w="1074" w:type="dxa"/>
            <w:vMerge w:val="continue"/>
            <w:tcBorders>
              <w:top w:val="single" w:color="000000" w:sz="4" w:space="0"/>
              <w:left w:val="single" w:color="000000" w:sz="4" w:space="0"/>
              <w:bottom w:val="single" w:color="000000" w:sz="4" w:space="0"/>
              <w:right w:val="single" w:color="000000" w:sz="4" w:space="0"/>
            </w:tcBorders>
            <w:noWrap/>
            <w:vAlign w:val="center"/>
          </w:tcPr>
          <w:p w14:paraId="6B68306D">
            <w:pPr>
              <w:ind w:left="0" w:leftChars="0" w:firstLine="0" w:firstLineChars="0"/>
              <w:rPr>
                <w:lang w:bidi="ar"/>
              </w:rPr>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1716C1E8">
            <w:pPr>
              <w:ind w:left="0" w:leftChars="0" w:firstLine="0" w:firstLineChars="0"/>
              <w:rPr>
                <w:lang w:bidi="ar"/>
              </w:rPr>
            </w:pPr>
            <w:r>
              <w:rPr>
                <w:rFonts w:hint="eastAsia"/>
                <w:lang w:bidi="ar"/>
              </w:rPr>
              <w:t>▲模型训练配置</w:t>
            </w:r>
          </w:p>
        </w:tc>
        <w:tc>
          <w:tcPr>
            <w:tcW w:w="5414" w:type="dxa"/>
            <w:tcBorders>
              <w:top w:val="single" w:color="000000" w:sz="4" w:space="0"/>
              <w:left w:val="single" w:color="000000" w:sz="4" w:space="0"/>
              <w:bottom w:val="single" w:color="000000" w:sz="4" w:space="0"/>
              <w:right w:val="single" w:color="000000" w:sz="4" w:space="0"/>
            </w:tcBorders>
            <w:vAlign w:val="center"/>
          </w:tcPr>
          <w:p w14:paraId="5F19A1F1">
            <w:pPr>
              <w:ind w:left="0" w:leftChars="0" w:firstLine="0" w:firstLineChars="0"/>
              <w:rPr>
                <w:lang w:bidi="ar"/>
              </w:rPr>
            </w:pPr>
            <w:r>
              <w:rPr>
                <w:rFonts w:hint="eastAsia"/>
                <w:lang w:bidi="ar"/>
              </w:rPr>
              <w:t>可视化设置训练轮数、训练样本数、最大梯度范数、最大样本数、批处理大小、梯度累积、验证集比例等，支撑大模型的训练。（提供对应功能的产品截图证明）</w:t>
            </w:r>
          </w:p>
        </w:tc>
      </w:tr>
      <w:tr w14:paraId="2ED10478">
        <w:tblPrEx>
          <w:tblCellMar>
            <w:top w:w="0" w:type="dxa"/>
            <w:left w:w="108" w:type="dxa"/>
            <w:bottom w:w="0" w:type="dxa"/>
            <w:right w:w="108" w:type="dxa"/>
          </w:tblCellMar>
        </w:tblPrEx>
        <w:trPr>
          <w:trHeight w:val="735" w:hRule="atLeast"/>
        </w:trPr>
        <w:tc>
          <w:tcPr>
            <w:tcW w:w="693" w:type="dxa"/>
            <w:vMerge w:val="restart"/>
            <w:tcBorders>
              <w:top w:val="single" w:color="000000" w:sz="4" w:space="0"/>
              <w:left w:val="single" w:color="000000" w:sz="4" w:space="0"/>
              <w:bottom w:val="single" w:color="000000" w:sz="4" w:space="0"/>
              <w:right w:val="single" w:color="000000" w:sz="4" w:space="0"/>
            </w:tcBorders>
            <w:noWrap/>
            <w:vAlign w:val="center"/>
          </w:tcPr>
          <w:p w14:paraId="7AE45FF3">
            <w:pPr>
              <w:ind w:left="0" w:leftChars="0" w:firstLine="0" w:firstLineChars="0"/>
              <w:rPr>
                <w:lang w:bidi="ar"/>
              </w:rPr>
            </w:pPr>
            <w:r>
              <w:rPr>
                <w:rFonts w:hint="eastAsia"/>
                <w:lang w:bidi="ar"/>
              </w:rPr>
              <w:t>3</w:t>
            </w:r>
          </w:p>
        </w:tc>
        <w:tc>
          <w:tcPr>
            <w:tcW w:w="1074" w:type="dxa"/>
            <w:vMerge w:val="restart"/>
            <w:tcBorders>
              <w:top w:val="single" w:color="000000" w:sz="4" w:space="0"/>
              <w:left w:val="single" w:color="000000" w:sz="4" w:space="0"/>
              <w:bottom w:val="single" w:color="000000" w:sz="4" w:space="0"/>
              <w:right w:val="single" w:color="000000" w:sz="4" w:space="0"/>
            </w:tcBorders>
            <w:noWrap/>
            <w:vAlign w:val="center"/>
          </w:tcPr>
          <w:p w14:paraId="2641D727">
            <w:pPr>
              <w:ind w:left="0" w:leftChars="0" w:firstLine="0" w:firstLineChars="0"/>
              <w:rPr>
                <w:lang w:bidi="ar"/>
              </w:rPr>
            </w:pPr>
            <w:r>
              <w:rPr>
                <w:rFonts w:hint="eastAsia"/>
                <w:lang w:bidi="ar"/>
              </w:rPr>
              <w:t>训练数据管理</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46E7BFF8">
            <w:pPr>
              <w:ind w:left="0" w:leftChars="0" w:firstLine="0" w:firstLineChars="0"/>
              <w:rPr>
                <w:lang w:bidi="ar"/>
              </w:rPr>
            </w:pPr>
            <w:r>
              <w:rPr>
                <w:rFonts w:hint="eastAsia"/>
                <w:lang w:bidi="ar"/>
              </w:rPr>
              <w:t>训练数据集格式支持</w:t>
            </w:r>
          </w:p>
        </w:tc>
        <w:tc>
          <w:tcPr>
            <w:tcW w:w="5414" w:type="dxa"/>
            <w:tcBorders>
              <w:top w:val="single" w:color="000000" w:sz="4" w:space="0"/>
              <w:left w:val="single" w:color="000000" w:sz="4" w:space="0"/>
              <w:bottom w:val="single" w:color="000000" w:sz="4" w:space="0"/>
              <w:right w:val="single" w:color="000000" w:sz="4" w:space="0"/>
            </w:tcBorders>
            <w:vAlign w:val="center"/>
          </w:tcPr>
          <w:p w14:paraId="43BC6DE7">
            <w:pPr>
              <w:ind w:left="0" w:leftChars="0" w:firstLine="0" w:firstLineChars="0"/>
              <w:rPr>
                <w:lang w:bidi="ar"/>
              </w:rPr>
            </w:pPr>
            <w:r>
              <w:rPr>
                <w:rFonts w:hint="eastAsia"/>
                <w:lang w:bidi="ar"/>
              </w:rPr>
              <w:t>支持JsonL等格式的训练数据集。</w:t>
            </w:r>
          </w:p>
        </w:tc>
      </w:tr>
      <w:tr w14:paraId="019013F4">
        <w:tblPrEx>
          <w:tblCellMar>
            <w:top w:w="0" w:type="dxa"/>
            <w:left w:w="108" w:type="dxa"/>
            <w:bottom w:w="0" w:type="dxa"/>
            <w:right w:w="108" w:type="dxa"/>
          </w:tblCellMar>
        </w:tblPrEx>
        <w:trPr>
          <w:trHeight w:val="850" w:hRule="atLeast"/>
        </w:trPr>
        <w:tc>
          <w:tcPr>
            <w:tcW w:w="693" w:type="dxa"/>
            <w:vMerge w:val="continue"/>
            <w:tcBorders>
              <w:top w:val="single" w:color="000000" w:sz="4" w:space="0"/>
              <w:left w:val="single" w:color="000000" w:sz="4" w:space="0"/>
              <w:bottom w:val="single" w:color="000000" w:sz="4" w:space="0"/>
              <w:right w:val="single" w:color="000000" w:sz="4" w:space="0"/>
            </w:tcBorders>
            <w:noWrap/>
            <w:vAlign w:val="center"/>
          </w:tcPr>
          <w:p w14:paraId="23A5495C">
            <w:pPr>
              <w:ind w:left="0" w:leftChars="0" w:firstLine="0" w:firstLineChars="0"/>
              <w:rPr>
                <w:lang w:bidi="ar"/>
              </w:rPr>
            </w:pPr>
          </w:p>
        </w:tc>
        <w:tc>
          <w:tcPr>
            <w:tcW w:w="1074" w:type="dxa"/>
            <w:vMerge w:val="continue"/>
            <w:tcBorders>
              <w:top w:val="single" w:color="000000" w:sz="4" w:space="0"/>
              <w:left w:val="single" w:color="000000" w:sz="4" w:space="0"/>
              <w:bottom w:val="single" w:color="000000" w:sz="4" w:space="0"/>
              <w:right w:val="single" w:color="000000" w:sz="4" w:space="0"/>
            </w:tcBorders>
            <w:noWrap/>
            <w:vAlign w:val="center"/>
          </w:tcPr>
          <w:p w14:paraId="16FC1921">
            <w:pPr>
              <w:ind w:left="0" w:leftChars="0" w:firstLine="0" w:firstLineChars="0"/>
              <w:rPr>
                <w:lang w:bidi="ar"/>
              </w:rPr>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605CBE22">
            <w:pPr>
              <w:ind w:left="0" w:leftChars="0" w:firstLine="0" w:firstLineChars="0"/>
              <w:rPr>
                <w:lang w:bidi="ar"/>
              </w:rPr>
            </w:pPr>
            <w:r>
              <w:rPr>
                <w:rFonts w:hint="eastAsia"/>
                <w:lang w:bidi="ar"/>
              </w:rPr>
              <w:t>训练数据集</w:t>
            </w:r>
          </w:p>
        </w:tc>
        <w:tc>
          <w:tcPr>
            <w:tcW w:w="5414" w:type="dxa"/>
            <w:tcBorders>
              <w:top w:val="single" w:color="000000" w:sz="4" w:space="0"/>
              <w:left w:val="single" w:color="000000" w:sz="4" w:space="0"/>
              <w:bottom w:val="single" w:color="000000" w:sz="4" w:space="0"/>
              <w:right w:val="single" w:color="000000" w:sz="4" w:space="0"/>
            </w:tcBorders>
            <w:vAlign w:val="center"/>
          </w:tcPr>
          <w:p w14:paraId="60F71290">
            <w:pPr>
              <w:ind w:left="0" w:leftChars="0" w:firstLine="0" w:firstLineChars="0"/>
              <w:rPr>
                <w:lang w:bidi="ar"/>
              </w:rPr>
            </w:pPr>
            <w:r>
              <w:rPr>
                <w:rFonts w:hint="eastAsia"/>
                <w:lang w:bidi="ar"/>
              </w:rPr>
              <w:t>支持指令数据集、微调数据集等数据集训练，还支持多模态图像数据集、 视频数据集以及音频数据集的输入。</w:t>
            </w:r>
          </w:p>
        </w:tc>
      </w:tr>
      <w:tr w14:paraId="26CEC9A8">
        <w:tblPrEx>
          <w:tblCellMar>
            <w:top w:w="0" w:type="dxa"/>
            <w:left w:w="108" w:type="dxa"/>
            <w:bottom w:w="0" w:type="dxa"/>
            <w:right w:w="108" w:type="dxa"/>
          </w:tblCellMar>
        </w:tblPrEx>
        <w:trPr>
          <w:trHeight w:val="835" w:hRule="atLeast"/>
        </w:trPr>
        <w:tc>
          <w:tcPr>
            <w:tcW w:w="693" w:type="dxa"/>
            <w:vMerge w:val="restart"/>
            <w:tcBorders>
              <w:top w:val="single" w:color="000000" w:sz="4" w:space="0"/>
              <w:left w:val="single" w:color="000000" w:sz="4" w:space="0"/>
              <w:bottom w:val="single" w:color="000000" w:sz="4" w:space="0"/>
              <w:right w:val="single" w:color="000000" w:sz="4" w:space="0"/>
            </w:tcBorders>
            <w:noWrap/>
            <w:vAlign w:val="center"/>
          </w:tcPr>
          <w:p w14:paraId="0F5A31DD">
            <w:pPr>
              <w:ind w:left="0" w:leftChars="0" w:firstLine="0" w:firstLineChars="0"/>
              <w:rPr>
                <w:lang w:bidi="ar"/>
              </w:rPr>
            </w:pPr>
            <w:r>
              <w:rPr>
                <w:rFonts w:hint="eastAsia"/>
                <w:lang w:bidi="ar"/>
              </w:rPr>
              <w:t>4</w:t>
            </w:r>
          </w:p>
        </w:tc>
        <w:tc>
          <w:tcPr>
            <w:tcW w:w="1074" w:type="dxa"/>
            <w:vMerge w:val="restart"/>
            <w:tcBorders>
              <w:top w:val="single" w:color="000000" w:sz="4" w:space="0"/>
              <w:left w:val="single" w:color="000000" w:sz="4" w:space="0"/>
              <w:bottom w:val="single" w:color="000000" w:sz="4" w:space="0"/>
              <w:right w:val="single" w:color="000000" w:sz="4" w:space="0"/>
            </w:tcBorders>
            <w:noWrap/>
            <w:vAlign w:val="center"/>
          </w:tcPr>
          <w:p w14:paraId="1237A3EF">
            <w:pPr>
              <w:ind w:left="0" w:leftChars="0" w:firstLine="0" w:firstLineChars="0"/>
              <w:rPr>
                <w:lang w:bidi="ar"/>
              </w:rPr>
            </w:pPr>
            <w:r>
              <w:rPr>
                <w:rFonts w:hint="eastAsia"/>
                <w:lang w:bidi="ar"/>
              </w:rPr>
              <w:t>训练监控和效果测试</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7B98D316">
            <w:pPr>
              <w:ind w:left="0" w:leftChars="0" w:firstLine="0" w:firstLineChars="0"/>
              <w:rPr>
                <w:lang w:bidi="ar"/>
              </w:rPr>
            </w:pPr>
            <w:r>
              <w:rPr>
                <w:rFonts w:hint="eastAsia"/>
                <w:lang w:bidi="ar"/>
              </w:rPr>
              <w:t>实验监控与高性能推理</w:t>
            </w:r>
          </w:p>
        </w:tc>
        <w:tc>
          <w:tcPr>
            <w:tcW w:w="5414" w:type="dxa"/>
            <w:tcBorders>
              <w:top w:val="single" w:color="000000" w:sz="4" w:space="0"/>
              <w:left w:val="single" w:color="000000" w:sz="4" w:space="0"/>
              <w:bottom w:val="single" w:color="000000" w:sz="4" w:space="0"/>
              <w:right w:val="single" w:color="000000" w:sz="4" w:space="0"/>
            </w:tcBorders>
            <w:vAlign w:val="center"/>
          </w:tcPr>
          <w:p w14:paraId="30E6F196">
            <w:pPr>
              <w:ind w:left="0" w:leftChars="0" w:firstLine="0" w:firstLineChars="0"/>
              <w:rPr>
                <w:lang w:bidi="ar"/>
              </w:rPr>
            </w:pPr>
            <w:r>
              <w:rPr>
                <w:rFonts w:hint="eastAsia"/>
                <w:lang w:bidi="ar"/>
              </w:rPr>
              <w:t>支持TensorBoard等实时监控，同时集成了FlashAttention-2等主流加速技术。</w:t>
            </w:r>
          </w:p>
        </w:tc>
      </w:tr>
      <w:tr w14:paraId="16E86643">
        <w:tblPrEx>
          <w:tblCellMar>
            <w:top w:w="0" w:type="dxa"/>
            <w:left w:w="108" w:type="dxa"/>
            <w:bottom w:w="0" w:type="dxa"/>
            <w:right w:w="108" w:type="dxa"/>
          </w:tblCellMar>
        </w:tblPrEx>
        <w:trPr>
          <w:trHeight w:val="750" w:hRule="atLeast"/>
        </w:trPr>
        <w:tc>
          <w:tcPr>
            <w:tcW w:w="693" w:type="dxa"/>
            <w:vMerge w:val="continue"/>
            <w:tcBorders>
              <w:top w:val="single" w:color="000000" w:sz="4" w:space="0"/>
              <w:left w:val="single" w:color="000000" w:sz="4" w:space="0"/>
              <w:bottom w:val="single" w:color="000000" w:sz="4" w:space="0"/>
              <w:right w:val="single" w:color="000000" w:sz="4" w:space="0"/>
            </w:tcBorders>
            <w:noWrap/>
            <w:vAlign w:val="center"/>
          </w:tcPr>
          <w:p w14:paraId="661AF46A">
            <w:pPr>
              <w:ind w:left="0" w:leftChars="0" w:firstLine="0" w:firstLineChars="0"/>
              <w:rPr>
                <w:lang w:bidi="ar"/>
              </w:rPr>
            </w:pPr>
          </w:p>
        </w:tc>
        <w:tc>
          <w:tcPr>
            <w:tcW w:w="1074" w:type="dxa"/>
            <w:vMerge w:val="continue"/>
            <w:tcBorders>
              <w:top w:val="single" w:color="000000" w:sz="4" w:space="0"/>
              <w:left w:val="single" w:color="000000" w:sz="4" w:space="0"/>
              <w:bottom w:val="single" w:color="000000" w:sz="4" w:space="0"/>
              <w:right w:val="single" w:color="000000" w:sz="4" w:space="0"/>
            </w:tcBorders>
            <w:noWrap/>
            <w:vAlign w:val="center"/>
          </w:tcPr>
          <w:p w14:paraId="331F842A">
            <w:pPr>
              <w:ind w:left="0" w:leftChars="0" w:firstLine="0" w:firstLineChars="0"/>
              <w:rPr>
                <w:lang w:bidi="ar"/>
              </w:rPr>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5B1E0A2F">
            <w:pPr>
              <w:ind w:left="0" w:leftChars="0" w:firstLine="0" w:firstLineChars="0"/>
              <w:rPr>
                <w:lang w:bidi="ar"/>
              </w:rPr>
            </w:pPr>
            <w:r>
              <w:rPr>
                <w:rFonts w:hint="eastAsia"/>
                <w:lang w:bidi="ar"/>
              </w:rPr>
              <w:t>训练效果测试</w:t>
            </w:r>
          </w:p>
        </w:tc>
        <w:tc>
          <w:tcPr>
            <w:tcW w:w="5414" w:type="dxa"/>
            <w:tcBorders>
              <w:top w:val="single" w:color="000000" w:sz="4" w:space="0"/>
              <w:left w:val="single" w:color="000000" w:sz="4" w:space="0"/>
              <w:bottom w:val="single" w:color="000000" w:sz="4" w:space="0"/>
              <w:right w:val="single" w:color="000000" w:sz="4" w:space="0"/>
            </w:tcBorders>
            <w:vAlign w:val="center"/>
          </w:tcPr>
          <w:p w14:paraId="2A799F7E">
            <w:pPr>
              <w:ind w:left="0" w:leftChars="0" w:firstLine="0" w:firstLineChars="0"/>
              <w:rPr>
                <w:lang w:bidi="ar"/>
              </w:rPr>
            </w:pPr>
            <w:r>
              <w:rPr>
                <w:rFonts w:hint="eastAsia"/>
                <w:lang w:bidi="ar"/>
              </w:rPr>
              <w:t>训练后支持通过vLLM快速推理或直接测试对话效果。</w:t>
            </w:r>
          </w:p>
        </w:tc>
      </w:tr>
      <w:tr w14:paraId="5177934C">
        <w:tblPrEx>
          <w:tblCellMar>
            <w:top w:w="0" w:type="dxa"/>
            <w:left w:w="108" w:type="dxa"/>
            <w:bottom w:w="0" w:type="dxa"/>
            <w:right w:w="108" w:type="dxa"/>
          </w:tblCellMar>
        </w:tblPrEx>
        <w:trPr>
          <w:trHeight w:val="1375" w:hRule="atLeast"/>
        </w:trPr>
        <w:tc>
          <w:tcPr>
            <w:tcW w:w="693" w:type="dxa"/>
            <w:vMerge w:val="restart"/>
            <w:tcBorders>
              <w:top w:val="single" w:color="000000" w:sz="4" w:space="0"/>
              <w:left w:val="single" w:color="000000" w:sz="4" w:space="0"/>
              <w:bottom w:val="single" w:color="000000" w:sz="4" w:space="0"/>
              <w:right w:val="single" w:color="000000" w:sz="4" w:space="0"/>
            </w:tcBorders>
            <w:noWrap/>
            <w:vAlign w:val="center"/>
          </w:tcPr>
          <w:p w14:paraId="6CA7E8BC">
            <w:pPr>
              <w:ind w:left="0" w:leftChars="0" w:firstLine="0" w:firstLineChars="0"/>
              <w:rPr>
                <w:lang w:bidi="ar"/>
              </w:rPr>
            </w:pPr>
            <w:r>
              <w:rPr>
                <w:rFonts w:hint="eastAsia"/>
                <w:lang w:bidi="ar"/>
              </w:rPr>
              <w:t>5</w:t>
            </w:r>
          </w:p>
        </w:tc>
        <w:tc>
          <w:tcPr>
            <w:tcW w:w="1074" w:type="dxa"/>
            <w:vMerge w:val="restart"/>
            <w:tcBorders>
              <w:top w:val="single" w:color="000000" w:sz="4" w:space="0"/>
              <w:left w:val="single" w:color="000000" w:sz="4" w:space="0"/>
              <w:bottom w:val="single" w:color="000000" w:sz="4" w:space="0"/>
              <w:right w:val="single" w:color="000000" w:sz="4" w:space="0"/>
            </w:tcBorders>
            <w:noWrap/>
            <w:vAlign w:val="center"/>
          </w:tcPr>
          <w:p w14:paraId="009870AF">
            <w:pPr>
              <w:ind w:left="0" w:leftChars="0" w:firstLine="0" w:firstLineChars="0"/>
              <w:rPr>
                <w:lang w:bidi="ar"/>
              </w:rPr>
            </w:pPr>
            <w:r>
              <w:rPr>
                <w:rFonts w:hint="eastAsia"/>
                <w:lang w:bidi="ar"/>
              </w:rPr>
              <w:t>训练后大模型部署</w:t>
            </w:r>
          </w:p>
        </w:tc>
        <w:tc>
          <w:tcPr>
            <w:tcW w:w="958" w:type="dxa"/>
            <w:vMerge w:val="restart"/>
            <w:tcBorders>
              <w:top w:val="single" w:color="000000" w:sz="4" w:space="0"/>
              <w:left w:val="single" w:color="000000" w:sz="4" w:space="0"/>
              <w:bottom w:val="single" w:color="000000" w:sz="4" w:space="0"/>
              <w:right w:val="single" w:color="000000" w:sz="4" w:space="0"/>
            </w:tcBorders>
            <w:noWrap/>
            <w:vAlign w:val="center"/>
          </w:tcPr>
          <w:p w14:paraId="73278AC4">
            <w:pPr>
              <w:ind w:left="0" w:leftChars="0" w:firstLine="0" w:firstLineChars="0"/>
              <w:rPr>
                <w:lang w:bidi="ar"/>
              </w:rPr>
            </w:pPr>
            <w:r>
              <w:rPr>
                <w:rFonts w:hint="eastAsia"/>
                <w:lang w:bidi="ar"/>
              </w:rPr>
              <w:t>便捷的模型部署与量化</w:t>
            </w:r>
          </w:p>
        </w:tc>
        <w:tc>
          <w:tcPr>
            <w:tcW w:w="5414" w:type="dxa"/>
            <w:tcBorders>
              <w:top w:val="single" w:color="000000" w:sz="4" w:space="0"/>
              <w:left w:val="single" w:color="000000" w:sz="4" w:space="0"/>
              <w:bottom w:val="single" w:color="000000" w:sz="4" w:space="0"/>
              <w:right w:val="single" w:color="000000" w:sz="4" w:space="0"/>
            </w:tcBorders>
            <w:vAlign w:val="center"/>
          </w:tcPr>
          <w:p w14:paraId="4F036CF3">
            <w:pPr>
              <w:ind w:left="0" w:leftChars="0" w:firstLine="0" w:firstLineChars="0"/>
              <w:rPr>
                <w:lang w:bidi="ar"/>
              </w:rPr>
            </w:pPr>
            <w:r>
              <w:rPr>
                <w:rFonts w:hint="eastAsia"/>
                <w:lang w:bidi="ar"/>
              </w:rPr>
              <w:t>△支持将训练好的LoRA权重合并导出，支持对模型进行int4-W4A16、Int8-W8A16、FP8-Wfp8Afp8量化策略，降低模型大小和推理成本。（提供产品演示视频证明）</w:t>
            </w:r>
          </w:p>
        </w:tc>
      </w:tr>
      <w:tr w14:paraId="1203CA97">
        <w:tblPrEx>
          <w:tblCellMar>
            <w:top w:w="0" w:type="dxa"/>
            <w:left w:w="108" w:type="dxa"/>
            <w:bottom w:w="0" w:type="dxa"/>
            <w:right w:w="108" w:type="dxa"/>
          </w:tblCellMar>
        </w:tblPrEx>
        <w:trPr>
          <w:trHeight w:val="835" w:hRule="atLeast"/>
        </w:trPr>
        <w:tc>
          <w:tcPr>
            <w:tcW w:w="693" w:type="dxa"/>
            <w:vMerge w:val="continue"/>
            <w:tcBorders>
              <w:top w:val="single" w:color="000000" w:sz="4" w:space="0"/>
              <w:left w:val="single" w:color="000000" w:sz="4" w:space="0"/>
              <w:bottom w:val="single" w:color="000000" w:sz="4" w:space="0"/>
              <w:right w:val="single" w:color="000000" w:sz="4" w:space="0"/>
            </w:tcBorders>
            <w:noWrap/>
            <w:vAlign w:val="center"/>
          </w:tcPr>
          <w:p w14:paraId="735AAF76">
            <w:pPr>
              <w:ind w:left="0" w:leftChars="0" w:firstLine="0" w:firstLineChars="0"/>
              <w:rPr>
                <w:lang w:bidi="ar"/>
              </w:rPr>
            </w:pPr>
          </w:p>
        </w:tc>
        <w:tc>
          <w:tcPr>
            <w:tcW w:w="1074" w:type="dxa"/>
            <w:vMerge w:val="continue"/>
            <w:tcBorders>
              <w:top w:val="single" w:color="000000" w:sz="4" w:space="0"/>
              <w:left w:val="single" w:color="000000" w:sz="4" w:space="0"/>
              <w:bottom w:val="single" w:color="000000" w:sz="4" w:space="0"/>
              <w:right w:val="single" w:color="000000" w:sz="4" w:space="0"/>
            </w:tcBorders>
            <w:noWrap/>
            <w:vAlign w:val="center"/>
          </w:tcPr>
          <w:p w14:paraId="790A2E6F">
            <w:pPr>
              <w:ind w:left="0" w:leftChars="0" w:firstLine="0" w:firstLineChars="0"/>
              <w:rPr>
                <w:lang w:bidi="ar"/>
              </w:rPr>
            </w:pPr>
          </w:p>
        </w:tc>
        <w:tc>
          <w:tcPr>
            <w:tcW w:w="958" w:type="dxa"/>
            <w:vMerge w:val="continue"/>
            <w:tcBorders>
              <w:top w:val="single" w:color="000000" w:sz="4" w:space="0"/>
              <w:left w:val="single" w:color="000000" w:sz="4" w:space="0"/>
              <w:bottom w:val="single" w:color="000000" w:sz="4" w:space="0"/>
              <w:right w:val="single" w:color="000000" w:sz="4" w:space="0"/>
            </w:tcBorders>
            <w:noWrap/>
            <w:vAlign w:val="center"/>
          </w:tcPr>
          <w:p w14:paraId="16A4602C">
            <w:pPr>
              <w:ind w:left="0" w:leftChars="0" w:firstLine="0" w:firstLineChars="0"/>
              <w:rPr>
                <w:lang w:bidi="ar"/>
              </w:rPr>
            </w:pPr>
          </w:p>
        </w:tc>
        <w:tc>
          <w:tcPr>
            <w:tcW w:w="5414" w:type="dxa"/>
            <w:tcBorders>
              <w:top w:val="single" w:color="000000" w:sz="4" w:space="0"/>
              <w:left w:val="single" w:color="000000" w:sz="4" w:space="0"/>
              <w:bottom w:val="single" w:color="000000" w:sz="4" w:space="0"/>
              <w:right w:val="single" w:color="000000" w:sz="4" w:space="0"/>
            </w:tcBorders>
            <w:vAlign w:val="center"/>
          </w:tcPr>
          <w:p w14:paraId="3B0A3799">
            <w:pPr>
              <w:ind w:left="0" w:leftChars="0" w:firstLine="0" w:firstLineChars="0"/>
              <w:rPr>
                <w:lang w:bidi="ar"/>
              </w:rPr>
            </w:pPr>
            <w:r>
              <w:rPr>
                <w:rFonts w:hint="eastAsia"/>
                <w:lang w:bidi="ar"/>
              </w:rPr>
              <w:t>支持模型格式转换，ModelScope、HuggingFace转Megatron，Megatron转ModelScope、HuggingFace。</w:t>
            </w:r>
          </w:p>
        </w:tc>
      </w:tr>
    </w:tbl>
    <w:p w14:paraId="367FCCD0">
      <w:pPr>
        <w:rPr>
          <w:lang w:bidi="ar"/>
        </w:rPr>
      </w:pPr>
    </w:p>
    <w:p w14:paraId="5FE105C0">
      <w:pPr>
        <w:rPr>
          <w:lang w:bidi="ar"/>
        </w:rPr>
      </w:pPr>
      <w:r>
        <w:rPr>
          <w:rFonts w:hint="eastAsia"/>
          <w:lang w:bidi="ar"/>
        </w:rPr>
        <w:t>面向Al语料库的高质量数据统一治理</w:t>
      </w:r>
    </w:p>
    <w:tbl>
      <w:tblPr>
        <w:tblStyle w:val="7"/>
        <w:tblW w:w="8135" w:type="dxa"/>
        <w:tblInd w:w="88" w:type="dxa"/>
        <w:tblLayout w:type="fixed"/>
        <w:tblCellMar>
          <w:top w:w="0" w:type="dxa"/>
          <w:left w:w="108" w:type="dxa"/>
          <w:bottom w:w="0" w:type="dxa"/>
          <w:right w:w="108" w:type="dxa"/>
        </w:tblCellMar>
      </w:tblPr>
      <w:tblGrid>
        <w:gridCol w:w="504"/>
        <w:gridCol w:w="1264"/>
        <w:gridCol w:w="958"/>
        <w:gridCol w:w="5409"/>
      </w:tblGrid>
      <w:tr w14:paraId="74EB14E1">
        <w:tblPrEx>
          <w:tblCellMar>
            <w:top w:w="0" w:type="dxa"/>
            <w:left w:w="108" w:type="dxa"/>
            <w:bottom w:w="0" w:type="dxa"/>
            <w:right w:w="108" w:type="dxa"/>
          </w:tblCellMar>
        </w:tblPrEx>
        <w:trPr>
          <w:trHeight w:val="336"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56A68DCF">
            <w:pPr>
              <w:ind w:left="0" w:leftChars="0" w:firstLine="0" w:firstLineChars="0"/>
            </w:pPr>
            <w:r>
              <w:rPr>
                <w:rFonts w:hint="eastAsia"/>
                <w:lang w:bidi="ar"/>
              </w:rPr>
              <w:t>序号</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4E9B3017">
            <w:pPr>
              <w:ind w:left="0" w:leftChars="0" w:firstLine="0" w:firstLineChars="0"/>
            </w:pPr>
            <w:r>
              <w:rPr>
                <w:rFonts w:hint="eastAsia"/>
                <w:lang w:bidi="ar"/>
              </w:rPr>
              <w:t>系统/设备名称</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3290BFCB">
            <w:pPr>
              <w:ind w:left="0" w:leftChars="0" w:firstLine="0" w:firstLineChars="0"/>
            </w:pPr>
            <w:r>
              <w:rPr>
                <w:rFonts w:hint="eastAsia"/>
                <w:lang w:bidi="ar"/>
              </w:rPr>
              <w:t>指标项</w:t>
            </w:r>
          </w:p>
        </w:tc>
        <w:tc>
          <w:tcPr>
            <w:tcW w:w="5409" w:type="dxa"/>
            <w:tcBorders>
              <w:top w:val="single" w:color="000000" w:sz="4" w:space="0"/>
              <w:left w:val="single" w:color="000000" w:sz="4" w:space="0"/>
              <w:bottom w:val="single" w:color="000000" w:sz="4" w:space="0"/>
              <w:right w:val="single" w:color="000000" w:sz="4" w:space="0"/>
            </w:tcBorders>
            <w:vAlign w:val="center"/>
          </w:tcPr>
          <w:p w14:paraId="761A95A0">
            <w:pPr>
              <w:ind w:left="0" w:leftChars="0" w:firstLine="0" w:firstLineChars="0"/>
            </w:pPr>
            <w:r>
              <w:rPr>
                <w:rFonts w:hint="eastAsia"/>
                <w:lang w:bidi="ar"/>
              </w:rPr>
              <w:t>参数要求</w:t>
            </w:r>
          </w:p>
        </w:tc>
      </w:tr>
      <w:tr w14:paraId="50070947">
        <w:tblPrEx>
          <w:tblCellMar>
            <w:top w:w="0" w:type="dxa"/>
            <w:left w:w="108" w:type="dxa"/>
            <w:bottom w:w="0" w:type="dxa"/>
            <w:right w:w="108" w:type="dxa"/>
          </w:tblCellMar>
        </w:tblPrEx>
        <w:trPr>
          <w:trHeight w:val="82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798D0262">
            <w:pPr>
              <w:ind w:left="0" w:leftChars="0" w:firstLine="0" w:firstLineChars="0"/>
            </w:pPr>
            <w:r>
              <w:rPr>
                <w:rFonts w:hint="eastAsia"/>
                <w:lang w:bidi="ar"/>
              </w:rPr>
              <w:t>1</w:t>
            </w:r>
          </w:p>
        </w:tc>
        <w:tc>
          <w:tcPr>
            <w:tcW w:w="1264" w:type="dxa"/>
            <w:vMerge w:val="restart"/>
            <w:tcBorders>
              <w:top w:val="single" w:color="000000" w:sz="4" w:space="0"/>
              <w:left w:val="single" w:color="000000" w:sz="4" w:space="0"/>
              <w:bottom w:val="single" w:color="000000" w:sz="4" w:space="0"/>
              <w:right w:val="single" w:color="000000" w:sz="4" w:space="0"/>
            </w:tcBorders>
            <w:noWrap/>
            <w:vAlign w:val="center"/>
          </w:tcPr>
          <w:p w14:paraId="31A1532D">
            <w:pPr>
              <w:ind w:left="0" w:leftChars="0" w:firstLine="0" w:firstLineChars="0"/>
            </w:pPr>
            <w:r>
              <w:rPr>
                <w:rFonts w:hint="eastAsia"/>
                <w:lang w:bidi="ar"/>
              </w:rPr>
              <w:t>医疗语料与治理</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1500BCA4">
            <w:pPr>
              <w:ind w:left="0" w:leftChars="0" w:firstLine="0" w:firstLineChars="0"/>
            </w:pPr>
            <w:r>
              <w:rPr>
                <w:rFonts w:hint="eastAsia"/>
                <w:lang w:bidi="ar"/>
              </w:rPr>
              <w:t>数据源接入</w:t>
            </w:r>
          </w:p>
        </w:tc>
        <w:tc>
          <w:tcPr>
            <w:tcW w:w="5409" w:type="dxa"/>
            <w:tcBorders>
              <w:top w:val="single" w:color="000000" w:sz="4" w:space="0"/>
              <w:left w:val="single" w:color="000000" w:sz="4" w:space="0"/>
              <w:bottom w:val="single" w:color="000000" w:sz="4" w:space="0"/>
              <w:right w:val="single" w:color="000000" w:sz="4" w:space="0"/>
            </w:tcBorders>
            <w:vAlign w:val="center"/>
          </w:tcPr>
          <w:p w14:paraId="5851AA81">
            <w:pPr>
              <w:ind w:left="0" w:leftChars="0" w:firstLine="0" w:firstLineChars="0"/>
            </w:pPr>
            <w:r>
              <w:rPr>
                <w:rFonts w:hint="eastAsia"/>
                <w:lang w:bidi="ar"/>
              </w:rPr>
              <w:t>接入来自电子病历、医学文献、临床指南、医学影像报告、基因数据等多源异构的原始数据。</w:t>
            </w:r>
          </w:p>
        </w:tc>
      </w:tr>
      <w:tr w14:paraId="1DEAB4F6">
        <w:tblPrEx>
          <w:tblCellMar>
            <w:top w:w="0" w:type="dxa"/>
            <w:left w:w="108" w:type="dxa"/>
            <w:bottom w:w="0" w:type="dxa"/>
            <w:right w:w="108" w:type="dxa"/>
          </w:tblCellMar>
        </w:tblPrEx>
        <w:trPr>
          <w:trHeight w:val="82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38FBD0A5">
            <w:pPr>
              <w:ind w:left="0" w:leftChars="0" w:firstLine="0" w:firstLineChars="0"/>
            </w:pPr>
            <w:r>
              <w:rPr>
                <w:rFonts w:hint="eastAsia"/>
                <w:lang w:bidi="ar"/>
              </w:rPr>
              <w:t>2</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2F801A57">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607F519F">
            <w:pPr>
              <w:ind w:left="0" w:leftChars="0" w:firstLine="0" w:firstLineChars="0"/>
            </w:pPr>
            <w:r>
              <w:rPr>
                <w:rFonts w:hint="eastAsia"/>
                <w:lang w:bidi="ar"/>
              </w:rPr>
              <w:t>临床指南与共识语料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0F6B2EAF">
            <w:pPr>
              <w:ind w:left="0" w:leftChars="0" w:firstLine="0" w:firstLineChars="0"/>
            </w:pPr>
            <w:r>
              <w:rPr>
                <w:rFonts w:hint="eastAsia"/>
                <w:lang w:bidi="ar"/>
              </w:rPr>
              <w:t>国内外白内障诊疗相关临床指南与专家共识，结构化为推荐条目与证据等级。建议覆盖主流指南/共识≥10份。</w:t>
            </w:r>
          </w:p>
        </w:tc>
      </w:tr>
      <w:tr w14:paraId="16A0EAAF">
        <w:tblPrEx>
          <w:tblCellMar>
            <w:top w:w="0" w:type="dxa"/>
            <w:left w:w="108" w:type="dxa"/>
            <w:bottom w:w="0" w:type="dxa"/>
            <w:right w:w="108" w:type="dxa"/>
          </w:tblCellMar>
        </w:tblPrEx>
        <w:trPr>
          <w:trHeight w:val="110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502CFC7C">
            <w:pPr>
              <w:ind w:left="0" w:leftChars="0" w:firstLine="0" w:firstLineChars="0"/>
            </w:pPr>
            <w:r>
              <w:rPr>
                <w:rFonts w:hint="eastAsia"/>
                <w:lang w:bidi="ar"/>
              </w:rPr>
              <w:t>3</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68DF06F2">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4F1A7351">
            <w:pPr>
              <w:ind w:left="0" w:leftChars="0" w:firstLine="0" w:firstLineChars="0"/>
            </w:pPr>
            <w:r>
              <w:rPr>
                <w:rFonts w:hint="eastAsia"/>
                <w:lang w:bidi="ar"/>
              </w:rPr>
              <w:t>医学文献语料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44C6B880">
            <w:pPr>
              <w:ind w:left="0" w:leftChars="0" w:firstLine="0" w:firstLineChars="0"/>
            </w:pPr>
            <w:r>
              <w:rPr>
                <w:rFonts w:hint="eastAsia"/>
                <w:lang w:bidi="ar"/>
              </w:rPr>
              <w:t>白内障诊疗、人工晶体与手术术式相关的核心期刊文献与综述，结构化为主题、结论与引用信息。建议≥500篇核心文献。</w:t>
            </w:r>
          </w:p>
        </w:tc>
      </w:tr>
      <w:tr w14:paraId="0E4D9AA4">
        <w:tblPrEx>
          <w:tblCellMar>
            <w:top w:w="0" w:type="dxa"/>
            <w:left w:w="108" w:type="dxa"/>
            <w:bottom w:w="0" w:type="dxa"/>
            <w:right w:w="108" w:type="dxa"/>
          </w:tblCellMar>
        </w:tblPrEx>
        <w:trPr>
          <w:trHeight w:val="82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3657E96E">
            <w:pPr>
              <w:ind w:left="0" w:leftChars="0" w:firstLine="0" w:firstLineChars="0"/>
            </w:pPr>
            <w:r>
              <w:rPr>
                <w:rFonts w:hint="eastAsia"/>
                <w:lang w:bidi="ar"/>
              </w:rPr>
              <w:t>4</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65A30118">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396DD148">
            <w:pPr>
              <w:ind w:left="0" w:leftChars="0" w:firstLine="0" w:firstLineChars="0"/>
            </w:pPr>
            <w:r>
              <w:rPr>
                <w:rFonts w:hint="eastAsia"/>
                <w:lang w:bidi="ar"/>
              </w:rPr>
              <w:t>手术操作语料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45028FA6">
            <w:pPr>
              <w:ind w:left="0" w:leftChars="0" w:firstLine="0" w:firstLineChars="0"/>
            </w:pPr>
            <w:r>
              <w:rPr>
                <w:rFonts w:hint="eastAsia"/>
                <w:lang w:bidi="ar"/>
              </w:rPr>
              <w:t>白内障超声乳化、飞秒激光辅助等术式的操作流程、关键步骤、并发症处理与围手术期要点。</w:t>
            </w:r>
          </w:p>
        </w:tc>
      </w:tr>
      <w:tr w14:paraId="5FEABE3D">
        <w:tblPrEx>
          <w:tblCellMar>
            <w:top w:w="0" w:type="dxa"/>
            <w:left w:w="108" w:type="dxa"/>
            <w:bottom w:w="0" w:type="dxa"/>
            <w:right w:w="108" w:type="dxa"/>
          </w:tblCellMar>
        </w:tblPrEx>
        <w:trPr>
          <w:trHeight w:val="82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5232360E">
            <w:pPr>
              <w:ind w:left="0" w:leftChars="0" w:firstLine="0" w:firstLineChars="0"/>
            </w:pPr>
            <w:r>
              <w:rPr>
                <w:rFonts w:hint="eastAsia"/>
                <w:lang w:bidi="ar"/>
              </w:rPr>
              <w:t>5</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6B50A4EE">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0FD4233E">
            <w:pPr>
              <w:ind w:left="0" w:leftChars="0" w:firstLine="0" w:firstLineChars="0"/>
            </w:pPr>
            <w:r>
              <w:rPr>
                <w:rFonts w:hint="eastAsia"/>
                <w:lang w:bidi="ar"/>
              </w:rPr>
              <w:t>人工晶体说明书语料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5858C0D6">
            <w:pPr>
              <w:ind w:left="0" w:leftChars="0" w:firstLine="0" w:firstLineChars="0"/>
            </w:pPr>
            <w:r>
              <w:rPr>
                <w:rFonts w:hint="eastAsia"/>
                <w:lang w:bidi="ar"/>
              </w:rPr>
              <w:t>主流人工晶体说明书，结构化为型号、适应证、光学参数、禁忌、注意事项。建议覆盖≥30款在用型号。</w:t>
            </w:r>
          </w:p>
        </w:tc>
      </w:tr>
      <w:tr w14:paraId="5F5B4DA6">
        <w:tblPrEx>
          <w:tblCellMar>
            <w:top w:w="0" w:type="dxa"/>
            <w:left w:w="108" w:type="dxa"/>
            <w:bottom w:w="0" w:type="dxa"/>
            <w:right w:w="108" w:type="dxa"/>
          </w:tblCellMar>
        </w:tblPrEx>
        <w:trPr>
          <w:trHeight w:val="82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4B910499">
            <w:pPr>
              <w:ind w:left="0" w:leftChars="0" w:firstLine="0" w:firstLineChars="0"/>
            </w:pPr>
            <w:r>
              <w:rPr>
                <w:rFonts w:hint="eastAsia"/>
                <w:lang w:bidi="ar"/>
              </w:rPr>
              <w:t>6</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156A44A4">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28D80000">
            <w:pPr>
              <w:ind w:left="0" w:leftChars="0" w:firstLine="0" w:firstLineChars="0"/>
            </w:pPr>
            <w:r>
              <w:rPr>
                <w:rFonts w:hint="eastAsia"/>
                <w:lang w:bidi="ar"/>
              </w:rPr>
              <w:t>人工晶体知识语料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0184D13A">
            <w:pPr>
              <w:ind w:left="0" w:leftChars="0" w:firstLine="0" w:firstLineChars="0"/>
            </w:pPr>
            <w:r>
              <w:rPr>
                <w:rFonts w:hint="eastAsia"/>
                <w:lang w:bidi="ar"/>
              </w:rPr>
              <w:t>单焦点、散光矫正、多焦点、连续视程四类晶体的特点、适用人群与限制条目。</w:t>
            </w:r>
          </w:p>
        </w:tc>
      </w:tr>
      <w:tr w14:paraId="71C79B80">
        <w:tblPrEx>
          <w:tblCellMar>
            <w:top w:w="0" w:type="dxa"/>
            <w:left w:w="108" w:type="dxa"/>
            <w:bottom w:w="0" w:type="dxa"/>
            <w:right w:w="108" w:type="dxa"/>
          </w:tblCellMar>
        </w:tblPrEx>
        <w:trPr>
          <w:trHeight w:val="56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4CBEC042">
            <w:pPr>
              <w:ind w:left="0" w:leftChars="0" w:firstLine="0" w:firstLineChars="0"/>
            </w:pPr>
            <w:r>
              <w:rPr>
                <w:rFonts w:hint="eastAsia"/>
                <w:lang w:bidi="ar"/>
              </w:rPr>
              <w:t>7</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4CE278F2">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2746B501">
            <w:pPr>
              <w:ind w:left="0" w:leftChars="0" w:firstLine="0" w:firstLineChars="0"/>
            </w:pPr>
            <w:r>
              <w:rPr>
                <w:rFonts w:hint="eastAsia"/>
                <w:lang w:bidi="ar"/>
              </w:rPr>
              <w:t>院内可用晶体目录语料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5E9AC014">
            <w:pPr>
              <w:ind w:left="0" w:leftChars="0" w:firstLine="0" w:firstLineChars="0"/>
            </w:pPr>
            <w:r>
              <w:rPr>
                <w:rFonts w:hint="eastAsia"/>
                <w:lang w:bidi="ar"/>
              </w:rPr>
              <w:t>本院在用晶体型号目录，含档位、是否可矫正散光、适应证与注意事项。</w:t>
            </w:r>
          </w:p>
        </w:tc>
      </w:tr>
      <w:tr w14:paraId="3FB6E402">
        <w:tblPrEx>
          <w:tblCellMar>
            <w:top w:w="0" w:type="dxa"/>
            <w:left w:w="108" w:type="dxa"/>
            <w:bottom w:w="0" w:type="dxa"/>
            <w:right w:w="108" w:type="dxa"/>
          </w:tblCellMar>
        </w:tblPrEx>
        <w:trPr>
          <w:trHeight w:val="56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11A56E58">
            <w:pPr>
              <w:ind w:left="0" w:leftChars="0" w:firstLine="0" w:firstLineChars="0"/>
            </w:pPr>
            <w:r>
              <w:rPr>
                <w:rFonts w:hint="eastAsia"/>
                <w:lang w:bidi="ar"/>
              </w:rPr>
              <w:t>8</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1286EE94">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5D7B579D">
            <w:pPr>
              <w:ind w:left="0" w:leftChars="0" w:firstLine="0" w:firstLineChars="0"/>
            </w:pPr>
            <w:r>
              <w:rPr>
                <w:rFonts w:hint="eastAsia"/>
                <w:lang w:bidi="ar"/>
              </w:rPr>
              <w:t>价格与医保规则语料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5FDD168C">
            <w:pPr>
              <w:ind w:left="0" w:leftChars="0" w:firstLine="0" w:firstLineChars="0"/>
            </w:pPr>
            <w:r>
              <w:rPr>
                <w:rFonts w:hint="eastAsia"/>
                <w:lang w:bidi="ar"/>
              </w:rPr>
              <w:t>医保、自费、商保政策与各档晶体费用区间，及面向患者的可见解释口径。</w:t>
            </w:r>
          </w:p>
        </w:tc>
      </w:tr>
      <w:tr w14:paraId="1948D81C">
        <w:tblPrEx>
          <w:tblCellMar>
            <w:top w:w="0" w:type="dxa"/>
            <w:left w:w="108" w:type="dxa"/>
            <w:bottom w:w="0" w:type="dxa"/>
            <w:right w:w="108" w:type="dxa"/>
          </w:tblCellMar>
        </w:tblPrEx>
        <w:trPr>
          <w:trHeight w:val="82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6655F0D3">
            <w:pPr>
              <w:ind w:left="0" w:leftChars="0" w:firstLine="0" w:firstLineChars="0"/>
            </w:pPr>
            <w:r>
              <w:rPr>
                <w:rFonts w:hint="eastAsia"/>
                <w:lang w:bidi="ar"/>
              </w:rPr>
              <w:t>9</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0A04AF2A">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70C08FEF">
            <w:pPr>
              <w:ind w:left="0" w:leftChars="0" w:firstLine="0" w:firstLineChars="0"/>
            </w:pPr>
            <w:r>
              <w:rPr>
                <w:rFonts w:hint="eastAsia"/>
                <w:lang w:bidi="ar"/>
              </w:rPr>
              <w:t>眼部与全身风险/禁忌语料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265EAE13">
            <w:pPr>
              <w:ind w:left="0" w:leftChars="0" w:firstLine="0" w:firstLineChars="0"/>
            </w:pPr>
            <w:r>
              <w:rPr>
                <w:rFonts w:hint="eastAsia"/>
                <w:lang w:bidi="ar"/>
              </w:rPr>
              <w:t>糖尿病眼病、黄斑疾病、青光眼、角膜散光、干眼等眼部及全身因素对术式与晶体选择影响的条目。</w:t>
            </w:r>
          </w:p>
        </w:tc>
      </w:tr>
      <w:tr w14:paraId="773CEFAC">
        <w:tblPrEx>
          <w:tblCellMar>
            <w:top w:w="0" w:type="dxa"/>
            <w:left w:w="108" w:type="dxa"/>
            <w:bottom w:w="0" w:type="dxa"/>
            <w:right w:w="108" w:type="dxa"/>
          </w:tblCellMar>
        </w:tblPrEx>
        <w:trPr>
          <w:trHeight w:val="110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1A976F69">
            <w:pPr>
              <w:ind w:left="0" w:leftChars="0" w:firstLine="0" w:firstLineChars="0"/>
            </w:pPr>
            <w:r>
              <w:rPr>
                <w:rFonts w:hint="eastAsia"/>
                <w:lang w:bidi="ar"/>
              </w:rPr>
              <w:t>10</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3E99BC54">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2ADAAA4C">
            <w:pPr>
              <w:ind w:left="0" w:leftChars="0" w:firstLine="0" w:firstLineChars="0"/>
            </w:pPr>
            <w:r>
              <w:rPr>
                <w:rFonts w:hint="eastAsia"/>
                <w:lang w:bidi="ar"/>
              </w:rPr>
              <w:t>手术风险说明语料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21C3FFE6">
            <w:pPr>
              <w:ind w:left="0" w:leftChars="0" w:firstLine="0" w:firstLineChars="0"/>
            </w:pPr>
            <w:r>
              <w:rPr>
                <w:rFonts w:hint="eastAsia"/>
                <w:lang w:bidi="ar"/>
              </w:rPr>
              <w:t>感染、出血、炎症、角膜水肿、眼压升高、后囊混浊、晶体位置异常、视网膜相关、术后视力不达预期等风险说明条目。</w:t>
            </w:r>
          </w:p>
        </w:tc>
      </w:tr>
      <w:tr w14:paraId="6652A57F">
        <w:tblPrEx>
          <w:tblCellMar>
            <w:top w:w="0" w:type="dxa"/>
            <w:left w:w="108" w:type="dxa"/>
            <w:bottom w:w="0" w:type="dxa"/>
            <w:right w:w="108" w:type="dxa"/>
          </w:tblCellMar>
        </w:tblPrEx>
        <w:trPr>
          <w:trHeight w:val="110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77C38082">
            <w:pPr>
              <w:ind w:left="0" w:leftChars="0" w:firstLine="0" w:firstLineChars="0"/>
            </w:pPr>
            <w:r>
              <w:rPr>
                <w:rFonts w:hint="eastAsia"/>
                <w:lang w:bidi="ar"/>
              </w:rPr>
              <w:t>11</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2225F224">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24C70CBF">
            <w:pPr>
              <w:ind w:left="0" w:leftChars="0" w:firstLine="0" w:firstLineChars="0"/>
            </w:pPr>
            <w:r>
              <w:rPr>
                <w:rFonts w:hint="eastAsia"/>
                <w:lang w:bidi="ar"/>
              </w:rPr>
              <w:t>术前谈话章节语料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0340C1AC">
            <w:pPr>
              <w:ind w:left="0" w:leftChars="0" w:firstLine="0" w:firstLineChars="0"/>
            </w:pPr>
            <w:r>
              <w:rPr>
                <w:rFonts w:hint="eastAsia"/>
                <w:lang w:bidi="ar"/>
              </w:rPr>
              <w:t>八大章节标准谈话语料：为什么做、手术怎么做、晶体怎么选、手术风险、术前准备、术后护理、复诊与异常、常见问题。</w:t>
            </w:r>
          </w:p>
        </w:tc>
      </w:tr>
      <w:tr w14:paraId="21E540D9">
        <w:tblPrEx>
          <w:tblCellMar>
            <w:top w:w="0" w:type="dxa"/>
            <w:left w:w="108" w:type="dxa"/>
            <w:bottom w:w="0" w:type="dxa"/>
            <w:right w:w="108" w:type="dxa"/>
          </w:tblCellMar>
        </w:tblPrEx>
        <w:trPr>
          <w:trHeight w:val="110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0BA3D3F5">
            <w:pPr>
              <w:ind w:left="0" w:leftChars="0" w:firstLine="0" w:firstLineChars="0"/>
            </w:pPr>
            <w:r>
              <w:rPr>
                <w:rFonts w:hint="eastAsia"/>
                <w:lang w:bidi="ar"/>
              </w:rPr>
              <w:t>12</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270707D1">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53C39E0A">
            <w:pPr>
              <w:ind w:left="0" w:leftChars="0" w:firstLine="0" w:firstLineChars="0"/>
            </w:pPr>
            <w:r>
              <w:rPr>
                <w:rFonts w:hint="eastAsia"/>
                <w:lang w:bidi="ar"/>
              </w:rPr>
              <w:t>白内障医学术语语料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1292B98E">
            <w:pPr>
              <w:ind w:left="0" w:leftChars="0" w:firstLine="0" w:firstLineChars="0"/>
            </w:pPr>
            <w:r>
              <w:rPr>
                <w:rFonts w:hint="eastAsia"/>
                <w:lang w:bidi="ar"/>
              </w:rPr>
              <w:t>白内障、晶状体、超声乳化、人工晶状体、散光、老花、眼底病、干眼、眼压等术语的标准与通俗解释。建议≥200条。</w:t>
            </w:r>
          </w:p>
        </w:tc>
      </w:tr>
      <w:tr w14:paraId="107628C1">
        <w:tblPrEx>
          <w:tblCellMar>
            <w:top w:w="0" w:type="dxa"/>
            <w:left w:w="108" w:type="dxa"/>
            <w:bottom w:w="0" w:type="dxa"/>
            <w:right w:w="108" w:type="dxa"/>
          </w:tblCellMar>
        </w:tblPrEx>
        <w:trPr>
          <w:trHeight w:val="82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72F58A83">
            <w:pPr>
              <w:ind w:left="0" w:leftChars="0" w:firstLine="0" w:firstLineChars="0"/>
            </w:pPr>
            <w:r>
              <w:rPr>
                <w:rFonts w:hint="eastAsia"/>
                <w:lang w:bidi="ar"/>
              </w:rPr>
              <w:t>13</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50CFC0F2">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4D29D968">
            <w:pPr>
              <w:ind w:left="0" w:leftChars="0" w:firstLine="0" w:firstLineChars="0"/>
            </w:pPr>
            <w:r>
              <w:rPr>
                <w:rFonts w:hint="eastAsia"/>
                <w:lang w:bidi="ar"/>
              </w:rPr>
              <w:t>术后护理与禁忌提示语料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59864E49">
            <w:pPr>
              <w:ind w:left="0" w:leftChars="0" w:firstLine="0" w:firstLineChars="0"/>
            </w:pPr>
            <w:r>
              <w:rPr>
                <w:rFonts w:hint="eastAsia"/>
                <w:lang w:bidi="ar"/>
              </w:rPr>
              <w:t>滴眼液使用、眼罩保护、避免揉眼/脏水/重体力、复诊安排，及需医生单独评估的禁忌提示条目。</w:t>
            </w:r>
          </w:p>
        </w:tc>
      </w:tr>
      <w:tr w14:paraId="61C0BFB2">
        <w:tblPrEx>
          <w:tblCellMar>
            <w:top w:w="0" w:type="dxa"/>
            <w:left w:w="108" w:type="dxa"/>
            <w:bottom w:w="0" w:type="dxa"/>
            <w:right w:w="108" w:type="dxa"/>
          </w:tblCellMar>
        </w:tblPrEx>
        <w:trPr>
          <w:trHeight w:val="82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20062C9D">
            <w:pPr>
              <w:ind w:left="0" w:leftChars="0" w:firstLine="0" w:firstLineChars="0"/>
            </w:pPr>
            <w:r>
              <w:rPr>
                <w:rFonts w:hint="eastAsia"/>
                <w:lang w:bidi="ar"/>
              </w:rPr>
              <w:t>14</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27EA34DD">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5EFAD41B">
            <w:pPr>
              <w:ind w:left="0" w:leftChars="0" w:firstLine="0" w:firstLineChars="0"/>
            </w:pPr>
            <w:r>
              <w:rPr>
                <w:rFonts w:hint="eastAsia"/>
                <w:lang w:bidi="ar"/>
              </w:rPr>
              <w:t>患者高频问答（FAQ）语料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57A7F722">
            <w:pPr>
              <w:ind w:left="0" w:leftChars="0" w:firstLine="0" w:firstLineChars="0"/>
            </w:pPr>
            <w:r>
              <w:rPr>
                <w:rFonts w:hint="eastAsia"/>
                <w:lang w:bidi="ar"/>
              </w:rPr>
              <w:t>围绕手术目的、过程、晶体、风险、术后护理的患者高频问答对。建议≥300组。</w:t>
            </w:r>
          </w:p>
        </w:tc>
      </w:tr>
      <w:tr w14:paraId="5EE4D542">
        <w:tblPrEx>
          <w:tblCellMar>
            <w:top w:w="0" w:type="dxa"/>
            <w:left w:w="108" w:type="dxa"/>
            <w:bottom w:w="0" w:type="dxa"/>
            <w:right w:w="108" w:type="dxa"/>
          </w:tblCellMar>
        </w:tblPrEx>
        <w:trPr>
          <w:trHeight w:val="82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3A870288">
            <w:pPr>
              <w:ind w:left="0" w:leftChars="0" w:firstLine="0" w:firstLineChars="0"/>
            </w:pPr>
            <w:r>
              <w:rPr>
                <w:rFonts w:hint="eastAsia"/>
                <w:lang w:bidi="ar"/>
              </w:rPr>
              <w:t>15</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6878E057">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004347A5">
            <w:pPr>
              <w:ind w:left="0" w:leftChars="0" w:firstLine="0" w:firstLineChars="0"/>
            </w:pPr>
            <w:r>
              <w:rPr>
                <w:rFonts w:hint="eastAsia"/>
                <w:lang w:bidi="ar"/>
              </w:rPr>
              <w:t>医患问诊录音转写语料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302036D8">
            <w:pPr>
              <w:ind w:left="0" w:leftChars="0" w:firstLine="0" w:firstLineChars="0"/>
            </w:pPr>
            <w:r>
              <w:rPr>
                <w:rFonts w:hint="eastAsia"/>
                <w:lang w:bidi="ar"/>
              </w:rPr>
              <w:t>门诊问诊录音转写文本，按发言人分轨并结构化提取症状、用眼需求等字段；全程脱敏。</w:t>
            </w:r>
          </w:p>
        </w:tc>
      </w:tr>
      <w:tr w14:paraId="00543E4D">
        <w:tblPrEx>
          <w:tblCellMar>
            <w:top w:w="0" w:type="dxa"/>
            <w:left w:w="108" w:type="dxa"/>
            <w:bottom w:w="0" w:type="dxa"/>
            <w:right w:w="108" w:type="dxa"/>
          </w:tblCellMar>
        </w:tblPrEx>
        <w:trPr>
          <w:trHeight w:val="56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0BD63692">
            <w:pPr>
              <w:ind w:left="0" w:leftChars="0" w:firstLine="0" w:firstLineChars="0"/>
            </w:pPr>
            <w:r>
              <w:rPr>
                <w:rFonts w:hint="eastAsia"/>
                <w:lang w:bidi="ar"/>
              </w:rPr>
              <w:t>16</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33F8409A">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55D32B50">
            <w:pPr>
              <w:ind w:left="0" w:leftChars="0" w:firstLine="0" w:firstLineChars="0"/>
            </w:pPr>
            <w:r>
              <w:rPr>
                <w:rFonts w:hint="eastAsia"/>
                <w:lang w:bidi="ar"/>
              </w:rPr>
              <w:t>术前谈话录音转写语料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21316DF6">
            <w:pPr>
              <w:ind w:left="0" w:leftChars="0" w:firstLine="0" w:firstLineChars="0"/>
            </w:pPr>
            <w:r>
              <w:rPr>
                <w:rFonts w:hint="eastAsia"/>
                <w:lang w:bidi="ar"/>
              </w:rPr>
              <w:t>医生术前谈话录音转写文本，支撑宣教脚本与口播自然度；全程脱敏。</w:t>
            </w:r>
          </w:p>
        </w:tc>
      </w:tr>
      <w:tr w14:paraId="2CAE1671">
        <w:tblPrEx>
          <w:tblCellMar>
            <w:top w:w="0" w:type="dxa"/>
            <w:left w:w="108" w:type="dxa"/>
            <w:bottom w:w="0" w:type="dxa"/>
            <w:right w:w="108" w:type="dxa"/>
          </w:tblCellMar>
        </w:tblPrEx>
        <w:trPr>
          <w:trHeight w:val="56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3AE6D1D6">
            <w:pPr>
              <w:ind w:left="0" w:leftChars="0" w:firstLine="0" w:firstLineChars="0"/>
            </w:pPr>
            <w:r>
              <w:rPr>
                <w:rFonts w:hint="eastAsia"/>
                <w:lang w:bidi="ar"/>
              </w:rPr>
              <w:t>17</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440CCB9F">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39EC6290">
            <w:pPr>
              <w:ind w:left="0" w:leftChars="0" w:firstLine="0" w:firstLineChars="0"/>
            </w:pPr>
            <w:r>
              <w:rPr>
                <w:rFonts w:hint="eastAsia"/>
                <w:lang w:bidi="ar"/>
              </w:rPr>
              <w:t>术后随访/答疑录音转写语料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3C8DF2F3">
            <w:pPr>
              <w:ind w:left="0" w:leftChars="0" w:firstLine="0" w:firstLineChars="0"/>
            </w:pPr>
            <w:r>
              <w:rPr>
                <w:rFonts w:hint="eastAsia"/>
                <w:lang w:bidi="ar"/>
              </w:rPr>
              <w:t>术后随访与答疑录音转写文本，支撑患者问答语料；全程脱敏。</w:t>
            </w:r>
          </w:p>
        </w:tc>
      </w:tr>
      <w:tr w14:paraId="3CA41858">
        <w:tblPrEx>
          <w:tblCellMar>
            <w:top w:w="0" w:type="dxa"/>
            <w:left w:w="108" w:type="dxa"/>
            <w:bottom w:w="0" w:type="dxa"/>
            <w:right w:w="108" w:type="dxa"/>
          </w:tblCellMar>
        </w:tblPrEx>
        <w:trPr>
          <w:trHeight w:val="82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2D9FAF70">
            <w:pPr>
              <w:ind w:left="0" w:leftChars="0" w:firstLine="0" w:firstLineChars="0"/>
            </w:pPr>
            <w:r>
              <w:rPr>
                <w:rFonts w:hint="eastAsia"/>
                <w:lang w:bidi="ar"/>
              </w:rPr>
              <w:t>18</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621A32FA">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2222921D">
            <w:pPr>
              <w:ind w:left="0" w:leftChars="0" w:firstLine="0" w:firstLineChars="0"/>
            </w:pPr>
            <w:r>
              <w:rPr>
                <w:rFonts w:hint="eastAsia"/>
                <w:lang w:bidi="ar"/>
              </w:rPr>
              <w:t>临床指南与共识语料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234C2E97">
            <w:pPr>
              <w:ind w:left="0" w:leftChars="0" w:firstLine="0" w:firstLineChars="0"/>
            </w:pPr>
            <w:r>
              <w:rPr>
                <w:rFonts w:hint="eastAsia"/>
                <w:lang w:bidi="ar"/>
              </w:rPr>
              <w:t>国内外白内障诊疗相关临床指南与专家共识，结构化为推荐条目与证据等级。建议覆盖主流指南/共识≥10份。</w:t>
            </w:r>
          </w:p>
        </w:tc>
      </w:tr>
      <w:tr w14:paraId="764BB111">
        <w:tblPrEx>
          <w:tblCellMar>
            <w:top w:w="0" w:type="dxa"/>
            <w:left w:w="108" w:type="dxa"/>
            <w:bottom w:w="0" w:type="dxa"/>
            <w:right w:w="108" w:type="dxa"/>
          </w:tblCellMar>
        </w:tblPrEx>
        <w:trPr>
          <w:trHeight w:val="110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7E46B85D">
            <w:pPr>
              <w:ind w:left="0" w:leftChars="0" w:firstLine="0" w:firstLineChars="0"/>
            </w:pPr>
            <w:r>
              <w:rPr>
                <w:rFonts w:hint="eastAsia"/>
                <w:lang w:bidi="ar"/>
              </w:rPr>
              <w:t>19</w:t>
            </w:r>
          </w:p>
        </w:tc>
        <w:tc>
          <w:tcPr>
            <w:tcW w:w="1264" w:type="dxa"/>
            <w:vMerge w:val="continue"/>
            <w:tcBorders>
              <w:top w:val="single" w:color="000000" w:sz="4" w:space="0"/>
              <w:left w:val="single" w:color="000000" w:sz="4" w:space="0"/>
              <w:bottom w:val="single" w:color="000000" w:sz="4" w:space="0"/>
              <w:right w:val="single" w:color="000000" w:sz="4" w:space="0"/>
            </w:tcBorders>
            <w:noWrap/>
            <w:vAlign w:val="center"/>
          </w:tcPr>
          <w:p w14:paraId="7A1BC42A">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16416D2E">
            <w:pPr>
              <w:ind w:left="0" w:leftChars="0" w:firstLine="0" w:firstLineChars="0"/>
            </w:pPr>
            <w:r>
              <w:rPr>
                <w:rFonts w:hint="eastAsia"/>
                <w:lang w:bidi="ar"/>
              </w:rPr>
              <w:t>医学文献语料</w:t>
            </w:r>
          </w:p>
        </w:tc>
        <w:tc>
          <w:tcPr>
            <w:tcW w:w="5409" w:type="dxa"/>
            <w:tcBorders>
              <w:top w:val="single" w:color="000000" w:sz="4" w:space="0"/>
              <w:left w:val="single" w:color="000000" w:sz="4" w:space="0"/>
              <w:bottom w:val="single" w:color="000000" w:sz="4" w:space="0"/>
              <w:right w:val="single" w:color="000000" w:sz="4" w:space="0"/>
            </w:tcBorders>
            <w:vAlign w:val="center"/>
          </w:tcPr>
          <w:p w14:paraId="6706432B">
            <w:pPr>
              <w:ind w:left="0" w:leftChars="0" w:firstLine="0" w:firstLineChars="0"/>
            </w:pPr>
            <w:r>
              <w:rPr>
                <w:rFonts w:hint="eastAsia"/>
                <w:lang w:bidi="ar"/>
              </w:rPr>
              <w:t>白内障诊疗、人工晶体与手术术式相关的核心期刊文献与综述，结构化为主题、结论与引用信息。建议≥500篇核心文献。</w:t>
            </w:r>
          </w:p>
        </w:tc>
      </w:tr>
      <w:tr w14:paraId="78154B34">
        <w:tblPrEx>
          <w:tblCellMar>
            <w:top w:w="0" w:type="dxa"/>
            <w:left w:w="108" w:type="dxa"/>
            <w:bottom w:w="0" w:type="dxa"/>
            <w:right w:w="108" w:type="dxa"/>
          </w:tblCellMar>
        </w:tblPrEx>
        <w:trPr>
          <w:trHeight w:val="712"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50D4E152">
            <w:pPr>
              <w:ind w:left="0" w:leftChars="0" w:firstLine="0" w:firstLineChars="0"/>
            </w:pPr>
            <w:r>
              <w:rPr>
                <w:rFonts w:hint="eastAsia"/>
                <w:lang w:bidi="ar"/>
              </w:rPr>
              <w:t>20</w:t>
            </w:r>
          </w:p>
        </w:tc>
        <w:tc>
          <w:tcPr>
            <w:tcW w:w="1264" w:type="dxa"/>
            <w:vMerge w:val="restart"/>
            <w:tcBorders>
              <w:top w:val="single" w:color="000000" w:sz="4" w:space="0"/>
              <w:left w:val="single" w:color="000000" w:sz="4" w:space="0"/>
              <w:bottom w:val="single" w:color="000000" w:sz="4" w:space="0"/>
              <w:right w:val="single" w:color="000000" w:sz="4" w:space="0"/>
            </w:tcBorders>
            <w:vAlign w:val="center"/>
          </w:tcPr>
          <w:p w14:paraId="11D4E248">
            <w:pPr>
              <w:ind w:left="0" w:leftChars="0" w:firstLine="0" w:firstLineChars="0"/>
            </w:pPr>
            <w:r>
              <w:rPr>
                <w:rFonts w:hint="eastAsia"/>
                <w:lang w:bidi="ar"/>
              </w:rPr>
              <w:t>病案编码数据标准与治理</w:t>
            </w: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2EF98F51">
            <w:pPr>
              <w:ind w:left="0" w:leftChars="0" w:firstLine="0" w:firstLineChars="0"/>
            </w:pPr>
            <w:r>
              <w:rPr>
                <w:rFonts w:hint="eastAsia"/>
                <w:lang w:bidi="ar"/>
              </w:rPr>
              <w:t>非结构化文本解析治理</w:t>
            </w:r>
          </w:p>
        </w:tc>
        <w:tc>
          <w:tcPr>
            <w:tcW w:w="5409" w:type="dxa"/>
            <w:tcBorders>
              <w:top w:val="single" w:color="000000" w:sz="4" w:space="0"/>
              <w:left w:val="single" w:color="000000" w:sz="4" w:space="0"/>
              <w:bottom w:val="single" w:color="000000" w:sz="4" w:space="0"/>
              <w:right w:val="single" w:color="000000" w:sz="4" w:space="0"/>
            </w:tcBorders>
            <w:vAlign w:val="center"/>
          </w:tcPr>
          <w:p w14:paraId="36FBE1E1">
            <w:pPr>
              <w:ind w:left="0" w:leftChars="0" w:firstLine="0" w:firstLineChars="0"/>
            </w:pPr>
            <w:r>
              <w:rPr>
                <w:rFonts w:hint="eastAsia"/>
                <w:lang w:bidi="ar"/>
              </w:rPr>
              <w:t>支持医疗场景专用的非结构化文本解析引擎，针对电子病历、检查检验报告、病理诊断报告、手术记录等多样化医疗文本，深度融合医疗专用分词算法、基于深度学习的实体识别模型及关系抽取算法，能够精准提取症状体征、疾病诊断、治疗路径、用药方案、病理结果、手术操作等关键医疗要素，并智能梳理各要素间的因果关联、时序关联与逻辑关联，将碎片化的非结构化文本转化为标准化的结构化数据。</w:t>
            </w:r>
          </w:p>
        </w:tc>
      </w:tr>
      <w:tr w14:paraId="74B4F181">
        <w:tblPrEx>
          <w:tblCellMar>
            <w:top w:w="0" w:type="dxa"/>
            <w:left w:w="108" w:type="dxa"/>
            <w:bottom w:w="0" w:type="dxa"/>
            <w:right w:w="108" w:type="dxa"/>
          </w:tblCellMar>
        </w:tblPrEx>
        <w:trPr>
          <w:trHeight w:val="436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63F2FB41">
            <w:pPr>
              <w:ind w:left="0" w:leftChars="0" w:firstLine="0" w:firstLineChars="0"/>
            </w:pPr>
            <w:r>
              <w:rPr>
                <w:rFonts w:hint="eastAsia"/>
                <w:lang w:bidi="ar"/>
              </w:rPr>
              <w:t>21</w:t>
            </w:r>
          </w:p>
        </w:tc>
        <w:tc>
          <w:tcPr>
            <w:tcW w:w="1264" w:type="dxa"/>
            <w:vMerge w:val="continue"/>
            <w:tcBorders>
              <w:top w:val="single" w:color="000000" w:sz="4" w:space="0"/>
              <w:left w:val="single" w:color="000000" w:sz="4" w:space="0"/>
              <w:bottom w:val="single" w:color="000000" w:sz="4" w:space="0"/>
              <w:right w:val="single" w:color="000000" w:sz="4" w:space="0"/>
            </w:tcBorders>
            <w:vAlign w:val="center"/>
          </w:tcPr>
          <w:p w14:paraId="7B9DE612">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73902B3C">
            <w:pPr>
              <w:ind w:left="0" w:leftChars="0" w:firstLine="0" w:firstLineChars="0"/>
            </w:pPr>
            <w:r>
              <w:rPr>
                <w:rFonts w:hint="eastAsia"/>
                <w:lang w:bidi="ar"/>
              </w:rPr>
              <w:t>编码体系支持</w:t>
            </w:r>
          </w:p>
        </w:tc>
        <w:tc>
          <w:tcPr>
            <w:tcW w:w="5409" w:type="dxa"/>
            <w:tcBorders>
              <w:top w:val="single" w:color="000000" w:sz="4" w:space="0"/>
              <w:left w:val="single" w:color="000000" w:sz="4" w:space="0"/>
              <w:bottom w:val="single" w:color="000000" w:sz="4" w:space="0"/>
              <w:right w:val="single" w:color="000000" w:sz="4" w:space="0"/>
            </w:tcBorders>
            <w:vAlign w:val="center"/>
          </w:tcPr>
          <w:p w14:paraId="7CD78FCF">
            <w:pPr>
              <w:ind w:left="0" w:leftChars="0" w:firstLine="0" w:firstLineChars="0"/>
            </w:pPr>
            <w:r>
              <w:rPr>
                <w:rFonts w:hint="eastAsia"/>
                <w:lang w:bidi="ar"/>
              </w:rPr>
              <w:t>系统全面兼容ICD-10 国临版诊断编码与手术操作编码体系，构建了包含标准诊断编码、手术操作编码、肿瘤专项编码、外伤归因编码、中毒外部原因编码在内的完整编码数据库，覆盖临床全科室、全病种的编码需求。系统内置编码动态更新机制与多维度校验规则引擎，可实时同步国家卫生健康委发布的编码修订内容，确保编码库的时效性与权威性；同时对编码结果开展合规性校验，校验维度包括编码格式规范性、诊断与手术操作匹配性、临床路径符合性、医保结算标准适配性等，确保输出结果严格符合国家医疗数据标准，满足医疗数据上报、医保基金监管、临床科研统计等多场景业务需求。</w:t>
            </w:r>
          </w:p>
        </w:tc>
      </w:tr>
      <w:tr w14:paraId="5180AC8A">
        <w:tblPrEx>
          <w:tblCellMar>
            <w:top w:w="0" w:type="dxa"/>
            <w:left w:w="108" w:type="dxa"/>
            <w:bottom w:w="0" w:type="dxa"/>
            <w:right w:w="108" w:type="dxa"/>
          </w:tblCellMar>
        </w:tblPrEx>
        <w:trPr>
          <w:trHeight w:val="1652"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5CA1E510">
            <w:pPr>
              <w:ind w:left="0" w:leftChars="0" w:firstLine="0" w:firstLineChars="0"/>
            </w:pPr>
            <w:r>
              <w:rPr>
                <w:rFonts w:hint="eastAsia"/>
                <w:lang w:bidi="ar"/>
              </w:rPr>
              <w:t>22</w:t>
            </w:r>
          </w:p>
        </w:tc>
        <w:tc>
          <w:tcPr>
            <w:tcW w:w="1264" w:type="dxa"/>
            <w:vMerge w:val="continue"/>
            <w:tcBorders>
              <w:top w:val="single" w:color="000000" w:sz="4" w:space="0"/>
              <w:left w:val="single" w:color="000000" w:sz="4" w:space="0"/>
              <w:bottom w:val="single" w:color="000000" w:sz="4" w:space="0"/>
              <w:right w:val="single" w:color="000000" w:sz="4" w:space="0"/>
            </w:tcBorders>
            <w:vAlign w:val="center"/>
          </w:tcPr>
          <w:p w14:paraId="49DD72C0">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4F8804B8">
            <w:pPr>
              <w:ind w:left="0" w:leftChars="0" w:firstLine="0" w:firstLineChars="0"/>
            </w:pPr>
            <w:r>
              <w:rPr>
                <w:rFonts w:hint="eastAsia"/>
                <w:lang w:bidi="ar"/>
              </w:rPr>
              <w:t>编码体系治理</w:t>
            </w:r>
          </w:p>
        </w:tc>
        <w:tc>
          <w:tcPr>
            <w:tcW w:w="5409" w:type="dxa"/>
            <w:tcBorders>
              <w:top w:val="single" w:color="000000" w:sz="4" w:space="0"/>
              <w:left w:val="single" w:color="000000" w:sz="4" w:space="0"/>
              <w:bottom w:val="single" w:color="000000" w:sz="4" w:space="0"/>
              <w:right w:val="single" w:color="000000" w:sz="4" w:space="0"/>
            </w:tcBorders>
            <w:vAlign w:val="center"/>
          </w:tcPr>
          <w:p w14:paraId="3029DFEF">
            <w:pPr>
              <w:ind w:left="0" w:leftChars="0" w:firstLine="0" w:firstLineChars="0"/>
            </w:pPr>
            <w:r>
              <w:rPr>
                <w:rFonts w:hint="eastAsia"/>
                <w:lang w:bidi="ar"/>
              </w:rPr>
              <w:t>依托海量标注的高质量医疗数据开展模型训练与参数迭代优化，构建适配临床复杂场景的医疗编码模型，可实现病历文本中关键医疗要素的自动提取与实时标准化编码生成。针对临床诊断难度高、编码规则复杂的肿瘤病例，模型能精准识别肿瘤发生部位、病理组织类型、分化程度、临床分期、转移情况等核心信息，并匹配对应的特异性肿瘤编码；针对外伤病例，可自动从病历文本中提取损伤原因、具体受伤部位、致伤外部因素、损伤程度、治疗方式等关键信息，精准生成损伤编码及中毒外部原因编码；针对罕见病、并发症、合并症等特殊病例，模型通过关联临床指南与编码规则库，实现编码的精准匹配，全面覆盖特殊病例的编码需求。</w:t>
            </w:r>
          </w:p>
        </w:tc>
      </w:tr>
      <w:tr w14:paraId="4693A7CA">
        <w:tblPrEx>
          <w:tblCellMar>
            <w:top w:w="0" w:type="dxa"/>
            <w:left w:w="108" w:type="dxa"/>
            <w:bottom w:w="0" w:type="dxa"/>
            <w:right w:w="108" w:type="dxa"/>
          </w:tblCellMar>
        </w:tblPrEx>
        <w:trPr>
          <w:trHeight w:val="192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5068065E">
            <w:pPr>
              <w:ind w:left="0" w:leftChars="0" w:firstLine="0" w:firstLineChars="0"/>
            </w:pPr>
            <w:r>
              <w:rPr>
                <w:rFonts w:hint="eastAsia"/>
                <w:lang w:bidi="ar"/>
              </w:rPr>
              <w:t>23</w:t>
            </w:r>
          </w:p>
        </w:tc>
        <w:tc>
          <w:tcPr>
            <w:tcW w:w="1264" w:type="dxa"/>
            <w:vMerge w:val="continue"/>
            <w:tcBorders>
              <w:top w:val="single" w:color="000000" w:sz="4" w:space="0"/>
              <w:left w:val="single" w:color="000000" w:sz="4" w:space="0"/>
              <w:bottom w:val="single" w:color="000000" w:sz="4" w:space="0"/>
              <w:right w:val="single" w:color="000000" w:sz="4" w:space="0"/>
            </w:tcBorders>
            <w:vAlign w:val="center"/>
          </w:tcPr>
          <w:p w14:paraId="41C934FE">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5F02BCE1">
            <w:pPr>
              <w:ind w:left="0" w:leftChars="0" w:firstLine="0" w:firstLineChars="0"/>
            </w:pPr>
            <w:r>
              <w:rPr>
                <w:rFonts w:hint="eastAsia"/>
                <w:kern w:val="0"/>
                <w:lang w:bidi="ar"/>
              </w:rPr>
              <w:t>治理</w:t>
            </w:r>
            <w:r>
              <w:rPr>
                <w:rStyle w:val="12"/>
                <w:rFonts w:asciiTheme="minorEastAsia" w:hAnsiTheme="minorEastAsia" w:eastAsiaTheme="minorEastAsia" w:cstheme="minorEastAsia"/>
                <w:sz w:val="24"/>
                <w:szCs w:val="24"/>
                <w:lang w:bidi="ar"/>
              </w:rPr>
              <w:t>结果可解释性要求</w:t>
            </w:r>
          </w:p>
        </w:tc>
        <w:tc>
          <w:tcPr>
            <w:tcW w:w="5409" w:type="dxa"/>
            <w:tcBorders>
              <w:top w:val="single" w:color="000000" w:sz="4" w:space="0"/>
              <w:left w:val="single" w:color="000000" w:sz="4" w:space="0"/>
              <w:bottom w:val="single" w:color="000000" w:sz="4" w:space="0"/>
              <w:right w:val="single" w:color="000000" w:sz="4" w:space="0"/>
            </w:tcBorders>
            <w:vAlign w:val="center"/>
          </w:tcPr>
          <w:p w14:paraId="0714DDF5">
            <w:pPr>
              <w:ind w:left="0" w:leftChars="0" w:firstLine="0" w:firstLineChars="0"/>
            </w:pPr>
            <w:r>
              <w:rPr>
                <w:rFonts w:hint="eastAsia"/>
                <w:kern w:val="0"/>
                <w:lang w:bidi="ar"/>
              </w:rPr>
              <w:t>▲</w:t>
            </w:r>
            <w:r>
              <w:rPr>
                <w:rStyle w:val="12"/>
                <w:rFonts w:asciiTheme="minorEastAsia" w:hAnsiTheme="minorEastAsia" w:eastAsiaTheme="minorEastAsia" w:cstheme="minorEastAsia"/>
                <w:sz w:val="24"/>
                <w:szCs w:val="24"/>
                <w:lang w:bidi="ar"/>
              </w:rPr>
              <w:t>在生成标准化编码的同时，系统同步输出详细的编码推荐理由，从临床生化指标匹配度、疾病病因病理分析、医疗资源消耗对应性、疾病发生发展病理机制、编码规则条款引用等多维度展开逻辑论证，清晰呈现编码匹配的核心依据。（提供对应功能的产品截图证明）</w:t>
            </w:r>
          </w:p>
        </w:tc>
      </w:tr>
      <w:tr w14:paraId="4630AC79">
        <w:tblPrEx>
          <w:tblCellMar>
            <w:top w:w="0" w:type="dxa"/>
            <w:left w:w="108" w:type="dxa"/>
            <w:bottom w:w="0" w:type="dxa"/>
            <w:right w:w="108" w:type="dxa"/>
          </w:tblCellMar>
        </w:tblPrEx>
        <w:trPr>
          <w:trHeight w:val="9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2998DB88">
            <w:pPr>
              <w:ind w:left="0" w:leftChars="0" w:firstLine="0" w:firstLineChars="0"/>
            </w:pPr>
            <w:r>
              <w:rPr>
                <w:rFonts w:hint="eastAsia"/>
                <w:lang w:bidi="ar"/>
              </w:rPr>
              <w:t>24</w:t>
            </w:r>
          </w:p>
        </w:tc>
        <w:tc>
          <w:tcPr>
            <w:tcW w:w="1264" w:type="dxa"/>
            <w:vMerge w:val="continue"/>
            <w:tcBorders>
              <w:top w:val="single" w:color="000000" w:sz="4" w:space="0"/>
              <w:left w:val="single" w:color="000000" w:sz="4" w:space="0"/>
              <w:bottom w:val="single" w:color="000000" w:sz="4" w:space="0"/>
              <w:right w:val="single" w:color="000000" w:sz="4" w:space="0"/>
            </w:tcBorders>
            <w:vAlign w:val="center"/>
          </w:tcPr>
          <w:p w14:paraId="682AC081">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4B27F55F">
            <w:pPr>
              <w:ind w:left="0" w:leftChars="0" w:firstLine="0" w:firstLineChars="0"/>
            </w:pPr>
            <w:r>
              <w:rPr>
                <w:rFonts w:hint="eastAsia"/>
                <w:lang w:bidi="ar"/>
              </w:rPr>
              <w:t>病例审核治理</w:t>
            </w:r>
          </w:p>
        </w:tc>
        <w:tc>
          <w:tcPr>
            <w:tcW w:w="5409" w:type="dxa"/>
            <w:tcBorders>
              <w:top w:val="single" w:color="000000" w:sz="4" w:space="0"/>
              <w:left w:val="single" w:color="000000" w:sz="4" w:space="0"/>
              <w:bottom w:val="single" w:color="000000" w:sz="4" w:space="0"/>
              <w:right w:val="single" w:color="000000" w:sz="4" w:space="0"/>
            </w:tcBorders>
            <w:vAlign w:val="center"/>
          </w:tcPr>
          <w:p w14:paraId="56FD158D">
            <w:pPr>
              <w:ind w:left="0" w:leftChars="0" w:firstLine="0" w:firstLineChars="0"/>
            </w:pPr>
            <w:r>
              <w:rPr>
                <w:rFonts w:hint="eastAsia"/>
                <w:lang w:bidi="ar"/>
              </w:rPr>
              <w:t>支持灵活的多维度组合检索条件配置，检索维度覆盖出院日期、医疗机构、出院科室、出院病区、病例标签五大核心类别，各维度匹配差异化的选择逻辑，满足多样化的病例筛选需求。其中，出院日期支持区间选择模式，可精准设定检索的起始时间与结束时间，满足按月度、季度、年度或自定义周期筛选数据的需求，默认状态下为全时间范围检索；医疗机构采用下拉单选模式，支持快速选定单一目标机构，默认选中列表首个医疗机构；出院科室与出院病区均配置下拉多选模式，并增设 “全部” 快捷选项，便于操作人员一键覆盖所有科室或病区，提升检索效率；病例标签维度同样支持下拉多选及 “全部” 选项，可满足多标签组合筛选的业务需求。</w:t>
            </w:r>
          </w:p>
        </w:tc>
      </w:tr>
      <w:tr w14:paraId="1D564C33">
        <w:tblPrEx>
          <w:tblCellMar>
            <w:top w:w="0" w:type="dxa"/>
            <w:left w:w="108" w:type="dxa"/>
            <w:bottom w:w="0" w:type="dxa"/>
            <w:right w:w="108" w:type="dxa"/>
          </w:tblCellMar>
        </w:tblPrEx>
        <w:trPr>
          <w:trHeight w:val="606"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54556729">
            <w:pPr>
              <w:ind w:left="0" w:leftChars="0" w:firstLine="0" w:firstLineChars="0"/>
            </w:pPr>
            <w:r>
              <w:rPr>
                <w:rFonts w:hint="eastAsia"/>
                <w:lang w:bidi="ar"/>
              </w:rPr>
              <w:t>25</w:t>
            </w:r>
          </w:p>
        </w:tc>
        <w:tc>
          <w:tcPr>
            <w:tcW w:w="1264" w:type="dxa"/>
            <w:vMerge w:val="continue"/>
            <w:tcBorders>
              <w:top w:val="single" w:color="000000" w:sz="4" w:space="0"/>
              <w:left w:val="single" w:color="000000" w:sz="4" w:space="0"/>
              <w:bottom w:val="single" w:color="000000" w:sz="4" w:space="0"/>
              <w:right w:val="single" w:color="000000" w:sz="4" w:space="0"/>
            </w:tcBorders>
            <w:vAlign w:val="center"/>
          </w:tcPr>
          <w:p w14:paraId="6B637B7D">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62856451">
            <w:pPr>
              <w:ind w:left="0" w:leftChars="0" w:firstLine="0" w:firstLineChars="0"/>
            </w:pPr>
            <w:r>
              <w:rPr>
                <w:rFonts w:hint="eastAsia"/>
                <w:lang w:bidi="ar"/>
              </w:rPr>
              <w:t>多格式数据导出</w:t>
            </w:r>
          </w:p>
        </w:tc>
        <w:tc>
          <w:tcPr>
            <w:tcW w:w="5409" w:type="dxa"/>
            <w:tcBorders>
              <w:top w:val="single" w:color="000000" w:sz="4" w:space="0"/>
              <w:left w:val="single" w:color="000000" w:sz="4" w:space="0"/>
              <w:bottom w:val="single" w:color="000000" w:sz="4" w:space="0"/>
              <w:right w:val="single" w:color="000000" w:sz="4" w:space="0"/>
            </w:tcBorders>
            <w:vAlign w:val="center"/>
          </w:tcPr>
          <w:p w14:paraId="326665A5">
            <w:pPr>
              <w:ind w:left="0" w:leftChars="0" w:firstLine="0" w:firstLineChars="0"/>
            </w:pPr>
            <w:r>
              <w:rPr>
                <w:rFonts w:hint="eastAsia"/>
                <w:lang w:bidi="ar"/>
              </w:rPr>
              <w:t>支持已审核病例数据的批量导出功能，导出格式包括 XLSX、CSV（默认导出格式为 XLSX），满足不同系统的数据对接需求。导出文件名称采用标准化格式命名，具体为 “病案首页明细（开始日期 - 结束日期）. 格式”，例如 “病案首页明细（20250101-20250131）.xlsx”，便于文件的分类管理与查找。</w:t>
            </w:r>
          </w:p>
        </w:tc>
      </w:tr>
      <w:tr w14:paraId="683B41C4">
        <w:tblPrEx>
          <w:tblCellMar>
            <w:top w:w="0" w:type="dxa"/>
            <w:left w:w="108" w:type="dxa"/>
            <w:bottom w:w="0" w:type="dxa"/>
            <w:right w:w="108" w:type="dxa"/>
          </w:tblCellMar>
        </w:tblPrEx>
        <w:trPr>
          <w:trHeight w:val="246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12B61187">
            <w:pPr>
              <w:ind w:left="0" w:leftChars="0" w:firstLine="0" w:firstLineChars="0"/>
            </w:pPr>
            <w:r>
              <w:rPr>
                <w:rFonts w:hint="eastAsia"/>
                <w:lang w:bidi="ar"/>
              </w:rPr>
              <w:t>26</w:t>
            </w:r>
          </w:p>
        </w:tc>
        <w:tc>
          <w:tcPr>
            <w:tcW w:w="1264" w:type="dxa"/>
            <w:vMerge w:val="continue"/>
            <w:tcBorders>
              <w:top w:val="single" w:color="000000" w:sz="4" w:space="0"/>
              <w:left w:val="single" w:color="000000" w:sz="4" w:space="0"/>
              <w:bottom w:val="single" w:color="000000" w:sz="4" w:space="0"/>
              <w:right w:val="single" w:color="000000" w:sz="4" w:space="0"/>
            </w:tcBorders>
            <w:vAlign w:val="center"/>
          </w:tcPr>
          <w:p w14:paraId="6DCB2914">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25F3D795">
            <w:pPr>
              <w:ind w:left="0" w:leftChars="0" w:firstLine="0" w:firstLineChars="0"/>
            </w:pPr>
            <w:r>
              <w:rPr>
                <w:rFonts w:hint="eastAsia"/>
                <w:lang w:bidi="ar"/>
              </w:rPr>
              <w:t>导出数据标准化</w:t>
            </w:r>
          </w:p>
        </w:tc>
        <w:tc>
          <w:tcPr>
            <w:tcW w:w="5409" w:type="dxa"/>
            <w:tcBorders>
              <w:top w:val="single" w:color="000000" w:sz="4" w:space="0"/>
              <w:left w:val="single" w:color="000000" w:sz="4" w:space="0"/>
              <w:bottom w:val="single" w:color="000000" w:sz="4" w:space="0"/>
              <w:right w:val="single" w:color="000000" w:sz="4" w:space="0"/>
            </w:tcBorders>
            <w:vAlign w:val="center"/>
          </w:tcPr>
          <w:p w14:paraId="16A23796">
            <w:pPr>
              <w:ind w:left="0" w:leftChars="0" w:firstLine="0" w:firstLineChars="0"/>
            </w:pPr>
            <w:r>
              <w:rPr>
                <w:rFonts w:hint="eastAsia"/>
                <w:lang w:bidi="ar"/>
              </w:rPr>
              <w:t>导出数据包含病例基础信息、AI 推理结果、编码推荐理由及完整编码信息，严格遵循HQMS（国家卫生健康委医院管理研究所病案首页数据质量管理与控制平台） 格式要求，字段名称、数据类型、编码规则均与 HQMS 标准保持一致，确保导出数据可直接对接上级医疗数据平台，无需额外格式转换，降低数据上报的工作量。</w:t>
            </w:r>
          </w:p>
        </w:tc>
      </w:tr>
      <w:tr w14:paraId="3AFF84A2">
        <w:tblPrEx>
          <w:tblCellMar>
            <w:top w:w="0" w:type="dxa"/>
            <w:left w:w="108" w:type="dxa"/>
            <w:bottom w:w="0" w:type="dxa"/>
            <w:right w:w="108" w:type="dxa"/>
          </w:tblCellMar>
        </w:tblPrEx>
        <w:trPr>
          <w:trHeight w:val="1255"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4456F8F5">
            <w:pPr>
              <w:ind w:left="0" w:leftChars="0" w:firstLine="0" w:firstLineChars="0"/>
            </w:pPr>
            <w:r>
              <w:rPr>
                <w:rFonts w:hint="eastAsia"/>
                <w:lang w:bidi="ar"/>
              </w:rPr>
              <w:t>27</w:t>
            </w:r>
          </w:p>
        </w:tc>
        <w:tc>
          <w:tcPr>
            <w:tcW w:w="1264" w:type="dxa"/>
            <w:vMerge w:val="continue"/>
            <w:tcBorders>
              <w:top w:val="single" w:color="000000" w:sz="4" w:space="0"/>
              <w:left w:val="single" w:color="000000" w:sz="4" w:space="0"/>
              <w:bottom w:val="single" w:color="000000" w:sz="4" w:space="0"/>
              <w:right w:val="single" w:color="000000" w:sz="4" w:space="0"/>
            </w:tcBorders>
            <w:vAlign w:val="center"/>
          </w:tcPr>
          <w:p w14:paraId="5799B967">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3F6A7B8F">
            <w:pPr>
              <w:ind w:left="0" w:leftChars="0" w:firstLine="0" w:firstLineChars="0"/>
            </w:pPr>
            <w:r>
              <w:rPr>
                <w:rFonts w:hint="eastAsia"/>
                <w:lang w:bidi="ar"/>
              </w:rPr>
              <w:t>成效分析</w:t>
            </w:r>
            <w:r>
              <w:rPr>
                <w:rStyle w:val="12"/>
                <w:rFonts w:asciiTheme="minorEastAsia" w:hAnsiTheme="minorEastAsia" w:eastAsiaTheme="minorEastAsia" w:cstheme="minorEastAsia"/>
                <w:sz w:val="24"/>
                <w:szCs w:val="24"/>
                <w:lang w:bidi="ar"/>
              </w:rPr>
              <w:t>治理</w:t>
            </w:r>
          </w:p>
        </w:tc>
        <w:tc>
          <w:tcPr>
            <w:tcW w:w="5409" w:type="dxa"/>
            <w:tcBorders>
              <w:top w:val="single" w:color="000000" w:sz="4" w:space="0"/>
              <w:left w:val="single" w:color="000000" w:sz="4" w:space="0"/>
              <w:bottom w:val="single" w:color="000000" w:sz="4" w:space="0"/>
              <w:right w:val="single" w:color="000000" w:sz="4" w:space="0"/>
            </w:tcBorders>
            <w:vAlign w:val="center"/>
          </w:tcPr>
          <w:p w14:paraId="7313004D">
            <w:pPr>
              <w:ind w:left="0" w:leftChars="0" w:firstLine="0" w:firstLineChars="0"/>
            </w:pPr>
            <w:r>
              <w:rPr>
                <w:rFonts w:hint="eastAsia"/>
                <w:lang w:bidi="ar"/>
              </w:rPr>
              <w:t>提供 HQMS 标准模板下载功能，模板表头严格参考 HQMS 格式要求设计，包含组织机构代码、医疗机构名称、病案号、住院次数、入院时间、出院时间、性别、年龄、主要诊断编码、主要诊断名称、主要手术操作编码、主要手术操作名称等核心字段，确保模板的规范性与权威性。用户可直接下载模板并填写数据，或基于模板进行个性化调整，满足不同场景的数据录入需求。</w:t>
            </w:r>
          </w:p>
        </w:tc>
      </w:tr>
      <w:tr w14:paraId="160F6CF6">
        <w:tblPrEx>
          <w:tblCellMar>
            <w:top w:w="0" w:type="dxa"/>
            <w:left w:w="108" w:type="dxa"/>
            <w:bottom w:w="0" w:type="dxa"/>
            <w:right w:w="108" w:type="dxa"/>
          </w:tblCellMar>
        </w:tblPrEx>
        <w:trPr>
          <w:trHeight w:val="436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778FFBA9">
            <w:pPr>
              <w:ind w:left="0" w:leftChars="0" w:firstLine="0" w:firstLineChars="0"/>
            </w:pPr>
            <w:r>
              <w:rPr>
                <w:rFonts w:hint="eastAsia"/>
                <w:lang w:bidi="ar"/>
              </w:rPr>
              <w:t>28</w:t>
            </w:r>
          </w:p>
        </w:tc>
        <w:tc>
          <w:tcPr>
            <w:tcW w:w="1264" w:type="dxa"/>
            <w:vMerge w:val="continue"/>
            <w:tcBorders>
              <w:top w:val="single" w:color="000000" w:sz="4" w:space="0"/>
              <w:left w:val="single" w:color="000000" w:sz="4" w:space="0"/>
              <w:bottom w:val="single" w:color="000000" w:sz="4" w:space="0"/>
              <w:right w:val="single" w:color="000000" w:sz="4" w:space="0"/>
            </w:tcBorders>
            <w:vAlign w:val="center"/>
          </w:tcPr>
          <w:p w14:paraId="69B6872A">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1A6C515E">
            <w:pPr>
              <w:ind w:left="0" w:leftChars="0" w:firstLine="0" w:firstLineChars="0"/>
            </w:pPr>
            <w:r>
              <w:rPr>
                <w:rFonts w:hint="eastAsia"/>
                <w:lang w:bidi="ar"/>
              </w:rPr>
              <w:t>数据导入与校验</w:t>
            </w:r>
          </w:p>
        </w:tc>
        <w:tc>
          <w:tcPr>
            <w:tcW w:w="5409" w:type="dxa"/>
            <w:tcBorders>
              <w:top w:val="single" w:color="000000" w:sz="4" w:space="0"/>
              <w:left w:val="single" w:color="000000" w:sz="4" w:space="0"/>
              <w:bottom w:val="single" w:color="000000" w:sz="4" w:space="0"/>
              <w:right w:val="single" w:color="000000" w:sz="4" w:space="0"/>
            </w:tcBorders>
            <w:vAlign w:val="center"/>
          </w:tcPr>
          <w:p w14:paraId="487A4755">
            <w:pPr>
              <w:ind w:left="0" w:leftChars="0" w:firstLine="0" w:firstLineChars="0"/>
            </w:pPr>
            <w:r>
              <w:rPr>
                <w:rFonts w:hint="eastAsia"/>
                <w:lang w:bidi="ar"/>
              </w:rPr>
              <w:t>支持标准化数据的批量导入功能，导入方式包括拖拽文件上传与点击 “浏览” 选择文件上传两种，操作便捷高效。系统内置数据格式校验引擎，导入过程中自动校验数据的完整性、规范性与一致性，例如校验必填字段是否为空、编码格式是否符合 ICD-10 标准、日期格式是否正确等；若数据不符合要求，系统将弹出提示框 “数据有误，请调整后导入！”，并明确标注错误数据的行号与错误原因，便于用户修正。校验通过后，系统支持数据预览（分页展示），用户确认无误后点击 “确认并导入” 按钮，即可将数据存入数据库，同时支持覆盖已有重复数据，确保数据的时效性。</w:t>
            </w:r>
          </w:p>
        </w:tc>
      </w:tr>
      <w:tr w14:paraId="2457C051">
        <w:tblPrEx>
          <w:tblCellMar>
            <w:top w:w="0" w:type="dxa"/>
            <w:left w:w="108" w:type="dxa"/>
            <w:bottom w:w="0" w:type="dxa"/>
            <w:right w:w="108" w:type="dxa"/>
          </w:tblCellMar>
        </w:tblPrEx>
        <w:trPr>
          <w:trHeight w:val="218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68D3CE1D">
            <w:pPr>
              <w:ind w:left="0" w:leftChars="0" w:firstLine="0" w:firstLineChars="0"/>
            </w:pPr>
            <w:r>
              <w:rPr>
                <w:rFonts w:hint="eastAsia"/>
                <w:lang w:bidi="ar"/>
              </w:rPr>
              <w:t>29</w:t>
            </w:r>
          </w:p>
        </w:tc>
        <w:tc>
          <w:tcPr>
            <w:tcW w:w="1264" w:type="dxa"/>
            <w:vMerge w:val="continue"/>
            <w:tcBorders>
              <w:top w:val="single" w:color="000000" w:sz="4" w:space="0"/>
              <w:left w:val="single" w:color="000000" w:sz="4" w:space="0"/>
              <w:bottom w:val="single" w:color="000000" w:sz="4" w:space="0"/>
              <w:right w:val="single" w:color="000000" w:sz="4" w:space="0"/>
            </w:tcBorders>
            <w:vAlign w:val="center"/>
          </w:tcPr>
          <w:p w14:paraId="209729F2">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6230E29B">
            <w:pPr>
              <w:ind w:left="0" w:leftChars="0" w:firstLine="0" w:firstLineChars="0"/>
            </w:pPr>
            <w:r>
              <w:rPr>
                <w:rFonts w:hint="eastAsia"/>
                <w:lang w:bidi="ar"/>
              </w:rPr>
              <w:t>数据分析-全量趋势分析</w:t>
            </w:r>
          </w:p>
        </w:tc>
        <w:tc>
          <w:tcPr>
            <w:tcW w:w="5409" w:type="dxa"/>
            <w:tcBorders>
              <w:top w:val="single" w:color="000000" w:sz="4" w:space="0"/>
              <w:left w:val="single" w:color="000000" w:sz="4" w:space="0"/>
              <w:bottom w:val="single" w:color="000000" w:sz="4" w:space="0"/>
              <w:right w:val="single" w:color="000000" w:sz="4" w:space="0"/>
            </w:tcBorders>
            <w:vAlign w:val="center"/>
          </w:tcPr>
          <w:p w14:paraId="08724F45">
            <w:pPr>
              <w:ind w:left="0" w:leftChars="0" w:firstLine="0" w:firstLineChars="0"/>
            </w:pPr>
            <w:r>
              <w:rPr>
                <w:rFonts w:hint="eastAsia"/>
                <w:lang w:bidi="ar"/>
              </w:rPr>
              <w:t>采用柱状图与折线图组合的方式展示月度数据趋势，其中柱状图展示出院例数、主诊编码采用例数两大指标，折线图展示主编码采用率，统计维度为自然月份。图表支持动态切换时间范围，可按需查看近 6 个月、近 12 个月或自定义时间段的数据趋势，直观呈现系统的应用成效。</w:t>
            </w:r>
          </w:p>
        </w:tc>
      </w:tr>
      <w:tr w14:paraId="080A2E3B">
        <w:tblPrEx>
          <w:tblCellMar>
            <w:top w:w="0" w:type="dxa"/>
            <w:left w:w="108" w:type="dxa"/>
            <w:bottom w:w="0" w:type="dxa"/>
            <w:right w:w="108" w:type="dxa"/>
          </w:tblCellMar>
        </w:tblPrEx>
        <w:trPr>
          <w:trHeight w:val="246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5579AA62">
            <w:pPr>
              <w:ind w:left="0" w:leftChars="0" w:firstLine="0" w:firstLineChars="0"/>
            </w:pPr>
            <w:r>
              <w:rPr>
                <w:rFonts w:hint="eastAsia"/>
                <w:lang w:bidi="ar"/>
              </w:rPr>
              <w:t>30</w:t>
            </w:r>
          </w:p>
        </w:tc>
        <w:tc>
          <w:tcPr>
            <w:tcW w:w="1264" w:type="dxa"/>
            <w:vMerge w:val="continue"/>
            <w:tcBorders>
              <w:top w:val="single" w:color="000000" w:sz="4" w:space="0"/>
              <w:left w:val="single" w:color="000000" w:sz="4" w:space="0"/>
              <w:bottom w:val="single" w:color="000000" w:sz="4" w:space="0"/>
              <w:right w:val="single" w:color="000000" w:sz="4" w:space="0"/>
            </w:tcBorders>
            <w:vAlign w:val="center"/>
          </w:tcPr>
          <w:p w14:paraId="378A4BF7">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4F911ED1">
            <w:pPr>
              <w:ind w:left="0" w:leftChars="0" w:firstLine="0" w:firstLineChars="0"/>
            </w:pPr>
            <w:r>
              <w:rPr>
                <w:rFonts w:hint="eastAsia"/>
                <w:lang w:bidi="ar"/>
              </w:rPr>
              <w:t>数据分析-科室分析</w:t>
            </w:r>
          </w:p>
        </w:tc>
        <w:tc>
          <w:tcPr>
            <w:tcW w:w="5409" w:type="dxa"/>
            <w:tcBorders>
              <w:top w:val="single" w:color="000000" w:sz="4" w:space="0"/>
              <w:left w:val="single" w:color="000000" w:sz="4" w:space="0"/>
              <w:bottom w:val="single" w:color="000000" w:sz="4" w:space="0"/>
              <w:right w:val="single" w:color="000000" w:sz="4" w:space="0"/>
            </w:tcBorders>
            <w:vAlign w:val="center"/>
          </w:tcPr>
          <w:p w14:paraId="0D581AD6">
            <w:pPr>
              <w:ind w:left="0" w:leftChars="0" w:firstLine="0" w:firstLineChars="0"/>
            </w:pPr>
            <w:r>
              <w:rPr>
                <w:rFonts w:hint="eastAsia"/>
                <w:lang w:bidi="ar"/>
              </w:rPr>
              <w:t>采用散点图展示各科室编码采用率情况，散点图竖坐标为主诊编码采用率，横坐标为主手编码采用率，每个原点代表一个临床科室，同时标注全院主诊编码采用率平均线与主手编码采用率平均线，直观对比各科室与全院平均水平的差距。对于采用率低于全院平均水平的科室，系统将自动标记为红色，便于管理人员快速识别重点改进科室。</w:t>
            </w:r>
          </w:p>
        </w:tc>
      </w:tr>
      <w:tr w14:paraId="1F7ED714">
        <w:tblPrEx>
          <w:tblCellMar>
            <w:top w:w="0" w:type="dxa"/>
            <w:left w:w="108" w:type="dxa"/>
            <w:bottom w:w="0" w:type="dxa"/>
            <w:right w:w="108" w:type="dxa"/>
          </w:tblCellMar>
        </w:tblPrEx>
        <w:trPr>
          <w:trHeight w:val="110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099C408A">
            <w:pPr>
              <w:ind w:left="0" w:leftChars="0" w:firstLine="0" w:firstLineChars="0"/>
            </w:pPr>
            <w:r>
              <w:rPr>
                <w:rFonts w:hint="eastAsia"/>
                <w:lang w:bidi="ar"/>
              </w:rPr>
              <w:t>31</w:t>
            </w:r>
          </w:p>
        </w:tc>
        <w:tc>
          <w:tcPr>
            <w:tcW w:w="1264" w:type="dxa"/>
            <w:vMerge w:val="continue"/>
            <w:tcBorders>
              <w:top w:val="single" w:color="000000" w:sz="4" w:space="0"/>
              <w:left w:val="single" w:color="000000" w:sz="4" w:space="0"/>
              <w:bottom w:val="single" w:color="000000" w:sz="4" w:space="0"/>
              <w:right w:val="single" w:color="000000" w:sz="4" w:space="0"/>
            </w:tcBorders>
            <w:vAlign w:val="center"/>
          </w:tcPr>
          <w:p w14:paraId="4A649CF6">
            <w:pPr>
              <w:ind w:left="0" w:leftChars="0" w:firstLine="0" w:firstLineChars="0"/>
            </w:pPr>
          </w:p>
        </w:tc>
        <w:tc>
          <w:tcPr>
            <w:tcW w:w="958" w:type="dxa"/>
            <w:vMerge w:val="restart"/>
            <w:tcBorders>
              <w:top w:val="single" w:color="000000" w:sz="4" w:space="0"/>
              <w:left w:val="single" w:color="000000" w:sz="4" w:space="0"/>
              <w:bottom w:val="single" w:color="000000" w:sz="4" w:space="0"/>
              <w:right w:val="single" w:color="000000" w:sz="4" w:space="0"/>
            </w:tcBorders>
            <w:noWrap/>
            <w:vAlign w:val="center"/>
          </w:tcPr>
          <w:p w14:paraId="10E6775D">
            <w:pPr>
              <w:ind w:left="0" w:leftChars="0" w:firstLine="0" w:firstLineChars="0"/>
            </w:pPr>
            <w:r>
              <w:rPr>
                <w:rFonts w:hint="eastAsia"/>
                <w:lang w:bidi="ar"/>
              </w:rPr>
              <w:t>数据分析-差异分析</w:t>
            </w:r>
          </w:p>
        </w:tc>
        <w:tc>
          <w:tcPr>
            <w:tcW w:w="5409" w:type="dxa"/>
            <w:tcBorders>
              <w:top w:val="single" w:color="000000" w:sz="4" w:space="0"/>
              <w:left w:val="single" w:color="000000" w:sz="4" w:space="0"/>
              <w:bottom w:val="single" w:color="000000" w:sz="4" w:space="0"/>
              <w:right w:val="single" w:color="000000" w:sz="4" w:space="0"/>
            </w:tcBorders>
            <w:vAlign w:val="center"/>
          </w:tcPr>
          <w:p w14:paraId="747DF722">
            <w:pPr>
              <w:ind w:left="0" w:leftChars="0" w:firstLine="0" w:firstLineChars="0"/>
            </w:pPr>
            <w:r>
              <w:rPr>
                <w:rFonts w:hint="eastAsia"/>
                <w:lang w:bidi="ar"/>
              </w:rPr>
              <w:t>自动统计 AI 编码与病案室审核后编码不一致的病例，分为主诊断不一致列表与主手术不一致列表两大模块，实现差异病例的分类管理。</w:t>
            </w:r>
          </w:p>
        </w:tc>
      </w:tr>
      <w:tr w14:paraId="4C6C6011">
        <w:tblPrEx>
          <w:tblCellMar>
            <w:top w:w="0" w:type="dxa"/>
            <w:left w:w="108" w:type="dxa"/>
            <w:bottom w:w="0" w:type="dxa"/>
            <w:right w:w="108" w:type="dxa"/>
          </w:tblCellMar>
        </w:tblPrEx>
        <w:trPr>
          <w:trHeight w:val="192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600DDA2E">
            <w:pPr>
              <w:ind w:left="0" w:leftChars="0" w:firstLine="0" w:firstLineChars="0"/>
            </w:pPr>
            <w:r>
              <w:rPr>
                <w:rFonts w:hint="eastAsia"/>
                <w:lang w:bidi="ar"/>
              </w:rPr>
              <w:t>32</w:t>
            </w:r>
          </w:p>
        </w:tc>
        <w:tc>
          <w:tcPr>
            <w:tcW w:w="1264" w:type="dxa"/>
            <w:vMerge w:val="continue"/>
            <w:tcBorders>
              <w:top w:val="single" w:color="000000" w:sz="4" w:space="0"/>
              <w:left w:val="single" w:color="000000" w:sz="4" w:space="0"/>
              <w:bottom w:val="single" w:color="000000" w:sz="4" w:space="0"/>
              <w:right w:val="single" w:color="000000" w:sz="4" w:space="0"/>
            </w:tcBorders>
            <w:vAlign w:val="center"/>
          </w:tcPr>
          <w:p w14:paraId="0E77EE3B">
            <w:pPr>
              <w:ind w:left="0" w:leftChars="0" w:firstLine="0" w:firstLineChars="0"/>
            </w:pPr>
          </w:p>
        </w:tc>
        <w:tc>
          <w:tcPr>
            <w:tcW w:w="958" w:type="dxa"/>
            <w:vMerge w:val="continue"/>
            <w:tcBorders>
              <w:top w:val="single" w:color="000000" w:sz="4" w:space="0"/>
              <w:left w:val="single" w:color="000000" w:sz="4" w:space="0"/>
              <w:bottom w:val="single" w:color="000000" w:sz="4" w:space="0"/>
              <w:right w:val="single" w:color="000000" w:sz="4" w:space="0"/>
            </w:tcBorders>
            <w:noWrap/>
            <w:vAlign w:val="center"/>
          </w:tcPr>
          <w:p w14:paraId="29FB06E8">
            <w:pPr>
              <w:ind w:left="0" w:leftChars="0" w:firstLine="0" w:firstLineChars="0"/>
            </w:pPr>
          </w:p>
        </w:tc>
        <w:tc>
          <w:tcPr>
            <w:tcW w:w="5409" w:type="dxa"/>
            <w:tcBorders>
              <w:top w:val="single" w:color="000000" w:sz="4" w:space="0"/>
              <w:left w:val="single" w:color="000000" w:sz="4" w:space="0"/>
              <w:bottom w:val="single" w:color="000000" w:sz="4" w:space="0"/>
              <w:right w:val="single" w:color="000000" w:sz="4" w:space="0"/>
            </w:tcBorders>
            <w:vAlign w:val="center"/>
          </w:tcPr>
          <w:p w14:paraId="1E44B1F9">
            <w:pPr>
              <w:ind w:left="0" w:leftChars="0" w:firstLine="0" w:firstLineChars="0"/>
            </w:pPr>
            <w:r>
              <w:rPr>
                <w:rFonts w:hint="eastAsia"/>
                <w:lang w:bidi="ar"/>
              </w:rPr>
              <w:t>主诊断不一致列表：统计逻辑为 “主诊断编码（AI）≠主诊断编码（审核）”，列表展示主要诊断（AI）、主要诊断（审核）、例数等核心字段，其中例数字段标蓝并添加下划线，支持下钻查看详细病例信息，列表按例数倒序排列。</w:t>
            </w:r>
          </w:p>
        </w:tc>
      </w:tr>
      <w:tr w14:paraId="697B9B41">
        <w:tblPrEx>
          <w:tblCellMar>
            <w:top w:w="0" w:type="dxa"/>
            <w:left w:w="108" w:type="dxa"/>
            <w:bottom w:w="0" w:type="dxa"/>
            <w:right w:w="108" w:type="dxa"/>
          </w:tblCellMar>
        </w:tblPrEx>
        <w:trPr>
          <w:trHeight w:val="218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74AE585F">
            <w:pPr>
              <w:ind w:left="0" w:leftChars="0" w:firstLine="0" w:firstLineChars="0"/>
            </w:pPr>
            <w:r>
              <w:rPr>
                <w:rFonts w:hint="eastAsia"/>
                <w:lang w:bidi="ar"/>
              </w:rPr>
              <w:t>33</w:t>
            </w:r>
          </w:p>
        </w:tc>
        <w:tc>
          <w:tcPr>
            <w:tcW w:w="1264" w:type="dxa"/>
            <w:vMerge w:val="continue"/>
            <w:tcBorders>
              <w:top w:val="single" w:color="000000" w:sz="4" w:space="0"/>
              <w:left w:val="single" w:color="000000" w:sz="4" w:space="0"/>
              <w:bottom w:val="single" w:color="000000" w:sz="4" w:space="0"/>
              <w:right w:val="single" w:color="000000" w:sz="4" w:space="0"/>
            </w:tcBorders>
            <w:vAlign w:val="center"/>
          </w:tcPr>
          <w:p w14:paraId="5F811970">
            <w:pPr>
              <w:ind w:left="0" w:leftChars="0" w:firstLine="0" w:firstLineChars="0"/>
            </w:pPr>
          </w:p>
        </w:tc>
        <w:tc>
          <w:tcPr>
            <w:tcW w:w="958" w:type="dxa"/>
            <w:vMerge w:val="continue"/>
            <w:tcBorders>
              <w:top w:val="single" w:color="000000" w:sz="4" w:space="0"/>
              <w:left w:val="single" w:color="000000" w:sz="4" w:space="0"/>
              <w:bottom w:val="single" w:color="000000" w:sz="4" w:space="0"/>
              <w:right w:val="single" w:color="000000" w:sz="4" w:space="0"/>
            </w:tcBorders>
            <w:noWrap/>
            <w:vAlign w:val="center"/>
          </w:tcPr>
          <w:p w14:paraId="76B9D14D">
            <w:pPr>
              <w:ind w:left="0" w:leftChars="0" w:firstLine="0" w:firstLineChars="0"/>
            </w:pPr>
          </w:p>
        </w:tc>
        <w:tc>
          <w:tcPr>
            <w:tcW w:w="5409" w:type="dxa"/>
            <w:tcBorders>
              <w:top w:val="single" w:color="000000" w:sz="4" w:space="0"/>
              <w:left w:val="single" w:color="000000" w:sz="4" w:space="0"/>
              <w:bottom w:val="single" w:color="000000" w:sz="4" w:space="0"/>
              <w:right w:val="single" w:color="000000" w:sz="4" w:space="0"/>
            </w:tcBorders>
            <w:vAlign w:val="center"/>
          </w:tcPr>
          <w:p w14:paraId="519F5B3A">
            <w:pPr>
              <w:ind w:left="0" w:leftChars="0" w:firstLine="0" w:firstLineChars="0"/>
            </w:pPr>
            <w:r>
              <w:rPr>
                <w:rFonts w:hint="eastAsia"/>
                <w:lang w:bidi="ar"/>
              </w:rPr>
              <w:t>主手术不一致列表：统计逻辑为 “主手术操作编码（AI）≠主手术操作编码（审核）且主诊断编码（AI）= 主诊断编码（审核）”，列表展示主要手术操作（AI）、主要手术操作（审核）、主要诊断、例数等核心字段，例数字段同样支持下钻查看详情，列表按例数倒序排列。</w:t>
            </w:r>
          </w:p>
        </w:tc>
      </w:tr>
      <w:tr w14:paraId="265F421B">
        <w:tblPrEx>
          <w:tblCellMar>
            <w:top w:w="0" w:type="dxa"/>
            <w:left w:w="108" w:type="dxa"/>
            <w:bottom w:w="0" w:type="dxa"/>
            <w:right w:w="108" w:type="dxa"/>
          </w:tblCellMar>
        </w:tblPrEx>
        <w:trPr>
          <w:trHeight w:val="218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46000EFD">
            <w:pPr>
              <w:ind w:left="0" w:leftChars="0" w:firstLine="0" w:firstLineChars="0"/>
            </w:pPr>
            <w:r>
              <w:rPr>
                <w:rFonts w:hint="eastAsia"/>
                <w:lang w:bidi="ar"/>
              </w:rPr>
              <w:t>34</w:t>
            </w:r>
          </w:p>
        </w:tc>
        <w:tc>
          <w:tcPr>
            <w:tcW w:w="1264" w:type="dxa"/>
            <w:vMerge w:val="continue"/>
            <w:tcBorders>
              <w:top w:val="single" w:color="000000" w:sz="4" w:space="0"/>
              <w:left w:val="single" w:color="000000" w:sz="4" w:space="0"/>
              <w:bottom w:val="single" w:color="000000" w:sz="4" w:space="0"/>
              <w:right w:val="single" w:color="000000" w:sz="4" w:space="0"/>
            </w:tcBorders>
            <w:vAlign w:val="center"/>
          </w:tcPr>
          <w:p w14:paraId="0B4BDBDA">
            <w:pPr>
              <w:ind w:left="0" w:leftChars="0" w:firstLine="0" w:firstLineChars="0"/>
            </w:pPr>
          </w:p>
        </w:tc>
        <w:tc>
          <w:tcPr>
            <w:tcW w:w="958" w:type="dxa"/>
            <w:vMerge w:val="restart"/>
            <w:tcBorders>
              <w:top w:val="single" w:color="000000" w:sz="4" w:space="0"/>
              <w:left w:val="single" w:color="000000" w:sz="4" w:space="0"/>
              <w:bottom w:val="single" w:color="000000" w:sz="4" w:space="0"/>
              <w:right w:val="single" w:color="000000" w:sz="4" w:space="0"/>
            </w:tcBorders>
            <w:noWrap/>
            <w:vAlign w:val="center"/>
          </w:tcPr>
          <w:p w14:paraId="783DE8CC">
            <w:pPr>
              <w:ind w:left="0" w:leftChars="0" w:firstLine="0" w:firstLineChars="0"/>
            </w:pPr>
            <w:r>
              <w:rPr>
                <w:rFonts w:hint="eastAsia"/>
                <w:lang w:bidi="ar"/>
              </w:rPr>
              <w:t>数据治理-自主学习</w:t>
            </w:r>
          </w:p>
        </w:tc>
        <w:tc>
          <w:tcPr>
            <w:tcW w:w="5409" w:type="dxa"/>
            <w:tcBorders>
              <w:top w:val="single" w:color="000000" w:sz="4" w:space="0"/>
              <w:left w:val="single" w:color="000000" w:sz="4" w:space="0"/>
              <w:bottom w:val="single" w:color="000000" w:sz="4" w:space="0"/>
              <w:right w:val="single" w:color="000000" w:sz="4" w:space="0"/>
            </w:tcBorders>
            <w:vAlign w:val="center"/>
          </w:tcPr>
          <w:p w14:paraId="7A18D98F">
            <w:pPr>
              <w:ind w:left="0" w:leftChars="0" w:firstLine="0" w:firstLineChars="0"/>
            </w:pPr>
            <w:r>
              <w:rPr>
                <w:rFonts w:hint="eastAsia"/>
                <w:lang w:bidi="ar"/>
              </w:rPr>
              <w:t>支持统计 AI 编码与临床医生主诊断 / 主手术编码不一致的病例，分为主诊断不一致列表与主手术不一致列表两大模块，列表字段包含医生编码、AI 编码、病例例数、操作按钮（生成标签）等。通过该功能，管理人员可快速筛选出编码存在分歧的病例，为标签创建提供数据基础。</w:t>
            </w:r>
          </w:p>
        </w:tc>
      </w:tr>
      <w:tr w14:paraId="7568F2C9">
        <w:tblPrEx>
          <w:tblCellMar>
            <w:top w:w="0" w:type="dxa"/>
            <w:left w:w="108" w:type="dxa"/>
            <w:bottom w:w="0" w:type="dxa"/>
            <w:right w:w="108" w:type="dxa"/>
          </w:tblCellMar>
        </w:tblPrEx>
        <w:trPr>
          <w:trHeight w:val="110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2F77C2BA">
            <w:pPr>
              <w:ind w:left="0" w:leftChars="0" w:firstLine="0" w:firstLineChars="0"/>
            </w:pPr>
            <w:r>
              <w:rPr>
                <w:rFonts w:hint="eastAsia"/>
                <w:lang w:bidi="ar"/>
              </w:rPr>
              <w:t>35</w:t>
            </w:r>
          </w:p>
        </w:tc>
        <w:tc>
          <w:tcPr>
            <w:tcW w:w="1264" w:type="dxa"/>
            <w:vMerge w:val="continue"/>
            <w:tcBorders>
              <w:top w:val="single" w:color="000000" w:sz="4" w:space="0"/>
              <w:left w:val="single" w:color="000000" w:sz="4" w:space="0"/>
              <w:bottom w:val="single" w:color="000000" w:sz="4" w:space="0"/>
              <w:right w:val="single" w:color="000000" w:sz="4" w:space="0"/>
            </w:tcBorders>
            <w:vAlign w:val="center"/>
          </w:tcPr>
          <w:p w14:paraId="207626E6">
            <w:pPr>
              <w:ind w:left="0" w:leftChars="0" w:firstLine="0" w:firstLineChars="0"/>
            </w:pPr>
          </w:p>
        </w:tc>
        <w:tc>
          <w:tcPr>
            <w:tcW w:w="958" w:type="dxa"/>
            <w:vMerge w:val="continue"/>
            <w:tcBorders>
              <w:top w:val="single" w:color="000000" w:sz="4" w:space="0"/>
              <w:left w:val="single" w:color="000000" w:sz="4" w:space="0"/>
              <w:bottom w:val="single" w:color="000000" w:sz="4" w:space="0"/>
              <w:right w:val="single" w:color="000000" w:sz="4" w:space="0"/>
            </w:tcBorders>
            <w:noWrap/>
            <w:vAlign w:val="center"/>
          </w:tcPr>
          <w:p w14:paraId="6FBF0A69">
            <w:pPr>
              <w:ind w:left="0" w:leftChars="0" w:firstLine="0" w:firstLineChars="0"/>
            </w:pPr>
          </w:p>
        </w:tc>
        <w:tc>
          <w:tcPr>
            <w:tcW w:w="5409" w:type="dxa"/>
            <w:tcBorders>
              <w:top w:val="single" w:color="000000" w:sz="4" w:space="0"/>
              <w:left w:val="single" w:color="000000" w:sz="4" w:space="0"/>
              <w:bottom w:val="single" w:color="000000" w:sz="4" w:space="0"/>
              <w:right w:val="single" w:color="000000" w:sz="4" w:space="0"/>
            </w:tcBorders>
            <w:vAlign w:val="center"/>
          </w:tcPr>
          <w:p w14:paraId="0EFF5B94">
            <w:pPr>
              <w:ind w:left="0" w:leftChars="0" w:firstLine="0" w:firstLineChars="0"/>
            </w:pPr>
            <w:r>
              <w:rPr>
                <w:rFonts w:hint="eastAsia"/>
                <w:lang w:bidi="ar"/>
              </w:rPr>
              <w:t>标签管理模块支持标签的新增、编辑、删除操作，管理人员可根据业务需求调整标签名称与标签规则，实现病例的精细化分类管理。</w:t>
            </w:r>
          </w:p>
        </w:tc>
      </w:tr>
      <w:tr w14:paraId="45A8C94C">
        <w:tblPrEx>
          <w:tblCellMar>
            <w:top w:w="0" w:type="dxa"/>
            <w:left w:w="108" w:type="dxa"/>
            <w:bottom w:w="0" w:type="dxa"/>
            <w:right w:w="108" w:type="dxa"/>
          </w:tblCellMar>
        </w:tblPrEx>
        <w:trPr>
          <w:trHeight w:val="2180" w:hRule="atLeast"/>
        </w:trPr>
        <w:tc>
          <w:tcPr>
            <w:tcW w:w="504" w:type="dxa"/>
            <w:tcBorders>
              <w:top w:val="single" w:color="000000" w:sz="4" w:space="0"/>
              <w:left w:val="single" w:color="000000" w:sz="4" w:space="0"/>
              <w:bottom w:val="single" w:color="000000" w:sz="4" w:space="0"/>
              <w:right w:val="single" w:color="000000" w:sz="4" w:space="0"/>
            </w:tcBorders>
            <w:noWrap/>
            <w:vAlign w:val="center"/>
          </w:tcPr>
          <w:p w14:paraId="563707CC">
            <w:pPr>
              <w:ind w:left="0" w:leftChars="0" w:firstLine="0" w:firstLineChars="0"/>
            </w:pPr>
            <w:r>
              <w:rPr>
                <w:rFonts w:hint="eastAsia"/>
                <w:lang w:bidi="ar"/>
              </w:rPr>
              <w:t>36</w:t>
            </w:r>
          </w:p>
        </w:tc>
        <w:tc>
          <w:tcPr>
            <w:tcW w:w="1264" w:type="dxa"/>
            <w:vMerge w:val="continue"/>
            <w:tcBorders>
              <w:top w:val="single" w:color="000000" w:sz="4" w:space="0"/>
              <w:left w:val="single" w:color="000000" w:sz="4" w:space="0"/>
              <w:bottom w:val="single" w:color="000000" w:sz="4" w:space="0"/>
              <w:right w:val="single" w:color="000000" w:sz="4" w:space="0"/>
            </w:tcBorders>
            <w:vAlign w:val="center"/>
          </w:tcPr>
          <w:p w14:paraId="183303D7">
            <w:pPr>
              <w:ind w:left="0" w:leftChars="0" w:firstLine="0" w:firstLineChars="0"/>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782703B4">
            <w:pPr>
              <w:ind w:left="0" w:leftChars="0" w:firstLine="0" w:firstLineChars="0"/>
            </w:pPr>
            <w:r>
              <w:rPr>
                <w:rFonts w:hint="eastAsia"/>
                <w:lang w:bidi="ar"/>
              </w:rPr>
              <w:t>数据治理-权限管理</w:t>
            </w:r>
          </w:p>
        </w:tc>
        <w:tc>
          <w:tcPr>
            <w:tcW w:w="5409" w:type="dxa"/>
            <w:tcBorders>
              <w:top w:val="single" w:color="000000" w:sz="4" w:space="0"/>
              <w:left w:val="single" w:color="000000" w:sz="4" w:space="0"/>
              <w:bottom w:val="single" w:color="000000" w:sz="4" w:space="0"/>
              <w:right w:val="single" w:color="000000" w:sz="4" w:space="0"/>
            </w:tcBorders>
            <w:vAlign w:val="center"/>
          </w:tcPr>
          <w:p w14:paraId="0BC5FDDD">
            <w:pPr>
              <w:ind w:left="0" w:leftChars="0" w:firstLine="0" w:firstLineChars="0"/>
            </w:pPr>
            <w:r>
              <w:rPr>
                <w:rFonts w:hint="eastAsia"/>
                <w:lang w:bidi="ar"/>
              </w:rPr>
              <w:t>系统将根据用户所属角色自动加载对应的功能菜单及数据权限，确保用户仅能访问授权范围内的功能模块与病例数据。例如，普通编码人员仅能查看本科室的病例数据、执行编码审核操作；院级管理员可查看全院数据、执行系统配置与权限管理操作，实现 “最小权限” 访问控制，保障医疗数据的隐私安全。</w:t>
            </w:r>
          </w:p>
        </w:tc>
      </w:tr>
    </w:tbl>
    <w:p w14:paraId="510A65C4">
      <w:pPr>
        <w:rPr>
          <w:lang w:bidi="ar"/>
        </w:rPr>
      </w:pPr>
    </w:p>
    <w:p w14:paraId="16EF00D3">
      <w:pPr>
        <w:rPr>
          <w:lang w:bidi="ar"/>
        </w:rPr>
      </w:pPr>
      <w:r>
        <w:rPr>
          <w:rFonts w:hint="eastAsia"/>
          <w:lang w:bidi="ar"/>
        </w:rPr>
        <w:t>临床医学数据资产管理工程</w:t>
      </w:r>
    </w:p>
    <w:p w14:paraId="69FF525A">
      <w:pPr>
        <w:rPr>
          <w:lang w:bidi="ar"/>
        </w:rPr>
      </w:pPr>
      <w:r>
        <w:rPr>
          <w:rFonts w:hint="eastAsia"/>
          <w:lang w:bidi="ar"/>
        </w:rPr>
        <w:t>构建"素材采集-信息抽取-内容组织-文本生成-人工审校"的五阶段处理流水线。前端通过语音转写、OCR识别、接口对接等方式汇聚诊疗数据；中段利用NER实体识别、关系抽取、时间线构建等技术提取关键信息；后端基于模板填充与生成式模型相结合的策略，输出符合规范的文本和数据资产，并支持医生在线修订与版本管理。</w:t>
      </w: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7"/>
        <w:gridCol w:w="921"/>
        <w:gridCol w:w="6517"/>
      </w:tblGrid>
      <w:tr w14:paraId="6C39E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AE9C3">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系统名称</w:t>
            </w:r>
          </w:p>
        </w:tc>
        <w:tc>
          <w:tcPr>
            <w:tcW w:w="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6C364">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指标项</w:t>
            </w:r>
          </w:p>
        </w:tc>
        <w:tc>
          <w:tcPr>
            <w:tcW w:w="3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8F501">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参数要求</w:t>
            </w:r>
          </w:p>
        </w:tc>
      </w:tr>
      <w:tr w14:paraId="30EB2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A4E15B">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医学数据资产分析</w:t>
            </w: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A7E3E">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图片上传</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C522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支持患者门诊资料图片上传及统一管理，支持手机拍照、相册选择、扫描仪上传、拖拽上传等多种采集方式，支持 JPG、JPEG、PNG 等常见图片格式。支持一次上传多张图片，自动识别并分类为门诊病历、住院病历、检验报告、检查报告、病理报告、处方、出院小结等医疗资料，支持图片预览。</w:t>
            </w:r>
          </w:p>
        </w:tc>
      </w:tr>
      <w:tr w14:paraId="360BA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66DF1">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6AB0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PDF上传</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384F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支持上传电子版及扫描版 PDF 文件，支持多页 PDF 自动解析及分页处理。支持自动提取文字、图片及表格信息，支持 OCR 自动识别扫描件内容。支持解析结果与原始 PDF 对照查看，支持失败重试、人工校对及重新解析。</w:t>
            </w:r>
          </w:p>
        </w:tc>
      </w:tr>
      <w:tr w14:paraId="0A86A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28AF1">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DA05C">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历史资料</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EEC9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支持对接 HIS、EMR、LIS、PACS、互联网医院等业务系统，同步历史病历、检查报告、检验报告、病理报告、手术记录及出院小结。为 AI 病历生成提供完整历史数据支撑。</w:t>
            </w:r>
          </w:p>
        </w:tc>
      </w:tr>
      <w:tr w14:paraId="0CBEA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598D5">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E4BE1">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外院资料</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84A2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支持患者上传外院门诊病历、住院病历、检查报告、检验报告、病理报告、影像报告及出院小结等资料。支持手机拍照、PDF 上传、等多种方式导入。支持自动识别医院名称、患者信息、检查日期及资料类型，并完成结构化整理、统一存储及人工校对，实现外院资料与本院资料统一管理。</w:t>
            </w:r>
          </w:p>
        </w:tc>
      </w:tr>
      <w:tr w14:paraId="2B32C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78C1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医学数据资产整理</w:t>
            </w: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FE0FD">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医患对话实时转写</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6C12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门诊医患对话实时语音识别及文字转写，支持普通话及常见地方口音识别。支持边说边转写、增量识别、自动断句、标点恢复及语义优化，支持说话人分离。支持网络异常自动续传、转写结果保存及人工编辑修正，提高医疗场景识别准确率。</w:t>
            </w:r>
          </w:p>
        </w:tc>
      </w:tr>
      <w:tr w14:paraId="5FE75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2742A">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DDD19">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医生补录</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EAB5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支持医生在门诊过程中或结束后进行语音补录，支持单次及多次追加录音，自动关联至当前患者及对应就诊记录。支持语音补录后再次整理更新病历及 AI 分析结果，支持文字直接编辑、重新识别及录音回放，完整保留修改历史。</w:t>
            </w:r>
          </w:p>
        </w:tc>
      </w:tr>
      <w:tr w14:paraId="46E48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5154D">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A635D">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主诉</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3042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支持基于患者资料、OCR 识别结果、医患对话及历史病历等多源数据，自动提炼本次就诊主诉。支持按照门诊病历规范自动生成符合医学书写要求的主诉内容，支持识别患者主要症状、持续时间、就诊目的及疾病演变过程。支持初诊、复诊、专科门诊等不同场景的模板管理，支持医生一键修改、重新生成及人工编辑。支持主诉内容与原始素材双向关联，点击即可追溯对应资料或录音内容，确保生成内容真实、可追溯、可解释。</w:t>
            </w:r>
          </w:p>
        </w:tc>
      </w:tr>
      <w:tr w14:paraId="12A32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AD3342">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AE504">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现病史</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2A56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基于门诊资料、历次病历、医患对话、检查检验结果等信息自动生成现病史。支持按照疾病发生、发展、诊疗经过及疗效变化等时间顺序自动组织内容，自动融合外院资料及本院历史资料。支持结合不同专科病历模板自动优化表达，支持引用原始证据及修改痕迹展示，医生可对任意段落进行编辑、重新生成及确认。</w:t>
            </w:r>
          </w:p>
        </w:tc>
      </w:tr>
      <w:tr w14:paraId="21205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CFF68">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41839">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既往史</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A9D9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自动汇总患者既往疾病史、手术史、外伤史、输血史、药物过敏史、长期用药史、个人史、家族史及专科相关病史。支持慢病长期管理信息自动更新，支持不同专科自定义既往史模板，实现结构化及规范化书写。</w:t>
            </w:r>
          </w:p>
        </w:tc>
      </w:tr>
      <w:tr w14:paraId="33CD3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28834">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C707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辅助检查</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300B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支持自动汇总本次及历次检验、检查、病理及影像资料，自动提取与本次疾病相关的重要阳性及阴性结果。</w:t>
            </w:r>
          </w:p>
        </w:tc>
      </w:tr>
      <w:tr w14:paraId="03110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D7B2B">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3B416">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诊疗计划</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BEE8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结合患者病情、临床指南、医院规范及专科模板，辅助生成诊疗计划。支持自动生成建议检查、进一步治疗、药物治疗、住院建议、专科会诊、患者宣教及随访计划等内容。支持结合患者既往病史、检查结果及风险因素进行个性化推荐，支持医生修改、增删及重新生成，最终由医生确认后写入病历。</w:t>
            </w:r>
          </w:p>
        </w:tc>
      </w:tr>
      <w:tr w14:paraId="3FE42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01BE7">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35CF9">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ICD编码</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CA61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支持依据最终诊断自动推荐 ICD-10。支持一个诊断对应多个候选编码，显示编码名称、编码路径及推荐依据。支持结合病历内容进行智能排序，降低编码错误率。支持医生人工修改及确认，支持与 HIS、病案首页及医保系统编码保持一致，并保留编码调整记录。</w:t>
            </w:r>
          </w:p>
        </w:tc>
      </w:tr>
      <w:tr w14:paraId="7E01D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3ED35E">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医学数据资产总结</w:t>
            </w: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AED54">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完整性</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50C0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依据国家《病历书写基本规范》及医院病历质控要求，对门诊病历进行自动完整性检查。支持自动识别主诉、现病史、既往史、体格检查、辅助检查、诊断及诊疗计划等内容是否缺失，并实时提醒医生补充。支持专科模板差异化质控规则配置，支持生成病历完整性及修改建议，提高病历规范性。</w:t>
            </w:r>
          </w:p>
        </w:tc>
      </w:tr>
      <w:tr w14:paraId="61238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2C47A">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F0B22">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一致性</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61AE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自动检查主诉、现病史、既往史、辅助检查、诊断及诊疗计划之间的一致性。支持识别诊断依据不足、病史与诊断不符、检查结果与诊断矛盾、诊疗计划与诊断不匹配等问题，并提示对应位置及原因。支持结合医学知识库进行逻辑校验，辅助医生完善病历内容，提高病历质量。</w:t>
            </w:r>
          </w:p>
        </w:tc>
      </w:tr>
      <w:tr w14:paraId="727E6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CA5D1">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9084B">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证据链溯源</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D7D1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 AI 生成病历全过程可追溯，病历中的每一句内容均可关联至对应的原始素材，包括 OCR 识别结果、医患对话转写、历史病历、检验检查报告及患者上传资料。支持查看原始图片、原始录音及识别文本，提高病历可信度及医疗安全，满足医疗质量管理及审计要求。</w:t>
            </w:r>
          </w:p>
        </w:tc>
      </w:tr>
      <w:tr w14:paraId="615FD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AD39E">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E15E5">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专科模型持续学习</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720F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支持根据医生对 AI 生成病历的修改结果进行持续学习与优化。支持不同科室建立独立 Prompt 模板及专科知识库，支持医院级、科室级及个人模板管理，支持模板版本控制、效果评估及持续优化，不断提升 AI 对不同专科诊疗场景的适配能力。</w:t>
            </w:r>
          </w:p>
        </w:tc>
      </w:tr>
      <w:tr w14:paraId="63553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62624">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EBBA4">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多模板病历生成</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CE21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根据不同临床场景自动生成多种医疗文书，包括门诊病历、首次病程记录、入院记录、出院记录、术前讨论、查房记录、会诊记录、手术记录、知情同意沟通记录、患者病情解释及健康宣教等。支持模板自定义配置、字段扩展及医院个性化定制，支持同一份资料一键生成多个版本文书，减少重复录入，提高临床工作效率。</w:t>
            </w:r>
          </w:p>
        </w:tc>
      </w:tr>
      <w:tr w14:paraId="621E1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80A9F">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医学数据资产服务</w:t>
            </w: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0AA21">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病情解释</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2F4A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根据医生最终确认的诊断、检查结果及诊疗计划，自动生成病情解释内容。支持生成医生版及患者版两种展示模式，其中医生版突出医学专业表达及诊疗依据，患者版采用通俗易懂的语言解释疾病原因、病情现状、治疗目的及注意事项。支持根据患者年龄、文化程度及专科特点自动调整表达方式，支持医生审核、修改及确认。支持图文结合、多语言扩展及留痕管理，提高医患沟通效率及患者理解程度。</w:t>
            </w:r>
          </w:p>
        </w:tc>
      </w:tr>
      <w:tr w14:paraId="003FA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D2192">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8736B">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检查指导</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3F14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支持根据医生开具的检查项目自动生成检查准备事项及注意事项，包括检查目的、检查流程、检查前准备、禁食禁饮要求、药物调整、检查风险及检查后注意事项等内容。支持针对 CT、MRI、超声、内镜、病理、检验等不同检查项目提供个性化指导。</w:t>
            </w:r>
          </w:p>
        </w:tc>
      </w:tr>
      <w:tr w14:paraId="018FC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CC926">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8AFD2">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宣教</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B1F5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依据患者疾病类型、诊断结果及诊疗计划自动生成健康宣教内容。支持生成住院宣教、门诊宣教、围手术期宣教、用药指导、饮食指导、康复指导、复诊提醒及随访建议等内容。支持医院统一宣教模板管理及专科自定义模板，并记录宣教发送及阅读情况，满足医院健康宣教管理要求。</w:t>
            </w:r>
          </w:p>
        </w:tc>
      </w:tr>
      <w:tr w14:paraId="269DB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1C55F5">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平台管理</w:t>
            </w: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5CB86">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模板管理</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B18B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支持医院统一管理各类 AI 模板，包括门诊病历、入院记录、首次病程记录、查房记录、手术记录、会诊记录、病情解释及健康宣教等模板。支持按医院、科室、专科及个人进行模板分类管理，支持模板版本控制、启停管理、权限控制及历史版本回滚。支持 Prompt 模板、病历模板及专科知识模板统一管理，满足不同专科个性化配置需求。</w:t>
            </w:r>
          </w:p>
        </w:tc>
      </w:tr>
      <w:tr w14:paraId="1FF7C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001BB">
            <w:pPr>
              <w:jc w:val="center"/>
              <w:rPr>
                <w:rFonts w:hint="eastAsia" w:ascii="宋体" w:hAnsi="宋体" w:eastAsia="宋体" w:cs="宋体"/>
                <w:i w:val="0"/>
                <w:iCs w:val="0"/>
                <w:color w:val="000000"/>
                <w:sz w:val="24"/>
                <w:szCs w:val="24"/>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E53E2">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接口管理</w:t>
            </w:r>
          </w:p>
        </w:tc>
        <w:tc>
          <w:tcPr>
            <w:tcW w:w="38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B37D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支持标准化开放接口管理，支持 HIS、EMR、LIS、PACS、RIS、互联网医院、统一身份认证、短信平台、消息平台及第三方 AI 服务等系统集成。</w:t>
            </w:r>
          </w:p>
        </w:tc>
      </w:tr>
    </w:tbl>
    <w:p w14:paraId="7FCE1C88">
      <w:pPr>
        <w:rPr>
          <w:lang w:bidi="ar"/>
        </w:rPr>
      </w:pPr>
    </w:p>
    <w:p w14:paraId="21297C87">
      <w:pPr>
        <w:pStyle w:val="3"/>
      </w:pPr>
      <w:r>
        <w:rPr>
          <w:rFonts w:hint="eastAsia"/>
        </w:rPr>
        <w:t>安全产品购置清单：</w:t>
      </w:r>
    </w:p>
    <w:p w14:paraId="4F9B08E8">
      <w:r>
        <w:rPr>
          <w:rFonts w:hint="eastAsia"/>
        </w:rPr>
        <w:t>数智基座威胁态势感知攻防演练一体化智能体</w:t>
      </w:r>
    </w:p>
    <w:tbl>
      <w:tblPr>
        <w:tblStyle w:val="7"/>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8"/>
        <w:gridCol w:w="1046"/>
        <w:gridCol w:w="1031"/>
        <w:gridCol w:w="5729"/>
      </w:tblGrid>
      <w:tr w14:paraId="10377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316" w:type="pct"/>
            <w:noWrap/>
            <w:tcMar>
              <w:top w:w="15" w:type="dxa"/>
              <w:left w:w="15" w:type="dxa"/>
              <w:right w:w="15" w:type="dxa"/>
            </w:tcMar>
            <w:vAlign w:val="center"/>
          </w:tcPr>
          <w:p w14:paraId="09B1792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rPr>
              <w:t>序号</w:t>
            </w:r>
          </w:p>
        </w:tc>
        <w:tc>
          <w:tcPr>
            <w:tcW w:w="627" w:type="pct"/>
            <w:noWrap/>
            <w:tcMar>
              <w:top w:w="15" w:type="dxa"/>
              <w:left w:w="15" w:type="dxa"/>
              <w:right w:w="15" w:type="dxa"/>
            </w:tcMar>
            <w:vAlign w:val="center"/>
          </w:tcPr>
          <w:p w14:paraId="7881DB4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rPr>
              <w:t>名称</w:t>
            </w:r>
          </w:p>
        </w:tc>
        <w:tc>
          <w:tcPr>
            <w:tcW w:w="618" w:type="pct"/>
            <w:noWrap/>
            <w:tcMar>
              <w:top w:w="15" w:type="dxa"/>
              <w:left w:w="15" w:type="dxa"/>
              <w:right w:w="15" w:type="dxa"/>
            </w:tcMar>
            <w:vAlign w:val="center"/>
          </w:tcPr>
          <w:p w14:paraId="28C72F21">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rPr>
              <w:t>类别</w:t>
            </w:r>
          </w:p>
        </w:tc>
        <w:tc>
          <w:tcPr>
            <w:tcW w:w="3437" w:type="pct"/>
            <w:noWrap/>
            <w:tcMar>
              <w:top w:w="15" w:type="dxa"/>
              <w:left w:w="15" w:type="dxa"/>
              <w:right w:w="15" w:type="dxa"/>
            </w:tcMar>
            <w:vAlign w:val="center"/>
          </w:tcPr>
          <w:p w14:paraId="7C67DF20">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rPr>
              <w:t>功能说明/配置要求</w:t>
            </w:r>
          </w:p>
        </w:tc>
      </w:tr>
      <w:tr w14:paraId="726E4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restart"/>
            <w:tcMar>
              <w:top w:w="15" w:type="dxa"/>
              <w:left w:w="15" w:type="dxa"/>
              <w:right w:w="15" w:type="dxa"/>
            </w:tcMar>
            <w:vAlign w:val="center"/>
          </w:tcPr>
          <w:p w14:paraId="3ACBE341">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rPr>
              <w:t>1</w:t>
            </w:r>
          </w:p>
        </w:tc>
        <w:tc>
          <w:tcPr>
            <w:tcW w:w="627" w:type="pct"/>
            <w:vMerge w:val="restart"/>
            <w:tcMar>
              <w:top w:w="15" w:type="dxa"/>
              <w:left w:w="15" w:type="dxa"/>
              <w:right w:w="15" w:type="dxa"/>
            </w:tcMar>
            <w:vAlign w:val="center"/>
          </w:tcPr>
          <w:p w14:paraId="3AD9FAE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数智基座威胁态势感知攻防演练一体化智能体</w:t>
            </w:r>
          </w:p>
        </w:tc>
        <w:tc>
          <w:tcPr>
            <w:tcW w:w="618" w:type="pct"/>
            <w:vMerge w:val="restart"/>
            <w:tcMar>
              <w:top w:w="15" w:type="dxa"/>
              <w:left w:w="15" w:type="dxa"/>
              <w:right w:w="15" w:type="dxa"/>
            </w:tcMar>
            <w:vAlign w:val="center"/>
          </w:tcPr>
          <w:p w14:paraId="577B0B91">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rPr>
                <w:rFonts w:hint="eastAsia"/>
                <w:lang w:bidi="ar"/>
              </w:rPr>
              <w:t>安全管理平台产品</w:t>
            </w:r>
          </w:p>
        </w:tc>
        <w:tc>
          <w:tcPr>
            <w:tcW w:w="3437" w:type="pct"/>
            <w:tcMar>
              <w:top w:w="15" w:type="dxa"/>
              <w:left w:w="15" w:type="dxa"/>
              <w:right w:w="15" w:type="dxa"/>
            </w:tcMar>
            <w:vAlign w:val="center"/>
          </w:tcPr>
          <w:p w14:paraId="2677947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内置主流安全设备日志解析规则（防火墙、IPS/IDS、WAF、终端安全、漏扫、上网行为管理等），支持AI辅助的日志自动识别与归一化。</w:t>
            </w:r>
          </w:p>
        </w:tc>
      </w:tr>
      <w:tr w14:paraId="14B09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0CF8C944">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3F4DDBF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28FD7225">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1E10CB3D">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支持正则表达式等各种提取等灵活解析方式。</w:t>
            </w:r>
          </w:p>
        </w:tc>
      </w:tr>
      <w:tr w14:paraId="6F813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5686128D">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70829DB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5DE93DEF">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57F9EC8A">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color w:val="1A1A2E"/>
                <w:lang w:bidi="ar"/>
              </w:rPr>
            </w:pPr>
            <w:r>
              <w:rPr>
                <w:rFonts w:hint="eastAsia"/>
                <w:lang w:bidi="ar"/>
              </w:rPr>
              <w:t>支持Unicode/Base64/Hex等解码转换。</w:t>
            </w:r>
          </w:p>
        </w:tc>
      </w:tr>
      <w:tr w14:paraId="67F32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4A4AD0F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33408667">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4D70E6FF">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7F5AACB5">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支持通过端口、应用、数据库、Web服务、进程、账号、启动项、计划任务等多维度进行资产自动清点与发现。</w:t>
            </w:r>
          </w:p>
        </w:tc>
      </w:tr>
      <w:tr w14:paraId="03C82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76B29E68">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3D73EC2D">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23383F8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3FE92AC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支对资产进行安全风险检测、威胁实体、安全漏洞、弱密码、风险应用、风险端口、风险访问、异常信号不同维度的深度体检</w:t>
            </w:r>
          </w:p>
        </w:tc>
      </w:tr>
      <w:tr w14:paraId="3864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30B50344">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2B4B164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7AA37690">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6C08766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具备资产分类视图（客户端/服务端/Web/数据库），支持资产画像展示安全事件趋势、漏洞风险分布、处置情况。</w:t>
            </w:r>
          </w:p>
        </w:tc>
      </w:tr>
      <w:tr w14:paraId="3DD45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760B61B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2DB1A7EA">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1383997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3AA2714C">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支持资产多维度体检，包括威胁检测、脆弱性、潜在风险、异常行为、ATT&amp;CK矩阵命中等。</w:t>
            </w:r>
          </w:p>
        </w:tc>
      </w:tr>
      <w:tr w14:paraId="6CAE4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15E3966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570E01DA">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4F69DB84">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2B17303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color w:val="1A1A2E"/>
                <w:lang w:bidi="ar"/>
              </w:rPr>
            </w:pPr>
            <w:r>
              <w:rPr>
                <w:rFonts w:hint="eastAsia"/>
                <w:lang w:bidi="ar"/>
              </w:rPr>
              <w:t>支持资产属性自定义扩展，可根据医院需求新增资产字段与业务系统字段。</w:t>
            </w:r>
          </w:p>
        </w:tc>
      </w:tr>
      <w:tr w14:paraId="376B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74BE167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3B711DC3">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7D8F9AC7">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0931B570">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支持漏洞管理，按漏洞视角和资产视角双维度展示，支持发起工单实现漏洞闭环处置。</w:t>
            </w:r>
          </w:p>
        </w:tc>
      </w:tr>
      <w:tr w14:paraId="0CA88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2B1BBA37">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61C39A6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2806899B">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1DD9B748">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支持弱密码检测，展示弱密码主机、账户类型、用户名、处置状态等信息。</w:t>
            </w:r>
          </w:p>
        </w:tc>
      </w:tr>
      <w:tr w14:paraId="46034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39509DF0">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64C7C37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5EA2D724">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28246648">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支持高危端口管理，按端口视角和资产视角双向下钻分析，支持批量处置操作。</w:t>
            </w:r>
          </w:p>
        </w:tc>
      </w:tr>
      <w:tr w14:paraId="749B5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06BA1484">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2BB1C700">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5E2C039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5991D73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支持资产脆弱性进行展示统计视图（分布情况、TOP资产、处置状态等）。</w:t>
            </w:r>
          </w:p>
        </w:tc>
      </w:tr>
      <w:tr w14:paraId="5780A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070DE997">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3BC70CAA">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5E3DA22F">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7D83C96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color w:val="000000"/>
                <w:lang w:bidi="ar"/>
              </w:rPr>
              <w:t>▲</w:t>
            </w:r>
            <w:r>
              <w:rPr>
                <w:rFonts w:hint="eastAsia"/>
                <w:lang w:bidi="ar"/>
              </w:rPr>
              <w:t>支持多源告警融合降噪，将同一攻击行为在不同安全设备（网络侧+终端侧）产生的多条告警自动关联归并为一条安全事件，降低告警数量。</w:t>
            </w:r>
            <w:r>
              <w:rPr>
                <w:rFonts w:hint="eastAsia"/>
                <w:color w:val="000000"/>
                <w:lang w:bidi="ar"/>
              </w:rPr>
              <w:t>提供对应功能的产品截图证明。</w:t>
            </w:r>
          </w:p>
        </w:tc>
      </w:tr>
      <w:tr w14:paraId="76E9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7CE91965">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1580228B">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6FB9E2B8">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493B9DD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平台能将网络侧检测到的攻击行为与终端侧生成的证据进行自动关联，形成完整的攻击链事件进行降噪</w:t>
            </w:r>
          </w:p>
        </w:tc>
      </w:tr>
      <w:tr w14:paraId="4F68E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72A1A19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3DC0EB1B">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2D084F24">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32D0D3DF">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平台能通过调度端侧的深度感知能力，充分利用资产的指纹信息，精确定位告警事件。</w:t>
            </w:r>
          </w:p>
        </w:tc>
      </w:tr>
      <w:tr w14:paraId="43122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072E0197">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0AFFB21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0E5F9A43">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04ADAC8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支持自定义检测规则（含关联规则、序列规则、分组规则），支持基于ATT&amp;CK框架的检测策略配置，支持IOA/IOC告警规则自定义。</w:t>
            </w:r>
          </w:p>
        </w:tc>
      </w:tr>
      <w:tr w14:paraId="34087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2AD8EB18">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5EBFB59C">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7BA6FCDB">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503F5FEF">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支持对安全事件进行一键处置、执行SOAR剧本、线下处置、忽略。</w:t>
            </w:r>
          </w:p>
        </w:tc>
      </w:tr>
      <w:tr w14:paraId="6E39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44E1B59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22008AD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09DA64C5">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1A58A22D">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支持安全事件多维度检索（威胁等级、攻击方向、检测引擎、时间范围等），支持NOT/AND/OR及比较运算符，支持简易模式和专家模式双检索。</w:t>
            </w:r>
          </w:p>
        </w:tc>
      </w:tr>
      <w:tr w14:paraId="4B54E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3F6C1FBC">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320A4FE1">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50A749BF">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3CC50A84">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支持与市场主流品牌防火墙进行联动以实现数据收集与IP的自动封禁</w:t>
            </w:r>
          </w:p>
        </w:tc>
      </w:tr>
      <w:tr w14:paraId="123A1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12BE0A83">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1FA60F1F">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409ECF5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2784DD20">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支持对接钉钉、企业微信、飞书、邮件等即时通讯工具进行告警通知与处置结果推送。</w:t>
            </w:r>
          </w:p>
        </w:tc>
      </w:tr>
      <w:tr w14:paraId="13C6B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trPr>
        <w:tc>
          <w:tcPr>
            <w:tcW w:w="316" w:type="pct"/>
            <w:vMerge w:val="continue"/>
          </w:tcPr>
          <w:p w14:paraId="589FEA7C">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09F3851F">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5E46A338">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56F07495">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支持查看处置记录（封堵方式、封堵对象、时长、状态、处置人、处置时间等），可进行解封/解除隔离操作。</w:t>
            </w:r>
          </w:p>
        </w:tc>
      </w:tr>
      <w:tr w14:paraId="37CF0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rPr>
        <w:tc>
          <w:tcPr>
            <w:tcW w:w="316" w:type="pct"/>
            <w:vMerge w:val="continue"/>
          </w:tcPr>
          <w:p w14:paraId="4A23281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27" w:type="pct"/>
            <w:vMerge w:val="continue"/>
          </w:tcPr>
          <w:p w14:paraId="41C6DE44">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618" w:type="pct"/>
            <w:vMerge w:val="continue"/>
          </w:tcPr>
          <w:p w14:paraId="0549A89B">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tc>
        <w:tc>
          <w:tcPr>
            <w:tcW w:w="3437" w:type="pct"/>
            <w:vAlign w:val="center"/>
          </w:tcPr>
          <w:p w14:paraId="75D5E3E0">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bidi="ar"/>
              </w:rPr>
            </w:pPr>
            <w:r>
              <w:rPr>
                <w:rFonts w:hint="eastAsia"/>
                <w:lang w:bidi="ar"/>
              </w:rPr>
              <w:t>为安全运维人员提供直观的可视化页面。包括综合态势、外部威胁、资产态势、告警态势等各类大屏界面，支持大屏轮播展示。</w:t>
            </w:r>
          </w:p>
        </w:tc>
      </w:tr>
    </w:tbl>
    <w:p w14:paraId="78C69AE4">
      <w:pPr>
        <w:ind w:left="0" w:leftChars="0" w:firstLine="0" w:firstLineChars="0"/>
        <w:rPr>
          <w:rFonts w:hint="eastAsia"/>
          <w:color w:val="000000"/>
          <w:lang w:bidi="ar"/>
        </w:rPr>
      </w:pPr>
    </w:p>
    <w:p w14:paraId="0119CB55">
      <w:pPr>
        <w:rPr>
          <w:rFonts w:hint="eastAsia"/>
          <w:lang w:eastAsia="zh-CN"/>
        </w:rPr>
      </w:pPr>
      <w:r>
        <w:rPr>
          <w:rFonts w:hint="eastAsia"/>
          <w:color w:val="000000"/>
          <w:lang w:bidi="ar"/>
        </w:rPr>
        <w:t>▲</w:t>
      </w:r>
      <w:r>
        <w:rPr>
          <w:rFonts w:hint="eastAsia"/>
        </w:rPr>
        <w:t>技术支持资料以制造商公开发布的印刷资料（产品彩页、产品说明书、产品白皮书、官网截图）、</w:t>
      </w:r>
      <w:r>
        <w:rPr>
          <w:rFonts w:hint="eastAsia"/>
          <w:lang w:eastAsia="zh-CN"/>
        </w:rPr>
        <w:t>产品功能</w:t>
      </w:r>
      <w:r>
        <w:rPr>
          <w:rFonts w:hint="eastAsia"/>
        </w:rPr>
        <w:t>界面截图、第三方检测机构出具的检测报告或在有效期内的证书扫描件等为准，相关性能指标需以醒目的方式标明招标文件技术要求对应的</w:t>
      </w:r>
      <w:r>
        <w:rPr>
          <w:rFonts w:hint="eastAsia"/>
          <w:lang w:eastAsia="zh-CN"/>
        </w:rPr>
        <w:t>内容。</w:t>
      </w:r>
    </w:p>
    <w:p w14:paraId="27C82C0B">
      <w:pPr>
        <w:rPr>
          <w:rFonts w:hint="eastAsia"/>
          <w:lang w:eastAsia="zh-CN"/>
        </w:rPr>
      </w:pPr>
      <w:r>
        <w:rPr>
          <w:rFonts w:hint="eastAsia"/>
        </w:rPr>
        <w:t>△视频演示项：请以U盘形式递交视频证明材料，视频格式为RM / RMVB / MP4 / 3GP / AVI / MPEG / MPG / MKV / DAT / ASF / WMV / FLV / MOV等，所有的视频证明材料需要合成为一个视频文件且播放总时长不得超过5分钟，视频文件存于同一</w:t>
      </w:r>
      <w:r>
        <w:rPr>
          <w:rFonts w:hint="eastAsia"/>
          <w:lang w:val="en-US" w:eastAsia="zh-CN"/>
        </w:rPr>
        <w:t>U</w:t>
      </w:r>
      <w:r>
        <w:rPr>
          <w:rFonts w:hint="eastAsia"/>
        </w:rPr>
        <w:t>盘中。视频演示U盘一式两份，一正一副，密封包装，封套上应载明招标项目名称、招标编号、投标人名称、日期等信息。</w:t>
      </w:r>
    </w:p>
    <w:p w14:paraId="559A302E">
      <w:pPr>
        <w:pStyle w:val="2"/>
        <w:rPr>
          <w:rFonts w:hint="eastAsia"/>
        </w:rPr>
      </w:pPr>
      <w:bookmarkStart w:id="17" w:name="_Toc63785503"/>
      <w:r>
        <w:rPr>
          <w:rFonts w:hint="eastAsia"/>
        </w:rPr>
        <w:t>其他工作要求</w:t>
      </w:r>
      <w:bookmarkEnd w:id="17"/>
    </w:p>
    <w:p w14:paraId="39C58296">
      <w:pPr>
        <w:pStyle w:val="3"/>
      </w:pPr>
      <w:bookmarkStart w:id="18" w:name="_Toc63151871"/>
      <w:bookmarkEnd w:id="18"/>
      <w:bookmarkStart w:id="19" w:name="_Toc63762370"/>
      <w:bookmarkEnd w:id="19"/>
      <w:bookmarkStart w:id="20" w:name="_Toc62219358"/>
      <w:bookmarkEnd w:id="20"/>
      <w:bookmarkStart w:id="21" w:name="_Toc61968111"/>
      <w:bookmarkEnd w:id="21"/>
      <w:bookmarkStart w:id="22" w:name="_Toc63585480"/>
      <w:bookmarkEnd w:id="22"/>
      <w:bookmarkStart w:id="23" w:name="_Toc63785439"/>
      <w:bookmarkEnd w:id="23"/>
      <w:bookmarkStart w:id="24" w:name="_Toc63785504"/>
      <w:bookmarkEnd w:id="24"/>
      <w:bookmarkStart w:id="25" w:name="_Toc62209488"/>
      <w:bookmarkEnd w:id="25"/>
      <w:bookmarkStart w:id="26" w:name="_Toc63785505"/>
      <w:r>
        <w:rPr>
          <w:rFonts w:hint="eastAsia"/>
        </w:rPr>
        <w:t>售后服务要求</w:t>
      </w:r>
      <w:bookmarkEnd w:id="26"/>
    </w:p>
    <w:p w14:paraId="692F7ED2">
      <w:pPr>
        <w:rPr>
          <w:rFonts w:hint="eastAsia" w:ascii="宋体" w:hAnsi="宋体" w:eastAsia="宋体"/>
          <w:lang w:val="en-US" w:eastAsia="zh-CN"/>
        </w:rPr>
      </w:pPr>
      <w:r>
        <w:rPr>
          <w:rFonts w:hint="eastAsia" w:ascii="宋体" w:hAnsi="宋体" w:eastAsia="宋体"/>
          <w:lang w:val="en-US" w:eastAsia="zh-CN"/>
        </w:rPr>
        <w:t>本项目从系统验收通过之日起1年内提供7*24小时免费技术支持和售后服务，1年后进入有偿维护期。</w:t>
      </w:r>
    </w:p>
    <w:p w14:paraId="5E211F52">
      <w:pPr>
        <w:rPr>
          <w:rFonts w:hint="eastAsia" w:ascii="宋体" w:hAnsi="宋体" w:eastAsia="宋体"/>
          <w:lang w:val="en-US" w:eastAsia="zh-CN"/>
        </w:rPr>
      </w:pPr>
      <w:r>
        <w:rPr>
          <w:rFonts w:hint="eastAsia" w:ascii="宋体" w:hAnsi="宋体" w:eastAsia="宋体"/>
          <w:lang w:val="en-US" w:eastAsia="zh-CN"/>
        </w:rPr>
        <w:t>在质量保证期内，供应商将按照售后服务的承诺提供保修和运行维护服务，如果厂商对信息系统中软、硬件设备等产品中的部分保修期超过上述期限的，则按照厂商的规定进行免费保修。</w:t>
      </w:r>
    </w:p>
    <w:p w14:paraId="37BB6F3F">
      <w:pPr>
        <w:rPr>
          <w:rFonts w:hint="eastAsia" w:ascii="宋体" w:hAnsi="宋体" w:eastAsia="宋体"/>
          <w:lang w:val="en-US" w:eastAsia="zh-CN"/>
        </w:rPr>
      </w:pPr>
      <w:r>
        <w:rPr>
          <w:rFonts w:hint="eastAsia" w:ascii="宋体" w:hAnsi="宋体" w:eastAsia="宋体"/>
          <w:lang w:val="en-US" w:eastAsia="zh-CN"/>
        </w:rPr>
        <w:t>在质量保证期内，供应商负责信息系统的运行维护工作，确保信息系统安全、稳定、可靠地运行。</w:t>
      </w:r>
    </w:p>
    <w:p w14:paraId="2CA7914A">
      <w:pPr>
        <w:pStyle w:val="3"/>
      </w:pPr>
      <w:bookmarkStart w:id="27" w:name="_Toc63785506"/>
      <w:r>
        <w:rPr>
          <w:rFonts w:hint="eastAsia"/>
        </w:rPr>
        <w:t>应急响应要求</w:t>
      </w:r>
      <w:bookmarkEnd w:id="27"/>
    </w:p>
    <w:p w14:paraId="337D8FB6">
      <w:pPr>
        <w:rPr>
          <w:rFonts w:hint="eastAsia" w:ascii="宋体" w:hAnsi="宋体" w:eastAsia="宋体"/>
        </w:rPr>
      </w:pPr>
      <w:r>
        <w:rPr>
          <w:rFonts w:hint="eastAsia" w:ascii="宋体" w:hAnsi="宋体" w:eastAsia="宋体"/>
        </w:rPr>
        <w:t>供应商对系统故障应能够实时响应，若系统发生故障，接到通知后30分钟之内响应，专业工程师2小时内到达现场。特殊故障与客户沟通协商后，按照协商的方式制定解决方案并进行处理。</w:t>
      </w:r>
    </w:p>
    <w:p w14:paraId="72FF0C0F">
      <w:pPr>
        <w:rPr>
          <w:rFonts w:hint="eastAsia" w:ascii="宋体" w:hAnsi="宋体" w:eastAsia="宋体"/>
        </w:rPr>
      </w:pPr>
      <w:r>
        <w:rPr>
          <w:rFonts w:hint="eastAsia" w:ascii="宋体" w:hAnsi="宋体" w:eastAsia="宋体"/>
        </w:rPr>
        <w:t>具体故障级别及对应的应急响应要求如下：</w:t>
      </w:r>
    </w:p>
    <w:p w14:paraId="3D7E9E93">
      <w:pPr>
        <w:rPr>
          <w:rFonts w:hint="eastAsia" w:ascii="宋体" w:hAnsi="宋体" w:eastAsia="宋体"/>
        </w:rPr>
      </w:pPr>
      <w:r>
        <w:rPr>
          <w:rFonts w:hint="eastAsia" w:ascii="宋体" w:hAnsi="宋体" w:eastAsia="宋体"/>
        </w:rPr>
        <w:t>一级故障：在1小时内确诊，总故障解决时间不超过4小时。</w:t>
      </w:r>
    </w:p>
    <w:p w14:paraId="3D96424C">
      <w:pPr>
        <w:rPr>
          <w:rFonts w:hint="eastAsia" w:ascii="宋体" w:hAnsi="宋体" w:eastAsia="宋体"/>
        </w:rPr>
      </w:pPr>
      <w:r>
        <w:rPr>
          <w:rFonts w:hint="eastAsia" w:ascii="宋体" w:hAnsi="宋体" w:eastAsia="宋体"/>
        </w:rPr>
        <w:t>二级故障：在2小时内确诊，并在4小时内由专家到达现场确诊并解决，总故障解决时间不超过8小时；</w:t>
      </w:r>
    </w:p>
    <w:p w14:paraId="487A2FBB">
      <w:pPr>
        <w:rPr>
          <w:rFonts w:hint="eastAsia" w:ascii="宋体" w:hAnsi="宋体" w:eastAsia="宋体"/>
        </w:rPr>
      </w:pPr>
      <w:r>
        <w:rPr>
          <w:rFonts w:hint="eastAsia" w:ascii="宋体" w:hAnsi="宋体" w:eastAsia="宋体"/>
        </w:rPr>
        <w:t>三、四级故障：在4小时内确诊故障，总故障解决时间不超过16小时。</w:t>
      </w:r>
    </w:p>
    <w:p w14:paraId="1285F5C6">
      <w:pPr>
        <w:pStyle w:val="3"/>
      </w:pPr>
      <w:bookmarkStart w:id="28" w:name="_Toc63785507"/>
      <w:r>
        <w:rPr>
          <w:rFonts w:hint="eastAsia"/>
        </w:rPr>
        <w:t>培训要求</w:t>
      </w:r>
      <w:bookmarkEnd w:id="28"/>
    </w:p>
    <w:p w14:paraId="3832626E">
      <w:r>
        <w:rPr>
          <w:rFonts w:hint="eastAsia"/>
        </w:rPr>
        <w:t>对系统使用单位提供业务操作培训，应提供详细培训方案。</w:t>
      </w:r>
    </w:p>
    <w:p w14:paraId="7FF6E3F5">
      <w:r>
        <w:rPr>
          <w:rFonts w:hint="eastAsia"/>
        </w:rPr>
        <w:t>(1)在12个月的质量保证期内，至少提供2次与项目相关的必要培训。</w:t>
      </w:r>
    </w:p>
    <w:p w14:paraId="3D943194">
      <w:r>
        <w:rPr>
          <w:rFonts w:hint="eastAsia"/>
        </w:rPr>
        <w:t>(2)供应商需要开展分层次的人员培训工作，每次培训后应对参加培训人员进行测试，评估培训成果。培训应具有培训教材、培训环境和高水平的培训讲师。</w:t>
      </w:r>
    </w:p>
    <w:p w14:paraId="793ED31A">
      <w:pPr>
        <w:rPr>
          <w:strike/>
          <w:szCs w:val="21"/>
        </w:rPr>
      </w:pPr>
      <w:r>
        <w:rPr>
          <w:rFonts w:hint="eastAsia"/>
        </w:rPr>
        <w:t>(3)供应商应提供一般用户的基础操作培训和部门信息管理员的日常应用维护的培训，确保用户对象能够掌握对应的操作技能。</w:t>
      </w:r>
    </w:p>
    <w:p w14:paraId="7A359290">
      <w:pPr>
        <w:pStyle w:val="3"/>
      </w:pPr>
      <w:bookmarkStart w:id="29" w:name="_Toc63785509"/>
      <w:r>
        <w:rPr>
          <w:rFonts w:hint="eastAsia"/>
        </w:rPr>
        <w:t>进度要求</w:t>
      </w:r>
      <w:bookmarkEnd w:id="29"/>
    </w:p>
    <w:p w14:paraId="7444A3C2">
      <w:r>
        <w:rPr>
          <w:rFonts w:hint="eastAsia"/>
        </w:rPr>
        <w:t>投标人应根据建设内容，分阶段制定合理的时间进度，并且应根据招标方要求进行调整和细化。</w:t>
      </w:r>
    </w:p>
    <w:p w14:paraId="084B36A7">
      <w:r>
        <w:rPr>
          <w:rFonts w:hint="eastAsia"/>
        </w:rPr>
        <w:t>总建设周期为24个月。</w:t>
      </w:r>
    </w:p>
    <w:p w14:paraId="2CF38451">
      <w:pPr>
        <w:pStyle w:val="3"/>
      </w:pPr>
      <w:r>
        <w:rPr>
          <w:rFonts w:hint="eastAsia"/>
        </w:rPr>
        <w:t>投标人企业综合能力要求</w:t>
      </w:r>
    </w:p>
    <w:p w14:paraId="1527EA86">
      <w:r>
        <w:rPr>
          <w:rFonts w:hint="eastAsia"/>
        </w:rPr>
        <w:t>投标人具备投标人具有 1.信息安全服务资质认证证书（信息系统安全运维）；</w:t>
      </w:r>
      <w:r>
        <w:rPr>
          <w:rFonts w:hint="eastAsia"/>
          <w:lang w:val="en-US" w:eastAsia="zh-CN"/>
        </w:rPr>
        <w:t>2</w:t>
      </w:r>
      <w:r>
        <w:rPr>
          <w:rFonts w:hint="eastAsia"/>
        </w:rPr>
        <w:t>.信息安全服务资质认证证书（信息安全风险评估）；</w:t>
      </w:r>
      <w:r>
        <w:rPr>
          <w:rFonts w:hint="eastAsia"/>
          <w:lang w:val="en-US" w:eastAsia="zh-CN"/>
        </w:rPr>
        <w:t>3</w:t>
      </w:r>
      <w:r>
        <w:rPr>
          <w:rFonts w:hint="eastAsia"/>
        </w:rPr>
        <w:t>.信息安全服务资质认证证书（信息系统安全集成）。</w:t>
      </w:r>
    </w:p>
    <w:p w14:paraId="487C4ACE">
      <w:pPr>
        <w:pStyle w:val="3"/>
      </w:pPr>
      <w:bookmarkStart w:id="30" w:name="_Toc63785510"/>
      <w:r>
        <w:rPr>
          <w:rFonts w:hint="eastAsia"/>
        </w:rPr>
        <w:t>项目团队及驻场人员要求</w:t>
      </w:r>
      <w:bookmarkEnd w:id="30"/>
    </w:p>
    <w:p w14:paraId="634EAC22">
      <w:r>
        <w:t>1）投标人须具有稳定的在职技术保障力量，能够提供及时的技术支援或服务，应针对本项目提供不少于</w:t>
      </w:r>
      <w:r>
        <w:rPr>
          <w:rFonts w:hint="eastAsia"/>
          <w:lang w:val="en-US" w:eastAsia="zh-CN"/>
        </w:rPr>
        <w:t>7</w:t>
      </w:r>
      <w:r>
        <w:rPr>
          <w:rFonts w:hint="eastAsia"/>
        </w:rPr>
        <w:t>0 人</w:t>
      </w:r>
      <w:r>
        <w:t>的项目服务团队（包括</w:t>
      </w:r>
      <w:r>
        <w:rPr>
          <w:rFonts w:hint="eastAsia"/>
          <w:lang w:eastAsia="zh-CN"/>
        </w:rPr>
        <w:t>项目负责人</w:t>
      </w:r>
      <w:r>
        <w:t>、技术负责人、研发</w:t>
      </w:r>
      <w:r>
        <w:rPr>
          <w:rFonts w:hint="eastAsia"/>
        </w:rPr>
        <w:t>工程师</w:t>
      </w:r>
      <w:r>
        <w:t>等），投标单位的相关服务人员需具备相应的服务能力，需提供相关证明。</w:t>
      </w:r>
    </w:p>
    <w:tbl>
      <w:tblPr>
        <w:tblStyle w:val="7"/>
        <w:tblW w:w="85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7"/>
        <w:gridCol w:w="2604"/>
        <w:gridCol w:w="1534"/>
        <w:gridCol w:w="1647"/>
        <w:gridCol w:w="1163"/>
      </w:tblGrid>
      <w:tr w14:paraId="7A63F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637" w:type="dxa"/>
            <w:noWrap/>
            <w:vAlign w:val="center"/>
          </w:tcPr>
          <w:p w14:paraId="5C2E7263">
            <w:pPr>
              <w:ind w:left="0" w:leftChars="0" w:firstLine="0" w:firstLineChars="0"/>
              <w:jc w:val="center"/>
            </w:pPr>
            <w:r>
              <w:rPr>
                <w:rFonts w:hint="eastAsia"/>
              </w:rPr>
              <w:t>角色</w:t>
            </w:r>
          </w:p>
        </w:tc>
        <w:tc>
          <w:tcPr>
            <w:tcW w:w="2604" w:type="dxa"/>
            <w:noWrap/>
            <w:vAlign w:val="center"/>
          </w:tcPr>
          <w:p w14:paraId="7CE7183A">
            <w:pPr>
              <w:ind w:left="0" w:leftChars="0" w:firstLine="0" w:firstLineChars="0"/>
              <w:jc w:val="center"/>
            </w:pPr>
            <w:r>
              <w:rPr>
                <w:rFonts w:hint="eastAsia"/>
              </w:rPr>
              <w:t>主要职责</w:t>
            </w:r>
          </w:p>
        </w:tc>
        <w:tc>
          <w:tcPr>
            <w:tcW w:w="1534" w:type="dxa"/>
            <w:noWrap/>
            <w:vAlign w:val="center"/>
          </w:tcPr>
          <w:p w14:paraId="48996839">
            <w:pPr>
              <w:ind w:left="0" w:leftChars="0" w:firstLine="0" w:firstLineChars="0"/>
              <w:jc w:val="center"/>
            </w:pPr>
            <w:r>
              <w:rPr>
                <w:rFonts w:hint="eastAsia"/>
              </w:rPr>
              <w:t>人员数量</w:t>
            </w:r>
          </w:p>
        </w:tc>
        <w:tc>
          <w:tcPr>
            <w:tcW w:w="1647" w:type="dxa"/>
            <w:noWrap/>
            <w:vAlign w:val="center"/>
          </w:tcPr>
          <w:p w14:paraId="08EC3278">
            <w:pPr>
              <w:ind w:left="0" w:leftChars="0" w:firstLine="0" w:firstLineChars="0"/>
              <w:jc w:val="center"/>
              <w:rPr>
                <w:rFonts w:hint="eastAsia"/>
              </w:rPr>
            </w:pPr>
            <w:r>
              <w:rPr>
                <w:rFonts w:hint="eastAsia"/>
              </w:rPr>
              <w:t>人员要求</w:t>
            </w:r>
          </w:p>
        </w:tc>
        <w:tc>
          <w:tcPr>
            <w:tcW w:w="1163" w:type="dxa"/>
            <w:noWrap/>
            <w:vAlign w:val="center"/>
          </w:tcPr>
          <w:p w14:paraId="404035FD">
            <w:pPr>
              <w:ind w:left="0" w:leftChars="0" w:firstLine="0" w:firstLineChars="0"/>
              <w:jc w:val="center"/>
            </w:pPr>
            <w:r>
              <w:rPr>
                <w:rFonts w:hint="eastAsia"/>
              </w:rPr>
              <w:t>驻场要求</w:t>
            </w:r>
          </w:p>
        </w:tc>
      </w:tr>
      <w:tr w14:paraId="62880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637" w:type="dxa"/>
            <w:noWrap/>
            <w:vAlign w:val="center"/>
          </w:tcPr>
          <w:p w14:paraId="68370104">
            <w:pPr>
              <w:ind w:left="0" w:leftChars="0" w:firstLine="0" w:firstLineChars="0"/>
            </w:pPr>
            <w:r>
              <w:rPr>
                <w:rFonts w:hint="eastAsia"/>
              </w:rPr>
              <w:t>项目负责人</w:t>
            </w:r>
          </w:p>
        </w:tc>
        <w:tc>
          <w:tcPr>
            <w:tcW w:w="2604" w:type="dxa"/>
            <w:vAlign w:val="center"/>
          </w:tcPr>
          <w:p w14:paraId="212EF3F6">
            <w:pPr>
              <w:ind w:left="0" w:leftChars="0" w:firstLine="0" w:firstLineChars="0"/>
            </w:pPr>
            <w:r>
              <w:rPr>
                <w:rFonts w:hint="eastAsia"/>
              </w:rPr>
              <w:t>负责项目质量和进度控制</w:t>
            </w:r>
          </w:p>
        </w:tc>
        <w:tc>
          <w:tcPr>
            <w:tcW w:w="1534" w:type="dxa"/>
            <w:noWrap/>
            <w:vAlign w:val="center"/>
          </w:tcPr>
          <w:p w14:paraId="2151E15C">
            <w:pPr>
              <w:ind w:left="0" w:leftChars="0" w:firstLine="0" w:firstLineChars="0"/>
            </w:pPr>
            <w:r>
              <w:rPr>
                <w:rFonts w:hint="eastAsia"/>
              </w:rPr>
              <w:t>1人</w:t>
            </w:r>
          </w:p>
        </w:tc>
        <w:tc>
          <w:tcPr>
            <w:tcW w:w="1647" w:type="dxa"/>
            <w:noWrap/>
            <w:vAlign w:val="center"/>
          </w:tcPr>
          <w:p w14:paraId="4B50A85A">
            <w:pPr>
              <w:ind w:left="0" w:leftChars="0" w:firstLine="0" w:firstLineChars="0"/>
              <w:rPr>
                <w:rFonts w:hint="eastAsia"/>
              </w:rPr>
            </w:pPr>
            <w:r>
              <w:t>具有</w:t>
            </w:r>
            <w:r>
              <w:rPr>
                <w:rFonts w:hint="eastAsia"/>
              </w:rPr>
              <w:t>信息系统项目管理师、系统分析师、软件设计师、信息安全工程师证书</w:t>
            </w:r>
          </w:p>
        </w:tc>
        <w:tc>
          <w:tcPr>
            <w:tcW w:w="1163" w:type="dxa"/>
            <w:noWrap/>
            <w:vAlign w:val="center"/>
          </w:tcPr>
          <w:p w14:paraId="5D3F5AB7">
            <w:pPr>
              <w:ind w:left="0" w:leftChars="0" w:firstLine="0" w:firstLineChars="0"/>
            </w:pPr>
            <w:r>
              <w:rPr>
                <w:rFonts w:hint="eastAsia"/>
              </w:rPr>
              <w:t>不驻场</w:t>
            </w:r>
          </w:p>
        </w:tc>
      </w:tr>
      <w:tr w14:paraId="18095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637" w:type="dxa"/>
            <w:noWrap/>
            <w:vAlign w:val="center"/>
          </w:tcPr>
          <w:p w14:paraId="174AFC93">
            <w:pPr>
              <w:ind w:left="0" w:leftChars="0" w:firstLine="0" w:firstLineChars="0"/>
            </w:pPr>
            <w:r>
              <w:rPr>
                <w:rFonts w:hint="eastAsia"/>
              </w:rPr>
              <w:t>技术负责人</w:t>
            </w:r>
          </w:p>
        </w:tc>
        <w:tc>
          <w:tcPr>
            <w:tcW w:w="2604" w:type="dxa"/>
            <w:vAlign w:val="center"/>
          </w:tcPr>
          <w:p w14:paraId="32C845E8">
            <w:pPr>
              <w:ind w:left="0" w:leftChars="0" w:firstLine="0" w:firstLineChars="0"/>
            </w:pPr>
            <w:r>
              <w:rPr>
                <w:rFonts w:hint="eastAsia"/>
              </w:rPr>
              <w:t>负责项目需求评估与产品设计</w:t>
            </w:r>
          </w:p>
        </w:tc>
        <w:tc>
          <w:tcPr>
            <w:tcW w:w="1534" w:type="dxa"/>
            <w:noWrap/>
            <w:vAlign w:val="center"/>
          </w:tcPr>
          <w:p w14:paraId="482E9917">
            <w:pPr>
              <w:ind w:left="0" w:leftChars="0" w:firstLine="0" w:firstLineChars="0"/>
            </w:pPr>
            <w:r>
              <w:rPr>
                <w:rFonts w:hint="eastAsia"/>
              </w:rPr>
              <w:t>1人</w:t>
            </w:r>
          </w:p>
        </w:tc>
        <w:tc>
          <w:tcPr>
            <w:tcW w:w="1647" w:type="dxa"/>
            <w:noWrap/>
            <w:vAlign w:val="center"/>
          </w:tcPr>
          <w:p w14:paraId="4DCFB8F6">
            <w:pPr>
              <w:ind w:left="0" w:leftChars="0" w:firstLine="0" w:firstLineChars="0"/>
              <w:rPr>
                <w:rFonts w:hint="eastAsia"/>
              </w:rPr>
            </w:pPr>
            <w:r>
              <w:t>具有</w:t>
            </w:r>
            <w:r>
              <w:rPr>
                <w:rFonts w:hint="eastAsia"/>
              </w:rPr>
              <w:t>信息系统项目管理师、系统规划与管理师证书</w:t>
            </w:r>
          </w:p>
        </w:tc>
        <w:tc>
          <w:tcPr>
            <w:tcW w:w="1163" w:type="dxa"/>
            <w:noWrap/>
            <w:vAlign w:val="center"/>
          </w:tcPr>
          <w:p w14:paraId="3EB3EFF5">
            <w:pPr>
              <w:ind w:left="0" w:leftChars="0" w:firstLine="0" w:firstLineChars="0"/>
            </w:pPr>
            <w:r>
              <w:rPr>
                <w:rFonts w:hint="eastAsia"/>
              </w:rPr>
              <w:t>不驻场</w:t>
            </w:r>
          </w:p>
        </w:tc>
      </w:tr>
      <w:tr w14:paraId="004E8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637" w:type="dxa"/>
            <w:noWrap/>
            <w:vAlign w:val="center"/>
          </w:tcPr>
          <w:p w14:paraId="38CFC398">
            <w:pPr>
              <w:ind w:left="0" w:leftChars="0" w:firstLine="0" w:firstLineChars="0"/>
              <w:rPr>
                <w:color w:val="auto"/>
                <w:highlight w:val="none"/>
              </w:rPr>
            </w:pPr>
            <w:r>
              <w:rPr>
                <w:rFonts w:hint="eastAsia"/>
                <w:color w:val="auto"/>
                <w:highlight w:val="none"/>
              </w:rPr>
              <w:t>研发工程师</w:t>
            </w:r>
          </w:p>
        </w:tc>
        <w:tc>
          <w:tcPr>
            <w:tcW w:w="2604" w:type="dxa"/>
            <w:noWrap/>
            <w:vAlign w:val="center"/>
          </w:tcPr>
          <w:p w14:paraId="158F6986">
            <w:pPr>
              <w:ind w:left="0" w:leftChars="0" w:firstLine="0" w:firstLineChars="0"/>
              <w:rPr>
                <w:color w:val="auto"/>
                <w:highlight w:val="none"/>
              </w:rPr>
            </w:pPr>
            <w:r>
              <w:rPr>
                <w:rFonts w:hint="eastAsia"/>
                <w:color w:val="auto"/>
                <w:highlight w:val="none"/>
              </w:rPr>
              <w:t>负责项目实施周期内的研发工作</w:t>
            </w:r>
          </w:p>
        </w:tc>
        <w:tc>
          <w:tcPr>
            <w:tcW w:w="1534" w:type="dxa"/>
            <w:noWrap/>
            <w:vAlign w:val="center"/>
          </w:tcPr>
          <w:p w14:paraId="39D00236">
            <w:pPr>
              <w:ind w:left="0" w:leftChars="0" w:firstLine="0" w:firstLineChars="0"/>
              <w:rPr>
                <w:rFonts w:hint="default"/>
                <w:color w:val="auto"/>
                <w:highlight w:val="none"/>
                <w:lang w:val="en-US"/>
              </w:rPr>
            </w:pPr>
            <w:r>
              <w:rPr>
                <w:rFonts w:hint="eastAsia"/>
                <w:color w:val="auto"/>
                <w:highlight w:val="none"/>
                <w:lang w:val="en-US" w:eastAsia="zh-CN"/>
              </w:rPr>
              <w:t>68</w:t>
            </w:r>
          </w:p>
        </w:tc>
        <w:tc>
          <w:tcPr>
            <w:tcW w:w="1647" w:type="dxa"/>
            <w:noWrap/>
            <w:vAlign w:val="center"/>
          </w:tcPr>
          <w:p w14:paraId="2F03A392">
            <w:pPr>
              <w:ind w:left="0" w:leftChars="0" w:firstLine="0" w:firstLineChars="0"/>
              <w:rPr>
                <w:rFonts w:hint="eastAsia" w:eastAsia="宋体"/>
                <w:color w:val="auto"/>
                <w:highlight w:val="none"/>
                <w:lang w:val="en-US" w:eastAsia="zh-CN"/>
              </w:rPr>
            </w:pPr>
            <w:r>
              <w:rPr>
                <w:rFonts w:hint="eastAsia"/>
                <w:color w:val="auto"/>
                <w:highlight w:val="none"/>
                <w:lang w:val="en-US" w:eastAsia="zh-CN"/>
              </w:rPr>
              <w:t>/</w:t>
            </w:r>
          </w:p>
        </w:tc>
        <w:tc>
          <w:tcPr>
            <w:tcW w:w="1163" w:type="dxa"/>
            <w:noWrap/>
            <w:vAlign w:val="center"/>
          </w:tcPr>
          <w:p w14:paraId="7BF1A4DC">
            <w:pPr>
              <w:ind w:left="0" w:leftChars="0" w:firstLine="0" w:firstLineChars="0"/>
              <w:rPr>
                <w:color w:val="auto"/>
                <w:highlight w:val="none"/>
              </w:rPr>
            </w:pPr>
            <w:r>
              <w:rPr>
                <w:rFonts w:hint="eastAsia"/>
                <w:color w:val="auto"/>
                <w:highlight w:val="none"/>
              </w:rPr>
              <w:t>不驻场</w:t>
            </w:r>
          </w:p>
        </w:tc>
      </w:tr>
    </w:tbl>
    <w:p w14:paraId="5F40265B">
      <w:r>
        <w:t>2）投标人应针对本项目提供不少于</w:t>
      </w:r>
      <w:r>
        <w:rPr>
          <w:rFonts w:hint="eastAsia"/>
        </w:rPr>
        <w:t>10</w:t>
      </w:r>
      <w:r>
        <w:t>人的质保期间支撑团队；投标人的相关服务人员需具备相应的服务能力，需提供相关证明（</w:t>
      </w:r>
      <w:r>
        <w:rPr>
          <w:rFonts w:hint="eastAsia"/>
          <w:lang w:eastAsia="zh-CN"/>
        </w:rPr>
        <w:t>投标截止时间前三个月中任意一个月</w:t>
      </w:r>
      <w:r>
        <w:t>依法缴纳社保费的证明）。</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2306"/>
        <w:gridCol w:w="1524"/>
        <w:gridCol w:w="1858"/>
        <w:gridCol w:w="1176"/>
      </w:tblGrid>
      <w:tr w14:paraId="3C050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416" w:type="dxa"/>
            <w:noWrap/>
            <w:vAlign w:val="center"/>
          </w:tcPr>
          <w:p w14:paraId="3B0C6B0B">
            <w:pPr>
              <w:ind w:left="0" w:leftChars="0" w:firstLine="0" w:firstLineChars="0"/>
              <w:rPr>
                <w:color w:val="auto"/>
              </w:rPr>
            </w:pPr>
            <w:r>
              <w:rPr>
                <w:rFonts w:hint="eastAsia"/>
                <w:color w:val="auto"/>
              </w:rPr>
              <w:t>角色</w:t>
            </w:r>
          </w:p>
        </w:tc>
        <w:tc>
          <w:tcPr>
            <w:tcW w:w="2306" w:type="dxa"/>
            <w:noWrap/>
            <w:vAlign w:val="center"/>
          </w:tcPr>
          <w:p w14:paraId="66736221">
            <w:pPr>
              <w:ind w:left="0" w:leftChars="0" w:firstLine="0" w:firstLineChars="0"/>
              <w:rPr>
                <w:color w:val="auto"/>
              </w:rPr>
            </w:pPr>
            <w:r>
              <w:rPr>
                <w:rFonts w:hint="eastAsia"/>
                <w:color w:val="auto"/>
              </w:rPr>
              <w:t>主要职责</w:t>
            </w:r>
          </w:p>
        </w:tc>
        <w:tc>
          <w:tcPr>
            <w:tcW w:w="1524" w:type="dxa"/>
            <w:noWrap/>
            <w:vAlign w:val="center"/>
          </w:tcPr>
          <w:p w14:paraId="738883B9">
            <w:pPr>
              <w:ind w:left="0" w:leftChars="0" w:firstLine="0" w:firstLineChars="0"/>
              <w:rPr>
                <w:color w:val="auto"/>
              </w:rPr>
            </w:pPr>
            <w:r>
              <w:rPr>
                <w:rFonts w:hint="eastAsia"/>
                <w:color w:val="auto"/>
              </w:rPr>
              <w:t>人员数量</w:t>
            </w:r>
          </w:p>
        </w:tc>
        <w:tc>
          <w:tcPr>
            <w:tcW w:w="1858" w:type="dxa"/>
            <w:noWrap/>
            <w:vAlign w:val="center"/>
          </w:tcPr>
          <w:p w14:paraId="32A8E559">
            <w:pPr>
              <w:ind w:left="0" w:leftChars="0" w:firstLine="0" w:firstLineChars="0"/>
              <w:rPr>
                <w:rFonts w:hint="eastAsia"/>
                <w:color w:val="auto"/>
              </w:rPr>
            </w:pPr>
            <w:r>
              <w:rPr>
                <w:rFonts w:hint="eastAsia"/>
                <w:color w:val="auto"/>
              </w:rPr>
              <w:t>人员要求</w:t>
            </w:r>
          </w:p>
        </w:tc>
        <w:tc>
          <w:tcPr>
            <w:tcW w:w="1176" w:type="dxa"/>
            <w:noWrap/>
            <w:vAlign w:val="center"/>
          </w:tcPr>
          <w:p w14:paraId="57323416">
            <w:pPr>
              <w:ind w:left="0" w:leftChars="0" w:firstLine="0" w:firstLineChars="0"/>
              <w:rPr>
                <w:color w:val="auto"/>
              </w:rPr>
            </w:pPr>
            <w:r>
              <w:rPr>
                <w:rFonts w:hint="eastAsia"/>
                <w:color w:val="auto"/>
              </w:rPr>
              <w:t>驻场要求</w:t>
            </w:r>
          </w:p>
        </w:tc>
      </w:tr>
      <w:tr w14:paraId="0F61B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6" w:type="dxa"/>
            <w:noWrap/>
            <w:vAlign w:val="center"/>
          </w:tcPr>
          <w:p w14:paraId="2914B984">
            <w:pPr>
              <w:ind w:left="0" w:leftChars="0" w:firstLine="0" w:firstLineChars="0"/>
              <w:rPr>
                <w:rFonts w:hint="eastAsia" w:eastAsia="宋体"/>
                <w:color w:val="auto"/>
                <w:highlight w:val="none"/>
                <w:lang w:eastAsia="zh-CN"/>
              </w:rPr>
            </w:pPr>
            <w:r>
              <w:rPr>
                <w:rFonts w:hint="eastAsia"/>
                <w:color w:val="auto"/>
                <w:highlight w:val="none"/>
                <w:lang w:eastAsia="zh-CN"/>
              </w:rPr>
              <w:t>项目负责人</w:t>
            </w:r>
          </w:p>
        </w:tc>
        <w:tc>
          <w:tcPr>
            <w:tcW w:w="2306" w:type="dxa"/>
            <w:vAlign w:val="center"/>
          </w:tcPr>
          <w:p w14:paraId="1B1DD2E6">
            <w:pPr>
              <w:ind w:left="0" w:leftChars="0" w:firstLine="0" w:firstLineChars="0"/>
              <w:rPr>
                <w:rFonts w:hint="eastAsia" w:eastAsia="宋体"/>
                <w:color w:val="auto"/>
                <w:highlight w:val="none"/>
                <w:lang w:eastAsia="zh-CN"/>
              </w:rPr>
            </w:pPr>
            <w:r>
              <w:rPr>
                <w:rFonts w:hint="eastAsia"/>
                <w:color w:val="auto"/>
                <w:highlight w:val="none"/>
              </w:rPr>
              <w:t>项目</w:t>
            </w:r>
            <w:r>
              <w:rPr>
                <w:rFonts w:hint="eastAsia"/>
                <w:color w:val="auto"/>
                <w:highlight w:val="none"/>
                <w:lang w:eastAsia="zh-CN"/>
              </w:rPr>
              <w:t>总体协调</w:t>
            </w:r>
          </w:p>
        </w:tc>
        <w:tc>
          <w:tcPr>
            <w:tcW w:w="1524" w:type="dxa"/>
            <w:noWrap/>
            <w:vAlign w:val="center"/>
          </w:tcPr>
          <w:p w14:paraId="62308224">
            <w:pPr>
              <w:ind w:left="0" w:leftChars="0" w:firstLine="0" w:firstLineChars="0"/>
              <w:rPr>
                <w:color w:val="auto"/>
                <w:highlight w:val="none"/>
              </w:rPr>
            </w:pPr>
            <w:r>
              <w:rPr>
                <w:rFonts w:hint="eastAsia"/>
                <w:color w:val="auto"/>
                <w:highlight w:val="none"/>
              </w:rPr>
              <w:t>1人</w:t>
            </w:r>
          </w:p>
        </w:tc>
        <w:tc>
          <w:tcPr>
            <w:tcW w:w="1858" w:type="dxa"/>
            <w:noWrap/>
            <w:vAlign w:val="center"/>
          </w:tcPr>
          <w:p w14:paraId="5F033F2C">
            <w:pPr>
              <w:ind w:left="0" w:leftChars="0" w:firstLine="0" w:firstLineChars="0"/>
              <w:rPr>
                <w:rFonts w:hint="eastAsia"/>
                <w:color w:val="auto"/>
                <w:highlight w:val="none"/>
              </w:rPr>
            </w:pPr>
            <w:r>
              <w:rPr>
                <w:color w:val="auto"/>
                <w:highlight w:val="none"/>
              </w:rPr>
              <w:t>具有</w:t>
            </w:r>
            <w:r>
              <w:rPr>
                <w:rFonts w:hint="eastAsia"/>
                <w:color w:val="auto"/>
                <w:highlight w:val="none"/>
              </w:rPr>
              <w:t>信息系统项目管理师、系统分析师、软件设计师、信息安全工程师证书</w:t>
            </w:r>
          </w:p>
        </w:tc>
        <w:tc>
          <w:tcPr>
            <w:tcW w:w="1176" w:type="dxa"/>
            <w:noWrap/>
            <w:vAlign w:val="center"/>
          </w:tcPr>
          <w:p w14:paraId="79FD8EF1">
            <w:pPr>
              <w:ind w:left="0" w:leftChars="0" w:firstLine="0" w:firstLineChars="0"/>
              <w:rPr>
                <w:color w:val="auto"/>
                <w:highlight w:val="none"/>
              </w:rPr>
            </w:pPr>
            <w:r>
              <w:rPr>
                <w:rFonts w:hint="eastAsia"/>
                <w:color w:val="auto"/>
                <w:highlight w:val="none"/>
              </w:rPr>
              <w:t>不驻场</w:t>
            </w:r>
          </w:p>
        </w:tc>
      </w:tr>
      <w:tr w14:paraId="77BE7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6" w:type="dxa"/>
            <w:noWrap/>
            <w:vAlign w:val="center"/>
          </w:tcPr>
          <w:p w14:paraId="3350983E">
            <w:pPr>
              <w:ind w:left="0" w:leftChars="0" w:firstLine="0" w:firstLineChars="0"/>
              <w:rPr>
                <w:color w:val="auto"/>
                <w:highlight w:val="none"/>
              </w:rPr>
            </w:pPr>
            <w:r>
              <w:rPr>
                <w:rFonts w:hint="eastAsia"/>
                <w:color w:val="auto"/>
                <w:highlight w:val="none"/>
              </w:rPr>
              <w:t>技术负责人</w:t>
            </w:r>
          </w:p>
        </w:tc>
        <w:tc>
          <w:tcPr>
            <w:tcW w:w="2306" w:type="dxa"/>
            <w:vAlign w:val="center"/>
          </w:tcPr>
          <w:p w14:paraId="35ED4BCE">
            <w:pPr>
              <w:ind w:left="0" w:leftChars="0" w:firstLine="0" w:firstLineChars="0"/>
              <w:rPr>
                <w:rFonts w:hint="eastAsia" w:eastAsia="宋体"/>
                <w:color w:val="auto"/>
                <w:highlight w:val="none"/>
                <w:lang w:eastAsia="zh-CN"/>
              </w:rPr>
            </w:pPr>
            <w:r>
              <w:rPr>
                <w:rFonts w:hint="eastAsia"/>
                <w:color w:val="auto"/>
                <w:highlight w:val="none"/>
                <w:lang w:eastAsia="zh-CN"/>
              </w:rPr>
              <w:t>技术支撑</w:t>
            </w:r>
          </w:p>
        </w:tc>
        <w:tc>
          <w:tcPr>
            <w:tcW w:w="1524" w:type="dxa"/>
            <w:noWrap/>
            <w:vAlign w:val="center"/>
          </w:tcPr>
          <w:p w14:paraId="6B81EA09">
            <w:pPr>
              <w:ind w:left="0" w:leftChars="0" w:firstLine="0" w:firstLineChars="0"/>
              <w:rPr>
                <w:color w:val="auto"/>
                <w:highlight w:val="none"/>
              </w:rPr>
            </w:pPr>
            <w:r>
              <w:rPr>
                <w:rFonts w:hint="eastAsia"/>
                <w:color w:val="auto"/>
                <w:highlight w:val="none"/>
              </w:rPr>
              <w:t>1人</w:t>
            </w:r>
          </w:p>
        </w:tc>
        <w:tc>
          <w:tcPr>
            <w:tcW w:w="1858" w:type="dxa"/>
            <w:noWrap/>
            <w:vAlign w:val="center"/>
          </w:tcPr>
          <w:p w14:paraId="6702C429">
            <w:pPr>
              <w:ind w:left="0" w:leftChars="0" w:firstLine="0" w:firstLineChars="0"/>
              <w:rPr>
                <w:rFonts w:hint="eastAsia"/>
                <w:color w:val="auto"/>
                <w:highlight w:val="none"/>
              </w:rPr>
            </w:pPr>
            <w:r>
              <w:rPr>
                <w:color w:val="auto"/>
                <w:highlight w:val="none"/>
              </w:rPr>
              <w:t>具有</w:t>
            </w:r>
            <w:r>
              <w:rPr>
                <w:rFonts w:hint="eastAsia"/>
                <w:color w:val="auto"/>
                <w:highlight w:val="none"/>
              </w:rPr>
              <w:t>信息系统项目管理师、系统规划与管理师证书</w:t>
            </w:r>
          </w:p>
        </w:tc>
        <w:tc>
          <w:tcPr>
            <w:tcW w:w="1176" w:type="dxa"/>
            <w:noWrap/>
            <w:vAlign w:val="center"/>
          </w:tcPr>
          <w:p w14:paraId="71FC510E">
            <w:pPr>
              <w:ind w:left="0" w:leftChars="0" w:firstLine="0" w:firstLineChars="0"/>
              <w:rPr>
                <w:color w:val="auto"/>
                <w:highlight w:val="none"/>
              </w:rPr>
            </w:pPr>
            <w:r>
              <w:rPr>
                <w:rFonts w:hint="eastAsia"/>
                <w:color w:val="auto"/>
                <w:highlight w:val="none"/>
              </w:rPr>
              <w:t>不驻场</w:t>
            </w:r>
          </w:p>
        </w:tc>
      </w:tr>
      <w:tr w14:paraId="7F501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6" w:type="dxa"/>
            <w:noWrap/>
            <w:vAlign w:val="center"/>
          </w:tcPr>
          <w:p w14:paraId="608C3526">
            <w:pPr>
              <w:ind w:left="0" w:leftChars="0" w:firstLine="0" w:firstLineChars="0"/>
              <w:rPr>
                <w:color w:val="auto"/>
                <w:highlight w:val="none"/>
              </w:rPr>
            </w:pPr>
            <w:r>
              <w:rPr>
                <w:rFonts w:hint="eastAsia"/>
                <w:color w:val="auto"/>
                <w:highlight w:val="none"/>
              </w:rPr>
              <w:t>技术工程师</w:t>
            </w:r>
          </w:p>
        </w:tc>
        <w:tc>
          <w:tcPr>
            <w:tcW w:w="2306" w:type="dxa"/>
            <w:noWrap/>
            <w:vAlign w:val="center"/>
          </w:tcPr>
          <w:p w14:paraId="7DDFE0B9">
            <w:pPr>
              <w:ind w:left="0" w:leftChars="0" w:firstLine="0" w:firstLineChars="0"/>
              <w:rPr>
                <w:color w:val="auto"/>
                <w:highlight w:val="none"/>
              </w:rPr>
            </w:pPr>
            <w:r>
              <w:rPr>
                <w:rFonts w:hint="eastAsia"/>
                <w:color w:val="auto"/>
                <w:highlight w:val="none"/>
              </w:rPr>
              <w:t>负责项目运行维护</w:t>
            </w:r>
          </w:p>
        </w:tc>
        <w:tc>
          <w:tcPr>
            <w:tcW w:w="1524" w:type="dxa"/>
            <w:noWrap/>
            <w:vAlign w:val="center"/>
          </w:tcPr>
          <w:p w14:paraId="10BD04F5">
            <w:pPr>
              <w:ind w:left="0" w:leftChars="0" w:firstLine="0" w:firstLineChars="0"/>
              <w:rPr>
                <w:color w:val="auto"/>
                <w:highlight w:val="none"/>
              </w:rPr>
            </w:pPr>
            <w:r>
              <w:rPr>
                <w:rFonts w:hint="eastAsia"/>
                <w:color w:val="auto"/>
                <w:highlight w:val="none"/>
                <w:lang w:val="en-US" w:eastAsia="zh-CN"/>
              </w:rPr>
              <w:t>8</w:t>
            </w:r>
            <w:r>
              <w:rPr>
                <w:rFonts w:hint="eastAsia"/>
                <w:color w:val="auto"/>
                <w:highlight w:val="none"/>
              </w:rPr>
              <w:t>人</w:t>
            </w:r>
          </w:p>
        </w:tc>
        <w:tc>
          <w:tcPr>
            <w:tcW w:w="1858" w:type="dxa"/>
            <w:noWrap/>
            <w:vAlign w:val="center"/>
          </w:tcPr>
          <w:p w14:paraId="7D2C28F8">
            <w:pPr>
              <w:ind w:left="0" w:leftChars="0" w:firstLine="0" w:firstLineChars="0"/>
              <w:rPr>
                <w:rFonts w:hint="eastAsia" w:eastAsia="宋体"/>
                <w:color w:val="auto"/>
                <w:highlight w:val="none"/>
                <w:lang w:val="en-US" w:eastAsia="zh-CN"/>
              </w:rPr>
            </w:pPr>
            <w:r>
              <w:rPr>
                <w:rFonts w:hint="eastAsia"/>
                <w:color w:val="auto"/>
                <w:highlight w:val="none"/>
                <w:lang w:val="en-US" w:eastAsia="zh-CN"/>
              </w:rPr>
              <w:t>/</w:t>
            </w:r>
          </w:p>
        </w:tc>
        <w:tc>
          <w:tcPr>
            <w:tcW w:w="1176" w:type="dxa"/>
            <w:noWrap/>
            <w:vAlign w:val="center"/>
          </w:tcPr>
          <w:p w14:paraId="3E73E61F">
            <w:pPr>
              <w:ind w:left="0" w:leftChars="0" w:firstLine="0" w:firstLineChars="0"/>
              <w:rPr>
                <w:color w:val="auto"/>
                <w:highlight w:val="none"/>
              </w:rPr>
            </w:pPr>
            <w:r>
              <w:rPr>
                <w:rFonts w:hint="eastAsia"/>
                <w:color w:val="auto"/>
                <w:highlight w:val="none"/>
              </w:rPr>
              <w:t>不驻场</w:t>
            </w:r>
          </w:p>
        </w:tc>
      </w:tr>
    </w:tbl>
    <w:p w14:paraId="3EE23B4C">
      <w:pPr>
        <w:pStyle w:val="3"/>
      </w:pPr>
      <w:bookmarkStart w:id="31" w:name="_Toc63785511"/>
      <w:r>
        <w:t>等级保护要求</w:t>
      </w:r>
      <w:bookmarkEnd w:id="31"/>
    </w:p>
    <w:p w14:paraId="0809A0C3">
      <w:r>
        <w:t>本项目等级保护要求：</w:t>
      </w:r>
      <w:r>
        <w:rPr>
          <w:rFonts w:hint="eastAsia"/>
        </w:rPr>
        <w:t>三级。</w:t>
      </w:r>
      <w:r>
        <w:t xml:space="preserve"> </w:t>
      </w:r>
    </w:p>
    <w:p w14:paraId="74691D9F">
      <w:pPr>
        <w:pStyle w:val="3"/>
      </w:pPr>
      <w:r>
        <w:rPr>
          <w:rFonts w:hint="eastAsia"/>
        </w:rPr>
        <w:t>商业密码应用需求</w:t>
      </w:r>
    </w:p>
    <w:p w14:paraId="7FA25338">
      <w:r>
        <w:rPr>
          <w:rFonts w:hint="eastAsia"/>
        </w:rPr>
        <w:t>无。</w:t>
      </w:r>
      <w:bookmarkStart w:id="33" w:name="_GoBack"/>
      <w:bookmarkEnd w:id="33"/>
    </w:p>
    <w:p w14:paraId="115F924B">
      <w:pPr>
        <w:pStyle w:val="3"/>
      </w:pPr>
      <w:bookmarkStart w:id="32" w:name="_Toc63785512"/>
      <w:r>
        <w:rPr>
          <w:rFonts w:hint="eastAsia"/>
        </w:rPr>
        <w:t>技术文件要求</w:t>
      </w:r>
    </w:p>
    <w:p w14:paraId="1A7BFFF8">
      <w:r>
        <w:rPr>
          <w:rFonts w:hint="eastAsia"/>
        </w:rPr>
        <w:t>投标人提供的书面技术资料应能确保系统正常运行所需的管理、运营及维护有关的全套文件。技术文件应该全面、完整、详细。投标人提供的技术文件至少应包括：</w:t>
      </w:r>
    </w:p>
    <w:p w14:paraId="221793D4">
      <w:r>
        <w:rPr>
          <w:rFonts w:hint="eastAsia"/>
        </w:rPr>
        <w:t>－</w:t>
      </w:r>
      <w:r>
        <w:t xml:space="preserve"> 系统说明文件； </w:t>
      </w:r>
    </w:p>
    <w:p w14:paraId="7D8EF179">
      <w:r>
        <w:rPr>
          <w:rFonts w:hint="eastAsia"/>
        </w:rPr>
        <w:t>－</w:t>
      </w:r>
      <w:r>
        <w:t xml:space="preserve"> 技术手册(安装、测试、操作、维护、故障排除等)； </w:t>
      </w:r>
    </w:p>
    <w:p w14:paraId="6FD29768">
      <w:r>
        <w:rPr>
          <w:rFonts w:hint="eastAsia"/>
        </w:rPr>
        <w:t>－</w:t>
      </w:r>
      <w:r>
        <w:t xml:space="preserve"> 项目文档，应该包括：</w:t>
      </w:r>
    </w:p>
    <w:p w14:paraId="0295AAF3">
      <w:pPr>
        <w:pStyle w:val="13"/>
        <w:numPr>
          <w:ilvl w:val="0"/>
          <w:numId w:val="2"/>
        </w:numPr>
        <w:ind w:firstLineChars="0"/>
      </w:pPr>
      <w:r>
        <w:t>软件需求说明书</w:t>
      </w:r>
    </w:p>
    <w:p w14:paraId="623A1531">
      <w:pPr>
        <w:pStyle w:val="13"/>
        <w:numPr>
          <w:ilvl w:val="0"/>
          <w:numId w:val="2"/>
        </w:numPr>
        <w:ind w:firstLineChars="0"/>
      </w:pPr>
      <w:r>
        <w:t>系统总体设计说明书</w:t>
      </w:r>
    </w:p>
    <w:p w14:paraId="53713F12">
      <w:pPr>
        <w:pStyle w:val="13"/>
        <w:numPr>
          <w:ilvl w:val="0"/>
          <w:numId w:val="2"/>
        </w:numPr>
        <w:ind w:firstLineChars="0"/>
      </w:pPr>
      <w:r>
        <w:t>应用软件功能清单</w:t>
      </w:r>
    </w:p>
    <w:p w14:paraId="02A989C3">
      <w:pPr>
        <w:rPr>
          <w:rFonts w:hint="eastAsia" w:ascii="宋体" w:hAnsi="宋体" w:eastAsia="宋体"/>
        </w:rPr>
      </w:pPr>
      <w:r>
        <w:rPr>
          <w:rFonts w:hint="eastAsia" w:ascii="宋体" w:hAnsi="宋体" w:eastAsia="宋体"/>
        </w:rPr>
        <w:t>提供全套技术文件电子文件。</w:t>
      </w:r>
      <w:bookmarkEnd w:id="32"/>
    </w:p>
    <w:sectPr>
      <w:footerReference r:id="rId5" w:type="first"/>
      <w:pgSz w:w="11906" w:h="16838"/>
      <w:pgMar w:top="1134" w:right="1797" w:bottom="1135" w:left="1797" w:header="340" w:footer="7" w:gutter="0"/>
      <w:pgNumType w:start="1"/>
      <w:cols w:space="720" w:num="1"/>
      <w:titlePg/>
      <w:docGrid w:type="linesAndChar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49BEE">
    <w:pPr>
      <w:rPr>
        <w:lang w:val="zh-CN"/>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p w14:paraId="6DEEE5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2F4AB3"/>
    <w:multiLevelType w:val="multilevel"/>
    <w:tmpl w:val="6A2F4AB3"/>
    <w:lvl w:ilvl="0" w:tentative="0">
      <w:start w:val="1"/>
      <w:numFmt w:val="chineseCountingThousand"/>
      <w:pStyle w:val="2"/>
      <w:suff w:val="nothing"/>
      <w:lvlText w:val="%1、"/>
      <w:lvlJc w:val="left"/>
      <w:pPr>
        <w:ind w:left="425" w:hanging="425"/>
      </w:pPr>
      <w:rPr>
        <w:rFonts w:hint="eastAsia"/>
        <w:sz w:val="32"/>
        <w:szCs w:val="32"/>
      </w:rPr>
    </w:lvl>
    <w:lvl w:ilvl="1" w:tentative="0">
      <w:start w:val="1"/>
      <w:numFmt w:val="decimal"/>
      <w:pStyle w:val="3"/>
      <w:isLgl/>
      <w:suff w:val="nothing"/>
      <w:lvlText w:val="%1.%2、"/>
      <w:lvlJc w:val="left"/>
      <w:pPr>
        <w:ind w:left="1135" w:hanging="567"/>
      </w:pPr>
    </w:lvl>
    <w:lvl w:ilvl="2" w:tentative="0">
      <w:start w:val="1"/>
      <w:numFmt w:val="decimal"/>
      <w:isLgl/>
      <w:suff w:val="nothing"/>
      <w:lvlText w:val="%1.%2.%3、"/>
      <w:lvlJc w:val="left"/>
      <w:pPr>
        <w:ind w:left="1069" w:hanging="1069"/>
      </w:pPr>
      <w:rPr>
        <w:rFonts w:hint="default" w:ascii="宋体" w:hAnsi="宋体" w:eastAsia="宋体" w:cs="Arial"/>
      </w:rPr>
    </w:lvl>
    <w:lvl w:ilvl="3" w:tentative="0">
      <w:start w:val="1"/>
      <w:numFmt w:val="decimal"/>
      <w:isLgl/>
      <w:suff w:val="nothing"/>
      <w:lvlText w:val="%1.%2.%3.%4、"/>
      <w:lvlJc w:val="left"/>
      <w:pPr>
        <w:ind w:left="3403" w:hanging="851"/>
      </w:pPr>
    </w:lvl>
    <w:lvl w:ilvl="4" w:tentative="0">
      <w:start w:val="1"/>
      <w:numFmt w:val="decimal"/>
      <w:isLgl/>
      <w:suff w:val="nothing"/>
      <w:lvlText w:val="%1.%2.%3.%4.%5、"/>
      <w:lvlJc w:val="left"/>
      <w:pPr>
        <w:ind w:left="3544" w:hanging="992"/>
      </w:pPr>
      <w:rPr>
        <w:rFonts w:hint="eastAsia"/>
      </w:rPr>
    </w:lvl>
    <w:lvl w:ilvl="5" w:tentative="0">
      <w:start w:val="1"/>
      <w:numFmt w:val="decimal"/>
      <w:isLgl/>
      <w:suff w:val="nothing"/>
      <w:lvlText w:val="%1.%2.%3.%4.%5.%6、"/>
      <w:lvlJc w:val="left"/>
      <w:pPr>
        <w:ind w:left="1134" w:hanging="1134"/>
      </w:pPr>
      <w:rPr>
        <w:rFonts w:hint="eastAsia"/>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1">
    <w:nsid w:val="7FFCAEAA"/>
    <w:multiLevelType w:val="singleLevel"/>
    <w:tmpl w:val="7FFCAEAA"/>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2NjgwYzc2ODNhNDUzNzVhMjMyOTgzZDBjNjMxMmQifQ=="/>
  </w:docVars>
  <w:rsids>
    <w:rsidRoot w:val="00013AF6"/>
    <w:rsid w:val="00013AF6"/>
    <w:rsid w:val="0001511B"/>
    <w:rsid w:val="009862AC"/>
    <w:rsid w:val="00D93428"/>
    <w:rsid w:val="00F4459E"/>
    <w:rsid w:val="00F7571C"/>
    <w:rsid w:val="04B564C6"/>
    <w:rsid w:val="0FFF7484"/>
    <w:rsid w:val="12A904AC"/>
    <w:rsid w:val="2CBFA2EB"/>
    <w:rsid w:val="32C65EB4"/>
    <w:rsid w:val="35610C3B"/>
    <w:rsid w:val="36D99919"/>
    <w:rsid w:val="492B7622"/>
    <w:rsid w:val="4A030171"/>
    <w:rsid w:val="4E4A5E44"/>
    <w:rsid w:val="52DD6187"/>
    <w:rsid w:val="5BBDA08C"/>
    <w:rsid w:val="5CAC8E1F"/>
    <w:rsid w:val="5CB12E81"/>
    <w:rsid w:val="5EFF42A8"/>
    <w:rsid w:val="5F3F0396"/>
    <w:rsid w:val="5F5FB08A"/>
    <w:rsid w:val="645D785C"/>
    <w:rsid w:val="66714F09"/>
    <w:rsid w:val="6FDFD71D"/>
    <w:rsid w:val="72AA94FB"/>
    <w:rsid w:val="756B2BF6"/>
    <w:rsid w:val="7BFE90F4"/>
    <w:rsid w:val="7DB609D8"/>
    <w:rsid w:val="7FCE9FF5"/>
    <w:rsid w:val="9FEE4BB2"/>
    <w:rsid w:val="9FF3F28C"/>
    <w:rsid w:val="AEDE371C"/>
    <w:rsid w:val="B3DF9D59"/>
    <w:rsid w:val="B73F2743"/>
    <w:rsid w:val="BD57CE1B"/>
    <w:rsid w:val="BFFD5705"/>
    <w:rsid w:val="C59716D9"/>
    <w:rsid w:val="CBFF6176"/>
    <w:rsid w:val="D7B73681"/>
    <w:rsid w:val="D7FDB351"/>
    <w:rsid w:val="DAFA498E"/>
    <w:rsid w:val="DF7FA60C"/>
    <w:rsid w:val="DFFF7786"/>
    <w:rsid w:val="EDFEA047"/>
    <w:rsid w:val="EF7FB81A"/>
    <w:rsid w:val="EFDF8195"/>
    <w:rsid w:val="F5FB9C95"/>
    <w:rsid w:val="FEE9A29A"/>
    <w:rsid w:val="FFFEB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120" w:after="120"/>
      <w:ind w:firstLine="0" w:firstLineChars="0"/>
      <w:outlineLvl w:val="0"/>
    </w:pPr>
    <w:rPr>
      <w:rFonts w:eastAsia="黑体"/>
      <w:b/>
      <w:bCs/>
      <w:kern w:val="44"/>
      <w:sz w:val="32"/>
      <w:szCs w:val="28"/>
    </w:rPr>
  </w:style>
  <w:style w:type="paragraph" w:styleId="3">
    <w:name w:val="heading 2"/>
    <w:basedOn w:val="1"/>
    <w:next w:val="1"/>
    <w:qFormat/>
    <w:uiPriority w:val="9"/>
    <w:pPr>
      <w:keepNext/>
      <w:keepLines/>
      <w:numPr>
        <w:ilvl w:val="1"/>
        <w:numId w:val="1"/>
      </w:numPr>
      <w:spacing w:before="120" w:after="120"/>
      <w:ind w:firstLine="0" w:firstLineChars="0"/>
      <w:outlineLvl w:val="1"/>
    </w:pPr>
    <w:rPr>
      <w:b/>
      <w:bCs/>
      <w:sz w:val="30"/>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pPr>
      <w:widowControl/>
      <w:spacing w:after="120"/>
      <w:ind w:firstLine="420"/>
      <w:jc w:val="left"/>
    </w:pPr>
    <w:rPr>
      <w:szCs w:val="21"/>
      <w:lang w:bidi="zh-CN"/>
    </w:rPr>
  </w:style>
  <w:style w:type="paragraph" w:styleId="6">
    <w:name w:val="header"/>
    <w:basedOn w:val="1"/>
    <w:qFormat/>
    <w:uiPriority w:val="99"/>
    <w:pPr>
      <w:pBdr>
        <w:bottom w:val="single" w:color="auto" w:sz="4" w:space="0"/>
      </w:pBdr>
      <w:tabs>
        <w:tab w:val="center" w:pos="4153"/>
        <w:tab w:val="right" w:pos="8306"/>
      </w:tabs>
      <w:snapToGrid w:val="0"/>
      <w:jc w:val="center"/>
    </w:pPr>
    <w:rPr>
      <w:rFonts w:ascii="Times New Roman" w:hAnsi="Times New Roman"/>
      <w:sz w:val="18"/>
      <w:szCs w:val="18"/>
    </w:rPr>
  </w:style>
  <w:style w:type="paragraph" w:customStyle="1" w:styleId="9">
    <w:name w:val="正文缩进1"/>
    <w:basedOn w:val="1"/>
    <w:autoRedefine/>
    <w:qFormat/>
    <w:uiPriority w:val="0"/>
    <w:pPr>
      <w:spacing w:line="240" w:lineRule="auto"/>
      <w:ind w:firstLine="420"/>
    </w:pPr>
    <w:rPr>
      <w:rFonts w:ascii="Times New Roman" w:hAnsi="Times New Roman"/>
      <w:sz w:val="21"/>
      <w:szCs w:val="20"/>
    </w:rPr>
  </w:style>
  <w:style w:type="paragraph" w:customStyle="1" w:styleId="10">
    <w:name w:val="正文正文2"/>
    <w:basedOn w:val="1"/>
    <w:autoRedefine/>
    <w:qFormat/>
    <w:uiPriority w:val="0"/>
    <w:pPr>
      <w:ind w:firstLine="460"/>
    </w:pPr>
    <w:rPr>
      <w:sz w:val="21"/>
      <w:szCs w:val="21"/>
    </w:rPr>
  </w:style>
  <w:style w:type="character" w:customStyle="1" w:styleId="11">
    <w:name w:val="font31"/>
    <w:basedOn w:val="8"/>
    <w:qFormat/>
    <w:uiPriority w:val="0"/>
    <w:rPr>
      <w:rFonts w:hint="eastAsia" w:ascii="宋体" w:hAnsi="宋体" w:eastAsia="宋体" w:cs="宋体"/>
      <w:color w:val="000000"/>
      <w:sz w:val="18"/>
      <w:szCs w:val="18"/>
      <w:u w:val="none"/>
    </w:rPr>
  </w:style>
  <w:style w:type="character" w:customStyle="1" w:styleId="12">
    <w:name w:val="font11"/>
    <w:basedOn w:val="8"/>
    <w:qFormat/>
    <w:uiPriority w:val="0"/>
    <w:rPr>
      <w:rFonts w:hint="eastAsia" w:ascii="宋体" w:hAnsi="宋体" w:eastAsia="宋体" w:cs="宋体"/>
      <w:color w:val="000000"/>
      <w:sz w:val="18"/>
      <w:szCs w:val="18"/>
      <w:u w:val="none"/>
    </w:rPr>
  </w:style>
  <w:style w:type="paragraph" w:styleId="13">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17268</Words>
  <Characters>18439</Characters>
  <Lines>137</Lines>
  <Paragraphs>38</Paragraphs>
  <TotalTime>911</TotalTime>
  <ScaleCrop>false</ScaleCrop>
  <LinksUpToDate>false</LinksUpToDate>
  <CharactersWithSpaces>18548</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2024-05-15T15:04:00Z</dcterms:created>
  <dc:creator>user</dc:creator>
  <cp:lastModifiedBy>user</cp:lastModifiedBy>
  <dcterms:modified xsi:type="dcterms:W3CDTF">2026-07-31T14:55:05Z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7AFF738A70BB5E22ACFD6A6AC41BAA3A_43</vt:lpwstr>
  </property>
  <property fmtid="{D5CDD505-2E9C-101B-9397-08002B2CF9AE}" pid="4" name="KSOTemplateDocerSaveRecord">
    <vt:lpwstr>eyJoZGlkIjoiMjI0M2U3NmMxODIwZTIyNDc3MGRiMDlhMmE3MDQyM2EiLCJ1c2VySWQiOiIyNjEzNDIwODkifQ==</vt:lpwstr>
  </property>
</Properties>
</file>