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D4BC4">
      <w:pPr>
        <w:pStyle w:val="2"/>
        <w:rPr>
          <w:highlight w:val="none"/>
        </w:rPr>
      </w:pPr>
      <w:bookmarkStart w:id="0" w:name="_Toc63785461"/>
      <w:r>
        <w:rPr>
          <w:rFonts w:hint="eastAsia"/>
          <w:highlight w:val="none"/>
        </w:rPr>
        <w:t>项目概况</w:t>
      </w:r>
      <w:bookmarkEnd w:id="0"/>
    </w:p>
    <w:p w14:paraId="453E9EB2">
      <w:pPr>
        <w:rPr>
          <w:highlight w:val="none"/>
        </w:rPr>
      </w:pPr>
      <w:r>
        <w:rPr>
          <w:rFonts w:hint="eastAsia"/>
          <w:highlight w:val="none"/>
        </w:rPr>
        <w:t>上海市第一人民医院始建于1864年，是国内建院历史悠久的综合性百年医院，1992年获评全国首批三级甲等综合性医院，目前形成北部、南部双院区一体化协同发展布局。医院始终坚守公益性办院宗旨，贯彻全流程质量管理体系，聚焦疑难危重症综合救治、急危重症快速处置、特色专病规范化诊疗持续夯实核心医疗服务能力。院内平台资源积淀深厚，拥有国家临床医学研究中心、国家临床重点专科、上海市临床医学中心、市级重点实验室与工程研究中心等多层次高水平科研临床载体；眼科、消化内镜、内分泌代谢、急诊危重症、泌尿外科、普外科等优势学科临床病例资源充足、专家团队力量雄厚，覆盖肿瘤、肾病、儿科、妇产、辅助生殖、疼痛、白内障、骨科、消化、内分泌等全谱系疾病，为医学大模型、多模态智能体、计算机视觉等人工智能技术落地提供丰富、真实、多元化临床应用场景与权威医学知识支撑。</w:t>
      </w:r>
    </w:p>
    <w:p w14:paraId="0E5AFD5E">
      <w:pPr>
        <w:rPr>
          <w:highlight w:val="none"/>
        </w:rPr>
      </w:pPr>
      <w:r>
        <w:rPr>
          <w:rFonts w:hint="eastAsia"/>
          <w:highlight w:val="none"/>
        </w:rPr>
        <w:t>随着健康中国战略持续深化，国家、上海市相继出台慢病管理、智慧医院建设、医疗数据安全、医疗人工智能创新应用系列政策文件，要求医疗机构加快推动医疗服务由“以疾病治疗为中心”向“以患者全生命周期健康管理为中心”转型，大力发展数据驱动的精准诊疗、线上线下一体化连续服务、标准化临床科研、院内精细化质控与跨医联体协同服务。顺应政策导向与行业发展趋势，医院近年来持续推进数字化转型，大力发展互联网医院、远程诊疗、居家随访管理等新业态，临床科室、管理部门对多源数据融合利用、诊疗流程减负增效、全周期患者健康管理、专科科研数据自动化归集、医疗质量数字化管控的需求持续攀升。</w:t>
      </w:r>
    </w:p>
    <w:p w14:paraId="53B6A570">
      <w:pPr>
        <w:rPr>
          <w:highlight w:val="none"/>
        </w:rPr>
      </w:pPr>
      <w:r>
        <w:rPr>
          <w:rFonts w:hint="eastAsia"/>
          <w:highlight w:val="none"/>
        </w:rPr>
        <w:t>医院已将智慧医院升级、数据驱动精准医疗、医联体互联互通、AI创新服务模式纳入中长期核心发展规划，同步布局统一数据中台、国产大模型智能体基础平台、算力基础设施与标准化集成接口，为全院规模化、场景化人工智能落地搭建底层技术底座。在此基础上，医院统筹规划多项医学人工智能细分场景项目。项目精准匹配各临床科室、管理科室长期存在的数据孤岛割裂、诊疗流程存在断点、医护文书与统计人工负担繁重、医疗质控高度依赖人工经验、临床科研数据提取与分析效率低下、出院后患者院外随访管理薄弱等现实业务痛点，依托院内成熟学科、数据与算力资源，系统性落地一批贴合临床实际、可落地、可复用的AI智能体应用体系。</w:t>
      </w:r>
    </w:p>
    <w:p w14:paraId="6429AE3E">
      <w:pPr>
        <w:rPr>
          <w:highlight w:val="none"/>
        </w:rPr>
      </w:pPr>
      <w:r>
        <w:rPr>
          <w:highlight w:val="none"/>
        </w:rPr>
        <w:t>是否按</w:t>
      </w:r>
      <w:r>
        <w:rPr>
          <w:rFonts w:hint="eastAsia"/>
          <w:highlight w:val="none"/>
          <w:lang w:eastAsia="zh-CN"/>
        </w:rPr>
        <w:t>XC</w:t>
      </w:r>
      <w:r>
        <w:rPr>
          <w:highlight w:val="none"/>
        </w:rPr>
        <w:t>要求建设：是</w:t>
      </w:r>
    </w:p>
    <w:p w14:paraId="2E0E794F">
      <w:pPr>
        <w:pStyle w:val="2"/>
        <w:rPr>
          <w:highlight w:val="none"/>
        </w:rPr>
      </w:pPr>
      <w:bookmarkStart w:id="1" w:name="_Toc47539070"/>
      <w:bookmarkEnd w:id="1"/>
      <w:bookmarkStart w:id="2" w:name="_Toc47532255"/>
      <w:bookmarkEnd w:id="2"/>
      <w:bookmarkStart w:id="3" w:name="_Toc47531634"/>
      <w:bookmarkEnd w:id="3"/>
      <w:bookmarkStart w:id="4" w:name="_Toc47536272"/>
      <w:bookmarkEnd w:id="4"/>
      <w:bookmarkStart w:id="5" w:name="_Toc47537134"/>
      <w:bookmarkEnd w:id="5"/>
      <w:bookmarkStart w:id="6" w:name="_Toc47532891"/>
      <w:bookmarkEnd w:id="6"/>
      <w:bookmarkStart w:id="7" w:name="_Toc47533256"/>
      <w:bookmarkEnd w:id="7"/>
      <w:bookmarkStart w:id="8" w:name="_Toc47536644"/>
      <w:bookmarkEnd w:id="8"/>
      <w:bookmarkStart w:id="9" w:name="_Toc63785463"/>
      <w:bookmarkStart w:id="10" w:name="_Toc48223882"/>
      <w:r>
        <w:rPr>
          <w:rFonts w:hint="eastAsia"/>
          <w:highlight w:val="none"/>
        </w:rPr>
        <w:t>建设目标</w:t>
      </w:r>
      <w:bookmarkEnd w:id="9"/>
      <w:bookmarkEnd w:id="10"/>
    </w:p>
    <w:p w14:paraId="0056A83A">
      <w:pPr>
        <w:pStyle w:val="8"/>
        <w:spacing w:line="360" w:lineRule="auto"/>
        <w:ind w:firstLine="480"/>
        <w:rPr>
          <w:rFonts w:ascii="宋体" w:hAnsi="宋体"/>
          <w:color w:val="000000" w:themeColor="text1"/>
          <w:sz w:val="24"/>
          <w:szCs w:val="24"/>
          <w:highlight w:val="none"/>
          <w:lang w:bidi="ar-SA"/>
          <w14:textFill>
            <w14:solidFill>
              <w14:schemeClr w14:val="tx1"/>
            </w14:solidFill>
          </w14:textFill>
        </w:rPr>
      </w:pPr>
      <w:r>
        <w:rPr>
          <w:rFonts w:hint="eastAsia" w:ascii="宋体" w:hAnsi="宋体"/>
          <w:color w:val="000000" w:themeColor="text1"/>
          <w:sz w:val="24"/>
          <w:szCs w:val="24"/>
          <w:highlight w:val="none"/>
          <w:lang w:bidi="ar-SA"/>
          <w14:textFill>
            <w14:solidFill>
              <w14:schemeClr w14:val="tx1"/>
            </w14:solidFill>
          </w14:textFill>
        </w:rPr>
        <w:t>破解算力供给的结构性矛盾：医疗AI场景对算力的需求高度分化：大模型预训练需要大规模高显存GPU集群，在线推理需要低延迟的轻量化算力，</w:t>
      </w:r>
      <w:r>
        <w:rPr>
          <w:rFonts w:hint="eastAsia" w:ascii="宋体" w:hAnsi="宋体"/>
          <w:color w:val="000000" w:themeColor="text1"/>
          <w:sz w:val="24"/>
          <w:szCs w:val="24"/>
          <w:highlight w:val="none"/>
          <w:lang w:eastAsia="zh-CN" w:bidi="ar-SA"/>
          <w14:textFill>
            <w14:solidFill>
              <w14:schemeClr w14:val="tx1"/>
            </w14:solidFill>
          </w14:textFill>
        </w:rPr>
        <w:t>XC</w:t>
      </w:r>
      <w:r>
        <w:rPr>
          <w:rFonts w:hint="eastAsia" w:ascii="宋体" w:hAnsi="宋体"/>
          <w:color w:val="000000" w:themeColor="text1"/>
          <w:sz w:val="24"/>
          <w:szCs w:val="24"/>
          <w:highlight w:val="none"/>
          <w:lang w:bidi="ar-SA"/>
          <w14:textFill>
            <w14:solidFill>
              <w14:schemeClr w14:val="tx1"/>
            </w14:solidFill>
          </w14:textFill>
        </w:rPr>
        <w:t>合规场景又要求国产算力配置。传统单一来源、单一规格的算力采购模式无法同时满足这些差异化需求。通过构建多元异构算力基座，统筹纳管本地算力、IDC托管算力和第三方云服务商算力，配置覆盖国产训练、CUDA训练、国产推理、CUDA推理等全场景的七类标准算力规格，形成"按需取用、弹性扩缩、分级保障"的算力供给机制，彻底扭转过去"有什么用什么"的被动局面，实现"需要什么调度什么"的主动服务。</w:t>
      </w:r>
    </w:p>
    <w:p w14:paraId="7C509E0B">
      <w:pPr>
        <w:pStyle w:val="8"/>
        <w:spacing w:line="360" w:lineRule="auto"/>
        <w:ind w:firstLine="480"/>
        <w:rPr>
          <w:rFonts w:ascii="宋体" w:hAnsi="宋体"/>
          <w:color w:val="000000" w:themeColor="text1"/>
          <w:sz w:val="24"/>
          <w:szCs w:val="24"/>
          <w:highlight w:val="none"/>
          <w:lang w:bidi="ar-SA"/>
          <w14:textFill>
            <w14:solidFill>
              <w14:schemeClr w14:val="tx1"/>
            </w14:solidFill>
          </w14:textFill>
        </w:rPr>
      </w:pPr>
      <w:r>
        <w:rPr>
          <w:rFonts w:ascii="宋体" w:hAnsi="宋体"/>
          <w:color w:val="000000" w:themeColor="text1"/>
          <w:sz w:val="24"/>
          <w:szCs w:val="24"/>
          <w:highlight w:val="none"/>
          <w:lang w:bidi="ar-SA"/>
          <w14:textFill>
            <w14:solidFill>
              <w14:schemeClr w14:val="tx1"/>
            </w14:solidFill>
          </w14:textFill>
        </w:rPr>
        <w:t>补齐临床业务数字化的硬件短板：电子病历高级别评级和无纸化闭环管理对终端硬件提出了明确要求，门诊诊间、住院病区、护理单元需大规模部署CA电子签名、高拍仪、PDA等无纸化终端；眼科等手术科室需配套超高清录转播与影像存储设备；AI应用的持续上线也需要独立的超融合算力集群和专用服务器承载。通过集中采购和统一配置上述硬件设施，避免各科室零散申报、标准不一、运维分散的弊端，以集约化方式一次性补齐全院数字化终端基础设施，为电子病历评级和AI应用落地扫清硬件障碍。</w:t>
      </w:r>
    </w:p>
    <w:p w14:paraId="3BCBFDBD">
      <w:pPr>
        <w:pStyle w:val="2"/>
        <w:rPr>
          <w:highlight w:val="none"/>
        </w:rPr>
      </w:pPr>
      <w:r>
        <w:rPr>
          <w:rFonts w:hint="eastAsia"/>
          <w:highlight w:val="none"/>
        </w:rPr>
        <w:t>项目建设内容</w:t>
      </w:r>
    </w:p>
    <w:p w14:paraId="6F6DB7EA">
      <w:pPr>
        <w:pStyle w:val="8"/>
        <w:spacing w:line="360" w:lineRule="auto"/>
        <w:ind w:firstLine="48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（一）多元算力基座</w:t>
      </w:r>
    </w:p>
    <w:p w14:paraId="45B78541">
      <w:pPr>
        <w:rPr>
          <w:bCs/>
          <w:highlight w:val="none"/>
        </w:rPr>
      </w:pPr>
      <w:r>
        <w:rPr>
          <w:rFonts w:hint="eastAsia" w:asciiTheme="minorEastAsia" w:hAnsiTheme="minorEastAsia" w:eastAsiaTheme="minorEastAsia"/>
          <w:highlight w:val="none"/>
        </w:rPr>
        <w:t>1、</w:t>
      </w:r>
      <w:r>
        <w:rPr>
          <w:rFonts w:hint="eastAsia"/>
          <w:highlight w:val="none"/>
        </w:rPr>
        <w:t>多元异构算力运营与管理平台</w:t>
      </w:r>
    </w:p>
    <w:p w14:paraId="3FDBA0F2">
      <w:pPr>
        <w:rPr>
          <w:rFonts w:asciiTheme="minorEastAsia" w:hAnsiTheme="minorEastAsia" w:eastAsiaTheme="minorEastAsia"/>
          <w:highlight w:val="none"/>
        </w:rPr>
      </w:pPr>
      <w:r>
        <w:rPr>
          <w:rFonts w:hint="eastAsia" w:asciiTheme="minorEastAsia" w:hAnsiTheme="minorEastAsia" w:eastAsiaTheme="minorEastAsia"/>
          <w:highlight w:val="none"/>
          <w:lang w:bidi="ar"/>
        </w:rPr>
        <w:t>本项目覆盖统一算力平台核心范畴，统一纳管医院本地算力、第三方云服务商算力、多院区异构医疗一体化算力资源，形成跨资源池、可弹性扩展、安全合规的医疗智算底座，支撑临床辅助诊断、医学影像 AI、科研大模型训练 / 推理、多院区协同业务等全场景算力需求。</w:t>
      </w:r>
    </w:p>
    <w:p w14:paraId="2DBEB546">
      <w:pPr>
        <w:pStyle w:val="8"/>
        <w:spacing w:line="360" w:lineRule="auto"/>
        <w:ind w:firstLine="480"/>
        <w:rPr>
          <w:rFonts w:asciiTheme="minorEastAsia" w:hAnsiTheme="minorEastAsia" w:eastAsiaTheme="minorEastAsia"/>
          <w:sz w:val="24"/>
          <w:szCs w:val="24"/>
          <w:highlight w:val="none"/>
        </w:rPr>
      </w:pPr>
    </w:p>
    <w:p w14:paraId="4272B6E6">
      <w:pPr>
        <w:pStyle w:val="8"/>
        <w:spacing w:line="360" w:lineRule="auto"/>
        <w:ind w:firstLine="48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2、配置七类标准化算力服务，构建覆盖医疗AI全场景的分级算力供给体系。</w:t>
      </w:r>
    </w:p>
    <w:p w14:paraId="1E79203F">
      <w:pPr>
        <w:pStyle w:val="8"/>
        <w:spacing w:line="360" w:lineRule="auto"/>
        <w:ind w:firstLine="48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针对医疗大模型预训练对超高显存和高带宽互联的极致需求，配置国产训练节点和CUDA训练高端节点两类旗舰配置，单节点均搭载八块高性能GPU，配合高速互联网络支撑千亿参数级别模型的分布式训练；针对专科模型微调和中等规模推理，配置CUDA训练标准节点，在成本和性能之间取得最优平衡；针对在线推理、轻量化模型部署和</w:t>
      </w:r>
      <w:r>
        <w:rPr>
          <w:rFonts w:hint="eastAsia" w:asciiTheme="minorEastAsia" w:hAnsiTheme="minorEastAsia" w:eastAsiaTheme="minorEastAsia"/>
          <w:sz w:val="24"/>
          <w:szCs w:val="24"/>
          <w:highlight w:val="none"/>
          <w:lang w:eastAsia="zh-CN"/>
        </w:rPr>
        <w:t>XC</w:t>
      </w:r>
      <w:r>
        <w:rPr>
          <w:rFonts w:hint="eastAsia" w:asciiTheme="minorEastAsia" w:hAnsiTheme="minorEastAsia" w:eastAsiaTheme="minorEastAsia"/>
          <w:sz w:val="24"/>
          <w:szCs w:val="24"/>
          <w:highlight w:val="none"/>
        </w:rPr>
        <w:t>合规等场景，配置国产推理和三类CUDA分级推理节点，覆盖从高并发低延迟的急诊辅助诊断到常规门诊智能文书等不同业务等级的算力需求。所有算力资源以服务化形式交付，医院无需一次性投入巨额硬件采购资金，按需申请、按月计量，大幅降低AI基础设施的初始投入门槛和资产闲置风险。</w:t>
      </w:r>
    </w:p>
    <w:p w14:paraId="27D6D9A5">
      <w:pPr>
        <w:pStyle w:val="8"/>
        <w:spacing w:line="360" w:lineRule="auto"/>
        <w:ind w:firstLine="482"/>
        <w:rPr>
          <w:rFonts w:asciiTheme="minorEastAsia" w:hAnsiTheme="minorEastAsia" w:eastAsiaTheme="minorEastAsia"/>
          <w:sz w:val="24"/>
          <w:szCs w:val="24"/>
          <w:highlight w:val="none"/>
        </w:rPr>
      </w:pPr>
      <w:r>
        <w:rPr>
          <w:rFonts w:hint="eastAsia" w:asciiTheme="minorEastAsia" w:hAnsiTheme="minorEastAsia" w:eastAsiaTheme="minorEastAsia"/>
          <w:b/>
          <w:sz w:val="24"/>
          <w:szCs w:val="24"/>
          <w:highlight w:val="none"/>
        </w:rPr>
        <w:t>3、铺设高速专用网络与安全配套设施，保障算力资源的安全高效接入。</w:t>
      </w:r>
      <w:r>
        <w:rPr>
          <w:rFonts w:hint="eastAsia" w:asciiTheme="minorEastAsia" w:hAnsiTheme="minorEastAsia" w:eastAsiaTheme="minorEastAsia"/>
          <w:sz w:val="24"/>
          <w:szCs w:val="24"/>
          <w:highlight w:val="none"/>
        </w:rPr>
        <w:t>通过IDC托管机柜提供符合国家A类机房标准的高可靠物理环境，配套双路供电、UPS冗余和柴油发电机保障；通过OTN点对点专线构建医院与算力中心之间的端到端物理隔离通道，具备双路由保护和50毫秒级保护倒换能力，确保医疗数据传输的绝对安全和极低延迟；通过云专线实现与第三方云服务商的安全互联，将公有云弹性算力纳入院内统一管控体系。同步部署云堡垒机、云防火墙和云审计设备等安全组件，配合公网带宽和弹性IP资源，形成覆盖物理环境、网络传输、安全防护全链路的算力接入保障体系。</w:t>
      </w:r>
    </w:p>
    <w:p w14:paraId="78685F1D">
      <w:pPr>
        <w:pStyle w:val="8"/>
        <w:spacing w:line="360" w:lineRule="auto"/>
        <w:ind w:firstLine="482"/>
        <w:rPr>
          <w:rFonts w:asciiTheme="minorEastAsia" w:hAnsiTheme="minorEastAsia" w:eastAsiaTheme="minorEastAsia"/>
          <w:sz w:val="24"/>
          <w:szCs w:val="24"/>
          <w:highlight w:val="none"/>
        </w:rPr>
      </w:pPr>
      <w:r>
        <w:rPr>
          <w:rFonts w:hint="eastAsia" w:asciiTheme="minorEastAsia" w:hAnsiTheme="minorEastAsia" w:eastAsiaTheme="minorEastAsia"/>
          <w:b/>
          <w:sz w:val="24"/>
          <w:szCs w:val="24"/>
          <w:highlight w:val="none"/>
        </w:rPr>
        <w:t>4、配套全周期运营运维服务体系，确保算力平台持续稳定高效运行。</w:t>
      </w:r>
      <w:r>
        <w:rPr>
          <w:rFonts w:hint="eastAsia" w:asciiTheme="minorEastAsia" w:hAnsiTheme="minorEastAsia" w:eastAsiaTheme="minorEastAsia"/>
          <w:sz w:val="24"/>
          <w:szCs w:val="24"/>
          <w:highlight w:val="none"/>
        </w:rPr>
        <w:t>建立涵盖交付、运维、优化三个阶段的完整服务链条。交付阶段承诺2小时内响应、72小时内完成资源开通与可用验证，配套平台部署、算力接入、网络打通、安全策略配置的一站式交付，并提供完整的技术文档和专项操作培训；运维阶段由具备丰富医疗行业经验的专属团队提供7x24小时实时监控与值守，对系统故障实施10分钟响应和4小时到场处置的快速机制，同步提供操作系统、GPU驱动和AI框架的定制化配置与持续优化；运营优化阶段定期输出算力使用报告和资源利用率分析，结合业务增长趋势提供容量规划和成本优化建议，并在重大活动和业务高峰期提供专项保障与驻场支持。平台服务可用性承诺不低于99.95%，数据持久性不低于99.99999%，从制度层面保障医疗业务的连续性。</w:t>
      </w:r>
    </w:p>
    <w:p w14:paraId="7A974218">
      <w:pPr>
        <w:pStyle w:val="8"/>
        <w:spacing w:line="360" w:lineRule="auto"/>
        <w:ind w:firstLine="48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w:t>
      </w:r>
      <w:r>
        <w:rPr>
          <w:rFonts w:asciiTheme="minorEastAsia" w:hAnsiTheme="minorEastAsia" w:eastAsiaTheme="minorEastAsia"/>
          <w:sz w:val="24"/>
          <w:szCs w:val="24"/>
          <w:highlight w:val="none"/>
        </w:rPr>
        <w:t>电子病历评级配套硬件门急诊及住院无纸化闭环基础设施</w:t>
      </w:r>
    </w:p>
    <w:p w14:paraId="5715C303">
      <w:pPr>
        <w:pStyle w:val="8"/>
        <w:spacing w:line="360" w:lineRule="auto"/>
        <w:ind w:firstLine="480"/>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规模化部署电子病历评级配套无纸化终端，夯实临床数字化基础。</w:t>
      </w:r>
      <w:r>
        <w:rPr>
          <w:rFonts w:hint="eastAsia" w:asciiTheme="minorEastAsia" w:hAnsiTheme="minorEastAsia" w:eastAsiaTheme="minorEastAsia"/>
          <w:sz w:val="24"/>
          <w:szCs w:val="24"/>
          <w:highlight w:val="none"/>
        </w:rPr>
        <w:t>围绕电子病历高级别评级中身份认证、知情同意、文书无纸化等核心条款要求，在南北两院区的门诊诊间、急诊区域和住院病区统一配置三类终端设备：CA电子签名签字板支持手写笔迹生物特征采集和指纹认证，确保电子文书的合法效力与责任可追溯；高拍仪实现纸质病历、检查报告等存量文档的快速数字化采集；护理PDA支撑病区移动护理、患者身份核对和床旁生命体征录入等场景。同步配置扫码墩和医保卡读卡器，构成完整的门急诊及住院无纸化闭环硬件体系，以标准化终端替代各科室自采杂牌设备，从源头消除因硬件标准不一导致的系统兼容和数据质量隐患。</w:t>
      </w:r>
    </w:p>
    <w:p w14:paraId="2ACAE223">
      <w:pPr>
        <w:pStyle w:val="8"/>
        <w:spacing w:line="360" w:lineRule="auto"/>
        <w:ind w:firstLine="48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w:t>
      </w:r>
      <w:r>
        <w:rPr>
          <w:rFonts w:asciiTheme="minorEastAsia" w:hAnsiTheme="minorEastAsia" w:eastAsiaTheme="minorEastAsia"/>
          <w:sz w:val="24"/>
          <w:szCs w:val="24"/>
          <w:highlight w:val="none"/>
        </w:rPr>
        <w:t>眼科手术录转播及影像数据</w:t>
      </w:r>
      <w:r>
        <w:rPr>
          <w:rFonts w:hint="eastAsia" w:asciiTheme="minorEastAsia" w:hAnsiTheme="minorEastAsia" w:eastAsiaTheme="minorEastAsia"/>
          <w:sz w:val="24"/>
          <w:szCs w:val="24"/>
          <w:highlight w:val="none"/>
        </w:rPr>
        <w:t>建设</w:t>
      </w:r>
    </w:p>
    <w:p w14:paraId="1ED8BEF8">
      <w:pPr>
        <w:pStyle w:val="8"/>
        <w:spacing w:line="360" w:lineRule="auto"/>
        <w:ind w:firstLine="480"/>
        <w:rPr>
          <w:rFonts w:asciiTheme="minorEastAsia" w:hAnsiTheme="minorEastAsia" w:eastAsiaTheme="minorEastAsia"/>
          <w:b/>
          <w:sz w:val="24"/>
          <w:szCs w:val="24"/>
          <w:highlight w:val="none"/>
        </w:rPr>
      </w:pPr>
      <w:r>
        <w:rPr>
          <w:rFonts w:hint="eastAsia" w:asciiTheme="minorEastAsia" w:hAnsiTheme="minorEastAsia" w:eastAsiaTheme="minorEastAsia"/>
          <w:sz w:val="24"/>
          <w:szCs w:val="24"/>
          <w:highlight w:val="none"/>
        </w:rPr>
        <w:t>配套建设4K超清手术录转播系统（含手术摄像、影像采集、移动工作站及150TB视频存储），支撑手术教学和远程会诊。</w:t>
      </w:r>
    </w:p>
    <w:p w14:paraId="7D7D7FDA">
      <w:pPr>
        <w:pStyle w:val="8"/>
        <w:spacing w:line="360" w:lineRule="auto"/>
        <w:ind w:firstLine="48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（四）专用服务器集群，为AI应用和特色专科提供定向硬件支撑</w:t>
      </w:r>
    </w:p>
    <w:p w14:paraId="78E71E15">
      <w:pPr>
        <w:pStyle w:val="8"/>
        <w:spacing w:line="360" w:lineRule="auto"/>
        <w:ind w:firstLine="480"/>
        <w:rPr>
          <w:rFonts w:hint="eastAsia" w:asciiTheme="minorEastAsia" w:hAnsiTheme="minorEastAsia" w:eastAsiaTheme="minorEastAsia"/>
          <w:sz w:val="24"/>
          <w:szCs w:val="24"/>
          <w:highlight w:val="none"/>
          <w:lang w:eastAsia="zh-CN"/>
        </w:rPr>
      </w:pPr>
      <w:r>
        <w:rPr>
          <w:rFonts w:hint="eastAsia" w:asciiTheme="minorEastAsia" w:hAnsiTheme="minorEastAsia" w:eastAsiaTheme="minorEastAsia"/>
          <w:sz w:val="24"/>
          <w:szCs w:val="24"/>
          <w:highlight w:val="none"/>
        </w:rPr>
        <w:t>部署智能体超融合节点，构建独立的AI推理与智能体运行集群，将AI负载与常规业务系统物理隔离，避免资源争抢；部署COC服务器集群和检验系统</w:t>
      </w:r>
      <w:r>
        <w:rPr>
          <w:rFonts w:hint="eastAsia" w:asciiTheme="minorEastAsia" w:hAnsiTheme="minorEastAsia" w:eastAsiaTheme="minorEastAsia"/>
          <w:sz w:val="24"/>
          <w:szCs w:val="24"/>
          <w:highlight w:val="none"/>
          <w:lang w:eastAsia="zh-CN"/>
        </w:rPr>
        <w:t>XC</w:t>
      </w:r>
      <w:r>
        <w:rPr>
          <w:rFonts w:hint="eastAsia" w:asciiTheme="minorEastAsia" w:hAnsiTheme="minorEastAsia" w:eastAsiaTheme="minorEastAsia"/>
          <w:sz w:val="24"/>
          <w:szCs w:val="24"/>
          <w:highlight w:val="none"/>
        </w:rPr>
        <w:t>服务器，支撑临床运营指挥和检验数据的国产化迁移；升级替换北院医联平台物理服务器，保障区域协同业务性能；为眼科屈光电子病历和精益成本核算等专科系统配置专用服务器</w:t>
      </w:r>
      <w:r>
        <w:rPr>
          <w:rFonts w:hint="eastAsia" w:asciiTheme="minorEastAsia" w:hAnsiTheme="minorEastAsia" w:eastAsiaTheme="minorEastAsia"/>
          <w:sz w:val="24"/>
          <w:szCs w:val="24"/>
          <w:highlight w:val="none"/>
          <w:lang w:eastAsia="zh-CN"/>
        </w:rPr>
        <w:t>。</w:t>
      </w:r>
    </w:p>
    <w:p w14:paraId="225AA238">
      <w:pPr>
        <w:rPr>
          <w:rFonts w:asciiTheme="minorEastAsia" w:hAnsiTheme="minorEastAsia" w:eastAsiaTheme="minorEastAsia"/>
          <w:highlight w:val="none"/>
        </w:rPr>
      </w:pPr>
      <w:r>
        <w:rPr>
          <w:rFonts w:hint="eastAsia" w:asciiTheme="minorEastAsia" w:hAnsiTheme="minorEastAsia" w:eastAsiaTheme="minorEastAsia"/>
          <w:highlight w:val="none"/>
        </w:rPr>
        <w:t>（五）建设</w:t>
      </w:r>
      <w:r>
        <w:rPr>
          <w:rFonts w:asciiTheme="minorEastAsia" w:hAnsiTheme="minorEastAsia" w:eastAsiaTheme="minorEastAsia"/>
          <w:highlight w:val="none"/>
        </w:rPr>
        <w:t>智慧医院透视化管理</w:t>
      </w:r>
      <w:r>
        <w:rPr>
          <w:rFonts w:hint="eastAsia" w:asciiTheme="minorEastAsia" w:hAnsiTheme="minorEastAsia" w:eastAsiaTheme="minorEastAsia"/>
          <w:highlight w:val="none"/>
        </w:rPr>
        <w:t>系统</w:t>
      </w:r>
    </w:p>
    <w:p w14:paraId="2AB98135">
      <w:pPr>
        <w:rPr>
          <w:rFonts w:cs="仿宋" w:asciiTheme="minorEastAsia" w:hAnsiTheme="minorEastAsia" w:eastAsiaTheme="minorEastAsia"/>
          <w:highlight w:val="none"/>
        </w:rPr>
      </w:pPr>
      <w:r>
        <w:rPr>
          <w:rFonts w:asciiTheme="minorEastAsia" w:hAnsiTheme="minorEastAsia" w:eastAsiaTheme="minorEastAsia"/>
          <w:highlight w:val="none"/>
        </w:rPr>
        <w:t>搭建医院后勤数字孪生可视化平台，整合南北院区安防、消防、设备、停车、资源调度等业务，融合 AI 智能分析、安消一体、数据治理与知识库体系，实现态势可视、风险预警、智能运维、闭环处置，赋能医院后勤精细化、智能化管理。</w:t>
      </w:r>
    </w:p>
    <w:p w14:paraId="4B215BCF">
      <w:pPr>
        <w:pStyle w:val="2"/>
        <w:rPr>
          <w:highlight w:val="none"/>
        </w:rPr>
      </w:pPr>
      <w:bookmarkStart w:id="11" w:name="_Toc63785503"/>
      <w:r>
        <w:rPr>
          <w:rFonts w:hint="eastAsia"/>
          <w:highlight w:val="none"/>
        </w:rPr>
        <w:t>招标清单</w:t>
      </w:r>
    </w:p>
    <w:tbl>
      <w:tblPr>
        <w:tblStyle w:val="10"/>
        <w:tblW w:w="5000" w:type="pct"/>
        <w:tblInd w:w="0" w:type="dxa"/>
        <w:tblLayout w:type="fixed"/>
        <w:tblCellMar>
          <w:top w:w="0" w:type="dxa"/>
          <w:left w:w="108" w:type="dxa"/>
          <w:bottom w:w="0" w:type="dxa"/>
          <w:right w:w="108" w:type="dxa"/>
        </w:tblCellMar>
      </w:tblPr>
      <w:tblGrid>
        <w:gridCol w:w="477"/>
        <w:gridCol w:w="1191"/>
        <w:gridCol w:w="4395"/>
        <w:gridCol w:w="1133"/>
        <w:gridCol w:w="1332"/>
      </w:tblGrid>
      <w:tr w14:paraId="63F36400">
        <w:tblPrEx>
          <w:tblCellMar>
            <w:top w:w="0" w:type="dxa"/>
            <w:left w:w="108" w:type="dxa"/>
            <w:bottom w:w="0" w:type="dxa"/>
            <w:right w:w="108" w:type="dxa"/>
          </w:tblCellMar>
        </w:tblPrEx>
        <w:trPr>
          <w:trHeight w:val="90" w:hRule="atLeast"/>
        </w:trPr>
        <w:tc>
          <w:tcPr>
            <w:tcW w:w="280" w:type="pct"/>
            <w:tcBorders>
              <w:top w:val="single" w:color="000000" w:sz="4" w:space="0"/>
              <w:left w:val="single" w:color="000000" w:sz="4" w:space="0"/>
              <w:bottom w:val="single" w:color="000000" w:sz="4" w:space="0"/>
              <w:right w:val="single" w:color="000000" w:sz="4" w:space="0"/>
            </w:tcBorders>
            <w:noWrap/>
            <w:vAlign w:val="center"/>
          </w:tcPr>
          <w:p w14:paraId="1D27BEA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序序号</w:t>
            </w:r>
          </w:p>
        </w:tc>
        <w:tc>
          <w:tcPr>
            <w:tcW w:w="698" w:type="pct"/>
            <w:tcBorders>
              <w:top w:val="single" w:color="000000" w:sz="4" w:space="0"/>
              <w:left w:val="single" w:color="000000" w:sz="4" w:space="0"/>
              <w:bottom w:val="single" w:color="000000" w:sz="4" w:space="0"/>
              <w:right w:val="single" w:color="000000" w:sz="4" w:space="0"/>
            </w:tcBorders>
            <w:noWrap/>
            <w:vAlign w:val="center"/>
          </w:tcPr>
          <w:p w14:paraId="18CADF7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建设内容</w:t>
            </w: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39ECCD2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建设明细</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4C87059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数量</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72EF5DE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单位</w:t>
            </w:r>
          </w:p>
        </w:tc>
      </w:tr>
      <w:tr w14:paraId="0A46C07D">
        <w:tblPrEx>
          <w:tblCellMar>
            <w:top w:w="0" w:type="dxa"/>
            <w:left w:w="108" w:type="dxa"/>
            <w:bottom w:w="0" w:type="dxa"/>
            <w:right w:w="108" w:type="dxa"/>
          </w:tblCellMar>
        </w:tblPrEx>
        <w:trPr>
          <w:trHeight w:val="336" w:hRule="atLeast"/>
        </w:trPr>
        <w:tc>
          <w:tcPr>
            <w:tcW w:w="280" w:type="pct"/>
            <w:vMerge w:val="restart"/>
            <w:tcBorders>
              <w:top w:val="single" w:color="000000" w:sz="4" w:space="0"/>
              <w:left w:val="single" w:color="000000" w:sz="4" w:space="0"/>
              <w:right w:val="single" w:color="000000" w:sz="4" w:space="0"/>
            </w:tcBorders>
            <w:noWrap/>
            <w:vAlign w:val="center"/>
          </w:tcPr>
          <w:p w14:paraId="181BD38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11</w:t>
            </w:r>
          </w:p>
        </w:tc>
        <w:tc>
          <w:tcPr>
            <w:tcW w:w="698" w:type="pct"/>
            <w:vMerge w:val="restart"/>
            <w:tcBorders>
              <w:top w:val="single" w:color="000000" w:sz="4" w:space="0"/>
              <w:left w:val="single" w:color="000000" w:sz="4" w:space="0"/>
              <w:right w:val="single" w:color="000000" w:sz="4" w:space="0"/>
            </w:tcBorders>
            <w:noWrap/>
            <w:vAlign w:val="center"/>
          </w:tcPr>
          <w:p w14:paraId="7E8F4E5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多元算力基座</w:t>
            </w: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5ABE41F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多元异构算力运营与管理平台</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4FF493A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74D0D34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1B99C03F">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57531F9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2AF0268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5A02926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标准配置一：国产训练</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2FB794A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48</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30CF4BC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台/月</w:t>
            </w:r>
          </w:p>
        </w:tc>
      </w:tr>
      <w:tr w14:paraId="23537670">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7470ECE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2B3D46B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68CEAA6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标准配置二：CUDA训练（高端）</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5B6D108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24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022011B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台/月</w:t>
            </w:r>
          </w:p>
        </w:tc>
      </w:tr>
      <w:tr w14:paraId="4AB2C81D">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53F376F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3E26B44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6DDEA82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标准配置三：CUDA训练</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11E618B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24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434F0D0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台/月</w:t>
            </w:r>
          </w:p>
        </w:tc>
      </w:tr>
      <w:tr w14:paraId="02E6BD11">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47B3D7D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596BAAF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1289D1F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标准配置四：国产推理</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4C48D89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48</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21A99C8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台/月</w:t>
            </w:r>
          </w:p>
        </w:tc>
      </w:tr>
      <w:tr w14:paraId="2DDF64B0">
        <w:tblPrEx>
          <w:tblCellMar>
            <w:top w:w="0" w:type="dxa"/>
            <w:left w:w="108" w:type="dxa"/>
            <w:bottom w:w="0" w:type="dxa"/>
            <w:right w:w="108" w:type="dxa"/>
          </w:tblCellMar>
        </w:tblPrEx>
        <w:trPr>
          <w:trHeight w:val="90" w:hRule="atLeast"/>
        </w:trPr>
        <w:tc>
          <w:tcPr>
            <w:tcW w:w="280" w:type="pct"/>
            <w:vMerge w:val="continue"/>
            <w:tcBorders>
              <w:left w:val="single" w:color="000000" w:sz="4" w:space="0"/>
              <w:right w:val="single" w:color="000000" w:sz="4" w:space="0"/>
            </w:tcBorders>
            <w:noWrap/>
            <w:vAlign w:val="center"/>
          </w:tcPr>
          <w:p w14:paraId="68EFD65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53FFBFE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1571ACA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标准配置五：CUDA推理-高</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44FA45A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48</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5050267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台/月</w:t>
            </w:r>
          </w:p>
        </w:tc>
      </w:tr>
      <w:tr w14:paraId="48B36D3A">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6E26912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589B372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559F664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标准配置六：CUDA推理-中</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5F23717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48</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DC564A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台/月</w:t>
            </w:r>
          </w:p>
        </w:tc>
      </w:tr>
      <w:tr w14:paraId="33E2FDDE">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26722F0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0581E02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6281FBA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标准配置七：CUDA推理-低</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2F9F552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96</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0E92E18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台/月</w:t>
            </w:r>
          </w:p>
        </w:tc>
      </w:tr>
      <w:tr w14:paraId="627FC1FB">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2631F0D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64F1FF2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32D5CC0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IDC托管机柜（20KW）</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4F016BC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72</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0491A55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台/月</w:t>
            </w:r>
          </w:p>
        </w:tc>
      </w:tr>
      <w:tr w14:paraId="1054F19B">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5A41A4C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235C5EE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29B0DB1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500M OTN专线</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00D1FD2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48</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12E9044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条/月</w:t>
            </w:r>
          </w:p>
        </w:tc>
      </w:tr>
      <w:tr w14:paraId="4B0D8F6D">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25C58AE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266FB6D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26C57D2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100M 云专线</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015E2D3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24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14F9B7D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条/月</w:t>
            </w:r>
          </w:p>
        </w:tc>
      </w:tr>
      <w:tr w14:paraId="110FBF49">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624422A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6AF293F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7723847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50M公网宽带</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289E586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24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5DB2025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个/月</w:t>
            </w:r>
          </w:p>
        </w:tc>
      </w:tr>
      <w:tr w14:paraId="6189E84D">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242A0F8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7CA2E79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109A75A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安全配套（云堡垒机、防火墙等）</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109F4DC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24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4A7765D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个/月</w:t>
            </w:r>
          </w:p>
        </w:tc>
      </w:tr>
      <w:tr w14:paraId="60696B9B">
        <w:tblPrEx>
          <w:tblCellMar>
            <w:top w:w="0" w:type="dxa"/>
            <w:left w:w="108" w:type="dxa"/>
            <w:bottom w:w="0" w:type="dxa"/>
            <w:right w:w="108" w:type="dxa"/>
          </w:tblCellMar>
        </w:tblPrEx>
        <w:trPr>
          <w:trHeight w:val="336" w:hRule="atLeast"/>
        </w:trPr>
        <w:tc>
          <w:tcPr>
            <w:tcW w:w="280" w:type="pct"/>
            <w:vMerge w:val="continue"/>
            <w:tcBorders>
              <w:left w:val="single" w:color="000000" w:sz="4" w:space="0"/>
              <w:right w:val="single" w:color="000000" w:sz="4" w:space="0"/>
            </w:tcBorders>
            <w:noWrap/>
            <w:vAlign w:val="center"/>
          </w:tcPr>
          <w:p w14:paraId="02A1C8F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left w:val="single" w:color="000000" w:sz="4" w:space="0"/>
              <w:right w:val="single" w:color="000000" w:sz="4" w:space="0"/>
            </w:tcBorders>
            <w:noWrap/>
            <w:vAlign w:val="center"/>
          </w:tcPr>
          <w:p w14:paraId="13A749E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13CBEAA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运维服务（模型部署、设备运维、数据迁移）</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10F60C8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24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4A4BFE5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个/月</w:t>
            </w:r>
          </w:p>
        </w:tc>
      </w:tr>
      <w:tr w14:paraId="2EEC7ED7">
        <w:tblPrEx>
          <w:tblCellMar>
            <w:top w:w="0" w:type="dxa"/>
            <w:left w:w="108" w:type="dxa"/>
            <w:bottom w:w="0" w:type="dxa"/>
            <w:right w:w="108" w:type="dxa"/>
          </w:tblCellMar>
        </w:tblPrEx>
        <w:trPr>
          <w:trHeight w:val="336"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4751F9E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硬件基础</w:t>
            </w:r>
          </w:p>
        </w:tc>
      </w:tr>
      <w:tr w14:paraId="0A34A4AE">
        <w:tblPrEx>
          <w:tblCellMar>
            <w:top w:w="0" w:type="dxa"/>
            <w:left w:w="108" w:type="dxa"/>
            <w:bottom w:w="0" w:type="dxa"/>
            <w:right w:w="108" w:type="dxa"/>
          </w:tblCellMar>
        </w:tblPrEx>
        <w:trPr>
          <w:trHeight w:val="336" w:hRule="atLeast"/>
        </w:trPr>
        <w:tc>
          <w:tcPr>
            <w:tcW w:w="280" w:type="pct"/>
            <w:vMerge w:val="restart"/>
            <w:tcBorders>
              <w:top w:val="single" w:color="000000" w:sz="4" w:space="0"/>
              <w:left w:val="single" w:color="000000" w:sz="4" w:space="0"/>
              <w:bottom w:val="single" w:color="000000" w:sz="4" w:space="0"/>
              <w:right w:val="single" w:color="000000" w:sz="4" w:space="0"/>
            </w:tcBorders>
            <w:noWrap/>
            <w:vAlign w:val="center"/>
          </w:tcPr>
          <w:p w14:paraId="41CABDD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11</w:t>
            </w:r>
          </w:p>
        </w:tc>
        <w:tc>
          <w:tcPr>
            <w:tcW w:w="698" w:type="pct"/>
            <w:vMerge w:val="restart"/>
            <w:tcBorders>
              <w:top w:val="single" w:color="000000" w:sz="4" w:space="0"/>
              <w:left w:val="single" w:color="000000" w:sz="4" w:space="0"/>
              <w:bottom w:val="single" w:color="000000" w:sz="4" w:space="0"/>
              <w:right w:val="single" w:color="000000" w:sz="4" w:space="0"/>
            </w:tcBorders>
            <w:noWrap/>
            <w:vAlign w:val="center"/>
          </w:tcPr>
          <w:p w14:paraId="19E2DD9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电子病历评级配套硬件门急诊及住院无纸化闭环基础设施</w:t>
            </w: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2F5BD1E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南北门急诊CA电子签名签字板-有线</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70917CC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60</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186C34D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327B1513">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209E690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782EEAE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3AF6B22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南北门急诊CA电子签名签字板-无线</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251E57C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60</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1819D7D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091D6A64">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36E440E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6D9BF22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12A5C08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南北门急诊高拍仪</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7BD6AB6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60</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757AF53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44BAF015">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48872F1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0527022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448AD98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南北医生办及护士站CA电子签名签字板-无线</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1DC8DD5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190</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3DDF909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36AE00B4">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52993FC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5C31841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72A4964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南北医生办及护士站高拍仪</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2F25352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205</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4174BE1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214AD6DC">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4C5DCCA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45805B7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68428ED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北部护理部护士部PDA</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5C6DE1E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120</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7E80766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17601809">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4F218B6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54EE450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53DA665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扫码墩</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7C9436A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50</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5D01567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6C7BB749">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5C86D93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3C4761C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197DF5F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医保卡读卡器</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1052D2B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50</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5469735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62597792">
        <w:tblPrEx>
          <w:tblCellMar>
            <w:top w:w="0" w:type="dxa"/>
            <w:left w:w="108" w:type="dxa"/>
            <w:bottom w:w="0" w:type="dxa"/>
            <w:right w:w="108" w:type="dxa"/>
          </w:tblCellMar>
        </w:tblPrEx>
        <w:trPr>
          <w:trHeight w:val="336" w:hRule="atLeast"/>
        </w:trPr>
        <w:tc>
          <w:tcPr>
            <w:tcW w:w="280" w:type="pct"/>
            <w:vMerge w:val="restart"/>
            <w:tcBorders>
              <w:top w:val="single" w:color="000000" w:sz="4" w:space="0"/>
              <w:left w:val="single" w:color="000000" w:sz="4" w:space="0"/>
              <w:bottom w:val="single" w:color="000000" w:sz="4" w:space="0"/>
              <w:right w:val="single" w:color="000000" w:sz="4" w:space="0"/>
            </w:tcBorders>
            <w:noWrap/>
            <w:vAlign w:val="center"/>
          </w:tcPr>
          <w:p w14:paraId="6133591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22</w:t>
            </w:r>
          </w:p>
        </w:tc>
        <w:tc>
          <w:tcPr>
            <w:tcW w:w="698" w:type="pct"/>
            <w:vMerge w:val="restart"/>
            <w:tcBorders>
              <w:top w:val="single" w:color="000000" w:sz="4" w:space="0"/>
              <w:left w:val="single" w:color="000000" w:sz="4" w:space="0"/>
              <w:bottom w:val="single" w:color="000000" w:sz="4" w:space="0"/>
              <w:right w:val="single" w:color="000000" w:sz="4" w:space="0"/>
            </w:tcBorders>
            <w:noWrap/>
            <w:vAlign w:val="center"/>
          </w:tcPr>
          <w:p w14:paraId="09ECAA1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眼科手术录转播及影像数据建设</w:t>
            </w: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5745B75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4K超清摄录网络工作站系统软件（客户端）</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2897DBB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4D534D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6F4C3816">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1D4CF6D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2CA6E8B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1A3B181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4K超清摄录网络工作站系统软件（服务端）</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6818E3A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1DE1823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762E60FE">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5A109D3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4A6C8FD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41D7EA4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4K高清多功能视频接口</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13445DB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40CC3C3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1361AA47">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6C4BE2C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364741A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66AEBCB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4K高清医用摄像机</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588BC8B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05A12DA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1C92EE67">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24CE1F4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1292336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0DCA6C4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4K高清手术影像工作站（本地）</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29A9B22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rFonts w:hint="eastAsia"/>
                <w:highlight w:val="none"/>
              </w:rPr>
            </w:pPr>
            <w:r>
              <w:rPr>
                <w:rFonts w:hint="eastAsia"/>
                <w:highlight w:val="none"/>
              </w:rPr>
              <w:t>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E25008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50C7B2B4">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4BD09C5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1D0A94E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39FFB0A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4K高清医学影像采集卡</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2128896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2B2BF7A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2375B80B">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181F8DB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0D8C75A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608A6F2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32寸4K高清液晶显示器</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39D6B25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7C855E0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3DEE7FAD">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762254F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1E23435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49DACA0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移动工作站推车</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69863B1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4</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5D95266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2699F37B">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01A4F64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3088C0E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095C75B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眼科影像数据备份一体机</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3B1BF99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3B43798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12133123">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7B1E7B7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5B727C0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520C506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数据备份与恢复系统授权</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3D74C2E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4364EE3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1DCC02B1">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0550C2F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0653460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43B185E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眼科手术高清视频数据存储150T</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0C69E9B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56372D2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4FBC6A4C">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36900BC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4F1FC19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10523C2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存储容量配置许可证200TB</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3DD9B75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45C9B3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r w14:paraId="7178151A">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0A46B81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5611BD1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01913BE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数据备份与恢复系统重复数据删除模块</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3BB31CF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16B6E6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项</w:t>
            </w:r>
          </w:p>
        </w:tc>
      </w:tr>
      <w:tr w14:paraId="427E0E83">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26CE678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576775A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37192A9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无合成永久增量备份代理</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5B8388B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601FE41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项</w:t>
            </w:r>
          </w:p>
        </w:tc>
      </w:tr>
      <w:tr w14:paraId="30B879C6">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78FF8E5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7F051FE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02A6FCC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远程复制模块</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5B3D0A6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4FC4172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项</w:t>
            </w:r>
          </w:p>
        </w:tc>
      </w:tr>
      <w:tr w14:paraId="67AC763A">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noWrap/>
            <w:vAlign w:val="center"/>
          </w:tcPr>
          <w:p w14:paraId="3024758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noWrap/>
            <w:vAlign w:val="center"/>
          </w:tcPr>
          <w:p w14:paraId="01BD724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5BD66E3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信息系统集成服务综合运维模块</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4C4E9B4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7EA6FFB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项</w:t>
            </w:r>
          </w:p>
        </w:tc>
      </w:tr>
      <w:tr w14:paraId="130E30CF">
        <w:tblPrEx>
          <w:tblCellMar>
            <w:top w:w="0" w:type="dxa"/>
            <w:left w:w="108" w:type="dxa"/>
            <w:bottom w:w="0" w:type="dxa"/>
            <w:right w:w="108" w:type="dxa"/>
          </w:tblCellMar>
        </w:tblPrEx>
        <w:trPr>
          <w:trHeight w:val="336" w:hRule="atLeast"/>
        </w:trPr>
        <w:tc>
          <w:tcPr>
            <w:tcW w:w="280" w:type="pct"/>
            <w:vMerge w:val="restart"/>
            <w:tcBorders>
              <w:top w:val="single" w:color="000000" w:sz="4" w:space="0"/>
              <w:left w:val="single" w:color="000000" w:sz="4" w:space="0"/>
              <w:bottom w:val="single" w:color="000000" w:sz="4" w:space="0"/>
              <w:right w:val="single" w:color="000000" w:sz="4" w:space="0"/>
            </w:tcBorders>
            <w:vAlign w:val="center"/>
          </w:tcPr>
          <w:p w14:paraId="5E40872E">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33</w:t>
            </w:r>
          </w:p>
        </w:tc>
        <w:tc>
          <w:tcPr>
            <w:tcW w:w="698" w:type="pct"/>
            <w:vMerge w:val="restart"/>
            <w:tcBorders>
              <w:top w:val="single" w:color="000000" w:sz="4" w:space="0"/>
              <w:left w:val="single" w:color="000000" w:sz="4" w:space="0"/>
              <w:bottom w:val="single" w:color="000000" w:sz="4" w:space="0"/>
              <w:right w:val="single" w:color="000000" w:sz="4" w:space="0"/>
            </w:tcBorders>
            <w:vAlign w:val="center"/>
          </w:tcPr>
          <w:p w14:paraId="6C8ED01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专用服务器集群</w:t>
            </w: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3DD10CA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智能体超融合节点服务器</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17DEE22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6</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5C9674DD">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4E0FD1DF">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vAlign w:val="center"/>
          </w:tcPr>
          <w:p w14:paraId="2273259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vAlign w:val="center"/>
          </w:tcPr>
          <w:p w14:paraId="36766BD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7813403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COC服务器集群</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159256AB">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2</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2A13A0E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75772244">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vAlign w:val="center"/>
          </w:tcPr>
          <w:p w14:paraId="4FF334B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vAlign w:val="center"/>
          </w:tcPr>
          <w:p w14:paraId="403984F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79AE5AE1">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物理服务器升级替换（北院医联平台）</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30E16C9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3</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530EAFB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2DE1B961">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vAlign w:val="center"/>
          </w:tcPr>
          <w:p w14:paraId="766A8C6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vAlign w:val="center"/>
          </w:tcPr>
          <w:p w14:paraId="7099357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40A40ACA">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检验系统配套服务器-XC</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703EC00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32597B7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068D0483">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vAlign w:val="center"/>
          </w:tcPr>
          <w:p w14:paraId="4791867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vAlign w:val="center"/>
          </w:tcPr>
          <w:p w14:paraId="34E0875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24B4844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精益成本核算服务项目</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3C43345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793BCF4F">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397E517B">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vAlign w:val="center"/>
          </w:tcPr>
          <w:p w14:paraId="6AF2BDF9">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vAlign w:val="center"/>
          </w:tcPr>
          <w:p w14:paraId="7D6EF5F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24DFC068">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眼科屈光电子病历系统服务器</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36E5130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rFonts w:hint="eastAsia"/>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0D16A9D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4903F8A6">
        <w:tblPrEx>
          <w:tblCellMar>
            <w:top w:w="0" w:type="dxa"/>
            <w:left w:w="108" w:type="dxa"/>
            <w:bottom w:w="0" w:type="dxa"/>
            <w:right w:w="108" w:type="dxa"/>
          </w:tblCellMar>
        </w:tblPrEx>
        <w:trPr>
          <w:trHeight w:val="336" w:hRule="atLeast"/>
        </w:trPr>
        <w:tc>
          <w:tcPr>
            <w:tcW w:w="280" w:type="pct"/>
            <w:vMerge w:val="continue"/>
            <w:tcBorders>
              <w:top w:val="single" w:color="000000" w:sz="4" w:space="0"/>
              <w:left w:val="single" w:color="000000" w:sz="4" w:space="0"/>
              <w:bottom w:val="single" w:color="000000" w:sz="4" w:space="0"/>
              <w:right w:val="single" w:color="000000" w:sz="4" w:space="0"/>
            </w:tcBorders>
            <w:vAlign w:val="center"/>
          </w:tcPr>
          <w:p w14:paraId="3E08B440">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698" w:type="pct"/>
            <w:vMerge w:val="continue"/>
            <w:tcBorders>
              <w:top w:val="single" w:color="000000" w:sz="4" w:space="0"/>
              <w:left w:val="single" w:color="000000" w:sz="4" w:space="0"/>
              <w:bottom w:val="single" w:color="000000" w:sz="4" w:space="0"/>
              <w:right w:val="single" w:color="000000" w:sz="4" w:space="0"/>
            </w:tcBorders>
            <w:vAlign w:val="center"/>
          </w:tcPr>
          <w:p w14:paraId="6EF7C98C">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32FBF8F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AI大模型科研资源智能画像与全链路绩效平台算力-推理</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078A23C6">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598B1DD2">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台</w:t>
            </w:r>
          </w:p>
        </w:tc>
      </w:tr>
      <w:tr w14:paraId="01531252">
        <w:tblPrEx>
          <w:tblCellMar>
            <w:top w:w="0" w:type="dxa"/>
            <w:left w:w="108" w:type="dxa"/>
            <w:bottom w:w="0" w:type="dxa"/>
            <w:right w:w="108" w:type="dxa"/>
          </w:tblCellMar>
        </w:tblPrEx>
        <w:trPr>
          <w:trHeight w:val="336" w:hRule="atLeast"/>
        </w:trPr>
        <w:tc>
          <w:tcPr>
            <w:tcW w:w="280" w:type="pct"/>
            <w:tcBorders>
              <w:top w:val="single" w:color="000000" w:sz="4" w:space="0"/>
              <w:left w:val="single" w:color="000000" w:sz="4" w:space="0"/>
              <w:bottom w:val="single" w:color="000000" w:sz="4" w:space="0"/>
              <w:right w:val="single" w:color="000000" w:sz="4" w:space="0"/>
            </w:tcBorders>
            <w:noWrap/>
            <w:vAlign w:val="center"/>
          </w:tcPr>
          <w:p w14:paraId="3866DFB5">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11</w:t>
            </w:r>
          </w:p>
        </w:tc>
        <w:tc>
          <w:tcPr>
            <w:tcW w:w="698" w:type="pct"/>
            <w:tcBorders>
              <w:top w:val="single" w:color="000000" w:sz="4" w:space="0"/>
              <w:left w:val="single" w:color="000000" w:sz="4" w:space="0"/>
              <w:bottom w:val="single" w:color="000000" w:sz="4" w:space="0"/>
              <w:right w:val="single" w:color="000000" w:sz="4" w:space="0"/>
            </w:tcBorders>
            <w:noWrap/>
            <w:vAlign w:val="center"/>
          </w:tcPr>
          <w:p w14:paraId="5DA0EFB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highlight w:val="none"/>
              </w:rPr>
              <w:t>智慧医院透视化管理项目</w:t>
            </w:r>
          </w:p>
        </w:tc>
        <w:tc>
          <w:tcPr>
            <w:tcW w:w="2577" w:type="pct"/>
            <w:tcBorders>
              <w:top w:val="single" w:color="000000" w:sz="4" w:space="0"/>
              <w:left w:val="single" w:color="000000" w:sz="4" w:space="0"/>
              <w:bottom w:val="single" w:color="000000" w:sz="4" w:space="0"/>
              <w:right w:val="single" w:color="000000" w:sz="4" w:space="0"/>
            </w:tcBorders>
            <w:noWrap/>
            <w:vAlign w:val="center"/>
          </w:tcPr>
          <w:p w14:paraId="0218BB24">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highlight w:val="none"/>
              </w:rPr>
              <w:t>智慧医院透视化管理项目</w:t>
            </w:r>
          </w:p>
        </w:tc>
        <w:tc>
          <w:tcPr>
            <w:tcW w:w="664" w:type="pct"/>
            <w:tcBorders>
              <w:top w:val="single" w:color="000000" w:sz="4" w:space="0"/>
              <w:left w:val="single" w:color="000000" w:sz="4" w:space="0"/>
              <w:bottom w:val="single" w:color="000000" w:sz="4" w:space="0"/>
              <w:right w:val="single" w:color="000000" w:sz="4" w:space="0"/>
            </w:tcBorders>
            <w:noWrap/>
            <w:vAlign w:val="center"/>
          </w:tcPr>
          <w:p w14:paraId="09CFF307">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1</w:t>
            </w:r>
          </w:p>
        </w:tc>
        <w:tc>
          <w:tcPr>
            <w:tcW w:w="781" w:type="pct"/>
            <w:tcBorders>
              <w:top w:val="single" w:color="000000" w:sz="4" w:space="0"/>
              <w:left w:val="single" w:color="000000" w:sz="4" w:space="0"/>
              <w:bottom w:val="single" w:color="000000" w:sz="4" w:space="0"/>
              <w:right w:val="single" w:color="000000" w:sz="4" w:space="0"/>
            </w:tcBorders>
            <w:noWrap/>
            <w:vAlign w:val="center"/>
          </w:tcPr>
          <w:p w14:paraId="09AB07B3">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highlight w:val="none"/>
              </w:rPr>
            </w:pPr>
            <w:r>
              <w:rPr>
                <w:rFonts w:hint="eastAsia"/>
                <w:highlight w:val="none"/>
              </w:rPr>
              <w:t>套</w:t>
            </w:r>
          </w:p>
        </w:tc>
      </w:tr>
    </w:tbl>
    <w:p w14:paraId="305A8EDF">
      <w:pPr>
        <w:rPr>
          <w:rFonts w:hint="eastAsia"/>
          <w:highlight w:val="none"/>
        </w:rPr>
      </w:pPr>
    </w:p>
    <w:p w14:paraId="4458D8FD">
      <w:pPr>
        <w:pStyle w:val="2"/>
        <w:rPr>
          <w:highlight w:val="none"/>
        </w:rPr>
      </w:pPr>
      <w:r>
        <w:rPr>
          <w:rFonts w:hint="eastAsia"/>
          <w:highlight w:val="none"/>
        </w:rPr>
        <w:t>招标参数</w:t>
      </w:r>
    </w:p>
    <w:p w14:paraId="70863F65">
      <w:pPr>
        <w:pStyle w:val="4"/>
        <w:ind w:firstLine="0" w:firstLineChars="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（一）多元算力基座</w:t>
      </w:r>
    </w:p>
    <w:p w14:paraId="352D45FC">
      <w:pPr>
        <w:ind w:firstLine="482"/>
        <w:rPr>
          <w:b/>
          <w:bCs/>
          <w:highlight w:val="none"/>
        </w:rPr>
      </w:pPr>
      <w:r>
        <w:rPr>
          <w:rFonts w:hint="eastAsia"/>
          <w:b/>
          <w:bCs/>
          <w:highlight w:val="none"/>
        </w:rPr>
        <w:t>多元异构算力运营与管理平台</w:t>
      </w:r>
    </w:p>
    <w:p w14:paraId="312F555F">
      <w:pPr>
        <w:pStyle w:val="15"/>
        <w:numPr>
          <w:ilvl w:val="0"/>
          <w:numId w:val="2"/>
        </w:numPr>
        <w:ind w:firstLineChars="0"/>
        <w:rPr>
          <w:highlight w:val="none"/>
        </w:rPr>
      </w:pPr>
      <w:r>
        <w:rPr>
          <w:highlight w:val="none"/>
        </w:rPr>
        <w:t>异构算力统一纳管</w:t>
      </w:r>
    </w:p>
    <w:p w14:paraId="5477D6B0">
      <w:pPr>
        <w:rPr>
          <w:highlight w:val="none"/>
        </w:rPr>
      </w:pPr>
      <w:r>
        <w:rPr>
          <w:rFonts w:hint="eastAsia"/>
          <w:highlight w:val="none"/>
        </w:rPr>
        <w:t>①</w:t>
      </w:r>
      <w:r>
        <w:rPr>
          <w:highlight w:val="none"/>
        </w:rPr>
        <w:t>统一纳管与调度分配：支持通过统一界面纳管本地算力中心、 IDC托管算力、第三方云服务商、多院区的异构算力，形成标准化资源目录与调度分配，兼容不同厂商的不同架构。</w:t>
      </w:r>
    </w:p>
    <w:p w14:paraId="700C984F">
      <w:pPr>
        <w:rPr>
          <w:highlight w:val="none"/>
        </w:rPr>
      </w:pPr>
      <w:r>
        <w:rPr>
          <w:rFonts w:hint="eastAsia"/>
          <w:highlight w:val="none"/>
        </w:rPr>
        <w:t>②</w:t>
      </w:r>
      <w:r>
        <w:rPr>
          <w:highlight w:val="none"/>
        </w:rPr>
        <w:t>异构 GPU 兼容：原生支持 NVIDIA、昇腾、天数智芯、平头哥、沐曦等多厂商 / 多型号 GPU 管理与调度，同一集群可识别、编目、可视化异构多卡。</w:t>
      </w:r>
    </w:p>
    <w:p w14:paraId="2E3C0E4E">
      <w:pPr>
        <w:rPr>
          <w:highlight w:val="none"/>
        </w:rPr>
      </w:pPr>
      <w:r>
        <w:rPr>
          <w:rFonts w:hint="eastAsia"/>
          <w:highlight w:val="none"/>
        </w:rPr>
        <w:t>③</w:t>
      </w:r>
      <w:r>
        <w:rPr>
          <w:highlight w:val="none"/>
        </w:rPr>
        <w:t>算力切分与隔离：支持 vGPU / MIG / 整卡 / 虚拟卡模式，按租户、项目、容器精细化算力 / 显存配额管理，确保资源隔离与性能稳定。</w:t>
      </w:r>
    </w:p>
    <w:p w14:paraId="50FD86B3">
      <w:pPr>
        <w:rPr>
          <w:highlight w:val="none"/>
        </w:rPr>
      </w:pPr>
      <w:r>
        <w:rPr>
          <w:rFonts w:hint="eastAsia"/>
          <w:highlight w:val="none"/>
        </w:rPr>
        <w:t>④</w:t>
      </w:r>
      <w:r>
        <w:rPr>
          <w:highlight w:val="none"/>
        </w:rPr>
        <w:t>队列化调度：建设大模型算力调度队列平台，支持队列级隔离、优先级、额度控制，满足多业务并行与资源公平分配。</w:t>
      </w:r>
    </w:p>
    <w:p w14:paraId="29255BFE">
      <w:pPr>
        <w:rPr>
          <w:highlight w:val="none"/>
        </w:rPr>
      </w:pPr>
      <w:r>
        <w:rPr>
          <w:rFonts w:hint="eastAsia"/>
          <w:highlight w:val="none"/>
        </w:rPr>
        <w:t>⑤</w:t>
      </w:r>
      <w:r>
        <w:rPr>
          <w:highlight w:val="none"/>
        </w:rPr>
        <w:t>全维度监控告警：实时监控 GPU 数量、使用率、显存用量、功率、温度等指标，支持 24 小时趋势分析与可视化告警联动。</w:t>
      </w:r>
    </w:p>
    <w:p w14:paraId="1946E662">
      <w:pPr>
        <w:rPr>
          <w:highlight w:val="none"/>
        </w:rPr>
      </w:pPr>
      <w:r>
        <w:rPr>
          <w:rFonts w:hint="eastAsia"/>
          <w:highlight w:val="none"/>
        </w:rPr>
        <w:t>⑥</w:t>
      </w:r>
      <w:r>
        <w:rPr>
          <w:highlight w:val="none"/>
        </w:rPr>
        <w:t>驱动与工具链自动化：自动发现 GPU 硬件，一键安装 / 升级驱动、CUDA 等套件，提供统一 GPU 资源看板。</w:t>
      </w:r>
    </w:p>
    <w:p w14:paraId="75491331">
      <w:pPr>
        <w:rPr>
          <w:highlight w:val="none"/>
        </w:rPr>
      </w:pPr>
      <w:r>
        <w:rPr>
          <w:highlight w:val="none"/>
        </w:rPr>
        <w:t>医疗一体化算力服务需求</w:t>
      </w:r>
    </w:p>
    <w:p w14:paraId="7B049E4B">
      <w:pPr>
        <w:rPr>
          <w:rFonts w:hint="eastAsia"/>
          <w:highlight w:val="none"/>
        </w:rPr>
      </w:pPr>
      <w:r>
        <w:rPr>
          <w:highlight w:val="none"/>
        </w:rPr>
        <w:t>▲面向医疗 AI 训练、推理、训推一体场景，提供符合模型框架需求的GPU 云主机、GPU 裸金属、网络、机柜托管等资源，适配多型号算卡，满足不同负载等级需求。</w:t>
      </w:r>
      <w:r>
        <w:rPr>
          <w:rFonts w:hint="eastAsia"/>
          <w:highlight w:val="none"/>
        </w:rPr>
        <w:t>（</w:t>
      </w:r>
      <w:r>
        <w:rPr>
          <w:highlight w:val="none"/>
        </w:rPr>
        <w:t>投标人提供承诺函并加盖投标人公章</w:t>
      </w:r>
      <w:r>
        <w:rPr>
          <w:rFonts w:hint="eastAsia"/>
          <w:highlight w:val="none"/>
        </w:rPr>
        <w:t>）</w:t>
      </w:r>
    </w:p>
    <w:p w14:paraId="23CDA8EF">
      <w:pPr>
        <w:rPr>
          <w:highlight w:val="none"/>
        </w:rPr>
      </w:pPr>
      <w:r>
        <w:rPr>
          <w:highlight w:val="none"/>
        </w:rPr>
        <w:t>核心要求：支持训练、推理、训推一体全场景覆盖的医疗一体化算力服务建设。算卡兼容 NVIDIA 高显存卡、国产 AI 芯片，满足医疗大模型与</w:t>
      </w:r>
      <w:r>
        <w:rPr>
          <w:rFonts w:hint="eastAsia"/>
          <w:highlight w:val="none"/>
          <w:lang w:eastAsia="zh-CN"/>
        </w:rPr>
        <w:t>XC</w:t>
      </w:r>
      <w:r>
        <w:rPr>
          <w:highlight w:val="none"/>
        </w:rPr>
        <w:t>双需求。所有服务器的模型框架硬件配置满足高主频 CPU、大内存、高速 NVMe 盘、高带宽网卡，支撑分布式训练与低延迟推理。</w:t>
      </w:r>
    </w:p>
    <w:p w14:paraId="170E0C96">
      <w:pPr>
        <w:rPr>
          <w:rFonts w:hint="eastAsia"/>
          <w:highlight w:val="none"/>
        </w:rPr>
      </w:pPr>
      <w:r>
        <w:rPr>
          <w:highlight w:val="none"/>
        </w:rPr>
        <w:t>其中应涉及以下算力服务及对应适配场景</w:t>
      </w:r>
      <w:r>
        <w:rPr>
          <w:rFonts w:hint="eastAsia"/>
          <w:highlight w:val="none"/>
        </w:rPr>
        <w:t>：</w:t>
      </w:r>
    </w:p>
    <w:p w14:paraId="612A3CE5">
      <w:pPr>
        <w:pStyle w:val="6"/>
        <w:ind w:firstLine="562"/>
        <w:rPr>
          <w:highlight w:val="none"/>
        </w:rPr>
      </w:pPr>
      <w:r>
        <w:rPr>
          <w:rFonts w:hint="eastAsia"/>
          <w:highlight w:val="none"/>
        </w:rPr>
        <w:t>标准配置一：国产训练</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89"/>
        <w:gridCol w:w="5911"/>
      </w:tblGrid>
      <w:tr w14:paraId="48E5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2089" w:type="dxa"/>
            <w:shd w:val="clear" w:color="auto" w:fill="BEBEBE" w:themeFill="background1" w:themeFillShade="BF"/>
            <w:noWrap/>
          </w:tcPr>
          <w:p w14:paraId="2C6F12FB">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3C37EF57">
            <w:pPr>
              <w:ind w:left="0" w:leftChars="0" w:firstLine="0" w:firstLineChars="0"/>
              <w:rPr>
                <w:highlight w:val="none"/>
              </w:rPr>
            </w:pPr>
            <w:r>
              <w:rPr>
                <w:rFonts w:hint="eastAsia"/>
                <w:highlight w:val="none"/>
              </w:rPr>
              <w:t>参数要求</w:t>
            </w:r>
          </w:p>
        </w:tc>
      </w:tr>
      <w:tr w14:paraId="2D92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2089" w:type="dxa"/>
            <w:noWrap/>
            <w:vAlign w:val="center"/>
          </w:tcPr>
          <w:p w14:paraId="2F1F2A64">
            <w:pPr>
              <w:ind w:left="0" w:leftChars="0" w:firstLine="0" w:firstLineChars="0"/>
              <w:rPr>
                <w:highlight w:val="none"/>
              </w:rPr>
            </w:pPr>
            <w:r>
              <w:rPr>
                <w:rFonts w:hint="eastAsia"/>
                <w:highlight w:val="none"/>
              </w:rPr>
              <w:t>国产训练</w:t>
            </w:r>
          </w:p>
        </w:tc>
        <w:tc>
          <w:tcPr>
            <w:tcW w:w="5911" w:type="dxa"/>
            <w:vAlign w:val="center"/>
          </w:tcPr>
          <w:p w14:paraId="59AA00DD">
            <w:pPr>
              <w:ind w:left="0" w:leftChars="0" w:firstLine="0" w:firstLineChars="0"/>
              <w:rPr>
                <w:highlight w:val="none"/>
              </w:rPr>
            </w:pPr>
            <w:r>
              <w:rPr>
                <w:rFonts w:hint="eastAsia"/>
                <w:highlight w:val="none"/>
              </w:rPr>
              <w:t>CPU：国产单颗CPU物理核数48核及以上，2.6GHz及以上，4颗；</w:t>
            </w:r>
          </w:p>
          <w:p w14:paraId="69F00383">
            <w:pPr>
              <w:ind w:left="0" w:leftChars="0" w:firstLine="0" w:firstLineChars="0"/>
              <w:rPr>
                <w:highlight w:val="none"/>
              </w:rPr>
            </w:pPr>
            <w:r>
              <w:rPr>
                <w:rFonts w:hint="eastAsia"/>
                <w:highlight w:val="none"/>
              </w:rPr>
              <w:t>内存：2048GB DDR4及以上</w:t>
            </w:r>
          </w:p>
          <w:p w14:paraId="37C3A1A4">
            <w:pPr>
              <w:ind w:left="0" w:leftChars="0" w:firstLine="0" w:firstLineChars="0"/>
              <w:rPr>
                <w:highlight w:val="none"/>
              </w:rPr>
            </w:pPr>
            <w:bookmarkStart w:id="12" w:name="OLE_LINK1"/>
            <w:r>
              <w:rPr>
                <w:rFonts w:hint="eastAsia"/>
                <w:highlight w:val="none"/>
              </w:rPr>
              <w:t>GPU：配置不少于8块GPU卡，单卡显存不低于64GB，单卡半精度浮点算力不低于376TFLOPS</w:t>
            </w:r>
          </w:p>
          <w:bookmarkEnd w:id="12"/>
          <w:p w14:paraId="671CDD61">
            <w:pPr>
              <w:ind w:left="0" w:leftChars="0" w:firstLine="0" w:firstLineChars="0"/>
              <w:rPr>
                <w:highlight w:val="none"/>
              </w:rPr>
            </w:pPr>
            <w:bookmarkStart w:id="13" w:name="OLE_LINK2"/>
            <w:r>
              <w:rPr>
                <w:rFonts w:hint="eastAsia"/>
                <w:highlight w:val="none"/>
              </w:rPr>
              <w:t>硬盘：系统盘采用SSD介质，按RAID1配置，可用容量900GB及以上，数据盘采用NVMe SSD介质，总容量6.4T及以上</w:t>
            </w:r>
          </w:p>
          <w:bookmarkEnd w:id="13"/>
          <w:p w14:paraId="5965B30B">
            <w:pPr>
              <w:ind w:left="0" w:leftChars="0" w:firstLine="0" w:firstLineChars="0"/>
              <w:rPr>
                <w:sz w:val="21"/>
                <w:highlight w:val="none"/>
              </w:rPr>
            </w:pPr>
            <w:r>
              <w:rPr>
                <w:rFonts w:hint="eastAsia"/>
                <w:highlight w:val="none"/>
              </w:rPr>
              <w:t>网卡：不低于200G RoCE网卡*8，不低于双口100G RoCE网卡*1，不低于双口25G网卡*2</w:t>
            </w:r>
          </w:p>
        </w:tc>
      </w:tr>
    </w:tbl>
    <w:p w14:paraId="6D33E468">
      <w:pPr>
        <w:rPr>
          <w:highlight w:val="none"/>
          <w:lang w:bidi="ar"/>
        </w:rPr>
      </w:pPr>
    </w:p>
    <w:p w14:paraId="7ACE5AD8">
      <w:pPr>
        <w:pStyle w:val="6"/>
        <w:ind w:firstLine="562"/>
        <w:rPr>
          <w:highlight w:val="none"/>
        </w:rPr>
      </w:pPr>
      <w:r>
        <w:rPr>
          <w:rFonts w:hint="eastAsia"/>
          <w:highlight w:val="none"/>
        </w:rPr>
        <w:t>标准配置二：CUDA训练（高端）</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7DC8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5980146B">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219C21C4">
            <w:pPr>
              <w:ind w:left="0" w:leftChars="0" w:firstLine="0" w:firstLineChars="0"/>
              <w:rPr>
                <w:highlight w:val="none"/>
              </w:rPr>
            </w:pPr>
            <w:r>
              <w:rPr>
                <w:rFonts w:hint="eastAsia"/>
                <w:highlight w:val="none"/>
              </w:rPr>
              <w:t>参数要求</w:t>
            </w:r>
          </w:p>
        </w:tc>
      </w:tr>
      <w:tr w14:paraId="3FEAF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03A602FE">
            <w:pPr>
              <w:ind w:left="0" w:leftChars="0" w:firstLine="0" w:firstLineChars="0"/>
              <w:rPr>
                <w:highlight w:val="none"/>
              </w:rPr>
            </w:pPr>
            <w:r>
              <w:rPr>
                <w:rFonts w:hint="eastAsia"/>
                <w:highlight w:val="none"/>
              </w:rPr>
              <w:t>国产训练</w:t>
            </w:r>
          </w:p>
        </w:tc>
        <w:tc>
          <w:tcPr>
            <w:tcW w:w="5911" w:type="dxa"/>
            <w:vAlign w:val="center"/>
          </w:tcPr>
          <w:p w14:paraId="12CD7FDA">
            <w:pPr>
              <w:ind w:left="0" w:leftChars="0" w:firstLine="0" w:firstLineChars="0"/>
              <w:rPr>
                <w:highlight w:val="none"/>
              </w:rPr>
            </w:pPr>
            <w:r>
              <w:rPr>
                <w:rFonts w:hint="eastAsia"/>
                <w:highlight w:val="none"/>
              </w:rPr>
              <w:t>CPU：单颗CPU物理核数48核及以上，2.1GHz及以上，2颗；</w:t>
            </w:r>
          </w:p>
          <w:p w14:paraId="70AE7CCC">
            <w:pPr>
              <w:ind w:left="0" w:leftChars="0" w:firstLine="0" w:firstLineChars="0"/>
              <w:rPr>
                <w:highlight w:val="none"/>
              </w:rPr>
            </w:pPr>
            <w:r>
              <w:rPr>
                <w:rFonts w:hint="eastAsia"/>
                <w:highlight w:val="none"/>
              </w:rPr>
              <w:t>内存：2048GB DDR5及以上</w:t>
            </w:r>
          </w:p>
          <w:p w14:paraId="70F69D8F">
            <w:pPr>
              <w:ind w:left="0" w:leftChars="0" w:firstLine="0" w:firstLineChars="0"/>
              <w:rPr>
                <w:highlight w:val="none"/>
              </w:rPr>
            </w:pPr>
            <w:r>
              <w:rPr>
                <w:rFonts w:hint="eastAsia"/>
                <w:highlight w:val="none"/>
              </w:rPr>
              <w:t>GPU：配置不少于8块GPU卡，单卡显存不低于288GB，单卡半精度浮点算力不低于4P FLOPS</w:t>
            </w:r>
          </w:p>
          <w:p w14:paraId="4007761A">
            <w:pPr>
              <w:ind w:left="0" w:leftChars="0" w:firstLine="0" w:firstLineChars="0"/>
              <w:rPr>
                <w:highlight w:val="none"/>
              </w:rPr>
            </w:pPr>
            <w:r>
              <w:rPr>
                <w:rFonts w:hint="eastAsia"/>
                <w:highlight w:val="none"/>
              </w:rPr>
              <w:t>硬盘：系统盘采用SSD介质，按RAID1配置，可用容量900GB及以上，数据盘采用NVMe SSD介质，总容量6.4T及以上</w:t>
            </w:r>
          </w:p>
          <w:p w14:paraId="794AA6B9">
            <w:pPr>
              <w:ind w:left="0" w:leftChars="0" w:firstLine="0" w:firstLineChars="0"/>
              <w:rPr>
                <w:sz w:val="21"/>
                <w:highlight w:val="none"/>
              </w:rPr>
            </w:pPr>
            <w:r>
              <w:rPr>
                <w:rFonts w:hint="eastAsia"/>
                <w:highlight w:val="none"/>
              </w:rPr>
              <w:t>网卡：不低于200G RoCE网卡*8，不低于双口100G RoCE网卡*1。</w:t>
            </w:r>
          </w:p>
        </w:tc>
      </w:tr>
    </w:tbl>
    <w:p w14:paraId="34A80E6A">
      <w:pPr>
        <w:pStyle w:val="6"/>
        <w:ind w:firstLine="562"/>
        <w:rPr>
          <w:highlight w:val="none"/>
        </w:rPr>
      </w:pPr>
      <w:r>
        <w:rPr>
          <w:rFonts w:hint="eastAsia"/>
          <w:highlight w:val="none"/>
        </w:rPr>
        <w:t>标准配置三：CUDA训练</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05E4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2E3DCF93">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145116CB">
            <w:pPr>
              <w:ind w:left="0" w:leftChars="0" w:firstLine="0" w:firstLineChars="0"/>
              <w:rPr>
                <w:highlight w:val="none"/>
              </w:rPr>
            </w:pPr>
            <w:r>
              <w:rPr>
                <w:rFonts w:hint="eastAsia"/>
                <w:highlight w:val="none"/>
              </w:rPr>
              <w:t>参数要求</w:t>
            </w:r>
          </w:p>
        </w:tc>
      </w:tr>
      <w:tr w14:paraId="0EEAE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1B0B47D7">
            <w:pPr>
              <w:ind w:left="0" w:leftChars="0" w:firstLine="0" w:firstLineChars="0"/>
              <w:rPr>
                <w:highlight w:val="none"/>
              </w:rPr>
            </w:pPr>
            <w:r>
              <w:rPr>
                <w:rFonts w:hint="eastAsia"/>
                <w:highlight w:val="none"/>
              </w:rPr>
              <w:t>CUDA训练</w:t>
            </w:r>
          </w:p>
        </w:tc>
        <w:tc>
          <w:tcPr>
            <w:tcW w:w="5911" w:type="dxa"/>
            <w:vAlign w:val="center"/>
          </w:tcPr>
          <w:p w14:paraId="1ACFB7B5">
            <w:pPr>
              <w:ind w:left="0" w:leftChars="0" w:firstLine="0" w:firstLineChars="0"/>
              <w:rPr>
                <w:highlight w:val="none"/>
              </w:rPr>
            </w:pPr>
            <w:r>
              <w:rPr>
                <w:rFonts w:hint="eastAsia"/>
                <w:highlight w:val="none"/>
              </w:rPr>
              <w:t>CPU：双路，单颗CPU物理核数不少于56核，默认主频不低于2.0GHz；内存：2048GB DDR5及以上</w:t>
            </w:r>
          </w:p>
          <w:p w14:paraId="2DC761DD">
            <w:pPr>
              <w:ind w:left="0" w:leftChars="0" w:firstLine="0" w:firstLineChars="0"/>
              <w:rPr>
                <w:highlight w:val="none"/>
              </w:rPr>
            </w:pPr>
            <w:r>
              <w:rPr>
                <w:rFonts w:hint="eastAsia"/>
                <w:highlight w:val="none"/>
              </w:rPr>
              <w:t>GPU：配置不少于8块GPU卡，满足全速 GPU-Direct RDMA，单机机内任意两卡间P2P互联带宽不低于 400GB/s，单卡显存不低于 80G，单卡CUDA核心数量不少于16896，单卡单精度浮点算力不低于 67TFLOPS，半精度浮点算力不低于989TFLOPS（不采用稀疏技术）；</w:t>
            </w:r>
          </w:p>
          <w:p w14:paraId="55021D39">
            <w:pPr>
              <w:ind w:left="0" w:leftChars="0" w:firstLine="0" w:firstLineChars="0"/>
              <w:rPr>
                <w:highlight w:val="none"/>
              </w:rPr>
            </w:pPr>
            <w:r>
              <w:rPr>
                <w:rFonts w:hint="eastAsia"/>
                <w:highlight w:val="none"/>
              </w:rPr>
              <w:t>硬盘：系统盘采用SSD介质，按RAID1配置，可用容量 900G及以上；数据盘采用NVMe-SSD介质，总容量50T及以上</w:t>
            </w:r>
          </w:p>
          <w:p w14:paraId="4D27E78D">
            <w:pPr>
              <w:ind w:left="0" w:leftChars="0" w:firstLine="0" w:firstLineChars="0"/>
              <w:rPr>
                <w:sz w:val="21"/>
                <w:highlight w:val="none"/>
              </w:rPr>
            </w:pPr>
            <w:r>
              <w:rPr>
                <w:rFonts w:hint="eastAsia"/>
                <w:highlight w:val="none"/>
              </w:rPr>
              <w:t>网卡：配置不低于400G单口IB网卡*4、不低于双口100GRoCE网卡*1、不低于双端口25G 网卡 *2</w:t>
            </w:r>
          </w:p>
        </w:tc>
      </w:tr>
    </w:tbl>
    <w:p w14:paraId="6601548A">
      <w:pPr>
        <w:pStyle w:val="6"/>
        <w:ind w:firstLine="562"/>
        <w:rPr>
          <w:highlight w:val="none"/>
        </w:rPr>
      </w:pPr>
      <w:r>
        <w:rPr>
          <w:rFonts w:hint="eastAsia"/>
          <w:highlight w:val="none"/>
        </w:rPr>
        <w:t>标准配置四：国产推理</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7EF8C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5C152F1D">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33BD447A">
            <w:pPr>
              <w:ind w:left="0" w:leftChars="0" w:firstLine="0" w:firstLineChars="0"/>
              <w:rPr>
                <w:highlight w:val="none"/>
              </w:rPr>
            </w:pPr>
            <w:r>
              <w:rPr>
                <w:rFonts w:hint="eastAsia"/>
                <w:highlight w:val="none"/>
              </w:rPr>
              <w:t>参数要求</w:t>
            </w:r>
          </w:p>
        </w:tc>
      </w:tr>
      <w:tr w14:paraId="0D07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28FAEE90">
            <w:pPr>
              <w:ind w:left="0" w:leftChars="0" w:firstLine="0" w:firstLineChars="0"/>
              <w:rPr>
                <w:highlight w:val="none"/>
              </w:rPr>
            </w:pPr>
            <w:r>
              <w:rPr>
                <w:rFonts w:hint="eastAsia"/>
                <w:highlight w:val="none"/>
              </w:rPr>
              <w:t>国产推理</w:t>
            </w:r>
          </w:p>
        </w:tc>
        <w:tc>
          <w:tcPr>
            <w:tcW w:w="5911" w:type="dxa"/>
            <w:vAlign w:val="center"/>
          </w:tcPr>
          <w:p w14:paraId="3D9ED41E">
            <w:pPr>
              <w:ind w:left="0" w:leftChars="0" w:firstLine="0" w:firstLineChars="0"/>
              <w:rPr>
                <w:highlight w:val="none"/>
              </w:rPr>
            </w:pPr>
            <w:r>
              <w:rPr>
                <w:rFonts w:hint="eastAsia"/>
                <w:highlight w:val="none"/>
              </w:rPr>
              <w:t>CPU：国产单颗CPU物理核数48核及以上，2.6GHz及以上，4颗；</w:t>
            </w:r>
          </w:p>
          <w:p w14:paraId="113C5985">
            <w:pPr>
              <w:ind w:left="0" w:leftChars="0" w:firstLine="0" w:firstLineChars="0"/>
              <w:rPr>
                <w:highlight w:val="none"/>
              </w:rPr>
            </w:pPr>
            <w:r>
              <w:rPr>
                <w:rFonts w:hint="eastAsia"/>
                <w:highlight w:val="none"/>
              </w:rPr>
              <w:t>内存：2048GB DDR4及以上</w:t>
            </w:r>
          </w:p>
          <w:p w14:paraId="5342F5E4">
            <w:pPr>
              <w:ind w:left="0" w:leftChars="0" w:firstLine="0" w:firstLineChars="0"/>
              <w:rPr>
                <w:highlight w:val="none"/>
              </w:rPr>
            </w:pPr>
            <w:r>
              <w:rPr>
                <w:rFonts w:hint="eastAsia"/>
                <w:highlight w:val="none"/>
              </w:rPr>
              <w:t>GPU：配置不少于8块GPU卡，单卡显存不低于64GB，单卡半精度浮点算力不低于376TFLOPS</w:t>
            </w:r>
          </w:p>
          <w:p w14:paraId="4AE01CF8">
            <w:pPr>
              <w:ind w:left="0" w:leftChars="0" w:firstLine="0" w:firstLineChars="0"/>
              <w:rPr>
                <w:highlight w:val="none"/>
              </w:rPr>
            </w:pPr>
            <w:r>
              <w:rPr>
                <w:rFonts w:hint="eastAsia"/>
                <w:highlight w:val="none"/>
              </w:rPr>
              <w:t>硬盘：系统盘采用SSD介质，按RAID1配置，可用容量900GB及以上，数据盘采用NVMe SSD介质，总容量6.4T及以上</w:t>
            </w:r>
          </w:p>
          <w:p w14:paraId="12C43A93">
            <w:pPr>
              <w:ind w:left="0" w:leftChars="0" w:firstLine="0" w:firstLineChars="0"/>
              <w:rPr>
                <w:sz w:val="21"/>
                <w:highlight w:val="none"/>
              </w:rPr>
            </w:pPr>
            <w:r>
              <w:rPr>
                <w:rFonts w:hint="eastAsia"/>
                <w:highlight w:val="none"/>
              </w:rPr>
              <w:t>网卡：200G RoCE网卡*8，双口100G RoCE网卡*1，双口25G网卡*2</w:t>
            </w:r>
          </w:p>
        </w:tc>
      </w:tr>
    </w:tbl>
    <w:p w14:paraId="02A15F01">
      <w:pPr>
        <w:pStyle w:val="6"/>
        <w:ind w:firstLine="562"/>
        <w:rPr>
          <w:highlight w:val="none"/>
        </w:rPr>
      </w:pPr>
      <w:r>
        <w:rPr>
          <w:rFonts w:hint="eastAsia"/>
          <w:highlight w:val="none"/>
        </w:rPr>
        <w:t>标准配置五：CUDA推理-高</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3C5B0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03C66011">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6C601037">
            <w:pPr>
              <w:ind w:left="0" w:leftChars="0" w:firstLine="0" w:firstLineChars="0"/>
              <w:rPr>
                <w:highlight w:val="none"/>
              </w:rPr>
            </w:pPr>
            <w:r>
              <w:rPr>
                <w:rFonts w:hint="eastAsia"/>
                <w:highlight w:val="none"/>
              </w:rPr>
              <w:t>参数要求</w:t>
            </w:r>
          </w:p>
        </w:tc>
      </w:tr>
      <w:tr w14:paraId="1BA0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0C0DC6E3">
            <w:pPr>
              <w:ind w:left="0" w:leftChars="0" w:firstLine="0" w:firstLineChars="0"/>
              <w:rPr>
                <w:highlight w:val="none"/>
              </w:rPr>
            </w:pPr>
            <w:r>
              <w:rPr>
                <w:rFonts w:hint="eastAsia"/>
                <w:highlight w:val="none"/>
              </w:rPr>
              <w:t>CUDA推理-高</w:t>
            </w:r>
          </w:p>
        </w:tc>
        <w:tc>
          <w:tcPr>
            <w:tcW w:w="5911" w:type="dxa"/>
            <w:vAlign w:val="center"/>
          </w:tcPr>
          <w:p w14:paraId="0793B3CE">
            <w:pPr>
              <w:ind w:left="0" w:leftChars="0" w:firstLine="0" w:firstLineChars="0"/>
              <w:rPr>
                <w:highlight w:val="none"/>
              </w:rPr>
            </w:pPr>
            <w:r>
              <w:rPr>
                <w:rFonts w:hint="eastAsia"/>
                <w:highlight w:val="none"/>
              </w:rPr>
              <w:t>CPU：双路，单颗 CPU 物理核数不少于 32 核，默认主频不低于 2.1GHz，缓存不少于 160M；</w:t>
            </w:r>
          </w:p>
          <w:p w14:paraId="4865A84C">
            <w:pPr>
              <w:ind w:left="0" w:leftChars="0" w:firstLine="0" w:firstLineChars="0"/>
              <w:rPr>
                <w:highlight w:val="none"/>
              </w:rPr>
            </w:pPr>
            <w:r>
              <w:rPr>
                <w:rFonts w:hint="eastAsia"/>
                <w:highlight w:val="none"/>
              </w:rPr>
              <w:t>内存：配置不低于 128GB DDR5；</w:t>
            </w:r>
          </w:p>
          <w:p w14:paraId="7EF649DE">
            <w:pPr>
              <w:ind w:left="0" w:leftChars="0" w:firstLine="0" w:firstLineChars="0"/>
              <w:rPr>
                <w:highlight w:val="none"/>
              </w:rPr>
            </w:pPr>
            <w:r>
              <w:rPr>
                <w:rFonts w:hint="eastAsia"/>
                <w:highlight w:val="none"/>
              </w:rPr>
              <w:t>GPU：配置不少于 4 块 GPU 卡（PCIe），单卡显存不低于 40G，单卡 CUDA 核心数量不少于 6912，单卡半精度浮点算力（FP16）不低于 312 TFLOPS（不采用稀疏技术）；</w:t>
            </w:r>
          </w:p>
          <w:p w14:paraId="497CB6D2">
            <w:pPr>
              <w:ind w:left="0" w:leftChars="0" w:firstLine="0" w:firstLineChars="0"/>
              <w:rPr>
                <w:highlight w:val="none"/>
              </w:rPr>
            </w:pPr>
            <w:r>
              <w:rPr>
                <w:rFonts w:hint="eastAsia"/>
                <w:highlight w:val="none"/>
              </w:rPr>
              <w:t>硬盘：系统盘采用 SSD 介质，配置 960G SATA*1，数据盘配置 1.92T NVMe4*1；</w:t>
            </w:r>
          </w:p>
          <w:p w14:paraId="507E62CA">
            <w:pPr>
              <w:ind w:left="0" w:leftChars="0" w:firstLine="0" w:firstLineChars="0"/>
              <w:rPr>
                <w:sz w:val="21"/>
                <w:highlight w:val="none"/>
              </w:rPr>
            </w:pPr>
            <w:r>
              <w:rPr>
                <w:rFonts w:hint="eastAsia"/>
                <w:highlight w:val="none"/>
              </w:rPr>
              <w:t>网卡：不低于双端口万兆网卡（含模块）*1；</w:t>
            </w:r>
          </w:p>
        </w:tc>
      </w:tr>
    </w:tbl>
    <w:p w14:paraId="028C5340">
      <w:pPr>
        <w:pStyle w:val="6"/>
        <w:ind w:firstLine="562"/>
        <w:rPr>
          <w:highlight w:val="none"/>
        </w:rPr>
      </w:pPr>
      <w:r>
        <w:rPr>
          <w:rFonts w:hint="eastAsia"/>
          <w:highlight w:val="none"/>
        </w:rPr>
        <w:t>标准配置六：CUDA推理-中</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7D159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5C627027">
            <w:pPr>
              <w:rPr>
                <w:highlight w:val="none"/>
              </w:rPr>
            </w:pPr>
            <w:r>
              <w:rPr>
                <w:rFonts w:hint="eastAsia"/>
                <w:highlight w:val="none"/>
              </w:rPr>
              <w:t>标准配置名称</w:t>
            </w:r>
          </w:p>
        </w:tc>
        <w:tc>
          <w:tcPr>
            <w:tcW w:w="5911" w:type="dxa"/>
            <w:shd w:val="clear" w:color="auto" w:fill="BEBEBE" w:themeFill="background1" w:themeFillShade="BF"/>
          </w:tcPr>
          <w:p w14:paraId="477560F6">
            <w:pPr>
              <w:rPr>
                <w:highlight w:val="none"/>
              </w:rPr>
            </w:pPr>
            <w:r>
              <w:rPr>
                <w:rFonts w:hint="eastAsia"/>
                <w:highlight w:val="none"/>
              </w:rPr>
              <w:t>参数要求</w:t>
            </w:r>
          </w:p>
        </w:tc>
      </w:tr>
      <w:tr w14:paraId="68F8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3F70A846">
            <w:pPr>
              <w:rPr>
                <w:highlight w:val="none"/>
              </w:rPr>
            </w:pPr>
            <w:r>
              <w:rPr>
                <w:rFonts w:hint="eastAsia"/>
                <w:highlight w:val="none"/>
              </w:rPr>
              <w:t>CUDA推理-高</w:t>
            </w:r>
          </w:p>
        </w:tc>
        <w:tc>
          <w:tcPr>
            <w:tcW w:w="5911" w:type="dxa"/>
            <w:vAlign w:val="center"/>
          </w:tcPr>
          <w:p w14:paraId="5FF44F3C">
            <w:pPr>
              <w:rPr>
                <w:highlight w:val="none"/>
              </w:rPr>
            </w:pPr>
            <w:r>
              <w:rPr>
                <w:rFonts w:hint="eastAsia"/>
                <w:highlight w:val="none"/>
              </w:rPr>
              <w:t>CPU：双路，单颗 CPU 物理核数不少于 32 核，默认主频不低于 2.1GHz，缓存不少于 160M；</w:t>
            </w:r>
          </w:p>
          <w:p w14:paraId="3A90876A">
            <w:pPr>
              <w:rPr>
                <w:highlight w:val="none"/>
              </w:rPr>
            </w:pPr>
            <w:r>
              <w:rPr>
                <w:rFonts w:hint="eastAsia"/>
                <w:highlight w:val="none"/>
              </w:rPr>
              <w:t>内存：配置不低于 128GB DDR5；</w:t>
            </w:r>
          </w:p>
          <w:p w14:paraId="55A7C672">
            <w:pPr>
              <w:rPr>
                <w:highlight w:val="none"/>
              </w:rPr>
            </w:pPr>
            <w:r>
              <w:rPr>
                <w:rFonts w:hint="eastAsia"/>
                <w:highlight w:val="none"/>
              </w:rPr>
              <w:t>GPU：配置不少于 2 块 GPU 卡（PCIe），单卡显存不低于 40G，单卡 CUDA 核心数量不少于 6912，单卡半精度浮点算力（FP16）不低于 312 TFLOPS（不采用稀疏技术）；</w:t>
            </w:r>
          </w:p>
          <w:p w14:paraId="2074F48F">
            <w:pPr>
              <w:rPr>
                <w:highlight w:val="none"/>
              </w:rPr>
            </w:pPr>
            <w:r>
              <w:rPr>
                <w:rFonts w:hint="eastAsia"/>
                <w:highlight w:val="none"/>
              </w:rPr>
              <w:t>硬盘：系统盘采用 SSD 介质，配置 960G SATA*1，数据盘配置 1.92T NVMe4*1；</w:t>
            </w:r>
          </w:p>
          <w:p w14:paraId="41D6D011">
            <w:pPr>
              <w:rPr>
                <w:sz w:val="21"/>
                <w:highlight w:val="none"/>
              </w:rPr>
            </w:pPr>
            <w:r>
              <w:rPr>
                <w:rFonts w:hint="eastAsia"/>
                <w:highlight w:val="none"/>
              </w:rPr>
              <w:t>网卡：不低于双端口万兆网卡（含模块）*1；</w:t>
            </w:r>
          </w:p>
        </w:tc>
      </w:tr>
    </w:tbl>
    <w:p w14:paraId="2F98C4EE">
      <w:pPr>
        <w:pStyle w:val="6"/>
        <w:ind w:firstLine="562"/>
        <w:rPr>
          <w:highlight w:val="none"/>
        </w:rPr>
      </w:pPr>
      <w:r>
        <w:rPr>
          <w:rFonts w:hint="eastAsia"/>
          <w:highlight w:val="none"/>
        </w:rPr>
        <w:t>标准配置七：CUDA推理-低</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0FFB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12C7BB86">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1371CE16">
            <w:pPr>
              <w:ind w:left="0" w:leftChars="0" w:firstLine="0" w:firstLineChars="0"/>
              <w:rPr>
                <w:highlight w:val="none"/>
              </w:rPr>
            </w:pPr>
            <w:r>
              <w:rPr>
                <w:rFonts w:hint="eastAsia"/>
                <w:highlight w:val="none"/>
              </w:rPr>
              <w:t>参数要求</w:t>
            </w:r>
          </w:p>
        </w:tc>
      </w:tr>
      <w:tr w14:paraId="3F0B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4D5875D3">
            <w:pPr>
              <w:ind w:left="0" w:leftChars="0" w:firstLine="0" w:firstLineChars="0"/>
              <w:rPr>
                <w:highlight w:val="none"/>
              </w:rPr>
            </w:pPr>
            <w:r>
              <w:rPr>
                <w:rFonts w:hint="eastAsia"/>
                <w:highlight w:val="none"/>
              </w:rPr>
              <w:t>CUDA推理-高</w:t>
            </w:r>
          </w:p>
        </w:tc>
        <w:tc>
          <w:tcPr>
            <w:tcW w:w="5911" w:type="dxa"/>
            <w:vAlign w:val="center"/>
          </w:tcPr>
          <w:p w14:paraId="55ACED6D">
            <w:pPr>
              <w:ind w:left="0" w:leftChars="0" w:firstLine="0" w:firstLineChars="0"/>
              <w:rPr>
                <w:highlight w:val="none"/>
              </w:rPr>
            </w:pPr>
            <w:r>
              <w:rPr>
                <w:rFonts w:hint="eastAsia"/>
                <w:highlight w:val="none"/>
              </w:rPr>
              <w:t>CPU：双路，单颗 CPU 物理核数不少于 32 核，默认主频不低于 2.1GHz，缓存不少于 160M；</w:t>
            </w:r>
          </w:p>
          <w:p w14:paraId="661D5D44">
            <w:pPr>
              <w:ind w:left="0" w:leftChars="0" w:firstLine="0" w:firstLineChars="0"/>
              <w:rPr>
                <w:highlight w:val="none"/>
              </w:rPr>
            </w:pPr>
            <w:r>
              <w:rPr>
                <w:rFonts w:hint="eastAsia"/>
                <w:highlight w:val="none"/>
              </w:rPr>
              <w:t>内存：配置不低于 128GB DDR5；</w:t>
            </w:r>
          </w:p>
          <w:p w14:paraId="0F8FDE69">
            <w:pPr>
              <w:ind w:left="0" w:leftChars="0" w:firstLine="0" w:firstLineChars="0"/>
              <w:rPr>
                <w:highlight w:val="none"/>
              </w:rPr>
            </w:pPr>
            <w:r>
              <w:rPr>
                <w:rFonts w:hint="eastAsia"/>
                <w:highlight w:val="none"/>
              </w:rPr>
              <w:t>GPU：配置不少于 4 块 GPU 卡，单卡显存不低于 24G，单卡 CUDA 核心数量不少于 14592，单卡单精度浮点算力（FP32）不低于 73 TFLOPS；</w:t>
            </w:r>
          </w:p>
          <w:p w14:paraId="1D541A6B">
            <w:pPr>
              <w:ind w:left="0" w:leftChars="0" w:firstLine="0" w:firstLineChars="0"/>
              <w:rPr>
                <w:highlight w:val="none"/>
              </w:rPr>
            </w:pPr>
            <w:r>
              <w:rPr>
                <w:rFonts w:hint="eastAsia"/>
                <w:highlight w:val="none"/>
              </w:rPr>
              <w:t>硬盘：系统盘采用 SSD 介质，配置 960G SATA*1，数据盘配置 1.92T NVMe4*1；</w:t>
            </w:r>
          </w:p>
          <w:p w14:paraId="3E863E28">
            <w:pPr>
              <w:ind w:left="0" w:leftChars="0" w:firstLine="0" w:firstLineChars="0"/>
              <w:rPr>
                <w:sz w:val="21"/>
                <w:highlight w:val="none"/>
              </w:rPr>
            </w:pPr>
            <w:r>
              <w:rPr>
                <w:rFonts w:hint="eastAsia"/>
                <w:highlight w:val="none"/>
              </w:rPr>
              <w:t>网卡：不低于双端口万兆网卡（含模块）*1；</w:t>
            </w:r>
          </w:p>
        </w:tc>
      </w:tr>
    </w:tbl>
    <w:p w14:paraId="4AFBCEAC">
      <w:pPr>
        <w:pStyle w:val="6"/>
        <w:ind w:firstLine="562"/>
        <w:rPr>
          <w:highlight w:val="none"/>
        </w:rPr>
      </w:pPr>
      <w:r>
        <w:rPr>
          <w:highlight w:val="none"/>
        </w:rPr>
        <w:t>IDC机柜（20KW）</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60A5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393469E3">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2ACEF54B">
            <w:pPr>
              <w:ind w:left="0" w:leftChars="0" w:firstLine="0" w:firstLineChars="0"/>
              <w:rPr>
                <w:highlight w:val="none"/>
              </w:rPr>
            </w:pPr>
            <w:r>
              <w:rPr>
                <w:rFonts w:hint="eastAsia"/>
                <w:highlight w:val="none"/>
              </w:rPr>
              <w:t>参数要求</w:t>
            </w:r>
          </w:p>
        </w:tc>
      </w:tr>
      <w:tr w14:paraId="5147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37916190">
            <w:pPr>
              <w:ind w:left="0" w:leftChars="0" w:firstLine="0" w:firstLineChars="0"/>
              <w:rPr>
                <w:highlight w:val="none"/>
              </w:rPr>
            </w:pPr>
            <w:r>
              <w:rPr>
                <w:highlight w:val="none"/>
              </w:rPr>
              <w:t>IDC机柜（20KW）</w:t>
            </w:r>
          </w:p>
        </w:tc>
        <w:tc>
          <w:tcPr>
            <w:tcW w:w="5911" w:type="dxa"/>
            <w:vAlign w:val="center"/>
          </w:tcPr>
          <w:p w14:paraId="0F7D3430">
            <w:pPr>
              <w:ind w:left="0" w:leftChars="0" w:firstLine="0" w:firstLineChars="0"/>
              <w:rPr>
                <w:rFonts w:hint="eastAsia"/>
                <w:highlight w:val="none"/>
              </w:rPr>
            </w:pPr>
            <w:r>
              <w:rPr>
                <w:rFonts w:hint="eastAsia"/>
                <w:highlight w:val="none"/>
                <w:lang w:bidi="ar"/>
              </w:rPr>
              <w:t>单机柜可用功率≥20kW，符合 GB50174 A 类标准，满足《信息系统安全等级保护三级》相关要求，配置双路供电、支持UPS 冗余、柴油发电机保障，7×24 小时值守与监控。</w:t>
            </w:r>
          </w:p>
        </w:tc>
      </w:tr>
    </w:tbl>
    <w:p w14:paraId="3644CD06">
      <w:pPr>
        <w:pStyle w:val="6"/>
        <w:ind w:firstLine="562"/>
        <w:rPr>
          <w:highlight w:val="none"/>
        </w:rPr>
      </w:pPr>
      <w:r>
        <w:rPr>
          <w:rFonts w:hint="eastAsia"/>
          <w:highlight w:val="none"/>
        </w:rPr>
        <w:t>OTN专线</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17160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087A2AB6">
            <w:pPr>
              <w:ind w:left="0" w:leftChars="0" w:firstLine="0" w:firstLineChars="0"/>
              <w:rPr>
                <w:highlight w:val="none"/>
              </w:rPr>
            </w:pPr>
            <w:r>
              <w:rPr>
                <w:rFonts w:hint="eastAsia"/>
                <w:highlight w:val="none"/>
              </w:rPr>
              <w:t>名称</w:t>
            </w:r>
          </w:p>
        </w:tc>
        <w:tc>
          <w:tcPr>
            <w:tcW w:w="5911" w:type="dxa"/>
            <w:shd w:val="clear" w:color="auto" w:fill="BEBEBE" w:themeFill="background1" w:themeFillShade="BF"/>
          </w:tcPr>
          <w:p w14:paraId="51C53F30">
            <w:pPr>
              <w:ind w:left="0" w:leftChars="0" w:firstLine="0" w:firstLineChars="0"/>
              <w:rPr>
                <w:highlight w:val="none"/>
              </w:rPr>
            </w:pPr>
            <w:r>
              <w:rPr>
                <w:rFonts w:hint="eastAsia"/>
                <w:highlight w:val="none"/>
              </w:rPr>
              <w:t>参数要求</w:t>
            </w:r>
          </w:p>
        </w:tc>
      </w:tr>
      <w:tr w14:paraId="125D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424B69F8">
            <w:pPr>
              <w:ind w:left="0" w:leftChars="0" w:firstLine="0" w:firstLineChars="0"/>
              <w:rPr>
                <w:highlight w:val="none"/>
              </w:rPr>
            </w:pPr>
            <w:r>
              <w:rPr>
                <w:rFonts w:hint="eastAsia"/>
                <w:highlight w:val="none"/>
              </w:rPr>
              <w:t>OTN专线</w:t>
            </w:r>
          </w:p>
        </w:tc>
        <w:tc>
          <w:tcPr>
            <w:tcW w:w="5911" w:type="dxa"/>
            <w:vAlign w:val="center"/>
          </w:tcPr>
          <w:p w14:paraId="622D2F4D">
            <w:pPr>
              <w:ind w:left="0" w:leftChars="0" w:firstLine="0" w:firstLineChars="0"/>
              <w:rPr>
                <w:highlight w:val="none"/>
              </w:rPr>
            </w:pPr>
            <w:r>
              <w:rPr>
                <w:rFonts w:hint="eastAsia"/>
                <w:highlight w:val="none"/>
              </w:rPr>
              <w:t>点对点线路速率500Mbps，线路可用率≥99.9%。</w:t>
            </w:r>
          </w:p>
          <w:p w14:paraId="7A7C7F80">
            <w:pPr>
              <w:ind w:left="0" w:leftChars="0" w:firstLine="0" w:firstLineChars="0"/>
              <w:rPr>
                <w:highlight w:val="none"/>
              </w:rPr>
            </w:pPr>
            <w:r>
              <w:rPr>
                <w:rFonts w:hint="eastAsia"/>
                <w:highlight w:val="none"/>
              </w:rPr>
              <w:t>承载点对点专线的传输网络，应具备网络双路由保护及50ms的保护倒换时间。</w:t>
            </w:r>
          </w:p>
          <w:p w14:paraId="15344C3C">
            <w:pPr>
              <w:ind w:left="0" w:leftChars="0" w:firstLine="0" w:firstLineChars="0"/>
              <w:rPr>
                <w:sz w:val="21"/>
                <w:highlight w:val="none"/>
              </w:rPr>
            </w:pPr>
            <w:r>
              <w:rPr>
                <w:rFonts w:hint="eastAsia"/>
                <w:highlight w:val="none"/>
              </w:rPr>
              <w:t>为确保该项目业务使用的安全性，点对点线路需运行在二层以太网上，端到端通道物理隔离，保密性强。</w:t>
            </w:r>
          </w:p>
        </w:tc>
      </w:tr>
    </w:tbl>
    <w:p w14:paraId="23726530">
      <w:pPr>
        <w:pStyle w:val="6"/>
        <w:ind w:firstLine="562"/>
        <w:rPr>
          <w:rFonts w:asciiTheme="minorEastAsia" w:hAnsiTheme="minorEastAsia" w:eastAsiaTheme="minorEastAsia" w:cstheme="minorEastAsia"/>
          <w:kern w:val="0"/>
          <w:sz w:val="18"/>
          <w:szCs w:val="18"/>
          <w:highlight w:val="none"/>
          <w:lang w:bidi="ar"/>
        </w:rPr>
      </w:pPr>
      <w:r>
        <w:rPr>
          <w:rFonts w:hint="eastAsia"/>
          <w:highlight w:val="none"/>
        </w:rPr>
        <w:t>100M 云专线</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01FAB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76A09550">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098D04B8">
            <w:pPr>
              <w:ind w:left="0" w:leftChars="0" w:firstLine="0" w:firstLineChars="0"/>
              <w:rPr>
                <w:highlight w:val="none"/>
              </w:rPr>
            </w:pPr>
            <w:r>
              <w:rPr>
                <w:rFonts w:hint="eastAsia"/>
                <w:highlight w:val="none"/>
              </w:rPr>
              <w:t>参数要求</w:t>
            </w:r>
          </w:p>
        </w:tc>
      </w:tr>
      <w:tr w14:paraId="40ADE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09EA778D">
            <w:pPr>
              <w:ind w:left="0" w:leftChars="0" w:firstLine="0" w:firstLineChars="0"/>
              <w:rPr>
                <w:highlight w:val="none"/>
              </w:rPr>
            </w:pPr>
            <w:r>
              <w:rPr>
                <w:rFonts w:hint="eastAsia"/>
                <w:highlight w:val="none"/>
              </w:rPr>
              <w:t>云专线</w:t>
            </w:r>
          </w:p>
        </w:tc>
        <w:tc>
          <w:tcPr>
            <w:tcW w:w="5911" w:type="dxa"/>
            <w:vAlign w:val="center"/>
          </w:tcPr>
          <w:p w14:paraId="02F91DCB">
            <w:pPr>
              <w:ind w:left="0" w:leftChars="0" w:firstLine="0" w:firstLineChars="0"/>
              <w:rPr>
                <w:highlight w:val="none"/>
              </w:rPr>
            </w:pPr>
            <w:r>
              <w:rPr>
                <w:rFonts w:hint="eastAsia"/>
                <w:highlight w:val="none"/>
              </w:rPr>
              <w:t>云专线速率100Mbps，单条点对点线路可用率≥99.9%。</w:t>
            </w:r>
          </w:p>
          <w:p w14:paraId="29F89662">
            <w:pPr>
              <w:ind w:left="0" w:leftChars="0" w:firstLine="0" w:firstLineChars="0"/>
              <w:rPr>
                <w:highlight w:val="none"/>
              </w:rPr>
            </w:pPr>
            <w:r>
              <w:rPr>
                <w:rFonts w:hint="eastAsia"/>
                <w:highlight w:val="none"/>
              </w:rPr>
              <w:t>承载云专线的骨干网络，应具备网络双路由保护及50ms的保护倒换时间。</w:t>
            </w:r>
          </w:p>
        </w:tc>
      </w:tr>
    </w:tbl>
    <w:p w14:paraId="6A8A8E6C">
      <w:pPr>
        <w:pStyle w:val="6"/>
        <w:ind w:firstLine="562"/>
        <w:rPr>
          <w:highlight w:val="none"/>
        </w:rPr>
      </w:pPr>
      <w:r>
        <w:rPr>
          <w:rFonts w:hint="eastAsia"/>
          <w:highlight w:val="none"/>
        </w:rPr>
        <w:t>云内安全配套</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43FE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7A635BF8">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50CC2D9B">
            <w:pPr>
              <w:ind w:left="0" w:leftChars="0" w:firstLine="0" w:firstLineChars="0"/>
              <w:rPr>
                <w:highlight w:val="none"/>
              </w:rPr>
            </w:pPr>
            <w:r>
              <w:rPr>
                <w:rFonts w:hint="eastAsia"/>
                <w:highlight w:val="none"/>
              </w:rPr>
              <w:t>参数要求</w:t>
            </w:r>
          </w:p>
        </w:tc>
      </w:tr>
      <w:tr w14:paraId="4A78E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1548FE7A">
            <w:pPr>
              <w:ind w:left="0" w:leftChars="0" w:firstLine="0" w:firstLineChars="0"/>
              <w:rPr>
                <w:highlight w:val="none"/>
              </w:rPr>
            </w:pPr>
            <w:r>
              <w:rPr>
                <w:rFonts w:hint="eastAsia"/>
                <w:highlight w:val="none"/>
              </w:rPr>
              <w:t>云内安全配套</w:t>
            </w:r>
          </w:p>
        </w:tc>
        <w:tc>
          <w:tcPr>
            <w:tcW w:w="5911" w:type="dxa"/>
            <w:vAlign w:val="center"/>
          </w:tcPr>
          <w:p w14:paraId="2AE5BC63">
            <w:pPr>
              <w:ind w:left="0" w:leftChars="0" w:firstLine="0" w:firstLineChars="0"/>
              <w:rPr>
                <w:rFonts w:hint="eastAsia" w:asciiTheme="minorEastAsia" w:hAnsiTheme="minorEastAsia" w:eastAsiaTheme="minorEastAsia" w:cstheme="minorEastAsia"/>
                <w:highlight w:val="none"/>
                <w:lang w:bidi="ar"/>
              </w:rPr>
            </w:pPr>
            <w:r>
              <w:rPr>
                <w:rFonts w:hint="eastAsia"/>
                <w:highlight w:val="none"/>
                <w:lang w:bidi="ar"/>
              </w:rPr>
              <w:t>提供云</w:t>
            </w:r>
            <w:r>
              <w:rPr>
                <w:highlight w:val="none"/>
                <w:lang w:bidi="ar"/>
              </w:rPr>
              <w:t>堡垒机、</w:t>
            </w:r>
            <w:r>
              <w:rPr>
                <w:rFonts w:hint="eastAsia"/>
                <w:highlight w:val="none"/>
                <w:lang w:bidi="ar"/>
              </w:rPr>
              <w:t>云</w:t>
            </w:r>
            <w:r>
              <w:rPr>
                <w:highlight w:val="none"/>
                <w:lang w:bidi="ar"/>
              </w:rPr>
              <w:t>防火墙</w:t>
            </w:r>
            <w:r>
              <w:rPr>
                <w:rFonts w:hint="eastAsia"/>
                <w:highlight w:val="none"/>
                <w:lang w:bidi="ar"/>
              </w:rPr>
              <w:t>、云审计设备等云内组件。</w:t>
            </w:r>
          </w:p>
        </w:tc>
      </w:tr>
    </w:tbl>
    <w:p w14:paraId="5D50A8AA">
      <w:pPr>
        <w:rPr>
          <w:rFonts w:hint="eastAsia"/>
          <w:highlight w:val="none"/>
        </w:rPr>
      </w:pPr>
    </w:p>
    <w:p w14:paraId="2D82092A">
      <w:pPr>
        <w:pStyle w:val="6"/>
        <w:ind w:firstLine="562"/>
        <w:rPr>
          <w:highlight w:val="none"/>
        </w:rPr>
      </w:pPr>
      <w:r>
        <w:rPr>
          <w:rFonts w:hint="eastAsia"/>
          <w:highlight w:val="none"/>
        </w:rPr>
        <w:t>50M公网 宽带</w:t>
      </w:r>
    </w:p>
    <w:tbl>
      <w:tblPr>
        <w:tblStyle w:val="10"/>
        <w:tblW w:w="8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5911"/>
      </w:tblGrid>
      <w:tr w14:paraId="747B7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89" w:type="dxa"/>
            <w:shd w:val="clear" w:color="auto" w:fill="BEBEBE" w:themeFill="background1" w:themeFillShade="BF"/>
            <w:noWrap/>
          </w:tcPr>
          <w:p w14:paraId="20B291AF">
            <w:pPr>
              <w:ind w:left="0" w:leftChars="0" w:firstLine="0" w:firstLineChars="0"/>
              <w:rPr>
                <w:highlight w:val="none"/>
              </w:rPr>
            </w:pPr>
            <w:r>
              <w:rPr>
                <w:rFonts w:hint="eastAsia"/>
                <w:highlight w:val="none"/>
              </w:rPr>
              <w:t>标准配置名称</w:t>
            </w:r>
          </w:p>
        </w:tc>
        <w:tc>
          <w:tcPr>
            <w:tcW w:w="5911" w:type="dxa"/>
            <w:shd w:val="clear" w:color="auto" w:fill="BEBEBE" w:themeFill="background1" w:themeFillShade="BF"/>
          </w:tcPr>
          <w:p w14:paraId="7D8BBA6A">
            <w:pPr>
              <w:ind w:left="0" w:leftChars="0" w:firstLine="0" w:firstLineChars="0"/>
              <w:rPr>
                <w:highlight w:val="none"/>
              </w:rPr>
            </w:pPr>
            <w:r>
              <w:rPr>
                <w:rFonts w:hint="eastAsia"/>
                <w:highlight w:val="none"/>
              </w:rPr>
              <w:t>参数要求</w:t>
            </w:r>
          </w:p>
        </w:tc>
      </w:tr>
      <w:tr w14:paraId="3968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089" w:type="dxa"/>
            <w:noWrap/>
            <w:vAlign w:val="center"/>
          </w:tcPr>
          <w:p w14:paraId="40B1CAD9">
            <w:pPr>
              <w:ind w:left="0" w:leftChars="0" w:firstLine="0" w:firstLineChars="0"/>
              <w:rPr>
                <w:rFonts w:hint="eastAsia"/>
                <w:highlight w:val="none"/>
              </w:rPr>
            </w:pPr>
            <w:r>
              <w:rPr>
                <w:rFonts w:hint="eastAsia"/>
                <w:highlight w:val="none"/>
              </w:rPr>
              <w:t>50M公网宽带</w:t>
            </w:r>
          </w:p>
        </w:tc>
        <w:tc>
          <w:tcPr>
            <w:tcW w:w="5911" w:type="dxa"/>
            <w:vAlign w:val="center"/>
          </w:tcPr>
          <w:p w14:paraId="79D69D96">
            <w:pPr>
              <w:ind w:left="0" w:leftChars="0" w:firstLine="0" w:firstLineChars="0"/>
              <w:rPr>
                <w:rFonts w:hint="eastAsia"/>
                <w:highlight w:val="none"/>
                <w:lang w:bidi="ar"/>
              </w:rPr>
            </w:pPr>
            <w:r>
              <w:rPr>
                <w:rFonts w:hint="eastAsia"/>
                <w:highlight w:val="none"/>
                <w:lang w:bidi="ar"/>
              </w:rPr>
              <w:t>弹性带宽≥50Mbps，支持≥4个 IPv4公网IP。支持灵活绑定云主机、裸金属、负载均衡。</w:t>
            </w:r>
          </w:p>
        </w:tc>
      </w:tr>
    </w:tbl>
    <w:p w14:paraId="40284A7C">
      <w:pPr>
        <w:pStyle w:val="4"/>
        <w:ind w:firstLine="0" w:firstLineChars="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（二）电子病历评级配套硬件门急诊及住院无纸化闭环基础设施</w:t>
      </w:r>
    </w:p>
    <w:p w14:paraId="72D615C8">
      <w:pPr>
        <w:pStyle w:val="5"/>
        <w:ind w:firstLine="48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南北门急诊CA电子签名签字板-有线</w:t>
      </w:r>
    </w:p>
    <w:tbl>
      <w:tblPr>
        <w:tblStyle w:val="10"/>
        <w:tblW w:w="0" w:type="auto"/>
        <w:tblInd w:w="0" w:type="dxa"/>
        <w:tblLayout w:type="autofit"/>
        <w:tblCellMar>
          <w:top w:w="15" w:type="dxa"/>
          <w:left w:w="15" w:type="dxa"/>
          <w:bottom w:w="15" w:type="dxa"/>
          <w:right w:w="15" w:type="dxa"/>
        </w:tblCellMar>
      </w:tblPr>
      <w:tblGrid>
        <w:gridCol w:w="1387"/>
        <w:gridCol w:w="6949"/>
      </w:tblGrid>
      <w:tr w14:paraId="2619E160">
        <w:tblPrEx>
          <w:tblCellMar>
            <w:top w:w="15" w:type="dxa"/>
            <w:left w:w="15" w:type="dxa"/>
            <w:bottom w:w="15" w:type="dxa"/>
            <w:right w:w="15" w:type="dxa"/>
          </w:tblCellMar>
        </w:tblPrEx>
        <w:trPr>
          <w:trHeight w:val="540" w:hRule="atLeast"/>
        </w:trPr>
        <w:tc>
          <w:tcPr>
            <w:tcW w:w="1387" w:type="dxa"/>
            <w:tcBorders>
              <w:top w:val="single" w:color="1F2329" w:sz="4" w:space="0"/>
              <w:left w:val="single" w:color="1F2329" w:sz="4" w:space="0"/>
              <w:bottom w:val="single" w:color="1F2329" w:sz="4" w:space="0"/>
              <w:right w:val="single" w:color="1F2329" w:sz="4" w:space="0"/>
            </w:tcBorders>
            <w:vAlign w:val="center"/>
          </w:tcPr>
          <w:p w14:paraId="1A0E995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6949" w:type="dxa"/>
            <w:tcBorders>
              <w:top w:val="single" w:color="1F2329" w:sz="4" w:space="0"/>
              <w:left w:val="single" w:color="1F2329" w:sz="4" w:space="0"/>
              <w:bottom w:val="single" w:color="1F2329" w:sz="4" w:space="0"/>
              <w:right w:val="single" w:color="1F2329" w:sz="4" w:space="0"/>
            </w:tcBorders>
            <w:vAlign w:val="center"/>
          </w:tcPr>
          <w:p w14:paraId="3D1D3F8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75FD8DA5">
        <w:tblPrEx>
          <w:tblCellMar>
            <w:top w:w="15" w:type="dxa"/>
            <w:left w:w="15" w:type="dxa"/>
            <w:bottom w:w="15" w:type="dxa"/>
            <w:right w:w="15" w:type="dxa"/>
          </w:tblCellMar>
        </w:tblPrEx>
        <w:trPr>
          <w:trHeight w:val="540" w:hRule="atLeast"/>
        </w:trPr>
        <w:tc>
          <w:tcPr>
            <w:tcW w:w="1387" w:type="dxa"/>
            <w:tcBorders>
              <w:top w:val="single" w:color="1F2329" w:sz="4" w:space="0"/>
              <w:left w:val="single" w:color="1F2329" w:sz="4" w:space="0"/>
              <w:bottom w:val="single" w:color="1F2329" w:sz="4" w:space="0"/>
              <w:right w:val="single" w:color="1F2329" w:sz="4" w:space="0"/>
            </w:tcBorders>
            <w:vAlign w:val="center"/>
          </w:tcPr>
          <w:p w14:paraId="49E7EB7A">
            <w:pPr>
              <w:ind w:left="0" w:leftChars="0" w:firstLine="0" w:firstLineChars="0"/>
              <w:rPr>
                <w:rFonts w:asciiTheme="minorEastAsia" w:hAnsiTheme="minorEastAsia" w:eastAsiaTheme="minorEastAsia" w:cstheme="minorEastAsia"/>
                <w:highlight w:val="none"/>
              </w:rPr>
            </w:pPr>
          </w:p>
          <w:p w14:paraId="61418BB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硬件</w:t>
            </w:r>
          </w:p>
        </w:tc>
        <w:tc>
          <w:tcPr>
            <w:tcW w:w="6949" w:type="dxa"/>
            <w:tcBorders>
              <w:top w:val="single" w:color="1F2329" w:sz="4" w:space="0"/>
              <w:left w:val="single" w:color="1F2329" w:sz="4" w:space="0"/>
              <w:bottom w:val="single" w:color="1F2329" w:sz="4" w:space="0"/>
              <w:right w:val="single" w:color="1F2329" w:sz="4" w:space="0"/>
            </w:tcBorders>
            <w:vAlign w:val="center"/>
          </w:tcPr>
          <w:p w14:paraId="2A9A215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显示屏大于或等于10英寸，支持患者直接浏览知情同意书。 </w:t>
            </w:r>
          </w:p>
        </w:tc>
      </w:tr>
      <w:tr w14:paraId="632B34EB">
        <w:tblPrEx>
          <w:tblCellMar>
            <w:top w:w="15" w:type="dxa"/>
            <w:left w:w="15" w:type="dxa"/>
            <w:bottom w:w="15" w:type="dxa"/>
            <w:right w:w="15" w:type="dxa"/>
          </w:tblCellMar>
        </w:tblPrEx>
        <w:trPr>
          <w:trHeight w:val="540" w:hRule="atLeast"/>
        </w:trPr>
        <w:tc>
          <w:tcPr>
            <w:tcW w:w="1387" w:type="dxa"/>
            <w:vMerge w:val="restart"/>
            <w:tcBorders>
              <w:top w:val="single" w:color="1F2329" w:sz="4" w:space="0"/>
              <w:left w:val="single" w:color="1F2329" w:sz="4" w:space="0"/>
              <w:right w:val="single" w:color="1F2329" w:sz="4" w:space="0"/>
            </w:tcBorders>
            <w:vAlign w:val="center"/>
          </w:tcPr>
          <w:p w14:paraId="1B2FF5FE">
            <w:pPr>
              <w:ind w:left="0" w:leftChars="0" w:firstLine="0" w:firstLineChars="0"/>
              <w:rPr>
                <w:rFonts w:asciiTheme="minorEastAsia" w:hAnsiTheme="minorEastAsia" w:eastAsiaTheme="minorEastAsia" w:cstheme="minorEastAsia"/>
                <w:highlight w:val="none"/>
              </w:rPr>
            </w:pPr>
          </w:p>
          <w:p w14:paraId="19FCDF4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功能项</w:t>
            </w:r>
          </w:p>
        </w:tc>
        <w:tc>
          <w:tcPr>
            <w:tcW w:w="6949" w:type="dxa"/>
            <w:tcBorders>
              <w:top w:val="single" w:color="1F2329" w:sz="4" w:space="0"/>
              <w:left w:val="single" w:color="1F2329" w:sz="4" w:space="0"/>
              <w:bottom w:val="single" w:color="1F2329" w:sz="4" w:space="0"/>
              <w:right w:val="single" w:color="1F2329" w:sz="4" w:space="0"/>
            </w:tcBorders>
            <w:vAlign w:val="center"/>
          </w:tcPr>
          <w:p w14:paraId="150E5DA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手写签名采集：通过显示屏签名板采集签名笔迹，包含指纹采集、视频图像采集模块。</w:t>
            </w:r>
          </w:p>
        </w:tc>
      </w:tr>
      <w:tr w14:paraId="24C39FA3">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0B99FB22">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2D44001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采用电磁压感相应技术，实现对签名人手写生物特征的完整采集</w:t>
            </w:r>
          </w:p>
        </w:tc>
      </w:tr>
      <w:tr w14:paraId="633A459B">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7FCFF5AB">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6810AFE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USB数据传输</w:t>
            </w:r>
          </w:p>
        </w:tc>
      </w:tr>
      <w:tr w14:paraId="6F347569">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4D8D26B8">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3B1351C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内置签名密码模块完成对电子文档及笔迹的数字签名运算</w:t>
            </w:r>
          </w:p>
        </w:tc>
      </w:tr>
      <w:tr w14:paraId="26899E18">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4A89399A">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0D73978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通过手写屏采集签名笔迹，支持原笔迹手写签名，1024级压感、实现笔锋等效果、能够体现患者的手写生物特征。</w:t>
            </w:r>
          </w:p>
        </w:tc>
      </w:tr>
      <w:tr w14:paraId="559CE272">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0882B618">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1990731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通过指纹采集设备，获取签名人指纹，用以标识签名人身份特征，且用于责任认定，指纹采集设备符合公安部标准《居民身份证指纹采集器通用技术要求》（GA/T1011-2012），可以将采集的指纹图像加盖到文档中</w:t>
            </w:r>
          </w:p>
        </w:tc>
      </w:tr>
      <w:tr w14:paraId="3DF93C81">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7EA8111E">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10A5A6B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手写笔无需连接线，无需电池供电</w:t>
            </w:r>
          </w:p>
        </w:tc>
      </w:tr>
      <w:tr w14:paraId="06240390">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1D92F709">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2A1BC36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手写笔迹支持1024级/2018级压感感应，能够体现患者的手写生物特征，手写签名自动保存到文档中对应的签名区域</w:t>
            </w:r>
          </w:p>
        </w:tc>
      </w:tr>
      <w:tr w14:paraId="6D4F6F3A">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2EA9672E">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33E82E9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支持手写屏的屏幕投影，医生用普通显示器，患者用手写屏，双屏同时对接一台PC主机，能够实现双屏同时显示不同内容</w:t>
            </w:r>
          </w:p>
        </w:tc>
      </w:tr>
      <w:tr w14:paraId="55CE5388">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1B6AFC42">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725C30F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使用数字签名密码算法，对数据内容进行密码运算，保护内容的完整性、有效性、和签名行为的不可否认性。</w:t>
            </w:r>
          </w:p>
        </w:tc>
      </w:tr>
      <w:tr w14:paraId="41685AD2">
        <w:tblPrEx>
          <w:tblCellMar>
            <w:top w:w="15" w:type="dxa"/>
            <w:left w:w="15" w:type="dxa"/>
            <w:bottom w:w="15" w:type="dxa"/>
            <w:right w:w="15" w:type="dxa"/>
          </w:tblCellMar>
        </w:tblPrEx>
        <w:trPr>
          <w:trHeight w:val="540" w:hRule="atLeast"/>
        </w:trPr>
        <w:tc>
          <w:tcPr>
            <w:tcW w:w="1387" w:type="dxa"/>
            <w:vMerge w:val="continue"/>
            <w:tcBorders>
              <w:left w:val="single" w:color="1F2329" w:sz="4" w:space="0"/>
              <w:right w:val="single" w:color="1F2329" w:sz="4" w:space="0"/>
            </w:tcBorders>
            <w:vAlign w:val="center"/>
          </w:tcPr>
          <w:p w14:paraId="67677B45">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07F0F15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能够兼容对接医院现有的手写签名系统，使用手写数字签名功能</w:t>
            </w:r>
          </w:p>
        </w:tc>
      </w:tr>
      <w:tr w14:paraId="3F757815">
        <w:tblPrEx>
          <w:tblCellMar>
            <w:top w:w="15" w:type="dxa"/>
            <w:left w:w="15" w:type="dxa"/>
            <w:bottom w:w="15" w:type="dxa"/>
            <w:right w:w="15" w:type="dxa"/>
          </w:tblCellMar>
        </w:tblPrEx>
        <w:trPr>
          <w:trHeight w:val="540" w:hRule="atLeast"/>
        </w:trPr>
        <w:tc>
          <w:tcPr>
            <w:tcW w:w="1387" w:type="dxa"/>
            <w:vMerge w:val="continue"/>
            <w:tcBorders>
              <w:left w:val="single" w:color="1F2329" w:sz="4" w:space="0"/>
              <w:bottom w:val="single" w:color="1F2329" w:sz="4" w:space="0"/>
              <w:right w:val="single" w:color="1F2329" w:sz="4" w:space="0"/>
            </w:tcBorders>
            <w:vAlign w:val="center"/>
          </w:tcPr>
          <w:p w14:paraId="5B71028E">
            <w:pPr>
              <w:ind w:left="0" w:leftChars="0" w:firstLine="0" w:firstLineChars="0"/>
              <w:rPr>
                <w:rFonts w:asciiTheme="minorEastAsia" w:hAnsiTheme="minorEastAsia" w:eastAsiaTheme="minorEastAsia" w:cstheme="minorEastAsia"/>
                <w:highlight w:val="none"/>
              </w:rPr>
            </w:pPr>
          </w:p>
        </w:tc>
        <w:tc>
          <w:tcPr>
            <w:tcW w:w="6949" w:type="dxa"/>
            <w:tcBorders>
              <w:top w:val="single" w:color="1F2329" w:sz="4" w:space="0"/>
              <w:left w:val="single" w:color="1F2329" w:sz="4" w:space="0"/>
              <w:bottom w:val="single" w:color="1F2329" w:sz="4" w:space="0"/>
              <w:right w:val="single" w:color="1F2329" w:sz="4" w:space="0"/>
            </w:tcBorders>
            <w:vAlign w:val="center"/>
          </w:tcPr>
          <w:p w14:paraId="197BDA6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能够与不同架构不同开发语言的应用系统进行对接，如OA系统、电子病历系统、护理病历系统、LIS系统 、PACS系统和HIS系统等</w:t>
            </w:r>
          </w:p>
        </w:tc>
      </w:tr>
    </w:tbl>
    <w:p w14:paraId="188C83FD">
      <w:pPr>
        <w:pStyle w:val="5"/>
        <w:ind w:firstLine="482"/>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南北门急诊CA电子签名签字板-无线</w:t>
      </w:r>
    </w:p>
    <w:tbl>
      <w:tblPr>
        <w:tblStyle w:val="10"/>
        <w:tblW w:w="0" w:type="auto"/>
        <w:tblInd w:w="0" w:type="dxa"/>
        <w:tblLayout w:type="autofit"/>
        <w:tblCellMar>
          <w:top w:w="15" w:type="dxa"/>
          <w:left w:w="15" w:type="dxa"/>
          <w:bottom w:w="15" w:type="dxa"/>
          <w:right w:w="15" w:type="dxa"/>
        </w:tblCellMar>
      </w:tblPr>
      <w:tblGrid>
        <w:gridCol w:w="1375"/>
        <w:gridCol w:w="6961"/>
      </w:tblGrid>
      <w:tr w14:paraId="45A87C39">
        <w:tblPrEx>
          <w:tblCellMar>
            <w:top w:w="15" w:type="dxa"/>
            <w:left w:w="15" w:type="dxa"/>
            <w:bottom w:w="15" w:type="dxa"/>
            <w:right w:w="15" w:type="dxa"/>
          </w:tblCellMar>
        </w:tblPrEx>
        <w:trPr>
          <w:trHeight w:val="540" w:hRule="atLeast"/>
        </w:trPr>
        <w:tc>
          <w:tcPr>
            <w:tcW w:w="1375" w:type="dxa"/>
            <w:tcBorders>
              <w:top w:val="single" w:color="1F2329" w:sz="4" w:space="0"/>
              <w:left w:val="single" w:color="1F2329" w:sz="4" w:space="0"/>
              <w:bottom w:val="single" w:color="1F2329" w:sz="4" w:space="0"/>
              <w:right w:val="single" w:color="1F2329" w:sz="4" w:space="0"/>
            </w:tcBorders>
            <w:vAlign w:val="center"/>
          </w:tcPr>
          <w:p w14:paraId="61B049E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6961" w:type="dxa"/>
            <w:tcBorders>
              <w:top w:val="single" w:color="1F2329" w:sz="4" w:space="0"/>
              <w:left w:val="single" w:color="1F2329" w:sz="4" w:space="0"/>
              <w:bottom w:val="single" w:color="1F2329" w:sz="4" w:space="0"/>
              <w:right w:val="single" w:color="1F2329" w:sz="4" w:space="0"/>
            </w:tcBorders>
            <w:vAlign w:val="center"/>
          </w:tcPr>
          <w:p w14:paraId="430F868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1CE42ACF">
        <w:tblPrEx>
          <w:tblCellMar>
            <w:top w:w="15" w:type="dxa"/>
            <w:left w:w="15" w:type="dxa"/>
            <w:bottom w:w="15" w:type="dxa"/>
            <w:right w:w="15" w:type="dxa"/>
          </w:tblCellMar>
        </w:tblPrEx>
        <w:trPr>
          <w:trHeight w:val="540" w:hRule="atLeast"/>
        </w:trPr>
        <w:tc>
          <w:tcPr>
            <w:tcW w:w="1375" w:type="dxa"/>
            <w:vMerge w:val="restart"/>
            <w:tcBorders>
              <w:top w:val="single" w:color="1F2329" w:sz="4" w:space="0"/>
              <w:left w:val="single" w:color="1F2329" w:sz="4" w:space="0"/>
              <w:right w:val="single" w:color="1F2329" w:sz="4" w:space="0"/>
            </w:tcBorders>
            <w:vAlign w:val="center"/>
          </w:tcPr>
          <w:p w14:paraId="6BB283B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基本参数</w:t>
            </w:r>
          </w:p>
        </w:tc>
        <w:tc>
          <w:tcPr>
            <w:tcW w:w="6961" w:type="dxa"/>
            <w:tcBorders>
              <w:top w:val="single" w:color="1F2329" w:sz="4" w:space="0"/>
              <w:left w:val="single" w:color="1F2329" w:sz="4" w:space="0"/>
              <w:bottom w:val="single" w:color="1F2329" w:sz="4" w:space="0"/>
              <w:right w:val="single" w:color="1F2329" w:sz="4" w:space="0"/>
            </w:tcBorders>
            <w:vAlign w:val="center"/>
          </w:tcPr>
          <w:p w14:paraId="3A745B6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CPU：国产高性能CPU，处理器核心数量8核，主频2.0G；</w:t>
            </w:r>
          </w:p>
        </w:tc>
      </w:tr>
      <w:tr w14:paraId="0D9FDEBE">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784B023D">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70A1E37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内存：4GB；存储：64GB；</w:t>
            </w:r>
          </w:p>
        </w:tc>
      </w:tr>
      <w:tr w14:paraId="1B5E32D0">
        <w:tblPrEx>
          <w:tblCellMar>
            <w:top w:w="15" w:type="dxa"/>
            <w:left w:w="15" w:type="dxa"/>
            <w:bottom w:w="15" w:type="dxa"/>
            <w:right w:w="15" w:type="dxa"/>
          </w:tblCellMar>
        </w:tblPrEx>
        <w:trPr>
          <w:trHeight w:val="540" w:hRule="atLeast"/>
        </w:trPr>
        <w:tc>
          <w:tcPr>
            <w:tcW w:w="1375" w:type="dxa"/>
            <w:vMerge w:val="continue"/>
            <w:tcBorders>
              <w:left w:val="single" w:color="1F2329" w:sz="4" w:space="0"/>
              <w:bottom w:val="single" w:color="1F2329" w:sz="4" w:space="0"/>
              <w:right w:val="single" w:color="1F2329" w:sz="4" w:space="0"/>
            </w:tcBorders>
            <w:vAlign w:val="center"/>
          </w:tcPr>
          <w:p w14:paraId="4930CD67">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7044D2F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显示屏大于或等于10英寸，支持患者直接浏览知情同意书。 </w:t>
            </w:r>
          </w:p>
        </w:tc>
      </w:tr>
      <w:tr w14:paraId="404179C2">
        <w:tblPrEx>
          <w:tblCellMar>
            <w:top w:w="15" w:type="dxa"/>
            <w:left w:w="15" w:type="dxa"/>
            <w:bottom w:w="15" w:type="dxa"/>
            <w:right w:w="15" w:type="dxa"/>
          </w:tblCellMar>
        </w:tblPrEx>
        <w:trPr>
          <w:trHeight w:val="540" w:hRule="atLeast"/>
        </w:trPr>
        <w:tc>
          <w:tcPr>
            <w:tcW w:w="1375" w:type="dxa"/>
            <w:vMerge w:val="restart"/>
            <w:tcBorders>
              <w:top w:val="single" w:color="1F2329" w:sz="4" w:space="0"/>
              <w:left w:val="single" w:color="1F2329" w:sz="4" w:space="0"/>
              <w:right w:val="single" w:color="1F2329" w:sz="4" w:space="0"/>
            </w:tcBorders>
            <w:vAlign w:val="center"/>
          </w:tcPr>
          <w:p w14:paraId="07D00A6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功能项</w:t>
            </w:r>
          </w:p>
        </w:tc>
        <w:tc>
          <w:tcPr>
            <w:tcW w:w="6961" w:type="dxa"/>
            <w:tcBorders>
              <w:top w:val="single" w:color="1F2329" w:sz="4" w:space="0"/>
              <w:left w:val="single" w:color="1F2329" w:sz="4" w:space="0"/>
              <w:bottom w:val="single" w:color="1F2329" w:sz="4" w:space="0"/>
              <w:right w:val="single" w:color="1F2329" w:sz="4" w:space="0"/>
            </w:tcBorders>
            <w:vAlign w:val="center"/>
          </w:tcPr>
          <w:p w14:paraId="532B53F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电磁屏技术类型：无线无源</w:t>
            </w:r>
          </w:p>
        </w:tc>
      </w:tr>
      <w:tr w14:paraId="25945F95">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2AE8DC72">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425DDA8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电磁笔：无电池无源笔</w:t>
            </w:r>
          </w:p>
        </w:tc>
      </w:tr>
      <w:tr w14:paraId="70830C12">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48238D01">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16E529D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压感：8192级</w:t>
            </w:r>
          </w:p>
        </w:tc>
      </w:tr>
      <w:tr w14:paraId="5D2F7795">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6E730F1D">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4F17C00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跟踪速度：233 pps</w:t>
            </w:r>
          </w:p>
        </w:tc>
      </w:tr>
      <w:tr w14:paraId="4D23C1A4">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010B6633">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2D5C688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感应高度：10 mm</w:t>
            </w:r>
          </w:p>
        </w:tc>
      </w:tr>
      <w:tr w14:paraId="2F048537">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6FC87C71">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795AE4B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定位精度：中心±0.5mm，边缘±2mm</w:t>
            </w:r>
          </w:p>
        </w:tc>
      </w:tr>
      <w:tr w14:paraId="127BC597">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5B774EE5">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0B1A7EB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触摸模块：10点触控电容屏</w:t>
            </w:r>
          </w:p>
        </w:tc>
      </w:tr>
      <w:tr w14:paraId="7267C9CA">
        <w:tblPrEx>
          <w:tblCellMar>
            <w:top w:w="15" w:type="dxa"/>
            <w:left w:w="15" w:type="dxa"/>
            <w:bottom w:w="15" w:type="dxa"/>
            <w:right w:w="15" w:type="dxa"/>
          </w:tblCellMar>
        </w:tblPrEx>
        <w:trPr>
          <w:trHeight w:val="1128" w:hRule="atLeast"/>
        </w:trPr>
        <w:tc>
          <w:tcPr>
            <w:tcW w:w="1375" w:type="dxa"/>
            <w:vMerge w:val="continue"/>
            <w:tcBorders>
              <w:left w:val="single" w:color="1F2329" w:sz="4" w:space="0"/>
              <w:right w:val="single" w:color="1F2329" w:sz="4" w:space="0"/>
            </w:tcBorders>
            <w:vAlign w:val="center"/>
          </w:tcPr>
          <w:p w14:paraId="3157F18C">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15DA4A7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指纹模块：传感器类型：半导体电容式，256*360pixel,图像分辨率：508dpi，识别速度毫秒级；支持中国公安部认证算法</w:t>
            </w:r>
          </w:p>
        </w:tc>
      </w:tr>
      <w:tr w14:paraId="260B2A52">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12B52F50">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4BE4DD5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摄像头：前置500W后置800W（支持扫描一维码/二维码）；可选配后置1300W</w:t>
            </w:r>
          </w:p>
        </w:tc>
      </w:tr>
      <w:tr w14:paraId="2F25DF4C">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1563409E">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1BB2A30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喇叭： 支持语音推送</w:t>
            </w:r>
          </w:p>
        </w:tc>
      </w:tr>
      <w:tr w14:paraId="681C2B46">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5AF43B94">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669E75D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麦克风：支持高清语音录入</w:t>
            </w:r>
          </w:p>
        </w:tc>
      </w:tr>
      <w:tr w14:paraId="1003168E">
        <w:tblPrEx>
          <w:tblCellMar>
            <w:top w:w="15" w:type="dxa"/>
            <w:left w:w="15" w:type="dxa"/>
            <w:bottom w:w="15" w:type="dxa"/>
            <w:right w:w="15" w:type="dxa"/>
          </w:tblCellMar>
        </w:tblPrEx>
        <w:trPr>
          <w:trHeight w:val="347" w:hRule="atLeast"/>
        </w:trPr>
        <w:tc>
          <w:tcPr>
            <w:tcW w:w="1375" w:type="dxa"/>
            <w:vMerge w:val="continue"/>
            <w:tcBorders>
              <w:left w:val="single" w:color="1F2329" w:sz="4" w:space="0"/>
              <w:right w:val="single" w:color="1F2329" w:sz="4" w:space="0"/>
            </w:tcBorders>
            <w:vAlign w:val="center"/>
          </w:tcPr>
          <w:p w14:paraId="1BB4F8AB">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08B4829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渲染及浏览；Pdf等板式文件渲染，同时能进行浏览操作</w:t>
            </w:r>
          </w:p>
        </w:tc>
      </w:tr>
      <w:tr w14:paraId="5D6CFBE3">
        <w:tblPrEx>
          <w:tblCellMar>
            <w:top w:w="15" w:type="dxa"/>
            <w:left w:w="15" w:type="dxa"/>
            <w:bottom w:w="15" w:type="dxa"/>
            <w:right w:w="15" w:type="dxa"/>
          </w:tblCellMar>
        </w:tblPrEx>
        <w:trPr>
          <w:trHeight w:val="920" w:hRule="atLeast"/>
        </w:trPr>
        <w:tc>
          <w:tcPr>
            <w:tcW w:w="1375" w:type="dxa"/>
            <w:vMerge w:val="continue"/>
            <w:tcBorders>
              <w:left w:val="single" w:color="1F2329" w:sz="4" w:space="0"/>
              <w:right w:val="single" w:color="1F2329" w:sz="4" w:space="0"/>
            </w:tcBorders>
            <w:vAlign w:val="center"/>
          </w:tcPr>
          <w:p w14:paraId="6184F96F">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45620BD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迹签名及手书功能；可进行原笔迹签名功能及手写输入指定文字；手写输入数据可以保存为图片，矢量图片及原笔迹数据；</w:t>
            </w:r>
          </w:p>
        </w:tc>
      </w:tr>
      <w:tr w14:paraId="0F3D975A">
        <w:tblPrEx>
          <w:tblCellMar>
            <w:top w:w="15" w:type="dxa"/>
            <w:left w:w="15" w:type="dxa"/>
            <w:bottom w:w="15" w:type="dxa"/>
            <w:right w:w="15" w:type="dxa"/>
          </w:tblCellMar>
        </w:tblPrEx>
        <w:trPr>
          <w:trHeight w:val="540" w:hRule="atLeast"/>
        </w:trPr>
        <w:tc>
          <w:tcPr>
            <w:tcW w:w="1375" w:type="dxa"/>
            <w:vMerge w:val="continue"/>
            <w:tcBorders>
              <w:left w:val="single" w:color="1F2329" w:sz="4" w:space="0"/>
              <w:right w:val="single" w:color="1F2329" w:sz="4" w:space="0"/>
            </w:tcBorders>
            <w:vAlign w:val="center"/>
          </w:tcPr>
          <w:p w14:paraId="390829ED">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093D499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屏显示功能；上位机可将当前显示内容推送到签批设备上；</w:t>
            </w:r>
          </w:p>
        </w:tc>
      </w:tr>
      <w:tr w14:paraId="75316479">
        <w:tblPrEx>
          <w:tblCellMar>
            <w:top w:w="15" w:type="dxa"/>
            <w:left w:w="15" w:type="dxa"/>
            <w:bottom w:w="15" w:type="dxa"/>
            <w:right w:w="15" w:type="dxa"/>
          </w:tblCellMar>
        </w:tblPrEx>
        <w:trPr>
          <w:trHeight w:val="920" w:hRule="atLeast"/>
        </w:trPr>
        <w:tc>
          <w:tcPr>
            <w:tcW w:w="1375" w:type="dxa"/>
            <w:vMerge w:val="continue"/>
            <w:tcBorders>
              <w:left w:val="single" w:color="1F2329" w:sz="4" w:space="0"/>
              <w:bottom w:val="single" w:color="1F2329" w:sz="4" w:space="0"/>
              <w:right w:val="single" w:color="1F2329" w:sz="4" w:space="0"/>
            </w:tcBorders>
            <w:vAlign w:val="center"/>
          </w:tcPr>
          <w:p w14:paraId="48E41B95">
            <w:pPr>
              <w:ind w:left="0" w:leftChars="0" w:firstLine="0" w:firstLineChars="0"/>
              <w:rPr>
                <w:rFonts w:asciiTheme="minorEastAsia" w:hAnsiTheme="minorEastAsia" w:eastAsiaTheme="minorEastAsia" w:cstheme="minorEastAsia"/>
                <w:highlight w:val="none"/>
              </w:rPr>
            </w:pPr>
          </w:p>
        </w:tc>
        <w:tc>
          <w:tcPr>
            <w:tcW w:w="6961" w:type="dxa"/>
            <w:tcBorders>
              <w:top w:val="single" w:color="1F2329" w:sz="4" w:space="0"/>
              <w:left w:val="single" w:color="1F2329" w:sz="4" w:space="0"/>
              <w:bottom w:val="single" w:color="1F2329" w:sz="4" w:space="0"/>
              <w:right w:val="single" w:color="1F2329" w:sz="4" w:space="0"/>
            </w:tcBorders>
            <w:vAlign w:val="center"/>
          </w:tcPr>
          <w:p w14:paraId="7202EC5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支持js，C#，c++等多种语言对接开发；原笔迹数据图片生成:可将采集的笔迹原始数据封装在指定格式的笔迹图片中；</w:t>
            </w:r>
          </w:p>
        </w:tc>
      </w:tr>
    </w:tbl>
    <w:p w14:paraId="02E86FDF">
      <w:pPr>
        <w:pStyle w:val="5"/>
        <w:ind w:firstLine="482"/>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南北门急诊高拍仪</w:t>
      </w:r>
    </w:p>
    <w:tbl>
      <w:tblPr>
        <w:tblStyle w:val="10"/>
        <w:tblW w:w="0" w:type="auto"/>
        <w:tblInd w:w="0" w:type="dxa"/>
        <w:tblLayout w:type="autofit"/>
        <w:tblCellMar>
          <w:top w:w="15" w:type="dxa"/>
          <w:left w:w="15" w:type="dxa"/>
          <w:bottom w:w="15" w:type="dxa"/>
          <w:right w:w="15" w:type="dxa"/>
        </w:tblCellMar>
      </w:tblPr>
      <w:tblGrid>
        <w:gridCol w:w="1462"/>
        <w:gridCol w:w="6874"/>
      </w:tblGrid>
      <w:tr w14:paraId="2A0EC244">
        <w:tblPrEx>
          <w:tblCellMar>
            <w:top w:w="15" w:type="dxa"/>
            <w:left w:w="15" w:type="dxa"/>
            <w:bottom w:w="15" w:type="dxa"/>
            <w:right w:w="15" w:type="dxa"/>
          </w:tblCellMar>
        </w:tblPrEx>
        <w:trPr>
          <w:trHeight w:val="675" w:hRule="atLeast"/>
        </w:trPr>
        <w:tc>
          <w:tcPr>
            <w:tcW w:w="1462" w:type="dxa"/>
            <w:tcBorders>
              <w:top w:val="single" w:color="1F2329" w:sz="4" w:space="0"/>
              <w:left w:val="single" w:color="1F2329" w:sz="4" w:space="0"/>
              <w:bottom w:val="single" w:color="1F2329" w:sz="4" w:space="0"/>
              <w:right w:val="single" w:color="1F2329" w:sz="4" w:space="0"/>
            </w:tcBorders>
            <w:vAlign w:val="center"/>
          </w:tcPr>
          <w:p w14:paraId="2A185F82">
            <w:pPr>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6874" w:type="dxa"/>
            <w:tcBorders>
              <w:top w:val="single" w:color="1F2329" w:sz="4" w:space="0"/>
              <w:left w:val="single" w:color="1F2329" w:sz="4" w:space="0"/>
              <w:bottom w:val="single" w:color="1F2329" w:sz="4" w:space="0"/>
              <w:right w:val="single" w:color="1F2329" w:sz="4" w:space="0"/>
            </w:tcBorders>
            <w:vAlign w:val="center"/>
          </w:tcPr>
          <w:p w14:paraId="0414B920">
            <w:pPr>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3DF0466E">
        <w:tblPrEx>
          <w:tblCellMar>
            <w:top w:w="15" w:type="dxa"/>
            <w:left w:w="15" w:type="dxa"/>
            <w:bottom w:w="15" w:type="dxa"/>
            <w:right w:w="15" w:type="dxa"/>
          </w:tblCellMar>
        </w:tblPrEx>
        <w:trPr>
          <w:trHeight w:val="1680" w:hRule="atLeast"/>
        </w:trPr>
        <w:tc>
          <w:tcPr>
            <w:tcW w:w="1462" w:type="dxa"/>
            <w:tcBorders>
              <w:top w:val="single" w:color="1F2329" w:sz="4" w:space="0"/>
              <w:left w:val="single" w:color="1F2329" w:sz="4" w:space="0"/>
              <w:bottom w:val="single" w:color="1F2329" w:sz="4" w:space="0"/>
              <w:right w:val="single" w:color="1F2329" w:sz="4" w:space="0"/>
            </w:tcBorders>
            <w:vAlign w:val="center"/>
          </w:tcPr>
          <w:p w14:paraId="133F62AD">
            <w:pPr>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基本参数</w:t>
            </w:r>
          </w:p>
        </w:tc>
        <w:tc>
          <w:tcPr>
            <w:tcW w:w="6874" w:type="dxa"/>
            <w:tcBorders>
              <w:top w:val="single" w:color="1F2329" w:sz="4" w:space="0"/>
              <w:left w:val="single" w:color="1F2329" w:sz="4" w:space="0"/>
              <w:bottom w:val="single" w:color="1F2329" w:sz="4" w:space="0"/>
              <w:right w:val="single" w:color="1F2329" w:sz="4" w:space="0"/>
            </w:tcBorders>
            <w:vAlign w:val="center"/>
          </w:tcPr>
          <w:p w14:paraId="01B954A1">
            <w:pPr>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CMOS传感器，2200万像素，USB2.0接口，OCR文字识别，快速扫描、扫描光源为自然光+LED补光。可拍摄A3/A4/A5及以下文件资料，扫描模式：彩色、灰阶、黑白。具备书籍曲面展平，智能裁边纠错，倾斜自动回正。自动对焦、条码识别、二维码读取等功能。自动连续拍摄，拍摄图片后可转换成word、excel、pdf等文件。</w:t>
            </w:r>
          </w:p>
        </w:tc>
      </w:tr>
    </w:tbl>
    <w:p w14:paraId="45CACEAB">
      <w:pPr>
        <w:pStyle w:val="5"/>
        <w:ind w:firstLine="482"/>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南北医生办及护士站CA电子签名签字板-无线</w:t>
      </w:r>
    </w:p>
    <w:tbl>
      <w:tblPr>
        <w:tblStyle w:val="10"/>
        <w:tblW w:w="0" w:type="auto"/>
        <w:tblInd w:w="0" w:type="dxa"/>
        <w:tblLayout w:type="autofit"/>
        <w:tblCellMar>
          <w:top w:w="15" w:type="dxa"/>
          <w:left w:w="15" w:type="dxa"/>
          <w:bottom w:w="15" w:type="dxa"/>
          <w:right w:w="15" w:type="dxa"/>
        </w:tblCellMar>
      </w:tblPr>
      <w:tblGrid>
        <w:gridCol w:w="1462"/>
        <w:gridCol w:w="6874"/>
      </w:tblGrid>
      <w:tr w14:paraId="36BCA071">
        <w:tblPrEx>
          <w:tblCellMar>
            <w:top w:w="15" w:type="dxa"/>
            <w:left w:w="15" w:type="dxa"/>
            <w:bottom w:w="15" w:type="dxa"/>
            <w:right w:w="15" w:type="dxa"/>
          </w:tblCellMar>
        </w:tblPrEx>
        <w:trPr>
          <w:trHeight w:val="23" w:hRule="atLeast"/>
        </w:trPr>
        <w:tc>
          <w:tcPr>
            <w:tcW w:w="1462" w:type="dxa"/>
            <w:tcBorders>
              <w:top w:val="single" w:color="1F2329" w:sz="4" w:space="0"/>
              <w:left w:val="single" w:color="1F2329" w:sz="4" w:space="0"/>
              <w:bottom w:val="single" w:color="1F2329" w:sz="4" w:space="0"/>
              <w:right w:val="single" w:color="1F2329" w:sz="4" w:space="0"/>
            </w:tcBorders>
            <w:vAlign w:val="center"/>
          </w:tcPr>
          <w:p w14:paraId="10674566">
            <w:pPr>
              <w:ind w:left="0" w:leftChars="0" w:firstLine="0" w:firstLineChars="0"/>
              <w:rPr>
                <w:rFonts w:asciiTheme="minorEastAsia" w:hAnsiTheme="minorEastAsia" w:eastAsiaTheme="minorEastAsia" w:cstheme="minorEastAsia"/>
                <w:kern w:val="0"/>
                <w:szCs w:val="18"/>
                <w:highlight w:val="none"/>
                <w:lang w:bidi="ar"/>
              </w:rPr>
            </w:pPr>
            <w:r>
              <w:rPr>
                <w:rFonts w:hint="eastAsia" w:asciiTheme="minorEastAsia" w:hAnsiTheme="minorEastAsia" w:eastAsiaTheme="minorEastAsia" w:cstheme="minorEastAsia"/>
                <w:szCs w:val="18"/>
                <w:highlight w:val="none"/>
              </w:rPr>
              <w:t>指标项</w:t>
            </w:r>
          </w:p>
        </w:tc>
        <w:tc>
          <w:tcPr>
            <w:tcW w:w="6874" w:type="dxa"/>
            <w:tcBorders>
              <w:top w:val="single" w:color="1F2329" w:sz="4" w:space="0"/>
              <w:left w:val="single" w:color="1F2329" w:sz="4" w:space="0"/>
              <w:bottom w:val="single" w:color="1F2329" w:sz="4" w:space="0"/>
              <w:right w:val="single" w:color="1F2329" w:sz="4" w:space="0"/>
            </w:tcBorders>
            <w:vAlign w:val="center"/>
          </w:tcPr>
          <w:p w14:paraId="64DE1446">
            <w:pPr>
              <w:ind w:left="0" w:leftChars="0" w:firstLine="0" w:firstLineChars="0"/>
              <w:rPr>
                <w:rFonts w:asciiTheme="minorEastAsia" w:hAnsiTheme="minorEastAsia" w:eastAsiaTheme="minorEastAsia" w:cstheme="minorEastAsia"/>
                <w:kern w:val="0"/>
                <w:szCs w:val="18"/>
                <w:highlight w:val="none"/>
                <w:lang w:bidi="ar"/>
              </w:rPr>
            </w:pPr>
            <w:r>
              <w:rPr>
                <w:rFonts w:hint="eastAsia" w:asciiTheme="minorEastAsia" w:hAnsiTheme="minorEastAsia" w:eastAsiaTheme="minorEastAsia" w:cstheme="minorEastAsia"/>
                <w:szCs w:val="18"/>
                <w:highlight w:val="none"/>
              </w:rPr>
              <w:t>招标需求</w:t>
            </w:r>
          </w:p>
        </w:tc>
      </w:tr>
      <w:tr w14:paraId="5A9AC9F0">
        <w:tblPrEx>
          <w:tblCellMar>
            <w:top w:w="15" w:type="dxa"/>
            <w:left w:w="15" w:type="dxa"/>
            <w:bottom w:w="15" w:type="dxa"/>
            <w:right w:w="15" w:type="dxa"/>
          </w:tblCellMar>
        </w:tblPrEx>
        <w:trPr>
          <w:trHeight w:val="23" w:hRule="atLeast"/>
        </w:trPr>
        <w:tc>
          <w:tcPr>
            <w:tcW w:w="1462" w:type="dxa"/>
            <w:vMerge w:val="restart"/>
            <w:tcBorders>
              <w:top w:val="single" w:color="1F2329" w:sz="4" w:space="0"/>
              <w:left w:val="single" w:color="1F2329" w:sz="4" w:space="0"/>
              <w:right w:val="single" w:color="1F2329" w:sz="4" w:space="0"/>
            </w:tcBorders>
            <w:vAlign w:val="center"/>
          </w:tcPr>
          <w:p w14:paraId="7D63CED0">
            <w:pPr>
              <w:ind w:left="0" w:leftChars="0" w:firstLine="0" w:firstLineChars="0"/>
              <w:textAlignment w:val="center"/>
              <w:rPr>
                <w:rFonts w:asciiTheme="minorEastAsia" w:hAnsiTheme="minorEastAsia" w:eastAsiaTheme="minorEastAsia" w:cstheme="minorEastAsia"/>
                <w:kern w:val="0"/>
                <w:szCs w:val="18"/>
                <w:highlight w:val="none"/>
                <w:lang w:bidi="ar"/>
              </w:rPr>
            </w:pPr>
            <w:r>
              <w:rPr>
                <w:rFonts w:hint="eastAsia" w:asciiTheme="minorEastAsia" w:hAnsiTheme="minorEastAsia" w:eastAsiaTheme="minorEastAsia" w:cstheme="minorEastAsia"/>
                <w:szCs w:val="18"/>
                <w:highlight w:val="none"/>
              </w:rPr>
              <w:t>基本参数</w:t>
            </w:r>
          </w:p>
        </w:tc>
        <w:tc>
          <w:tcPr>
            <w:tcW w:w="6874" w:type="dxa"/>
            <w:tcBorders>
              <w:top w:val="single" w:color="1F2329" w:sz="4" w:space="0"/>
              <w:left w:val="single" w:color="1F2329" w:sz="4" w:space="0"/>
              <w:bottom w:val="single" w:color="1F2329" w:sz="4" w:space="0"/>
              <w:right w:val="single" w:color="1F2329" w:sz="4" w:space="0"/>
            </w:tcBorders>
            <w:vAlign w:val="center"/>
          </w:tcPr>
          <w:p w14:paraId="7901F181">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CPU：国产高性能CPU，处理器核心数量8核，主频2.0G；</w:t>
            </w:r>
          </w:p>
        </w:tc>
      </w:tr>
      <w:tr w14:paraId="041D7689">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7F41E190">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1D77484D">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内存：4GB；存储：64GB；</w:t>
            </w:r>
          </w:p>
        </w:tc>
      </w:tr>
      <w:tr w14:paraId="53C27D27">
        <w:tblPrEx>
          <w:tblCellMar>
            <w:top w:w="15" w:type="dxa"/>
            <w:left w:w="15" w:type="dxa"/>
            <w:bottom w:w="15" w:type="dxa"/>
            <w:right w:w="15" w:type="dxa"/>
          </w:tblCellMar>
        </w:tblPrEx>
        <w:trPr>
          <w:trHeight w:val="23" w:hRule="atLeast"/>
        </w:trPr>
        <w:tc>
          <w:tcPr>
            <w:tcW w:w="1462" w:type="dxa"/>
            <w:vMerge w:val="continue"/>
            <w:tcBorders>
              <w:left w:val="single" w:color="1F2329" w:sz="4" w:space="0"/>
              <w:bottom w:val="single" w:color="1F2329" w:sz="4" w:space="0"/>
              <w:right w:val="single" w:color="1F2329" w:sz="4" w:space="0"/>
            </w:tcBorders>
            <w:vAlign w:val="center"/>
          </w:tcPr>
          <w:p w14:paraId="795920F6">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6B526A3C">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 xml:space="preserve">显示屏大于或等于10英寸，支持患者直接浏览知情同意书。 </w:t>
            </w:r>
          </w:p>
        </w:tc>
      </w:tr>
      <w:tr w14:paraId="5DEC3DC9">
        <w:tblPrEx>
          <w:tblCellMar>
            <w:top w:w="15" w:type="dxa"/>
            <w:left w:w="15" w:type="dxa"/>
            <w:bottom w:w="15" w:type="dxa"/>
            <w:right w:w="15" w:type="dxa"/>
          </w:tblCellMar>
        </w:tblPrEx>
        <w:trPr>
          <w:trHeight w:val="23" w:hRule="atLeast"/>
        </w:trPr>
        <w:tc>
          <w:tcPr>
            <w:tcW w:w="1462" w:type="dxa"/>
            <w:vMerge w:val="restart"/>
            <w:tcBorders>
              <w:top w:val="single" w:color="1F2329" w:sz="4" w:space="0"/>
              <w:left w:val="single" w:color="1F2329" w:sz="4" w:space="0"/>
              <w:right w:val="single" w:color="1F2329" w:sz="4" w:space="0"/>
            </w:tcBorders>
            <w:vAlign w:val="center"/>
          </w:tcPr>
          <w:p w14:paraId="674816A9">
            <w:pPr>
              <w:ind w:left="0" w:leftChars="0" w:firstLine="0" w:firstLineChars="0"/>
              <w:textAlignment w:val="center"/>
              <w:rPr>
                <w:rFonts w:asciiTheme="minorEastAsia" w:hAnsiTheme="minorEastAsia" w:eastAsiaTheme="minorEastAsia" w:cstheme="minorEastAsia"/>
                <w:kern w:val="0"/>
                <w:szCs w:val="18"/>
                <w:highlight w:val="none"/>
                <w:lang w:bidi="ar"/>
              </w:rPr>
            </w:pPr>
            <w:r>
              <w:rPr>
                <w:rFonts w:hint="eastAsia" w:asciiTheme="minorEastAsia" w:hAnsiTheme="minorEastAsia" w:eastAsiaTheme="minorEastAsia" w:cstheme="minorEastAsia"/>
                <w:szCs w:val="18"/>
                <w:highlight w:val="none"/>
              </w:rPr>
              <w:t>功能项</w:t>
            </w:r>
          </w:p>
        </w:tc>
        <w:tc>
          <w:tcPr>
            <w:tcW w:w="6874" w:type="dxa"/>
            <w:tcBorders>
              <w:top w:val="single" w:color="1F2329" w:sz="4" w:space="0"/>
              <w:left w:val="single" w:color="1F2329" w:sz="4" w:space="0"/>
              <w:bottom w:val="single" w:color="1F2329" w:sz="4" w:space="0"/>
              <w:right w:val="single" w:color="1F2329" w:sz="4" w:space="0"/>
            </w:tcBorders>
            <w:vAlign w:val="center"/>
          </w:tcPr>
          <w:p w14:paraId="539A34E6">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电磁屏技术类型：无线无源</w:t>
            </w:r>
          </w:p>
        </w:tc>
      </w:tr>
      <w:tr w14:paraId="65234548">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4B0B26E1">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05DF5DEF">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电磁笔：无电池无源笔</w:t>
            </w:r>
          </w:p>
        </w:tc>
      </w:tr>
      <w:tr w14:paraId="55D36068">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1525C27C">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64A2D507">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压感：8192级</w:t>
            </w:r>
          </w:p>
        </w:tc>
      </w:tr>
      <w:tr w14:paraId="4E68D43D">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29266115">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40671A4D">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跟踪速度：233 pps</w:t>
            </w:r>
          </w:p>
        </w:tc>
      </w:tr>
      <w:tr w14:paraId="7A715467">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26A300F4">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56684D7B">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感应高度：10 mm</w:t>
            </w:r>
          </w:p>
        </w:tc>
      </w:tr>
      <w:tr w14:paraId="3E252651">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68BFE2C2">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246B2989">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定位精度：中心±0.5mm，边缘±2mm</w:t>
            </w:r>
          </w:p>
        </w:tc>
      </w:tr>
      <w:tr w14:paraId="212A7542">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323BB816">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3811E27C">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触摸模块：10点触控电容屏</w:t>
            </w:r>
          </w:p>
        </w:tc>
      </w:tr>
      <w:tr w14:paraId="4DF22AFC">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74E12004">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7B963EBF">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指纹模块：传感器类型：半导体电容式，256*360pixel,图像分辨率：508dpi，识别速度毫秒级；支持中国公安部认证算法，符合公安部标准《居民身份证指纹采集器通用技术要求》（GA/T1011-2012）</w:t>
            </w:r>
          </w:p>
        </w:tc>
      </w:tr>
      <w:tr w14:paraId="7477E809">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5E67DA4A">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512E336E">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摄像头：前置500W后置800W（支持扫描一维码/二维码）；可选配后置1300W</w:t>
            </w:r>
          </w:p>
        </w:tc>
      </w:tr>
      <w:tr w14:paraId="48B2B205">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370DA2BF">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21294E6F">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喇叭： 支持语音推送</w:t>
            </w:r>
          </w:p>
        </w:tc>
      </w:tr>
      <w:tr w14:paraId="1F97BF70">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0A643E6A">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42BB1EC2">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麦克风：支持高清语音录入</w:t>
            </w:r>
          </w:p>
        </w:tc>
      </w:tr>
      <w:tr w14:paraId="053198D8">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1B97DFB1">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7617AC15">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w:t>
            </w:r>
            <w:r>
              <w:rPr>
                <w:rFonts w:hint="eastAsia" w:asciiTheme="minorEastAsia" w:hAnsiTheme="minorEastAsia" w:eastAsiaTheme="minorEastAsia" w:cstheme="minorEastAsia"/>
                <w:kern w:val="0"/>
                <w:szCs w:val="18"/>
                <w:highlight w:val="none"/>
                <w:lang w:bidi="ar"/>
              </w:rPr>
              <w:t>渲染及浏览；Pdf等板式文件渲染，同时能进行浏览操作，（可提供软硬件功能截图）；</w:t>
            </w:r>
          </w:p>
        </w:tc>
      </w:tr>
      <w:tr w14:paraId="77A39E51">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5AC149A5">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44331B1A">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迹签名及手书功能；可进行原笔迹签名功能及手写输入指定文字；手写输入数据可以保存为图片，矢量图片及原笔迹数据；</w:t>
            </w:r>
          </w:p>
        </w:tc>
      </w:tr>
      <w:tr w14:paraId="677E166A">
        <w:tblPrEx>
          <w:tblCellMar>
            <w:top w:w="15" w:type="dxa"/>
            <w:left w:w="15" w:type="dxa"/>
            <w:bottom w:w="15" w:type="dxa"/>
            <w:right w:w="15" w:type="dxa"/>
          </w:tblCellMar>
        </w:tblPrEx>
        <w:trPr>
          <w:trHeight w:val="23" w:hRule="atLeast"/>
        </w:trPr>
        <w:tc>
          <w:tcPr>
            <w:tcW w:w="1462" w:type="dxa"/>
            <w:vMerge w:val="continue"/>
            <w:tcBorders>
              <w:left w:val="single" w:color="1F2329" w:sz="4" w:space="0"/>
              <w:right w:val="single" w:color="1F2329" w:sz="4" w:space="0"/>
            </w:tcBorders>
            <w:vAlign w:val="center"/>
          </w:tcPr>
          <w:p w14:paraId="5AFD7C84">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499EADCB">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屏显示功能；上位机可将当前显示内容推送到签批设备上；</w:t>
            </w:r>
          </w:p>
        </w:tc>
      </w:tr>
      <w:tr w14:paraId="39ACDE6E">
        <w:tblPrEx>
          <w:tblCellMar>
            <w:top w:w="15" w:type="dxa"/>
            <w:left w:w="15" w:type="dxa"/>
            <w:bottom w:w="15" w:type="dxa"/>
            <w:right w:w="15" w:type="dxa"/>
          </w:tblCellMar>
        </w:tblPrEx>
        <w:trPr>
          <w:trHeight w:val="23" w:hRule="atLeast"/>
        </w:trPr>
        <w:tc>
          <w:tcPr>
            <w:tcW w:w="1462" w:type="dxa"/>
            <w:vMerge w:val="continue"/>
            <w:tcBorders>
              <w:left w:val="single" w:color="1F2329" w:sz="4" w:space="0"/>
              <w:bottom w:val="single" w:color="1F2329" w:sz="4" w:space="0"/>
              <w:right w:val="single" w:color="1F2329" w:sz="4" w:space="0"/>
            </w:tcBorders>
            <w:vAlign w:val="center"/>
          </w:tcPr>
          <w:p w14:paraId="6B2EE042">
            <w:pPr>
              <w:ind w:left="0" w:leftChars="0" w:firstLine="0" w:firstLineChars="0"/>
              <w:textAlignment w:val="center"/>
              <w:rPr>
                <w:rFonts w:asciiTheme="minorEastAsia" w:hAnsiTheme="minorEastAsia" w:eastAsiaTheme="minorEastAsia" w:cstheme="minorEastAsia"/>
                <w:kern w:val="0"/>
                <w:szCs w:val="18"/>
                <w:highlight w:val="none"/>
                <w:lang w:bidi="ar"/>
              </w:rPr>
            </w:pPr>
          </w:p>
        </w:tc>
        <w:tc>
          <w:tcPr>
            <w:tcW w:w="6874" w:type="dxa"/>
            <w:tcBorders>
              <w:top w:val="single" w:color="1F2329" w:sz="4" w:space="0"/>
              <w:left w:val="single" w:color="1F2329" w:sz="4" w:space="0"/>
              <w:bottom w:val="single" w:color="1F2329" w:sz="4" w:space="0"/>
              <w:right w:val="single" w:color="1F2329" w:sz="4" w:space="0"/>
            </w:tcBorders>
            <w:vAlign w:val="center"/>
          </w:tcPr>
          <w:p w14:paraId="005E3892">
            <w:pPr>
              <w:ind w:left="0" w:leftChars="0" w:firstLine="0" w:firstLineChars="0"/>
              <w:textAlignment w:val="center"/>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kern w:val="0"/>
                <w:szCs w:val="18"/>
                <w:highlight w:val="none"/>
                <w:lang w:bidi="ar"/>
              </w:rPr>
              <w:t>支持js，C#，c++等多种语言对接开发；原笔迹数据图片生成:可将采集的笔迹原始数据封装在指定格式的笔迹图片中；</w:t>
            </w:r>
          </w:p>
        </w:tc>
      </w:tr>
    </w:tbl>
    <w:p w14:paraId="37DDEDF1">
      <w:pPr>
        <w:pStyle w:val="5"/>
        <w:ind w:firstLine="482"/>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南北医生办及护士站高拍仪</w:t>
      </w:r>
    </w:p>
    <w:tbl>
      <w:tblPr>
        <w:tblStyle w:val="10"/>
        <w:tblW w:w="0" w:type="auto"/>
        <w:tblInd w:w="0" w:type="dxa"/>
        <w:tblLayout w:type="autofit"/>
        <w:tblCellMar>
          <w:top w:w="15" w:type="dxa"/>
          <w:left w:w="15" w:type="dxa"/>
          <w:bottom w:w="15" w:type="dxa"/>
          <w:right w:w="15" w:type="dxa"/>
        </w:tblCellMar>
      </w:tblPr>
      <w:tblGrid>
        <w:gridCol w:w="1475"/>
        <w:gridCol w:w="6861"/>
      </w:tblGrid>
      <w:tr w14:paraId="52DBC419">
        <w:tblPrEx>
          <w:tblCellMar>
            <w:top w:w="15" w:type="dxa"/>
            <w:left w:w="15" w:type="dxa"/>
            <w:bottom w:w="15" w:type="dxa"/>
            <w:right w:w="15" w:type="dxa"/>
          </w:tblCellMar>
        </w:tblPrEx>
        <w:trPr>
          <w:trHeight w:val="675"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57FDFF7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6861" w:type="dxa"/>
            <w:tcBorders>
              <w:top w:val="single" w:color="1F2329" w:sz="4" w:space="0"/>
              <w:left w:val="single" w:color="1F2329" w:sz="4" w:space="0"/>
              <w:bottom w:val="single" w:color="1F2329" w:sz="4" w:space="0"/>
              <w:right w:val="single" w:color="1F2329" w:sz="4" w:space="0"/>
            </w:tcBorders>
            <w:vAlign w:val="center"/>
          </w:tcPr>
          <w:p w14:paraId="463DFB3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054B80BB">
        <w:tblPrEx>
          <w:tblCellMar>
            <w:top w:w="15" w:type="dxa"/>
            <w:left w:w="15" w:type="dxa"/>
            <w:bottom w:w="15" w:type="dxa"/>
            <w:right w:w="15" w:type="dxa"/>
          </w:tblCellMar>
        </w:tblPrEx>
        <w:trPr>
          <w:trHeight w:val="168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53FEDFB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基本参数</w:t>
            </w:r>
          </w:p>
        </w:tc>
        <w:tc>
          <w:tcPr>
            <w:tcW w:w="6861" w:type="dxa"/>
            <w:tcBorders>
              <w:top w:val="single" w:color="1F2329" w:sz="4" w:space="0"/>
              <w:left w:val="single" w:color="1F2329" w:sz="4" w:space="0"/>
              <w:bottom w:val="single" w:color="1F2329" w:sz="4" w:space="0"/>
              <w:right w:val="single" w:color="1F2329" w:sz="4" w:space="0"/>
            </w:tcBorders>
            <w:vAlign w:val="center"/>
          </w:tcPr>
          <w:p w14:paraId="73D9CAF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CMOS传感器，2200万像素，USB2.0接口，OCR文字识别，快速扫描、扫描光源为自然光+LED补光。可拍摄A3/A4/A5及以下文件资料，扫描模式：彩色、灰阶、黑白。具备书籍曲面展平，智能裁边纠错，倾斜自动回正。自动对焦、条码识别、二维码读取等功能。自动连续拍摄，拍摄图片后可转换成word、excel、pdf等文件。</w:t>
            </w:r>
          </w:p>
        </w:tc>
      </w:tr>
    </w:tbl>
    <w:p w14:paraId="3C963F1B">
      <w:pPr>
        <w:pStyle w:val="5"/>
        <w:ind w:firstLine="482"/>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北部护理部护士部PDA</w:t>
      </w:r>
    </w:p>
    <w:tbl>
      <w:tblPr>
        <w:tblStyle w:val="10"/>
        <w:tblpPr w:leftFromText="180" w:rightFromText="180" w:vertAnchor="text" w:horzAnchor="page" w:tblpX="1768" w:tblpY="300"/>
        <w:tblOverlap w:val="never"/>
        <w:tblW w:w="0" w:type="auto"/>
        <w:tblInd w:w="0" w:type="dxa"/>
        <w:tblLayout w:type="autofit"/>
        <w:tblCellMar>
          <w:top w:w="15" w:type="dxa"/>
          <w:left w:w="15" w:type="dxa"/>
          <w:bottom w:w="15" w:type="dxa"/>
          <w:right w:w="15" w:type="dxa"/>
        </w:tblCellMar>
      </w:tblPr>
      <w:tblGrid>
        <w:gridCol w:w="1442"/>
        <w:gridCol w:w="6894"/>
      </w:tblGrid>
      <w:tr w14:paraId="1A293224">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6AFFB8FC">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指标项</w:t>
            </w:r>
          </w:p>
        </w:tc>
        <w:tc>
          <w:tcPr>
            <w:tcW w:w="6894" w:type="dxa"/>
            <w:tcBorders>
              <w:top w:val="single" w:color="1F2329" w:sz="4" w:space="0"/>
              <w:left w:val="single" w:color="1F2329" w:sz="4" w:space="0"/>
              <w:bottom w:val="single" w:color="1F2329" w:sz="4" w:space="0"/>
              <w:right w:val="single" w:color="1F2329" w:sz="4" w:space="0"/>
            </w:tcBorders>
            <w:vAlign w:val="center"/>
          </w:tcPr>
          <w:p w14:paraId="6F689501">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招标需求</w:t>
            </w:r>
          </w:p>
        </w:tc>
      </w:tr>
      <w:tr w14:paraId="206CB955">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39753C69">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CPU处理器平台</w:t>
            </w:r>
          </w:p>
        </w:tc>
        <w:tc>
          <w:tcPr>
            <w:tcW w:w="6894" w:type="dxa"/>
            <w:tcBorders>
              <w:top w:val="single" w:color="1F2329" w:sz="4" w:space="0"/>
              <w:left w:val="single" w:color="1F2329" w:sz="4" w:space="0"/>
              <w:bottom w:val="single" w:color="1F2329" w:sz="4" w:space="0"/>
              <w:right w:val="single" w:color="1F2329" w:sz="4" w:space="0"/>
            </w:tcBorders>
            <w:vAlign w:val="center"/>
          </w:tcPr>
          <w:p w14:paraId="619B5DDC">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八核处理器及以上，频率≥2.45GHz ;</w:t>
            </w:r>
          </w:p>
        </w:tc>
      </w:tr>
      <w:tr w14:paraId="458D6C23">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060EC7C0">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存储器</w:t>
            </w:r>
          </w:p>
        </w:tc>
        <w:tc>
          <w:tcPr>
            <w:tcW w:w="6894" w:type="dxa"/>
            <w:tcBorders>
              <w:top w:val="single" w:color="1F2329" w:sz="4" w:space="0"/>
              <w:left w:val="single" w:color="1F2329" w:sz="4" w:space="0"/>
              <w:bottom w:val="single" w:color="1F2329" w:sz="4" w:space="0"/>
              <w:right w:val="single" w:color="1F2329" w:sz="4" w:space="0"/>
            </w:tcBorders>
            <w:vAlign w:val="center"/>
          </w:tcPr>
          <w:p w14:paraId="0011CA60">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 xml:space="preserve">RAM：≥4GB，ROM：≥64GB </w:t>
            </w:r>
          </w:p>
        </w:tc>
      </w:tr>
      <w:tr w14:paraId="0A98FCC6">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5D7A5B72">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操作系统</w:t>
            </w:r>
          </w:p>
        </w:tc>
        <w:tc>
          <w:tcPr>
            <w:tcW w:w="6894" w:type="dxa"/>
            <w:tcBorders>
              <w:top w:val="single" w:color="1F2329" w:sz="4" w:space="0"/>
              <w:left w:val="single" w:color="1F2329" w:sz="4" w:space="0"/>
              <w:bottom w:val="single" w:color="1F2329" w:sz="4" w:space="0"/>
              <w:right w:val="single" w:color="1F2329" w:sz="4" w:space="0"/>
            </w:tcBorders>
            <w:vAlign w:val="center"/>
          </w:tcPr>
          <w:p w14:paraId="3A131EFF">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≥Android 11；支持系统签名</w:t>
            </w:r>
          </w:p>
        </w:tc>
      </w:tr>
      <w:tr w14:paraId="7F51AD03">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2A25ED21">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触摸屏</w:t>
            </w:r>
          </w:p>
        </w:tc>
        <w:tc>
          <w:tcPr>
            <w:tcW w:w="6894" w:type="dxa"/>
            <w:tcBorders>
              <w:top w:val="single" w:color="1F2329" w:sz="4" w:space="0"/>
              <w:left w:val="single" w:color="1F2329" w:sz="4" w:space="0"/>
              <w:bottom w:val="single" w:color="1F2329" w:sz="4" w:space="0"/>
              <w:right w:val="single" w:color="1F2329" w:sz="4" w:space="0"/>
            </w:tcBorders>
            <w:vAlign w:val="center"/>
          </w:tcPr>
          <w:p w14:paraId="0C06E37B">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屏幕大小：≥5.7英寸，支持戴手套/带水触摸，分辨率支持：≥720×1440</w:t>
            </w:r>
          </w:p>
        </w:tc>
      </w:tr>
      <w:tr w14:paraId="253A2715">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7B67494B">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单机重量</w:t>
            </w:r>
          </w:p>
        </w:tc>
        <w:tc>
          <w:tcPr>
            <w:tcW w:w="6894" w:type="dxa"/>
            <w:tcBorders>
              <w:top w:val="single" w:color="1F2329" w:sz="4" w:space="0"/>
              <w:left w:val="single" w:color="1F2329" w:sz="4" w:space="0"/>
              <w:bottom w:val="single" w:color="1F2329" w:sz="4" w:space="0"/>
              <w:right w:val="single" w:color="1F2329" w:sz="4" w:space="0"/>
            </w:tcBorders>
            <w:vAlign w:val="center"/>
          </w:tcPr>
          <w:p w14:paraId="4473B02A">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≤270g</w:t>
            </w:r>
          </w:p>
        </w:tc>
      </w:tr>
      <w:tr w14:paraId="17F15DC1">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42FA12B7">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USB接口</w:t>
            </w:r>
          </w:p>
        </w:tc>
        <w:tc>
          <w:tcPr>
            <w:tcW w:w="6894" w:type="dxa"/>
            <w:tcBorders>
              <w:top w:val="single" w:color="1F2329" w:sz="4" w:space="0"/>
              <w:left w:val="single" w:color="1F2329" w:sz="4" w:space="0"/>
              <w:bottom w:val="single" w:color="1F2329" w:sz="4" w:space="0"/>
              <w:right w:val="single" w:color="1F2329" w:sz="4" w:space="0"/>
            </w:tcBorders>
            <w:vAlign w:val="center"/>
          </w:tcPr>
          <w:p w14:paraId="0EACD844">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标准的TYPE-C USB接口，支持OTG，支持正反随便插拔</w:t>
            </w:r>
          </w:p>
        </w:tc>
      </w:tr>
      <w:tr w14:paraId="45148CC2">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21A67FAB">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键盘</w:t>
            </w:r>
          </w:p>
        </w:tc>
        <w:tc>
          <w:tcPr>
            <w:tcW w:w="6894" w:type="dxa"/>
            <w:tcBorders>
              <w:top w:val="single" w:color="1F2329" w:sz="4" w:space="0"/>
              <w:left w:val="single" w:color="1F2329" w:sz="4" w:space="0"/>
              <w:bottom w:val="single" w:color="1F2329" w:sz="4" w:space="0"/>
              <w:right w:val="single" w:color="1F2329" w:sz="4" w:space="0"/>
            </w:tcBorders>
            <w:vAlign w:val="center"/>
          </w:tcPr>
          <w:p w14:paraId="0B7C92B3">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屏幕正面无实体按键，便于对设备正面清洁；侧面有实体扫描按键、音量按键；独立的语音对讲按键，可实现语音病例书写</w:t>
            </w:r>
          </w:p>
        </w:tc>
      </w:tr>
      <w:tr w14:paraId="41E42BFB">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4068BD00">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通话</w:t>
            </w:r>
          </w:p>
        </w:tc>
        <w:tc>
          <w:tcPr>
            <w:tcW w:w="6894" w:type="dxa"/>
            <w:tcBorders>
              <w:top w:val="single" w:color="1F2329" w:sz="4" w:space="0"/>
              <w:left w:val="single" w:color="1F2329" w:sz="4" w:space="0"/>
              <w:bottom w:val="single" w:color="1F2329" w:sz="4" w:space="0"/>
              <w:right w:val="single" w:color="1F2329" w:sz="4" w:space="0"/>
            </w:tcBorders>
            <w:vAlign w:val="center"/>
          </w:tcPr>
          <w:p w14:paraId="0D2790A1">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内置听筒及麦克，可支持语音通话及床旁呼叫</w:t>
            </w:r>
          </w:p>
        </w:tc>
      </w:tr>
      <w:tr w14:paraId="75356D1E">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69781E90">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WIFI</w:t>
            </w:r>
          </w:p>
        </w:tc>
        <w:tc>
          <w:tcPr>
            <w:tcW w:w="6894" w:type="dxa"/>
            <w:tcBorders>
              <w:top w:val="single" w:color="1F2329" w:sz="4" w:space="0"/>
              <w:left w:val="single" w:color="1F2329" w:sz="4" w:space="0"/>
              <w:bottom w:val="single" w:color="1F2329" w:sz="4" w:space="0"/>
              <w:right w:val="single" w:color="1F2329" w:sz="4" w:space="0"/>
            </w:tcBorders>
            <w:vAlign w:val="center"/>
          </w:tcPr>
          <w:p w14:paraId="4039671C">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支持2.4G/5G 双频，IEEE 802.11a/b/g/n/ac/d/e/h/i/k/r/v/w 协议 快速漫游：802.11r /OKC/ PMKID caching 支持IEEE 802.11 ax ready</w:t>
            </w:r>
          </w:p>
        </w:tc>
      </w:tr>
      <w:tr w14:paraId="6D528BE4">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1DA810D6">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蓝牙</w:t>
            </w:r>
          </w:p>
        </w:tc>
        <w:tc>
          <w:tcPr>
            <w:tcW w:w="6894" w:type="dxa"/>
            <w:tcBorders>
              <w:top w:val="single" w:color="1F2329" w:sz="4" w:space="0"/>
              <w:left w:val="single" w:color="1F2329" w:sz="4" w:space="0"/>
              <w:bottom w:val="single" w:color="1F2329" w:sz="4" w:space="0"/>
              <w:right w:val="single" w:color="1F2329" w:sz="4" w:space="0"/>
            </w:tcBorders>
            <w:vAlign w:val="center"/>
          </w:tcPr>
          <w:p w14:paraId="539A9BA9">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蓝牙5.0或以上,支持 BR/EDR + BLE</w:t>
            </w:r>
          </w:p>
        </w:tc>
      </w:tr>
      <w:tr w14:paraId="509CE305">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12CDA071">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通信制式</w:t>
            </w:r>
          </w:p>
        </w:tc>
        <w:tc>
          <w:tcPr>
            <w:tcW w:w="6894" w:type="dxa"/>
            <w:tcBorders>
              <w:top w:val="single" w:color="1F2329" w:sz="4" w:space="0"/>
              <w:left w:val="single" w:color="1F2329" w:sz="4" w:space="0"/>
              <w:bottom w:val="single" w:color="1F2329" w:sz="4" w:space="0"/>
              <w:right w:val="single" w:color="1F2329" w:sz="4" w:space="0"/>
            </w:tcBorders>
            <w:vAlign w:val="center"/>
          </w:tcPr>
          <w:p w14:paraId="7590D734">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支持4G 全网通,向下兼容3G、2G网络</w:t>
            </w:r>
          </w:p>
        </w:tc>
      </w:tr>
      <w:tr w14:paraId="3B8FA1C2">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2DBE1DB2">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音频</w:t>
            </w:r>
          </w:p>
        </w:tc>
        <w:tc>
          <w:tcPr>
            <w:tcW w:w="6894" w:type="dxa"/>
            <w:tcBorders>
              <w:top w:val="single" w:color="1F2329" w:sz="4" w:space="0"/>
              <w:left w:val="single" w:color="1F2329" w:sz="4" w:space="0"/>
              <w:bottom w:val="single" w:color="1F2329" w:sz="4" w:space="0"/>
              <w:right w:val="single" w:color="1F2329" w:sz="4" w:space="0"/>
            </w:tcBorders>
            <w:vAlign w:val="center"/>
          </w:tcPr>
          <w:p w14:paraId="7185F833">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需内置双麦克，高语音交互质量 支持1.5W高音质喇叭，</w:t>
            </w:r>
          </w:p>
        </w:tc>
      </w:tr>
      <w:tr w14:paraId="6884A425">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103D523E">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摄像头</w:t>
            </w:r>
          </w:p>
        </w:tc>
        <w:tc>
          <w:tcPr>
            <w:tcW w:w="6894" w:type="dxa"/>
            <w:tcBorders>
              <w:top w:val="single" w:color="1F2329" w:sz="4" w:space="0"/>
              <w:left w:val="single" w:color="1F2329" w:sz="4" w:space="0"/>
              <w:bottom w:val="single" w:color="1F2329" w:sz="4" w:space="0"/>
              <w:right w:val="single" w:color="1F2329" w:sz="4" w:space="0"/>
            </w:tcBorders>
            <w:vAlign w:val="center"/>
          </w:tcPr>
          <w:p w14:paraId="1B88C1EF">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前置摄像头：≥500万像素； 后置摄像头：≥1300万像素；支持变焦、自动对焦；能支持现场录像功能；</w:t>
            </w:r>
          </w:p>
        </w:tc>
      </w:tr>
      <w:tr w14:paraId="0A9371D0">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439A13BB">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手电筒</w:t>
            </w:r>
          </w:p>
        </w:tc>
        <w:tc>
          <w:tcPr>
            <w:tcW w:w="6894" w:type="dxa"/>
            <w:tcBorders>
              <w:top w:val="single" w:color="1F2329" w:sz="4" w:space="0"/>
              <w:left w:val="single" w:color="1F2329" w:sz="4" w:space="0"/>
              <w:bottom w:val="single" w:color="1F2329" w:sz="4" w:space="0"/>
              <w:right w:val="single" w:color="1F2329" w:sz="4" w:space="0"/>
            </w:tcBorders>
            <w:vAlign w:val="center"/>
          </w:tcPr>
          <w:p w14:paraId="08F3C32E">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支持手电筒功能</w:t>
            </w:r>
          </w:p>
        </w:tc>
      </w:tr>
      <w:tr w14:paraId="11EADEA3">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5581F195">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RFID</w:t>
            </w:r>
          </w:p>
        </w:tc>
        <w:tc>
          <w:tcPr>
            <w:tcW w:w="6894" w:type="dxa"/>
            <w:tcBorders>
              <w:top w:val="single" w:color="1F2329" w:sz="4" w:space="0"/>
              <w:left w:val="single" w:color="1F2329" w:sz="4" w:space="0"/>
              <w:bottom w:val="single" w:color="1F2329" w:sz="4" w:space="0"/>
              <w:right w:val="single" w:color="1F2329" w:sz="4" w:space="0"/>
            </w:tcBorders>
            <w:vAlign w:val="center"/>
          </w:tcPr>
          <w:p w14:paraId="751DC3BB">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13.56MHz，支持ISO14443 A&amp;B、ISO15693协议，支持NFC；</w:t>
            </w:r>
          </w:p>
        </w:tc>
      </w:tr>
      <w:tr w14:paraId="449C933B">
        <w:tblPrEx>
          <w:tblCellMar>
            <w:top w:w="15" w:type="dxa"/>
            <w:left w:w="15" w:type="dxa"/>
            <w:bottom w:w="15" w:type="dxa"/>
            <w:right w:w="15" w:type="dxa"/>
          </w:tblCellMar>
        </w:tblPrEx>
        <w:trPr>
          <w:trHeight w:val="130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7A6BD6DF">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条码扫描</w:t>
            </w:r>
          </w:p>
        </w:tc>
        <w:tc>
          <w:tcPr>
            <w:tcW w:w="6894" w:type="dxa"/>
            <w:tcBorders>
              <w:top w:val="single" w:color="1F2329" w:sz="4" w:space="0"/>
              <w:left w:val="single" w:color="1F2329" w:sz="4" w:space="0"/>
              <w:bottom w:val="single" w:color="1F2329" w:sz="4" w:space="0"/>
              <w:right w:val="single" w:color="1F2329" w:sz="4" w:space="0"/>
            </w:tcBorders>
            <w:vAlign w:val="center"/>
          </w:tcPr>
          <w:p w14:paraId="161F2A0B">
            <w:pPr>
              <w:ind w:left="0" w:leftChars="0" w:firstLine="0" w:firstLineChars="0"/>
              <w:rPr>
                <w:rFonts w:hint="default" w:eastAsia="宋体" w:asciiTheme="minorEastAsia" w:hAnsiTheme="minorEastAsia" w:cstheme="minorEastAsia"/>
                <w:szCs w:val="18"/>
                <w:highlight w:val="none"/>
                <w:lang w:val="en-US" w:eastAsia="zh-CN"/>
              </w:rPr>
            </w:pPr>
            <w:r>
              <w:rPr>
                <w:rFonts w:hint="eastAsia" w:asciiTheme="minorEastAsia" w:hAnsiTheme="minorEastAsia" w:eastAsiaTheme="minorEastAsia" w:cstheme="minorEastAsia"/>
                <w:szCs w:val="18"/>
                <w:highlight w:val="none"/>
              </w:rPr>
              <w:t>▲可读取国际通用一维条码和二维条码 同时支持左右两侧实体扫描按键及屏幕虚拟扫描按键扫描 扫码需具备十字光线瞄准定位，并带有相应的安全指示标志</w:t>
            </w:r>
            <w:r>
              <w:rPr>
                <w:rFonts w:hint="eastAsia"/>
                <w:highlight w:val="none"/>
                <w:lang w:val="en-US" w:eastAsia="zh-CN"/>
              </w:rPr>
              <w:t>，需提供实物照片证明材料。</w:t>
            </w:r>
          </w:p>
        </w:tc>
      </w:tr>
      <w:tr w14:paraId="6CA356A8">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45C910DB">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定位</w:t>
            </w:r>
          </w:p>
        </w:tc>
        <w:tc>
          <w:tcPr>
            <w:tcW w:w="6894" w:type="dxa"/>
            <w:tcBorders>
              <w:top w:val="single" w:color="1F2329" w:sz="4" w:space="0"/>
              <w:left w:val="single" w:color="1F2329" w:sz="4" w:space="0"/>
              <w:bottom w:val="single" w:color="1F2329" w:sz="4" w:space="0"/>
              <w:right w:val="single" w:color="1F2329" w:sz="4" w:space="0"/>
            </w:tcBorders>
            <w:vAlign w:val="center"/>
          </w:tcPr>
          <w:p w14:paraId="4D9873E7">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支持高GPS，A-GPS、北斗和GLONASS定位</w:t>
            </w:r>
          </w:p>
        </w:tc>
      </w:tr>
      <w:tr w14:paraId="6C65D5F1">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514060E5">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防护等级</w:t>
            </w:r>
          </w:p>
        </w:tc>
        <w:tc>
          <w:tcPr>
            <w:tcW w:w="6894" w:type="dxa"/>
            <w:tcBorders>
              <w:top w:val="single" w:color="1F2329" w:sz="4" w:space="0"/>
              <w:left w:val="single" w:color="1F2329" w:sz="4" w:space="0"/>
              <w:bottom w:val="single" w:color="1F2329" w:sz="4" w:space="0"/>
              <w:right w:val="single" w:color="1F2329" w:sz="4" w:space="0"/>
            </w:tcBorders>
            <w:vAlign w:val="center"/>
          </w:tcPr>
          <w:p w14:paraId="2DD20064">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IP67防护等级，需提供带CMA盖章相关证书；可承受 1.5m 高处到地面的多次跌落</w:t>
            </w:r>
            <w:r>
              <w:rPr>
                <w:rFonts w:hint="eastAsia" w:asciiTheme="minorEastAsia" w:hAnsiTheme="minorEastAsia" w:eastAsiaTheme="minorEastAsia" w:cstheme="minorEastAsia"/>
                <w:szCs w:val="18"/>
                <w:highlight w:val="none"/>
                <w:lang w:eastAsia="zh-CN"/>
              </w:rPr>
              <w:t>。</w:t>
            </w:r>
          </w:p>
        </w:tc>
      </w:tr>
      <w:tr w14:paraId="030AF1B5">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19CD61AF">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TF卡槽</w:t>
            </w:r>
          </w:p>
        </w:tc>
        <w:tc>
          <w:tcPr>
            <w:tcW w:w="6894" w:type="dxa"/>
            <w:tcBorders>
              <w:top w:val="single" w:color="1F2329" w:sz="4" w:space="0"/>
              <w:left w:val="single" w:color="1F2329" w:sz="4" w:space="0"/>
              <w:bottom w:val="single" w:color="1F2329" w:sz="4" w:space="0"/>
              <w:right w:val="single" w:color="1F2329" w:sz="4" w:space="0"/>
            </w:tcBorders>
            <w:vAlign w:val="center"/>
          </w:tcPr>
          <w:p w14:paraId="77293609">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支持TF卡槽，支持256GB或以上存储扩展卡</w:t>
            </w:r>
          </w:p>
        </w:tc>
      </w:tr>
      <w:tr w14:paraId="1D81905B">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55E75896">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SIM卡槽</w:t>
            </w:r>
          </w:p>
        </w:tc>
        <w:tc>
          <w:tcPr>
            <w:tcW w:w="6894" w:type="dxa"/>
            <w:tcBorders>
              <w:top w:val="single" w:color="1F2329" w:sz="4" w:space="0"/>
              <w:left w:val="single" w:color="1F2329" w:sz="4" w:space="0"/>
              <w:bottom w:val="single" w:color="1F2329" w:sz="4" w:space="0"/>
              <w:right w:val="single" w:color="1F2329" w:sz="4" w:space="0"/>
            </w:tcBorders>
            <w:vAlign w:val="center"/>
          </w:tcPr>
          <w:p w14:paraId="273E564D">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支持通用Nano-SIM卡，支持双卡双待，用户可在不使用任何工具的情况下装取SIM卡</w:t>
            </w:r>
          </w:p>
        </w:tc>
      </w:tr>
      <w:tr w14:paraId="4E1AE56B">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0E8BB85F">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振动</w:t>
            </w:r>
          </w:p>
        </w:tc>
        <w:tc>
          <w:tcPr>
            <w:tcW w:w="6894" w:type="dxa"/>
            <w:tcBorders>
              <w:top w:val="single" w:color="1F2329" w:sz="4" w:space="0"/>
              <w:left w:val="single" w:color="1F2329" w:sz="4" w:space="0"/>
              <w:bottom w:val="single" w:color="1F2329" w:sz="4" w:space="0"/>
              <w:right w:val="single" w:color="1F2329" w:sz="4" w:space="0"/>
            </w:tcBorders>
            <w:vAlign w:val="center"/>
          </w:tcPr>
          <w:p w14:paraId="212CC8AA">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1) 整机能有明显的振动 2) 整机振动均匀，无异常响声；</w:t>
            </w:r>
          </w:p>
        </w:tc>
      </w:tr>
      <w:tr w14:paraId="2C21F1A5">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78E01488">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电池</w:t>
            </w:r>
          </w:p>
        </w:tc>
        <w:tc>
          <w:tcPr>
            <w:tcW w:w="6894" w:type="dxa"/>
            <w:tcBorders>
              <w:top w:val="single" w:color="1F2329" w:sz="4" w:space="0"/>
              <w:left w:val="single" w:color="1F2329" w:sz="4" w:space="0"/>
              <w:bottom w:val="single" w:color="1F2329" w:sz="4" w:space="0"/>
              <w:right w:val="single" w:color="1F2329" w:sz="4" w:space="0"/>
            </w:tcBorders>
            <w:vAlign w:val="center"/>
          </w:tcPr>
          <w:p w14:paraId="47809D5E">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5000mAh或以上锂电池， 为保证续航使用，用户无需工具可手动拆卸更换。</w:t>
            </w:r>
          </w:p>
        </w:tc>
      </w:tr>
      <w:tr w14:paraId="0EAD0CAC">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2D402042">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传感器</w:t>
            </w:r>
          </w:p>
        </w:tc>
        <w:tc>
          <w:tcPr>
            <w:tcW w:w="6894" w:type="dxa"/>
            <w:tcBorders>
              <w:top w:val="single" w:color="1F2329" w:sz="4" w:space="0"/>
              <w:left w:val="single" w:color="1F2329" w:sz="4" w:space="0"/>
              <w:bottom w:val="single" w:color="1F2329" w:sz="4" w:space="0"/>
              <w:right w:val="single" w:color="1F2329" w:sz="4" w:space="0"/>
            </w:tcBorders>
            <w:vAlign w:val="center"/>
          </w:tcPr>
          <w:p w14:paraId="10224B3D">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支持距离感应、光线感应和加速度感应</w:t>
            </w:r>
          </w:p>
        </w:tc>
      </w:tr>
      <w:tr w14:paraId="6EF159D0">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1FCBEE17">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指纹</w:t>
            </w:r>
          </w:p>
        </w:tc>
        <w:tc>
          <w:tcPr>
            <w:tcW w:w="6894" w:type="dxa"/>
            <w:tcBorders>
              <w:top w:val="single" w:color="1F2329" w:sz="4" w:space="0"/>
              <w:left w:val="single" w:color="1F2329" w:sz="4" w:space="0"/>
              <w:bottom w:val="single" w:color="1F2329" w:sz="4" w:space="0"/>
              <w:right w:val="single" w:color="1F2329" w:sz="4" w:space="0"/>
            </w:tcBorders>
            <w:vAlign w:val="center"/>
          </w:tcPr>
          <w:p w14:paraId="6D79A665">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设备可选配电容指纹模块</w:t>
            </w:r>
          </w:p>
        </w:tc>
      </w:tr>
      <w:tr w14:paraId="604F2361">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3C0F7AC5">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充电底座</w:t>
            </w:r>
          </w:p>
        </w:tc>
        <w:tc>
          <w:tcPr>
            <w:tcW w:w="6894" w:type="dxa"/>
            <w:tcBorders>
              <w:top w:val="single" w:color="1F2329" w:sz="4" w:space="0"/>
              <w:left w:val="single" w:color="1F2329" w:sz="4" w:space="0"/>
              <w:bottom w:val="single" w:color="1F2329" w:sz="4" w:space="0"/>
              <w:right w:val="single" w:color="1F2329" w:sz="4" w:space="0"/>
            </w:tcBorders>
            <w:vAlign w:val="center"/>
          </w:tcPr>
          <w:p w14:paraId="38E5BB4C">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可提供一机一电充电底座，同时充电一个主机和一块电池</w:t>
            </w:r>
          </w:p>
        </w:tc>
      </w:tr>
      <w:tr w14:paraId="0A2A0951">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570D3919">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绑带</w:t>
            </w:r>
          </w:p>
        </w:tc>
        <w:tc>
          <w:tcPr>
            <w:tcW w:w="6894" w:type="dxa"/>
            <w:tcBorders>
              <w:top w:val="single" w:color="1F2329" w:sz="4" w:space="0"/>
              <w:left w:val="single" w:color="1F2329" w:sz="4" w:space="0"/>
              <w:bottom w:val="single" w:color="1F2329" w:sz="4" w:space="0"/>
              <w:right w:val="single" w:color="1F2329" w:sz="4" w:space="0"/>
            </w:tcBorders>
            <w:vAlign w:val="center"/>
          </w:tcPr>
          <w:p w14:paraId="31544D66">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主机本体可支持直接装配绑带（非挂绳），便于持握设备时稳定</w:t>
            </w:r>
          </w:p>
        </w:tc>
      </w:tr>
      <w:tr w14:paraId="769BFCC9">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09B411F1">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快捷设置</w:t>
            </w:r>
          </w:p>
        </w:tc>
        <w:tc>
          <w:tcPr>
            <w:tcW w:w="6894" w:type="dxa"/>
            <w:tcBorders>
              <w:top w:val="single" w:color="1F2329" w:sz="4" w:space="0"/>
              <w:left w:val="single" w:color="1F2329" w:sz="4" w:space="0"/>
              <w:bottom w:val="single" w:color="1F2329" w:sz="4" w:space="0"/>
              <w:right w:val="single" w:color="1F2329" w:sz="4" w:space="0"/>
            </w:tcBorders>
            <w:vAlign w:val="center"/>
          </w:tcPr>
          <w:p w14:paraId="5C20EFCA">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通过NFC实现快速同步其他设备设置，如同步扫描头设置状态、WiFi 连接、系统休眠时间、屏幕亮度、字体大小等设置</w:t>
            </w:r>
          </w:p>
        </w:tc>
      </w:tr>
      <w:tr w14:paraId="1E7B8B2D">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593D9425">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OTA升级</w:t>
            </w:r>
          </w:p>
        </w:tc>
        <w:tc>
          <w:tcPr>
            <w:tcW w:w="6894" w:type="dxa"/>
            <w:tcBorders>
              <w:top w:val="single" w:color="1F2329" w:sz="4" w:space="0"/>
              <w:left w:val="single" w:color="1F2329" w:sz="4" w:space="0"/>
              <w:bottom w:val="single" w:color="1F2329" w:sz="4" w:space="0"/>
              <w:right w:val="single" w:color="1F2329" w:sz="4" w:space="0"/>
            </w:tcBorders>
            <w:vAlign w:val="center"/>
          </w:tcPr>
          <w:p w14:paraId="2A69234A">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支持OTA在线系统升级</w:t>
            </w:r>
          </w:p>
        </w:tc>
      </w:tr>
      <w:tr w14:paraId="0A87ACF7">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04970728">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自动安装应用</w:t>
            </w:r>
          </w:p>
        </w:tc>
        <w:tc>
          <w:tcPr>
            <w:tcW w:w="6894" w:type="dxa"/>
            <w:tcBorders>
              <w:top w:val="single" w:color="1F2329" w:sz="4" w:space="0"/>
              <w:left w:val="single" w:color="1F2329" w:sz="4" w:space="0"/>
              <w:bottom w:val="single" w:color="1F2329" w:sz="4" w:space="0"/>
              <w:right w:val="single" w:color="1F2329" w:sz="4" w:space="0"/>
            </w:tcBorders>
            <w:vAlign w:val="center"/>
          </w:tcPr>
          <w:p w14:paraId="30FA39C9">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不借助任何第三方软件实现APP自动安装，将apk放到设备目录下，可开机后自动安装</w:t>
            </w:r>
          </w:p>
        </w:tc>
      </w:tr>
      <w:tr w14:paraId="7F67BE76">
        <w:tblPrEx>
          <w:tblCellMar>
            <w:top w:w="15" w:type="dxa"/>
            <w:left w:w="15" w:type="dxa"/>
            <w:bottom w:w="15" w:type="dxa"/>
            <w:right w:w="15" w:type="dxa"/>
          </w:tblCellMar>
        </w:tblPrEx>
        <w:trPr>
          <w:trHeight w:val="92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12032426">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设备配置</w:t>
            </w:r>
          </w:p>
        </w:tc>
        <w:tc>
          <w:tcPr>
            <w:tcW w:w="6894" w:type="dxa"/>
            <w:tcBorders>
              <w:top w:val="single" w:color="1F2329" w:sz="4" w:space="0"/>
              <w:left w:val="single" w:color="1F2329" w:sz="4" w:space="0"/>
              <w:bottom w:val="single" w:color="1F2329" w:sz="4" w:space="0"/>
              <w:right w:val="single" w:color="1F2329" w:sz="4" w:space="0"/>
            </w:tcBorders>
            <w:vAlign w:val="center"/>
          </w:tcPr>
          <w:p w14:paraId="1D8E83EC">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不借助任何第三方软件实现修改设备特殊设置，如禁止任务栏下拉、屏蔽虚拟按键、禁止输入法自动弹出、按键映射等</w:t>
            </w:r>
          </w:p>
        </w:tc>
      </w:tr>
      <w:tr w14:paraId="4EABA0BF">
        <w:tblPrEx>
          <w:tblCellMar>
            <w:top w:w="15" w:type="dxa"/>
            <w:left w:w="15" w:type="dxa"/>
            <w:bottom w:w="15" w:type="dxa"/>
            <w:right w:w="15" w:type="dxa"/>
          </w:tblCellMar>
        </w:tblPrEx>
        <w:trPr>
          <w:trHeight w:val="540"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4A02AAE1">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设备管理</w:t>
            </w:r>
          </w:p>
        </w:tc>
        <w:tc>
          <w:tcPr>
            <w:tcW w:w="6894" w:type="dxa"/>
            <w:tcBorders>
              <w:top w:val="single" w:color="1F2329" w:sz="4" w:space="0"/>
              <w:left w:val="single" w:color="1F2329" w:sz="4" w:space="0"/>
              <w:bottom w:val="single" w:color="1F2329" w:sz="4" w:space="0"/>
              <w:right w:val="single" w:color="1F2329" w:sz="4" w:space="0"/>
            </w:tcBorders>
            <w:vAlign w:val="center"/>
          </w:tcPr>
          <w:p w14:paraId="636256DF">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可提供MDM设备管理平台，远程监管设备，批量应用安装，远程定位，安全管控等</w:t>
            </w:r>
          </w:p>
        </w:tc>
      </w:tr>
      <w:tr w14:paraId="13601AC4">
        <w:tblPrEx>
          <w:tblCellMar>
            <w:top w:w="15" w:type="dxa"/>
            <w:left w:w="15" w:type="dxa"/>
            <w:bottom w:w="15" w:type="dxa"/>
            <w:right w:w="15" w:type="dxa"/>
          </w:tblCellMar>
        </w:tblPrEx>
        <w:trPr>
          <w:trHeight w:val="788" w:hRule="atLeast"/>
        </w:trPr>
        <w:tc>
          <w:tcPr>
            <w:tcW w:w="1442" w:type="dxa"/>
            <w:tcBorders>
              <w:top w:val="single" w:color="1F2329" w:sz="4" w:space="0"/>
              <w:left w:val="single" w:color="1F2329" w:sz="4" w:space="0"/>
              <w:bottom w:val="single" w:color="1F2329" w:sz="4" w:space="0"/>
              <w:right w:val="single" w:color="1F2329" w:sz="4" w:space="0"/>
            </w:tcBorders>
            <w:noWrap/>
            <w:vAlign w:val="center"/>
          </w:tcPr>
          <w:p w14:paraId="2942A345">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szCs w:val="18"/>
                <w:highlight w:val="none"/>
              </w:rPr>
              <w:t>资质认证</w:t>
            </w:r>
          </w:p>
        </w:tc>
        <w:tc>
          <w:tcPr>
            <w:tcW w:w="6894" w:type="dxa"/>
            <w:tcBorders>
              <w:top w:val="single" w:color="1F2329" w:sz="4" w:space="0"/>
              <w:left w:val="single" w:color="1F2329" w:sz="4" w:space="0"/>
              <w:bottom w:val="single" w:color="1F2329" w:sz="4" w:space="0"/>
              <w:right w:val="single" w:color="1F2329" w:sz="4" w:space="0"/>
            </w:tcBorders>
            <w:vAlign w:val="center"/>
          </w:tcPr>
          <w:p w14:paraId="7C7E4669">
            <w:pPr>
              <w:ind w:left="0" w:leftChars="0" w:firstLine="0" w:firstLineChars="0"/>
              <w:rPr>
                <w:rFonts w:asciiTheme="minorEastAsia" w:hAnsiTheme="minorEastAsia" w:eastAsiaTheme="minorEastAsia" w:cstheme="minorEastAsia"/>
                <w:szCs w:val="18"/>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szCs w:val="18"/>
                <w:highlight w:val="none"/>
              </w:rPr>
              <w:t>医疗耐菌认证，可耐受大肠杆菌和金黄色葡萄球菌（提供符合JIS Z 2801：2010检测标</w:t>
            </w:r>
            <w:r>
              <w:rPr>
                <w:rFonts w:hint="eastAsia" w:asciiTheme="minorEastAsia" w:hAnsiTheme="minorEastAsia" w:eastAsiaTheme="minorEastAsia" w:cstheme="minorEastAsia"/>
                <w:color w:val="auto"/>
                <w:szCs w:val="18"/>
                <w:highlight w:val="none"/>
              </w:rPr>
              <w:t>准的盖章C</w:t>
            </w:r>
            <w:r>
              <w:rPr>
                <w:rFonts w:hint="eastAsia" w:asciiTheme="minorEastAsia" w:hAnsiTheme="minorEastAsia" w:eastAsiaTheme="minorEastAsia" w:cstheme="minorEastAsia"/>
                <w:color w:val="auto"/>
                <w:szCs w:val="18"/>
                <w:highlight w:val="none"/>
                <w:u w:val="none"/>
                <w:lang w:val="en-US" w:eastAsia="zh-CN"/>
              </w:rPr>
              <w:t>MA</w:t>
            </w:r>
            <w:r>
              <w:rPr>
                <w:rFonts w:hint="eastAsia" w:asciiTheme="minorEastAsia" w:hAnsiTheme="minorEastAsia" w:eastAsiaTheme="minorEastAsia" w:cstheme="minorEastAsia"/>
                <w:color w:val="auto"/>
                <w:szCs w:val="18"/>
                <w:highlight w:val="none"/>
              </w:rPr>
              <w:t>检测</w:t>
            </w:r>
            <w:r>
              <w:rPr>
                <w:rFonts w:hint="eastAsia" w:asciiTheme="minorEastAsia" w:hAnsiTheme="minorEastAsia" w:eastAsiaTheme="minorEastAsia" w:cstheme="minorEastAsia"/>
                <w:szCs w:val="18"/>
                <w:highlight w:val="none"/>
              </w:rPr>
              <w:t>报告）</w:t>
            </w:r>
          </w:p>
        </w:tc>
      </w:tr>
    </w:tbl>
    <w:p w14:paraId="68EF84FA">
      <w:pPr>
        <w:rPr>
          <w:rFonts w:asciiTheme="minorEastAsia" w:hAnsiTheme="minorEastAsia" w:eastAsiaTheme="minorEastAsia" w:cstheme="minorEastAsia"/>
          <w:highlight w:val="none"/>
        </w:rPr>
      </w:pPr>
    </w:p>
    <w:p w14:paraId="47CD585E">
      <w:pPr>
        <w:pStyle w:val="5"/>
        <w:ind w:firstLine="56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扫码墩</w:t>
      </w:r>
    </w:p>
    <w:tbl>
      <w:tblPr>
        <w:tblStyle w:val="10"/>
        <w:tblW w:w="0" w:type="auto"/>
        <w:tblInd w:w="0" w:type="dxa"/>
        <w:tblLayout w:type="autofit"/>
        <w:tblCellMar>
          <w:top w:w="15" w:type="dxa"/>
          <w:left w:w="15" w:type="dxa"/>
          <w:bottom w:w="15" w:type="dxa"/>
          <w:right w:w="15" w:type="dxa"/>
        </w:tblCellMar>
      </w:tblPr>
      <w:tblGrid>
        <w:gridCol w:w="1487"/>
        <w:gridCol w:w="6849"/>
      </w:tblGrid>
      <w:tr w14:paraId="0185003C">
        <w:tblPrEx>
          <w:tblCellMar>
            <w:top w:w="15" w:type="dxa"/>
            <w:left w:w="15" w:type="dxa"/>
            <w:bottom w:w="15" w:type="dxa"/>
            <w:right w:w="15" w:type="dxa"/>
          </w:tblCellMar>
        </w:tblPrEx>
        <w:trPr>
          <w:trHeight w:val="575" w:hRule="atLeast"/>
        </w:trPr>
        <w:tc>
          <w:tcPr>
            <w:tcW w:w="1487" w:type="dxa"/>
            <w:tcBorders>
              <w:top w:val="single" w:color="1F2329" w:sz="4" w:space="0"/>
              <w:left w:val="single" w:color="1F2329" w:sz="4" w:space="0"/>
              <w:bottom w:val="single" w:color="1F2329" w:sz="4" w:space="0"/>
              <w:right w:val="single" w:color="1F2329" w:sz="4" w:space="0"/>
            </w:tcBorders>
            <w:vAlign w:val="center"/>
          </w:tcPr>
          <w:p w14:paraId="2BC3D70E">
            <w:pPr>
              <w:ind w:left="0" w:leftChars="0" w:firstLine="0" w:firstLineChars="0"/>
              <w:rPr>
                <w:rFonts w:asciiTheme="minorEastAsia" w:hAnsiTheme="minorEastAsia" w:eastAsiaTheme="minorEastAsia" w:cstheme="minorEastAsia"/>
                <w:color w:val="000000"/>
                <w:kern w:val="0"/>
                <w:sz w:val="20"/>
                <w:szCs w:val="20"/>
                <w:highlight w:val="none"/>
                <w:lang w:bidi="ar"/>
              </w:rPr>
            </w:pPr>
            <w:r>
              <w:rPr>
                <w:rFonts w:hint="eastAsia" w:asciiTheme="minorEastAsia" w:hAnsiTheme="minorEastAsia" w:eastAsiaTheme="minorEastAsia" w:cstheme="minorEastAsia"/>
                <w:highlight w:val="none"/>
              </w:rPr>
              <w:t>指标项</w:t>
            </w:r>
          </w:p>
        </w:tc>
        <w:tc>
          <w:tcPr>
            <w:tcW w:w="6849" w:type="dxa"/>
            <w:tcBorders>
              <w:top w:val="single" w:color="1F2329" w:sz="4" w:space="0"/>
              <w:left w:val="single" w:color="1F2329" w:sz="4" w:space="0"/>
              <w:bottom w:val="single" w:color="1F2329" w:sz="4" w:space="0"/>
              <w:right w:val="single" w:color="1F2329" w:sz="4" w:space="0"/>
            </w:tcBorders>
            <w:vAlign w:val="center"/>
          </w:tcPr>
          <w:p w14:paraId="131E03D0">
            <w:pPr>
              <w:ind w:left="0" w:leftChars="0" w:firstLine="0" w:firstLineChars="0"/>
              <w:rPr>
                <w:rFonts w:asciiTheme="minorEastAsia" w:hAnsiTheme="minorEastAsia" w:eastAsiaTheme="minorEastAsia" w:cstheme="minorEastAsia"/>
                <w:color w:val="000000"/>
                <w:kern w:val="0"/>
                <w:sz w:val="20"/>
                <w:szCs w:val="20"/>
                <w:highlight w:val="none"/>
                <w:lang w:bidi="ar"/>
              </w:rPr>
            </w:pPr>
            <w:r>
              <w:rPr>
                <w:rFonts w:hint="eastAsia" w:asciiTheme="minorEastAsia" w:hAnsiTheme="minorEastAsia" w:eastAsiaTheme="minorEastAsia" w:cstheme="minorEastAsia"/>
                <w:highlight w:val="none"/>
              </w:rPr>
              <w:t>招标需求</w:t>
            </w:r>
          </w:p>
        </w:tc>
      </w:tr>
      <w:tr w14:paraId="40C680D6">
        <w:tblPrEx>
          <w:tblCellMar>
            <w:top w:w="15" w:type="dxa"/>
            <w:left w:w="15" w:type="dxa"/>
            <w:bottom w:w="15" w:type="dxa"/>
            <w:right w:w="15" w:type="dxa"/>
          </w:tblCellMar>
        </w:tblPrEx>
        <w:trPr>
          <w:trHeight w:val="1915" w:hRule="atLeast"/>
        </w:trPr>
        <w:tc>
          <w:tcPr>
            <w:tcW w:w="1487" w:type="dxa"/>
            <w:tcBorders>
              <w:top w:val="single" w:color="1F2329" w:sz="4" w:space="0"/>
              <w:left w:val="single" w:color="1F2329" w:sz="4" w:space="0"/>
              <w:bottom w:val="single" w:color="1F2329" w:sz="4" w:space="0"/>
              <w:right w:val="single" w:color="1F2329" w:sz="4" w:space="0"/>
            </w:tcBorders>
            <w:vAlign w:val="center"/>
          </w:tcPr>
          <w:p w14:paraId="66669DB7">
            <w:pPr>
              <w:ind w:left="0" w:leftChars="0" w:firstLine="0" w:firstLineChars="0"/>
              <w:textAlignment w:val="center"/>
              <w:rPr>
                <w:rFonts w:asciiTheme="minorEastAsia" w:hAnsiTheme="minorEastAsia" w:eastAsiaTheme="minorEastAsia" w:cstheme="minorEastAsia"/>
                <w:color w:val="000000"/>
                <w:kern w:val="0"/>
                <w:sz w:val="20"/>
                <w:szCs w:val="20"/>
                <w:highlight w:val="none"/>
                <w:lang w:bidi="ar"/>
              </w:rPr>
            </w:pPr>
            <w:r>
              <w:rPr>
                <w:rFonts w:hint="eastAsia" w:asciiTheme="minorEastAsia" w:hAnsiTheme="minorEastAsia" w:eastAsiaTheme="minorEastAsia" w:cstheme="minorEastAsia"/>
                <w:highlight w:val="none"/>
              </w:rPr>
              <w:t>基本参数</w:t>
            </w:r>
          </w:p>
        </w:tc>
        <w:tc>
          <w:tcPr>
            <w:tcW w:w="6849" w:type="dxa"/>
            <w:tcBorders>
              <w:top w:val="single" w:color="1F2329" w:sz="4" w:space="0"/>
              <w:left w:val="single" w:color="1F2329" w:sz="4" w:space="0"/>
              <w:bottom w:val="single" w:color="1F2329" w:sz="4" w:space="0"/>
              <w:right w:val="single" w:color="1F2329" w:sz="4" w:space="0"/>
            </w:tcBorders>
            <w:vAlign w:val="center"/>
          </w:tcPr>
          <w:p w14:paraId="09BD5DD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固定式条码扫描器，传输方式：有线。采用CMOS扫描方式，分辨率640×480。UIMG核心解码技术，配备白光LED光源，可快速识读低亮度的屏幕条码，扫描角度水平69.5°，垂直54.8°。扫描介质：纸质/屏幕。条码灵敏度：旋转: 360°, 偏转: ±50°, 倾斜: ±50°。通过USB接口连接。支持多种2D码制如PDF417、QR Code等，以及1D码制包括Code 128、EAN-13、UPC-A等。</w:t>
            </w:r>
          </w:p>
        </w:tc>
      </w:tr>
    </w:tbl>
    <w:p w14:paraId="1A496943">
      <w:pPr>
        <w:pStyle w:val="5"/>
        <w:ind w:firstLine="482"/>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医保卡读卡器</w:t>
      </w:r>
    </w:p>
    <w:tbl>
      <w:tblPr>
        <w:tblStyle w:val="10"/>
        <w:tblW w:w="0" w:type="auto"/>
        <w:tblInd w:w="0" w:type="dxa"/>
        <w:tblLayout w:type="autofit"/>
        <w:tblCellMar>
          <w:top w:w="15" w:type="dxa"/>
          <w:left w:w="15" w:type="dxa"/>
          <w:bottom w:w="15" w:type="dxa"/>
          <w:right w:w="15" w:type="dxa"/>
        </w:tblCellMar>
      </w:tblPr>
      <w:tblGrid>
        <w:gridCol w:w="1462"/>
        <w:gridCol w:w="6874"/>
      </w:tblGrid>
      <w:tr w14:paraId="773A0739">
        <w:tblPrEx>
          <w:tblCellMar>
            <w:top w:w="15" w:type="dxa"/>
            <w:left w:w="15" w:type="dxa"/>
            <w:bottom w:w="15" w:type="dxa"/>
            <w:right w:w="15" w:type="dxa"/>
          </w:tblCellMar>
        </w:tblPrEx>
        <w:trPr>
          <w:trHeight w:val="497" w:hRule="atLeast"/>
        </w:trPr>
        <w:tc>
          <w:tcPr>
            <w:tcW w:w="1462" w:type="dxa"/>
            <w:tcBorders>
              <w:top w:val="single" w:color="1F2329" w:sz="4" w:space="0"/>
              <w:left w:val="single" w:color="1F2329" w:sz="4" w:space="0"/>
              <w:bottom w:val="single" w:color="1F2329" w:sz="4" w:space="0"/>
              <w:right w:val="single" w:color="1F2329" w:sz="4" w:space="0"/>
            </w:tcBorders>
            <w:vAlign w:val="center"/>
          </w:tcPr>
          <w:p w14:paraId="0D57E8D0">
            <w:pPr>
              <w:ind w:left="0" w:leftChars="0" w:firstLine="0" w:firstLineChars="0"/>
              <w:rPr>
                <w:rFonts w:asciiTheme="minorEastAsia" w:hAnsiTheme="minorEastAsia" w:eastAsiaTheme="minorEastAsia" w:cstheme="minorEastAsia"/>
                <w:color w:val="000000"/>
                <w:kern w:val="0"/>
                <w:sz w:val="20"/>
                <w:szCs w:val="20"/>
                <w:highlight w:val="none"/>
                <w:lang w:bidi="ar"/>
              </w:rPr>
            </w:pPr>
            <w:r>
              <w:rPr>
                <w:rFonts w:hint="eastAsia" w:asciiTheme="minorEastAsia" w:hAnsiTheme="minorEastAsia" w:eastAsiaTheme="minorEastAsia" w:cstheme="minorEastAsia"/>
                <w:highlight w:val="none"/>
              </w:rPr>
              <w:t>指标项</w:t>
            </w:r>
          </w:p>
        </w:tc>
        <w:tc>
          <w:tcPr>
            <w:tcW w:w="6874" w:type="dxa"/>
            <w:tcBorders>
              <w:top w:val="single" w:color="1F2329" w:sz="4" w:space="0"/>
              <w:left w:val="single" w:color="1F2329" w:sz="4" w:space="0"/>
              <w:bottom w:val="single" w:color="1F2329" w:sz="4" w:space="0"/>
              <w:right w:val="single" w:color="1F2329" w:sz="4" w:space="0"/>
            </w:tcBorders>
            <w:vAlign w:val="center"/>
          </w:tcPr>
          <w:p w14:paraId="008B3341">
            <w:pPr>
              <w:ind w:left="0" w:leftChars="0" w:firstLine="0" w:firstLineChars="0"/>
              <w:rPr>
                <w:rFonts w:asciiTheme="minorEastAsia" w:hAnsiTheme="minorEastAsia" w:eastAsiaTheme="minorEastAsia" w:cstheme="minorEastAsia"/>
                <w:color w:val="000000"/>
                <w:kern w:val="0"/>
                <w:sz w:val="20"/>
                <w:szCs w:val="20"/>
                <w:highlight w:val="none"/>
                <w:lang w:bidi="ar"/>
              </w:rPr>
            </w:pPr>
            <w:r>
              <w:rPr>
                <w:rFonts w:hint="eastAsia" w:asciiTheme="minorEastAsia" w:hAnsiTheme="minorEastAsia" w:eastAsiaTheme="minorEastAsia" w:cstheme="minorEastAsia"/>
                <w:highlight w:val="none"/>
              </w:rPr>
              <w:t>招标需求</w:t>
            </w:r>
          </w:p>
        </w:tc>
      </w:tr>
      <w:tr w14:paraId="1F080118">
        <w:tblPrEx>
          <w:tblCellMar>
            <w:top w:w="15" w:type="dxa"/>
            <w:left w:w="15" w:type="dxa"/>
            <w:bottom w:w="15" w:type="dxa"/>
            <w:right w:w="15" w:type="dxa"/>
          </w:tblCellMar>
        </w:tblPrEx>
        <w:trPr>
          <w:trHeight w:val="2175" w:hRule="atLeast"/>
        </w:trPr>
        <w:tc>
          <w:tcPr>
            <w:tcW w:w="1462" w:type="dxa"/>
            <w:tcBorders>
              <w:top w:val="single" w:color="1F2329" w:sz="4" w:space="0"/>
              <w:left w:val="single" w:color="1F2329" w:sz="4" w:space="0"/>
              <w:bottom w:val="single" w:color="1F2329" w:sz="4" w:space="0"/>
              <w:right w:val="single" w:color="1F2329" w:sz="4" w:space="0"/>
            </w:tcBorders>
            <w:vAlign w:val="center"/>
          </w:tcPr>
          <w:p w14:paraId="083401E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基本参数</w:t>
            </w:r>
          </w:p>
        </w:tc>
        <w:tc>
          <w:tcPr>
            <w:tcW w:w="6874" w:type="dxa"/>
            <w:tcBorders>
              <w:top w:val="single" w:color="1F2329" w:sz="4" w:space="0"/>
              <w:left w:val="single" w:color="1F2329" w:sz="4" w:space="0"/>
              <w:bottom w:val="single" w:color="1F2329" w:sz="4" w:space="0"/>
              <w:right w:val="single" w:color="1F2329" w:sz="4" w:space="0"/>
            </w:tcBorders>
            <w:vAlign w:val="center"/>
          </w:tcPr>
          <w:p w14:paraId="4E39EB6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可读2磁道或2、3磁道（选用），支持正反向读取，接触IC卡接口符合ISO7816-1/2/3,有拔卡短路保护功能，卡座寿命大于等于20万次；支持非接触卡的读取；</w:t>
            </w:r>
            <w:r>
              <w:rPr>
                <w:rFonts w:hint="eastAsia" w:asciiTheme="minorEastAsia" w:hAnsiTheme="minorEastAsia" w:eastAsiaTheme="minorEastAsia" w:cstheme="minorEastAsia"/>
                <w:highlight w:val="none"/>
              </w:rPr>
              <w:br w:type="textWrapping"/>
            </w:r>
            <w:r>
              <w:rPr>
                <w:rFonts w:hint="eastAsia" w:asciiTheme="minorEastAsia" w:hAnsiTheme="minorEastAsia" w:eastAsiaTheme="minorEastAsia" w:cstheme="minorEastAsia"/>
                <w:highlight w:val="none"/>
              </w:rPr>
              <w:t>磁条卡符合ISO7811,ISO7816，磁头寿命大于等于50万次；支持本地及异地1.0，2.0，3.0社保卡接口规范。采用通讯接口供电，预留密码键盘接口，内置DES功能运算；</w:t>
            </w:r>
            <w:r>
              <w:rPr>
                <w:rFonts w:hint="eastAsia" w:asciiTheme="minorEastAsia" w:hAnsiTheme="minorEastAsia" w:eastAsiaTheme="minorEastAsia" w:cstheme="minorEastAsia"/>
                <w:highlight w:val="none"/>
              </w:rPr>
              <w:br w:type="textWrapping"/>
            </w:r>
            <w:r>
              <w:rPr>
                <w:rFonts w:hint="eastAsia" w:asciiTheme="minorEastAsia" w:hAnsiTheme="minorEastAsia" w:eastAsiaTheme="minorEastAsia" w:cstheme="minorEastAsia"/>
                <w:highlight w:val="none"/>
              </w:rPr>
              <w:t>具有PS/2、RS232、USB接口可选，支持热插拔；</w:t>
            </w:r>
          </w:p>
        </w:tc>
      </w:tr>
    </w:tbl>
    <w:p w14:paraId="111EBE2D">
      <w:pPr>
        <w:pStyle w:val="4"/>
        <w:ind w:firstLine="562"/>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（三）眼科手术录转播及影像数据建设</w:t>
      </w:r>
    </w:p>
    <w:tbl>
      <w:tblPr>
        <w:tblStyle w:val="10"/>
        <w:tblW w:w="0" w:type="auto"/>
        <w:tblInd w:w="0" w:type="dxa"/>
        <w:tblLayout w:type="fixed"/>
        <w:tblCellMar>
          <w:top w:w="15" w:type="dxa"/>
          <w:left w:w="15" w:type="dxa"/>
          <w:bottom w:w="15" w:type="dxa"/>
          <w:right w:w="15" w:type="dxa"/>
        </w:tblCellMar>
      </w:tblPr>
      <w:tblGrid>
        <w:gridCol w:w="1537"/>
        <w:gridCol w:w="6799"/>
      </w:tblGrid>
      <w:tr w14:paraId="07A3525B">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6372909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指标项细项</w:t>
            </w:r>
          </w:p>
        </w:tc>
        <w:tc>
          <w:tcPr>
            <w:tcW w:w="6799" w:type="dxa"/>
            <w:tcBorders>
              <w:top w:val="single" w:color="1F2329" w:sz="4" w:space="0"/>
              <w:left w:val="single" w:color="1F2329" w:sz="4" w:space="0"/>
              <w:bottom w:val="single" w:color="1F2329" w:sz="4" w:space="0"/>
              <w:right w:val="single" w:color="1F2329" w:sz="4" w:space="0"/>
            </w:tcBorders>
            <w:vAlign w:val="center"/>
          </w:tcPr>
          <w:p w14:paraId="3D23208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1EF65961">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1F9B1DD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4K超清摄录网络工作站系统软件（客户端）</w:t>
            </w:r>
          </w:p>
        </w:tc>
        <w:tc>
          <w:tcPr>
            <w:tcW w:w="6799" w:type="dxa"/>
            <w:tcBorders>
              <w:top w:val="single" w:color="1F2329" w:sz="4" w:space="0"/>
              <w:left w:val="single" w:color="1F2329" w:sz="4" w:space="0"/>
              <w:bottom w:val="single" w:color="1F2329" w:sz="4" w:space="0"/>
              <w:right w:val="single" w:color="1F2329" w:sz="4" w:space="0"/>
            </w:tcBorders>
            <w:vAlign w:val="center"/>
          </w:tcPr>
          <w:p w14:paraId="1CD47E1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4K高清手术影像记录系统软件V2.0 （具有自动病例新建、自动上传、查询等功能，具有影像查询、采集、编辑等功能）含加密狗</w:t>
            </w:r>
          </w:p>
        </w:tc>
      </w:tr>
      <w:tr w14:paraId="439A4748">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6BCF9EF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4K超清摄录网络工作站系统软件（服务端）</w:t>
            </w:r>
          </w:p>
        </w:tc>
        <w:tc>
          <w:tcPr>
            <w:tcW w:w="6799" w:type="dxa"/>
            <w:tcBorders>
              <w:top w:val="single" w:color="1F2329" w:sz="4" w:space="0"/>
              <w:left w:val="single" w:color="1F2329" w:sz="4" w:space="0"/>
              <w:bottom w:val="single" w:color="1F2329" w:sz="4" w:space="0"/>
              <w:right w:val="single" w:color="1F2329" w:sz="4" w:space="0"/>
            </w:tcBorders>
            <w:vAlign w:val="center"/>
          </w:tcPr>
          <w:p w14:paraId="1712B44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具备网络web登录界面以及控制界面，可在网络内不同电脑进行登录管理，web登录具有权限等级管理，在各等级权限下可以进行视频点播、分享、转播、下载、删除等操作。</w:t>
            </w:r>
          </w:p>
        </w:tc>
      </w:tr>
      <w:tr w14:paraId="2EEAD211">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10AD5FF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4K高清多功能视频接口</w:t>
            </w:r>
          </w:p>
        </w:tc>
        <w:tc>
          <w:tcPr>
            <w:tcW w:w="6799" w:type="dxa"/>
            <w:tcBorders>
              <w:top w:val="single" w:color="1F2329" w:sz="4" w:space="0"/>
              <w:left w:val="single" w:color="1F2329" w:sz="4" w:space="0"/>
              <w:bottom w:val="single" w:color="1F2329" w:sz="4" w:space="0"/>
              <w:right w:val="single" w:color="1F2329" w:sz="4" w:space="0"/>
            </w:tcBorders>
            <w:vAlign w:val="center"/>
          </w:tcPr>
          <w:p w14:paraId="6646384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非球面玻璃，光圈可调，焦距可调，中心XY可调</w:t>
            </w:r>
          </w:p>
        </w:tc>
      </w:tr>
      <w:tr w14:paraId="037672E4">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0189A5D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4K高清医用摄像机</w:t>
            </w:r>
          </w:p>
        </w:tc>
        <w:tc>
          <w:tcPr>
            <w:tcW w:w="6799" w:type="dxa"/>
            <w:tcBorders>
              <w:top w:val="single" w:color="1F2329" w:sz="4" w:space="0"/>
              <w:left w:val="single" w:color="1F2329" w:sz="4" w:space="0"/>
              <w:bottom w:val="single" w:color="1F2329" w:sz="4" w:space="0"/>
              <w:right w:val="single" w:color="1F2329" w:sz="4" w:space="0"/>
            </w:tcBorders>
            <w:vAlign w:val="center"/>
          </w:tcPr>
          <w:p w14:paraId="18AB6CB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3CMOS，4K全色域超高清，1800TV线，DVI及HDMI（HDR）输出,有效分辨率3840*2160 P60</w:t>
            </w:r>
          </w:p>
        </w:tc>
      </w:tr>
      <w:tr w14:paraId="36B3CB9D">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72223B9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4K高清手术影像工作站（本地）</w:t>
            </w:r>
          </w:p>
        </w:tc>
        <w:tc>
          <w:tcPr>
            <w:tcW w:w="6799" w:type="dxa"/>
            <w:tcBorders>
              <w:top w:val="single" w:color="1F2329" w:sz="4" w:space="0"/>
              <w:left w:val="single" w:color="1F2329" w:sz="4" w:space="0"/>
              <w:bottom w:val="single" w:color="1F2329" w:sz="4" w:space="0"/>
              <w:right w:val="single" w:color="1F2329" w:sz="4" w:space="0"/>
            </w:tcBorders>
            <w:vAlign w:val="center"/>
          </w:tcPr>
          <w:p w14:paraId="26556FE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CPU:INTELi7</w:t>
            </w:r>
            <w:r>
              <w:rPr>
                <w:rFonts w:hint="eastAsia" w:asciiTheme="minorEastAsia" w:hAnsiTheme="minorEastAsia" w:eastAsiaTheme="minorEastAsia" w:cstheme="minorEastAsia"/>
                <w:highlight w:val="none"/>
                <w:lang w:eastAsia="zh-CN"/>
              </w:rPr>
              <w:t>或同性能</w:t>
            </w:r>
            <w:r>
              <w:rPr>
                <w:rFonts w:hint="eastAsia" w:asciiTheme="minorEastAsia" w:hAnsiTheme="minorEastAsia" w:eastAsiaTheme="minorEastAsia" w:cstheme="minorEastAsia"/>
                <w:highlight w:val="none"/>
                <w:lang w:val="en-US" w:eastAsia="zh-CN"/>
              </w:rPr>
              <w:t>CPU</w:t>
            </w:r>
            <w:r>
              <w:rPr>
                <w:rFonts w:hint="eastAsia" w:asciiTheme="minorEastAsia" w:hAnsiTheme="minorEastAsia" w:eastAsiaTheme="minorEastAsia" w:cstheme="minorEastAsia"/>
                <w:highlight w:val="none"/>
              </w:rPr>
              <w:t>,内存：16GDDR4,硬盘：256G+10T/7200转</w:t>
            </w:r>
          </w:p>
        </w:tc>
      </w:tr>
      <w:tr w14:paraId="75DAB878">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2A970AD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4K高清医学影像采集卡</w:t>
            </w:r>
          </w:p>
        </w:tc>
        <w:tc>
          <w:tcPr>
            <w:tcW w:w="6799" w:type="dxa"/>
            <w:tcBorders>
              <w:top w:val="single" w:color="1F2329" w:sz="4" w:space="0"/>
              <w:left w:val="single" w:color="1F2329" w:sz="4" w:space="0"/>
              <w:bottom w:val="single" w:color="1F2329" w:sz="4" w:space="0"/>
              <w:right w:val="single" w:color="1F2329" w:sz="4" w:space="0"/>
            </w:tcBorders>
            <w:vAlign w:val="center"/>
          </w:tcPr>
          <w:p w14:paraId="7F86EA6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定制 （支持DVI、SDI、HDMI接口，采集分辨率可达3840*2160P60）</w:t>
            </w:r>
          </w:p>
        </w:tc>
      </w:tr>
      <w:tr w14:paraId="58B0668A">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62E3D1F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32寸4K高清液晶显示器</w:t>
            </w:r>
          </w:p>
        </w:tc>
        <w:tc>
          <w:tcPr>
            <w:tcW w:w="6799" w:type="dxa"/>
            <w:tcBorders>
              <w:top w:val="single" w:color="1F2329" w:sz="4" w:space="0"/>
              <w:left w:val="single" w:color="1F2329" w:sz="4" w:space="0"/>
              <w:bottom w:val="single" w:color="1F2329" w:sz="4" w:space="0"/>
              <w:right w:val="single" w:color="1F2329" w:sz="4" w:space="0"/>
            </w:tcBorders>
            <w:vAlign w:val="center"/>
          </w:tcPr>
          <w:p w14:paraId="58FC0DF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P3219H （32寸4KIPS面板，可视角度178度，分辨率3840*2160）</w:t>
            </w:r>
          </w:p>
        </w:tc>
      </w:tr>
      <w:tr w14:paraId="37836A7B">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025AA39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移动工作站推车</w:t>
            </w:r>
          </w:p>
        </w:tc>
        <w:tc>
          <w:tcPr>
            <w:tcW w:w="6799" w:type="dxa"/>
            <w:tcBorders>
              <w:top w:val="single" w:color="1F2329" w:sz="4" w:space="0"/>
              <w:left w:val="single" w:color="1F2329" w:sz="4" w:space="0"/>
              <w:bottom w:val="single" w:color="1F2329" w:sz="4" w:space="0"/>
              <w:right w:val="single" w:color="1F2329" w:sz="4" w:space="0"/>
            </w:tcBorders>
            <w:vAlign w:val="center"/>
          </w:tcPr>
          <w:p w14:paraId="6A436B9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定制 （铝合金材质，静音橡胶轮带刹车功能）</w:t>
            </w:r>
          </w:p>
        </w:tc>
      </w:tr>
      <w:tr w14:paraId="70BE35ED">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4798CD5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眼科影像数据备份一体机 </w:t>
            </w:r>
          </w:p>
        </w:tc>
        <w:tc>
          <w:tcPr>
            <w:tcW w:w="6799" w:type="dxa"/>
            <w:tcBorders>
              <w:top w:val="single" w:color="1F2329" w:sz="4" w:space="0"/>
              <w:left w:val="single" w:color="1F2329" w:sz="4" w:space="0"/>
              <w:bottom w:val="single" w:color="1F2329" w:sz="4" w:space="0"/>
              <w:right w:val="single" w:color="1F2329" w:sz="4" w:space="0"/>
            </w:tcBorders>
            <w:vAlign w:val="center"/>
          </w:tcPr>
          <w:p w14:paraId="4C0B837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x86一体机主模块，含备份软件主模块，标配 openEuler 操作系统。支持单机或集群部署，集群部署 3 节点起。2U12 盘位机架式，前置 12 个 3.5 英寸盘位，后置 4 个 NVMe SSD 插槽，后置 2 个 SATA SSD 插槽（已占用），标配 2 颗 Intel Xeon Silver 4310（主频 2.1GHz，单颗 12 核）处理器</w:t>
            </w:r>
            <w:r>
              <w:rPr>
                <w:rFonts w:hint="eastAsia" w:asciiTheme="minorEastAsia" w:hAnsiTheme="minorEastAsia" w:eastAsiaTheme="minorEastAsia" w:cstheme="minorEastAsia"/>
                <w:highlight w:val="none"/>
                <w:lang w:eastAsia="zh-CN"/>
              </w:rPr>
              <w:t>或同性能</w:t>
            </w:r>
            <w:r>
              <w:rPr>
                <w:rFonts w:hint="eastAsia" w:asciiTheme="minorEastAsia" w:hAnsiTheme="minorEastAsia" w:eastAsiaTheme="minorEastAsia" w:cstheme="minorEastAsia"/>
                <w:highlight w:val="none"/>
                <w:lang w:val="en-US" w:eastAsia="zh-CN"/>
              </w:rPr>
              <w:t>处理器</w:t>
            </w:r>
            <w:r>
              <w:rPr>
                <w:rFonts w:hint="eastAsia" w:asciiTheme="minorEastAsia" w:hAnsiTheme="minorEastAsia" w:eastAsiaTheme="minorEastAsia" w:cstheme="minorEastAsia"/>
                <w:highlight w:val="none"/>
              </w:rPr>
              <w:t xml:space="preserve">；标配 128GB 高速缓存（8*32GB 3200MHz DDR4 内存，剩余 28 个可用内存插槽）；后置 2 块 960GB SSD 做系统盘；标配一张 4GB 缓存 RAID 标卡；板载 1 块双端口千兆电口卡和 1 块双端口万兆光口卡（含光模块），空闲 3 个 PCIe 插槽。支持文件、OS、DB、VM、对象存储等模块的备份恢复能力。支持文件、OS、DB、VM 等模块的复制迁移容灾、接管演练、回迁能力。 支持文件、卷的实时备份功能。 </w:t>
            </w:r>
          </w:p>
        </w:tc>
      </w:tr>
      <w:tr w14:paraId="46CBC981">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4C27C7E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数据备份与恢复系统授权 </w:t>
            </w:r>
          </w:p>
        </w:tc>
        <w:tc>
          <w:tcPr>
            <w:tcW w:w="6799" w:type="dxa"/>
            <w:tcBorders>
              <w:top w:val="single" w:color="1F2329" w:sz="4" w:space="0"/>
              <w:left w:val="single" w:color="1F2329" w:sz="4" w:space="0"/>
              <w:bottom w:val="single" w:color="1F2329" w:sz="4" w:space="0"/>
              <w:right w:val="single" w:color="1F2329" w:sz="4" w:space="0"/>
            </w:tcBorders>
            <w:vAlign w:val="center"/>
          </w:tcPr>
          <w:p w14:paraId="2D2D881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支持Windows、Linux、Unix、自主可控等客户端平台，客户端数量不做限制。 默认包含模块：备份存储服务器，服务器文件备份/恢复代理模块，虚拟机备份/恢复服务， 通用虚拟化软件和云平台，虚拟机备份/恢复服务，国产虚拟化软件和云平台，传统数据库备份/恢复代理模块，开源数据库备份/恢复代理模块，国产平台数据库备份/恢复代理模块，Oracle Data Guard 备份/恢复代理模块，Oracle 双机备份/恢复代理模块，群件备份/恢复代理模块，整机备份/裸机恢复模块（BMR），数据库容灾演练模块，NDMP备份模块（V3，V4）</w:t>
            </w:r>
          </w:p>
        </w:tc>
      </w:tr>
      <w:tr w14:paraId="20634F04">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12FE353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眼科手术高清视频数据存储150T</w:t>
            </w:r>
          </w:p>
        </w:tc>
        <w:tc>
          <w:tcPr>
            <w:tcW w:w="6799" w:type="dxa"/>
            <w:tcBorders>
              <w:top w:val="single" w:color="1F2329" w:sz="4" w:space="0"/>
              <w:left w:val="single" w:color="1F2329" w:sz="4" w:space="0"/>
              <w:bottom w:val="single" w:color="1F2329" w:sz="4" w:space="0"/>
              <w:right w:val="single" w:color="1F2329" w:sz="4" w:space="0"/>
            </w:tcBorders>
            <w:vAlign w:val="center"/>
          </w:tcPr>
          <w:p w14:paraId="3D4BCF7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双控制32GB缓存，20T(SAS 7.2K)*12，双电源，4个16GB FC模块 </w:t>
            </w:r>
          </w:p>
        </w:tc>
      </w:tr>
      <w:tr w14:paraId="20FF3CC7">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1CDB222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存储容量配置许可证200TB </w:t>
            </w:r>
          </w:p>
        </w:tc>
        <w:tc>
          <w:tcPr>
            <w:tcW w:w="6799" w:type="dxa"/>
            <w:tcBorders>
              <w:top w:val="single" w:color="1F2329" w:sz="4" w:space="0"/>
              <w:left w:val="single" w:color="1F2329" w:sz="4" w:space="0"/>
              <w:bottom w:val="single" w:color="1F2329" w:sz="4" w:space="0"/>
              <w:right w:val="single" w:color="1F2329" w:sz="4" w:space="0"/>
            </w:tcBorders>
            <w:vAlign w:val="center"/>
          </w:tcPr>
          <w:p w14:paraId="1DBAC40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RAID 级别许可，快照与克隆许可，远程复制 同步/异步复制许可，重复数据删除与压缩许可，自动分层数据在不同介质间动态迁移许可，缓存加速许可，加密许可，存储 QoS限制或保障卷/应用的 IOPS、带宽，实现性能隔离，文件与对象服务启用 NAS（NFS/SMB）或 S3 对象存储访问协议。 </w:t>
            </w:r>
          </w:p>
        </w:tc>
      </w:tr>
      <w:tr w14:paraId="085F1C96">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7ACB57E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数据备份与恢复系统重复数据删除模块 </w:t>
            </w:r>
          </w:p>
        </w:tc>
        <w:tc>
          <w:tcPr>
            <w:tcW w:w="6799" w:type="dxa"/>
            <w:tcBorders>
              <w:top w:val="single" w:color="1F2329" w:sz="4" w:space="0"/>
              <w:left w:val="single" w:color="1F2329" w:sz="4" w:space="0"/>
              <w:bottom w:val="single" w:color="1F2329" w:sz="4" w:space="0"/>
              <w:right w:val="single" w:color="1F2329" w:sz="4" w:space="0"/>
            </w:tcBorders>
            <w:vAlign w:val="center"/>
          </w:tcPr>
          <w:p w14:paraId="65F879A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实现对备份数据中重复数据的删除处理 </w:t>
            </w:r>
          </w:p>
        </w:tc>
      </w:tr>
      <w:tr w14:paraId="254AC2B7">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43D86D1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无合成永久增量备份代理 </w:t>
            </w:r>
          </w:p>
        </w:tc>
        <w:tc>
          <w:tcPr>
            <w:tcW w:w="6799" w:type="dxa"/>
            <w:tcBorders>
              <w:top w:val="single" w:color="1F2329" w:sz="4" w:space="0"/>
              <w:left w:val="single" w:color="1F2329" w:sz="4" w:space="0"/>
              <w:bottom w:val="single" w:color="1F2329" w:sz="4" w:space="0"/>
              <w:right w:val="single" w:color="1F2329" w:sz="4" w:space="0"/>
            </w:tcBorders>
            <w:vAlign w:val="center"/>
          </w:tcPr>
          <w:p w14:paraId="60DD4FC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备份软件和一体机的高级特性，每一个软件或一体机或一个集群配置一个License，需要在配置有基本件和容量授权的前提下使用。提供无合成永久增量功能。 </w:t>
            </w:r>
          </w:p>
        </w:tc>
      </w:tr>
      <w:tr w14:paraId="4B2604BE">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401CA12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远程复制模块 </w:t>
            </w:r>
          </w:p>
        </w:tc>
        <w:tc>
          <w:tcPr>
            <w:tcW w:w="6799" w:type="dxa"/>
            <w:tcBorders>
              <w:top w:val="single" w:color="1F2329" w:sz="4" w:space="0"/>
              <w:left w:val="single" w:color="1F2329" w:sz="4" w:space="0"/>
              <w:bottom w:val="single" w:color="1F2329" w:sz="4" w:space="0"/>
              <w:right w:val="single" w:color="1F2329" w:sz="4" w:space="0"/>
            </w:tcBorders>
            <w:vAlign w:val="center"/>
          </w:tcPr>
          <w:p w14:paraId="255F114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备份软件和一体机的高级功能授权，用于扩展远程复制功能，每一套源软件或一体机或一个集群配置一个此 License。 </w:t>
            </w:r>
          </w:p>
        </w:tc>
      </w:tr>
      <w:tr w14:paraId="38C57FD7">
        <w:tblPrEx>
          <w:tblCellMar>
            <w:top w:w="15" w:type="dxa"/>
            <w:left w:w="15" w:type="dxa"/>
            <w:bottom w:w="15" w:type="dxa"/>
            <w:right w:w="15" w:type="dxa"/>
          </w:tblCellMar>
        </w:tblPrEx>
        <w:trPr>
          <w:trHeight w:val="540" w:hRule="atLeast"/>
        </w:trPr>
        <w:tc>
          <w:tcPr>
            <w:tcW w:w="1537" w:type="dxa"/>
            <w:tcBorders>
              <w:top w:val="single" w:color="1F2329" w:sz="4" w:space="0"/>
              <w:left w:val="single" w:color="1F2329" w:sz="4" w:space="0"/>
              <w:bottom w:val="single" w:color="1F2329" w:sz="4" w:space="0"/>
              <w:right w:val="single" w:color="1F2329" w:sz="4" w:space="0"/>
            </w:tcBorders>
            <w:noWrap/>
            <w:vAlign w:val="center"/>
          </w:tcPr>
          <w:p w14:paraId="0C90B8D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信息系统集成服务综合运维模块 </w:t>
            </w:r>
          </w:p>
        </w:tc>
        <w:tc>
          <w:tcPr>
            <w:tcW w:w="6799" w:type="dxa"/>
            <w:tcBorders>
              <w:top w:val="single" w:color="1F2329" w:sz="4" w:space="0"/>
              <w:left w:val="single" w:color="1F2329" w:sz="4" w:space="0"/>
              <w:bottom w:val="single" w:color="1F2329" w:sz="4" w:space="0"/>
              <w:right w:val="single" w:color="1F2329" w:sz="4" w:space="0"/>
            </w:tcBorders>
            <w:vAlign w:val="center"/>
          </w:tcPr>
          <w:p w14:paraId="2710562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涵盖运维监控、故障管理、资源配置、任务调度及数据分析等核心功能。能实时监控各类设备运行状态，集中处理故障事件，高效管理软硬件资源，自动化调度运维任务，并生成多维度数据分析报告，助力运维人员全面掌握系统状况，提升运维效率与响应速度，保障信息系统稳定运行 </w:t>
            </w:r>
          </w:p>
        </w:tc>
      </w:tr>
    </w:tbl>
    <w:p w14:paraId="0BC63001">
      <w:pPr>
        <w:pStyle w:val="4"/>
        <w:ind w:firstLine="643"/>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（四） </w:t>
      </w:r>
      <w:r>
        <w:rPr>
          <w:rFonts w:hint="eastAsia"/>
          <w:highlight w:val="none"/>
        </w:rPr>
        <w:t>专用服务器集群</w:t>
      </w:r>
    </w:p>
    <w:p w14:paraId="4D2C421F">
      <w:pPr>
        <w:pStyle w:val="5"/>
        <w:ind w:firstLine="56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智能体超融合节点服务器</w:t>
      </w:r>
    </w:p>
    <w:tbl>
      <w:tblPr>
        <w:tblStyle w:val="10"/>
        <w:tblW w:w="0" w:type="auto"/>
        <w:tblInd w:w="0" w:type="dxa"/>
        <w:tblLayout w:type="autofit"/>
        <w:tblCellMar>
          <w:top w:w="15" w:type="dxa"/>
          <w:left w:w="15" w:type="dxa"/>
          <w:bottom w:w="15" w:type="dxa"/>
          <w:right w:w="15" w:type="dxa"/>
        </w:tblCellMar>
      </w:tblPr>
      <w:tblGrid>
        <w:gridCol w:w="1475"/>
        <w:gridCol w:w="6861"/>
      </w:tblGrid>
      <w:tr w14:paraId="0E3B5FEB">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35F17C1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6861" w:type="dxa"/>
            <w:tcBorders>
              <w:top w:val="single" w:color="1F2329" w:sz="4" w:space="0"/>
              <w:left w:val="single" w:color="1F2329" w:sz="4" w:space="0"/>
              <w:bottom w:val="single" w:color="1F2329" w:sz="4" w:space="0"/>
              <w:right w:val="single" w:color="1F2329" w:sz="4" w:space="0"/>
            </w:tcBorders>
            <w:vAlign w:val="center"/>
          </w:tcPr>
          <w:p w14:paraId="0C32A6F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5C7E9E55">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16DB713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总体要求</w:t>
            </w:r>
          </w:p>
        </w:tc>
        <w:tc>
          <w:tcPr>
            <w:tcW w:w="6861" w:type="dxa"/>
            <w:tcBorders>
              <w:top w:val="single" w:color="1F2329" w:sz="4" w:space="0"/>
              <w:left w:val="single" w:color="1F2329" w:sz="4" w:space="0"/>
              <w:bottom w:val="single" w:color="1F2329" w:sz="4" w:space="0"/>
              <w:right w:val="single" w:color="1F2329" w:sz="4" w:space="0"/>
            </w:tcBorders>
            <w:vAlign w:val="center"/>
          </w:tcPr>
          <w:p w14:paraId="7B9349A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2U机架式，国产品牌</w:t>
            </w:r>
          </w:p>
        </w:tc>
      </w:tr>
      <w:tr w14:paraId="27A3C5B1">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008D01F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处理器</w:t>
            </w:r>
          </w:p>
        </w:tc>
        <w:tc>
          <w:tcPr>
            <w:tcW w:w="6861" w:type="dxa"/>
            <w:tcBorders>
              <w:top w:val="single" w:color="1F2329" w:sz="4" w:space="0"/>
              <w:left w:val="single" w:color="1F2329" w:sz="4" w:space="0"/>
              <w:bottom w:val="single" w:color="1F2329" w:sz="4" w:space="0"/>
              <w:right w:val="single" w:color="1F2329" w:sz="4" w:space="0"/>
            </w:tcBorders>
            <w:vAlign w:val="center"/>
          </w:tcPr>
          <w:p w14:paraId="3C91277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配置2颗处理器，每颗处理器核心≥32c，频率≥2.1GHz</w:t>
            </w:r>
          </w:p>
        </w:tc>
      </w:tr>
      <w:tr w14:paraId="1A94A013">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50E3E4D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内存要求</w:t>
            </w:r>
          </w:p>
        </w:tc>
        <w:tc>
          <w:tcPr>
            <w:tcW w:w="6861" w:type="dxa"/>
            <w:tcBorders>
              <w:top w:val="single" w:color="1F2329" w:sz="4" w:space="0"/>
              <w:left w:val="single" w:color="1F2329" w:sz="4" w:space="0"/>
              <w:bottom w:val="single" w:color="1F2329" w:sz="4" w:space="0"/>
              <w:right w:val="single" w:color="1F2329" w:sz="4" w:space="0"/>
            </w:tcBorders>
            <w:vAlign w:val="center"/>
          </w:tcPr>
          <w:p w14:paraId="51CF58F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最大支持32条 DDR5 内存插槽，本次配置≥4条64GB DDR5 5600MHz内存</w:t>
            </w:r>
          </w:p>
        </w:tc>
      </w:tr>
      <w:tr w14:paraId="4E6DC6AD">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52CDB00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本地存储</w:t>
            </w:r>
          </w:p>
        </w:tc>
        <w:tc>
          <w:tcPr>
            <w:tcW w:w="6861" w:type="dxa"/>
            <w:tcBorders>
              <w:top w:val="single" w:color="1F2329" w:sz="4" w:space="0"/>
              <w:left w:val="single" w:color="1F2329" w:sz="4" w:space="0"/>
              <w:bottom w:val="single" w:color="1F2329" w:sz="4" w:space="0"/>
              <w:right w:val="single" w:color="1F2329" w:sz="4" w:space="0"/>
            </w:tcBorders>
            <w:vAlign w:val="center"/>
          </w:tcPr>
          <w:p w14:paraId="37E7B09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总体要求：支持≥45块2.5寸硬盘，或支持≥20块3.5寸热插拔硬盘</w:t>
            </w:r>
          </w:p>
        </w:tc>
      </w:tr>
      <w:tr w14:paraId="36DC9539">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646BBB6E">
            <w:pPr>
              <w:ind w:left="0" w:leftChars="0" w:firstLine="0" w:firstLineChars="0"/>
              <w:rPr>
                <w:rFonts w:asciiTheme="minorEastAsia" w:hAnsiTheme="minorEastAsia" w:eastAsiaTheme="minorEastAsia" w:cstheme="minorEastAsia"/>
                <w:highlight w:val="none"/>
              </w:rPr>
            </w:pPr>
          </w:p>
        </w:tc>
        <w:tc>
          <w:tcPr>
            <w:tcW w:w="6861" w:type="dxa"/>
            <w:tcBorders>
              <w:top w:val="single" w:color="1F2329" w:sz="4" w:space="0"/>
              <w:left w:val="single" w:color="1F2329" w:sz="4" w:space="0"/>
              <w:bottom w:val="single" w:color="1F2329" w:sz="4" w:space="0"/>
              <w:right w:val="single" w:color="1F2329" w:sz="4" w:space="0"/>
            </w:tcBorders>
            <w:vAlign w:val="center"/>
          </w:tcPr>
          <w:p w14:paraId="140249F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本次配置≥2块480GB SSD硬盘，≥2块3.84T Nvme SSD硬盘，≥8块10T SATA硬盘</w:t>
            </w:r>
          </w:p>
        </w:tc>
      </w:tr>
      <w:tr w14:paraId="61570185">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4755754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RAID</w:t>
            </w:r>
          </w:p>
        </w:tc>
        <w:tc>
          <w:tcPr>
            <w:tcW w:w="6861" w:type="dxa"/>
            <w:tcBorders>
              <w:top w:val="single" w:color="1F2329" w:sz="4" w:space="0"/>
              <w:left w:val="single" w:color="1F2329" w:sz="4" w:space="0"/>
              <w:bottom w:val="single" w:color="1F2329" w:sz="4" w:space="0"/>
              <w:right w:val="single" w:color="1F2329" w:sz="4" w:space="0"/>
            </w:tcBorders>
            <w:vAlign w:val="center"/>
          </w:tcPr>
          <w:p w14:paraId="3481599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配置≥1个独立RAID卡，2GB缓存，可支持raid 0/1/5/6 等</w:t>
            </w:r>
          </w:p>
        </w:tc>
      </w:tr>
      <w:tr w14:paraId="2814B0EB">
        <w:tblPrEx>
          <w:tblCellMar>
            <w:top w:w="15" w:type="dxa"/>
            <w:left w:w="15" w:type="dxa"/>
            <w:bottom w:w="15" w:type="dxa"/>
            <w:right w:w="15" w:type="dxa"/>
          </w:tblCellMar>
        </w:tblPrEx>
        <w:trPr>
          <w:trHeight w:val="92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61E23B5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网络接口</w:t>
            </w:r>
          </w:p>
        </w:tc>
        <w:tc>
          <w:tcPr>
            <w:tcW w:w="6861" w:type="dxa"/>
            <w:tcBorders>
              <w:top w:val="single" w:color="1F2329" w:sz="4" w:space="0"/>
              <w:left w:val="single" w:color="1F2329" w:sz="4" w:space="0"/>
              <w:bottom w:val="single" w:color="1F2329" w:sz="4" w:space="0"/>
              <w:right w:val="single" w:color="1F2329" w:sz="4" w:space="0"/>
            </w:tcBorders>
            <w:vAlign w:val="center"/>
          </w:tcPr>
          <w:p w14:paraId="3F0B1AE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支持OCP网络模块，支持1Gb/10Gb/25Gb速率；本次配置≥2个双口万兆网卡（光口含模块），≥1个四口千兆网卡（电口）</w:t>
            </w:r>
          </w:p>
        </w:tc>
      </w:tr>
      <w:tr w14:paraId="2E6F1758">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3CD3F16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I/O扩展</w:t>
            </w:r>
          </w:p>
        </w:tc>
        <w:tc>
          <w:tcPr>
            <w:tcW w:w="6861" w:type="dxa"/>
            <w:tcBorders>
              <w:top w:val="single" w:color="1F2329" w:sz="4" w:space="0"/>
              <w:left w:val="single" w:color="1F2329" w:sz="4" w:space="0"/>
              <w:bottom w:val="single" w:color="1F2329" w:sz="4" w:space="0"/>
              <w:right w:val="single" w:color="1F2329" w:sz="4" w:space="0"/>
            </w:tcBorders>
            <w:vAlign w:val="center"/>
          </w:tcPr>
          <w:p w14:paraId="29E0C19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最大支持16个PCIe扩展槽位</w:t>
            </w:r>
          </w:p>
        </w:tc>
      </w:tr>
      <w:tr w14:paraId="3AEF96BD">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76DF56D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电源及外设</w:t>
            </w:r>
          </w:p>
        </w:tc>
        <w:tc>
          <w:tcPr>
            <w:tcW w:w="6861" w:type="dxa"/>
            <w:tcBorders>
              <w:top w:val="single" w:color="1F2329" w:sz="4" w:space="0"/>
              <w:left w:val="single" w:color="1F2329" w:sz="4" w:space="0"/>
              <w:bottom w:val="single" w:color="1F2329" w:sz="4" w:space="0"/>
              <w:right w:val="single" w:color="1F2329" w:sz="4" w:space="0"/>
            </w:tcBorders>
            <w:vAlign w:val="center"/>
          </w:tcPr>
          <w:p w14:paraId="711482E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配置≥2个冗余电源；冗余散热风扇，机架安装导轨；</w:t>
            </w:r>
          </w:p>
        </w:tc>
      </w:tr>
      <w:tr w14:paraId="5FE019EF">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1476A60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管理功能</w:t>
            </w:r>
          </w:p>
        </w:tc>
        <w:tc>
          <w:tcPr>
            <w:tcW w:w="6861" w:type="dxa"/>
            <w:tcBorders>
              <w:top w:val="single" w:color="1F2329" w:sz="4" w:space="0"/>
              <w:left w:val="single" w:color="1F2329" w:sz="4" w:space="0"/>
              <w:bottom w:val="single" w:color="1F2329" w:sz="4" w:space="0"/>
              <w:right w:val="single" w:color="1F2329" w:sz="4" w:space="0"/>
            </w:tcBorders>
            <w:vAlign w:val="center"/>
          </w:tcPr>
          <w:p w14:paraId="26CB49E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集成系统管理芯片，支持IPMI2.0、KVM over IP、虚拟媒体等管理功能</w:t>
            </w:r>
          </w:p>
        </w:tc>
      </w:tr>
      <w:tr w14:paraId="5F761F1E">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334FC3E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安全性</w:t>
            </w:r>
          </w:p>
        </w:tc>
        <w:tc>
          <w:tcPr>
            <w:tcW w:w="6861" w:type="dxa"/>
            <w:tcBorders>
              <w:top w:val="single" w:color="1F2329" w:sz="4" w:space="0"/>
              <w:left w:val="single" w:color="1F2329" w:sz="4" w:space="0"/>
              <w:bottom w:val="single" w:color="1F2329" w:sz="4" w:space="0"/>
              <w:right w:val="single" w:color="1F2329" w:sz="4" w:space="0"/>
            </w:tcBorders>
            <w:vAlign w:val="center"/>
          </w:tcPr>
          <w:p w14:paraId="161C871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支持硬盘数据安全擦除功能</w:t>
            </w:r>
          </w:p>
        </w:tc>
      </w:tr>
      <w:tr w14:paraId="7D42230D">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tcPr>
          <w:p w14:paraId="5194A57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热迁移高级配置</w:t>
            </w:r>
          </w:p>
        </w:tc>
        <w:tc>
          <w:tcPr>
            <w:tcW w:w="6861" w:type="dxa"/>
            <w:tcBorders>
              <w:top w:val="single" w:color="1F2329" w:sz="4" w:space="0"/>
              <w:left w:val="single" w:color="1F2329" w:sz="4" w:space="0"/>
              <w:bottom w:val="single" w:color="1F2329" w:sz="4" w:space="0"/>
              <w:right w:val="single" w:color="1F2329" w:sz="4" w:space="0"/>
            </w:tcBorders>
          </w:tcPr>
          <w:p w14:paraId="4E9D228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虚拟机迁移支持指定网口迁移、限制迁移速度、启用压缩传输，同时虚拟机迁移过程中如因数据写入量过大迁移不完，可支持强制切换操作。</w:t>
            </w:r>
          </w:p>
        </w:tc>
      </w:tr>
      <w:tr w14:paraId="21B2E8E4">
        <w:tblPrEx>
          <w:tblCellMar>
            <w:top w:w="15" w:type="dxa"/>
            <w:left w:w="15" w:type="dxa"/>
            <w:bottom w:w="15" w:type="dxa"/>
            <w:right w:w="15" w:type="dxa"/>
          </w:tblCellMar>
        </w:tblPrEx>
        <w:trPr>
          <w:trHeight w:val="920" w:hRule="atLeast"/>
        </w:trPr>
        <w:tc>
          <w:tcPr>
            <w:tcW w:w="1475" w:type="dxa"/>
            <w:tcBorders>
              <w:top w:val="single" w:color="1F2329" w:sz="4" w:space="0"/>
              <w:left w:val="single" w:color="1F2329" w:sz="4" w:space="0"/>
              <w:bottom w:val="single" w:color="1F2329" w:sz="4" w:space="0"/>
              <w:right w:val="single" w:color="1F2329" w:sz="4" w:space="0"/>
            </w:tcBorders>
          </w:tcPr>
          <w:p w14:paraId="6D47A8A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虚拟机生命周期管理</w:t>
            </w:r>
          </w:p>
        </w:tc>
        <w:tc>
          <w:tcPr>
            <w:tcW w:w="6861" w:type="dxa"/>
            <w:tcBorders>
              <w:top w:val="single" w:color="1F2329" w:sz="4" w:space="0"/>
              <w:left w:val="single" w:color="1F2329" w:sz="4" w:space="0"/>
              <w:bottom w:val="single" w:color="1F2329" w:sz="4" w:space="0"/>
              <w:right w:val="single" w:color="1F2329" w:sz="4" w:space="0"/>
            </w:tcBorders>
          </w:tcPr>
          <w:p w14:paraId="711DDCF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为满足大规模管理运维的要求，在超融合管理平台界面上提供虚拟机删除、开关机、挂起、重启、关闭、关闭电源、克隆、迁移、备份、快照、标签管理等功能，以上功能均支持批量操作。</w:t>
            </w:r>
          </w:p>
        </w:tc>
      </w:tr>
      <w:tr w14:paraId="785C9A18">
        <w:tblPrEx>
          <w:tblCellMar>
            <w:top w:w="15" w:type="dxa"/>
            <w:left w:w="15" w:type="dxa"/>
            <w:bottom w:w="15" w:type="dxa"/>
            <w:right w:w="15" w:type="dxa"/>
          </w:tblCellMar>
        </w:tblPrEx>
        <w:trPr>
          <w:trHeight w:val="1300" w:hRule="atLeast"/>
        </w:trPr>
        <w:tc>
          <w:tcPr>
            <w:tcW w:w="1475" w:type="dxa"/>
            <w:tcBorders>
              <w:top w:val="single" w:color="1F2329" w:sz="4" w:space="0"/>
              <w:left w:val="single" w:color="1F2329" w:sz="4" w:space="0"/>
              <w:bottom w:val="single" w:color="1F2329" w:sz="4" w:space="0"/>
              <w:right w:val="single" w:color="1F2329" w:sz="4" w:space="0"/>
            </w:tcBorders>
          </w:tcPr>
          <w:p w14:paraId="679D41B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功能性要求</w:t>
            </w:r>
          </w:p>
        </w:tc>
        <w:tc>
          <w:tcPr>
            <w:tcW w:w="6861" w:type="dxa"/>
            <w:tcBorders>
              <w:top w:val="single" w:color="1F2329" w:sz="4" w:space="0"/>
              <w:left w:val="single" w:color="1F2329" w:sz="4" w:space="0"/>
              <w:bottom w:val="single" w:color="1F2329" w:sz="4" w:space="0"/>
              <w:right w:val="single" w:color="1F2329" w:sz="4" w:space="0"/>
            </w:tcBorders>
          </w:tcPr>
          <w:p w14:paraId="16EF60A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为避免主机假死导致系列问题发生，支持识别假死主机并标签化为亚健康主机，通过邮件或短信告警提醒用户进行处理，并限制重要业务在亚健康主机上运行，规避风险</w:t>
            </w:r>
          </w:p>
        </w:tc>
      </w:tr>
      <w:tr w14:paraId="0B315AFA">
        <w:tblPrEx>
          <w:tblCellMar>
            <w:top w:w="15" w:type="dxa"/>
            <w:left w:w="15" w:type="dxa"/>
            <w:bottom w:w="15" w:type="dxa"/>
            <w:right w:w="15" w:type="dxa"/>
          </w:tblCellMar>
        </w:tblPrEx>
        <w:trPr>
          <w:trHeight w:val="920" w:hRule="atLeast"/>
        </w:trPr>
        <w:tc>
          <w:tcPr>
            <w:tcW w:w="1475" w:type="dxa"/>
            <w:tcBorders>
              <w:top w:val="single" w:color="1F2329" w:sz="4" w:space="0"/>
              <w:left w:val="single" w:color="1F2329" w:sz="4" w:space="0"/>
              <w:bottom w:val="single" w:color="1F2329" w:sz="4" w:space="0"/>
              <w:right w:val="single" w:color="1F2329" w:sz="4" w:space="0"/>
            </w:tcBorders>
          </w:tcPr>
          <w:p w14:paraId="1390955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热升级</w:t>
            </w:r>
          </w:p>
        </w:tc>
        <w:tc>
          <w:tcPr>
            <w:tcW w:w="6861" w:type="dxa"/>
            <w:tcBorders>
              <w:top w:val="single" w:color="1F2329" w:sz="4" w:space="0"/>
              <w:left w:val="single" w:color="1F2329" w:sz="4" w:space="0"/>
              <w:bottom w:val="single" w:color="1F2329" w:sz="4" w:space="0"/>
              <w:right w:val="single" w:color="1F2329" w:sz="4" w:space="0"/>
            </w:tcBorders>
          </w:tcPr>
          <w:p w14:paraId="2CBDDF6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此项目核心业务计划部署在超融合平台，平台需定期升级保障平台稳定性，核心业务不能长时间停机，超融合平台需支持在线升级不影响业务；为保证升级时间与步骤可控，升级过程中支持对升级节点进行升级顺序编排、升级暂停</w:t>
            </w:r>
          </w:p>
        </w:tc>
      </w:tr>
      <w:tr w14:paraId="4820357C">
        <w:tblPrEx>
          <w:tblCellMar>
            <w:top w:w="15" w:type="dxa"/>
            <w:left w:w="15" w:type="dxa"/>
            <w:bottom w:w="15" w:type="dxa"/>
            <w:right w:w="15" w:type="dxa"/>
          </w:tblCellMar>
        </w:tblPrEx>
        <w:trPr>
          <w:trHeight w:val="1300" w:hRule="atLeast"/>
        </w:trPr>
        <w:tc>
          <w:tcPr>
            <w:tcW w:w="1475" w:type="dxa"/>
            <w:tcBorders>
              <w:top w:val="single" w:color="1F2329" w:sz="4" w:space="0"/>
              <w:left w:val="single" w:color="1F2329" w:sz="4" w:space="0"/>
              <w:bottom w:val="single" w:color="1F2329" w:sz="4" w:space="0"/>
              <w:right w:val="single" w:color="1F2329" w:sz="4" w:space="0"/>
            </w:tcBorders>
          </w:tcPr>
          <w:p w14:paraId="7F7BDE6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数据重建</w:t>
            </w:r>
          </w:p>
        </w:tc>
        <w:tc>
          <w:tcPr>
            <w:tcW w:w="6861" w:type="dxa"/>
            <w:tcBorders>
              <w:top w:val="single" w:color="1F2329" w:sz="4" w:space="0"/>
              <w:left w:val="single" w:color="1F2329" w:sz="4" w:space="0"/>
              <w:bottom w:val="single" w:color="1F2329" w:sz="4" w:space="0"/>
              <w:right w:val="single" w:color="1F2329" w:sz="4" w:space="0"/>
            </w:tcBorders>
          </w:tcPr>
          <w:p w14:paraId="4E0F9DA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硬件故障对平台影响较大，也会影响数据安全，为保障业务在硬件故障后尽快恢复冗余数据保障，支持进行数据重建操作，重建速率达到30分钟/TB；重建过程中可以查看数据重建任务列表信息，包括对象名称、对象类型、数据量和优先级等；支持点击操作中的优先级对数据重建进行优先重建（提供第三方检测报告证明，至少包含报告首页，对应功能测试页和报告尾页）</w:t>
            </w:r>
          </w:p>
        </w:tc>
      </w:tr>
      <w:tr w14:paraId="4BA608BE">
        <w:tblPrEx>
          <w:tblCellMar>
            <w:top w:w="15" w:type="dxa"/>
            <w:left w:w="15" w:type="dxa"/>
            <w:bottom w:w="15" w:type="dxa"/>
            <w:right w:w="15" w:type="dxa"/>
          </w:tblCellMar>
        </w:tblPrEx>
        <w:trPr>
          <w:trHeight w:val="470" w:hRule="atLeast"/>
        </w:trPr>
        <w:tc>
          <w:tcPr>
            <w:tcW w:w="1475" w:type="dxa"/>
            <w:tcBorders>
              <w:top w:val="single" w:color="1F2329" w:sz="4" w:space="0"/>
              <w:left w:val="single" w:color="1F2329" w:sz="4" w:space="0"/>
              <w:bottom w:val="single" w:color="1F2329" w:sz="4" w:space="0"/>
              <w:right w:val="single" w:color="1F2329" w:sz="4" w:space="0"/>
            </w:tcBorders>
          </w:tcPr>
          <w:p w14:paraId="16B0AEC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快照策略</w:t>
            </w:r>
          </w:p>
        </w:tc>
        <w:tc>
          <w:tcPr>
            <w:tcW w:w="6861" w:type="dxa"/>
            <w:tcBorders>
              <w:top w:val="single" w:color="1F2329" w:sz="4" w:space="0"/>
              <w:left w:val="single" w:color="1F2329" w:sz="4" w:space="0"/>
              <w:bottom w:val="single" w:color="1F2329" w:sz="4" w:space="0"/>
              <w:right w:val="single" w:color="1F2329" w:sz="4" w:space="0"/>
            </w:tcBorders>
          </w:tcPr>
          <w:p w14:paraId="132D4B1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支持快照功能。快照类型支持存储快照、磁盘快照。支持静默快照功能。</w:t>
            </w:r>
          </w:p>
        </w:tc>
      </w:tr>
      <w:tr w14:paraId="11659290">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tcPr>
          <w:p w14:paraId="3BAA4FF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网络安全</w:t>
            </w:r>
          </w:p>
        </w:tc>
        <w:tc>
          <w:tcPr>
            <w:tcW w:w="6861" w:type="dxa"/>
            <w:tcBorders>
              <w:top w:val="single" w:color="1F2329" w:sz="4" w:space="0"/>
              <w:left w:val="single" w:color="1F2329" w:sz="4" w:space="0"/>
              <w:bottom w:val="single" w:color="1F2329" w:sz="4" w:space="0"/>
              <w:right w:val="single" w:color="1F2329" w:sz="4" w:space="0"/>
            </w:tcBorders>
          </w:tcPr>
          <w:p w14:paraId="0FCB9D7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了能够根据实际需求和网络拓扑，灵活地配置和管理防火墙规则，以保护网络和虚拟机的安全，我单位要求支持创建分布式虚拟防火墙，并可基于虚拟机、虚拟机组、虚拟机标签、IP、IP范围、IP组构建安全防火墙。</w:t>
            </w:r>
          </w:p>
        </w:tc>
      </w:tr>
      <w:tr w14:paraId="7D0A7337">
        <w:tblPrEx>
          <w:tblCellMar>
            <w:top w:w="15" w:type="dxa"/>
            <w:left w:w="15" w:type="dxa"/>
            <w:bottom w:w="15" w:type="dxa"/>
            <w:right w:w="15" w:type="dxa"/>
          </w:tblCellMar>
        </w:tblPrEx>
        <w:trPr>
          <w:trHeight w:val="1300" w:hRule="atLeast"/>
        </w:trPr>
        <w:tc>
          <w:tcPr>
            <w:tcW w:w="1475" w:type="dxa"/>
            <w:tcBorders>
              <w:top w:val="single" w:color="1F2329" w:sz="4" w:space="0"/>
              <w:left w:val="single" w:color="1F2329" w:sz="4" w:space="0"/>
              <w:bottom w:val="single" w:color="1F2329" w:sz="4" w:space="0"/>
              <w:right w:val="single" w:color="1F2329" w:sz="4" w:space="0"/>
            </w:tcBorders>
          </w:tcPr>
          <w:p w14:paraId="00B4631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安全能力联动</w:t>
            </w:r>
          </w:p>
        </w:tc>
        <w:tc>
          <w:tcPr>
            <w:tcW w:w="6861" w:type="dxa"/>
            <w:tcBorders>
              <w:top w:val="single" w:color="1F2329" w:sz="4" w:space="0"/>
              <w:left w:val="single" w:color="1F2329" w:sz="4" w:space="0"/>
              <w:bottom w:val="single" w:color="1F2329" w:sz="4" w:space="0"/>
              <w:right w:val="single" w:color="1F2329" w:sz="4" w:space="0"/>
            </w:tcBorders>
          </w:tcPr>
          <w:p w14:paraId="234A862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于虚拟化业务安全考虑，云平台与安全能力应支持联动以达到最佳安全效果，需提供同一品牌云安全中心，无需界面跳转即可实现安全统一管理提升安全运维效率，需提供一站式工作台展示云上资产安全防护情况展示，包括安全风险分布，以及病毒、攻击、漏洞等风险的TOP 5云主机</w:t>
            </w:r>
          </w:p>
        </w:tc>
      </w:tr>
    </w:tbl>
    <w:p w14:paraId="14F30EE4">
      <w:pPr>
        <w:rPr>
          <w:rFonts w:asciiTheme="minorEastAsia" w:hAnsiTheme="minorEastAsia" w:eastAsiaTheme="minorEastAsia" w:cstheme="minorEastAsia"/>
          <w:highlight w:val="none"/>
        </w:rPr>
      </w:pPr>
    </w:p>
    <w:p w14:paraId="4B8EECF6">
      <w:pPr>
        <w:pStyle w:val="5"/>
        <w:ind w:firstLine="56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COC服务器集群</w:t>
      </w:r>
    </w:p>
    <w:tbl>
      <w:tblPr>
        <w:tblStyle w:val="10"/>
        <w:tblW w:w="0" w:type="auto"/>
        <w:tblInd w:w="0" w:type="dxa"/>
        <w:tblLayout w:type="autofit"/>
        <w:tblCellMar>
          <w:top w:w="15" w:type="dxa"/>
          <w:left w:w="15" w:type="dxa"/>
          <w:bottom w:w="15" w:type="dxa"/>
          <w:right w:w="15" w:type="dxa"/>
        </w:tblCellMar>
      </w:tblPr>
      <w:tblGrid>
        <w:gridCol w:w="1200"/>
        <w:gridCol w:w="7142"/>
      </w:tblGrid>
      <w:tr w14:paraId="3FE83D41">
        <w:tblPrEx>
          <w:tblCellMar>
            <w:top w:w="15" w:type="dxa"/>
            <w:left w:w="15" w:type="dxa"/>
            <w:bottom w:w="15" w:type="dxa"/>
            <w:right w:w="15" w:type="dxa"/>
          </w:tblCellMar>
        </w:tblPrEx>
        <w:trPr>
          <w:trHeight w:val="540" w:hRule="atLeast"/>
        </w:trPr>
        <w:tc>
          <w:tcPr>
            <w:tcW w:w="4320" w:type="dxa"/>
            <w:tcBorders>
              <w:top w:val="single" w:color="1F2329" w:sz="4" w:space="0"/>
              <w:left w:val="single" w:color="1F2329" w:sz="4" w:space="0"/>
              <w:bottom w:val="single" w:color="1F2329" w:sz="4" w:space="0"/>
              <w:right w:val="single" w:color="1F2329" w:sz="4" w:space="0"/>
            </w:tcBorders>
            <w:vAlign w:val="center"/>
          </w:tcPr>
          <w:p w14:paraId="452572A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4320" w:type="dxa"/>
            <w:tcBorders>
              <w:top w:val="single" w:color="1F2329" w:sz="4" w:space="0"/>
              <w:left w:val="single" w:color="1F2329" w:sz="4" w:space="0"/>
              <w:bottom w:val="single" w:color="1F2329" w:sz="4" w:space="0"/>
              <w:right w:val="single" w:color="1F2329" w:sz="4" w:space="0"/>
            </w:tcBorders>
            <w:vAlign w:val="center"/>
          </w:tcPr>
          <w:p w14:paraId="48AD6AD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29DCB4BA">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4B82B23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架构</w:t>
            </w:r>
          </w:p>
        </w:tc>
        <w:tc>
          <w:tcPr>
            <w:tcW w:w="0" w:type="auto"/>
            <w:tcBorders>
              <w:top w:val="single" w:color="1F2329" w:sz="4" w:space="0"/>
              <w:left w:val="single" w:color="1F2329" w:sz="4" w:space="0"/>
              <w:bottom w:val="single" w:color="1F2329" w:sz="4" w:space="0"/>
              <w:right w:val="single" w:color="1F2329" w:sz="4" w:space="0"/>
            </w:tcBorders>
            <w:vAlign w:val="center"/>
          </w:tcPr>
          <w:p w14:paraId="6FFBCC6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2U机架式服务器，国产品牌</w:t>
            </w:r>
          </w:p>
        </w:tc>
      </w:tr>
      <w:tr w14:paraId="3FF61210">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130E176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处理器</w:t>
            </w:r>
          </w:p>
        </w:tc>
        <w:tc>
          <w:tcPr>
            <w:tcW w:w="0" w:type="auto"/>
            <w:tcBorders>
              <w:top w:val="single" w:color="1F2329" w:sz="4" w:space="0"/>
              <w:left w:val="single" w:color="1F2329" w:sz="4" w:space="0"/>
              <w:bottom w:val="single" w:color="1F2329" w:sz="4" w:space="0"/>
              <w:right w:val="single" w:color="1F2329" w:sz="4" w:space="0"/>
            </w:tcBorders>
            <w:vAlign w:val="center"/>
          </w:tcPr>
          <w:p w14:paraId="1EA5212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配置≥2颗C86-4G处理器</w:t>
            </w:r>
            <w:r>
              <w:rPr>
                <w:rFonts w:hint="eastAsia" w:asciiTheme="minorEastAsia" w:hAnsiTheme="minorEastAsia" w:eastAsiaTheme="minorEastAsia" w:cstheme="minorEastAsia"/>
                <w:highlight w:val="none"/>
                <w:lang w:eastAsia="zh-CN"/>
              </w:rPr>
              <w:t>或同性能处理器</w:t>
            </w:r>
            <w:r>
              <w:rPr>
                <w:rFonts w:hint="eastAsia" w:asciiTheme="minorEastAsia" w:hAnsiTheme="minorEastAsia" w:eastAsiaTheme="minorEastAsia" w:cstheme="minorEastAsia"/>
                <w:highlight w:val="none"/>
              </w:rPr>
              <w:t>，每颗CPU核心数≥64核，每颗CPU主频≥2.0GHz</w:t>
            </w:r>
          </w:p>
        </w:tc>
      </w:tr>
      <w:tr w14:paraId="656F62B2">
        <w:tblPrEx>
          <w:tblCellMar>
            <w:top w:w="15" w:type="dxa"/>
            <w:left w:w="15" w:type="dxa"/>
            <w:bottom w:w="15" w:type="dxa"/>
            <w:right w:w="15" w:type="dxa"/>
          </w:tblCellMar>
        </w:tblPrEx>
        <w:trPr>
          <w:trHeight w:val="130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5E1FC66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w:t>
            </w:r>
          </w:p>
        </w:tc>
        <w:tc>
          <w:tcPr>
            <w:tcW w:w="0" w:type="auto"/>
            <w:tcBorders>
              <w:top w:val="single" w:color="1F2329" w:sz="4" w:space="0"/>
              <w:left w:val="single" w:color="1F2329" w:sz="4" w:space="0"/>
              <w:bottom w:val="single" w:color="1F2329" w:sz="4" w:space="0"/>
              <w:right w:val="single" w:color="1F2329" w:sz="4" w:space="0"/>
            </w:tcBorders>
            <w:vAlign w:val="center"/>
          </w:tcPr>
          <w:p w14:paraId="040C42E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▲投标服务器所配备的CPU（中央处理器）支持可信执行环境（TEE），支持虚拟机在写入内存数据时自动加密、 读取内存数据时自动解密。提供投标服务器所配备的CPU（中央处理器）具有上述密码技术特性的证明材料 </w:t>
            </w:r>
          </w:p>
        </w:tc>
      </w:tr>
      <w:tr w14:paraId="26350BA3">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7D2A2B2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内存</w:t>
            </w:r>
          </w:p>
        </w:tc>
        <w:tc>
          <w:tcPr>
            <w:tcW w:w="0" w:type="auto"/>
            <w:tcBorders>
              <w:top w:val="single" w:color="1F2329" w:sz="4" w:space="0"/>
              <w:left w:val="single" w:color="1F2329" w:sz="4" w:space="0"/>
              <w:bottom w:val="single" w:color="1F2329" w:sz="4" w:space="0"/>
              <w:right w:val="single" w:color="1F2329" w:sz="4" w:space="0"/>
            </w:tcBorders>
            <w:vAlign w:val="center"/>
          </w:tcPr>
          <w:p w14:paraId="55C5F42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支持≥24个内存插槽, 本次配置≥8条64GB DDR5 5600MHz内存</w:t>
            </w:r>
          </w:p>
        </w:tc>
      </w:tr>
      <w:tr w14:paraId="2EA1E525">
        <w:tblPrEx>
          <w:tblCellMar>
            <w:top w:w="15" w:type="dxa"/>
            <w:left w:w="15" w:type="dxa"/>
            <w:bottom w:w="15" w:type="dxa"/>
            <w:right w:w="15" w:type="dxa"/>
          </w:tblCellMar>
        </w:tblPrEx>
        <w:trPr>
          <w:trHeight w:val="9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5C0C22E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存储</w:t>
            </w:r>
          </w:p>
        </w:tc>
        <w:tc>
          <w:tcPr>
            <w:tcW w:w="0" w:type="auto"/>
            <w:tcBorders>
              <w:top w:val="single" w:color="1F2329" w:sz="4" w:space="0"/>
              <w:left w:val="single" w:color="1F2329" w:sz="4" w:space="0"/>
              <w:bottom w:val="single" w:color="1F2329" w:sz="4" w:space="0"/>
              <w:right w:val="single" w:color="1F2329" w:sz="4" w:space="0"/>
            </w:tcBorders>
            <w:vAlign w:val="center"/>
          </w:tcPr>
          <w:p w14:paraId="58A4356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本次配置≥2块480GB SSD硬盘，≥4块3.84T Nvme SSD硬盘</w:t>
            </w:r>
          </w:p>
        </w:tc>
      </w:tr>
      <w:tr w14:paraId="205684D9">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13E09AC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RAID卡</w:t>
            </w:r>
          </w:p>
        </w:tc>
        <w:tc>
          <w:tcPr>
            <w:tcW w:w="0" w:type="auto"/>
            <w:tcBorders>
              <w:top w:val="single" w:color="1F2329" w:sz="4" w:space="0"/>
              <w:left w:val="single" w:color="1F2329" w:sz="4" w:space="0"/>
              <w:bottom w:val="single" w:color="1F2329" w:sz="4" w:space="0"/>
              <w:right w:val="single" w:color="1F2329" w:sz="4" w:space="0"/>
            </w:tcBorders>
            <w:vAlign w:val="center"/>
          </w:tcPr>
          <w:p w14:paraId="2A9E921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配置≥1张RAID卡，缓存≥2GB，支持RAID 0/1/5/10/50/60等</w:t>
            </w:r>
          </w:p>
        </w:tc>
      </w:tr>
      <w:tr w14:paraId="178BA40D">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3233372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网卡</w:t>
            </w:r>
          </w:p>
        </w:tc>
        <w:tc>
          <w:tcPr>
            <w:tcW w:w="0" w:type="auto"/>
            <w:tcBorders>
              <w:top w:val="single" w:color="1F2329" w:sz="4" w:space="0"/>
              <w:left w:val="single" w:color="1F2329" w:sz="4" w:space="0"/>
              <w:bottom w:val="single" w:color="1F2329" w:sz="4" w:space="0"/>
              <w:right w:val="single" w:color="1F2329" w:sz="4" w:space="0"/>
            </w:tcBorders>
            <w:vAlign w:val="center"/>
          </w:tcPr>
          <w:p w14:paraId="71D8719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本次配置≥2个双口万兆网卡（光口含模块），≥1个四口千兆网卡（电口）</w:t>
            </w:r>
          </w:p>
        </w:tc>
      </w:tr>
      <w:tr w14:paraId="19E3E394">
        <w:tblPrEx>
          <w:tblCellMar>
            <w:top w:w="15" w:type="dxa"/>
            <w:left w:w="15" w:type="dxa"/>
            <w:bottom w:w="15" w:type="dxa"/>
            <w:right w:w="15" w:type="dxa"/>
          </w:tblCellMar>
        </w:tblPrEx>
        <w:trPr>
          <w:trHeight w:val="9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63213E8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PCIe扩展</w:t>
            </w:r>
          </w:p>
        </w:tc>
        <w:tc>
          <w:tcPr>
            <w:tcW w:w="0" w:type="auto"/>
            <w:tcBorders>
              <w:top w:val="single" w:color="1F2329" w:sz="4" w:space="0"/>
              <w:left w:val="single" w:color="1F2329" w:sz="4" w:space="0"/>
              <w:bottom w:val="single" w:color="1F2329" w:sz="4" w:space="0"/>
              <w:right w:val="single" w:color="1F2329" w:sz="4" w:space="0"/>
            </w:tcBorders>
            <w:vAlign w:val="center"/>
          </w:tcPr>
          <w:p w14:paraId="0D6940B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支持≥10个PCIe 5.0插槽</w:t>
            </w:r>
          </w:p>
        </w:tc>
      </w:tr>
      <w:tr w14:paraId="72B172CA">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569E625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电源</w:t>
            </w:r>
          </w:p>
        </w:tc>
        <w:tc>
          <w:tcPr>
            <w:tcW w:w="0" w:type="auto"/>
            <w:tcBorders>
              <w:top w:val="single" w:color="1F2329" w:sz="4" w:space="0"/>
              <w:left w:val="single" w:color="1F2329" w:sz="4" w:space="0"/>
              <w:bottom w:val="single" w:color="1F2329" w:sz="4" w:space="0"/>
              <w:right w:val="single" w:color="1F2329" w:sz="4" w:space="0"/>
            </w:tcBorders>
            <w:vAlign w:val="center"/>
          </w:tcPr>
          <w:p w14:paraId="153022B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配置≥2个冗余电源; 冗余散热风扇，机架安装导轨；</w:t>
            </w:r>
          </w:p>
        </w:tc>
      </w:tr>
      <w:tr w14:paraId="3CD556A5">
        <w:tblPrEx>
          <w:tblCellMar>
            <w:top w:w="15" w:type="dxa"/>
            <w:left w:w="15" w:type="dxa"/>
            <w:bottom w:w="15" w:type="dxa"/>
            <w:right w:w="15" w:type="dxa"/>
          </w:tblCellMar>
        </w:tblPrEx>
        <w:trPr>
          <w:trHeight w:val="92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1C8DB03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备件管理功能</w:t>
            </w:r>
          </w:p>
        </w:tc>
        <w:tc>
          <w:tcPr>
            <w:tcW w:w="0" w:type="auto"/>
            <w:tcBorders>
              <w:top w:val="single" w:color="1F2329" w:sz="4" w:space="0"/>
              <w:left w:val="single" w:color="1F2329" w:sz="4" w:space="0"/>
              <w:bottom w:val="single" w:color="1F2329" w:sz="4" w:space="0"/>
              <w:right w:val="single" w:color="1F2329" w:sz="4" w:space="0"/>
            </w:tcBorders>
            <w:vAlign w:val="center"/>
          </w:tcPr>
          <w:p w14:paraId="02ACDE3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厂商提供的服务器配套管理软件支持备件的统一管理，涵盖整机及备件信息的详尽记录，实现用户对服务器及资产的全生命周期管理需求，帮助用户提升运维效率。</w:t>
            </w:r>
          </w:p>
        </w:tc>
      </w:tr>
      <w:tr w14:paraId="14B311CB">
        <w:tblPrEx>
          <w:tblCellMar>
            <w:top w:w="15" w:type="dxa"/>
            <w:left w:w="15" w:type="dxa"/>
            <w:bottom w:w="15" w:type="dxa"/>
            <w:right w:w="15" w:type="dxa"/>
          </w:tblCellMar>
        </w:tblPrEx>
        <w:trPr>
          <w:trHeight w:val="92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5F69C50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密码托管功能</w:t>
            </w:r>
          </w:p>
        </w:tc>
        <w:tc>
          <w:tcPr>
            <w:tcW w:w="0" w:type="auto"/>
            <w:tcBorders>
              <w:top w:val="single" w:color="1F2329" w:sz="4" w:space="0"/>
              <w:left w:val="single" w:color="1F2329" w:sz="4" w:space="0"/>
              <w:bottom w:val="single" w:color="1F2329" w:sz="4" w:space="0"/>
              <w:right w:val="single" w:color="1F2329" w:sz="4" w:space="0"/>
            </w:tcBorders>
            <w:vAlign w:val="center"/>
          </w:tcPr>
          <w:p w14:paraId="77B9245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厂商提供的服务器配套管理软件需支持对于服务器带外BMC密码托管，实现定期按照规则进行修改，确保服务器BMC密码的安全性。</w:t>
            </w:r>
          </w:p>
        </w:tc>
      </w:tr>
      <w:tr w14:paraId="254BE359">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tcPr>
          <w:p w14:paraId="34BE4E7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国产化兼容性</w:t>
            </w:r>
          </w:p>
        </w:tc>
        <w:tc>
          <w:tcPr>
            <w:tcW w:w="0" w:type="auto"/>
            <w:tcBorders>
              <w:top w:val="single" w:color="1F2329" w:sz="4" w:space="0"/>
              <w:left w:val="single" w:color="1F2329" w:sz="4" w:space="0"/>
              <w:bottom w:val="single" w:color="1F2329" w:sz="4" w:space="0"/>
              <w:right w:val="single" w:color="1F2329" w:sz="4" w:space="0"/>
            </w:tcBorders>
          </w:tcPr>
          <w:p w14:paraId="03D5348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所投产品需支持主流国产CPU芯片</w:t>
            </w:r>
          </w:p>
        </w:tc>
      </w:tr>
      <w:tr w14:paraId="353C390B">
        <w:tblPrEx>
          <w:tblCellMar>
            <w:top w:w="15" w:type="dxa"/>
            <w:left w:w="15" w:type="dxa"/>
            <w:bottom w:w="15" w:type="dxa"/>
            <w:right w:w="15" w:type="dxa"/>
          </w:tblCellMar>
        </w:tblPrEx>
        <w:trPr>
          <w:trHeight w:val="92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6B5DA6C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热迁移高级配置</w:t>
            </w:r>
          </w:p>
        </w:tc>
        <w:tc>
          <w:tcPr>
            <w:tcW w:w="0" w:type="auto"/>
            <w:tcBorders>
              <w:top w:val="single" w:color="1F2329" w:sz="4" w:space="0"/>
              <w:left w:val="single" w:color="1F2329" w:sz="4" w:space="0"/>
              <w:bottom w:val="single" w:color="1F2329" w:sz="4" w:space="0"/>
              <w:right w:val="single" w:color="1F2329" w:sz="4" w:space="0"/>
            </w:tcBorders>
            <w:vAlign w:val="center"/>
          </w:tcPr>
          <w:p w14:paraId="02D4B54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虚拟机迁移支持指定网口迁移、限制迁移速度、启用压缩传输，同时虚拟机迁移过程中如因数据写入量过大迁移不完，可支持强制切换操作。</w:t>
            </w:r>
          </w:p>
        </w:tc>
      </w:tr>
      <w:tr w14:paraId="727B82B4">
        <w:tblPrEx>
          <w:tblCellMar>
            <w:top w:w="15" w:type="dxa"/>
            <w:left w:w="15" w:type="dxa"/>
            <w:bottom w:w="15" w:type="dxa"/>
            <w:right w:w="15" w:type="dxa"/>
          </w:tblCellMar>
        </w:tblPrEx>
        <w:trPr>
          <w:trHeight w:val="130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62652E5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虚拟机生命周期管理</w:t>
            </w:r>
          </w:p>
        </w:tc>
        <w:tc>
          <w:tcPr>
            <w:tcW w:w="0" w:type="auto"/>
            <w:tcBorders>
              <w:top w:val="single" w:color="1F2329" w:sz="4" w:space="0"/>
              <w:left w:val="single" w:color="1F2329" w:sz="4" w:space="0"/>
              <w:bottom w:val="single" w:color="1F2329" w:sz="4" w:space="0"/>
              <w:right w:val="single" w:color="1F2329" w:sz="4" w:space="0"/>
            </w:tcBorders>
            <w:vAlign w:val="center"/>
          </w:tcPr>
          <w:p w14:paraId="5EAEC9A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为满足大规模管理运维的要求，在超融合管理平台界面上提供虚拟机删除、开关机、挂起、重启、关闭、关闭电源、克隆、迁移、备份、快照、标签管理等功能，以上功能均支持批量操作。</w:t>
            </w:r>
          </w:p>
        </w:tc>
      </w:tr>
      <w:tr w14:paraId="5F70908B">
        <w:tblPrEx>
          <w:tblCellMar>
            <w:top w:w="15" w:type="dxa"/>
            <w:left w:w="15" w:type="dxa"/>
            <w:bottom w:w="15" w:type="dxa"/>
            <w:right w:w="15" w:type="dxa"/>
          </w:tblCellMar>
        </w:tblPrEx>
        <w:trPr>
          <w:trHeight w:val="92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07522E9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功能性要求</w:t>
            </w:r>
          </w:p>
        </w:tc>
        <w:tc>
          <w:tcPr>
            <w:tcW w:w="0" w:type="auto"/>
            <w:tcBorders>
              <w:top w:val="single" w:color="1F2329" w:sz="4" w:space="0"/>
              <w:left w:val="single" w:color="1F2329" w:sz="4" w:space="0"/>
              <w:bottom w:val="single" w:color="1F2329" w:sz="4" w:space="0"/>
              <w:right w:val="single" w:color="1F2329" w:sz="4" w:space="0"/>
            </w:tcBorders>
            <w:vAlign w:val="center"/>
          </w:tcPr>
          <w:p w14:paraId="76D1888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为避免主机假死导致系列问题发生，支持识别假死主机并标签化为亚健康主机，通过邮件或短信告警提醒用户进行处理，并限制重要业务在亚健康主机上运行，规避风险</w:t>
            </w:r>
          </w:p>
        </w:tc>
      </w:tr>
      <w:tr w14:paraId="38E5D5FE">
        <w:tblPrEx>
          <w:tblCellMar>
            <w:top w:w="15" w:type="dxa"/>
            <w:left w:w="15" w:type="dxa"/>
            <w:bottom w:w="15" w:type="dxa"/>
            <w:right w:w="15" w:type="dxa"/>
          </w:tblCellMar>
        </w:tblPrEx>
        <w:trPr>
          <w:trHeight w:val="92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7C65FFF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跨版本迁移</w:t>
            </w:r>
          </w:p>
        </w:tc>
        <w:tc>
          <w:tcPr>
            <w:tcW w:w="0" w:type="auto"/>
            <w:tcBorders>
              <w:top w:val="single" w:color="1F2329" w:sz="4" w:space="0"/>
              <w:left w:val="single" w:color="1F2329" w:sz="4" w:space="0"/>
              <w:bottom w:val="single" w:color="1F2329" w:sz="4" w:space="0"/>
              <w:right w:val="single" w:color="1F2329" w:sz="4" w:space="0"/>
            </w:tcBorders>
            <w:vAlign w:val="center"/>
          </w:tcPr>
          <w:p w14:paraId="701A381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支持界面操作跨集群跨版本热迁移，即虚拟化平台不同版本也可通过兼容模式支持跨集群迁移，无需多个集群的平台版本一定一致。</w:t>
            </w:r>
          </w:p>
        </w:tc>
      </w:tr>
      <w:tr w14:paraId="4A13BC74">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644F47D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快照策略</w:t>
            </w:r>
          </w:p>
        </w:tc>
        <w:tc>
          <w:tcPr>
            <w:tcW w:w="0" w:type="auto"/>
            <w:tcBorders>
              <w:top w:val="single" w:color="1F2329" w:sz="4" w:space="0"/>
              <w:left w:val="single" w:color="1F2329" w:sz="4" w:space="0"/>
              <w:bottom w:val="single" w:color="1F2329" w:sz="4" w:space="0"/>
              <w:right w:val="single" w:color="1F2329" w:sz="4" w:space="0"/>
            </w:tcBorders>
            <w:vAlign w:val="center"/>
          </w:tcPr>
          <w:p w14:paraId="5082EEE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支持快照功能。快照类型支持存储快照、磁盘快照。支持静默快照功能。</w:t>
            </w:r>
          </w:p>
        </w:tc>
      </w:tr>
      <w:tr w14:paraId="6F104B0B">
        <w:tblPrEx>
          <w:tblCellMar>
            <w:top w:w="15" w:type="dxa"/>
            <w:left w:w="15" w:type="dxa"/>
            <w:bottom w:w="15" w:type="dxa"/>
            <w:right w:w="15" w:type="dxa"/>
          </w:tblCellMar>
        </w:tblPrEx>
        <w:trPr>
          <w:trHeight w:val="130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7231923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性能要求</w:t>
            </w:r>
          </w:p>
        </w:tc>
        <w:tc>
          <w:tcPr>
            <w:tcW w:w="0" w:type="auto"/>
            <w:tcBorders>
              <w:top w:val="single" w:color="1F2329" w:sz="4" w:space="0"/>
              <w:left w:val="single" w:color="1F2329" w:sz="4" w:space="0"/>
              <w:bottom w:val="single" w:color="1F2329" w:sz="4" w:space="0"/>
              <w:right w:val="single" w:color="1F2329" w:sz="4" w:space="0"/>
            </w:tcBorders>
            <w:vAlign w:val="center"/>
          </w:tcPr>
          <w:p w14:paraId="72C4482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对虚拟机或虚拟磁盘设置数据分布策略，当采用副本聚合策略时，可以保证以性能优先为原则，实现IO本地读效果，当采用副本散列策略时，可以保证虚拟机以分布均匀优先为原则，打散分布均匀在各物理主机上。</w:t>
            </w:r>
          </w:p>
        </w:tc>
      </w:tr>
      <w:tr w14:paraId="4CFC9486">
        <w:tblPrEx>
          <w:tblCellMar>
            <w:top w:w="15" w:type="dxa"/>
            <w:left w:w="15" w:type="dxa"/>
            <w:bottom w:w="15" w:type="dxa"/>
            <w:right w:w="15" w:type="dxa"/>
          </w:tblCellMar>
        </w:tblPrEx>
        <w:trPr>
          <w:trHeight w:val="168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5F1BC73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防勒索</w:t>
            </w:r>
          </w:p>
        </w:tc>
        <w:tc>
          <w:tcPr>
            <w:tcW w:w="0" w:type="auto"/>
            <w:tcBorders>
              <w:top w:val="single" w:color="1F2329" w:sz="4" w:space="0"/>
              <w:left w:val="single" w:color="1F2329" w:sz="4" w:space="0"/>
              <w:bottom w:val="single" w:color="1F2329" w:sz="4" w:space="0"/>
              <w:right w:val="single" w:color="1F2329" w:sz="4" w:space="0"/>
            </w:tcBorders>
            <w:vAlign w:val="center"/>
          </w:tcPr>
          <w:p w14:paraId="47B6DB0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于医院业务安全考虑，避免产生额外的经济损失，同时简化安全问题处置复杂度，需要云平台提供可靠的向导化勒索病毒处理流程，包括紧急隔离、保留当前状态、恢复云主机、扫描病毒、恢复网络。并支持事前勒索病毒防护、事中检测疑似勒索可打自动对虚拟机打快照、事后勒索病毒向导化处理</w:t>
            </w:r>
          </w:p>
        </w:tc>
      </w:tr>
    </w:tbl>
    <w:p w14:paraId="10DAA662">
      <w:pPr>
        <w:pStyle w:val="5"/>
        <w:ind w:firstLine="56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物理服务器升级替换（北院医联平台）</w:t>
      </w:r>
    </w:p>
    <w:p w14:paraId="2F2DBEF1">
      <w:pPr>
        <w:rPr>
          <w:rFonts w:asciiTheme="minorEastAsia" w:hAnsiTheme="minorEastAsia" w:eastAsiaTheme="minorEastAsia" w:cstheme="minorEastAsia"/>
          <w:highlight w:val="none"/>
        </w:rPr>
      </w:pPr>
    </w:p>
    <w:tbl>
      <w:tblPr>
        <w:tblStyle w:val="10"/>
        <w:tblW w:w="0" w:type="auto"/>
        <w:tblInd w:w="0" w:type="dxa"/>
        <w:tblLayout w:type="autofit"/>
        <w:tblCellMar>
          <w:top w:w="15" w:type="dxa"/>
          <w:left w:w="15" w:type="dxa"/>
          <w:bottom w:w="15" w:type="dxa"/>
          <w:right w:w="15" w:type="dxa"/>
        </w:tblCellMar>
      </w:tblPr>
      <w:tblGrid>
        <w:gridCol w:w="1475"/>
        <w:gridCol w:w="6861"/>
      </w:tblGrid>
      <w:tr w14:paraId="3A0B4681">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0902E60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6861" w:type="dxa"/>
            <w:tcBorders>
              <w:top w:val="single" w:color="1F2329" w:sz="4" w:space="0"/>
              <w:left w:val="single" w:color="1F2329" w:sz="4" w:space="0"/>
              <w:bottom w:val="single" w:color="1F2329" w:sz="4" w:space="0"/>
              <w:right w:val="single" w:color="1F2329" w:sz="4" w:space="0"/>
            </w:tcBorders>
            <w:vAlign w:val="center"/>
          </w:tcPr>
          <w:p w14:paraId="4F3EDF5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488C6FC6">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5D9C8F4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总体要求</w:t>
            </w:r>
          </w:p>
        </w:tc>
        <w:tc>
          <w:tcPr>
            <w:tcW w:w="6861" w:type="dxa"/>
            <w:tcBorders>
              <w:top w:val="single" w:color="1F2329" w:sz="4" w:space="0"/>
              <w:left w:val="single" w:color="1F2329" w:sz="4" w:space="0"/>
              <w:bottom w:val="single" w:color="1F2329" w:sz="4" w:space="0"/>
              <w:right w:val="single" w:color="1F2329" w:sz="4" w:space="0"/>
            </w:tcBorders>
            <w:vAlign w:val="center"/>
          </w:tcPr>
          <w:p w14:paraId="5A31EE3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2U机架式，国产品牌</w:t>
            </w:r>
          </w:p>
        </w:tc>
      </w:tr>
      <w:tr w14:paraId="21446F65">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4EA8D6D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处理器</w:t>
            </w:r>
          </w:p>
        </w:tc>
        <w:tc>
          <w:tcPr>
            <w:tcW w:w="6861" w:type="dxa"/>
            <w:tcBorders>
              <w:top w:val="single" w:color="1F2329" w:sz="4" w:space="0"/>
              <w:left w:val="single" w:color="1F2329" w:sz="4" w:space="0"/>
              <w:bottom w:val="single" w:color="1F2329" w:sz="4" w:space="0"/>
              <w:right w:val="single" w:color="1F2329" w:sz="4" w:space="0"/>
            </w:tcBorders>
            <w:vAlign w:val="center"/>
          </w:tcPr>
          <w:p w14:paraId="3E46129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配置2颗Intel Xeon 4514Y处理器</w:t>
            </w:r>
            <w:r>
              <w:rPr>
                <w:rFonts w:hint="eastAsia" w:asciiTheme="minorEastAsia" w:hAnsiTheme="minorEastAsia" w:eastAsiaTheme="minorEastAsia" w:cstheme="minorEastAsia"/>
                <w:highlight w:val="none"/>
                <w:lang w:eastAsia="zh-CN"/>
              </w:rPr>
              <w:t>或同性能</w:t>
            </w:r>
            <w:r>
              <w:rPr>
                <w:rFonts w:hint="eastAsia" w:asciiTheme="minorEastAsia" w:hAnsiTheme="minorEastAsia" w:eastAsiaTheme="minorEastAsia" w:cstheme="minorEastAsia"/>
                <w:highlight w:val="none"/>
                <w:lang w:val="en-US" w:eastAsia="zh-CN"/>
              </w:rPr>
              <w:t>处理器</w:t>
            </w:r>
            <w:r>
              <w:rPr>
                <w:rFonts w:hint="eastAsia" w:asciiTheme="minorEastAsia" w:hAnsiTheme="minorEastAsia" w:eastAsiaTheme="minorEastAsia" w:cstheme="minorEastAsia"/>
                <w:highlight w:val="none"/>
              </w:rPr>
              <w:t>，每颗处理器核心≥16c，频率≥2.0GHz</w:t>
            </w:r>
          </w:p>
        </w:tc>
      </w:tr>
      <w:tr w14:paraId="2F6083D1">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59723A2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内存要求</w:t>
            </w:r>
          </w:p>
        </w:tc>
        <w:tc>
          <w:tcPr>
            <w:tcW w:w="6861" w:type="dxa"/>
            <w:tcBorders>
              <w:top w:val="single" w:color="1F2329" w:sz="4" w:space="0"/>
              <w:left w:val="single" w:color="1F2329" w:sz="4" w:space="0"/>
              <w:bottom w:val="single" w:color="1F2329" w:sz="4" w:space="0"/>
              <w:right w:val="single" w:color="1F2329" w:sz="4" w:space="0"/>
            </w:tcBorders>
            <w:vAlign w:val="center"/>
          </w:tcPr>
          <w:p w14:paraId="0E2EAAF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最大支持32条 DDR5 内存插槽，本次配置≥2条32GB DDR5 5600MHz内存</w:t>
            </w:r>
          </w:p>
        </w:tc>
      </w:tr>
      <w:tr w14:paraId="1B2EF994">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24ADBF7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本地存储</w:t>
            </w:r>
          </w:p>
        </w:tc>
        <w:tc>
          <w:tcPr>
            <w:tcW w:w="6861" w:type="dxa"/>
            <w:tcBorders>
              <w:top w:val="single" w:color="1F2329" w:sz="4" w:space="0"/>
              <w:left w:val="single" w:color="1F2329" w:sz="4" w:space="0"/>
              <w:bottom w:val="single" w:color="1F2329" w:sz="4" w:space="0"/>
              <w:right w:val="single" w:color="1F2329" w:sz="4" w:space="0"/>
            </w:tcBorders>
            <w:vAlign w:val="center"/>
          </w:tcPr>
          <w:p w14:paraId="3897309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总体要求：支持≥45块2.5寸硬盘，或支持≥20块3.5寸热插拔硬盘</w:t>
            </w:r>
          </w:p>
        </w:tc>
      </w:tr>
      <w:tr w14:paraId="20E5B4A7">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74296081">
            <w:pPr>
              <w:ind w:left="0" w:leftChars="0" w:firstLine="0" w:firstLineChars="0"/>
              <w:rPr>
                <w:rFonts w:asciiTheme="minorEastAsia" w:hAnsiTheme="minorEastAsia" w:eastAsiaTheme="minorEastAsia" w:cstheme="minorEastAsia"/>
                <w:highlight w:val="none"/>
              </w:rPr>
            </w:pPr>
          </w:p>
        </w:tc>
        <w:tc>
          <w:tcPr>
            <w:tcW w:w="6861" w:type="dxa"/>
            <w:tcBorders>
              <w:top w:val="single" w:color="1F2329" w:sz="4" w:space="0"/>
              <w:left w:val="single" w:color="1F2329" w:sz="4" w:space="0"/>
              <w:bottom w:val="single" w:color="1F2329" w:sz="4" w:space="0"/>
              <w:right w:val="single" w:color="1F2329" w:sz="4" w:space="0"/>
            </w:tcBorders>
            <w:vAlign w:val="center"/>
          </w:tcPr>
          <w:p w14:paraId="7268287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本次配置≥2块480GB SSD硬盘，≥2块960G Nvme SSD硬盘，≥2块8T SATA硬盘</w:t>
            </w:r>
          </w:p>
        </w:tc>
      </w:tr>
      <w:tr w14:paraId="4F66DCAE">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2750268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RAID</w:t>
            </w:r>
          </w:p>
        </w:tc>
        <w:tc>
          <w:tcPr>
            <w:tcW w:w="6861" w:type="dxa"/>
            <w:tcBorders>
              <w:top w:val="single" w:color="1F2329" w:sz="4" w:space="0"/>
              <w:left w:val="single" w:color="1F2329" w:sz="4" w:space="0"/>
              <w:bottom w:val="single" w:color="1F2329" w:sz="4" w:space="0"/>
              <w:right w:val="single" w:color="1F2329" w:sz="4" w:space="0"/>
            </w:tcBorders>
            <w:vAlign w:val="center"/>
          </w:tcPr>
          <w:p w14:paraId="48E334A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配置≥1个独立RAID卡，2GB缓存，可支持raid 0/1/5/6 等</w:t>
            </w:r>
          </w:p>
        </w:tc>
      </w:tr>
      <w:tr w14:paraId="278E4EC8">
        <w:tblPrEx>
          <w:tblCellMar>
            <w:top w:w="15" w:type="dxa"/>
            <w:left w:w="15" w:type="dxa"/>
            <w:bottom w:w="15" w:type="dxa"/>
            <w:right w:w="15" w:type="dxa"/>
          </w:tblCellMar>
        </w:tblPrEx>
        <w:trPr>
          <w:trHeight w:val="92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382CD10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网络接口</w:t>
            </w:r>
          </w:p>
        </w:tc>
        <w:tc>
          <w:tcPr>
            <w:tcW w:w="6861" w:type="dxa"/>
            <w:tcBorders>
              <w:top w:val="single" w:color="1F2329" w:sz="4" w:space="0"/>
              <w:left w:val="single" w:color="1F2329" w:sz="4" w:space="0"/>
              <w:bottom w:val="single" w:color="1F2329" w:sz="4" w:space="0"/>
              <w:right w:val="single" w:color="1F2329" w:sz="4" w:space="0"/>
            </w:tcBorders>
            <w:vAlign w:val="center"/>
          </w:tcPr>
          <w:p w14:paraId="2A5C073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支持OCP网络模块，支持1Gb/10Gb/25Gb速率；本次配置≥2个双口万兆网卡（光口含模块），≥1个四口千兆网卡（电口）</w:t>
            </w:r>
          </w:p>
        </w:tc>
      </w:tr>
      <w:tr w14:paraId="5F5E7B0D">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19711B2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I/O扩展</w:t>
            </w:r>
          </w:p>
        </w:tc>
        <w:tc>
          <w:tcPr>
            <w:tcW w:w="6861" w:type="dxa"/>
            <w:tcBorders>
              <w:top w:val="single" w:color="1F2329" w:sz="4" w:space="0"/>
              <w:left w:val="single" w:color="1F2329" w:sz="4" w:space="0"/>
              <w:bottom w:val="single" w:color="1F2329" w:sz="4" w:space="0"/>
              <w:right w:val="single" w:color="1F2329" w:sz="4" w:space="0"/>
            </w:tcBorders>
            <w:vAlign w:val="center"/>
          </w:tcPr>
          <w:p w14:paraId="232BB8D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最大支持16个PCIe扩展槽位</w:t>
            </w:r>
          </w:p>
        </w:tc>
      </w:tr>
      <w:tr w14:paraId="7313313B">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46A379F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电源及外设</w:t>
            </w:r>
          </w:p>
        </w:tc>
        <w:tc>
          <w:tcPr>
            <w:tcW w:w="6861" w:type="dxa"/>
            <w:tcBorders>
              <w:top w:val="single" w:color="1F2329" w:sz="4" w:space="0"/>
              <w:left w:val="single" w:color="1F2329" w:sz="4" w:space="0"/>
              <w:bottom w:val="single" w:color="1F2329" w:sz="4" w:space="0"/>
              <w:right w:val="single" w:color="1F2329" w:sz="4" w:space="0"/>
            </w:tcBorders>
            <w:vAlign w:val="center"/>
          </w:tcPr>
          <w:p w14:paraId="088BB7B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配置≥2个冗余电源；冗余散热风扇，机架安装导轨；</w:t>
            </w:r>
          </w:p>
        </w:tc>
      </w:tr>
      <w:tr w14:paraId="6CF27C26">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4254912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管理功能</w:t>
            </w:r>
          </w:p>
        </w:tc>
        <w:tc>
          <w:tcPr>
            <w:tcW w:w="6861" w:type="dxa"/>
            <w:tcBorders>
              <w:top w:val="single" w:color="1F2329" w:sz="4" w:space="0"/>
              <w:left w:val="single" w:color="1F2329" w:sz="4" w:space="0"/>
              <w:bottom w:val="single" w:color="1F2329" w:sz="4" w:space="0"/>
              <w:right w:val="single" w:color="1F2329" w:sz="4" w:space="0"/>
            </w:tcBorders>
            <w:vAlign w:val="center"/>
          </w:tcPr>
          <w:p w14:paraId="4151749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集成系统管理芯片，支持IPMI2.0、KVM over IP、虚拟媒体等管理功能</w:t>
            </w:r>
          </w:p>
        </w:tc>
      </w:tr>
      <w:tr w14:paraId="3731D779">
        <w:tblPrEx>
          <w:tblCellMar>
            <w:top w:w="15" w:type="dxa"/>
            <w:left w:w="15" w:type="dxa"/>
            <w:bottom w:w="15" w:type="dxa"/>
            <w:right w:w="15" w:type="dxa"/>
          </w:tblCellMar>
        </w:tblPrEx>
        <w:trPr>
          <w:trHeight w:val="1465"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2D91BFF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热迁移高级配置</w:t>
            </w:r>
          </w:p>
        </w:tc>
        <w:tc>
          <w:tcPr>
            <w:tcW w:w="6861" w:type="dxa"/>
            <w:tcBorders>
              <w:top w:val="single" w:color="1F2329" w:sz="4" w:space="0"/>
              <w:left w:val="single" w:color="1F2329" w:sz="4" w:space="0"/>
              <w:bottom w:val="single" w:color="1F2329" w:sz="4" w:space="0"/>
              <w:right w:val="single" w:color="1F2329" w:sz="4" w:space="0"/>
            </w:tcBorders>
            <w:vAlign w:val="center"/>
          </w:tcPr>
          <w:p w14:paraId="4B7DE11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虚拟机迁移支持指定网口迁移、限制迁移速度、启用压缩传输，同时虚拟机迁移过程中如因数据写入量过大迁移不完，可支持强制切换操作。</w:t>
            </w:r>
          </w:p>
        </w:tc>
      </w:tr>
      <w:tr w14:paraId="1D31F7CC">
        <w:tblPrEx>
          <w:tblCellMar>
            <w:top w:w="15" w:type="dxa"/>
            <w:left w:w="15" w:type="dxa"/>
            <w:bottom w:w="15" w:type="dxa"/>
            <w:right w:w="15" w:type="dxa"/>
          </w:tblCellMar>
        </w:tblPrEx>
        <w:trPr>
          <w:trHeight w:val="130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0E2410C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虚拟机生命周期管理</w:t>
            </w:r>
          </w:p>
        </w:tc>
        <w:tc>
          <w:tcPr>
            <w:tcW w:w="6861" w:type="dxa"/>
            <w:tcBorders>
              <w:top w:val="single" w:color="1F2329" w:sz="4" w:space="0"/>
              <w:left w:val="single" w:color="1F2329" w:sz="4" w:space="0"/>
              <w:bottom w:val="single" w:color="1F2329" w:sz="4" w:space="0"/>
              <w:right w:val="single" w:color="1F2329" w:sz="4" w:space="0"/>
            </w:tcBorders>
            <w:vAlign w:val="center"/>
          </w:tcPr>
          <w:p w14:paraId="18A56C2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为满足大规模管理运维的要求，在超融合管理平台界面上提供虚拟机删除、开关机、挂起、重启、关闭、关闭电源、克隆、迁移、备份、快照、标签管理等功能，以上功能均支持批量操作。</w:t>
            </w:r>
          </w:p>
        </w:tc>
      </w:tr>
      <w:tr w14:paraId="2035F75A">
        <w:tblPrEx>
          <w:tblCellMar>
            <w:top w:w="15" w:type="dxa"/>
            <w:left w:w="15" w:type="dxa"/>
            <w:bottom w:w="15" w:type="dxa"/>
            <w:right w:w="15" w:type="dxa"/>
          </w:tblCellMar>
        </w:tblPrEx>
        <w:trPr>
          <w:trHeight w:val="92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20FBFD5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功能性要求</w:t>
            </w:r>
          </w:p>
        </w:tc>
        <w:tc>
          <w:tcPr>
            <w:tcW w:w="6861" w:type="dxa"/>
            <w:tcBorders>
              <w:top w:val="single" w:color="1F2329" w:sz="4" w:space="0"/>
              <w:left w:val="single" w:color="1F2329" w:sz="4" w:space="0"/>
              <w:bottom w:val="single" w:color="1F2329" w:sz="4" w:space="0"/>
              <w:right w:val="single" w:color="1F2329" w:sz="4" w:space="0"/>
            </w:tcBorders>
            <w:vAlign w:val="center"/>
          </w:tcPr>
          <w:p w14:paraId="7E33B1B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为避免主机假死导致系列问题发生，支持识别假死主机并标签化为亚健康主机，通过邮件或短信告警提醒用户进行处理，并限制重要业务在亚健康主机上运行，规避风险</w:t>
            </w:r>
          </w:p>
        </w:tc>
      </w:tr>
      <w:tr w14:paraId="49DD6AE5">
        <w:tblPrEx>
          <w:tblCellMar>
            <w:top w:w="15" w:type="dxa"/>
            <w:left w:w="15" w:type="dxa"/>
            <w:bottom w:w="15" w:type="dxa"/>
            <w:right w:w="15" w:type="dxa"/>
          </w:tblCellMar>
        </w:tblPrEx>
        <w:trPr>
          <w:trHeight w:val="130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515EF5C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热升级</w:t>
            </w:r>
          </w:p>
        </w:tc>
        <w:tc>
          <w:tcPr>
            <w:tcW w:w="6861" w:type="dxa"/>
            <w:tcBorders>
              <w:top w:val="single" w:color="1F2329" w:sz="4" w:space="0"/>
              <w:left w:val="single" w:color="1F2329" w:sz="4" w:space="0"/>
              <w:bottom w:val="single" w:color="1F2329" w:sz="4" w:space="0"/>
              <w:right w:val="single" w:color="1F2329" w:sz="4" w:space="0"/>
            </w:tcBorders>
            <w:vAlign w:val="center"/>
          </w:tcPr>
          <w:p w14:paraId="4308F64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此项目核心业务计划部署在超融合平台，平台需定期升级保障平台稳定性，核心业务不能长时间停机，超融合平台需支持在线升级不影响业务；为保证升级时间与步骤可控，升级过程中支持对升级节点进行升级顺序编排、升级暂停</w:t>
            </w:r>
          </w:p>
        </w:tc>
      </w:tr>
      <w:tr w14:paraId="13911975">
        <w:tblPrEx>
          <w:tblCellMar>
            <w:top w:w="15" w:type="dxa"/>
            <w:left w:w="15" w:type="dxa"/>
            <w:bottom w:w="15" w:type="dxa"/>
            <w:right w:w="15" w:type="dxa"/>
          </w:tblCellMar>
        </w:tblPrEx>
        <w:trPr>
          <w:trHeight w:val="92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4E5AB04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跨版本迁移</w:t>
            </w:r>
          </w:p>
        </w:tc>
        <w:tc>
          <w:tcPr>
            <w:tcW w:w="6861" w:type="dxa"/>
            <w:tcBorders>
              <w:top w:val="single" w:color="1F2329" w:sz="4" w:space="0"/>
              <w:left w:val="single" w:color="1F2329" w:sz="4" w:space="0"/>
              <w:bottom w:val="single" w:color="1F2329" w:sz="4" w:space="0"/>
              <w:right w:val="single" w:color="1F2329" w:sz="4" w:space="0"/>
            </w:tcBorders>
            <w:vAlign w:val="center"/>
          </w:tcPr>
          <w:p w14:paraId="0828780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支持界面操作跨集群跨版本热迁移，即虚拟化平台不同版本也可通过兼容模式支持跨集群迁移，无需多个集群的平台版本一定一致。</w:t>
            </w:r>
          </w:p>
        </w:tc>
      </w:tr>
      <w:tr w14:paraId="4AFD4263">
        <w:tblPrEx>
          <w:tblCellMar>
            <w:top w:w="15" w:type="dxa"/>
            <w:left w:w="15" w:type="dxa"/>
            <w:bottom w:w="15" w:type="dxa"/>
            <w:right w:w="15" w:type="dxa"/>
          </w:tblCellMar>
        </w:tblPrEx>
        <w:trPr>
          <w:trHeight w:val="540" w:hRule="atLeast"/>
        </w:trPr>
        <w:tc>
          <w:tcPr>
            <w:tcW w:w="1475" w:type="dxa"/>
            <w:tcBorders>
              <w:top w:val="single" w:color="1F2329" w:sz="4" w:space="0"/>
              <w:left w:val="single" w:color="1F2329" w:sz="4" w:space="0"/>
              <w:bottom w:val="single" w:color="1F2329" w:sz="4" w:space="0"/>
              <w:right w:val="single" w:color="1F2329" w:sz="4" w:space="0"/>
            </w:tcBorders>
          </w:tcPr>
          <w:p w14:paraId="408A557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快照策略</w:t>
            </w:r>
          </w:p>
        </w:tc>
        <w:tc>
          <w:tcPr>
            <w:tcW w:w="6861" w:type="dxa"/>
            <w:tcBorders>
              <w:top w:val="single" w:color="1F2329" w:sz="4" w:space="0"/>
              <w:left w:val="single" w:color="1F2329" w:sz="4" w:space="0"/>
              <w:bottom w:val="single" w:color="1F2329" w:sz="4" w:space="0"/>
              <w:right w:val="single" w:color="1F2329" w:sz="4" w:space="0"/>
            </w:tcBorders>
          </w:tcPr>
          <w:p w14:paraId="15FDF71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支持快照功能。快照类型支持存储快照、磁盘快照。支持静默快照功能。</w:t>
            </w:r>
          </w:p>
        </w:tc>
      </w:tr>
      <w:tr w14:paraId="6E72EFD6">
        <w:tblPrEx>
          <w:tblCellMar>
            <w:top w:w="15" w:type="dxa"/>
            <w:left w:w="15" w:type="dxa"/>
            <w:bottom w:w="15" w:type="dxa"/>
            <w:right w:w="15" w:type="dxa"/>
          </w:tblCellMar>
        </w:tblPrEx>
        <w:trPr>
          <w:trHeight w:val="130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70E8B4A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性能要求</w:t>
            </w:r>
          </w:p>
        </w:tc>
        <w:tc>
          <w:tcPr>
            <w:tcW w:w="6861" w:type="dxa"/>
            <w:tcBorders>
              <w:top w:val="single" w:color="1F2329" w:sz="4" w:space="0"/>
              <w:left w:val="single" w:color="1F2329" w:sz="4" w:space="0"/>
              <w:bottom w:val="single" w:color="1F2329" w:sz="4" w:space="0"/>
              <w:right w:val="single" w:color="1F2329" w:sz="4" w:space="0"/>
            </w:tcBorders>
            <w:vAlign w:val="center"/>
          </w:tcPr>
          <w:p w14:paraId="2A67E2C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对虚拟机或虚拟磁盘设置数据分布策略，当采用副本聚合策略时，可以保证以性能优先为原则，实现IO本地读效果，当采用副本散列策略时，可以保证虚拟机以分布均匀优先为原则，打散分布均匀在各物理主机上。</w:t>
            </w:r>
          </w:p>
        </w:tc>
      </w:tr>
      <w:tr w14:paraId="7EB0A659">
        <w:tblPrEx>
          <w:tblCellMar>
            <w:top w:w="15" w:type="dxa"/>
            <w:left w:w="15" w:type="dxa"/>
            <w:bottom w:w="15" w:type="dxa"/>
            <w:right w:w="15" w:type="dxa"/>
          </w:tblCellMar>
        </w:tblPrEx>
        <w:trPr>
          <w:trHeight w:val="1300" w:hRule="atLeast"/>
        </w:trPr>
        <w:tc>
          <w:tcPr>
            <w:tcW w:w="1475" w:type="dxa"/>
            <w:tcBorders>
              <w:top w:val="single" w:color="1F2329" w:sz="4" w:space="0"/>
              <w:left w:val="single" w:color="1F2329" w:sz="4" w:space="0"/>
              <w:bottom w:val="single" w:color="1F2329" w:sz="4" w:space="0"/>
              <w:right w:val="single" w:color="1F2329" w:sz="4" w:space="0"/>
            </w:tcBorders>
            <w:vAlign w:val="center"/>
          </w:tcPr>
          <w:p w14:paraId="4A67C9E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网络安全</w:t>
            </w:r>
          </w:p>
        </w:tc>
        <w:tc>
          <w:tcPr>
            <w:tcW w:w="6861" w:type="dxa"/>
            <w:tcBorders>
              <w:top w:val="single" w:color="1F2329" w:sz="4" w:space="0"/>
              <w:left w:val="single" w:color="1F2329" w:sz="4" w:space="0"/>
              <w:bottom w:val="single" w:color="1F2329" w:sz="4" w:space="0"/>
              <w:right w:val="single" w:color="1F2329" w:sz="4" w:space="0"/>
            </w:tcBorders>
            <w:vAlign w:val="center"/>
          </w:tcPr>
          <w:p w14:paraId="0AB9384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了能够根据实际需求和网络拓扑，灵活地配置和管理防火墙规则，以保护网络和虚拟机的安全，我单位要求支持创建分布式虚拟防火墙，并可基于虚拟机、虚拟机组、虚拟机标签、IP、IP范围、IP组构建安全防火墙。（需提供产品功能截图）</w:t>
            </w:r>
          </w:p>
        </w:tc>
      </w:tr>
    </w:tbl>
    <w:p w14:paraId="59EAAB20">
      <w:pPr>
        <w:pStyle w:val="5"/>
        <w:ind w:firstLine="56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检验系统配套服务器-XC</w:t>
      </w:r>
    </w:p>
    <w:tbl>
      <w:tblPr>
        <w:tblStyle w:val="10"/>
        <w:tblW w:w="0" w:type="auto"/>
        <w:tblInd w:w="0" w:type="dxa"/>
        <w:tblLayout w:type="autofit"/>
        <w:tblCellMar>
          <w:top w:w="15" w:type="dxa"/>
          <w:left w:w="15" w:type="dxa"/>
          <w:bottom w:w="15" w:type="dxa"/>
          <w:right w:w="15" w:type="dxa"/>
        </w:tblCellMar>
      </w:tblPr>
      <w:tblGrid>
        <w:gridCol w:w="1200"/>
        <w:gridCol w:w="7142"/>
      </w:tblGrid>
      <w:tr w14:paraId="01BA7604">
        <w:tblPrEx>
          <w:tblCellMar>
            <w:top w:w="15" w:type="dxa"/>
            <w:left w:w="15" w:type="dxa"/>
            <w:bottom w:w="15" w:type="dxa"/>
            <w:right w:w="15" w:type="dxa"/>
          </w:tblCellMar>
        </w:tblPrEx>
        <w:trPr>
          <w:trHeight w:val="540" w:hRule="atLeast"/>
        </w:trPr>
        <w:tc>
          <w:tcPr>
            <w:tcW w:w="4320" w:type="dxa"/>
            <w:tcBorders>
              <w:top w:val="single" w:color="1F2329" w:sz="4" w:space="0"/>
              <w:left w:val="single" w:color="1F2329" w:sz="4" w:space="0"/>
              <w:bottom w:val="single" w:color="1F2329" w:sz="4" w:space="0"/>
              <w:right w:val="single" w:color="1F2329" w:sz="4" w:space="0"/>
            </w:tcBorders>
            <w:vAlign w:val="center"/>
          </w:tcPr>
          <w:p w14:paraId="1AB3E22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4320" w:type="dxa"/>
            <w:tcBorders>
              <w:top w:val="single" w:color="1F2329" w:sz="4" w:space="0"/>
              <w:left w:val="single" w:color="1F2329" w:sz="4" w:space="0"/>
              <w:bottom w:val="single" w:color="1F2329" w:sz="4" w:space="0"/>
              <w:right w:val="single" w:color="1F2329" w:sz="4" w:space="0"/>
            </w:tcBorders>
            <w:vAlign w:val="center"/>
          </w:tcPr>
          <w:p w14:paraId="01F727B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5B94046A">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694E1A3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架构</w:t>
            </w:r>
          </w:p>
        </w:tc>
        <w:tc>
          <w:tcPr>
            <w:tcW w:w="0" w:type="auto"/>
            <w:tcBorders>
              <w:top w:val="single" w:color="1F2329" w:sz="4" w:space="0"/>
              <w:left w:val="single" w:color="1F2329" w:sz="4" w:space="0"/>
              <w:bottom w:val="single" w:color="1F2329" w:sz="4" w:space="0"/>
              <w:right w:val="single" w:color="1F2329" w:sz="4" w:space="0"/>
            </w:tcBorders>
            <w:vAlign w:val="center"/>
          </w:tcPr>
          <w:p w14:paraId="7450D1F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2U机架式服务器，国产品牌</w:t>
            </w:r>
          </w:p>
        </w:tc>
      </w:tr>
      <w:tr w14:paraId="451086E1">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587A30F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处理器</w:t>
            </w:r>
          </w:p>
        </w:tc>
        <w:tc>
          <w:tcPr>
            <w:tcW w:w="0" w:type="auto"/>
            <w:tcBorders>
              <w:top w:val="single" w:color="1F2329" w:sz="4" w:space="0"/>
              <w:left w:val="single" w:color="1F2329" w:sz="4" w:space="0"/>
              <w:bottom w:val="single" w:color="1F2329" w:sz="4" w:space="0"/>
              <w:right w:val="single" w:color="1F2329" w:sz="4" w:space="0"/>
            </w:tcBorders>
            <w:vAlign w:val="center"/>
          </w:tcPr>
          <w:p w14:paraId="62B496F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配置≥2颗C86-4G处理器</w:t>
            </w:r>
            <w:r>
              <w:rPr>
                <w:rFonts w:hint="eastAsia" w:asciiTheme="minorEastAsia" w:hAnsiTheme="minorEastAsia" w:eastAsiaTheme="minorEastAsia" w:cstheme="minorEastAsia"/>
                <w:highlight w:val="none"/>
                <w:lang w:eastAsia="zh-CN"/>
              </w:rPr>
              <w:t>或同性能处理器</w:t>
            </w:r>
            <w:r>
              <w:rPr>
                <w:rFonts w:hint="eastAsia" w:asciiTheme="minorEastAsia" w:hAnsiTheme="minorEastAsia" w:eastAsiaTheme="minorEastAsia" w:cstheme="minorEastAsia"/>
                <w:highlight w:val="none"/>
              </w:rPr>
              <w:t>，每颗CPU核心数≥64核，每颗CPU主频≥2.0GHz</w:t>
            </w:r>
          </w:p>
        </w:tc>
      </w:tr>
      <w:tr w14:paraId="3AAC2AA7">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261336F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内存</w:t>
            </w:r>
          </w:p>
        </w:tc>
        <w:tc>
          <w:tcPr>
            <w:tcW w:w="0" w:type="auto"/>
            <w:tcBorders>
              <w:top w:val="single" w:color="1F2329" w:sz="4" w:space="0"/>
              <w:left w:val="single" w:color="1F2329" w:sz="4" w:space="0"/>
              <w:bottom w:val="single" w:color="1F2329" w:sz="4" w:space="0"/>
              <w:right w:val="single" w:color="1F2329" w:sz="4" w:space="0"/>
            </w:tcBorders>
            <w:vAlign w:val="center"/>
          </w:tcPr>
          <w:p w14:paraId="4A30514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支持≥24个内存插槽, 本次配置≥8条64GB DDR5 5600MHz内存</w:t>
            </w:r>
          </w:p>
        </w:tc>
      </w:tr>
      <w:tr w14:paraId="048672C9">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79ED122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存储</w:t>
            </w:r>
          </w:p>
        </w:tc>
        <w:tc>
          <w:tcPr>
            <w:tcW w:w="0" w:type="auto"/>
            <w:tcBorders>
              <w:top w:val="single" w:color="1F2329" w:sz="4" w:space="0"/>
              <w:left w:val="single" w:color="1F2329" w:sz="4" w:space="0"/>
              <w:bottom w:val="single" w:color="1F2329" w:sz="4" w:space="0"/>
              <w:right w:val="single" w:color="1F2329" w:sz="4" w:space="0"/>
            </w:tcBorders>
            <w:vAlign w:val="center"/>
          </w:tcPr>
          <w:p w14:paraId="16DF031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本次配置≥2块480GB SSD硬盘，≥4块3.84T Nvme SSD硬盘</w:t>
            </w:r>
          </w:p>
        </w:tc>
      </w:tr>
      <w:tr w14:paraId="328365C1">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34EE2BF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RAID卡</w:t>
            </w:r>
          </w:p>
        </w:tc>
        <w:tc>
          <w:tcPr>
            <w:tcW w:w="0" w:type="auto"/>
            <w:tcBorders>
              <w:top w:val="single" w:color="1F2329" w:sz="4" w:space="0"/>
              <w:left w:val="single" w:color="1F2329" w:sz="4" w:space="0"/>
              <w:bottom w:val="single" w:color="1F2329" w:sz="4" w:space="0"/>
              <w:right w:val="single" w:color="1F2329" w:sz="4" w:space="0"/>
            </w:tcBorders>
            <w:vAlign w:val="center"/>
          </w:tcPr>
          <w:p w14:paraId="3018626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配置≥1张RAID卡，缓存≥2GB，支持RAID 0/1/5/10/50/60等</w:t>
            </w:r>
          </w:p>
        </w:tc>
      </w:tr>
      <w:tr w14:paraId="2F617842">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75E3654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网卡</w:t>
            </w:r>
          </w:p>
        </w:tc>
        <w:tc>
          <w:tcPr>
            <w:tcW w:w="0" w:type="auto"/>
            <w:tcBorders>
              <w:top w:val="single" w:color="1F2329" w:sz="4" w:space="0"/>
              <w:left w:val="single" w:color="1F2329" w:sz="4" w:space="0"/>
              <w:bottom w:val="single" w:color="1F2329" w:sz="4" w:space="0"/>
              <w:right w:val="single" w:color="1F2329" w:sz="4" w:space="0"/>
            </w:tcBorders>
            <w:vAlign w:val="center"/>
          </w:tcPr>
          <w:p w14:paraId="2FB0DED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本次配置≥2个双口万兆网卡（光口含模块），≥1个四口千兆网卡（电口）</w:t>
            </w:r>
          </w:p>
        </w:tc>
      </w:tr>
      <w:tr w14:paraId="1BDE96FA">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494F3E8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PCIe扩展</w:t>
            </w:r>
          </w:p>
        </w:tc>
        <w:tc>
          <w:tcPr>
            <w:tcW w:w="0" w:type="auto"/>
            <w:tcBorders>
              <w:top w:val="single" w:color="1F2329" w:sz="4" w:space="0"/>
              <w:left w:val="single" w:color="1F2329" w:sz="4" w:space="0"/>
              <w:bottom w:val="single" w:color="1F2329" w:sz="4" w:space="0"/>
              <w:right w:val="single" w:color="1F2329" w:sz="4" w:space="0"/>
            </w:tcBorders>
            <w:vAlign w:val="center"/>
          </w:tcPr>
          <w:p w14:paraId="001E0CD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支持≥10个PCIe 5.0插槽</w:t>
            </w:r>
          </w:p>
        </w:tc>
      </w:tr>
      <w:tr w14:paraId="71CE82C2">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4552C1A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电源</w:t>
            </w:r>
          </w:p>
        </w:tc>
        <w:tc>
          <w:tcPr>
            <w:tcW w:w="0" w:type="auto"/>
            <w:tcBorders>
              <w:top w:val="single" w:color="1F2329" w:sz="4" w:space="0"/>
              <w:left w:val="single" w:color="1F2329" w:sz="4" w:space="0"/>
              <w:bottom w:val="single" w:color="1F2329" w:sz="4" w:space="0"/>
              <w:right w:val="single" w:color="1F2329" w:sz="4" w:space="0"/>
            </w:tcBorders>
            <w:vAlign w:val="center"/>
          </w:tcPr>
          <w:p w14:paraId="12DADFF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配置≥2个冗余电源; 冗余散热风扇，机架安装导轨；</w:t>
            </w:r>
          </w:p>
        </w:tc>
      </w:tr>
      <w:tr w14:paraId="7DC77096">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1A7B34A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可靠性</w:t>
            </w:r>
          </w:p>
        </w:tc>
        <w:tc>
          <w:tcPr>
            <w:tcW w:w="0" w:type="auto"/>
            <w:tcBorders>
              <w:top w:val="single" w:color="1F2329" w:sz="4" w:space="0"/>
              <w:left w:val="single" w:color="1F2329" w:sz="4" w:space="0"/>
              <w:bottom w:val="single" w:color="1F2329" w:sz="4" w:space="0"/>
              <w:right w:val="single" w:color="1F2329" w:sz="4" w:space="0"/>
            </w:tcBorders>
            <w:vAlign w:val="center"/>
          </w:tcPr>
          <w:p w14:paraId="039ECA6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MTBF时间≥35万小时</w:t>
            </w:r>
          </w:p>
        </w:tc>
      </w:tr>
      <w:tr w14:paraId="71DEB4FE">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tcPr>
          <w:p w14:paraId="673719E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国产化兼容性</w:t>
            </w:r>
          </w:p>
        </w:tc>
        <w:tc>
          <w:tcPr>
            <w:tcW w:w="0" w:type="auto"/>
            <w:tcBorders>
              <w:top w:val="single" w:color="1F2329" w:sz="4" w:space="0"/>
              <w:left w:val="single" w:color="1F2329" w:sz="4" w:space="0"/>
              <w:bottom w:val="single" w:color="1F2329" w:sz="4" w:space="0"/>
              <w:right w:val="single" w:color="1F2329" w:sz="4" w:space="0"/>
            </w:tcBorders>
          </w:tcPr>
          <w:p w14:paraId="47E9DD6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所投产品需支持主流国产CPU芯片</w:t>
            </w:r>
          </w:p>
        </w:tc>
      </w:tr>
      <w:tr w14:paraId="52EE5FFD">
        <w:tblPrEx>
          <w:tblCellMar>
            <w:top w:w="15" w:type="dxa"/>
            <w:left w:w="15" w:type="dxa"/>
            <w:bottom w:w="15" w:type="dxa"/>
            <w:right w:w="15" w:type="dxa"/>
          </w:tblCellMar>
        </w:tblPrEx>
        <w:trPr>
          <w:trHeight w:val="92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07D25D8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热迁移高级配置</w:t>
            </w:r>
          </w:p>
        </w:tc>
        <w:tc>
          <w:tcPr>
            <w:tcW w:w="0" w:type="auto"/>
            <w:tcBorders>
              <w:top w:val="single" w:color="1F2329" w:sz="4" w:space="0"/>
              <w:left w:val="single" w:color="1F2329" w:sz="4" w:space="0"/>
              <w:bottom w:val="single" w:color="1F2329" w:sz="4" w:space="0"/>
              <w:right w:val="single" w:color="1F2329" w:sz="4" w:space="0"/>
            </w:tcBorders>
            <w:vAlign w:val="center"/>
          </w:tcPr>
          <w:p w14:paraId="2C5BA5A4">
            <w:pPr>
              <w:ind w:left="0" w:leftChars="0" w:firstLine="0" w:firstLineChars="0"/>
              <w:rPr>
                <w:rFonts w:asciiTheme="minorEastAsia" w:hAnsiTheme="minorEastAsia" w:eastAsiaTheme="minorEastAsia" w:cstheme="minorEastAsia"/>
                <w:highlight w:val="none"/>
              </w:rPr>
            </w:pPr>
            <w:r>
              <w:rPr>
                <w:rFonts w:hint="eastAsia"/>
                <w:color w:val="000000"/>
                <w:highlight w:val="none"/>
                <w:lang w:bidi="ar"/>
              </w:rPr>
              <w:t>▲</w:t>
            </w:r>
            <w:r>
              <w:rPr>
                <w:rFonts w:hint="eastAsia" w:asciiTheme="minorEastAsia" w:hAnsiTheme="minorEastAsia" w:eastAsiaTheme="minorEastAsia" w:cstheme="minorEastAsia"/>
                <w:highlight w:val="none"/>
              </w:rPr>
              <w:t>虚拟机迁移支持指定网口迁移、限制迁移速度、启用压缩传输，同时虚拟机迁移过程中如因数据写入量过大迁移不完，可支持强制切换操作。（需提供产品功能截图）</w:t>
            </w:r>
          </w:p>
        </w:tc>
      </w:tr>
      <w:tr w14:paraId="4A0C3FF3">
        <w:tblPrEx>
          <w:tblCellMar>
            <w:top w:w="15" w:type="dxa"/>
            <w:left w:w="15" w:type="dxa"/>
            <w:bottom w:w="15" w:type="dxa"/>
            <w:right w:w="15" w:type="dxa"/>
          </w:tblCellMar>
        </w:tblPrEx>
        <w:trPr>
          <w:trHeight w:val="130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1DE55DD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虚拟机生命周期管理</w:t>
            </w:r>
          </w:p>
        </w:tc>
        <w:tc>
          <w:tcPr>
            <w:tcW w:w="0" w:type="auto"/>
            <w:tcBorders>
              <w:top w:val="single" w:color="1F2329" w:sz="4" w:space="0"/>
              <w:left w:val="single" w:color="1F2329" w:sz="4" w:space="0"/>
              <w:bottom w:val="single" w:color="1F2329" w:sz="4" w:space="0"/>
              <w:right w:val="single" w:color="1F2329" w:sz="4" w:space="0"/>
            </w:tcBorders>
            <w:vAlign w:val="center"/>
          </w:tcPr>
          <w:p w14:paraId="034D5D9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为满足大规模管理运维的要求，在超融合管理平台界面上提供虚拟机删除、开关机、挂起、重启、关闭、关闭电源、克隆、迁移、备份、快照、标签管理等功能，以上功能均支持批量操作。</w:t>
            </w:r>
          </w:p>
        </w:tc>
      </w:tr>
      <w:tr w14:paraId="5F8E6C3C">
        <w:tblPrEx>
          <w:tblCellMar>
            <w:top w:w="15" w:type="dxa"/>
            <w:left w:w="15" w:type="dxa"/>
            <w:bottom w:w="15" w:type="dxa"/>
            <w:right w:w="15" w:type="dxa"/>
          </w:tblCellMar>
        </w:tblPrEx>
        <w:trPr>
          <w:trHeight w:val="92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52FE1BC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功能性要求</w:t>
            </w:r>
          </w:p>
        </w:tc>
        <w:tc>
          <w:tcPr>
            <w:tcW w:w="0" w:type="auto"/>
            <w:tcBorders>
              <w:top w:val="single" w:color="1F2329" w:sz="4" w:space="0"/>
              <w:left w:val="single" w:color="1F2329" w:sz="4" w:space="0"/>
              <w:bottom w:val="single" w:color="1F2329" w:sz="4" w:space="0"/>
              <w:right w:val="single" w:color="1F2329" w:sz="4" w:space="0"/>
            </w:tcBorders>
            <w:vAlign w:val="center"/>
          </w:tcPr>
          <w:p w14:paraId="797D861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为避免主机假死导致系列问题发生，支持识别假死主机并标签化为亚健康主机，通过邮件或短信告警提醒用户进行处理，并限制重要业务在亚健康主机上运行，规避风险</w:t>
            </w:r>
          </w:p>
        </w:tc>
      </w:tr>
      <w:tr w14:paraId="389B6D14">
        <w:tblPrEx>
          <w:tblCellMar>
            <w:top w:w="15" w:type="dxa"/>
            <w:left w:w="15" w:type="dxa"/>
            <w:bottom w:w="15" w:type="dxa"/>
            <w:right w:w="15" w:type="dxa"/>
          </w:tblCellMar>
        </w:tblPrEx>
        <w:trPr>
          <w:trHeight w:val="92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75DB1D1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跨版本迁移</w:t>
            </w:r>
          </w:p>
        </w:tc>
        <w:tc>
          <w:tcPr>
            <w:tcW w:w="0" w:type="auto"/>
            <w:tcBorders>
              <w:top w:val="single" w:color="1F2329" w:sz="4" w:space="0"/>
              <w:left w:val="single" w:color="1F2329" w:sz="4" w:space="0"/>
              <w:bottom w:val="single" w:color="1F2329" w:sz="4" w:space="0"/>
              <w:right w:val="single" w:color="1F2329" w:sz="4" w:space="0"/>
            </w:tcBorders>
            <w:vAlign w:val="center"/>
          </w:tcPr>
          <w:p w14:paraId="71F7559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支持界面操作跨集群跨版本热迁移，即虚拟化平台不同版本也可通过兼容模式支持跨集群迁移，无需多个集群的平台版本一定一致</w:t>
            </w:r>
          </w:p>
        </w:tc>
      </w:tr>
      <w:tr w14:paraId="27FE2F03">
        <w:tblPrEx>
          <w:tblCellMar>
            <w:top w:w="15" w:type="dxa"/>
            <w:left w:w="15" w:type="dxa"/>
            <w:bottom w:w="15" w:type="dxa"/>
            <w:right w:w="15" w:type="dxa"/>
          </w:tblCellMar>
        </w:tblPrEx>
        <w:trPr>
          <w:trHeight w:val="168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3DB46F6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数据重建</w:t>
            </w:r>
          </w:p>
        </w:tc>
        <w:tc>
          <w:tcPr>
            <w:tcW w:w="0" w:type="auto"/>
            <w:tcBorders>
              <w:top w:val="single" w:color="1F2329" w:sz="4" w:space="0"/>
              <w:left w:val="single" w:color="1F2329" w:sz="4" w:space="0"/>
              <w:bottom w:val="single" w:color="1F2329" w:sz="4" w:space="0"/>
              <w:right w:val="single" w:color="1F2329" w:sz="4" w:space="0"/>
            </w:tcBorders>
            <w:vAlign w:val="center"/>
          </w:tcPr>
          <w:p w14:paraId="4E22CC2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硬件故障对平台影响较大，也会影响数据安全，为保障业务在硬件故障后尽快恢复冗余数据保障，支持进行数据重建操作，重建速率达到30分钟/TB；重建过程中可以查看数据重建任务列表信息，包括对象名称、对象类型、数据量和优先级等；支持点击操作中的优先级对数据重建进行优先重建</w:t>
            </w:r>
          </w:p>
        </w:tc>
      </w:tr>
      <w:tr w14:paraId="3C2E035F">
        <w:tblPrEx>
          <w:tblCellMar>
            <w:top w:w="15" w:type="dxa"/>
            <w:left w:w="15" w:type="dxa"/>
            <w:bottom w:w="15" w:type="dxa"/>
            <w:right w:w="15" w:type="dxa"/>
          </w:tblCellMar>
        </w:tblPrEx>
        <w:trPr>
          <w:trHeight w:val="54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5D5E46D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快照策略</w:t>
            </w:r>
          </w:p>
        </w:tc>
        <w:tc>
          <w:tcPr>
            <w:tcW w:w="0" w:type="auto"/>
            <w:tcBorders>
              <w:top w:val="single" w:color="1F2329" w:sz="4" w:space="0"/>
              <w:left w:val="single" w:color="1F2329" w:sz="4" w:space="0"/>
              <w:bottom w:val="single" w:color="1F2329" w:sz="4" w:space="0"/>
              <w:right w:val="single" w:color="1F2329" w:sz="4" w:space="0"/>
            </w:tcBorders>
            <w:vAlign w:val="center"/>
          </w:tcPr>
          <w:p w14:paraId="04D00A7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支持快照功能。快照类型支持存储快照、磁盘快照。支持静默快照功能。</w:t>
            </w:r>
          </w:p>
        </w:tc>
      </w:tr>
      <w:tr w14:paraId="001FFEB0">
        <w:tblPrEx>
          <w:tblCellMar>
            <w:top w:w="15" w:type="dxa"/>
            <w:left w:w="15" w:type="dxa"/>
            <w:bottom w:w="15" w:type="dxa"/>
            <w:right w:w="15" w:type="dxa"/>
          </w:tblCellMar>
        </w:tblPrEx>
        <w:trPr>
          <w:trHeight w:val="130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4C44175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性能要求</w:t>
            </w:r>
          </w:p>
        </w:tc>
        <w:tc>
          <w:tcPr>
            <w:tcW w:w="0" w:type="auto"/>
            <w:tcBorders>
              <w:top w:val="single" w:color="1F2329" w:sz="4" w:space="0"/>
              <w:left w:val="single" w:color="1F2329" w:sz="4" w:space="0"/>
              <w:bottom w:val="single" w:color="1F2329" w:sz="4" w:space="0"/>
              <w:right w:val="single" w:color="1F2329" w:sz="4" w:space="0"/>
            </w:tcBorders>
            <w:vAlign w:val="center"/>
          </w:tcPr>
          <w:p w14:paraId="6B3F8D6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对虚拟机或虚拟磁盘设置数据分布策略，当采用副本聚合策略时，可以保证以性能优先为原则，实现IO本地读效果，当采用副本散列策略时，可以保证虚拟机以分布均匀优先为原则，打散分布均匀在各物理主机上。</w:t>
            </w:r>
          </w:p>
        </w:tc>
      </w:tr>
      <w:tr w14:paraId="7FC9AB1B">
        <w:tblPrEx>
          <w:tblCellMar>
            <w:top w:w="15" w:type="dxa"/>
            <w:left w:w="15" w:type="dxa"/>
            <w:bottom w:w="15" w:type="dxa"/>
            <w:right w:w="15" w:type="dxa"/>
          </w:tblCellMar>
        </w:tblPrEx>
        <w:trPr>
          <w:trHeight w:val="168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667A52D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安全能力联动</w:t>
            </w:r>
          </w:p>
        </w:tc>
        <w:tc>
          <w:tcPr>
            <w:tcW w:w="0" w:type="auto"/>
            <w:tcBorders>
              <w:top w:val="single" w:color="1F2329" w:sz="4" w:space="0"/>
              <w:left w:val="single" w:color="1F2329" w:sz="4" w:space="0"/>
              <w:bottom w:val="single" w:color="1F2329" w:sz="4" w:space="0"/>
              <w:right w:val="single" w:color="1F2329" w:sz="4" w:space="0"/>
            </w:tcBorders>
            <w:vAlign w:val="center"/>
          </w:tcPr>
          <w:p w14:paraId="7DC8148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于虚拟化业务安全考虑，云平台与安全能力应支持联动以达到最佳安全效果，需提供同一品牌云安全中心，无需界面跳转即可实现安全统一管理提升安全运维效率，需提供一站式工作台展示云上资产安全防护情况展示，包括安全风险分布，以及病毒、攻击、漏洞等风险的TOP 5云主机</w:t>
            </w:r>
          </w:p>
        </w:tc>
      </w:tr>
      <w:tr w14:paraId="4AB50523">
        <w:tblPrEx>
          <w:tblCellMar>
            <w:top w:w="15" w:type="dxa"/>
            <w:left w:w="15" w:type="dxa"/>
            <w:bottom w:w="15" w:type="dxa"/>
            <w:right w:w="15" w:type="dxa"/>
          </w:tblCellMar>
        </w:tblPrEx>
        <w:trPr>
          <w:trHeight w:val="1680" w:hRule="atLeast"/>
        </w:trPr>
        <w:tc>
          <w:tcPr>
            <w:tcW w:w="0" w:type="auto"/>
            <w:tcBorders>
              <w:top w:val="single" w:color="1F2329" w:sz="4" w:space="0"/>
              <w:left w:val="single" w:color="1F2329" w:sz="4" w:space="0"/>
              <w:bottom w:val="single" w:color="1F2329" w:sz="4" w:space="0"/>
              <w:right w:val="single" w:color="1F2329" w:sz="4" w:space="0"/>
            </w:tcBorders>
            <w:vAlign w:val="center"/>
          </w:tcPr>
          <w:p w14:paraId="76B6201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防勒索</w:t>
            </w:r>
          </w:p>
        </w:tc>
        <w:tc>
          <w:tcPr>
            <w:tcW w:w="0" w:type="auto"/>
            <w:tcBorders>
              <w:top w:val="single" w:color="1F2329" w:sz="4" w:space="0"/>
              <w:left w:val="single" w:color="1F2329" w:sz="4" w:space="0"/>
              <w:bottom w:val="single" w:color="1F2329" w:sz="4" w:space="0"/>
              <w:right w:val="single" w:color="1F2329" w:sz="4" w:space="0"/>
            </w:tcBorders>
            <w:vAlign w:val="center"/>
          </w:tcPr>
          <w:p w14:paraId="43F936B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于医院业务安全考虑，避免产生额外的经济损失，同时简化安全问题处置复杂度，需要云平台提供可靠的向导化勒索病毒处理流程，包括紧急隔离、保留当前状态、恢复云主机、扫描病毒、恢复网络。并支持事前勒索病毒防护、事中检测疑似勒索可打自动对虚拟机打快照、事后勒索病毒向导化处理</w:t>
            </w:r>
          </w:p>
        </w:tc>
      </w:tr>
    </w:tbl>
    <w:p w14:paraId="1D92F6D2">
      <w:pPr>
        <w:pStyle w:val="5"/>
        <w:ind w:firstLine="56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精益成本核算服务项目</w:t>
      </w:r>
    </w:p>
    <w:tbl>
      <w:tblPr>
        <w:tblStyle w:val="10"/>
        <w:tblW w:w="0" w:type="auto"/>
        <w:tblInd w:w="0" w:type="dxa"/>
        <w:tblLayout w:type="autofit"/>
        <w:tblCellMar>
          <w:top w:w="15" w:type="dxa"/>
          <w:left w:w="15" w:type="dxa"/>
          <w:bottom w:w="15" w:type="dxa"/>
          <w:right w:w="15" w:type="dxa"/>
        </w:tblCellMar>
      </w:tblPr>
      <w:tblGrid>
        <w:gridCol w:w="1450"/>
        <w:gridCol w:w="6886"/>
      </w:tblGrid>
      <w:tr w14:paraId="20502F44">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2A13875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6886" w:type="dxa"/>
            <w:tcBorders>
              <w:top w:val="single" w:color="1F2329" w:sz="4" w:space="0"/>
              <w:left w:val="single" w:color="1F2329" w:sz="4" w:space="0"/>
              <w:bottom w:val="single" w:color="1F2329" w:sz="4" w:space="0"/>
              <w:right w:val="single" w:color="1F2329" w:sz="4" w:space="0"/>
            </w:tcBorders>
            <w:vAlign w:val="center"/>
          </w:tcPr>
          <w:p w14:paraId="4A3CFA0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050E1275">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3F3205F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架构</w:t>
            </w:r>
          </w:p>
        </w:tc>
        <w:tc>
          <w:tcPr>
            <w:tcW w:w="6886" w:type="dxa"/>
            <w:tcBorders>
              <w:top w:val="single" w:color="1F2329" w:sz="4" w:space="0"/>
              <w:left w:val="single" w:color="1F2329" w:sz="4" w:space="0"/>
              <w:bottom w:val="single" w:color="1F2329" w:sz="4" w:space="0"/>
              <w:right w:val="single" w:color="1F2329" w:sz="4" w:space="0"/>
            </w:tcBorders>
            <w:vAlign w:val="center"/>
          </w:tcPr>
          <w:p w14:paraId="7D1AB7E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2U机架式服务器，国产品牌</w:t>
            </w:r>
          </w:p>
        </w:tc>
      </w:tr>
      <w:tr w14:paraId="76190F28">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07E6B77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处理器</w:t>
            </w:r>
          </w:p>
        </w:tc>
        <w:tc>
          <w:tcPr>
            <w:tcW w:w="6886" w:type="dxa"/>
            <w:tcBorders>
              <w:top w:val="single" w:color="1F2329" w:sz="4" w:space="0"/>
              <w:left w:val="single" w:color="1F2329" w:sz="4" w:space="0"/>
              <w:bottom w:val="single" w:color="1F2329" w:sz="4" w:space="0"/>
              <w:right w:val="single" w:color="1F2329" w:sz="4" w:space="0"/>
            </w:tcBorders>
            <w:vAlign w:val="center"/>
          </w:tcPr>
          <w:p w14:paraId="391858F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配置≥2颗C86-4G处理器，每颗CPU核心数≥64核，每颗CPU主频≥2.0GHz</w:t>
            </w:r>
          </w:p>
        </w:tc>
      </w:tr>
      <w:tr w14:paraId="1580DE87">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3A676A2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内存</w:t>
            </w:r>
          </w:p>
        </w:tc>
        <w:tc>
          <w:tcPr>
            <w:tcW w:w="6886" w:type="dxa"/>
            <w:tcBorders>
              <w:top w:val="single" w:color="1F2329" w:sz="4" w:space="0"/>
              <w:left w:val="single" w:color="1F2329" w:sz="4" w:space="0"/>
              <w:bottom w:val="single" w:color="1F2329" w:sz="4" w:space="0"/>
              <w:right w:val="single" w:color="1F2329" w:sz="4" w:space="0"/>
            </w:tcBorders>
            <w:vAlign w:val="center"/>
          </w:tcPr>
          <w:p w14:paraId="2C60B80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支持≥24个内存插槽, 本次配置≥8条64GB DDR5 5600MHz内存</w:t>
            </w:r>
          </w:p>
        </w:tc>
      </w:tr>
      <w:tr w14:paraId="6015EA80">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0BE5AFC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存储</w:t>
            </w:r>
          </w:p>
        </w:tc>
        <w:tc>
          <w:tcPr>
            <w:tcW w:w="6886" w:type="dxa"/>
            <w:tcBorders>
              <w:top w:val="single" w:color="1F2329" w:sz="4" w:space="0"/>
              <w:left w:val="single" w:color="1F2329" w:sz="4" w:space="0"/>
              <w:bottom w:val="single" w:color="1F2329" w:sz="4" w:space="0"/>
              <w:right w:val="single" w:color="1F2329" w:sz="4" w:space="0"/>
            </w:tcBorders>
            <w:vAlign w:val="center"/>
          </w:tcPr>
          <w:p w14:paraId="0595D4E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本次配置≥2块480GB SSD硬盘，≥4块3.84T Nvme SSD硬盘</w:t>
            </w:r>
          </w:p>
        </w:tc>
      </w:tr>
      <w:tr w14:paraId="22C54214">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43D2140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RAID卡</w:t>
            </w:r>
          </w:p>
        </w:tc>
        <w:tc>
          <w:tcPr>
            <w:tcW w:w="6886" w:type="dxa"/>
            <w:tcBorders>
              <w:top w:val="single" w:color="1F2329" w:sz="4" w:space="0"/>
              <w:left w:val="single" w:color="1F2329" w:sz="4" w:space="0"/>
              <w:bottom w:val="single" w:color="1F2329" w:sz="4" w:space="0"/>
              <w:right w:val="single" w:color="1F2329" w:sz="4" w:space="0"/>
            </w:tcBorders>
            <w:vAlign w:val="center"/>
          </w:tcPr>
          <w:p w14:paraId="6D564C9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配置≥1张RAID卡，缓存≥2GB，支持RAID 0/1/5/10/50/60等</w:t>
            </w:r>
          </w:p>
        </w:tc>
      </w:tr>
      <w:tr w14:paraId="0011227C">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0484D17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网卡</w:t>
            </w:r>
          </w:p>
        </w:tc>
        <w:tc>
          <w:tcPr>
            <w:tcW w:w="6886" w:type="dxa"/>
            <w:tcBorders>
              <w:top w:val="single" w:color="1F2329" w:sz="4" w:space="0"/>
              <w:left w:val="single" w:color="1F2329" w:sz="4" w:space="0"/>
              <w:bottom w:val="single" w:color="1F2329" w:sz="4" w:space="0"/>
              <w:right w:val="single" w:color="1F2329" w:sz="4" w:space="0"/>
            </w:tcBorders>
            <w:vAlign w:val="center"/>
          </w:tcPr>
          <w:p w14:paraId="7664475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本次配置≥2个双口万兆网卡（光口含模块），≥1个四口千兆网卡（电口）</w:t>
            </w:r>
          </w:p>
        </w:tc>
      </w:tr>
      <w:tr w14:paraId="2431F097">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2C648EB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PCIe扩展</w:t>
            </w:r>
          </w:p>
        </w:tc>
        <w:tc>
          <w:tcPr>
            <w:tcW w:w="6886" w:type="dxa"/>
            <w:tcBorders>
              <w:top w:val="single" w:color="1F2329" w:sz="4" w:space="0"/>
              <w:left w:val="single" w:color="1F2329" w:sz="4" w:space="0"/>
              <w:bottom w:val="single" w:color="1F2329" w:sz="4" w:space="0"/>
              <w:right w:val="single" w:color="1F2329" w:sz="4" w:space="0"/>
            </w:tcBorders>
            <w:vAlign w:val="center"/>
          </w:tcPr>
          <w:p w14:paraId="28C4E27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支持≥10个PCIe 5.0插槽</w:t>
            </w:r>
          </w:p>
        </w:tc>
      </w:tr>
      <w:tr w14:paraId="09C0D8AB">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2AE78B2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电源</w:t>
            </w:r>
          </w:p>
        </w:tc>
        <w:tc>
          <w:tcPr>
            <w:tcW w:w="6886" w:type="dxa"/>
            <w:tcBorders>
              <w:top w:val="single" w:color="1F2329" w:sz="4" w:space="0"/>
              <w:left w:val="single" w:color="1F2329" w:sz="4" w:space="0"/>
              <w:bottom w:val="single" w:color="1F2329" w:sz="4" w:space="0"/>
              <w:right w:val="single" w:color="1F2329" w:sz="4" w:space="0"/>
            </w:tcBorders>
            <w:vAlign w:val="center"/>
          </w:tcPr>
          <w:p w14:paraId="0FD216C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配置≥2个冗余电源; 冗余散热风扇，机架安装导轨；</w:t>
            </w:r>
          </w:p>
        </w:tc>
      </w:tr>
      <w:tr w14:paraId="5DFFAC2E">
        <w:tblPrEx>
          <w:tblCellMar>
            <w:top w:w="15" w:type="dxa"/>
            <w:left w:w="15" w:type="dxa"/>
            <w:bottom w:w="15" w:type="dxa"/>
            <w:right w:w="15" w:type="dxa"/>
          </w:tblCellMar>
        </w:tblPrEx>
        <w:trPr>
          <w:trHeight w:val="92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4644BBB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备件管理功能</w:t>
            </w:r>
          </w:p>
        </w:tc>
        <w:tc>
          <w:tcPr>
            <w:tcW w:w="6886" w:type="dxa"/>
            <w:tcBorders>
              <w:top w:val="single" w:color="1F2329" w:sz="4" w:space="0"/>
              <w:left w:val="single" w:color="1F2329" w:sz="4" w:space="0"/>
              <w:bottom w:val="single" w:color="1F2329" w:sz="4" w:space="0"/>
              <w:right w:val="single" w:color="1F2329" w:sz="4" w:space="0"/>
            </w:tcBorders>
            <w:vAlign w:val="center"/>
          </w:tcPr>
          <w:p w14:paraId="55E219A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厂商提供的服务 器配套管理软件支持备件的统一管理，涵盖整机及备件信息的详尽记录，实现用户对服务器及资产的全生命周期管理需求，帮助用户提升运维效率。</w:t>
            </w:r>
          </w:p>
        </w:tc>
      </w:tr>
      <w:tr w14:paraId="36DF657C">
        <w:tblPrEx>
          <w:tblCellMar>
            <w:top w:w="15" w:type="dxa"/>
            <w:left w:w="15" w:type="dxa"/>
            <w:bottom w:w="15" w:type="dxa"/>
            <w:right w:w="15" w:type="dxa"/>
          </w:tblCellMar>
        </w:tblPrEx>
        <w:trPr>
          <w:trHeight w:val="92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347D529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热迁移高级配置</w:t>
            </w:r>
          </w:p>
        </w:tc>
        <w:tc>
          <w:tcPr>
            <w:tcW w:w="6886" w:type="dxa"/>
            <w:tcBorders>
              <w:top w:val="single" w:color="1F2329" w:sz="4" w:space="0"/>
              <w:left w:val="single" w:color="1F2329" w:sz="4" w:space="0"/>
              <w:bottom w:val="single" w:color="1F2329" w:sz="4" w:space="0"/>
              <w:right w:val="single" w:color="1F2329" w:sz="4" w:space="0"/>
            </w:tcBorders>
            <w:vAlign w:val="center"/>
          </w:tcPr>
          <w:p w14:paraId="46D6BB6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虚拟机迁移支持指定网口迁移、限制迁移速度、启用压缩传输，同时虚拟机迁移过程中如因数据写入量过大迁移不完，可支持强制切换操作。</w:t>
            </w:r>
          </w:p>
        </w:tc>
      </w:tr>
      <w:tr w14:paraId="4D5A9A82">
        <w:tblPrEx>
          <w:tblCellMar>
            <w:top w:w="15" w:type="dxa"/>
            <w:left w:w="15" w:type="dxa"/>
            <w:bottom w:w="15" w:type="dxa"/>
            <w:right w:w="15" w:type="dxa"/>
          </w:tblCellMar>
        </w:tblPrEx>
        <w:trPr>
          <w:trHeight w:val="130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3345197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虚拟机生命周期管理</w:t>
            </w:r>
          </w:p>
        </w:tc>
        <w:tc>
          <w:tcPr>
            <w:tcW w:w="6886" w:type="dxa"/>
            <w:tcBorders>
              <w:top w:val="single" w:color="1F2329" w:sz="4" w:space="0"/>
              <w:left w:val="single" w:color="1F2329" w:sz="4" w:space="0"/>
              <w:bottom w:val="single" w:color="1F2329" w:sz="4" w:space="0"/>
              <w:right w:val="single" w:color="1F2329" w:sz="4" w:space="0"/>
            </w:tcBorders>
            <w:vAlign w:val="center"/>
          </w:tcPr>
          <w:p w14:paraId="7CEDE44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为满足大规模管理运维的要求，在超融合管理平台界面上提供虚拟机删除、开关机、挂起、重启、关闭、关闭电源、克隆、迁移、备份、快照、标签管理等功能，以上功能均支持批量操作。</w:t>
            </w:r>
          </w:p>
        </w:tc>
      </w:tr>
      <w:tr w14:paraId="02FB1E19">
        <w:tblPrEx>
          <w:tblCellMar>
            <w:top w:w="15" w:type="dxa"/>
            <w:left w:w="15" w:type="dxa"/>
            <w:bottom w:w="15" w:type="dxa"/>
            <w:right w:w="15" w:type="dxa"/>
          </w:tblCellMar>
        </w:tblPrEx>
        <w:trPr>
          <w:trHeight w:val="130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27E641A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热升级</w:t>
            </w:r>
          </w:p>
        </w:tc>
        <w:tc>
          <w:tcPr>
            <w:tcW w:w="6886" w:type="dxa"/>
            <w:tcBorders>
              <w:top w:val="single" w:color="1F2329" w:sz="4" w:space="0"/>
              <w:left w:val="single" w:color="1F2329" w:sz="4" w:space="0"/>
              <w:bottom w:val="single" w:color="1F2329" w:sz="4" w:space="0"/>
              <w:right w:val="single" w:color="1F2329" w:sz="4" w:space="0"/>
            </w:tcBorders>
            <w:vAlign w:val="center"/>
          </w:tcPr>
          <w:p w14:paraId="4772322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此项目核心业务计划部署在超融合平台，平台需定期升级保障平台稳定性，核心业务不能长时间停机，超融合平台需支持在线升级不影响业务；为保证升级时间与步骤可控，升级过程中支持对升级节点进行升级顺序编排、升级暂停</w:t>
            </w:r>
          </w:p>
        </w:tc>
      </w:tr>
      <w:tr w14:paraId="2B87817C">
        <w:tblPrEx>
          <w:tblCellMar>
            <w:top w:w="15" w:type="dxa"/>
            <w:left w:w="15" w:type="dxa"/>
            <w:bottom w:w="15" w:type="dxa"/>
            <w:right w:w="15" w:type="dxa"/>
          </w:tblCellMar>
        </w:tblPrEx>
        <w:trPr>
          <w:trHeight w:val="168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76BE585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数据重建</w:t>
            </w:r>
          </w:p>
        </w:tc>
        <w:tc>
          <w:tcPr>
            <w:tcW w:w="6886" w:type="dxa"/>
            <w:tcBorders>
              <w:top w:val="single" w:color="1F2329" w:sz="4" w:space="0"/>
              <w:left w:val="single" w:color="1F2329" w:sz="4" w:space="0"/>
              <w:bottom w:val="single" w:color="1F2329" w:sz="4" w:space="0"/>
              <w:right w:val="single" w:color="1F2329" w:sz="4" w:space="0"/>
            </w:tcBorders>
            <w:vAlign w:val="center"/>
          </w:tcPr>
          <w:p w14:paraId="7F4F980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硬件故障对平台影响较大，也会影响数据安全，为保障业务在硬件故障后尽快恢复冗余数据保障，支持进行数据重建操作，重建速率达到30分钟/TB；重建过程中可以查看数据重建任务列表信息，包括对象名称、对象类型、数据量和优先级等；支持点击操作中的优先级对数据重建进行优先重建</w:t>
            </w:r>
          </w:p>
        </w:tc>
      </w:tr>
      <w:tr w14:paraId="1E66C4D0">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tcPr>
          <w:p w14:paraId="087F362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快照策略</w:t>
            </w:r>
          </w:p>
        </w:tc>
        <w:tc>
          <w:tcPr>
            <w:tcW w:w="6886" w:type="dxa"/>
            <w:tcBorders>
              <w:top w:val="single" w:color="1F2329" w:sz="4" w:space="0"/>
              <w:left w:val="single" w:color="1F2329" w:sz="4" w:space="0"/>
              <w:bottom w:val="single" w:color="1F2329" w:sz="4" w:space="0"/>
              <w:right w:val="single" w:color="1F2329" w:sz="4" w:space="0"/>
            </w:tcBorders>
          </w:tcPr>
          <w:p w14:paraId="134D7AA5">
            <w:pPr>
              <w:ind w:left="0" w:leftChars="0" w:firstLine="0" w:firstLineChars="0"/>
              <w:rPr>
                <w:rFonts w:asciiTheme="minorEastAsia" w:hAnsiTheme="minorEastAsia" w:eastAsiaTheme="minorEastAsia" w:cstheme="minorEastAsia"/>
                <w:highlight w:val="none"/>
              </w:rPr>
            </w:pPr>
            <w:r>
              <w:rPr>
                <w:highlight w:val="none"/>
              </w:rPr>
              <w:t>▲</w:t>
            </w:r>
            <w:r>
              <w:rPr>
                <w:rFonts w:hint="eastAsia" w:asciiTheme="minorEastAsia" w:hAnsiTheme="minorEastAsia" w:eastAsiaTheme="minorEastAsia" w:cstheme="minorEastAsia"/>
                <w:highlight w:val="none"/>
              </w:rPr>
              <w:t>支持快照功能。快照类型支持存储快照、磁盘快照。支持静默快照功能。（需提供产品功能截图）</w:t>
            </w:r>
          </w:p>
        </w:tc>
      </w:tr>
      <w:tr w14:paraId="6A621F49">
        <w:tblPrEx>
          <w:tblCellMar>
            <w:top w:w="15" w:type="dxa"/>
            <w:left w:w="15" w:type="dxa"/>
            <w:bottom w:w="15" w:type="dxa"/>
            <w:right w:w="15" w:type="dxa"/>
          </w:tblCellMar>
        </w:tblPrEx>
        <w:trPr>
          <w:trHeight w:val="130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6799343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性能要求</w:t>
            </w:r>
          </w:p>
        </w:tc>
        <w:tc>
          <w:tcPr>
            <w:tcW w:w="6886" w:type="dxa"/>
            <w:tcBorders>
              <w:top w:val="single" w:color="1F2329" w:sz="4" w:space="0"/>
              <w:left w:val="single" w:color="1F2329" w:sz="4" w:space="0"/>
              <w:bottom w:val="single" w:color="1F2329" w:sz="4" w:space="0"/>
              <w:right w:val="single" w:color="1F2329" w:sz="4" w:space="0"/>
            </w:tcBorders>
            <w:vAlign w:val="center"/>
          </w:tcPr>
          <w:p w14:paraId="7B759F0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对虚拟机或虚拟磁盘设置数据分布策略，当采用副本聚合策略时，可以保证以性能优先为原则，实现IO本地读效果，当采用副本散列策略时，可以保证虚拟机以分布均匀优先为原则，打散分布均匀在各物理主机上。</w:t>
            </w:r>
          </w:p>
        </w:tc>
      </w:tr>
      <w:tr w14:paraId="73CFB4D0">
        <w:tblPrEx>
          <w:tblCellMar>
            <w:top w:w="15" w:type="dxa"/>
            <w:left w:w="15" w:type="dxa"/>
            <w:bottom w:w="15" w:type="dxa"/>
            <w:right w:w="15" w:type="dxa"/>
          </w:tblCellMar>
        </w:tblPrEx>
        <w:trPr>
          <w:trHeight w:val="130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5157349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网络安全</w:t>
            </w:r>
          </w:p>
        </w:tc>
        <w:tc>
          <w:tcPr>
            <w:tcW w:w="6886" w:type="dxa"/>
            <w:tcBorders>
              <w:top w:val="single" w:color="1F2329" w:sz="4" w:space="0"/>
              <w:left w:val="single" w:color="1F2329" w:sz="4" w:space="0"/>
              <w:bottom w:val="single" w:color="1F2329" w:sz="4" w:space="0"/>
              <w:right w:val="single" w:color="1F2329" w:sz="4" w:space="0"/>
            </w:tcBorders>
            <w:vAlign w:val="center"/>
          </w:tcPr>
          <w:p w14:paraId="198A905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了能够根据实际需求和网络拓扑，灵活地配置和管理防火墙规则，以保护网络和虚拟机的安全，我单位要求支持创建分布式虚拟防火墙，并可基于虚拟机、虚拟机组、虚拟机标签、IP、IP范围、IP组构建安全防火墙。</w:t>
            </w:r>
          </w:p>
        </w:tc>
      </w:tr>
      <w:tr w14:paraId="3A9BD628">
        <w:tblPrEx>
          <w:tblCellMar>
            <w:top w:w="15" w:type="dxa"/>
            <w:left w:w="15" w:type="dxa"/>
            <w:bottom w:w="15" w:type="dxa"/>
            <w:right w:w="15" w:type="dxa"/>
          </w:tblCellMar>
        </w:tblPrEx>
        <w:trPr>
          <w:trHeight w:val="168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025888A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安全能力联动</w:t>
            </w:r>
          </w:p>
        </w:tc>
        <w:tc>
          <w:tcPr>
            <w:tcW w:w="6886" w:type="dxa"/>
            <w:tcBorders>
              <w:top w:val="single" w:color="1F2329" w:sz="4" w:space="0"/>
              <w:left w:val="single" w:color="1F2329" w:sz="4" w:space="0"/>
              <w:bottom w:val="single" w:color="1F2329" w:sz="4" w:space="0"/>
              <w:right w:val="single" w:color="1F2329" w:sz="4" w:space="0"/>
            </w:tcBorders>
            <w:vAlign w:val="center"/>
          </w:tcPr>
          <w:p w14:paraId="197F102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于虚拟化业务安全考虑，云平台与安全能力应支持联动以达到最佳安全效果，需提供同一品牌云安全中心，无需界面跳转即可实现安全统一管理提升安全运维效率，需提供一站式工作台展示云上资产安全防护情况展示，包括安全风险分布，以及病毒、攻击、漏洞等风险的TOP 5云主机</w:t>
            </w:r>
          </w:p>
        </w:tc>
      </w:tr>
    </w:tbl>
    <w:p w14:paraId="07737E2C">
      <w:pPr>
        <w:pStyle w:val="5"/>
        <w:ind w:firstLine="56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眼科屈光电子病历系统服务器</w:t>
      </w:r>
    </w:p>
    <w:tbl>
      <w:tblPr>
        <w:tblStyle w:val="10"/>
        <w:tblW w:w="0" w:type="auto"/>
        <w:tblInd w:w="0" w:type="dxa"/>
        <w:tblLayout w:type="autofit"/>
        <w:tblCellMar>
          <w:top w:w="15" w:type="dxa"/>
          <w:left w:w="15" w:type="dxa"/>
          <w:bottom w:w="15" w:type="dxa"/>
          <w:right w:w="15" w:type="dxa"/>
        </w:tblCellMar>
      </w:tblPr>
      <w:tblGrid>
        <w:gridCol w:w="1450"/>
        <w:gridCol w:w="6886"/>
      </w:tblGrid>
      <w:tr w14:paraId="03ED31F7">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74BC15F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6886" w:type="dxa"/>
            <w:tcBorders>
              <w:top w:val="single" w:color="1F2329" w:sz="4" w:space="0"/>
              <w:left w:val="single" w:color="1F2329" w:sz="4" w:space="0"/>
              <w:bottom w:val="single" w:color="1F2329" w:sz="4" w:space="0"/>
              <w:right w:val="single" w:color="1F2329" w:sz="4" w:space="0"/>
            </w:tcBorders>
            <w:vAlign w:val="center"/>
          </w:tcPr>
          <w:p w14:paraId="6EA325C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46BCDF86">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3DA28F2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总体要求</w:t>
            </w:r>
          </w:p>
        </w:tc>
        <w:tc>
          <w:tcPr>
            <w:tcW w:w="6886" w:type="dxa"/>
            <w:tcBorders>
              <w:top w:val="single" w:color="1F2329" w:sz="4" w:space="0"/>
              <w:left w:val="single" w:color="1F2329" w:sz="4" w:space="0"/>
              <w:bottom w:val="single" w:color="1F2329" w:sz="4" w:space="0"/>
              <w:right w:val="single" w:color="1F2329" w:sz="4" w:space="0"/>
            </w:tcBorders>
            <w:vAlign w:val="center"/>
          </w:tcPr>
          <w:p w14:paraId="205A640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2U机架式，国产品牌</w:t>
            </w:r>
          </w:p>
        </w:tc>
      </w:tr>
      <w:tr w14:paraId="613F6E69">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56D7F63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处理器</w:t>
            </w:r>
          </w:p>
        </w:tc>
        <w:tc>
          <w:tcPr>
            <w:tcW w:w="6886" w:type="dxa"/>
            <w:tcBorders>
              <w:top w:val="single" w:color="1F2329" w:sz="4" w:space="0"/>
              <w:left w:val="single" w:color="1F2329" w:sz="4" w:space="0"/>
              <w:bottom w:val="single" w:color="1F2329" w:sz="4" w:space="0"/>
              <w:right w:val="single" w:color="1F2329" w:sz="4" w:space="0"/>
            </w:tcBorders>
            <w:vAlign w:val="center"/>
          </w:tcPr>
          <w:p w14:paraId="360E64D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配置2颗处理器，每颗处理器核心≥32c，频率≥2.1GHz</w:t>
            </w:r>
          </w:p>
        </w:tc>
      </w:tr>
      <w:tr w14:paraId="1734B03E">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597B97F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内存要求</w:t>
            </w:r>
          </w:p>
        </w:tc>
        <w:tc>
          <w:tcPr>
            <w:tcW w:w="6886" w:type="dxa"/>
            <w:tcBorders>
              <w:top w:val="single" w:color="1F2329" w:sz="4" w:space="0"/>
              <w:left w:val="single" w:color="1F2329" w:sz="4" w:space="0"/>
              <w:bottom w:val="single" w:color="1F2329" w:sz="4" w:space="0"/>
              <w:right w:val="single" w:color="1F2329" w:sz="4" w:space="0"/>
            </w:tcBorders>
            <w:vAlign w:val="center"/>
          </w:tcPr>
          <w:p w14:paraId="7581FF8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最大支持32条 DDR5 内存插槽，本次配置≥4条64GB DDR5 5600MHz内存</w:t>
            </w:r>
          </w:p>
        </w:tc>
      </w:tr>
      <w:tr w14:paraId="3F01D839">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5B59F80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本地存储</w:t>
            </w:r>
          </w:p>
        </w:tc>
        <w:tc>
          <w:tcPr>
            <w:tcW w:w="6886" w:type="dxa"/>
            <w:tcBorders>
              <w:top w:val="single" w:color="1F2329" w:sz="4" w:space="0"/>
              <w:left w:val="single" w:color="1F2329" w:sz="4" w:space="0"/>
              <w:bottom w:val="single" w:color="1F2329" w:sz="4" w:space="0"/>
              <w:right w:val="single" w:color="1F2329" w:sz="4" w:space="0"/>
            </w:tcBorders>
            <w:vAlign w:val="center"/>
          </w:tcPr>
          <w:p w14:paraId="258D765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总体要求：支持≥45块2.5寸硬盘，或支持≥20块3.5寸热插拔硬盘</w:t>
            </w:r>
          </w:p>
        </w:tc>
      </w:tr>
      <w:tr w14:paraId="23EC5078">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44D0DCC5">
            <w:pPr>
              <w:ind w:left="0" w:leftChars="0" w:firstLine="0" w:firstLineChars="0"/>
              <w:rPr>
                <w:rFonts w:asciiTheme="minorEastAsia" w:hAnsiTheme="minorEastAsia" w:eastAsiaTheme="minorEastAsia" w:cstheme="minorEastAsia"/>
                <w:highlight w:val="none"/>
              </w:rPr>
            </w:pPr>
          </w:p>
        </w:tc>
        <w:tc>
          <w:tcPr>
            <w:tcW w:w="6886" w:type="dxa"/>
            <w:tcBorders>
              <w:top w:val="single" w:color="1F2329" w:sz="4" w:space="0"/>
              <w:left w:val="single" w:color="1F2329" w:sz="4" w:space="0"/>
              <w:bottom w:val="single" w:color="1F2329" w:sz="4" w:space="0"/>
              <w:right w:val="single" w:color="1F2329" w:sz="4" w:space="0"/>
            </w:tcBorders>
            <w:vAlign w:val="center"/>
          </w:tcPr>
          <w:p w14:paraId="1BB2582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本次配置≥2块480GB SSD硬盘，≥2块3.84T Nvme SSD硬盘，≥8块10T SATA硬盘</w:t>
            </w:r>
          </w:p>
        </w:tc>
      </w:tr>
      <w:tr w14:paraId="4109BB55">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3BD7DAF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RAID</w:t>
            </w:r>
          </w:p>
        </w:tc>
        <w:tc>
          <w:tcPr>
            <w:tcW w:w="6886" w:type="dxa"/>
            <w:tcBorders>
              <w:top w:val="single" w:color="1F2329" w:sz="4" w:space="0"/>
              <w:left w:val="single" w:color="1F2329" w:sz="4" w:space="0"/>
              <w:bottom w:val="single" w:color="1F2329" w:sz="4" w:space="0"/>
              <w:right w:val="single" w:color="1F2329" w:sz="4" w:space="0"/>
            </w:tcBorders>
            <w:vAlign w:val="center"/>
          </w:tcPr>
          <w:p w14:paraId="62F7371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配置≥1个独立RAID卡，2GB缓存，可支持raid 0/1/5/6 等</w:t>
            </w:r>
          </w:p>
        </w:tc>
      </w:tr>
      <w:tr w14:paraId="593E49DD">
        <w:tblPrEx>
          <w:tblCellMar>
            <w:top w:w="15" w:type="dxa"/>
            <w:left w:w="15" w:type="dxa"/>
            <w:bottom w:w="15" w:type="dxa"/>
            <w:right w:w="15" w:type="dxa"/>
          </w:tblCellMar>
        </w:tblPrEx>
        <w:trPr>
          <w:trHeight w:val="468"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2D64926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网络接口</w:t>
            </w:r>
          </w:p>
        </w:tc>
        <w:tc>
          <w:tcPr>
            <w:tcW w:w="6886" w:type="dxa"/>
            <w:tcBorders>
              <w:top w:val="single" w:color="1F2329" w:sz="4" w:space="0"/>
              <w:left w:val="single" w:color="1F2329" w:sz="4" w:space="0"/>
              <w:bottom w:val="single" w:color="1F2329" w:sz="4" w:space="0"/>
              <w:right w:val="single" w:color="1F2329" w:sz="4" w:space="0"/>
            </w:tcBorders>
            <w:vAlign w:val="center"/>
          </w:tcPr>
          <w:p w14:paraId="06507FA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支持OCP网络模块，支持1Gb/10Gb/25Gb速率；本次配置≥2个双口万兆网卡（光口含模块），≥1个四口千兆网卡（电口）</w:t>
            </w:r>
          </w:p>
        </w:tc>
      </w:tr>
      <w:tr w14:paraId="1C310B8A">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45A48A7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I/O扩展</w:t>
            </w:r>
          </w:p>
        </w:tc>
        <w:tc>
          <w:tcPr>
            <w:tcW w:w="6886" w:type="dxa"/>
            <w:tcBorders>
              <w:top w:val="single" w:color="1F2329" w:sz="4" w:space="0"/>
              <w:left w:val="single" w:color="1F2329" w:sz="4" w:space="0"/>
              <w:bottom w:val="single" w:color="1F2329" w:sz="4" w:space="0"/>
              <w:right w:val="single" w:color="1F2329" w:sz="4" w:space="0"/>
            </w:tcBorders>
            <w:vAlign w:val="center"/>
          </w:tcPr>
          <w:p w14:paraId="5460AF4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最大支持16个PCIe扩展槽位</w:t>
            </w:r>
          </w:p>
        </w:tc>
      </w:tr>
      <w:tr w14:paraId="2561D0FA">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2094715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电源及外设</w:t>
            </w:r>
          </w:p>
        </w:tc>
        <w:tc>
          <w:tcPr>
            <w:tcW w:w="6886" w:type="dxa"/>
            <w:tcBorders>
              <w:top w:val="single" w:color="1F2329" w:sz="4" w:space="0"/>
              <w:left w:val="single" w:color="1F2329" w:sz="4" w:space="0"/>
              <w:bottom w:val="single" w:color="1F2329" w:sz="4" w:space="0"/>
              <w:right w:val="single" w:color="1F2329" w:sz="4" w:space="0"/>
            </w:tcBorders>
            <w:vAlign w:val="center"/>
          </w:tcPr>
          <w:p w14:paraId="79CC158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配置≥2个冗余电源；冗余散热风扇，机架安装导轨；</w:t>
            </w:r>
          </w:p>
        </w:tc>
      </w:tr>
      <w:tr w14:paraId="54C83D90">
        <w:tblPrEx>
          <w:tblCellMar>
            <w:top w:w="15" w:type="dxa"/>
            <w:left w:w="15" w:type="dxa"/>
            <w:bottom w:w="15" w:type="dxa"/>
            <w:right w:w="15" w:type="dxa"/>
          </w:tblCellMar>
        </w:tblPrEx>
        <w:trPr>
          <w:trHeight w:val="54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349ADBD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管理功能</w:t>
            </w:r>
          </w:p>
        </w:tc>
        <w:tc>
          <w:tcPr>
            <w:tcW w:w="6886" w:type="dxa"/>
            <w:tcBorders>
              <w:top w:val="single" w:color="1F2329" w:sz="4" w:space="0"/>
              <w:left w:val="single" w:color="1F2329" w:sz="4" w:space="0"/>
              <w:bottom w:val="single" w:color="1F2329" w:sz="4" w:space="0"/>
              <w:right w:val="single" w:color="1F2329" w:sz="4" w:space="0"/>
            </w:tcBorders>
            <w:vAlign w:val="center"/>
          </w:tcPr>
          <w:p w14:paraId="33F18D5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集成系统管理芯片，支持IPMI2.0、KVM over IP、虚拟媒体等管理功能</w:t>
            </w:r>
          </w:p>
        </w:tc>
      </w:tr>
      <w:tr w14:paraId="50075373">
        <w:tblPrEx>
          <w:tblCellMar>
            <w:top w:w="15" w:type="dxa"/>
            <w:left w:w="15" w:type="dxa"/>
            <w:bottom w:w="15" w:type="dxa"/>
            <w:right w:w="15" w:type="dxa"/>
          </w:tblCellMar>
        </w:tblPrEx>
        <w:trPr>
          <w:trHeight w:val="388"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20EE99E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虚拟机生命周期管理</w:t>
            </w:r>
          </w:p>
        </w:tc>
        <w:tc>
          <w:tcPr>
            <w:tcW w:w="6886" w:type="dxa"/>
            <w:tcBorders>
              <w:top w:val="single" w:color="1F2329" w:sz="4" w:space="0"/>
              <w:left w:val="single" w:color="1F2329" w:sz="4" w:space="0"/>
              <w:bottom w:val="single" w:color="1F2329" w:sz="4" w:space="0"/>
              <w:right w:val="single" w:color="1F2329" w:sz="4" w:space="0"/>
            </w:tcBorders>
            <w:vAlign w:val="center"/>
          </w:tcPr>
          <w:p w14:paraId="7C93E00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为满足大规模管理运维的要求，在超融合管理平台界面上提供虚拟机删除、开关机、挂起、重启、关闭、关闭电源、克隆、迁移、备份、快照、标签管理等功能，以上功能均支持批量操作。</w:t>
            </w:r>
          </w:p>
        </w:tc>
      </w:tr>
      <w:tr w14:paraId="2B8833A6">
        <w:tblPrEx>
          <w:tblCellMar>
            <w:top w:w="15" w:type="dxa"/>
            <w:left w:w="15" w:type="dxa"/>
            <w:bottom w:w="15" w:type="dxa"/>
            <w:right w:w="15" w:type="dxa"/>
          </w:tblCellMar>
        </w:tblPrEx>
        <w:trPr>
          <w:trHeight w:val="92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44193ED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功能性要求</w:t>
            </w:r>
          </w:p>
        </w:tc>
        <w:tc>
          <w:tcPr>
            <w:tcW w:w="6886" w:type="dxa"/>
            <w:tcBorders>
              <w:top w:val="single" w:color="1F2329" w:sz="4" w:space="0"/>
              <w:left w:val="single" w:color="1F2329" w:sz="4" w:space="0"/>
              <w:bottom w:val="single" w:color="1F2329" w:sz="4" w:space="0"/>
              <w:right w:val="single" w:color="1F2329" w:sz="4" w:space="0"/>
            </w:tcBorders>
            <w:vAlign w:val="center"/>
          </w:tcPr>
          <w:p w14:paraId="178D8731">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为避免主机假死导致系列问题发生，支持识别假死主机并标签化为亚健康主机，通过邮件或短信告警提醒用户进行处理，并限制重要业务在亚健康主机上运行，规避风险</w:t>
            </w:r>
          </w:p>
        </w:tc>
      </w:tr>
      <w:tr w14:paraId="3E9CF279">
        <w:tblPrEx>
          <w:tblCellMar>
            <w:top w:w="15" w:type="dxa"/>
            <w:left w:w="15" w:type="dxa"/>
            <w:bottom w:w="15" w:type="dxa"/>
            <w:right w:w="15" w:type="dxa"/>
          </w:tblCellMar>
        </w:tblPrEx>
        <w:trPr>
          <w:trHeight w:val="90" w:hRule="atLeast"/>
        </w:trPr>
        <w:tc>
          <w:tcPr>
            <w:tcW w:w="1450" w:type="dxa"/>
            <w:tcBorders>
              <w:top w:val="single" w:color="1F2329" w:sz="4" w:space="0"/>
              <w:left w:val="single" w:color="1F2329" w:sz="4" w:space="0"/>
              <w:bottom w:val="single" w:color="1F2329" w:sz="4" w:space="0"/>
              <w:right w:val="single" w:color="1F2329" w:sz="4" w:space="0"/>
            </w:tcBorders>
          </w:tcPr>
          <w:p w14:paraId="233240C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快照策略</w:t>
            </w:r>
          </w:p>
        </w:tc>
        <w:tc>
          <w:tcPr>
            <w:tcW w:w="6886" w:type="dxa"/>
            <w:tcBorders>
              <w:top w:val="single" w:color="1F2329" w:sz="4" w:space="0"/>
              <w:left w:val="single" w:color="1F2329" w:sz="4" w:space="0"/>
              <w:bottom w:val="single" w:color="1F2329" w:sz="4" w:space="0"/>
              <w:right w:val="single" w:color="1F2329" w:sz="4" w:space="0"/>
            </w:tcBorders>
          </w:tcPr>
          <w:p w14:paraId="59EB9AC2">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支持快照功能。快照类型支持存储快照、磁盘快照。支持静默快照功能。</w:t>
            </w:r>
          </w:p>
        </w:tc>
      </w:tr>
      <w:tr w14:paraId="1CE021BB">
        <w:tblPrEx>
          <w:tblCellMar>
            <w:top w:w="15" w:type="dxa"/>
            <w:left w:w="15" w:type="dxa"/>
            <w:bottom w:w="15" w:type="dxa"/>
            <w:right w:w="15" w:type="dxa"/>
          </w:tblCellMar>
        </w:tblPrEx>
        <w:trPr>
          <w:trHeight w:val="168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260ED85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防勒索</w:t>
            </w:r>
          </w:p>
        </w:tc>
        <w:tc>
          <w:tcPr>
            <w:tcW w:w="6886" w:type="dxa"/>
            <w:tcBorders>
              <w:top w:val="single" w:color="1F2329" w:sz="4" w:space="0"/>
              <w:left w:val="single" w:color="1F2329" w:sz="4" w:space="0"/>
              <w:bottom w:val="single" w:color="1F2329" w:sz="4" w:space="0"/>
              <w:right w:val="single" w:color="1F2329" w:sz="4" w:space="0"/>
            </w:tcBorders>
            <w:vAlign w:val="center"/>
          </w:tcPr>
          <w:p w14:paraId="228D2C1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于医院业务安全考虑，避免产生额外的经济损失，同时简化安全问题处置复杂度，需要云平台提供可靠的向导化勒索病毒处理流程，包括紧急隔离、保留当前状态、恢复云主机、扫描病毒、恢复网络。并支持事前勒索病毒防护、事中检测疑似勒索可打自动对虚拟机打快照、事后勒索病毒向导化处理</w:t>
            </w:r>
          </w:p>
        </w:tc>
      </w:tr>
      <w:tr w14:paraId="1EA977B5">
        <w:tblPrEx>
          <w:tblCellMar>
            <w:top w:w="15" w:type="dxa"/>
            <w:left w:w="15" w:type="dxa"/>
            <w:bottom w:w="15" w:type="dxa"/>
            <w:right w:w="15" w:type="dxa"/>
          </w:tblCellMar>
        </w:tblPrEx>
        <w:trPr>
          <w:trHeight w:val="671"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5D7AB41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安全能力联动</w:t>
            </w:r>
          </w:p>
        </w:tc>
        <w:tc>
          <w:tcPr>
            <w:tcW w:w="6886" w:type="dxa"/>
            <w:tcBorders>
              <w:top w:val="single" w:color="1F2329" w:sz="4" w:space="0"/>
              <w:left w:val="single" w:color="1F2329" w:sz="4" w:space="0"/>
              <w:bottom w:val="single" w:color="1F2329" w:sz="4" w:space="0"/>
              <w:right w:val="single" w:color="1F2329" w:sz="4" w:space="0"/>
            </w:tcBorders>
            <w:vAlign w:val="center"/>
          </w:tcPr>
          <w:p w14:paraId="475B8FD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基于虚拟化业务安全考虑，云平台与安全能力应支持联动以达到最佳安全效果，需提供同一品牌云安全中心，无需界面跳转即可实现安全统一管理提升安全运维效率，需提供一站式工作台展示云上资产安全防护情况展示，包括安全风险分布，以及病毒、攻击、漏洞等风险的TOP 5云主机</w:t>
            </w:r>
          </w:p>
        </w:tc>
      </w:tr>
      <w:tr w14:paraId="65E7D61C">
        <w:tblPrEx>
          <w:tblCellMar>
            <w:top w:w="15" w:type="dxa"/>
            <w:left w:w="15" w:type="dxa"/>
            <w:bottom w:w="15" w:type="dxa"/>
            <w:right w:w="15" w:type="dxa"/>
          </w:tblCellMar>
        </w:tblPrEx>
        <w:trPr>
          <w:trHeight w:val="130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66621D5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性能要求</w:t>
            </w:r>
          </w:p>
        </w:tc>
        <w:tc>
          <w:tcPr>
            <w:tcW w:w="6886" w:type="dxa"/>
            <w:tcBorders>
              <w:top w:val="single" w:color="1F2329" w:sz="4" w:space="0"/>
              <w:left w:val="single" w:color="1F2329" w:sz="4" w:space="0"/>
              <w:bottom w:val="single" w:color="1F2329" w:sz="4" w:space="0"/>
              <w:right w:val="single" w:color="1F2329" w:sz="4" w:space="0"/>
            </w:tcBorders>
            <w:vAlign w:val="center"/>
          </w:tcPr>
          <w:p w14:paraId="5D0D64FB">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对虚拟机或虚拟磁盘设置数据分布策略，当采用副本聚合策略时，可以保证以性能优先为原则，实现IO本地读效果，当采用副本散列策略时，可以保证虚拟机以分布均匀优先为原则，打散分布均匀在各物理主机上。</w:t>
            </w:r>
          </w:p>
        </w:tc>
      </w:tr>
      <w:tr w14:paraId="706140B9">
        <w:tblPrEx>
          <w:tblCellMar>
            <w:top w:w="15" w:type="dxa"/>
            <w:left w:w="15" w:type="dxa"/>
            <w:bottom w:w="15" w:type="dxa"/>
            <w:right w:w="15" w:type="dxa"/>
          </w:tblCellMar>
        </w:tblPrEx>
        <w:trPr>
          <w:trHeight w:val="920" w:hRule="atLeast"/>
        </w:trPr>
        <w:tc>
          <w:tcPr>
            <w:tcW w:w="1450" w:type="dxa"/>
            <w:tcBorders>
              <w:top w:val="single" w:color="1F2329" w:sz="4" w:space="0"/>
              <w:left w:val="single" w:color="1F2329" w:sz="4" w:space="0"/>
              <w:bottom w:val="single" w:color="1F2329" w:sz="4" w:space="0"/>
              <w:right w:val="single" w:color="1F2329" w:sz="4" w:space="0"/>
            </w:tcBorders>
            <w:vAlign w:val="center"/>
          </w:tcPr>
          <w:p w14:paraId="0A0DE3B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跨版本迁移</w:t>
            </w:r>
          </w:p>
        </w:tc>
        <w:tc>
          <w:tcPr>
            <w:tcW w:w="6886" w:type="dxa"/>
            <w:tcBorders>
              <w:top w:val="single" w:color="1F2329" w:sz="4" w:space="0"/>
              <w:left w:val="single" w:color="1F2329" w:sz="4" w:space="0"/>
              <w:bottom w:val="single" w:color="1F2329" w:sz="4" w:space="0"/>
              <w:right w:val="single" w:color="1F2329" w:sz="4" w:space="0"/>
            </w:tcBorders>
            <w:vAlign w:val="center"/>
          </w:tcPr>
          <w:p w14:paraId="51E59A6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支持界面操作跨集群跨版本热迁移，即虚拟化平台不同版本也可通过兼容模式支持跨集群迁移，无需多个集群的平台版本一定一致。</w:t>
            </w:r>
          </w:p>
        </w:tc>
      </w:tr>
    </w:tbl>
    <w:p w14:paraId="5DFCFB35">
      <w:pPr>
        <w:rPr>
          <w:rFonts w:asciiTheme="minorEastAsia" w:hAnsiTheme="minorEastAsia" w:eastAsiaTheme="minorEastAsia" w:cstheme="minorEastAsia"/>
          <w:highlight w:val="none"/>
        </w:rPr>
      </w:pPr>
    </w:p>
    <w:p w14:paraId="4D3DFFC9">
      <w:pPr>
        <w:pStyle w:val="5"/>
        <w:ind w:firstLine="56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AI大模型科研资源智能画像与全链路绩效平台算力-推理</w:t>
      </w:r>
    </w:p>
    <w:tbl>
      <w:tblPr>
        <w:tblStyle w:val="10"/>
        <w:tblW w:w="0" w:type="auto"/>
        <w:tblInd w:w="0" w:type="dxa"/>
        <w:tblLayout w:type="autofit"/>
        <w:tblCellMar>
          <w:top w:w="15" w:type="dxa"/>
          <w:left w:w="15" w:type="dxa"/>
          <w:bottom w:w="15" w:type="dxa"/>
          <w:right w:w="15" w:type="dxa"/>
        </w:tblCellMar>
      </w:tblPr>
      <w:tblGrid>
        <w:gridCol w:w="1437"/>
        <w:gridCol w:w="6899"/>
      </w:tblGrid>
      <w:tr w14:paraId="0035AD7C">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noWrap/>
            <w:vAlign w:val="center"/>
          </w:tcPr>
          <w:p w14:paraId="5E8AB28F">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指标项</w:t>
            </w:r>
          </w:p>
        </w:tc>
        <w:tc>
          <w:tcPr>
            <w:tcW w:w="6899" w:type="dxa"/>
            <w:tcBorders>
              <w:top w:val="single" w:color="1F2329" w:sz="4" w:space="0"/>
              <w:left w:val="single" w:color="1F2329" w:sz="4" w:space="0"/>
              <w:bottom w:val="single" w:color="1F2329" w:sz="4" w:space="0"/>
              <w:right w:val="single" w:color="1F2329" w:sz="4" w:space="0"/>
            </w:tcBorders>
            <w:vAlign w:val="center"/>
          </w:tcPr>
          <w:p w14:paraId="09F1116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招标需求</w:t>
            </w:r>
          </w:p>
        </w:tc>
      </w:tr>
      <w:tr w14:paraId="2AB50EB7">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noWrap/>
            <w:vAlign w:val="center"/>
          </w:tcPr>
          <w:p w14:paraId="264D145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品牌</w:t>
            </w:r>
          </w:p>
        </w:tc>
        <w:tc>
          <w:tcPr>
            <w:tcW w:w="6899" w:type="dxa"/>
            <w:tcBorders>
              <w:top w:val="single" w:color="1F2329" w:sz="4" w:space="0"/>
              <w:left w:val="single" w:color="1F2329" w:sz="4" w:space="0"/>
              <w:bottom w:val="single" w:color="1F2329" w:sz="4" w:space="0"/>
              <w:right w:val="single" w:color="1F2329" w:sz="4" w:space="0"/>
            </w:tcBorders>
            <w:vAlign w:val="center"/>
          </w:tcPr>
          <w:p w14:paraId="7611FA1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4U机架式，国产品牌 </w:t>
            </w:r>
          </w:p>
        </w:tc>
      </w:tr>
      <w:tr w14:paraId="67AAF758">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7F0256C5">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处理器</w:t>
            </w:r>
          </w:p>
        </w:tc>
        <w:tc>
          <w:tcPr>
            <w:tcW w:w="6899" w:type="dxa"/>
            <w:tcBorders>
              <w:top w:val="single" w:color="1F2329" w:sz="4" w:space="0"/>
              <w:left w:val="single" w:color="1F2329" w:sz="4" w:space="0"/>
              <w:bottom w:val="single" w:color="1F2329" w:sz="4" w:space="0"/>
              <w:right w:val="single" w:color="1F2329" w:sz="4" w:space="0"/>
            </w:tcBorders>
            <w:vAlign w:val="center"/>
          </w:tcPr>
          <w:p w14:paraId="17C7D10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配置2颗处理器，每颗处理器核心≥16c，频率≥2.0GHz</w:t>
            </w:r>
          </w:p>
        </w:tc>
      </w:tr>
      <w:tr w14:paraId="52844DD7">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24DFEA3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内存</w:t>
            </w:r>
          </w:p>
        </w:tc>
        <w:tc>
          <w:tcPr>
            <w:tcW w:w="6899" w:type="dxa"/>
            <w:tcBorders>
              <w:top w:val="single" w:color="1F2329" w:sz="4" w:space="0"/>
              <w:left w:val="single" w:color="1F2329" w:sz="4" w:space="0"/>
              <w:bottom w:val="single" w:color="1F2329" w:sz="4" w:space="0"/>
              <w:right w:val="single" w:color="1F2329" w:sz="4" w:space="0"/>
            </w:tcBorders>
            <w:vAlign w:val="center"/>
          </w:tcPr>
          <w:p w14:paraId="3D286A57">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最大支持32条 DDR5 内存插槽，本次配置≥4条64GB DDR5 5600MHz内存</w:t>
            </w:r>
          </w:p>
        </w:tc>
      </w:tr>
      <w:tr w14:paraId="481396F5">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38AB20D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硬盘</w:t>
            </w:r>
          </w:p>
        </w:tc>
        <w:tc>
          <w:tcPr>
            <w:tcW w:w="6899" w:type="dxa"/>
            <w:tcBorders>
              <w:top w:val="single" w:color="1F2329" w:sz="4" w:space="0"/>
              <w:left w:val="single" w:color="1F2329" w:sz="4" w:space="0"/>
              <w:bottom w:val="single" w:color="1F2329" w:sz="4" w:space="0"/>
              <w:right w:val="single" w:color="1F2329" w:sz="4" w:space="0"/>
            </w:tcBorders>
            <w:vAlign w:val="center"/>
          </w:tcPr>
          <w:p w14:paraId="181711D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配置≥2块960GB SSD硬盘, ≥8块3.84TB Nvme SSD硬盘</w:t>
            </w:r>
          </w:p>
        </w:tc>
      </w:tr>
      <w:tr w14:paraId="66DF1FB9">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3292FD89">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硬盘扩展性</w:t>
            </w:r>
          </w:p>
        </w:tc>
        <w:tc>
          <w:tcPr>
            <w:tcW w:w="6899" w:type="dxa"/>
            <w:tcBorders>
              <w:top w:val="single" w:color="1F2329" w:sz="4" w:space="0"/>
              <w:left w:val="single" w:color="1F2329" w:sz="4" w:space="0"/>
              <w:bottom w:val="single" w:color="1F2329" w:sz="4" w:space="0"/>
              <w:right w:val="single" w:color="1F2329" w:sz="4" w:space="0"/>
            </w:tcBorders>
            <w:vAlign w:val="center"/>
          </w:tcPr>
          <w:p w14:paraId="4C15440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支持≥12块3.5寸硬盘或24块2.5寸硬盘。最大支持16块NVME SSD</w:t>
            </w:r>
          </w:p>
        </w:tc>
      </w:tr>
      <w:tr w14:paraId="48F0F396">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18D0E6FC">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RAID卡</w:t>
            </w:r>
          </w:p>
        </w:tc>
        <w:tc>
          <w:tcPr>
            <w:tcW w:w="6899" w:type="dxa"/>
            <w:tcBorders>
              <w:top w:val="single" w:color="1F2329" w:sz="4" w:space="0"/>
              <w:left w:val="single" w:color="1F2329" w:sz="4" w:space="0"/>
              <w:bottom w:val="single" w:color="1F2329" w:sz="4" w:space="0"/>
              <w:right w:val="single" w:color="1F2329" w:sz="4" w:space="0"/>
            </w:tcBorders>
            <w:vAlign w:val="center"/>
          </w:tcPr>
          <w:p w14:paraId="2139FECE">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配置≥1块RAID卡，≥4GB缓存，支持RAID 0/1/5等</w:t>
            </w:r>
          </w:p>
        </w:tc>
      </w:tr>
      <w:tr w14:paraId="2651FEF9">
        <w:tblPrEx>
          <w:tblCellMar>
            <w:top w:w="15" w:type="dxa"/>
            <w:left w:w="15" w:type="dxa"/>
            <w:bottom w:w="15" w:type="dxa"/>
            <w:right w:w="15" w:type="dxa"/>
          </w:tblCellMar>
        </w:tblPrEx>
        <w:trPr>
          <w:trHeight w:val="92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5EBD97A8">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网络接口</w:t>
            </w:r>
          </w:p>
        </w:tc>
        <w:tc>
          <w:tcPr>
            <w:tcW w:w="6899" w:type="dxa"/>
            <w:tcBorders>
              <w:top w:val="single" w:color="1F2329" w:sz="4" w:space="0"/>
              <w:left w:val="single" w:color="1F2329" w:sz="4" w:space="0"/>
              <w:bottom w:val="single" w:color="1F2329" w:sz="4" w:space="0"/>
              <w:right w:val="single" w:color="1F2329" w:sz="4" w:space="0"/>
            </w:tcBorders>
            <w:vAlign w:val="center"/>
          </w:tcPr>
          <w:p w14:paraId="2A7003E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支持OCP网络模块，支持1Gb/10Gb/25Gb速率；本次配置≥2个双口万兆网卡（光口含模块），≥1个四口千兆网卡（电口）</w:t>
            </w:r>
          </w:p>
        </w:tc>
      </w:tr>
      <w:tr w14:paraId="1E2A6048">
        <w:tblPrEx>
          <w:tblCellMar>
            <w:top w:w="15" w:type="dxa"/>
            <w:left w:w="15" w:type="dxa"/>
            <w:bottom w:w="15" w:type="dxa"/>
            <w:right w:w="15" w:type="dxa"/>
          </w:tblCellMar>
        </w:tblPrEx>
        <w:trPr>
          <w:trHeight w:val="92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32AF525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GPU卡</w:t>
            </w:r>
          </w:p>
        </w:tc>
        <w:tc>
          <w:tcPr>
            <w:tcW w:w="6899" w:type="dxa"/>
            <w:tcBorders>
              <w:top w:val="single" w:color="1F2329" w:sz="4" w:space="0"/>
              <w:left w:val="single" w:color="1F2329" w:sz="4" w:space="0"/>
              <w:bottom w:val="single" w:color="1F2329" w:sz="4" w:space="0"/>
              <w:right w:val="single" w:color="1F2329" w:sz="4" w:space="0"/>
            </w:tcBorders>
            <w:vAlign w:val="center"/>
          </w:tcPr>
          <w:p w14:paraId="0AF61904">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▲配置≥2块 GPU卡。每个GPU≥48GB显存，显存带宽≥864GB/s,计算性能FP32≥59Tflops，FP16≥119Tflops，FP8≥239Tflops</w:t>
            </w:r>
          </w:p>
        </w:tc>
      </w:tr>
      <w:tr w14:paraId="201E30CA">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5ABC7BFA">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灵活拓扑</w:t>
            </w:r>
          </w:p>
        </w:tc>
        <w:tc>
          <w:tcPr>
            <w:tcW w:w="6899" w:type="dxa"/>
            <w:tcBorders>
              <w:top w:val="single" w:color="1F2329" w:sz="4" w:space="0"/>
              <w:left w:val="single" w:color="1F2329" w:sz="4" w:space="0"/>
              <w:bottom w:val="single" w:color="1F2329" w:sz="4" w:space="0"/>
              <w:right w:val="single" w:color="1F2329" w:sz="4" w:space="0"/>
            </w:tcBorders>
            <w:vAlign w:val="center"/>
          </w:tcPr>
          <w:p w14:paraId="0BED0D2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支持四种GPU拓扑，灵活匹配不同AI计算应用场景</w:t>
            </w:r>
          </w:p>
        </w:tc>
      </w:tr>
      <w:tr w14:paraId="02657518">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414281E3">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管理特性</w:t>
            </w:r>
          </w:p>
        </w:tc>
        <w:tc>
          <w:tcPr>
            <w:tcW w:w="6899" w:type="dxa"/>
            <w:tcBorders>
              <w:top w:val="single" w:color="1F2329" w:sz="4" w:space="0"/>
              <w:left w:val="single" w:color="1F2329" w:sz="4" w:space="0"/>
              <w:bottom w:val="single" w:color="1F2329" w:sz="4" w:space="0"/>
              <w:right w:val="single" w:color="1F2329" w:sz="4" w:space="0"/>
            </w:tcBorders>
            <w:vAlign w:val="center"/>
          </w:tcPr>
          <w:p w14:paraId="2F7DA666">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集成BMC管理模块，支持IPMI、KVM over IP、虚拟媒体等功能</w:t>
            </w:r>
          </w:p>
        </w:tc>
      </w:tr>
      <w:tr w14:paraId="23CBFA6C">
        <w:tblPrEx>
          <w:tblCellMar>
            <w:top w:w="15" w:type="dxa"/>
            <w:left w:w="15" w:type="dxa"/>
            <w:bottom w:w="15" w:type="dxa"/>
            <w:right w:w="15" w:type="dxa"/>
          </w:tblCellMar>
        </w:tblPrEx>
        <w:trPr>
          <w:trHeight w:val="540" w:hRule="atLeast"/>
        </w:trPr>
        <w:tc>
          <w:tcPr>
            <w:tcW w:w="1437" w:type="dxa"/>
            <w:tcBorders>
              <w:top w:val="single" w:color="1F2329" w:sz="4" w:space="0"/>
              <w:left w:val="single" w:color="1F2329" w:sz="4" w:space="0"/>
              <w:bottom w:val="single" w:color="1F2329" w:sz="4" w:space="0"/>
              <w:right w:val="single" w:color="1F2329" w:sz="4" w:space="0"/>
            </w:tcBorders>
            <w:vAlign w:val="center"/>
          </w:tcPr>
          <w:p w14:paraId="0949CBA0">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电源</w:t>
            </w:r>
          </w:p>
        </w:tc>
        <w:tc>
          <w:tcPr>
            <w:tcW w:w="6899" w:type="dxa"/>
            <w:tcBorders>
              <w:top w:val="single" w:color="1F2329" w:sz="4" w:space="0"/>
              <w:left w:val="single" w:color="1F2329" w:sz="4" w:space="0"/>
              <w:bottom w:val="single" w:color="1F2329" w:sz="4" w:space="0"/>
              <w:right w:val="single" w:color="1F2329" w:sz="4" w:space="0"/>
            </w:tcBorders>
            <w:vAlign w:val="center"/>
          </w:tcPr>
          <w:p w14:paraId="6F156B8D">
            <w:pPr>
              <w:ind w:left="0" w:leftChars="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满配冗余电源模块，支持N+N冗余</w:t>
            </w:r>
          </w:p>
        </w:tc>
      </w:tr>
    </w:tbl>
    <w:p w14:paraId="6352D5AD">
      <w:pPr>
        <w:rPr>
          <w:rFonts w:asciiTheme="minorEastAsia" w:hAnsiTheme="minorEastAsia" w:eastAsiaTheme="minorEastAsia" w:cstheme="minorEastAsia"/>
          <w:highlight w:val="none"/>
        </w:rPr>
      </w:pPr>
    </w:p>
    <w:p w14:paraId="7BDC42E2">
      <w:pPr>
        <w:pStyle w:val="3"/>
        <w:numPr>
          <w:ilvl w:val="0"/>
          <w:numId w:val="0"/>
        </w:numPr>
        <w:rPr>
          <w:rFonts w:hint="eastAsia" w:cs="宋体"/>
          <w:highlight w:val="none"/>
        </w:rPr>
      </w:pPr>
      <w:r>
        <w:rPr>
          <w:rFonts w:hint="eastAsia" w:cs="宋体"/>
          <w:highlight w:val="none"/>
        </w:rPr>
        <w:t>（五）</w:t>
      </w:r>
      <w:r>
        <w:rPr>
          <w:highlight w:val="none"/>
        </w:rPr>
        <w:t>智慧医院透视化管理项目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62"/>
        <w:gridCol w:w="1813"/>
        <w:gridCol w:w="4861"/>
      </w:tblGrid>
      <w:tr w14:paraId="7560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12" w:hRule="atLeast"/>
        </w:trPr>
        <w:tc>
          <w:tcPr>
            <w:tcW w:w="1662" w:type="dxa"/>
            <w:noWrap/>
            <w:vAlign w:val="center"/>
          </w:tcPr>
          <w:p w14:paraId="4BFECDAA">
            <w:pPr>
              <w:ind w:left="0" w:leftChars="0" w:firstLine="0" w:firstLineChars="0"/>
              <w:textAlignment w:val="center"/>
              <w:rPr>
                <w:rFonts w:asciiTheme="minorEastAsia" w:hAnsiTheme="minorEastAsia" w:eastAsiaTheme="minorEastAsia" w:cstheme="minorEastAsia"/>
                <w:color w:val="000000"/>
                <w:kern w:val="0"/>
                <w:szCs w:val="18"/>
                <w:highlight w:val="none"/>
                <w:lang w:bidi="ar"/>
              </w:rPr>
            </w:pPr>
            <w:r>
              <w:rPr>
                <w:rFonts w:hint="eastAsia" w:asciiTheme="minorEastAsia" w:hAnsiTheme="minorEastAsia" w:eastAsiaTheme="minorEastAsia" w:cstheme="minorEastAsia"/>
                <w:color w:val="000000"/>
                <w:kern w:val="0"/>
                <w:szCs w:val="18"/>
                <w:highlight w:val="none"/>
                <w:lang w:bidi="ar"/>
              </w:rPr>
              <w:t>系统/设备名称</w:t>
            </w:r>
          </w:p>
        </w:tc>
        <w:tc>
          <w:tcPr>
            <w:tcW w:w="1813" w:type="dxa"/>
            <w:noWrap/>
            <w:vAlign w:val="center"/>
          </w:tcPr>
          <w:p w14:paraId="0924CC73">
            <w:pPr>
              <w:ind w:left="0" w:leftChars="0" w:firstLine="0" w:firstLineChars="0"/>
              <w:textAlignment w:val="center"/>
              <w:rPr>
                <w:rFonts w:asciiTheme="minorEastAsia" w:hAnsiTheme="minorEastAsia" w:eastAsiaTheme="minorEastAsia" w:cstheme="minorEastAsia"/>
                <w:color w:val="000000"/>
                <w:kern w:val="0"/>
                <w:szCs w:val="18"/>
                <w:highlight w:val="none"/>
                <w:lang w:bidi="ar"/>
              </w:rPr>
            </w:pPr>
            <w:r>
              <w:rPr>
                <w:rFonts w:hint="eastAsia" w:asciiTheme="minorEastAsia" w:hAnsiTheme="minorEastAsia" w:eastAsiaTheme="minorEastAsia" w:cstheme="minorEastAsia"/>
                <w:color w:val="000000"/>
                <w:kern w:val="0"/>
                <w:szCs w:val="18"/>
                <w:highlight w:val="none"/>
                <w:lang w:bidi="ar"/>
              </w:rPr>
              <w:t>指标项</w:t>
            </w:r>
          </w:p>
        </w:tc>
        <w:tc>
          <w:tcPr>
            <w:tcW w:w="4861" w:type="dxa"/>
            <w:vAlign w:val="center"/>
          </w:tcPr>
          <w:p w14:paraId="63C41B83">
            <w:pPr>
              <w:ind w:left="0" w:leftChars="0" w:firstLine="0" w:firstLineChars="0"/>
              <w:jc w:val="center"/>
              <w:textAlignment w:val="center"/>
              <w:rPr>
                <w:rFonts w:asciiTheme="minorEastAsia" w:hAnsiTheme="minorEastAsia" w:eastAsiaTheme="minorEastAsia" w:cstheme="minorEastAsia"/>
                <w:color w:val="000000"/>
                <w:kern w:val="0"/>
                <w:szCs w:val="18"/>
                <w:highlight w:val="none"/>
                <w:lang w:bidi="ar"/>
              </w:rPr>
            </w:pPr>
            <w:r>
              <w:rPr>
                <w:rFonts w:hint="eastAsia" w:asciiTheme="minorEastAsia" w:hAnsiTheme="minorEastAsia" w:eastAsiaTheme="minorEastAsia" w:cstheme="minorEastAsia"/>
                <w:color w:val="000000"/>
                <w:kern w:val="0"/>
                <w:szCs w:val="18"/>
                <w:highlight w:val="none"/>
                <w:lang w:bidi="ar"/>
              </w:rPr>
              <w:t>参数要求</w:t>
            </w:r>
          </w:p>
        </w:tc>
      </w:tr>
      <w:tr w14:paraId="37FA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60" w:hRule="atLeast"/>
        </w:trPr>
        <w:tc>
          <w:tcPr>
            <w:tcW w:w="1662" w:type="dxa"/>
            <w:vMerge w:val="restart"/>
            <w:noWrap/>
            <w:vAlign w:val="center"/>
          </w:tcPr>
          <w:p w14:paraId="0B3F2230">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数字孪生可视化</w:t>
            </w:r>
          </w:p>
        </w:tc>
        <w:tc>
          <w:tcPr>
            <w:tcW w:w="1813" w:type="dxa"/>
            <w:noWrap/>
            <w:vAlign w:val="center"/>
          </w:tcPr>
          <w:p w14:paraId="100F37E0">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总体态势（北院）</w:t>
            </w:r>
          </w:p>
        </w:tc>
        <w:tc>
          <w:tcPr>
            <w:tcW w:w="4861" w:type="dxa"/>
            <w:vAlign w:val="center"/>
          </w:tcPr>
          <w:p w14:paraId="32DF34D6">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1.核心目标：构建覆盖医院后勤全域的三维态势一张图，整合安防、消防、设施、人员等多元异构数据，实现医院整体运行状态的全方位、全时段可视化监控与动态感知。</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2.安全态势展示：采用绿、黄、红三级预警标识，直观呈现医院安全运行水平，支撑快速决策与应急处置。</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3.关键指标可视化：集成饼图、柱状图等组件，实时展示报警事件统计、设备在线率、区域人流密度等核心业务指标。</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4.多维度交互钻取：支持按建筑、楼层、科室等层级从宏观到微观的穿透式查看，满足多层级管理需求。</w:t>
            </w:r>
          </w:p>
        </w:tc>
      </w:tr>
      <w:tr w14:paraId="1661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2C78D31D">
            <w:pPr>
              <w:ind w:left="0" w:leftChars="0" w:firstLine="0" w:firstLineChars="0"/>
              <w:rPr>
                <w:rFonts w:asciiTheme="minorEastAsia" w:hAnsiTheme="minorEastAsia" w:eastAsiaTheme="minorEastAsia" w:cstheme="minorEastAsia"/>
                <w:color w:val="000000"/>
                <w:szCs w:val="18"/>
                <w:highlight w:val="none"/>
              </w:rPr>
            </w:pPr>
          </w:p>
        </w:tc>
        <w:tc>
          <w:tcPr>
            <w:tcW w:w="1813" w:type="dxa"/>
            <w:noWrap/>
            <w:vAlign w:val="center"/>
          </w:tcPr>
          <w:p w14:paraId="3247BD0D">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空间管理（北院1号楼）</w:t>
            </w:r>
          </w:p>
        </w:tc>
        <w:tc>
          <w:tcPr>
            <w:tcW w:w="4861" w:type="dxa"/>
            <w:vAlign w:val="center"/>
          </w:tcPr>
          <w:p w14:paraId="052C7A70">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1.以医院 1 号楼为对象，构建高精度三维模型，实现建筑空间资源的数字化管理；模型需关联房间编号、面积、用途、所属科室等信息，支持可视化快速查询。</w:t>
            </w:r>
          </w:p>
        </w:tc>
      </w:tr>
      <w:tr w14:paraId="27B1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3ED90DD4">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restart"/>
            <w:noWrap/>
            <w:vAlign w:val="center"/>
          </w:tcPr>
          <w:p w14:paraId="27F46498">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重点设备监测（南院）</w:t>
            </w:r>
          </w:p>
        </w:tc>
        <w:tc>
          <w:tcPr>
            <w:tcW w:w="4861" w:type="dxa"/>
            <w:vAlign w:val="center"/>
          </w:tcPr>
          <w:p w14:paraId="65C3E83E">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1.依托医院三维可视化底座，对电梯、配电、暖通、给排水、医用气体等重点保障设备开展数字化建模与空间点位标注，实现设备位置与布局的精准映射，为实时监测奠定基础。</w:t>
            </w:r>
          </w:p>
        </w:tc>
      </w:tr>
      <w:tr w14:paraId="7EA0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60C44D59">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continue"/>
            <w:noWrap/>
            <w:vAlign w:val="center"/>
          </w:tcPr>
          <w:p w14:paraId="65D82A38">
            <w:pPr>
              <w:ind w:left="0" w:leftChars="0" w:firstLine="0" w:firstLineChars="0"/>
              <w:rPr>
                <w:rFonts w:asciiTheme="minorEastAsia" w:hAnsiTheme="minorEastAsia" w:eastAsiaTheme="minorEastAsia" w:cstheme="minorEastAsia"/>
                <w:color w:val="000000"/>
                <w:szCs w:val="18"/>
                <w:highlight w:val="none"/>
              </w:rPr>
            </w:pPr>
          </w:p>
        </w:tc>
        <w:tc>
          <w:tcPr>
            <w:tcW w:w="4861" w:type="dxa"/>
            <w:vAlign w:val="center"/>
          </w:tcPr>
          <w:p w14:paraId="30D88CD9">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2.支持在三维场景中通过交互操作调取设备信息，展示设备名称、编号、安装位置等基础信息，以及运行状态、告警信息等动态数据，实现设备运维的可视化管理。</w:t>
            </w:r>
          </w:p>
        </w:tc>
      </w:tr>
      <w:tr w14:paraId="6E61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0" w:hRule="atLeast"/>
        </w:trPr>
        <w:tc>
          <w:tcPr>
            <w:tcW w:w="1662" w:type="dxa"/>
            <w:vMerge w:val="continue"/>
            <w:noWrap/>
            <w:vAlign w:val="center"/>
          </w:tcPr>
          <w:p w14:paraId="6100CC4C">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restart"/>
            <w:noWrap/>
            <w:vAlign w:val="center"/>
          </w:tcPr>
          <w:p w14:paraId="76AA66C8">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资源调度（南北院）</w:t>
            </w:r>
          </w:p>
        </w:tc>
        <w:tc>
          <w:tcPr>
            <w:tcW w:w="4861" w:type="dxa"/>
            <w:vAlign w:val="center"/>
          </w:tcPr>
          <w:p w14:paraId="02360B6F">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1.构建基于 “连排制” 管理模式的数字化资源池，实现人力、物资、设备、场地等资源的集中化管理。</w:t>
            </w:r>
          </w:p>
        </w:tc>
      </w:tr>
      <w:tr w14:paraId="2C7A6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0" w:hRule="atLeast"/>
        </w:trPr>
        <w:tc>
          <w:tcPr>
            <w:tcW w:w="1662" w:type="dxa"/>
            <w:vMerge w:val="continue"/>
            <w:noWrap/>
            <w:vAlign w:val="center"/>
          </w:tcPr>
          <w:p w14:paraId="263B96F1">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continue"/>
            <w:noWrap/>
            <w:vAlign w:val="center"/>
          </w:tcPr>
          <w:p w14:paraId="571A7131">
            <w:pPr>
              <w:ind w:left="0" w:leftChars="0" w:firstLine="0" w:firstLineChars="0"/>
              <w:rPr>
                <w:rFonts w:asciiTheme="minorEastAsia" w:hAnsiTheme="minorEastAsia" w:eastAsiaTheme="minorEastAsia" w:cstheme="minorEastAsia"/>
                <w:color w:val="000000"/>
                <w:szCs w:val="18"/>
                <w:highlight w:val="none"/>
              </w:rPr>
            </w:pPr>
          </w:p>
        </w:tc>
        <w:tc>
          <w:tcPr>
            <w:tcW w:w="4861" w:type="dxa"/>
            <w:vAlign w:val="center"/>
          </w:tcPr>
          <w:p w14:paraId="2C75563E">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2.依托数字孪生沙盘与总调度系统，可视化呈现资源分布与供需状态，实现资源的快速匹配与高效调度。</w:t>
            </w:r>
          </w:p>
        </w:tc>
      </w:tr>
      <w:tr w14:paraId="6D369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0" w:hRule="atLeast"/>
        </w:trPr>
        <w:tc>
          <w:tcPr>
            <w:tcW w:w="1662" w:type="dxa"/>
            <w:vMerge w:val="continue"/>
            <w:noWrap/>
            <w:vAlign w:val="center"/>
          </w:tcPr>
          <w:p w14:paraId="6E221B32">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restart"/>
            <w:noWrap/>
            <w:vAlign w:val="center"/>
          </w:tcPr>
          <w:p w14:paraId="2D7A44AD">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综合安防（北院）</w:t>
            </w:r>
          </w:p>
        </w:tc>
        <w:tc>
          <w:tcPr>
            <w:tcW w:w="4861" w:type="dxa"/>
            <w:vAlign w:val="center"/>
          </w:tcPr>
          <w:p w14:paraId="46A96FE6">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1.融合视频监控、门禁、周界防范等安防子系统，依托数字孪生模型构建一体化安防管理体系。</w:t>
            </w:r>
          </w:p>
        </w:tc>
      </w:tr>
      <w:tr w14:paraId="06BC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0" w:hRule="atLeast"/>
        </w:trPr>
        <w:tc>
          <w:tcPr>
            <w:tcW w:w="1662" w:type="dxa"/>
            <w:vMerge w:val="continue"/>
            <w:noWrap/>
            <w:vAlign w:val="center"/>
          </w:tcPr>
          <w:p w14:paraId="622E40CE">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continue"/>
            <w:noWrap/>
            <w:vAlign w:val="center"/>
          </w:tcPr>
          <w:p w14:paraId="237903EB">
            <w:pPr>
              <w:ind w:left="0" w:leftChars="0" w:firstLine="0" w:firstLineChars="0"/>
              <w:rPr>
                <w:rFonts w:asciiTheme="minorEastAsia" w:hAnsiTheme="minorEastAsia" w:eastAsiaTheme="minorEastAsia" w:cstheme="minorEastAsia"/>
                <w:color w:val="000000"/>
                <w:szCs w:val="18"/>
                <w:highlight w:val="none"/>
              </w:rPr>
            </w:pPr>
          </w:p>
        </w:tc>
        <w:tc>
          <w:tcPr>
            <w:tcW w:w="4861" w:type="dxa"/>
            <w:vAlign w:val="center"/>
          </w:tcPr>
          <w:p w14:paraId="7498031E">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2.标注摄像头位置及监控范围，支持实时调取视频流并与三维场景联动。</w:t>
            </w:r>
          </w:p>
        </w:tc>
      </w:tr>
      <w:tr w14:paraId="1C05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0B1F3D79">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continue"/>
            <w:noWrap/>
            <w:vAlign w:val="center"/>
          </w:tcPr>
          <w:p w14:paraId="48860028">
            <w:pPr>
              <w:ind w:left="0" w:leftChars="0" w:firstLine="0" w:firstLineChars="0"/>
              <w:rPr>
                <w:rFonts w:asciiTheme="minorEastAsia" w:hAnsiTheme="minorEastAsia" w:eastAsiaTheme="minorEastAsia" w:cstheme="minorEastAsia"/>
                <w:color w:val="000000"/>
                <w:szCs w:val="18"/>
                <w:highlight w:val="none"/>
              </w:rPr>
            </w:pPr>
          </w:p>
        </w:tc>
        <w:tc>
          <w:tcPr>
            <w:tcW w:w="4861" w:type="dxa"/>
            <w:vAlign w:val="center"/>
          </w:tcPr>
          <w:p w14:paraId="57C0D705">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3.实现周界入侵精准定位、异常事件视频复核及区域高亮标注；建立视频设备自动化巡检体系，完成设备运行状态全面检测。</w:t>
            </w:r>
          </w:p>
        </w:tc>
      </w:tr>
      <w:tr w14:paraId="522B5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24EA206F">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restart"/>
            <w:noWrap/>
            <w:vAlign w:val="center"/>
          </w:tcPr>
          <w:p w14:paraId="44EB09CE">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智慧消防（北院）</w:t>
            </w:r>
          </w:p>
        </w:tc>
        <w:tc>
          <w:tcPr>
            <w:tcW w:w="4861" w:type="dxa"/>
            <w:vAlign w:val="center"/>
          </w:tcPr>
          <w:p w14:paraId="07E4089E">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1.构建智慧消防管理体系，依托数字孪生模型，对各类消防相关设备进行空间定位及数字化标注，实时同步设备运行状态。</w:t>
            </w:r>
          </w:p>
        </w:tc>
      </w:tr>
      <w:tr w14:paraId="3CA10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635AD6BE">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continue"/>
            <w:noWrap/>
            <w:vAlign w:val="center"/>
          </w:tcPr>
          <w:p w14:paraId="2EED1596">
            <w:pPr>
              <w:ind w:left="0" w:leftChars="0" w:firstLine="0" w:firstLineChars="0"/>
              <w:rPr>
                <w:rFonts w:asciiTheme="minorEastAsia" w:hAnsiTheme="minorEastAsia" w:eastAsiaTheme="minorEastAsia" w:cstheme="minorEastAsia"/>
                <w:color w:val="000000"/>
                <w:szCs w:val="18"/>
                <w:highlight w:val="none"/>
              </w:rPr>
            </w:pPr>
          </w:p>
        </w:tc>
        <w:tc>
          <w:tcPr>
            <w:tcW w:w="4861" w:type="dxa"/>
            <w:vAlign w:val="center"/>
          </w:tcPr>
          <w:p w14:paraId="5861D7CF">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2.支持火警精准定位、视频联动复核，实现消防安全智能化管控，全面提升院区消防安全管理精细化、智能化水平，保障院区安全稳定运行。</w:t>
            </w:r>
          </w:p>
        </w:tc>
      </w:tr>
      <w:tr w14:paraId="0799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07E9F4B2">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restart"/>
            <w:noWrap/>
            <w:vAlign w:val="center"/>
          </w:tcPr>
          <w:p w14:paraId="355CFE5F">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异常行为检测（北院）</w:t>
            </w:r>
          </w:p>
        </w:tc>
        <w:tc>
          <w:tcPr>
            <w:tcW w:w="4861" w:type="dxa"/>
            <w:vAlign w:val="center"/>
          </w:tcPr>
          <w:p w14:paraId="4B9754B5">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1.依托医院数字孪生平台，构建重点保障设备监测体系，完成设备数字化建模、空间点位标注，实现设备位置精准映射。</w:t>
            </w:r>
          </w:p>
        </w:tc>
      </w:tr>
      <w:tr w14:paraId="46BB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0" w:hRule="atLeast"/>
        </w:trPr>
        <w:tc>
          <w:tcPr>
            <w:tcW w:w="1662" w:type="dxa"/>
            <w:vMerge w:val="continue"/>
            <w:noWrap/>
            <w:vAlign w:val="center"/>
          </w:tcPr>
          <w:p w14:paraId="27F250B1">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continue"/>
            <w:noWrap/>
            <w:vAlign w:val="center"/>
          </w:tcPr>
          <w:p w14:paraId="160E64AE">
            <w:pPr>
              <w:ind w:left="0" w:leftChars="0" w:firstLine="0" w:firstLineChars="0"/>
              <w:rPr>
                <w:rFonts w:asciiTheme="minorEastAsia" w:hAnsiTheme="minorEastAsia" w:eastAsiaTheme="minorEastAsia" w:cstheme="minorEastAsia"/>
                <w:color w:val="000000"/>
                <w:szCs w:val="18"/>
                <w:highlight w:val="none"/>
              </w:rPr>
            </w:pPr>
          </w:p>
        </w:tc>
        <w:tc>
          <w:tcPr>
            <w:tcW w:w="4861" w:type="dxa"/>
            <w:vAlign w:val="center"/>
          </w:tcPr>
          <w:p w14:paraId="41391A89">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2.支持设备基础信息、运行状态、告警信息的可视化呈现及交互查询，满足设备运维可视化管理需求。</w:t>
            </w:r>
          </w:p>
        </w:tc>
      </w:tr>
      <w:tr w14:paraId="71A6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31219D48">
            <w:pPr>
              <w:ind w:left="0" w:leftChars="0" w:firstLine="0" w:firstLineChars="0"/>
              <w:rPr>
                <w:rFonts w:asciiTheme="minorEastAsia" w:hAnsiTheme="minorEastAsia" w:eastAsiaTheme="minorEastAsia" w:cstheme="minorEastAsia"/>
                <w:color w:val="000000"/>
                <w:szCs w:val="18"/>
                <w:highlight w:val="none"/>
              </w:rPr>
            </w:pPr>
          </w:p>
        </w:tc>
        <w:tc>
          <w:tcPr>
            <w:tcW w:w="1813" w:type="dxa"/>
            <w:noWrap/>
            <w:vAlign w:val="center"/>
          </w:tcPr>
          <w:p w14:paraId="719BA0A1">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车辆停车管理（北院）</w:t>
            </w:r>
          </w:p>
        </w:tc>
        <w:tc>
          <w:tcPr>
            <w:tcW w:w="4861" w:type="dxa"/>
            <w:vAlign w:val="center"/>
          </w:tcPr>
          <w:p w14:paraId="7A6E39A5">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1.构建标准化停车场系统数据采集接口，对接现有停车场管理系统，采集车辆进出、车位使用、停车时长等核心数据，建立院内车辆停车管理体系，优化院区停车秩序，提升后勤服务保障能力。</w:t>
            </w:r>
          </w:p>
        </w:tc>
      </w:tr>
      <w:tr w14:paraId="78E4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0" w:hRule="atLeast"/>
        </w:trPr>
        <w:tc>
          <w:tcPr>
            <w:tcW w:w="1662" w:type="dxa"/>
            <w:vMerge w:val="continue"/>
            <w:noWrap/>
            <w:vAlign w:val="center"/>
          </w:tcPr>
          <w:p w14:paraId="175F0313">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restart"/>
            <w:noWrap/>
            <w:vAlign w:val="center"/>
          </w:tcPr>
          <w:p w14:paraId="33059DD6">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风险预案（北院）</w:t>
            </w:r>
          </w:p>
        </w:tc>
        <w:tc>
          <w:tcPr>
            <w:tcW w:w="4861" w:type="dxa"/>
            <w:vAlign w:val="center"/>
          </w:tcPr>
          <w:p w14:paraId="7984DB7A">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1.实现数字沙盘系统与风险预判系统无缝对接、深度融合，打破系统信息壁垒。</w:t>
            </w:r>
          </w:p>
        </w:tc>
      </w:tr>
      <w:tr w14:paraId="4719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7DD10590">
            <w:pPr>
              <w:ind w:left="0" w:leftChars="0" w:firstLine="0" w:firstLineChars="0"/>
              <w:rPr>
                <w:rFonts w:asciiTheme="minorEastAsia" w:hAnsiTheme="minorEastAsia" w:eastAsiaTheme="minorEastAsia" w:cstheme="minorEastAsia"/>
                <w:color w:val="000000"/>
                <w:szCs w:val="18"/>
                <w:highlight w:val="none"/>
              </w:rPr>
            </w:pPr>
          </w:p>
        </w:tc>
        <w:tc>
          <w:tcPr>
            <w:tcW w:w="1813" w:type="dxa"/>
            <w:vMerge w:val="continue"/>
            <w:noWrap/>
            <w:vAlign w:val="center"/>
          </w:tcPr>
          <w:p w14:paraId="56CF5687">
            <w:pPr>
              <w:ind w:left="0" w:leftChars="0" w:firstLine="0" w:firstLineChars="0"/>
              <w:rPr>
                <w:rFonts w:asciiTheme="minorEastAsia" w:hAnsiTheme="minorEastAsia" w:eastAsiaTheme="minorEastAsia" w:cstheme="minorEastAsia"/>
                <w:color w:val="000000"/>
                <w:szCs w:val="18"/>
                <w:highlight w:val="none"/>
              </w:rPr>
            </w:pPr>
          </w:p>
        </w:tc>
        <w:tc>
          <w:tcPr>
            <w:tcW w:w="4861" w:type="dxa"/>
            <w:vAlign w:val="center"/>
          </w:tcPr>
          <w:p w14:paraId="6B376490">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2.构建标准化数据传输共享链路，汇聚运营、安全、环境、设备等多源数据，实现集中管理与共享，为风险识别、预警及应急处置提供技术支撑。</w:t>
            </w:r>
          </w:p>
        </w:tc>
      </w:tr>
      <w:tr w14:paraId="3653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0" w:hRule="atLeast"/>
        </w:trPr>
        <w:tc>
          <w:tcPr>
            <w:tcW w:w="1662" w:type="dxa"/>
            <w:vMerge w:val="continue"/>
            <w:noWrap/>
            <w:vAlign w:val="center"/>
          </w:tcPr>
          <w:p w14:paraId="45FD1884">
            <w:pPr>
              <w:ind w:left="0" w:leftChars="0" w:firstLine="0" w:firstLineChars="0"/>
              <w:rPr>
                <w:rFonts w:asciiTheme="minorEastAsia" w:hAnsiTheme="minorEastAsia" w:eastAsiaTheme="minorEastAsia" w:cstheme="minorEastAsia"/>
                <w:color w:val="000000"/>
                <w:szCs w:val="18"/>
                <w:highlight w:val="none"/>
              </w:rPr>
            </w:pPr>
          </w:p>
        </w:tc>
        <w:tc>
          <w:tcPr>
            <w:tcW w:w="1813" w:type="dxa"/>
            <w:noWrap/>
            <w:vAlign w:val="center"/>
          </w:tcPr>
          <w:p w14:paraId="19A259DF">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风险分级（南北院）</w:t>
            </w:r>
          </w:p>
        </w:tc>
        <w:tc>
          <w:tcPr>
            <w:tcW w:w="4861" w:type="dxa"/>
            <w:vAlign w:val="center"/>
          </w:tcPr>
          <w:p w14:paraId="045E724B">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1.建立风险评估模型，融合历史风险与实时运营数据，动态可视化展示院区各关键区域风险等级。</w:t>
            </w:r>
          </w:p>
        </w:tc>
      </w:tr>
      <w:tr w14:paraId="7B2E7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60" w:hRule="atLeast"/>
        </w:trPr>
        <w:tc>
          <w:tcPr>
            <w:tcW w:w="1662" w:type="dxa"/>
            <w:noWrap/>
            <w:vAlign w:val="center"/>
          </w:tcPr>
          <w:p w14:paraId="361CE4C5">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智能体试点建设</w:t>
            </w:r>
          </w:p>
        </w:tc>
        <w:tc>
          <w:tcPr>
            <w:tcW w:w="1813" w:type="dxa"/>
            <w:noWrap/>
            <w:vAlign w:val="center"/>
          </w:tcPr>
          <w:p w14:paraId="0D8121CD">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AI智能问答</w:t>
            </w:r>
          </w:p>
        </w:tc>
        <w:tc>
          <w:tcPr>
            <w:tcW w:w="4861" w:type="dxa"/>
            <w:vAlign w:val="center"/>
          </w:tcPr>
          <w:p w14:paraId="2DFA6CD9">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1.搭建后勤综合智能知识库，归集制度流程、设备操作、能源物资等业务资料。</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2.运用自然语言处理与知识图谱，实现 7×24 小时智能问答，支持后勤业务咨询、故障排查及报修查询。</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3.配套完成数字沙盘大屏场景开发，实现后勤知识智能化管理。</w:t>
            </w:r>
          </w:p>
        </w:tc>
      </w:tr>
      <w:tr w14:paraId="7E77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60" w:hRule="atLeast"/>
        </w:trPr>
        <w:tc>
          <w:tcPr>
            <w:tcW w:w="1662" w:type="dxa"/>
            <w:vMerge w:val="restart"/>
            <w:noWrap/>
            <w:vAlign w:val="center"/>
          </w:tcPr>
          <w:p w14:paraId="4186DCFB">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安消一体平台</w:t>
            </w:r>
          </w:p>
        </w:tc>
        <w:tc>
          <w:tcPr>
            <w:tcW w:w="1813" w:type="dxa"/>
            <w:noWrap/>
            <w:vAlign w:val="center"/>
          </w:tcPr>
          <w:p w14:paraId="6DD86AF6">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消防报警</w:t>
            </w:r>
          </w:p>
        </w:tc>
        <w:tc>
          <w:tcPr>
            <w:tcW w:w="4861" w:type="dxa"/>
            <w:vAlign w:val="center"/>
          </w:tcPr>
          <w:p w14:paraId="228C6125">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1、能通过用户传输装置，接收消防报警信息，并联动声光警示</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2、能在平台内配置各消防设备的关联视频通道，在消防报警产生时，自动联动关联通道，弹出现场视频画面</w:t>
            </w:r>
          </w:p>
        </w:tc>
      </w:tr>
      <w:tr w14:paraId="671F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60" w:hRule="atLeast"/>
        </w:trPr>
        <w:tc>
          <w:tcPr>
            <w:tcW w:w="1662" w:type="dxa"/>
            <w:vMerge w:val="continue"/>
            <w:noWrap/>
            <w:vAlign w:val="center"/>
          </w:tcPr>
          <w:p w14:paraId="4C4F1036">
            <w:pPr>
              <w:ind w:left="0" w:leftChars="0" w:firstLine="0" w:firstLineChars="0"/>
              <w:rPr>
                <w:rFonts w:asciiTheme="minorEastAsia" w:hAnsiTheme="minorEastAsia" w:eastAsiaTheme="minorEastAsia" w:cstheme="minorEastAsia"/>
                <w:color w:val="000000"/>
                <w:szCs w:val="18"/>
                <w:highlight w:val="none"/>
              </w:rPr>
            </w:pPr>
          </w:p>
        </w:tc>
        <w:tc>
          <w:tcPr>
            <w:tcW w:w="1813" w:type="dxa"/>
            <w:noWrap/>
            <w:vAlign w:val="center"/>
          </w:tcPr>
          <w:p w14:paraId="102DBDB7">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入侵报警接入</w:t>
            </w:r>
          </w:p>
        </w:tc>
        <w:tc>
          <w:tcPr>
            <w:tcW w:w="4861" w:type="dxa"/>
            <w:vAlign w:val="center"/>
          </w:tcPr>
          <w:p w14:paraId="45D3BDA4">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1、能通过接入前端报警主机，接收常规入侵报警信息，并联动声光警示</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2、能在平台内配置各入侵报警设备的关联视频通道，在入侵报警产生时，自动联动关联通道，弹出现场视频画面</w:t>
            </w:r>
          </w:p>
        </w:tc>
      </w:tr>
      <w:tr w14:paraId="2135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760" w:hRule="atLeast"/>
        </w:trPr>
        <w:tc>
          <w:tcPr>
            <w:tcW w:w="1662" w:type="dxa"/>
            <w:vMerge w:val="continue"/>
            <w:noWrap/>
            <w:vAlign w:val="center"/>
          </w:tcPr>
          <w:p w14:paraId="30BCC0C0">
            <w:pPr>
              <w:ind w:left="0" w:leftChars="0" w:firstLine="0" w:firstLineChars="0"/>
              <w:rPr>
                <w:rFonts w:asciiTheme="minorEastAsia" w:hAnsiTheme="minorEastAsia" w:eastAsiaTheme="minorEastAsia" w:cstheme="minorEastAsia"/>
                <w:color w:val="000000"/>
                <w:szCs w:val="18"/>
                <w:highlight w:val="none"/>
              </w:rPr>
            </w:pPr>
          </w:p>
        </w:tc>
        <w:tc>
          <w:tcPr>
            <w:tcW w:w="1813" w:type="dxa"/>
            <w:noWrap/>
            <w:vAlign w:val="center"/>
          </w:tcPr>
          <w:p w14:paraId="543B41C4">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报警处置闭环管理</w:t>
            </w:r>
          </w:p>
        </w:tc>
        <w:tc>
          <w:tcPr>
            <w:tcW w:w="4861" w:type="dxa"/>
            <w:vAlign w:val="center"/>
          </w:tcPr>
          <w:p w14:paraId="0056E901">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1、能根据各报警类型，配置相应的报警处置预案动作</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2、能配置其他事件预案，可在报警预案不匹配的情况下供用户手动选择</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3、能按流程化报警预案按步骤对报警信息进行处置、提交处置结果，支持对报警处置过程信息进行留档</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4、能查看报警处置过程详情记录，可回溯报警处置过程，如报警处置时间、处置耗时、预案处置结果等</w:t>
            </w:r>
          </w:p>
        </w:tc>
      </w:tr>
      <w:tr w14:paraId="7B49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24" w:hRule="atLeast"/>
        </w:trPr>
        <w:tc>
          <w:tcPr>
            <w:tcW w:w="1662" w:type="dxa"/>
            <w:vMerge w:val="continue"/>
            <w:noWrap/>
            <w:vAlign w:val="center"/>
          </w:tcPr>
          <w:p w14:paraId="1AD460DA">
            <w:pPr>
              <w:ind w:left="0" w:leftChars="0" w:firstLine="0" w:firstLineChars="0"/>
              <w:rPr>
                <w:rFonts w:asciiTheme="minorEastAsia" w:hAnsiTheme="minorEastAsia" w:eastAsiaTheme="minorEastAsia" w:cstheme="minorEastAsia"/>
                <w:color w:val="000000"/>
                <w:szCs w:val="18"/>
                <w:highlight w:val="none"/>
              </w:rPr>
            </w:pPr>
          </w:p>
        </w:tc>
        <w:tc>
          <w:tcPr>
            <w:tcW w:w="1813" w:type="dxa"/>
            <w:noWrap/>
            <w:vAlign w:val="center"/>
          </w:tcPr>
          <w:p w14:paraId="60945380">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智能运维</w:t>
            </w:r>
          </w:p>
        </w:tc>
        <w:tc>
          <w:tcPr>
            <w:tcW w:w="4861" w:type="dxa"/>
            <w:vAlign w:val="center"/>
          </w:tcPr>
          <w:p w14:paraId="35543A34">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1、能添加接入录像机、摄像机信息，并能自动获取录像机下的所有设备通道信息</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2、能自定义配置本机各类型检测类型的巡检策略，自定义巡检周期及巡检时间段，平台、可按巡检策略自动检测各类型的故障</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3、能配置各设备、各类型算法参数的阈值</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4、能配置设备自动化同步的屏蔽策略</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5、能对设备在线状态、图像质量（图像模糊、雪花干扰、亮度异常等）、录像保存不足（录像缺录、录像保存天数不足）、硬盘异常（硬盘丢失、硬盘故障）进行自动周期性检测</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6、能在平台内通过实时消息及语音播报提醒故障信息，并在手机App端接收故障信息，查看故障详情</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7、能在App端一键生成工单，并推送至维保人员进行维修，跟踪维修进度及维修状态</w:t>
            </w:r>
          </w:p>
        </w:tc>
      </w:tr>
      <w:tr w14:paraId="551D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60" w:hRule="atLeast"/>
        </w:trPr>
        <w:tc>
          <w:tcPr>
            <w:tcW w:w="1662" w:type="dxa"/>
            <w:vMerge w:val="continue"/>
            <w:noWrap/>
            <w:vAlign w:val="center"/>
          </w:tcPr>
          <w:p w14:paraId="56ABED54">
            <w:pPr>
              <w:ind w:left="0" w:leftChars="0" w:firstLine="0" w:firstLineChars="0"/>
              <w:rPr>
                <w:rFonts w:asciiTheme="minorEastAsia" w:hAnsiTheme="minorEastAsia" w:eastAsiaTheme="minorEastAsia" w:cstheme="minorEastAsia"/>
                <w:color w:val="000000"/>
                <w:szCs w:val="18"/>
                <w:highlight w:val="none"/>
              </w:rPr>
            </w:pPr>
          </w:p>
        </w:tc>
        <w:tc>
          <w:tcPr>
            <w:tcW w:w="1813" w:type="dxa"/>
            <w:noWrap/>
            <w:vAlign w:val="center"/>
          </w:tcPr>
          <w:p w14:paraId="1CBC8DB4">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智能分析</w:t>
            </w:r>
          </w:p>
        </w:tc>
        <w:tc>
          <w:tcPr>
            <w:tcW w:w="4861" w:type="dxa"/>
            <w:vAlign w:val="center"/>
          </w:tcPr>
          <w:p w14:paraId="0894F23C">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1、能接入前端摄像机实时视频，分析人员异常行为（重点区域人员徘徊、人员纠纷与倒地、违规吸烟、人员闯入等），并推送报警信息</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2、能在智能分析报警产生时，自动联动关联通道，截取异常行为的画面及框选异常行为动作</w:t>
            </w:r>
          </w:p>
        </w:tc>
      </w:tr>
      <w:tr w14:paraId="6CD0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160" w:hRule="atLeast"/>
        </w:trPr>
        <w:tc>
          <w:tcPr>
            <w:tcW w:w="1662" w:type="dxa"/>
            <w:vMerge w:val="restart"/>
            <w:noWrap/>
            <w:vAlign w:val="center"/>
          </w:tcPr>
          <w:p w14:paraId="6A762E23">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数据治理及BI系统建设</w:t>
            </w:r>
          </w:p>
        </w:tc>
        <w:tc>
          <w:tcPr>
            <w:tcW w:w="1813" w:type="dxa"/>
            <w:noWrap/>
            <w:vAlign w:val="center"/>
          </w:tcPr>
          <w:p w14:paraId="52D4DA64">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数据治理</w:t>
            </w:r>
          </w:p>
        </w:tc>
        <w:tc>
          <w:tcPr>
            <w:tcW w:w="4861" w:type="dxa"/>
            <w:vAlign w:val="center"/>
          </w:tcPr>
          <w:p w14:paraId="4ACB1AD3">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1.解决后勤数据质量问题，提升数据可用性与决策价值。</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2.构建数据治理体系，实现后勤数据全生命周期闭环管理。</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3.治理范围覆盖后勤全业务六大类数据：设备资产、运维管理、能源环境、安消管控、物资供应、服务评价。</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4.生成的数据支撑预测性维护，支持后勤决策。</w:t>
            </w:r>
          </w:p>
        </w:tc>
      </w:tr>
      <w:tr w14:paraId="19032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160" w:hRule="atLeast"/>
        </w:trPr>
        <w:tc>
          <w:tcPr>
            <w:tcW w:w="1662" w:type="dxa"/>
            <w:vMerge w:val="continue"/>
            <w:noWrap/>
            <w:vAlign w:val="center"/>
          </w:tcPr>
          <w:p w14:paraId="25D7B46A">
            <w:pPr>
              <w:ind w:left="0" w:leftChars="0" w:firstLine="0" w:firstLineChars="0"/>
              <w:rPr>
                <w:rFonts w:asciiTheme="minorEastAsia" w:hAnsiTheme="minorEastAsia" w:eastAsiaTheme="minorEastAsia" w:cstheme="minorEastAsia"/>
                <w:color w:val="000000"/>
                <w:szCs w:val="18"/>
                <w:highlight w:val="none"/>
              </w:rPr>
            </w:pPr>
          </w:p>
        </w:tc>
        <w:tc>
          <w:tcPr>
            <w:tcW w:w="1813" w:type="dxa"/>
            <w:noWrap/>
            <w:vAlign w:val="center"/>
          </w:tcPr>
          <w:p w14:paraId="5F30FEED">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智能分析与应用支持</w:t>
            </w:r>
          </w:p>
        </w:tc>
        <w:tc>
          <w:tcPr>
            <w:tcW w:w="4861" w:type="dxa"/>
            <w:vAlign w:val="center"/>
          </w:tcPr>
          <w:p w14:paraId="75B0C1AE">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1.预测性维护：实现后勤设备故障预警，输出运维优化建议。</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2.资源优化分析：支持能耗智能管理、空间资源优化配置。</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3.风险模拟预警：具备安防、消防风险预测与模拟预警能力。</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4.依托数据治理及智能分析，盘活后勤数据资产，支撑精细化、智能化管理，提升后勤保障能力，优化运营成本。</w:t>
            </w:r>
          </w:p>
        </w:tc>
      </w:tr>
      <w:tr w14:paraId="314A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1662" w:type="dxa"/>
            <w:vMerge w:val="restart"/>
            <w:noWrap/>
            <w:vAlign w:val="center"/>
          </w:tcPr>
          <w:p w14:paraId="29CFAAFB">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知识库</w:t>
            </w:r>
          </w:p>
        </w:tc>
        <w:tc>
          <w:tcPr>
            <w:tcW w:w="1813" w:type="dxa"/>
            <w:noWrap/>
            <w:vAlign w:val="center"/>
          </w:tcPr>
          <w:p w14:paraId="1EDF2FA9">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多维知识库建设</w:t>
            </w:r>
          </w:p>
        </w:tc>
        <w:tc>
          <w:tcPr>
            <w:tcW w:w="4861" w:type="dxa"/>
            <w:vAlign w:val="center"/>
          </w:tcPr>
          <w:p w14:paraId="73341D04">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1.标准化管理：对照标准及医院制度，BPD梳理优化、消冲突。</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2.知识库构建：收集标准法规，构建后勤知识库。</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3.智能对比：自动对比标准与医院制度，识矛盾、提修订建议。</w:t>
            </w:r>
            <w:r>
              <w:rPr>
                <w:rFonts w:hint="eastAsia" w:asciiTheme="minorEastAsia" w:hAnsiTheme="minorEastAsia" w:eastAsiaTheme="minorEastAsia" w:cstheme="minorEastAsia"/>
                <w:color w:val="000000"/>
                <w:kern w:val="0"/>
                <w:szCs w:val="18"/>
                <w:highlight w:val="none"/>
                <w:lang w:bidi="ar"/>
              </w:rPr>
              <w:br w:type="textWrapping"/>
            </w:r>
            <w:r>
              <w:rPr>
                <w:rFonts w:hint="eastAsia" w:asciiTheme="minorEastAsia" w:hAnsiTheme="minorEastAsia" w:eastAsiaTheme="minorEastAsia" w:cstheme="minorEastAsia"/>
                <w:color w:val="000000"/>
                <w:kern w:val="0"/>
                <w:szCs w:val="18"/>
                <w:highlight w:val="none"/>
                <w:lang w:bidi="ar"/>
              </w:rPr>
              <w:t>4.多维度管理：标准分层、专业结构化建模，支持版本追溯。</w:t>
            </w:r>
          </w:p>
        </w:tc>
      </w:tr>
      <w:tr w14:paraId="5CF0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trPr>
        <w:tc>
          <w:tcPr>
            <w:tcW w:w="1662" w:type="dxa"/>
            <w:vMerge w:val="continue"/>
            <w:noWrap/>
            <w:vAlign w:val="center"/>
          </w:tcPr>
          <w:p w14:paraId="00C4DF60">
            <w:pPr>
              <w:ind w:left="0" w:leftChars="0" w:firstLine="0" w:firstLineChars="0"/>
              <w:rPr>
                <w:rFonts w:asciiTheme="minorEastAsia" w:hAnsiTheme="minorEastAsia" w:eastAsiaTheme="minorEastAsia" w:cstheme="minorEastAsia"/>
                <w:color w:val="000000"/>
                <w:szCs w:val="18"/>
                <w:highlight w:val="none"/>
              </w:rPr>
            </w:pPr>
          </w:p>
        </w:tc>
        <w:tc>
          <w:tcPr>
            <w:tcW w:w="1813" w:type="dxa"/>
            <w:noWrap/>
            <w:vAlign w:val="center"/>
          </w:tcPr>
          <w:p w14:paraId="1BBA1D79">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智能比对与差异分析</w:t>
            </w:r>
          </w:p>
        </w:tc>
        <w:tc>
          <w:tcPr>
            <w:tcW w:w="4861" w:type="dxa"/>
            <w:vAlign w:val="center"/>
          </w:tcPr>
          <w:p w14:paraId="4E097C41">
            <w:pPr>
              <w:ind w:left="0" w:leftChars="0" w:firstLine="0" w:firstLineChars="0"/>
              <w:textAlignment w:val="center"/>
              <w:rPr>
                <w:rFonts w:asciiTheme="minorEastAsia" w:hAnsiTheme="minorEastAsia" w:eastAsiaTheme="minorEastAsia" w:cstheme="minorEastAsia"/>
                <w:color w:val="000000"/>
                <w:szCs w:val="18"/>
                <w:highlight w:val="none"/>
              </w:rPr>
            </w:pPr>
            <w:r>
              <w:rPr>
                <w:rFonts w:hint="eastAsia" w:asciiTheme="minorEastAsia" w:hAnsiTheme="minorEastAsia" w:eastAsiaTheme="minorEastAsia" w:cstheme="minorEastAsia"/>
                <w:color w:val="000000"/>
                <w:kern w:val="0"/>
                <w:szCs w:val="18"/>
                <w:highlight w:val="none"/>
                <w:lang w:bidi="ar"/>
              </w:rPr>
              <w:t>1.支持自动冲突检测功能，通过语义识别匹配相似条款，可自动识别标准与制度在参数要求、执行频次、责任主体等方面的矛盾冲突点。</w:t>
            </w:r>
          </w:p>
        </w:tc>
      </w:tr>
    </w:tbl>
    <w:p w14:paraId="0119CB55">
      <w:pPr>
        <w:rPr>
          <w:rFonts w:hint="eastAsia" w:eastAsia="宋体"/>
          <w:highlight w:val="none"/>
          <w:lang w:eastAsia="zh-CN"/>
        </w:rPr>
      </w:pPr>
      <w:r>
        <w:rPr>
          <w:rFonts w:hint="eastAsia"/>
          <w:color w:val="000000"/>
          <w:highlight w:val="none"/>
          <w:lang w:bidi="ar"/>
        </w:rPr>
        <w:t>▲</w:t>
      </w:r>
      <w:r>
        <w:rPr>
          <w:rFonts w:hint="eastAsia"/>
          <w:highlight w:val="none"/>
        </w:rPr>
        <w:t>技术支持资料以制造商公开发布的印刷资料（产品彩页、产品说明书、产品白皮书、官网截图）、</w:t>
      </w:r>
      <w:r>
        <w:rPr>
          <w:rFonts w:hint="eastAsia"/>
          <w:highlight w:val="none"/>
          <w:lang w:eastAsia="zh-CN"/>
        </w:rPr>
        <w:t>产品功能</w:t>
      </w:r>
      <w:r>
        <w:rPr>
          <w:rFonts w:hint="eastAsia"/>
          <w:highlight w:val="none"/>
        </w:rPr>
        <w:t>界面截图、第三方检测机构出具的检测报告或在有效期内的证书扫描件等为准，相关性能指标需以醒目的方式标明招标文件技术要求对应的</w:t>
      </w:r>
      <w:r>
        <w:rPr>
          <w:rFonts w:hint="eastAsia"/>
          <w:highlight w:val="none"/>
          <w:lang w:eastAsia="zh-CN"/>
        </w:rPr>
        <w:t>内容。</w:t>
      </w:r>
    </w:p>
    <w:p w14:paraId="7781CBDF">
      <w:pPr>
        <w:pStyle w:val="2"/>
        <w:rPr>
          <w:highlight w:val="none"/>
        </w:rPr>
      </w:pPr>
      <w:r>
        <w:rPr>
          <w:rFonts w:hint="eastAsia"/>
          <w:highlight w:val="none"/>
        </w:rPr>
        <w:t>其他工作要求</w:t>
      </w:r>
      <w:bookmarkEnd w:id="11"/>
    </w:p>
    <w:p w14:paraId="531067D7">
      <w:pPr>
        <w:pStyle w:val="3"/>
        <w:rPr>
          <w:rFonts w:hint="eastAsia"/>
          <w:highlight w:val="none"/>
        </w:rPr>
      </w:pPr>
      <w:r>
        <w:rPr>
          <w:rFonts w:hint="eastAsia"/>
          <w:highlight w:val="none"/>
        </w:rPr>
        <w:t>多元算力基座运维服务要求</w:t>
      </w:r>
    </w:p>
    <w:p w14:paraId="0CB32FAF">
      <w:pPr>
        <w:rPr>
          <w:highlight w:val="none"/>
          <w:lang w:bidi="ar"/>
        </w:rPr>
      </w:pPr>
      <w:bookmarkStart w:id="14" w:name="_Toc62219358"/>
      <w:bookmarkEnd w:id="14"/>
      <w:bookmarkStart w:id="15" w:name="_Toc63785504"/>
      <w:bookmarkEnd w:id="15"/>
      <w:bookmarkStart w:id="16" w:name="_Toc63762370"/>
      <w:bookmarkEnd w:id="16"/>
      <w:bookmarkStart w:id="17" w:name="_Toc63785439"/>
      <w:bookmarkEnd w:id="17"/>
      <w:bookmarkStart w:id="18" w:name="_Toc62209488"/>
      <w:bookmarkEnd w:id="18"/>
      <w:bookmarkStart w:id="19" w:name="_Toc61968111"/>
      <w:bookmarkEnd w:id="19"/>
      <w:bookmarkStart w:id="20" w:name="_Toc63151871"/>
      <w:bookmarkEnd w:id="20"/>
      <w:bookmarkStart w:id="21" w:name="_Toc63585480"/>
      <w:bookmarkEnd w:id="21"/>
      <w:r>
        <w:rPr>
          <w:rFonts w:hint="eastAsia"/>
          <w:highlight w:val="none"/>
          <w:lang w:bidi="ar"/>
        </w:rPr>
        <w:t>按照上海市第一人民医院对算力服务的实际需求，提供全周期交付、专家支撑、极速响应、持续运营服务，保障算力平台与资源稳定、高效、安全运行。</w:t>
      </w:r>
    </w:p>
    <w:p w14:paraId="2EEE4AA6">
      <w:pPr>
        <w:rPr>
          <w:highlight w:val="none"/>
          <w:lang w:bidi="ar"/>
        </w:rPr>
      </w:pPr>
      <w:r>
        <w:rPr>
          <w:rFonts w:hint="eastAsia"/>
          <w:highlight w:val="none"/>
          <w:lang w:bidi="ar"/>
        </w:rPr>
        <w:t xml:space="preserve">7.1.1 </w:t>
      </w:r>
      <w:r>
        <w:rPr>
          <w:highlight w:val="none"/>
          <w:lang w:bidi="ar"/>
        </w:rPr>
        <w:t>基础要求</w:t>
      </w:r>
    </w:p>
    <w:p w14:paraId="06B29F98">
      <w:pPr>
        <w:rPr>
          <w:highlight w:val="none"/>
          <w:lang w:bidi="ar"/>
        </w:rPr>
      </w:pPr>
      <w:r>
        <w:rPr>
          <w:highlight w:val="none"/>
          <w:lang w:bidi="ar"/>
        </w:rPr>
        <w:t>（1）快速交付：接到资源开通需求后2 小时内响应，72 小时内完成资源开通与可用验证，满足临床与科研的突发性需求。</w:t>
      </w:r>
    </w:p>
    <w:p w14:paraId="0DA1432B">
      <w:pPr>
        <w:rPr>
          <w:highlight w:val="none"/>
          <w:lang w:bidi="ar"/>
        </w:rPr>
      </w:pPr>
      <w:r>
        <w:rPr>
          <w:highlight w:val="none"/>
          <w:lang w:bidi="ar"/>
        </w:rPr>
        <w:t>（2）一体化交付：提供平台部署、算力接入、网络打通、安全策略配置、权限初始化、院内系统对接的一站式交付。</w:t>
      </w:r>
    </w:p>
    <w:p w14:paraId="7E9A7DE4">
      <w:pPr>
        <w:rPr>
          <w:highlight w:val="none"/>
          <w:lang w:bidi="ar"/>
        </w:rPr>
      </w:pPr>
      <w:r>
        <w:rPr>
          <w:highlight w:val="none"/>
          <w:lang w:bidi="ar"/>
        </w:rPr>
        <w:t>（3）验收标准：完成功能验证、性能压测、安全合规检测、多院区联调，系统稳定运行 1 个月后组织最终验收。</w:t>
      </w:r>
    </w:p>
    <w:p w14:paraId="07DC99A7">
      <w:pPr>
        <w:rPr>
          <w:highlight w:val="none"/>
          <w:lang w:bidi="ar"/>
        </w:rPr>
      </w:pPr>
      <w:r>
        <w:rPr>
          <w:highlight w:val="none"/>
          <w:lang w:bidi="ar"/>
        </w:rPr>
        <w:t>（4）文档与培训：交付完整技术文档、运维手册、操作指南；提供平台操作、算力使用、模型部署、安全运维等专项培训。</w:t>
      </w:r>
    </w:p>
    <w:p w14:paraId="34FF5EE1">
      <w:pPr>
        <w:rPr>
          <w:highlight w:val="none"/>
          <w:lang w:bidi="ar"/>
        </w:rPr>
      </w:pPr>
      <w:r>
        <w:rPr>
          <w:highlight w:val="none"/>
          <w:lang w:bidi="ar"/>
        </w:rPr>
        <w:t>（5）专家组指导：高级技术专家组成项目专家组，对整个项目运营过程提供技术咨询和实施指导意见。</w:t>
      </w:r>
    </w:p>
    <w:p w14:paraId="43E7B4F4">
      <w:pPr>
        <w:rPr>
          <w:highlight w:val="none"/>
          <w:lang w:bidi="ar"/>
        </w:rPr>
      </w:pPr>
      <w:r>
        <w:rPr>
          <w:rFonts w:hint="eastAsia"/>
          <w:highlight w:val="none"/>
          <w:lang w:bidi="ar"/>
        </w:rPr>
        <w:t xml:space="preserve">7.1.2  </w:t>
      </w:r>
      <w:r>
        <w:rPr>
          <w:highlight w:val="none"/>
          <w:lang w:bidi="ar"/>
        </w:rPr>
        <w:t>运营运维服务要求</w:t>
      </w:r>
    </w:p>
    <w:p w14:paraId="2B15DEF7">
      <w:pPr>
        <w:rPr>
          <w:highlight w:val="none"/>
          <w:lang w:bidi="ar"/>
        </w:rPr>
      </w:pPr>
      <w:r>
        <w:rPr>
          <w:highlight w:val="none"/>
          <w:lang w:bidi="ar"/>
        </w:rPr>
        <w:t>（1）7×24 小时运维：专业团队值守，提供对平台的管理节点、计算节点、存储节点、网络节点、安全池节点等云基座底层设施运行状态以及云平台等软硬件的7×24小时实时监控运维支撑服务。</w:t>
      </w:r>
    </w:p>
    <w:p w14:paraId="011779E8">
      <w:pPr>
        <w:rPr>
          <w:highlight w:val="none"/>
          <w:lang w:bidi="ar"/>
        </w:rPr>
      </w:pPr>
      <w:r>
        <w:rPr>
          <w:highlight w:val="none"/>
          <w:lang w:bidi="ar"/>
        </w:rPr>
        <w:t>（2）极速响应机制</w:t>
      </w:r>
    </w:p>
    <w:p w14:paraId="7CAC7A64">
      <w:pPr>
        <w:rPr>
          <w:highlight w:val="none"/>
          <w:lang w:bidi="ar"/>
        </w:rPr>
      </w:pPr>
      <w:r>
        <w:rPr>
          <w:highlight w:val="none"/>
          <w:lang w:bidi="ar"/>
        </w:rPr>
        <w:t>资源开通需求：整体一体化算力服务需求应在2 小时内响应，72小时内开通。</w:t>
      </w:r>
    </w:p>
    <w:p w14:paraId="7FE0489C">
      <w:pPr>
        <w:rPr>
          <w:highlight w:val="none"/>
          <w:lang w:bidi="ar"/>
        </w:rPr>
      </w:pPr>
      <w:r>
        <w:rPr>
          <w:highlight w:val="none"/>
          <w:lang w:bidi="ar"/>
        </w:rPr>
        <w:t>故障响应：对系统故障应能够实时响应，并在 10 分钟内通知。若系统/硬件发生故障，接到通知后 30 分钟之内响应，专业工程师 4 小时内到达现场，及时进行硬件故障处置。</w:t>
      </w:r>
    </w:p>
    <w:p w14:paraId="0A9FC269">
      <w:pPr>
        <w:rPr>
          <w:highlight w:val="none"/>
          <w:lang w:bidi="ar"/>
        </w:rPr>
      </w:pPr>
      <w:r>
        <w:rPr>
          <w:highlight w:val="none"/>
          <w:lang w:bidi="ar"/>
        </w:rPr>
        <w:t>专属运维保障</w:t>
      </w:r>
      <w:r>
        <w:rPr>
          <w:rFonts w:hint="eastAsia"/>
          <w:highlight w:val="none"/>
          <w:lang w:bidi="ar"/>
        </w:rPr>
        <w:t>：</w:t>
      </w:r>
      <w:r>
        <w:rPr>
          <w:highlight w:val="none"/>
          <w:lang w:bidi="ar"/>
        </w:rPr>
        <w:t>专属运维团队包括有丰富医疗行业经验的系统工程师、运维、测试工程师及架构师等。提供算力资源管控、状态监控、定期巡检、硬件保修与更换。支持操作系统、GPU 驱动、AI 框架等定制化配置与优化。重大活动、业务高峰期提供专项保障与驻场支持。</w:t>
      </w:r>
    </w:p>
    <w:p w14:paraId="2DF1DE3C">
      <w:pPr>
        <w:rPr>
          <w:highlight w:val="none"/>
          <w:lang w:bidi="ar"/>
        </w:rPr>
      </w:pPr>
      <w:r>
        <w:rPr>
          <w:highlight w:val="none"/>
          <w:lang w:bidi="ar"/>
        </w:rPr>
        <w:t>（</w:t>
      </w:r>
      <w:r>
        <w:rPr>
          <w:rFonts w:hint="eastAsia"/>
          <w:highlight w:val="none"/>
          <w:lang w:bidi="ar"/>
        </w:rPr>
        <w:t>3</w:t>
      </w:r>
      <w:r>
        <w:rPr>
          <w:highlight w:val="none"/>
          <w:lang w:bidi="ar"/>
        </w:rPr>
        <w:t>）持续运营优化</w:t>
      </w:r>
    </w:p>
    <w:p w14:paraId="32E75E18">
      <w:pPr>
        <w:rPr>
          <w:highlight w:val="none"/>
          <w:lang w:bidi="ar"/>
        </w:rPr>
      </w:pPr>
      <w:r>
        <w:rPr>
          <w:highlight w:val="none"/>
          <w:lang w:bidi="ar"/>
        </w:rPr>
        <w:t>定期输出算力使用报告、资源利用率分析、成本优化建议。持续迭代平台功能，适配医院新业务与新场景需求。</w:t>
      </w:r>
    </w:p>
    <w:p w14:paraId="71117E55">
      <w:pPr>
        <w:rPr>
          <w:highlight w:val="none"/>
          <w:lang w:bidi="ar"/>
        </w:rPr>
      </w:pPr>
      <w:r>
        <w:rPr>
          <w:highlight w:val="none"/>
          <w:lang w:bidi="ar"/>
        </w:rPr>
        <w:t>快速响应对操作系统和GPU驱动、计算框架等定制化配置，满足业务的多样性需求。</w:t>
      </w:r>
    </w:p>
    <w:p w14:paraId="472864E3">
      <w:pPr>
        <w:rPr>
          <w:highlight w:val="none"/>
          <w:lang w:bidi="ar"/>
        </w:rPr>
      </w:pPr>
      <w:r>
        <w:rPr>
          <w:rFonts w:hint="eastAsia"/>
          <w:highlight w:val="none"/>
          <w:lang w:bidi="ar"/>
        </w:rPr>
        <w:t xml:space="preserve">7.1.3  </w:t>
      </w:r>
      <w:r>
        <w:rPr>
          <w:highlight w:val="none"/>
          <w:lang w:bidi="ar"/>
        </w:rPr>
        <w:t>专家咨询与模型适配服务</w:t>
      </w:r>
    </w:p>
    <w:p w14:paraId="73B3226B">
      <w:pPr>
        <w:rPr>
          <w:highlight w:val="none"/>
          <w:lang w:bidi="ar"/>
        </w:rPr>
      </w:pPr>
      <w:r>
        <w:rPr>
          <w:highlight w:val="none"/>
          <w:lang w:bidi="ar"/>
        </w:rPr>
        <w:t>（1）AI 专家咨询：提供医疗大模型选型、训练策略、推理优化、分布式训练架构设计等专家指导。</w:t>
      </w:r>
    </w:p>
    <w:p w14:paraId="3A3C476D">
      <w:pPr>
        <w:rPr>
          <w:highlight w:val="none"/>
          <w:lang w:bidi="ar"/>
        </w:rPr>
      </w:pPr>
      <w:r>
        <w:rPr>
          <w:highlight w:val="none"/>
          <w:lang w:bidi="ar"/>
        </w:rPr>
        <w:t>（2）模型适配指导：协助院内模型与 GPU / 国产算卡适配、环境部署、参数调优、性能瓶颈分析。</w:t>
      </w:r>
    </w:p>
    <w:p w14:paraId="358CF14C">
      <w:pPr>
        <w:rPr>
          <w:highlight w:val="none"/>
          <w:lang w:bidi="ar"/>
        </w:rPr>
      </w:pPr>
      <w:r>
        <w:rPr>
          <w:highlight w:val="none"/>
          <w:lang w:bidi="ar"/>
        </w:rPr>
        <w:t>（3）场景化方案：针对影像 AI、临床 NLP、科研数据挖掘等场景，提供算力配置、存储选型、网络规划定制方案。</w:t>
      </w:r>
    </w:p>
    <w:p w14:paraId="7B11BC22">
      <w:pPr>
        <w:rPr>
          <w:highlight w:val="none"/>
          <w:lang w:bidi="ar"/>
        </w:rPr>
      </w:pPr>
      <w:r>
        <w:rPr>
          <w:highlight w:val="none"/>
          <w:lang w:bidi="ar"/>
        </w:rPr>
        <w:t>（4）合规咨询：提供等保三级、医疗数据安全、隐私保护等合规落地指导。</w:t>
      </w:r>
    </w:p>
    <w:p w14:paraId="726B6826">
      <w:pPr>
        <w:rPr>
          <w:highlight w:val="none"/>
          <w:lang w:bidi="ar"/>
        </w:rPr>
      </w:pPr>
      <w:r>
        <w:rPr>
          <w:rFonts w:hint="eastAsia"/>
          <w:highlight w:val="none"/>
          <w:lang w:bidi="ar"/>
        </w:rPr>
        <w:t xml:space="preserve">7.1.4  </w:t>
      </w:r>
      <w:r>
        <w:rPr>
          <w:highlight w:val="none"/>
          <w:lang w:bidi="ar"/>
        </w:rPr>
        <w:t>服务质量承诺要求</w:t>
      </w:r>
    </w:p>
    <w:p w14:paraId="1D876721">
      <w:pPr>
        <w:rPr>
          <w:highlight w:val="none"/>
          <w:lang w:bidi="ar"/>
        </w:rPr>
      </w:pPr>
      <w:r>
        <w:rPr>
          <w:highlight w:val="none"/>
          <w:lang w:bidi="ar"/>
        </w:rPr>
        <w:t>（1）提供明确的算力服务的SLA 与违约条款，保障使用方权益。</w:t>
      </w:r>
    </w:p>
    <w:p w14:paraId="6E8C1110">
      <w:pPr>
        <w:rPr>
          <w:highlight w:val="none"/>
          <w:lang w:bidi="ar"/>
        </w:rPr>
      </w:pPr>
      <w:r>
        <w:rPr>
          <w:highlight w:val="none"/>
          <w:lang w:bidi="ar"/>
        </w:rPr>
        <w:t>（2）平台存储服务可用性应≥99.95%，数据持久性≥99.99999999%。</w:t>
      </w:r>
    </w:p>
    <w:p w14:paraId="4D16A64B">
      <w:pPr>
        <w:rPr>
          <w:rFonts w:hint="eastAsia"/>
          <w:highlight w:val="none"/>
          <w:lang w:bidi="ar"/>
        </w:rPr>
      </w:pPr>
      <w:r>
        <w:rPr>
          <w:highlight w:val="none"/>
          <w:lang w:bidi="ar"/>
        </w:rPr>
        <w:t>（3）严格遵守医疗数据安全与隐私保护法规，确保数据不泄露、不滥用。</w:t>
      </w:r>
    </w:p>
    <w:p w14:paraId="513900B9">
      <w:pPr>
        <w:pStyle w:val="3"/>
        <w:rPr>
          <w:highlight w:val="none"/>
        </w:rPr>
      </w:pPr>
      <w:bookmarkStart w:id="22" w:name="_Toc63785505"/>
      <w:r>
        <w:rPr>
          <w:rFonts w:hint="eastAsia"/>
          <w:highlight w:val="none"/>
        </w:rPr>
        <w:t>售后服务要求</w:t>
      </w:r>
      <w:bookmarkEnd w:id="22"/>
    </w:p>
    <w:p w14:paraId="6E355460">
      <w:pPr>
        <w:pStyle w:val="15"/>
        <w:numPr>
          <w:ilvl w:val="0"/>
          <w:numId w:val="3"/>
        </w:numPr>
        <w:ind w:firstLineChars="0"/>
        <w:rPr>
          <w:highlight w:val="none"/>
        </w:rPr>
      </w:pPr>
      <w:r>
        <w:rPr>
          <w:rFonts w:hint="eastAsia"/>
          <w:highlight w:val="none"/>
        </w:rPr>
        <w:t>本项目整体软件质保期为</w:t>
      </w:r>
      <w:r>
        <w:rPr>
          <w:highlight w:val="none"/>
        </w:rPr>
        <w:t>1</w:t>
      </w:r>
      <w:r>
        <w:rPr>
          <w:rFonts w:hint="eastAsia"/>
          <w:highlight w:val="none"/>
        </w:rPr>
        <w:t>年，硬件质保期为3年。</w:t>
      </w:r>
    </w:p>
    <w:p w14:paraId="432E4DA4">
      <w:pPr>
        <w:pStyle w:val="15"/>
        <w:numPr>
          <w:ilvl w:val="0"/>
          <w:numId w:val="3"/>
        </w:numPr>
        <w:ind w:firstLineChars="0"/>
        <w:rPr>
          <w:highlight w:val="none"/>
        </w:rPr>
      </w:pPr>
      <w:r>
        <w:rPr>
          <w:rFonts w:hint="eastAsia"/>
          <w:highlight w:val="none"/>
        </w:rPr>
        <w:t>本项目从系统验收通过之日起1年内提供</w:t>
      </w:r>
      <w:r>
        <w:rPr>
          <w:highlight w:val="none"/>
        </w:rPr>
        <w:t>7*24小时免费技术支持</w:t>
      </w:r>
      <w:r>
        <w:rPr>
          <w:rFonts w:hint="eastAsia"/>
          <w:highlight w:val="none"/>
        </w:rPr>
        <w:t>和售后服务，1年后进入有偿维护期。</w:t>
      </w:r>
    </w:p>
    <w:p w14:paraId="037C43C8">
      <w:pPr>
        <w:pStyle w:val="15"/>
        <w:numPr>
          <w:ilvl w:val="0"/>
          <w:numId w:val="3"/>
        </w:numPr>
        <w:ind w:firstLineChars="0"/>
        <w:rPr>
          <w:highlight w:val="none"/>
        </w:rPr>
      </w:pPr>
      <w:r>
        <w:rPr>
          <w:rFonts w:hint="eastAsia"/>
          <w:highlight w:val="none"/>
        </w:rPr>
        <w:t>在质量保证期内，供应商将按照售后服务的承诺提供保修和运行维护服务。</w:t>
      </w:r>
    </w:p>
    <w:p w14:paraId="38BA35AE">
      <w:pPr>
        <w:pStyle w:val="15"/>
        <w:numPr>
          <w:ilvl w:val="0"/>
          <w:numId w:val="3"/>
        </w:numPr>
        <w:ind w:firstLineChars="0"/>
        <w:rPr>
          <w:highlight w:val="none"/>
        </w:rPr>
      </w:pPr>
      <w:r>
        <w:rPr>
          <w:rFonts w:hint="eastAsia"/>
          <w:highlight w:val="none"/>
        </w:rPr>
        <w:t>在质量保证期内，供应商负责信息系统的运行维护工作，确保信息系统安全、稳定、可靠地运行。</w:t>
      </w:r>
    </w:p>
    <w:p w14:paraId="5AAA26A1">
      <w:pPr>
        <w:pStyle w:val="3"/>
        <w:rPr>
          <w:highlight w:val="none"/>
        </w:rPr>
      </w:pPr>
      <w:bookmarkStart w:id="23" w:name="_Toc63785506"/>
      <w:r>
        <w:rPr>
          <w:rFonts w:hint="eastAsia"/>
          <w:highlight w:val="none"/>
        </w:rPr>
        <w:t>应急响应要求</w:t>
      </w:r>
      <w:bookmarkEnd w:id="23"/>
    </w:p>
    <w:p w14:paraId="4C98E733">
      <w:pPr>
        <w:rPr>
          <w:rFonts w:hint="eastAsia" w:ascii="宋体" w:hAnsi="宋体" w:eastAsia="宋体"/>
          <w:highlight w:val="none"/>
        </w:rPr>
      </w:pPr>
      <w:r>
        <w:rPr>
          <w:rFonts w:hint="eastAsia" w:ascii="宋体" w:hAnsi="宋体" w:eastAsia="宋体"/>
          <w:highlight w:val="none"/>
        </w:rPr>
        <w:t>供应商对系统故障应能够实时响应，若系统发生故障，接到通知后30分钟之内响应，专业工程师2小时内到达现场。特殊故障与客户沟通协商后，按照协商的方式制定解决方案并进行处理。</w:t>
      </w:r>
    </w:p>
    <w:p w14:paraId="20EA5AE8">
      <w:pPr>
        <w:rPr>
          <w:rFonts w:hint="eastAsia" w:ascii="宋体" w:hAnsi="宋体" w:eastAsia="宋体"/>
          <w:highlight w:val="none"/>
        </w:rPr>
      </w:pPr>
      <w:r>
        <w:rPr>
          <w:rFonts w:hint="eastAsia" w:ascii="宋体" w:hAnsi="宋体" w:eastAsia="宋体"/>
          <w:highlight w:val="none"/>
        </w:rPr>
        <w:t>具体故障级别及对应的应急响应要求如下：</w:t>
      </w:r>
    </w:p>
    <w:p w14:paraId="59AE45C7">
      <w:pPr>
        <w:rPr>
          <w:rFonts w:hint="eastAsia" w:ascii="宋体" w:hAnsi="宋体" w:eastAsia="宋体"/>
          <w:highlight w:val="none"/>
        </w:rPr>
      </w:pPr>
      <w:r>
        <w:rPr>
          <w:rFonts w:hint="eastAsia" w:ascii="宋体" w:hAnsi="宋体" w:eastAsia="宋体"/>
          <w:highlight w:val="none"/>
        </w:rPr>
        <w:t>一级故障：在1小时内确诊，总故障解决时间不超过4小时。</w:t>
      </w:r>
    </w:p>
    <w:p w14:paraId="0DB7D8C9">
      <w:pPr>
        <w:rPr>
          <w:rFonts w:hint="eastAsia" w:ascii="宋体" w:hAnsi="宋体" w:eastAsia="宋体"/>
          <w:highlight w:val="none"/>
        </w:rPr>
      </w:pPr>
      <w:r>
        <w:rPr>
          <w:rFonts w:hint="eastAsia" w:ascii="宋体" w:hAnsi="宋体" w:eastAsia="宋体"/>
          <w:highlight w:val="none"/>
        </w:rPr>
        <w:t>二级故障：在2小时内确诊，并在4小时内由专家到达现场确诊并解决，总故障解决时间不超过8小时；</w:t>
      </w:r>
    </w:p>
    <w:p w14:paraId="6104434D">
      <w:pPr>
        <w:rPr>
          <w:rFonts w:hint="eastAsia" w:ascii="宋体" w:hAnsi="宋体" w:eastAsia="宋体"/>
          <w:highlight w:val="none"/>
        </w:rPr>
      </w:pPr>
      <w:r>
        <w:rPr>
          <w:rFonts w:hint="eastAsia" w:ascii="宋体" w:hAnsi="宋体" w:eastAsia="宋体"/>
          <w:highlight w:val="none"/>
        </w:rPr>
        <w:t>三、四级故障：在4小时内确诊故障，总故障解决时间不超过16小时。</w:t>
      </w:r>
    </w:p>
    <w:p w14:paraId="7B96C838">
      <w:pPr>
        <w:pStyle w:val="3"/>
        <w:rPr>
          <w:highlight w:val="none"/>
        </w:rPr>
      </w:pPr>
      <w:bookmarkStart w:id="24" w:name="_Toc63785507"/>
      <w:r>
        <w:rPr>
          <w:rFonts w:hint="eastAsia"/>
          <w:highlight w:val="none"/>
        </w:rPr>
        <w:t>培训要求</w:t>
      </w:r>
      <w:bookmarkEnd w:id="24"/>
    </w:p>
    <w:p w14:paraId="1C77C832">
      <w:pPr>
        <w:rPr>
          <w:highlight w:val="none"/>
        </w:rPr>
      </w:pPr>
      <w:bookmarkStart w:id="25" w:name="_Toc63785509"/>
      <w:r>
        <w:rPr>
          <w:rFonts w:hint="eastAsia"/>
          <w:highlight w:val="none"/>
        </w:rPr>
        <w:t>提供详细的项目培训计划及方案，具体要求如下：</w:t>
      </w:r>
    </w:p>
    <w:p w14:paraId="3A47DC30">
      <w:pPr>
        <w:rPr>
          <w:highlight w:val="none"/>
        </w:rPr>
      </w:pPr>
      <w:r>
        <w:rPr>
          <w:rFonts w:hint="eastAsia"/>
          <w:highlight w:val="none"/>
        </w:rPr>
        <w:t>1.培训方案中需提供对系统使用人员、系统运行维护管理人员等不同对象的培训计划。</w:t>
      </w:r>
    </w:p>
    <w:p w14:paraId="71D6F5DA">
      <w:pPr>
        <w:rPr>
          <w:highlight w:val="none"/>
        </w:rPr>
      </w:pPr>
      <w:r>
        <w:rPr>
          <w:rFonts w:hint="eastAsia"/>
          <w:highlight w:val="none"/>
        </w:rPr>
        <w:t>2.培训方案中需包含培训课程安排、培训方式、培训教材、培训时间等进行说明。</w:t>
      </w:r>
    </w:p>
    <w:p w14:paraId="5EA292EC">
      <w:pPr>
        <w:rPr>
          <w:highlight w:val="none"/>
        </w:rPr>
      </w:pPr>
      <w:r>
        <w:rPr>
          <w:rFonts w:hint="eastAsia"/>
          <w:highlight w:val="none"/>
        </w:rPr>
        <w:t>3.中标人需提供系统操作培训，操作培训主要是面向上海市胸科医院相关业务使用部门和运维管理部门。</w:t>
      </w:r>
    </w:p>
    <w:p w14:paraId="1DEB42C6">
      <w:pPr>
        <w:rPr>
          <w:highlight w:val="none"/>
        </w:rPr>
      </w:pPr>
      <w:r>
        <w:rPr>
          <w:rFonts w:hint="eastAsia"/>
          <w:highlight w:val="none"/>
        </w:rPr>
        <w:t>4.提供系统日常维护系统培训，培训主要是面向上海市胸科医院技术人员，通过培训使其具备独立进行系统日常维护、故障的诊断与处理等方面的能力。</w:t>
      </w:r>
    </w:p>
    <w:p w14:paraId="656D7401">
      <w:pPr>
        <w:rPr>
          <w:highlight w:val="none"/>
        </w:rPr>
      </w:pPr>
      <w:r>
        <w:rPr>
          <w:rFonts w:hint="eastAsia"/>
          <w:highlight w:val="none"/>
        </w:rPr>
        <w:t>5.中标人提供的培训内容应包含但不限于：系统安装配置、系统调试、操作使用、运行维护、故障排除等硬件方面业务技能知识培训，以及关于应用软件、数据库系统、安全系统、系统日常维护、故障维护、升级等方面业务技能知识的培训。</w:t>
      </w:r>
    </w:p>
    <w:p w14:paraId="33082E8B">
      <w:pPr>
        <w:rPr>
          <w:highlight w:val="none"/>
        </w:rPr>
      </w:pPr>
      <w:r>
        <w:rPr>
          <w:rFonts w:hint="eastAsia"/>
          <w:highlight w:val="none"/>
        </w:rPr>
        <w:t>6.本次投标报价须包含培训产生的相关费用。</w:t>
      </w:r>
    </w:p>
    <w:p w14:paraId="6544C005">
      <w:pPr>
        <w:pStyle w:val="3"/>
        <w:rPr>
          <w:highlight w:val="none"/>
        </w:rPr>
      </w:pPr>
      <w:r>
        <w:rPr>
          <w:rFonts w:hint="eastAsia"/>
          <w:highlight w:val="none"/>
        </w:rPr>
        <w:t>进度要求</w:t>
      </w:r>
      <w:bookmarkEnd w:id="25"/>
    </w:p>
    <w:p w14:paraId="19877994">
      <w:pPr>
        <w:rPr>
          <w:highlight w:val="none"/>
        </w:rPr>
      </w:pPr>
      <w:r>
        <w:rPr>
          <w:rFonts w:hint="eastAsia"/>
          <w:highlight w:val="none"/>
        </w:rPr>
        <w:t>投标人应根据建设内容，分阶段制定合理的时间进度，并且应根据招标方要求进行调整和细化。</w:t>
      </w:r>
    </w:p>
    <w:p w14:paraId="5652B255">
      <w:pPr>
        <w:rPr>
          <w:highlight w:val="none"/>
        </w:rPr>
      </w:pPr>
      <w:r>
        <w:rPr>
          <w:rFonts w:hint="eastAsia"/>
          <w:highlight w:val="none"/>
        </w:rPr>
        <w:t>总建设周期为24个月。</w:t>
      </w:r>
    </w:p>
    <w:p w14:paraId="1484A4C0">
      <w:pPr>
        <w:pStyle w:val="3"/>
        <w:rPr>
          <w:highlight w:val="none"/>
        </w:rPr>
      </w:pPr>
      <w:r>
        <w:rPr>
          <w:rFonts w:hint="eastAsia"/>
          <w:highlight w:val="none"/>
        </w:rPr>
        <w:t>投标人企业综合能力要求</w:t>
      </w:r>
    </w:p>
    <w:p w14:paraId="4783AA12">
      <w:pPr>
        <w:rPr>
          <w:rFonts w:hint="eastAsia"/>
          <w:highlight w:val="none"/>
        </w:rPr>
      </w:pPr>
      <w:r>
        <w:rPr>
          <w:rFonts w:hint="eastAsia"/>
          <w:highlight w:val="none"/>
        </w:rPr>
        <w:t>投标人具备</w:t>
      </w:r>
      <w:r>
        <w:rPr>
          <w:highlight w:val="none"/>
        </w:rPr>
        <w:t>1. 信息安全服务资质认证-信息系统安全运维；</w:t>
      </w:r>
      <w:r>
        <w:rPr>
          <w:rFonts w:hint="eastAsia"/>
          <w:highlight w:val="none"/>
          <w:lang w:val="en-US" w:eastAsia="zh-CN"/>
        </w:rPr>
        <w:t>2</w:t>
      </w:r>
      <w:r>
        <w:rPr>
          <w:highlight w:val="none"/>
        </w:rPr>
        <w:t>.信息安全服务资质认证-信息系统安全集成</w:t>
      </w:r>
      <w:r>
        <w:rPr>
          <w:rFonts w:hint="eastAsia"/>
          <w:highlight w:val="none"/>
        </w:rPr>
        <w:t>的优先考虑。</w:t>
      </w:r>
    </w:p>
    <w:p w14:paraId="3D905BFE">
      <w:pPr>
        <w:pStyle w:val="3"/>
        <w:rPr>
          <w:highlight w:val="none"/>
        </w:rPr>
      </w:pPr>
      <w:bookmarkStart w:id="26" w:name="_Toc63785510"/>
      <w:r>
        <w:rPr>
          <w:rFonts w:hint="eastAsia"/>
          <w:highlight w:val="none"/>
        </w:rPr>
        <w:t>项目团队及驻场人员要求</w:t>
      </w:r>
      <w:bookmarkEnd w:id="26"/>
    </w:p>
    <w:p w14:paraId="6625F570">
      <w:pPr>
        <w:rPr>
          <w:color w:val="auto"/>
          <w:highlight w:val="none"/>
        </w:rPr>
      </w:pPr>
      <w:r>
        <w:rPr>
          <w:color w:val="auto"/>
          <w:highlight w:val="none"/>
        </w:rPr>
        <w:t>1）投标人须具有稳定的在职技术保障力量，能够提供及时的技术支援或服务，应针对本项目提供不少于</w:t>
      </w:r>
      <w:r>
        <w:rPr>
          <w:rFonts w:hint="eastAsia"/>
          <w:color w:val="auto"/>
          <w:highlight w:val="none"/>
        </w:rPr>
        <w:t>20</w:t>
      </w:r>
      <w:r>
        <w:rPr>
          <w:color w:val="auto"/>
          <w:highlight w:val="none"/>
        </w:rPr>
        <w:t>人的项目服务团队（包括项目经理、技术负责人、</w:t>
      </w:r>
      <w:r>
        <w:rPr>
          <w:rFonts w:hint="eastAsia"/>
          <w:color w:val="auto"/>
          <w:highlight w:val="none"/>
        </w:rPr>
        <w:t>技术工程师</w:t>
      </w:r>
      <w:r>
        <w:rPr>
          <w:color w:val="auto"/>
          <w:highlight w:val="none"/>
        </w:rPr>
        <w:t>等），投标单位的相关服务人员需具备相应的服务能力，需提供相关证明。</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2713"/>
        <w:gridCol w:w="1176"/>
        <w:gridCol w:w="2047"/>
        <w:gridCol w:w="1176"/>
      </w:tblGrid>
      <w:tr w14:paraId="7908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noWrap/>
            <w:vAlign w:val="center"/>
          </w:tcPr>
          <w:p w14:paraId="5945C58B">
            <w:pPr>
              <w:ind w:left="0" w:leftChars="0" w:firstLine="0" w:firstLineChars="0"/>
              <w:rPr>
                <w:color w:val="auto"/>
                <w:highlight w:val="none"/>
              </w:rPr>
            </w:pPr>
            <w:r>
              <w:rPr>
                <w:rFonts w:hint="eastAsia"/>
                <w:color w:val="auto"/>
                <w:highlight w:val="none"/>
              </w:rPr>
              <w:t>角色</w:t>
            </w:r>
          </w:p>
        </w:tc>
        <w:tc>
          <w:tcPr>
            <w:tcW w:w="0" w:type="auto"/>
            <w:noWrap/>
            <w:vAlign w:val="center"/>
          </w:tcPr>
          <w:p w14:paraId="64B84900">
            <w:pPr>
              <w:ind w:left="0" w:leftChars="0" w:firstLine="0" w:firstLineChars="0"/>
              <w:rPr>
                <w:color w:val="auto"/>
                <w:highlight w:val="none"/>
              </w:rPr>
            </w:pPr>
            <w:r>
              <w:rPr>
                <w:rFonts w:hint="eastAsia"/>
                <w:color w:val="auto"/>
                <w:highlight w:val="none"/>
              </w:rPr>
              <w:t>主要职责</w:t>
            </w:r>
          </w:p>
        </w:tc>
        <w:tc>
          <w:tcPr>
            <w:tcW w:w="0" w:type="auto"/>
            <w:noWrap/>
            <w:vAlign w:val="center"/>
          </w:tcPr>
          <w:p w14:paraId="0CD5673C">
            <w:pPr>
              <w:ind w:left="0" w:leftChars="0" w:firstLine="0" w:firstLineChars="0"/>
              <w:rPr>
                <w:color w:val="auto"/>
                <w:highlight w:val="none"/>
              </w:rPr>
            </w:pPr>
            <w:r>
              <w:rPr>
                <w:rFonts w:hint="eastAsia"/>
                <w:color w:val="auto"/>
                <w:highlight w:val="none"/>
              </w:rPr>
              <w:t>人员数量</w:t>
            </w:r>
          </w:p>
        </w:tc>
        <w:tc>
          <w:tcPr>
            <w:tcW w:w="0" w:type="auto"/>
            <w:vAlign w:val="center"/>
          </w:tcPr>
          <w:p w14:paraId="71E6214A">
            <w:pPr>
              <w:ind w:left="0" w:leftChars="0" w:firstLine="0" w:firstLineChars="0"/>
              <w:rPr>
                <w:color w:val="auto"/>
                <w:highlight w:val="none"/>
              </w:rPr>
            </w:pPr>
            <w:r>
              <w:rPr>
                <w:rFonts w:hint="eastAsia"/>
                <w:color w:val="auto"/>
                <w:highlight w:val="none"/>
              </w:rPr>
              <w:t>人员要求</w:t>
            </w:r>
          </w:p>
        </w:tc>
        <w:tc>
          <w:tcPr>
            <w:tcW w:w="0" w:type="auto"/>
            <w:noWrap/>
            <w:vAlign w:val="center"/>
          </w:tcPr>
          <w:p w14:paraId="24981270">
            <w:pPr>
              <w:ind w:left="0" w:leftChars="0" w:firstLine="0" w:firstLineChars="0"/>
              <w:rPr>
                <w:color w:val="auto"/>
                <w:highlight w:val="none"/>
              </w:rPr>
            </w:pPr>
            <w:r>
              <w:rPr>
                <w:rFonts w:hint="eastAsia"/>
                <w:color w:val="auto"/>
                <w:highlight w:val="none"/>
              </w:rPr>
              <w:t>驻场要求</w:t>
            </w:r>
          </w:p>
        </w:tc>
      </w:tr>
      <w:tr w14:paraId="61588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noWrap/>
            <w:vAlign w:val="center"/>
          </w:tcPr>
          <w:p w14:paraId="4870566C">
            <w:pPr>
              <w:ind w:left="0" w:leftChars="0" w:firstLine="0" w:firstLineChars="0"/>
              <w:rPr>
                <w:color w:val="auto"/>
                <w:highlight w:val="none"/>
              </w:rPr>
            </w:pPr>
            <w:r>
              <w:rPr>
                <w:rFonts w:hint="eastAsia"/>
                <w:color w:val="auto"/>
                <w:highlight w:val="none"/>
              </w:rPr>
              <w:t>项目负责人</w:t>
            </w:r>
          </w:p>
        </w:tc>
        <w:tc>
          <w:tcPr>
            <w:tcW w:w="0" w:type="auto"/>
            <w:vAlign w:val="center"/>
          </w:tcPr>
          <w:p w14:paraId="18B05576">
            <w:pPr>
              <w:ind w:left="0" w:leftChars="0" w:firstLine="0" w:firstLineChars="0"/>
              <w:rPr>
                <w:color w:val="auto"/>
                <w:highlight w:val="none"/>
              </w:rPr>
            </w:pPr>
            <w:r>
              <w:rPr>
                <w:rFonts w:hint="eastAsia"/>
                <w:color w:val="auto"/>
                <w:highlight w:val="none"/>
              </w:rPr>
              <w:t>负责项目质量和进度控制</w:t>
            </w:r>
          </w:p>
        </w:tc>
        <w:tc>
          <w:tcPr>
            <w:tcW w:w="0" w:type="auto"/>
            <w:noWrap/>
            <w:vAlign w:val="center"/>
          </w:tcPr>
          <w:p w14:paraId="3FCB5CBE">
            <w:pPr>
              <w:ind w:left="0" w:leftChars="0" w:firstLine="0" w:firstLineChars="0"/>
              <w:rPr>
                <w:color w:val="auto"/>
                <w:highlight w:val="none"/>
              </w:rPr>
            </w:pPr>
            <w:r>
              <w:rPr>
                <w:rFonts w:hint="eastAsia"/>
                <w:color w:val="auto"/>
                <w:highlight w:val="none"/>
              </w:rPr>
              <w:t>1人</w:t>
            </w:r>
          </w:p>
        </w:tc>
        <w:tc>
          <w:tcPr>
            <w:tcW w:w="0" w:type="auto"/>
            <w:vAlign w:val="center"/>
          </w:tcPr>
          <w:p w14:paraId="77B1CCCC">
            <w:pPr>
              <w:ind w:left="0" w:leftChars="0" w:firstLine="0" w:firstLineChars="0"/>
              <w:rPr>
                <w:rFonts w:hint="eastAsia" w:eastAsia="宋体"/>
                <w:color w:val="auto"/>
                <w:highlight w:val="none"/>
                <w:lang w:eastAsia="zh-CN"/>
              </w:rPr>
            </w:pPr>
            <w:r>
              <w:rPr>
                <w:color w:val="auto"/>
                <w:highlight w:val="none"/>
              </w:rPr>
              <w:t>具有</w:t>
            </w:r>
            <w:r>
              <w:rPr>
                <w:rFonts w:hint="eastAsia"/>
                <w:color w:val="auto"/>
                <w:highlight w:val="none"/>
              </w:rPr>
              <w:t>信息系统项目管理师 (高级)及 注册信息安全工程师（CISE）</w:t>
            </w:r>
            <w:r>
              <w:rPr>
                <w:rFonts w:hint="eastAsia"/>
                <w:color w:val="auto"/>
                <w:highlight w:val="none"/>
                <w:lang w:eastAsia="zh-CN"/>
              </w:rPr>
              <w:t>证书</w:t>
            </w:r>
          </w:p>
        </w:tc>
        <w:tc>
          <w:tcPr>
            <w:tcW w:w="0" w:type="auto"/>
            <w:noWrap/>
            <w:vAlign w:val="center"/>
          </w:tcPr>
          <w:p w14:paraId="7B0A9DE6">
            <w:pPr>
              <w:ind w:left="0" w:leftChars="0" w:firstLine="0" w:firstLineChars="0"/>
              <w:rPr>
                <w:color w:val="auto"/>
                <w:highlight w:val="none"/>
              </w:rPr>
            </w:pPr>
            <w:r>
              <w:rPr>
                <w:rFonts w:hint="eastAsia"/>
                <w:color w:val="auto"/>
                <w:highlight w:val="none"/>
              </w:rPr>
              <w:t>驻场</w:t>
            </w:r>
          </w:p>
        </w:tc>
      </w:tr>
      <w:tr w14:paraId="47987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noWrap/>
            <w:vAlign w:val="center"/>
          </w:tcPr>
          <w:p w14:paraId="1B5BE3B5">
            <w:pPr>
              <w:ind w:left="0" w:leftChars="0" w:firstLine="0" w:firstLineChars="0"/>
              <w:rPr>
                <w:color w:val="auto"/>
                <w:highlight w:val="none"/>
              </w:rPr>
            </w:pPr>
            <w:r>
              <w:rPr>
                <w:rFonts w:hint="eastAsia"/>
                <w:color w:val="auto"/>
                <w:highlight w:val="none"/>
              </w:rPr>
              <w:t>技术负责人</w:t>
            </w:r>
          </w:p>
        </w:tc>
        <w:tc>
          <w:tcPr>
            <w:tcW w:w="0" w:type="auto"/>
            <w:vAlign w:val="center"/>
          </w:tcPr>
          <w:p w14:paraId="2F3B66A1">
            <w:pPr>
              <w:ind w:left="0" w:leftChars="0" w:firstLine="0" w:firstLineChars="0"/>
              <w:rPr>
                <w:color w:val="auto"/>
                <w:highlight w:val="none"/>
              </w:rPr>
            </w:pPr>
            <w:r>
              <w:rPr>
                <w:rFonts w:hint="eastAsia"/>
                <w:color w:val="auto"/>
                <w:highlight w:val="none"/>
              </w:rPr>
              <w:t>负责项目需求评估与产品设计</w:t>
            </w:r>
          </w:p>
        </w:tc>
        <w:tc>
          <w:tcPr>
            <w:tcW w:w="0" w:type="auto"/>
            <w:noWrap/>
            <w:vAlign w:val="center"/>
          </w:tcPr>
          <w:p w14:paraId="14DCFA18">
            <w:pPr>
              <w:ind w:left="0" w:leftChars="0" w:firstLine="0" w:firstLineChars="0"/>
              <w:rPr>
                <w:color w:val="auto"/>
                <w:highlight w:val="none"/>
              </w:rPr>
            </w:pPr>
            <w:r>
              <w:rPr>
                <w:rFonts w:hint="eastAsia"/>
                <w:color w:val="auto"/>
                <w:highlight w:val="none"/>
              </w:rPr>
              <w:t>1人</w:t>
            </w:r>
          </w:p>
        </w:tc>
        <w:tc>
          <w:tcPr>
            <w:tcW w:w="0" w:type="auto"/>
            <w:vAlign w:val="center"/>
          </w:tcPr>
          <w:p w14:paraId="7C7328C2">
            <w:pPr>
              <w:ind w:left="0" w:leftChars="0" w:firstLine="0" w:firstLineChars="0"/>
              <w:rPr>
                <w:color w:val="auto"/>
                <w:highlight w:val="none"/>
              </w:rPr>
            </w:pPr>
            <w:r>
              <w:rPr>
                <w:rFonts w:hint="eastAsia"/>
                <w:color w:val="auto"/>
                <w:highlight w:val="none"/>
                <w:lang w:eastAsia="zh-CN"/>
              </w:rPr>
              <w:t>具有</w:t>
            </w:r>
            <w:r>
              <w:rPr>
                <w:rFonts w:hint="eastAsia"/>
                <w:color w:val="auto"/>
                <w:highlight w:val="none"/>
              </w:rPr>
              <w:t>系统架构设计师(高级)及信息安全工程师证书</w:t>
            </w:r>
          </w:p>
        </w:tc>
        <w:tc>
          <w:tcPr>
            <w:tcW w:w="0" w:type="auto"/>
            <w:noWrap/>
            <w:vAlign w:val="center"/>
          </w:tcPr>
          <w:p w14:paraId="68EF8399">
            <w:pPr>
              <w:ind w:left="0" w:leftChars="0" w:firstLine="0" w:firstLineChars="0"/>
              <w:rPr>
                <w:color w:val="auto"/>
                <w:highlight w:val="none"/>
              </w:rPr>
            </w:pPr>
            <w:r>
              <w:rPr>
                <w:rFonts w:hint="eastAsia"/>
                <w:color w:val="auto"/>
                <w:highlight w:val="none"/>
              </w:rPr>
              <w:t>不驻场</w:t>
            </w:r>
          </w:p>
        </w:tc>
      </w:tr>
      <w:tr w14:paraId="478C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noWrap/>
            <w:vAlign w:val="center"/>
          </w:tcPr>
          <w:p w14:paraId="4044EF0A">
            <w:pPr>
              <w:ind w:left="0" w:leftChars="0" w:firstLine="0" w:firstLineChars="0"/>
              <w:rPr>
                <w:color w:val="auto"/>
                <w:highlight w:val="none"/>
              </w:rPr>
            </w:pPr>
            <w:r>
              <w:rPr>
                <w:rFonts w:hint="eastAsia"/>
                <w:color w:val="auto"/>
                <w:highlight w:val="none"/>
              </w:rPr>
              <w:t>技术工程师</w:t>
            </w:r>
          </w:p>
        </w:tc>
        <w:tc>
          <w:tcPr>
            <w:tcW w:w="0" w:type="auto"/>
            <w:noWrap/>
            <w:vAlign w:val="center"/>
          </w:tcPr>
          <w:p w14:paraId="2F931C70">
            <w:pPr>
              <w:ind w:left="0" w:leftChars="0" w:firstLine="0" w:firstLineChars="0"/>
              <w:rPr>
                <w:rFonts w:hint="default" w:eastAsia="宋体"/>
                <w:color w:val="auto"/>
                <w:highlight w:val="none"/>
                <w:lang w:val="en-US" w:eastAsia="zh-CN"/>
              </w:rPr>
            </w:pPr>
            <w:r>
              <w:rPr>
                <w:rFonts w:hint="eastAsia"/>
                <w:color w:val="auto"/>
                <w:highlight w:val="none"/>
              </w:rPr>
              <w:t>负责项目</w:t>
            </w:r>
            <w:r>
              <w:rPr>
                <w:rFonts w:hint="eastAsia"/>
                <w:color w:val="auto"/>
                <w:highlight w:val="none"/>
                <w:lang w:val="en-US" w:eastAsia="zh-CN"/>
              </w:rPr>
              <w:t>实施交付工作</w:t>
            </w:r>
          </w:p>
        </w:tc>
        <w:tc>
          <w:tcPr>
            <w:tcW w:w="0" w:type="auto"/>
            <w:noWrap/>
            <w:vAlign w:val="center"/>
          </w:tcPr>
          <w:p w14:paraId="39B6CB4E">
            <w:pPr>
              <w:ind w:left="0" w:leftChars="0" w:firstLine="0" w:firstLineChars="0"/>
              <w:rPr>
                <w:color w:val="auto"/>
                <w:highlight w:val="none"/>
              </w:rPr>
            </w:pPr>
            <w:r>
              <w:rPr>
                <w:rFonts w:hint="eastAsia"/>
                <w:color w:val="auto"/>
                <w:highlight w:val="none"/>
                <w:lang w:val="en-US" w:eastAsia="zh-CN"/>
              </w:rPr>
              <w:t>1</w:t>
            </w:r>
            <w:r>
              <w:rPr>
                <w:rFonts w:hint="eastAsia"/>
                <w:color w:val="auto"/>
                <w:highlight w:val="none"/>
              </w:rPr>
              <w:t>8人</w:t>
            </w:r>
          </w:p>
        </w:tc>
        <w:tc>
          <w:tcPr>
            <w:tcW w:w="0" w:type="auto"/>
            <w:vAlign w:val="center"/>
          </w:tcPr>
          <w:p w14:paraId="34A24847">
            <w:pPr>
              <w:ind w:left="0" w:leftChars="0" w:firstLine="0" w:firstLineChars="0"/>
              <w:rPr>
                <w:color w:val="auto"/>
                <w:highlight w:val="none"/>
              </w:rPr>
            </w:pPr>
          </w:p>
        </w:tc>
        <w:tc>
          <w:tcPr>
            <w:tcW w:w="0" w:type="auto"/>
            <w:noWrap/>
            <w:vAlign w:val="center"/>
          </w:tcPr>
          <w:p w14:paraId="50BB9692">
            <w:pPr>
              <w:ind w:left="0" w:leftChars="0" w:firstLine="0" w:firstLineChars="0"/>
              <w:rPr>
                <w:color w:val="auto"/>
                <w:highlight w:val="none"/>
              </w:rPr>
            </w:pPr>
            <w:r>
              <w:rPr>
                <w:rFonts w:hint="eastAsia"/>
                <w:color w:val="auto"/>
                <w:highlight w:val="none"/>
              </w:rPr>
              <w:t>不驻场</w:t>
            </w:r>
          </w:p>
        </w:tc>
      </w:tr>
    </w:tbl>
    <w:p w14:paraId="6B070F0B">
      <w:pPr>
        <w:rPr>
          <w:color w:val="auto"/>
          <w:highlight w:val="none"/>
        </w:rPr>
      </w:pPr>
      <w:r>
        <w:rPr>
          <w:color w:val="auto"/>
          <w:highlight w:val="none"/>
        </w:rPr>
        <w:t>2）投标人应针对本项目提供不少于</w:t>
      </w:r>
      <w:r>
        <w:rPr>
          <w:rFonts w:hint="eastAsia"/>
          <w:color w:val="auto"/>
          <w:highlight w:val="none"/>
        </w:rPr>
        <w:t>10</w:t>
      </w:r>
      <w:r>
        <w:rPr>
          <w:color w:val="auto"/>
          <w:highlight w:val="none"/>
        </w:rPr>
        <w:t>人的质保期间支撑团队（其中</w:t>
      </w:r>
      <w:r>
        <w:rPr>
          <w:rFonts w:hint="eastAsia"/>
          <w:color w:val="auto"/>
          <w:highlight w:val="none"/>
        </w:rPr>
        <w:t>项目负责人1人、技术负责人</w:t>
      </w:r>
      <w:bookmarkStart w:id="28" w:name="_GoBack"/>
      <w:bookmarkEnd w:id="28"/>
      <w:r>
        <w:rPr>
          <w:rFonts w:hint="eastAsia"/>
          <w:color w:val="auto"/>
          <w:highlight w:val="none"/>
        </w:rPr>
        <w:t>1人</w:t>
      </w:r>
      <w:r>
        <w:rPr>
          <w:color w:val="auto"/>
          <w:highlight w:val="none"/>
        </w:rPr>
        <w:t>，技术工程师不少于</w:t>
      </w:r>
      <w:r>
        <w:rPr>
          <w:rFonts w:hint="eastAsia"/>
          <w:color w:val="auto"/>
          <w:highlight w:val="none"/>
        </w:rPr>
        <w:t>8</w:t>
      </w:r>
      <w:r>
        <w:rPr>
          <w:color w:val="auto"/>
          <w:highlight w:val="none"/>
        </w:rPr>
        <w:t>人）；投标人的相关服务人员需具备相应的服务能力，需提供相关证明（</w:t>
      </w:r>
      <w:r>
        <w:rPr>
          <w:rFonts w:hint="eastAsia"/>
          <w:color w:val="auto"/>
          <w:highlight w:val="none"/>
          <w:lang w:eastAsia="zh-CN"/>
        </w:rPr>
        <w:t>投标截止时间前三个月中任意一个月</w:t>
      </w:r>
      <w:r>
        <w:rPr>
          <w:color w:val="auto"/>
          <w:highlight w:val="none"/>
        </w:rPr>
        <w:t>依法缴纳社保费的证明）。</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2136"/>
        <w:gridCol w:w="1176"/>
        <w:gridCol w:w="2349"/>
        <w:gridCol w:w="1176"/>
      </w:tblGrid>
      <w:tr w14:paraId="20D1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noWrap/>
            <w:vAlign w:val="center"/>
          </w:tcPr>
          <w:p w14:paraId="08D90F03">
            <w:pPr>
              <w:ind w:left="0" w:leftChars="0" w:firstLine="0" w:firstLineChars="0"/>
              <w:rPr>
                <w:color w:val="auto"/>
                <w:highlight w:val="none"/>
              </w:rPr>
            </w:pPr>
            <w:r>
              <w:rPr>
                <w:rFonts w:hint="eastAsia"/>
                <w:color w:val="auto"/>
                <w:highlight w:val="none"/>
              </w:rPr>
              <w:t>角色</w:t>
            </w:r>
          </w:p>
        </w:tc>
        <w:tc>
          <w:tcPr>
            <w:tcW w:w="0" w:type="auto"/>
            <w:noWrap/>
            <w:vAlign w:val="center"/>
          </w:tcPr>
          <w:p w14:paraId="0A219CDE">
            <w:pPr>
              <w:ind w:left="0" w:leftChars="0" w:firstLine="0" w:firstLineChars="0"/>
              <w:rPr>
                <w:color w:val="auto"/>
                <w:highlight w:val="none"/>
              </w:rPr>
            </w:pPr>
            <w:r>
              <w:rPr>
                <w:rFonts w:hint="eastAsia"/>
                <w:color w:val="auto"/>
                <w:highlight w:val="none"/>
              </w:rPr>
              <w:t>主要职责</w:t>
            </w:r>
          </w:p>
        </w:tc>
        <w:tc>
          <w:tcPr>
            <w:tcW w:w="0" w:type="auto"/>
            <w:noWrap/>
            <w:vAlign w:val="center"/>
          </w:tcPr>
          <w:p w14:paraId="468B9BA8">
            <w:pPr>
              <w:ind w:left="0" w:leftChars="0" w:firstLine="0" w:firstLineChars="0"/>
              <w:rPr>
                <w:color w:val="auto"/>
                <w:highlight w:val="none"/>
              </w:rPr>
            </w:pPr>
            <w:r>
              <w:rPr>
                <w:rFonts w:hint="eastAsia"/>
                <w:color w:val="auto"/>
                <w:highlight w:val="none"/>
              </w:rPr>
              <w:t>人员数量</w:t>
            </w:r>
          </w:p>
        </w:tc>
        <w:tc>
          <w:tcPr>
            <w:tcW w:w="0" w:type="auto"/>
            <w:vAlign w:val="center"/>
          </w:tcPr>
          <w:p w14:paraId="74DF5FE8">
            <w:pPr>
              <w:ind w:left="0" w:leftChars="0" w:firstLine="0" w:firstLineChars="0"/>
              <w:rPr>
                <w:color w:val="auto"/>
                <w:highlight w:val="none"/>
              </w:rPr>
            </w:pPr>
            <w:r>
              <w:rPr>
                <w:rFonts w:hint="eastAsia"/>
                <w:color w:val="auto"/>
                <w:highlight w:val="none"/>
              </w:rPr>
              <w:t>人员要求</w:t>
            </w:r>
          </w:p>
        </w:tc>
        <w:tc>
          <w:tcPr>
            <w:tcW w:w="0" w:type="auto"/>
            <w:noWrap/>
            <w:vAlign w:val="center"/>
          </w:tcPr>
          <w:p w14:paraId="386F4C5B">
            <w:pPr>
              <w:ind w:left="0" w:leftChars="0" w:firstLine="0" w:firstLineChars="0"/>
              <w:rPr>
                <w:color w:val="auto"/>
                <w:highlight w:val="none"/>
              </w:rPr>
            </w:pPr>
            <w:r>
              <w:rPr>
                <w:rFonts w:hint="eastAsia"/>
                <w:color w:val="auto"/>
                <w:highlight w:val="none"/>
              </w:rPr>
              <w:t>驻场要求</w:t>
            </w:r>
          </w:p>
        </w:tc>
      </w:tr>
      <w:tr w14:paraId="7B1E1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noWrap/>
            <w:vAlign w:val="center"/>
          </w:tcPr>
          <w:p w14:paraId="0E5F1C21">
            <w:pPr>
              <w:ind w:left="0" w:leftChars="0" w:firstLine="0" w:firstLineChars="0"/>
              <w:rPr>
                <w:color w:val="auto"/>
                <w:highlight w:val="none"/>
              </w:rPr>
            </w:pPr>
            <w:r>
              <w:rPr>
                <w:rFonts w:hint="eastAsia"/>
                <w:color w:val="auto"/>
                <w:highlight w:val="none"/>
              </w:rPr>
              <w:t>项目负责人</w:t>
            </w:r>
          </w:p>
        </w:tc>
        <w:tc>
          <w:tcPr>
            <w:tcW w:w="0" w:type="auto"/>
            <w:vAlign w:val="center"/>
          </w:tcPr>
          <w:p w14:paraId="71C6DE33">
            <w:pPr>
              <w:ind w:left="0" w:leftChars="0" w:firstLine="0" w:firstLineChars="0"/>
              <w:rPr>
                <w:rFonts w:hint="eastAsia" w:eastAsia="宋体"/>
                <w:color w:val="auto"/>
                <w:highlight w:val="none"/>
                <w:lang w:eastAsia="zh-CN"/>
              </w:rPr>
            </w:pPr>
            <w:r>
              <w:rPr>
                <w:rFonts w:hint="eastAsia"/>
                <w:color w:val="auto"/>
                <w:highlight w:val="none"/>
                <w:lang w:eastAsia="zh-CN"/>
              </w:rPr>
              <w:t>总体协调</w:t>
            </w:r>
          </w:p>
        </w:tc>
        <w:tc>
          <w:tcPr>
            <w:tcW w:w="0" w:type="auto"/>
            <w:noWrap/>
            <w:vAlign w:val="center"/>
          </w:tcPr>
          <w:p w14:paraId="75473DEA">
            <w:pPr>
              <w:ind w:left="0" w:leftChars="0" w:firstLine="0" w:firstLineChars="0"/>
              <w:rPr>
                <w:color w:val="auto"/>
                <w:highlight w:val="none"/>
              </w:rPr>
            </w:pPr>
            <w:r>
              <w:rPr>
                <w:rFonts w:hint="eastAsia"/>
                <w:color w:val="auto"/>
                <w:highlight w:val="none"/>
              </w:rPr>
              <w:t>1人</w:t>
            </w:r>
          </w:p>
        </w:tc>
        <w:tc>
          <w:tcPr>
            <w:tcW w:w="2349" w:type="dxa"/>
            <w:vAlign w:val="center"/>
          </w:tcPr>
          <w:p w14:paraId="491F2FB8">
            <w:pPr>
              <w:ind w:left="0" w:leftChars="0" w:firstLine="0" w:firstLineChars="0"/>
              <w:rPr>
                <w:color w:val="auto"/>
                <w:highlight w:val="none"/>
              </w:rPr>
            </w:pPr>
            <w:r>
              <w:rPr>
                <w:color w:val="auto"/>
                <w:highlight w:val="none"/>
              </w:rPr>
              <w:t>具有</w:t>
            </w:r>
            <w:r>
              <w:rPr>
                <w:rFonts w:hint="eastAsia"/>
                <w:color w:val="auto"/>
                <w:highlight w:val="none"/>
              </w:rPr>
              <w:t>信息系统项目管理师 (高级)及 注册信息安全工程师（CISE）</w:t>
            </w:r>
            <w:r>
              <w:rPr>
                <w:rFonts w:hint="eastAsia"/>
                <w:color w:val="auto"/>
                <w:highlight w:val="none"/>
                <w:lang w:eastAsia="zh-CN"/>
              </w:rPr>
              <w:t>证书</w:t>
            </w:r>
          </w:p>
        </w:tc>
        <w:tc>
          <w:tcPr>
            <w:tcW w:w="0" w:type="auto"/>
            <w:noWrap/>
            <w:vAlign w:val="center"/>
          </w:tcPr>
          <w:p w14:paraId="4C768D78">
            <w:pPr>
              <w:ind w:left="0" w:leftChars="0" w:firstLine="0" w:firstLineChars="0"/>
              <w:rPr>
                <w:color w:val="auto"/>
                <w:highlight w:val="none"/>
              </w:rPr>
            </w:pPr>
            <w:r>
              <w:rPr>
                <w:rFonts w:hint="eastAsia"/>
                <w:color w:val="auto"/>
                <w:highlight w:val="none"/>
              </w:rPr>
              <w:t>驻场</w:t>
            </w:r>
          </w:p>
        </w:tc>
      </w:tr>
      <w:tr w14:paraId="0974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noWrap/>
            <w:vAlign w:val="center"/>
          </w:tcPr>
          <w:p w14:paraId="4C501C28">
            <w:pPr>
              <w:ind w:left="0" w:leftChars="0" w:firstLine="0" w:firstLineChars="0"/>
              <w:rPr>
                <w:color w:val="auto"/>
                <w:highlight w:val="none"/>
              </w:rPr>
            </w:pPr>
            <w:r>
              <w:rPr>
                <w:rFonts w:hint="eastAsia"/>
                <w:color w:val="auto"/>
                <w:highlight w:val="none"/>
              </w:rPr>
              <w:t>技术负责人</w:t>
            </w:r>
          </w:p>
        </w:tc>
        <w:tc>
          <w:tcPr>
            <w:tcW w:w="0" w:type="auto"/>
            <w:vAlign w:val="center"/>
          </w:tcPr>
          <w:p w14:paraId="38551767">
            <w:pPr>
              <w:ind w:left="0" w:leftChars="0" w:firstLine="0" w:firstLineChars="0"/>
              <w:rPr>
                <w:rFonts w:hint="eastAsia" w:eastAsia="宋体"/>
                <w:color w:val="auto"/>
                <w:highlight w:val="none"/>
                <w:lang w:eastAsia="zh-CN"/>
              </w:rPr>
            </w:pPr>
            <w:r>
              <w:rPr>
                <w:rFonts w:hint="eastAsia"/>
                <w:color w:val="auto"/>
                <w:highlight w:val="none"/>
                <w:lang w:eastAsia="zh-CN"/>
              </w:rPr>
              <w:t>技术支撑</w:t>
            </w:r>
          </w:p>
        </w:tc>
        <w:tc>
          <w:tcPr>
            <w:tcW w:w="0" w:type="auto"/>
            <w:noWrap/>
            <w:vAlign w:val="center"/>
          </w:tcPr>
          <w:p w14:paraId="336FA156">
            <w:pPr>
              <w:ind w:left="0" w:leftChars="0" w:firstLine="0" w:firstLineChars="0"/>
              <w:rPr>
                <w:color w:val="auto"/>
                <w:highlight w:val="none"/>
              </w:rPr>
            </w:pPr>
            <w:r>
              <w:rPr>
                <w:rFonts w:hint="eastAsia"/>
                <w:color w:val="auto"/>
                <w:highlight w:val="none"/>
              </w:rPr>
              <w:t>1人</w:t>
            </w:r>
          </w:p>
        </w:tc>
        <w:tc>
          <w:tcPr>
            <w:tcW w:w="2349" w:type="dxa"/>
            <w:vAlign w:val="center"/>
          </w:tcPr>
          <w:p w14:paraId="5C8D2EB1">
            <w:pPr>
              <w:ind w:left="0" w:leftChars="0" w:firstLine="0" w:firstLineChars="0"/>
              <w:rPr>
                <w:color w:val="auto"/>
                <w:highlight w:val="none"/>
              </w:rPr>
            </w:pPr>
            <w:r>
              <w:rPr>
                <w:rFonts w:hint="eastAsia"/>
                <w:color w:val="auto"/>
                <w:highlight w:val="none"/>
                <w:lang w:eastAsia="zh-CN"/>
              </w:rPr>
              <w:t>具有</w:t>
            </w:r>
            <w:r>
              <w:rPr>
                <w:rFonts w:hint="eastAsia"/>
                <w:color w:val="auto"/>
                <w:highlight w:val="none"/>
              </w:rPr>
              <w:t>系统架构设计师(高级)及信息安全工程师证书</w:t>
            </w:r>
          </w:p>
        </w:tc>
        <w:tc>
          <w:tcPr>
            <w:tcW w:w="0" w:type="auto"/>
            <w:noWrap/>
            <w:vAlign w:val="center"/>
          </w:tcPr>
          <w:p w14:paraId="2F451CF6">
            <w:pPr>
              <w:ind w:left="0" w:leftChars="0" w:firstLine="0" w:firstLineChars="0"/>
              <w:rPr>
                <w:color w:val="auto"/>
                <w:highlight w:val="none"/>
              </w:rPr>
            </w:pPr>
            <w:r>
              <w:rPr>
                <w:rFonts w:hint="eastAsia"/>
                <w:color w:val="auto"/>
                <w:highlight w:val="none"/>
              </w:rPr>
              <w:t>不驻场</w:t>
            </w:r>
          </w:p>
        </w:tc>
      </w:tr>
      <w:tr w14:paraId="1102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noWrap/>
            <w:vAlign w:val="center"/>
          </w:tcPr>
          <w:p w14:paraId="604F2730">
            <w:pPr>
              <w:ind w:left="0" w:leftChars="0" w:firstLine="0" w:firstLineChars="0"/>
              <w:rPr>
                <w:color w:val="auto"/>
                <w:highlight w:val="none"/>
              </w:rPr>
            </w:pPr>
            <w:r>
              <w:rPr>
                <w:rFonts w:hint="eastAsia"/>
                <w:color w:val="auto"/>
                <w:highlight w:val="none"/>
              </w:rPr>
              <w:t>技术工程师</w:t>
            </w:r>
          </w:p>
        </w:tc>
        <w:tc>
          <w:tcPr>
            <w:tcW w:w="0" w:type="auto"/>
            <w:noWrap/>
            <w:vAlign w:val="center"/>
          </w:tcPr>
          <w:p w14:paraId="579F4CC1">
            <w:pPr>
              <w:ind w:left="0" w:leftChars="0" w:firstLine="0" w:firstLineChars="0"/>
              <w:rPr>
                <w:color w:val="auto"/>
                <w:highlight w:val="none"/>
              </w:rPr>
            </w:pPr>
            <w:r>
              <w:rPr>
                <w:rFonts w:hint="eastAsia"/>
                <w:color w:val="auto"/>
                <w:highlight w:val="none"/>
              </w:rPr>
              <w:t>负责项目运行维护</w:t>
            </w:r>
          </w:p>
        </w:tc>
        <w:tc>
          <w:tcPr>
            <w:tcW w:w="0" w:type="auto"/>
            <w:noWrap/>
            <w:vAlign w:val="center"/>
          </w:tcPr>
          <w:p w14:paraId="15506CAC">
            <w:pPr>
              <w:ind w:left="0" w:leftChars="0" w:firstLine="0" w:firstLineChars="0"/>
              <w:rPr>
                <w:color w:val="auto"/>
                <w:highlight w:val="none"/>
              </w:rPr>
            </w:pPr>
            <w:r>
              <w:rPr>
                <w:rFonts w:hint="eastAsia"/>
                <w:color w:val="auto"/>
                <w:highlight w:val="none"/>
              </w:rPr>
              <w:t>8人</w:t>
            </w:r>
          </w:p>
        </w:tc>
        <w:tc>
          <w:tcPr>
            <w:tcW w:w="0" w:type="auto"/>
            <w:vAlign w:val="center"/>
          </w:tcPr>
          <w:p w14:paraId="4965ACD2">
            <w:pPr>
              <w:ind w:left="0" w:leftChars="0" w:firstLine="0" w:firstLineChars="0"/>
              <w:rPr>
                <w:color w:val="auto"/>
                <w:highlight w:val="none"/>
              </w:rPr>
            </w:pPr>
          </w:p>
        </w:tc>
        <w:tc>
          <w:tcPr>
            <w:tcW w:w="0" w:type="auto"/>
            <w:noWrap/>
            <w:vAlign w:val="center"/>
          </w:tcPr>
          <w:p w14:paraId="5CA3BFD1">
            <w:pPr>
              <w:ind w:left="0" w:leftChars="0" w:firstLine="0" w:firstLineChars="0"/>
              <w:rPr>
                <w:color w:val="auto"/>
                <w:highlight w:val="none"/>
              </w:rPr>
            </w:pPr>
            <w:r>
              <w:rPr>
                <w:rFonts w:hint="eastAsia"/>
                <w:color w:val="auto"/>
                <w:highlight w:val="none"/>
              </w:rPr>
              <w:t>不驻场</w:t>
            </w:r>
          </w:p>
        </w:tc>
      </w:tr>
    </w:tbl>
    <w:p w14:paraId="58CA40CD">
      <w:pPr>
        <w:pStyle w:val="3"/>
        <w:rPr>
          <w:highlight w:val="none"/>
        </w:rPr>
      </w:pPr>
      <w:bookmarkStart w:id="27" w:name="_Toc63785512"/>
      <w:r>
        <w:rPr>
          <w:rFonts w:hint="eastAsia"/>
          <w:highlight w:val="none"/>
        </w:rPr>
        <w:t>技术文件要求</w:t>
      </w:r>
    </w:p>
    <w:p w14:paraId="6224CBCB">
      <w:pPr>
        <w:rPr>
          <w:highlight w:val="none"/>
        </w:rPr>
      </w:pPr>
      <w:r>
        <w:rPr>
          <w:rFonts w:hint="eastAsia"/>
          <w:highlight w:val="none"/>
        </w:rPr>
        <w:t>投标人提供的书面技术资料应能确保系统正常运行所需的管理、运营及维护有关的全套文件。技术文件应该全面、完整、详细。投标人提供的技术文件至少应包括：</w:t>
      </w:r>
    </w:p>
    <w:p w14:paraId="38AB03FD">
      <w:pPr>
        <w:rPr>
          <w:highlight w:val="none"/>
        </w:rPr>
      </w:pPr>
      <w:r>
        <w:rPr>
          <w:rFonts w:hint="eastAsia"/>
          <w:highlight w:val="none"/>
        </w:rPr>
        <w:t>－</w:t>
      </w:r>
      <w:r>
        <w:rPr>
          <w:highlight w:val="none"/>
        </w:rPr>
        <w:t xml:space="preserve"> 系统说明文件； </w:t>
      </w:r>
    </w:p>
    <w:p w14:paraId="13C4C134">
      <w:pPr>
        <w:rPr>
          <w:highlight w:val="none"/>
        </w:rPr>
      </w:pPr>
      <w:r>
        <w:rPr>
          <w:rFonts w:hint="eastAsia"/>
          <w:highlight w:val="none"/>
        </w:rPr>
        <w:t>－</w:t>
      </w:r>
      <w:r>
        <w:rPr>
          <w:highlight w:val="none"/>
        </w:rPr>
        <w:t xml:space="preserve"> 技术手册(安装、测试、操作、维护、故障排除等)； </w:t>
      </w:r>
    </w:p>
    <w:p w14:paraId="7E349585">
      <w:pPr>
        <w:rPr>
          <w:highlight w:val="none"/>
        </w:rPr>
      </w:pPr>
      <w:r>
        <w:rPr>
          <w:rFonts w:hint="eastAsia"/>
          <w:highlight w:val="none"/>
        </w:rPr>
        <w:t>－</w:t>
      </w:r>
      <w:r>
        <w:rPr>
          <w:highlight w:val="none"/>
        </w:rPr>
        <w:t xml:space="preserve"> 项目文档，应该包括：</w:t>
      </w:r>
    </w:p>
    <w:p w14:paraId="425900E8">
      <w:pPr>
        <w:rPr>
          <w:highlight w:val="none"/>
        </w:rPr>
      </w:pPr>
      <w:r>
        <w:rPr>
          <w:highlight w:val="none"/>
        </w:rPr>
        <w:t>(1)软件需求说明书</w:t>
      </w:r>
    </w:p>
    <w:p w14:paraId="6B84AC34">
      <w:pPr>
        <w:rPr>
          <w:highlight w:val="none"/>
        </w:rPr>
      </w:pPr>
      <w:r>
        <w:rPr>
          <w:highlight w:val="none"/>
        </w:rPr>
        <w:t>(2)系统总体设计说明书</w:t>
      </w:r>
    </w:p>
    <w:p w14:paraId="5BCF449E">
      <w:pPr>
        <w:rPr>
          <w:highlight w:val="none"/>
        </w:rPr>
      </w:pPr>
      <w:r>
        <w:rPr>
          <w:highlight w:val="none"/>
        </w:rPr>
        <w:t>(3)应用软件功能清单</w:t>
      </w:r>
    </w:p>
    <w:p w14:paraId="2EAB90FB">
      <w:pPr>
        <w:pStyle w:val="14"/>
        <w:ind w:firstLine="480"/>
        <w:rPr>
          <w:sz w:val="24"/>
          <w:szCs w:val="24"/>
          <w:highlight w:val="none"/>
        </w:rPr>
      </w:pPr>
      <w:r>
        <w:rPr>
          <w:rFonts w:hint="eastAsia"/>
          <w:sz w:val="24"/>
          <w:szCs w:val="24"/>
          <w:highlight w:val="none"/>
        </w:rPr>
        <w:t>提供全套技术文件纸介质</w:t>
      </w:r>
      <w:r>
        <w:rPr>
          <w:sz w:val="24"/>
          <w:szCs w:val="24"/>
          <w:highlight w:val="none"/>
        </w:rPr>
        <w:t>3套以及电子文件1套。</w:t>
      </w:r>
      <w:bookmarkEnd w:id="27"/>
    </w:p>
    <w:p w14:paraId="47E30884">
      <w:pPr>
        <w:pStyle w:val="14"/>
        <w:ind w:firstLine="420"/>
        <w:rPr>
          <w:rFonts w:hint="eastAsia"/>
          <w:highlight w:val="none"/>
        </w:rPr>
      </w:pPr>
    </w:p>
    <w:sectPr>
      <w:footerReference r:id="rId5" w:type="first"/>
      <w:pgSz w:w="11906" w:h="16838"/>
      <w:pgMar w:top="1134" w:right="1797" w:bottom="1135" w:left="1797" w:header="340" w:footer="7" w:gutter="0"/>
      <w:pgNumType w:start="1"/>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755E4">
    <w:pPr>
      <w:rPr>
        <w:lang w:val="zh-CN"/>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p w14:paraId="7866D4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810D99"/>
    <w:multiLevelType w:val="multilevel"/>
    <w:tmpl w:val="33810D99"/>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6A2F4AB3"/>
    <w:multiLevelType w:val="multilevel"/>
    <w:tmpl w:val="6A2F4AB3"/>
    <w:lvl w:ilvl="0" w:tentative="0">
      <w:start w:val="1"/>
      <w:numFmt w:val="chineseCountingThousand"/>
      <w:pStyle w:val="2"/>
      <w:suff w:val="nothing"/>
      <w:lvlText w:val="%1、"/>
      <w:lvlJc w:val="left"/>
      <w:pPr>
        <w:ind w:left="425" w:hanging="425"/>
      </w:pPr>
      <w:rPr>
        <w:rFonts w:hint="eastAsia"/>
        <w:sz w:val="32"/>
        <w:szCs w:val="32"/>
      </w:rPr>
    </w:lvl>
    <w:lvl w:ilvl="1" w:tentative="0">
      <w:start w:val="1"/>
      <w:numFmt w:val="decimal"/>
      <w:pStyle w:val="3"/>
      <w:isLgl/>
      <w:suff w:val="nothing"/>
      <w:lvlText w:val="%1.%2、"/>
      <w:lvlJc w:val="left"/>
      <w:pPr>
        <w:ind w:left="1135" w:hanging="567"/>
      </w:pPr>
    </w:lvl>
    <w:lvl w:ilvl="2" w:tentative="0">
      <w:start w:val="1"/>
      <w:numFmt w:val="decimal"/>
      <w:isLgl/>
      <w:suff w:val="nothing"/>
      <w:lvlText w:val="%1.%2.%3、"/>
      <w:lvlJc w:val="left"/>
      <w:pPr>
        <w:ind w:left="1069" w:hanging="1069"/>
      </w:pPr>
      <w:rPr>
        <w:rFonts w:hint="default" w:ascii="宋体" w:hAnsi="宋体" w:eastAsia="宋体" w:cs="Arial"/>
      </w:rPr>
    </w:lvl>
    <w:lvl w:ilvl="3" w:tentative="0">
      <w:start w:val="1"/>
      <w:numFmt w:val="decimal"/>
      <w:isLgl/>
      <w:suff w:val="nothing"/>
      <w:lvlText w:val="%1.%2.%3.%4、"/>
      <w:lvlJc w:val="left"/>
      <w:pPr>
        <w:ind w:left="3403" w:hanging="851"/>
      </w:pPr>
    </w:lvl>
    <w:lvl w:ilvl="4" w:tentative="0">
      <w:start w:val="1"/>
      <w:numFmt w:val="decimal"/>
      <w:isLgl/>
      <w:suff w:val="nothing"/>
      <w:lvlText w:val="%1.%2.%3.%4.%5、"/>
      <w:lvlJc w:val="left"/>
      <w:pPr>
        <w:ind w:left="3544" w:hanging="992"/>
      </w:pPr>
      <w:rPr>
        <w:rFonts w:hint="eastAsia"/>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2">
    <w:nsid w:val="783B41FD"/>
    <w:multiLevelType w:val="multilevel"/>
    <w:tmpl w:val="783B41FD"/>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2NjgwYzc2ODNhNDUzNzVhMjMyOTgzZDBjNjMxMmQifQ=="/>
  </w:docVars>
  <w:rsids>
    <w:rsidRoot w:val="00F25199"/>
    <w:rsid w:val="0006539F"/>
    <w:rsid w:val="000C4E83"/>
    <w:rsid w:val="000C4EDE"/>
    <w:rsid w:val="000E4B90"/>
    <w:rsid w:val="001A2E7D"/>
    <w:rsid w:val="00246DD7"/>
    <w:rsid w:val="002B3D20"/>
    <w:rsid w:val="00356A66"/>
    <w:rsid w:val="003C3806"/>
    <w:rsid w:val="003E4E06"/>
    <w:rsid w:val="004B6BB8"/>
    <w:rsid w:val="00572A74"/>
    <w:rsid w:val="00595616"/>
    <w:rsid w:val="005A56F2"/>
    <w:rsid w:val="00615719"/>
    <w:rsid w:val="00673D29"/>
    <w:rsid w:val="006F3B5B"/>
    <w:rsid w:val="006F495D"/>
    <w:rsid w:val="007053AA"/>
    <w:rsid w:val="00707F7D"/>
    <w:rsid w:val="007146F0"/>
    <w:rsid w:val="00737778"/>
    <w:rsid w:val="00740B42"/>
    <w:rsid w:val="007667C5"/>
    <w:rsid w:val="007D2DAE"/>
    <w:rsid w:val="007E63CB"/>
    <w:rsid w:val="00804A23"/>
    <w:rsid w:val="00891BD3"/>
    <w:rsid w:val="00926F89"/>
    <w:rsid w:val="0094437E"/>
    <w:rsid w:val="009901B5"/>
    <w:rsid w:val="009966BC"/>
    <w:rsid w:val="009F54AC"/>
    <w:rsid w:val="00A02054"/>
    <w:rsid w:val="00A4459B"/>
    <w:rsid w:val="00AD6B9D"/>
    <w:rsid w:val="00AE3044"/>
    <w:rsid w:val="00AF58FA"/>
    <w:rsid w:val="00B41822"/>
    <w:rsid w:val="00B51CD9"/>
    <w:rsid w:val="00BA2592"/>
    <w:rsid w:val="00BC13E9"/>
    <w:rsid w:val="00C06201"/>
    <w:rsid w:val="00D020E3"/>
    <w:rsid w:val="00D43984"/>
    <w:rsid w:val="00DF0E62"/>
    <w:rsid w:val="00E102F7"/>
    <w:rsid w:val="00E132C6"/>
    <w:rsid w:val="00E261BA"/>
    <w:rsid w:val="00E3562D"/>
    <w:rsid w:val="00ED41DA"/>
    <w:rsid w:val="00F25199"/>
    <w:rsid w:val="00FB37AD"/>
    <w:rsid w:val="1DD66F6D"/>
    <w:rsid w:val="20782638"/>
    <w:rsid w:val="2B0100FD"/>
    <w:rsid w:val="3D144CA7"/>
    <w:rsid w:val="3DD761F2"/>
    <w:rsid w:val="59017396"/>
    <w:rsid w:val="5DFDC6FB"/>
    <w:rsid w:val="5F351B48"/>
    <w:rsid w:val="5FED29B9"/>
    <w:rsid w:val="645D785C"/>
    <w:rsid w:val="6F1DB53B"/>
    <w:rsid w:val="7A5B1E8F"/>
    <w:rsid w:val="7AFF4ECB"/>
    <w:rsid w:val="7B0EC806"/>
    <w:rsid w:val="7BCF5AA4"/>
    <w:rsid w:val="7EE67F50"/>
    <w:rsid w:val="7FFFCB2E"/>
    <w:rsid w:val="BF77E85A"/>
    <w:rsid w:val="CFFB831C"/>
    <w:rsid w:val="D6F99CC2"/>
    <w:rsid w:val="DFFA13D7"/>
    <w:rsid w:val="E7FE8E75"/>
    <w:rsid w:val="F2BF87F6"/>
    <w:rsid w:val="F7911E21"/>
    <w:rsid w:val="FEF50B79"/>
    <w:rsid w:val="FF1C3936"/>
    <w:rsid w:val="FFBFC82B"/>
    <w:rsid w:val="FFE99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360" w:lineRule="auto"/>
      <w:ind w:firstLine="480" w:firstLineChars="200"/>
    </w:pPr>
    <w:rPr>
      <w:rFonts w:ascii="宋体" w:hAnsi="宋体" w:eastAsia="宋体" w:cs="Times New Roman"/>
      <w:color w:val="000000" w:themeColor="text1"/>
      <w:kern w:val="2"/>
      <w:sz w:val="24"/>
      <w:szCs w:val="24"/>
      <w:lang w:val="en-US" w:eastAsia="zh-CN" w:bidi="ar-SA"/>
      <w14:textFill>
        <w14:solidFill>
          <w14:schemeClr w14:val="tx1"/>
        </w14:solidFill>
      </w14:textFill>
    </w:rPr>
  </w:style>
  <w:style w:type="paragraph" w:styleId="2">
    <w:name w:val="heading 1"/>
    <w:basedOn w:val="1"/>
    <w:next w:val="1"/>
    <w:qFormat/>
    <w:uiPriority w:val="0"/>
    <w:pPr>
      <w:keepNext/>
      <w:keepLines/>
      <w:numPr>
        <w:ilvl w:val="0"/>
        <w:numId w:val="1"/>
      </w:numPr>
      <w:spacing w:before="120" w:after="120"/>
      <w:ind w:firstLine="0" w:firstLineChars="0"/>
      <w:outlineLvl w:val="0"/>
    </w:pPr>
    <w:rPr>
      <w:rFonts w:eastAsia="黑体"/>
      <w:b/>
      <w:bCs/>
      <w:kern w:val="44"/>
      <w:sz w:val="32"/>
      <w:szCs w:val="28"/>
    </w:rPr>
  </w:style>
  <w:style w:type="paragraph" w:styleId="3">
    <w:name w:val="heading 2"/>
    <w:basedOn w:val="1"/>
    <w:next w:val="1"/>
    <w:qFormat/>
    <w:uiPriority w:val="9"/>
    <w:pPr>
      <w:keepNext/>
      <w:keepLines/>
      <w:numPr>
        <w:ilvl w:val="1"/>
        <w:numId w:val="1"/>
      </w:numPr>
      <w:spacing w:before="120" w:after="120"/>
      <w:ind w:firstLine="0" w:firstLineChars="0"/>
      <w:outlineLvl w:val="1"/>
    </w:pPr>
    <w:rPr>
      <w:b/>
      <w:bCs/>
      <w:sz w:val="30"/>
      <w:szCs w:val="32"/>
    </w:rPr>
  </w:style>
  <w:style w:type="paragraph" w:styleId="4">
    <w:name w:val="heading 3"/>
    <w:basedOn w:val="1"/>
    <w:next w:val="1"/>
    <w:link w:val="17"/>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8"/>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9"/>
    <w:unhideWhenUsed/>
    <w:qFormat/>
    <w:uiPriority w:val="0"/>
    <w:pPr>
      <w:keepNext/>
      <w:keepLines/>
      <w:spacing w:before="280" w:after="290" w:line="376" w:lineRule="auto"/>
      <w:outlineLvl w:val="4"/>
    </w:pPr>
    <w:rPr>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Body Text"/>
    <w:basedOn w:val="1"/>
    <w:link w:val="16"/>
    <w:qFormat/>
    <w:uiPriority w:val="0"/>
    <w:pPr>
      <w:spacing w:after="120" w:line="240" w:lineRule="auto"/>
      <w:ind w:firstLine="420"/>
    </w:pPr>
    <w:rPr>
      <w:rFonts w:asciiTheme="minorHAnsi" w:hAnsiTheme="minorHAnsi"/>
      <w:color w:val="auto"/>
      <w:sz w:val="18"/>
      <w:szCs w:val="21"/>
      <w:lang w:bidi="zh-CN"/>
    </w:rPr>
  </w:style>
  <w:style w:type="paragraph" w:styleId="9">
    <w:name w:val="header"/>
    <w:basedOn w:val="1"/>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character" w:styleId="12">
    <w:name w:val="Strong"/>
    <w:basedOn w:val="11"/>
    <w:qFormat/>
    <w:uiPriority w:val="0"/>
    <w:rPr>
      <w:b/>
    </w:rPr>
  </w:style>
  <w:style w:type="paragraph" w:customStyle="1" w:styleId="13">
    <w:name w:val="正文缩进1"/>
    <w:basedOn w:val="1"/>
    <w:autoRedefine/>
    <w:qFormat/>
    <w:uiPriority w:val="0"/>
    <w:pPr>
      <w:spacing w:line="240" w:lineRule="auto"/>
      <w:ind w:firstLine="420"/>
    </w:pPr>
    <w:rPr>
      <w:rFonts w:ascii="Times New Roman" w:hAnsi="Times New Roman"/>
      <w:sz w:val="21"/>
      <w:szCs w:val="20"/>
    </w:rPr>
  </w:style>
  <w:style w:type="paragraph" w:customStyle="1" w:styleId="14">
    <w:name w:val="正文正文2"/>
    <w:basedOn w:val="1"/>
    <w:autoRedefine/>
    <w:qFormat/>
    <w:uiPriority w:val="0"/>
    <w:pPr>
      <w:ind w:firstLine="460"/>
    </w:pPr>
    <w:rPr>
      <w:sz w:val="21"/>
      <w:szCs w:val="21"/>
    </w:rPr>
  </w:style>
  <w:style w:type="paragraph" w:styleId="15">
    <w:name w:val="List Paragraph"/>
    <w:basedOn w:val="1"/>
    <w:unhideWhenUsed/>
    <w:qFormat/>
    <w:uiPriority w:val="99"/>
    <w:pPr>
      <w:ind w:firstLine="420"/>
    </w:pPr>
  </w:style>
  <w:style w:type="character" w:customStyle="1" w:styleId="16">
    <w:name w:val="正文文本 字符"/>
    <w:basedOn w:val="11"/>
    <w:link w:val="8"/>
    <w:qFormat/>
    <w:uiPriority w:val="0"/>
    <w:rPr>
      <w:rFonts w:eastAsia="宋体" w:cs="Times New Roman"/>
      <w:kern w:val="2"/>
      <w:sz w:val="18"/>
      <w:szCs w:val="21"/>
      <w:lang w:bidi="zh-CN"/>
    </w:rPr>
  </w:style>
  <w:style w:type="character" w:customStyle="1" w:styleId="17">
    <w:name w:val="标题 3 字符"/>
    <w:basedOn w:val="11"/>
    <w:link w:val="4"/>
    <w:semiHidden/>
    <w:qFormat/>
    <w:uiPriority w:val="0"/>
    <w:rPr>
      <w:rFonts w:ascii="宋体" w:hAnsi="宋体" w:eastAsia="宋体" w:cs="Times New Roman"/>
      <w:b/>
      <w:bCs/>
      <w:color w:val="000000" w:themeColor="text1"/>
      <w:kern w:val="2"/>
      <w:sz w:val="32"/>
      <w:szCs w:val="32"/>
      <w14:textFill>
        <w14:solidFill>
          <w14:schemeClr w14:val="tx1"/>
        </w14:solidFill>
      </w14:textFill>
    </w:rPr>
  </w:style>
  <w:style w:type="character" w:customStyle="1" w:styleId="18">
    <w:name w:val="标题 4 字符"/>
    <w:basedOn w:val="11"/>
    <w:link w:val="5"/>
    <w:qFormat/>
    <w:uiPriority w:val="0"/>
    <w:rPr>
      <w:rFonts w:asciiTheme="majorHAnsi" w:hAnsiTheme="majorHAnsi" w:eastAsiaTheme="majorEastAsia" w:cstheme="majorBidi"/>
      <w:b/>
      <w:bCs/>
      <w:color w:val="000000" w:themeColor="text1"/>
      <w:kern w:val="2"/>
      <w:sz w:val="28"/>
      <w:szCs w:val="28"/>
      <w14:textFill>
        <w14:solidFill>
          <w14:schemeClr w14:val="tx1"/>
        </w14:solidFill>
      </w14:textFill>
    </w:rPr>
  </w:style>
  <w:style w:type="character" w:customStyle="1" w:styleId="19">
    <w:name w:val="标题 5 字符"/>
    <w:basedOn w:val="11"/>
    <w:link w:val="6"/>
    <w:qFormat/>
    <w:uiPriority w:val="0"/>
    <w:rPr>
      <w:rFonts w:ascii="宋体" w:hAnsi="宋体" w:eastAsia="宋体" w:cs="Times New Roman"/>
      <w:b/>
      <w:bCs/>
      <w:color w:val="000000" w:themeColor="text1"/>
      <w:kern w:val="2"/>
      <w:sz w:val="28"/>
      <w:szCs w:val="28"/>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8131</Words>
  <Characters>9201</Characters>
  <Lines>190</Lines>
  <Paragraphs>53</Paragraphs>
  <TotalTime>29</TotalTime>
  <ScaleCrop>false</ScaleCrop>
  <LinksUpToDate>false</LinksUpToDate>
  <CharactersWithSpaces>9378</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2024-05-14T15:04:00Z</dcterms:created>
  <dc:creator>user</dc:creator>
  <cp:lastModifiedBy>user</cp:lastModifiedBy>
  <dcterms:modified xsi:type="dcterms:W3CDTF">2026-07-31T15:00:40Z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D590B825284534A29AFD6A6A4E70919E_43</vt:lpwstr>
  </property>
  <property fmtid="{D5CDD505-2E9C-101B-9397-08002B2CF9AE}" pid="4" name="KSOTemplateDocerSaveRecord">
    <vt:lpwstr>eyJoZGlkIjoiMjI0M2U3NmMxODIwZTIyNDc3MGRiMDlhMmE3MDQyM2EiLCJ1c2VySWQiOiIyNjEzNDIwODkifQ==</vt:lpwstr>
  </property>
</Properties>
</file>