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0EE48">
      <w:pPr>
        <w:pStyle w:val="2"/>
      </w:pPr>
      <w:r>
        <w:rPr>
          <w:rFonts w:hint="eastAsia"/>
        </w:rPr>
        <w:t>项目概况</w:t>
      </w:r>
    </w:p>
    <w:p w14:paraId="1AD9EDB7">
      <w:r>
        <w:rPr>
          <w:rFonts w:hint="eastAsia"/>
        </w:rPr>
        <w:t>一、国家战略与行业政策的精准锚定</w:t>
      </w:r>
      <w:r>
        <w:rPr>
          <w:rFonts w:hint="eastAsia" w:ascii="MS Mincho" w:hAnsi="MS Mincho" w:eastAsia="MS Mincho" w:cs="MS Mincho"/>
        </w:rPr>
        <w:t>​</w:t>
      </w:r>
    </w:p>
    <w:p w14:paraId="553CC0E0">
      <w:r>
        <w:rPr>
          <w:rFonts w:hint="eastAsia"/>
        </w:rPr>
        <w:t>国家</w:t>
      </w:r>
      <w:r>
        <w:rPr>
          <w:rFonts w:hint="eastAsia"/>
          <w:lang w:eastAsia="zh-CN"/>
        </w:rPr>
        <w:t>XC</w:t>
      </w:r>
      <w:r>
        <w:rPr>
          <w:rFonts w:hint="eastAsia"/>
        </w:rPr>
        <w:t>战略在医疗领域的落地，与血液管理的行业特性形成深度耦合。《“十四五”全民健康信息化规划》明确要求医疗机构核心系统实现国产化，而血液管理作为医疗供应链的 “生命线”，其</w:t>
      </w:r>
      <w:r>
        <w:rPr>
          <w:rFonts w:hint="eastAsia"/>
          <w:lang w:eastAsia="zh-CN"/>
        </w:rPr>
        <w:t>XC</w:t>
      </w:r>
      <w:r>
        <w:rPr>
          <w:rFonts w:hint="eastAsia"/>
        </w:rPr>
        <w:t>改造具有特殊紧迫性。卫健委《关</w:t>
      </w:r>
      <w:bookmarkStart w:id="5" w:name="_GoBack"/>
      <w:bookmarkEnd w:id="5"/>
      <w:r>
        <w:rPr>
          <w:rFonts w:hint="eastAsia"/>
        </w:rPr>
        <w:t>于进一步加强血液管理工作的意见》特别强调 “建立国家统筹的血液管理信息系统”，要求实现采供血、医疗机构、献血者信息全链条联网，这为</w:t>
      </w:r>
      <w:r>
        <w:rPr>
          <w:rFonts w:hint="eastAsia"/>
          <w:lang w:eastAsia="zh-CN"/>
        </w:rPr>
        <w:t>XC</w:t>
      </w:r>
      <w:r>
        <w:rPr>
          <w:rFonts w:hint="eastAsia"/>
        </w:rPr>
        <w:t>改造提供了直接政策依据。上海作为全国医疗信息化先行区，其血液管理系统需率先完成“用血、献血” 的全流程国产化适配，以响应 “健康中国” 战略对血液安全的刚性需求。</w:t>
      </w:r>
      <w:r>
        <w:rPr>
          <w:rFonts w:hint="eastAsia" w:ascii="MS Mincho" w:hAnsi="MS Mincho" w:eastAsia="MS Mincho" w:cs="MS Mincho"/>
        </w:rPr>
        <w:t>​</w:t>
      </w:r>
    </w:p>
    <w:p w14:paraId="5E96C966">
      <w:r>
        <w:rPr>
          <w:rFonts w:hint="eastAsia"/>
        </w:rPr>
        <w:t>二、国际形势下的供应链安全重构</w:t>
      </w:r>
      <w:r>
        <w:rPr>
          <w:rFonts w:hint="eastAsia" w:ascii="MS Mincho" w:hAnsi="MS Mincho" w:eastAsia="MS Mincho" w:cs="MS Mincho"/>
        </w:rPr>
        <w:t>​</w:t>
      </w:r>
    </w:p>
    <w:p w14:paraId="071BC569">
      <w:r>
        <w:rPr>
          <w:rFonts w:hint="eastAsia"/>
        </w:rPr>
        <w:t>国际技术封锁对血液管理的威胁具有双重性：</w:t>
      </w:r>
      <w:r>
        <w:rPr>
          <w:rFonts w:hint="eastAsia" w:ascii="MS Mincho" w:hAnsi="MS Mincho" w:eastAsia="MS Mincho" w:cs="MS Mincho"/>
        </w:rPr>
        <w:t>​</w:t>
      </w:r>
    </w:p>
    <w:p w14:paraId="6931050E">
      <w:r>
        <w:rPr>
          <w:rFonts w:hint="eastAsia"/>
        </w:rPr>
        <w:t>技术断供风险：传统血液管理系统依赖的Oracle数据库、Windows服务器等国外技术，在芯片断供背景下面临运维中断风险。数据主权危机：血液数据包含稀有血型、传染病筛查结果等敏感信息，跨境传输需符合欧盟GDPR等国际法规。上海作为国际化城市，其血液管理系统需通过国产化架构实现数据本地化存储与加密传输，避免“棱镜门”式的数据泄露风险。</w:t>
      </w:r>
      <w:r>
        <w:rPr>
          <w:rFonts w:hint="eastAsia" w:ascii="MS Mincho" w:hAnsi="MS Mincho" w:eastAsia="MS Mincho" w:cs="MS Mincho"/>
        </w:rPr>
        <w:t>​</w:t>
      </w:r>
    </w:p>
    <w:p w14:paraId="2B706ED9">
      <w:r>
        <w:rPr>
          <w:rFonts w:hint="eastAsia"/>
        </w:rPr>
        <w:t>三、血液行业特性驱动的</w:t>
      </w:r>
      <w:r>
        <w:rPr>
          <w:rFonts w:hint="eastAsia"/>
          <w:lang w:eastAsia="zh-CN"/>
        </w:rPr>
        <w:t>XC</w:t>
      </w:r>
      <w:r>
        <w:rPr>
          <w:rFonts w:hint="eastAsia"/>
        </w:rPr>
        <w:t>改造需求</w:t>
      </w:r>
      <w:r>
        <w:rPr>
          <w:rFonts w:hint="eastAsia" w:ascii="MS Mincho" w:hAnsi="MS Mincho" w:eastAsia="MS Mincho" w:cs="MS Mincho"/>
        </w:rPr>
        <w:t>​</w:t>
      </w:r>
    </w:p>
    <w:p w14:paraId="19C44731">
      <w:r>
        <w:rPr>
          <w:rFonts w:hint="eastAsia"/>
        </w:rPr>
        <w:t>业务全流程数字化刚需血液管理涵盖 “采集-检测-制备-运输-存储-使用”六大环节，需实时监控血液状态、动态调配库存（如长三角区域血液联动）。</w:t>
      </w:r>
      <w:r>
        <w:rPr>
          <w:rFonts w:hint="eastAsia" w:ascii="MS Mincho" w:hAnsi="MS Mincho" w:eastAsia="MS Mincho" w:cs="MS Mincho"/>
        </w:rPr>
        <w:t>​</w:t>
      </w:r>
    </w:p>
    <w:p w14:paraId="7D9E6BDD">
      <w:pPr>
        <w:rPr>
          <w:highlight w:val="none"/>
        </w:rPr>
      </w:pPr>
      <w:r>
        <w:rPr>
          <w:rFonts w:hint="eastAsia"/>
        </w:rPr>
        <w:t>数据安全与合规的双重底线血液数据属于《个人信息保护法》定义的敏感信息，</w:t>
      </w:r>
      <w:r>
        <w:rPr>
          <w:rFonts w:hint="eastAsia"/>
          <w:highlight w:val="none"/>
        </w:rPr>
        <w:t>需满足等保2.0三级标准。</w:t>
      </w:r>
      <w:r>
        <w:rPr>
          <w:rFonts w:hint="eastAsia"/>
          <w:highlight w:val="none"/>
          <w:lang w:eastAsia="zh-CN"/>
        </w:rPr>
        <w:t>XC</w:t>
      </w:r>
      <w:r>
        <w:rPr>
          <w:rFonts w:hint="eastAsia"/>
          <w:highlight w:val="none"/>
        </w:rPr>
        <w:t>改造需通过国产密码算法（SM2/SM3/SM4）实现数据全链路加密，并建立符合《</w:t>
      </w:r>
      <w:r>
        <w:rPr>
          <w:rFonts w:hint="eastAsia"/>
          <w:highlight w:val="none"/>
          <w:lang w:eastAsia="zh-CN"/>
        </w:rPr>
        <w:t>XC</w:t>
      </w:r>
      <w:r>
        <w:rPr>
          <w:rFonts w:hint="eastAsia"/>
          <w:highlight w:val="none"/>
        </w:rPr>
        <w:t>软件应用系统技术要求》的访问控制机制。</w:t>
      </w:r>
    </w:p>
    <w:p w14:paraId="2D3E3834"/>
    <w:p w14:paraId="11F8FD50">
      <w:pPr>
        <w:pStyle w:val="2"/>
      </w:pPr>
      <w:bookmarkStart w:id="0" w:name="_Toc63785463"/>
      <w:bookmarkStart w:id="1" w:name="_Toc48223882"/>
      <w:r>
        <w:rPr>
          <w:rFonts w:hint="eastAsia"/>
        </w:rPr>
        <w:t>建设目标</w:t>
      </w:r>
      <w:bookmarkEnd w:id="0"/>
      <w:bookmarkEnd w:id="1"/>
    </w:p>
    <w:p w14:paraId="3A23EB97">
      <w:pPr>
        <w:pStyle w:val="28"/>
        <w:rPr>
          <w:lang w:eastAsia="zh"/>
        </w:rPr>
      </w:pPr>
      <w:r>
        <w:rPr>
          <w:rFonts w:hint="eastAsia"/>
          <w:lang w:eastAsia="zh"/>
        </w:rPr>
        <w:t>以《关于实施党政机关电子公文系统安全可靠应用全面替代意见的通知》（厅字〔2019〕31号）、</w:t>
      </w:r>
      <w:r>
        <w:rPr>
          <w:rFonts w:hint="eastAsia"/>
        </w:rPr>
        <w:t>《国家信息化发展战略纲要》</w:t>
      </w:r>
      <w:r>
        <w:rPr>
          <w:rFonts w:hint="eastAsia"/>
          <w:lang w:eastAsia="zh"/>
        </w:rPr>
        <w:t>、《“十四五”推进国家政务信息化规划》、</w:t>
      </w:r>
      <w:r>
        <w:rPr>
          <w:rFonts w:hint="eastAsia"/>
        </w:rPr>
        <w:t>《关于做好 2025 年本市无偿献血工作的意见》</w:t>
      </w:r>
      <w:r>
        <w:rPr>
          <w:rFonts w:hint="eastAsia"/>
          <w:lang w:eastAsia="zh"/>
        </w:rPr>
        <w:t>等文件精神为指导，开展</w:t>
      </w:r>
      <w:r>
        <w:rPr>
          <w:rFonts w:hint="eastAsia"/>
          <w:lang w:eastAsia="zh-CN"/>
        </w:rPr>
        <w:t>上海市临床用血一体化管理系统（2026）升级改造项目</w:t>
      </w:r>
      <w:r>
        <w:rPr>
          <w:rFonts w:hint="eastAsia"/>
          <w:lang w:eastAsia="zh"/>
        </w:rPr>
        <w:t>，构建“自主可控、安全高效、智慧协同” 的</w:t>
      </w:r>
      <w:r>
        <w:rPr>
          <w:rFonts w:hint="eastAsia"/>
        </w:rPr>
        <w:t>数字化</w:t>
      </w:r>
      <w:r>
        <w:rPr>
          <w:rFonts w:hint="eastAsia"/>
          <w:lang w:eastAsia="zh"/>
        </w:rPr>
        <w:t>血液管理新体系，支撑上海医疗用血安全与城市公共卫生治理</w:t>
      </w:r>
      <w:r>
        <w:rPr>
          <w:rFonts w:hint="eastAsia"/>
        </w:rPr>
        <w:t>的</w:t>
      </w:r>
      <w:r>
        <w:rPr>
          <w:rFonts w:hint="eastAsia"/>
          <w:lang w:eastAsia="zh"/>
        </w:rPr>
        <w:t>能力提升</w:t>
      </w:r>
      <w:r>
        <w:rPr>
          <w:rFonts w:hint="eastAsia"/>
        </w:rPr>
        <w:t>。</w:t>
      </w:r>
    </w:p>
    <w:p w14:paraId="6946DE1F">
      <w:pPr>
        <w:pStyle w:val="2"/>
        <w:bidi w:val="0"/>
        <w:ind w:left="432" w:leftChars="0" w:hanging="432" w:firstLineChars="0"/>
        <w:rPr>
          <w:rFonts w:hint="default"/>
          <w:highlight w:val="none"/>
          <w:lang w:val="en-US" w:eastAsia="zh-CN"/>
        </w:rPr>
      </w:pPr>
      <w:r>
        <w:rPr>
          <w:rFonts w:hint="eastAsia"/>
        </w:rPr>
        <w:t>项目建设内容</w:t>
      </w:r>
    </w:p>
    <w:p w14:paraId="4742B189">
      <w:r>
        <w:rPr>
          <w:rFonts w:hint="eastAsia"/>
        </w:rPr>
        <w:t>具体建设内容包括：</w:t>
      </w:r>
    </w:p>
    <w:p w14:paraId="0FF72586">
      <w:pPr>
        <w:numPr>
          <w:ilvl w:val="0"/>
          <w:numId w:val="2"/>
        </w:numPr>
        <w:rPr>
          <w:rFonts w:hint="eastAsia" w:ascii="仿宋" w:hAnsi="仿宋" w:cs="仿宋"/>
          <w:lang w:eastAsia="zh-CN"/>
        </w:rPr>
      </w:pPr>
      <w:r>
        <w:rPr>
          <w:rFonts w:hint="eastAsia" w:ascii="仿宋" w:hAnsi="仿宋" w:cs="仿宋"/>
        </w:rPr>
        <w:t>完成全市</w:t>
      </w:r>
      <w:r>
        <w:rPr>
          <w:rFonts w:hint="eastAsia"/>
        </w:rPr>
        <w:t>临床用血一体化管理</w:t>
      </w:r>
      <w:r>
        <w:rPr>
          <w:rFonts w:hint="eastAsia" w:ascii="仿宋" w:hAnsi="仿宋" w:cs="仿宋"/>
          <w:szCs w:val="28"/>
        </w:rPr>
        <w:t>系统</w:t>
      </w:r>
      <w:r>
        <w:rPr>
          <w:rFonts w:hint="eastAsia" w:ascii="仿宋" w:hAnsi="仿宋" w:cs="仿宋"/>
        </w:rPr>
        <w:t>整体应用的</w:t>
      </w:r>
      <w:r>
        <w:rPr>
          <w:rFonts w:hint="eastAsia" w:ascii="仿宋" w:hAnsi="仿宋" w:cs="仿宋"/>
          <w:lang w:eastAsia="zh-CN"/>
        </w:rPr>
        <w:t>XC</w:t>
      </w:r>
      <w:r>
        <w:rPr>
          <w:rFonts w:hint="eastAsia" w:ascii="仿宋" w:hAnsi="仿宋" w:cs="仿宋"/>
        </w:rPr>
        <w:t>国产化改造与平滑替代</w:t>
      </w:r>
      <w:r>
        <w:rPr>
          <w:rFonts w:hint="eastAsia" w:ascii="仿宋" w:hAnsi="仿宋" w:cs="仿宋"/>
          <w:lang w:eastAsia="zh"/>
        </w:rPr>
        <w:t>，包括应用支撑</w:t>
      </w:r>
      <w:r>
        <w:rPr>
          <w:rFonts w:hint="eastAsia" w:ascii="仿宋" w:hAnsi="仿宋" w:cs="仿宋"/>
          <w:lang w:eastAsia="zh-CN"/>
        </w:rPr>
        <w:t>、</w:t>
      </w:r>
      <w:r>
        <w:rPr>
          <w:rFonts w:hint="eastAsia" w:ascii="仿宋" w:hAnsi="仿宋" w:cs="仿宋"/>
          <w:lang w:eastAsia="zh"/>
        </w:rPr>
        <w:t>服务渠道</w:t>
      </w:r>
      <w:r>
        <w:rPr>
          <w:rFonts w:hint="eastAsia" w:ascii="仿宋" w:hAnsi="仿宋" w:cs="仿宋"/>
          <w:lang w:eastAsia="zh-CN"/>
        </w:rPr>
        <w:t>、</w:t>
      </w:r>
      <w:r>
        <w:rPr>
          <w:rFonts w:hint="eastAsia" w:ascii="仿宋" w:hAnsi="仿宋" w:cs="仿宋"/>
          <w:lang w:eastAsia="zh"/>
        </w:rPr>
        <w:t>数据交换</w:t>
      </w:r>
      <w:r>
        <w:rPr>
          <w:rFonts w:hint="eastAsia" w:ascii="仿宋" w:hAnsi="仿宋" w:cs="仿宋"/>
          <w:lang w:eastAsia="zh-CN"/>
        </w:rPr>
        <w:t>、</w:t>
      </w:r>
      <w:r>
        <w:rPr>
          <w:rFonts w:hint="eastAsia" w:ascii="仿宋" w:hAnsi="仿宋" w:cs="仿宋"/>
          <w:lang w:eastAsia="zh"/>
        </w:rPr>
        <w:t>外部系统接口</w:t>
      </w:r>
      <w:r>
        <w:rPr>
          <w:rFonts w:hint="eastAsia" w:ascii="仿宋" w:hAnsi="仿宋" w:cs="仿宋"/>
          <w:lang w:eastAsia="zh-CN"/>
        </w:rPr>
        <w:t>、</w:t>
      </w:r>
      <w:r>
        <w:rPr>
          <w:rFonts w:hint="eastAsia" w:ascii="仿宋" w:hAnsi="仿宋" w:cs="仿宋"/>
          <w:lang w:eastAsia="zh"/>
        </w:rPr>
        <w:t>全市血液组织动员管理</w:t>
      </w:r>
      <w:r>
        <w:rPr>
          <w:rFonts w:hint="eastAsia" w:ascii="仿宋" w:hAnsi="仿宋" w:cs="仿宋"/>
          <w:lang w:eastAsia="zh-CN"/>
        </w:rPr>
        <w:t>、</w:t>
      </w:r>
      <w:r>
        <w:rPr>
          <w:rFonts w:hint="eastAsia" w:ascii="仿宋" w:hAnsi="仿宋" w:cs="仿宋"/>
          <w:lang w:eastAsia="zh"/>
        </w:rPr>
        <w:t>医院临床用血管理</w:t>
      </w:r>
      <w:r>
        <w:rPr>
          <w:rFonts w:hint="eastAsia" w:ascii="仿宋" w:hAnsi="仿宋" w:cs="仿宋"/>
          <w:lang w:eastAsia="zh-CN"/>
        </w:rPr>
        <w:t>、</w:t>
      </w:r>
      <w:r>
        <w:rPr>
          <w:rFonts w:hint="eastAsia" w:ascii="仿宋" w:hAnsi="仿宋" w:cs="仿宋"/>
          <w:lang w:eastAsia="zh"/>
        </w:rPr>
        <w:t>全市血液一体化平台医院输血科数据质量分析和管理</w:t>
      </w:r>
      <w:r>
        <w:rPr>
          <w:rFonts w:hint="eastAsia" w:ascii="仿宋" w:hAnsi="仿宋" w:cs="仿宋"/>
          <w:lang w:eastAsia="zh-CN"/>
        </w:rPr>
        <w:t>、</w:t>
      </w:r>
      <w:r>
        <w:rPr>
          <w:rFonts w:hint="eastAsia" w:ascii="仿宋" w:hAnsi="仿宋" w:cs="仿宋"/>
          <w:lang w:eastAsia="zh"/>
        </w:rPr>
        <w:t>长三角一体化移动展示</w:t>
      </w:r>
      <w:r>
        <w:rPr>
          <w:rFonts w:hint="eastAsia" w:ascii="仿宋" w:hAnsi="仿宋" w:cs="仿宋"/>
          <w:lang w:eastAsia="zh-CN"/>
        </w:rPr>
        <w:t>、</w:t>
      </w:r>
      <w:r>
        <w:rPr>
          <w:rFonts w:hint="eastAsia" w:ascii="仿宋" w:hAnsi="仿宋" w:cs="仿宋"/>
          <w:lang w:eastAsia="zh"/>
        </w:rPr>
        <w:t>长三角一体化应急可视</w:t>
      </w:r>
      <w:r>
        <w:rPr>
          <w:rFonts w:hint="eastAsia" w:ascii="仿宋" w:hAnsi="仿宋" w:cs="仿宋"/>
          <w:lang w:eastAsia="zh-CN"/>
        </w:rPr>
        <w:t>、</w:t>
      </w:r>
      <w:r>
        <w:rPr>
          <w:rFonts w:hint="eastAsia" w:ascii="仿宋" w:hAnsi="仿宋" w:cs="仿宋"/>
          <w:lang w:eastAsia="zh"/>
        </w:rPr>
        <w:t>线上互动招募</w:t>
      </w:r>
      <w:r>
        <w:rPr>
          <w:rFonts w:hint="eastAsia" w:ascii="仿宋" w:hAnsi="仿宋" w:cs="仿宋"/>
          <w:lang w:eastAsia="zh-CN"/>
        </w:rPr>
        <w:t>、</w:t>
      </w:r>
      <w:r>
        <w:rPr>
          <w:rFonts w:hint="eastAsia" w:ascii="仿宋" w:hAnsi="仿宋" w:cs="仿宋"/>
          <w:lang w:eastAsia="zh"/>
        </w:rPr>
        <w:t>精准招募</w:t>
      </w:r>
      <w:r>
        <w:rPr>
          <w:rFonts w:hint="eastAsia" w:ascii="仿宋" w:hAnsi="仿宋" w:cs="仿宋"/>
          <w:lang w:eastAsia="zh-CN"/>
        </w:rPr>
        <w:t>、</w:t>
      </w:r>
      <w:r>
        <w:rPr>
          <w:rFonts w:hint="eastAsia" w:ascii="仿宋" w:hAnsi="仿宋" w:cs="仿宋"/>
          <w:lang w:eastAsia="zh"/>
        </w:rPr>
        <w:t>献血者队伍组织动员管理</w:t>
      </w:r>
      <w:r>
        <w:rPr>
          <w:rFonts w:hint="eastAsia" w:ascii="仿宋" w:hAnsi="仿宋" w:cs="仿宋"/>
          <w:lang w:eastAsia="zh-CN"/>
        </w:rPr>
        <w:t>、</w:t>
      </w:r>
      <w:r>
        <w:rPr>
          <w:rFonts w:hint="eastAsia" w:ascii="仿宋" w:hAnsi="仿宋" w:cs="仿宋"/>
          <w:lang w:eastAsia="zh"/>
        </w:rPr>
        <w:t>献血者用血医院直接免费</w:t>
      </w:r>
      <w:r>
        <w:rPr>
          <w:rFonts w:hint="eastAsia" w:ascii="仿宋" w:hAnsi="仿宋" w:cs="仿宋"/>
          <w:lang w:eastAsia="zh-CN"/>
        </w:rPr>
        <w:t>、</w:t>
      </w:r>
      <w:r>
        <w:rPr>
          <w:rFonts w:hint="eastAsia" w:ascii="仿宋" w:hAnsi="仿宋" w:cs="仿宋"/>
          <w:lang w:eastAsia="zh"/>
        </w:rPr>
        <w:t>医院团体献血管理</w:t>
      </w:r>
      <w:r>
        <w:rPr>
          <w:rFonts w:hint="eastAsia" w:ascii="仿宋" w:hAnsi="仿宋" w:cs="仿宋"/>
          <w:lang w:eastAsia="zh-CN"/>
        </w:rPr>
        <w:t>、</w:t>
      </w:r>
      <w:r>
        <w:rPr>
          <w:rFonts w:hint="eastAsia" w:ascii="仿宋" w:hAnsi="仿宋" w:cs="仿宋"/>
          <w:lang w:eastAsia="zh"/>
        </w:rPr>
        <w:t>长三角血液保障血液调剂</w:t>
      </w:r>
      <w:r>
        <w:rPr>
          <w:rFonts w:hint="eastAsia" w:ascii="仿宋" w:hAnsi="仿宋" w:cs="仿宋"/>
          <w:lang w:eastAsia="zh-CN"/>
        </w:rPr>
        <w:t>、</w:t>
      </w:r>
      <w:r>
        <w:rPr>
          <w:rFonts w:hint="eastAsia" w:ascii="仿宋" w:hAnsi="仿宋" w:cs="仿宋"/>
          <w:lang w:eastAsia="zh"/>
        </w:rPr>
        <w:t>长三角血液保障联网安全屏蔽</w:t>
      </w:r>
      <w:r>
        <w:rPr>
          <w:rFonts w:hint="eastAsia" w:ascii="仿宋" w:hAnsi="仿宋" w:cs="仿宋"/>
          <w:lang w:eastAsia="zh-CN"/>
        </w:rPr>
        <w:t>、</w:t>
      </w:r>
      <w:r>
        <w:rPr>
          <w:rFonts w:hint="eastAsia" w:ascii="仿宋" w:hAnsi="仿宋" w:cs="仿宋"/>
          <w:lang w:eastAsia="zh"/>
        </w:rPr>
        <w:t>全市一体化平台特殊血型检测</w:t>
      </w:r>
      <w:r>
        <w:rPr>
          <w:rFonts w:hint="eastAsia" w:ascii="仿宋" w:hAnsi="仿宋" w:cs="仿宋"/>
          <w:lang w:eastAsia="zh-CN"/>
        </w:rPr>
        <w:t>、</w:t>
      </w:r>
      <w:r>
        <w:rPr>
          <w:rFonts w:hint="eastAsia" w:ascii="仿宋" w:hAnsi="仿宋" w:cs="仿宋"/>
          <w:lang w:eastAsia="zh"/>
        </w:rPr>
        <w:t>数据治理服务</w:t>
      </w:r>
      <w:r>
        <w:rPr>
          <w:rFonts w:hint="eastAsia" w:ascii="仿宋" w:hAnsi="仿宋" w:cs="仿宋"/>
          <w:lang w:eastAsia="zh-CN"/>
        </w:rPr>
        <w:t>。</w:t>
      </w:r>
    </w:p>
    <w:p w14:paraId="6AFC109A">
      <w:pPr>
        <w:numPr>
          <w:ilvl w:val="0"/>
          <w:numId w:val="2"/>
        </w:numPr>
        <w:rPr>
          <w:lang w:eastAsia="zh"/>
        </w:rPr>
      </w:pPr>
      <w:r>
        <w:rPr>
          <w:rFonts w:hint="eastAsia"/>
          <w:lang w:eastAsia="zh"/>
        </w:rPr>
        <w:t>创建</w:t>
      </w:r>
      <w:r>
        <w:rPr>
          <w:rFonts w:hint="eastAsia"/>
          <w:lang w:eastAsia="zh-CN"/>
        </w:rPr>
        <w:t>XC</w:t>
      </w:r>
      <w:r>
        <w:rPr>
          <w:rFonts w:hint="eastAsia"/>
          <w:lang w:eastAsia="zh"/>
        </w:rPr>
        <w:t>版血液数据中心</w:t>
      </w:r>
      <w:r>
        <w:rPr>
          <w:rFonts w:hint="eastAsia"/>
        </w:rPr>
        <w:t>：</w:t>
      </w:r>
      <w:r>
        <w:rPr>
          <w:rFonts w:hint="eastAsia"/>
          <w:lang w:eastAsia="zh"/>
        </w:rPr>
        <w:t>创建</w:t>
      </w:r>
      <w:r>
        <w:rPr>
          <w:rFonts w:hint="eastAsia"/>
          <w:lang w:eastAsia="zh-CN"/>
        </w:rPr>
        <w:t>XC</w:t>
      </w:r>
      <w:r>
        <w:rPr>
          <w:rFonts w:hint="eastAsia"/>
          <w:lang w:eastAsia="zh"/>
        </w:rPr>
        <w:t>版生产数据中心，生产数据同步周期接近实时，同时用于数据备份管理、备份预警管理、第三方应用数据查询接口。在完成数据一致性验证后，为生产数据库做完整迁移，作为生产系统。升级中间件系统，完整适配</w:t>
      </w:r>
      <w:r>
        <w:rPr>
          <w:rFonts w:hint="eastAsia"/>
          <w:lang w:eastAsia="zh-CN"/>
        </w:rPr>
        <w:t>XC</w:t>
      </w:r>
      <w:r>
        <w:rPr>
          <w:rFonts w:hint="eastAsia"/>
          <w:lang w:eastAsia="zh"/>
        </w:rPr>
        <w:t>数据库系统。</w:t>
      </w:r>
    </w:p>
    <w:p w14:paraId="2CE9E174">
      <w:r>
        <w:rPr>
          <w:rFonts w:hint="eastAsia"/>
        </w:rPr>
        <w:t>3、系统整合优化：根据信息系统归类表中的“大系统”清单，对于业务流程暂无变化且原系统稳定运行的情况，原系统作为子系统保留；对于业务流程优化重塑的情况，对原系统开展整合改造，采用松耦合方式，归并分散的系统功能，实现数据统一汇集和共享交互。</w:t>
      </w:r>
    </w:p>
    <w:p w14:paraId="5793C7A5">
      <w:pPr>
        <w:rPr>
          <w:rFonts w:hint="default"/>
          <w:lang w:val="en-US" w:eastAsia="zh-CN"/>
        </w:rPr>
      </w:pPr>
      <w:r>
        <w:rPr>
          <w:rFonts w:hint="eastAsia"/>
        </w:rPr>
        <w:t>4、密码改造：根据国家密码管理局相关要求，依托完全自主可控的国产密码技术，对</w:t>
      </w:r>
      <w:r>
        <w:rPr>
          <w:rFonts w:hint="eastAsia"/>
          <w:lang w:eastAsia="zh-CN"/>
        </w:rPr>
        <w:t>XC</w:t>
      </w:r>
      <w:r>
        <w:rPr>
          <w:rFonts w:hint="eastAsia"/>
        </w:rPr>
        <w:t>改造后的</w:t>
      </w:r>
      <w:r>
        <w:rPr>
          <w:rFonts w:hint="eastAsia" w:ascii="仿宋" w:hAnsi="仿宋" w:cs="仿宋"/>
        </w:rPr>
        <w:t>全市</w:t>
      </w:r>
      <w:r>
        <w:rPr>
          <w:rFonts w:hint="eastAsia"/>
        </w:rPr>
        <w:t>临床用血一体化管理</w:t>
      </w:r>
      <w:r>
        <w:rPr>
          <w:rFonts w:hint="eastAsia" w:ascii="仿宋" w:hAnsi="仿宋" w:cs="仿宋"/>
          <w:szCs w:val="28"/>
        </w:rPr>
        <w:t>系统</w:t>
      </w:r>
      <w:r>
        <w:rPr>
          <w:rFonts w:hint="eastAsia"/>
        </w:rPr>
        <w:t>进行密码支撑与应用设计，完善系统在身份识别、网络隔离、信息加密、完整性保护等方面的密码应用安全，为系统的安全可靠运行提供全面高效的密码支撑，保证达到国家密码管理局合规性、完整性和安全性要求。</w:t>
      </w:r>
    </w:p>
    <w:p w14:paraId="43533091">
      <w:pPr>
        <w:pStyle w:val="2"/>
        <w:bidi w:val="0"/>
        <w:ind w:left="432" w:leftChars="0" w:hanging="432" w:firstLineChars="0"/>
        <w:rPr>
          <w:rFonts w:hint="default"/>
          <w:highlight w:val="none"/>
          <w:lang w:val="en-US" w:eastAsia="zh-CN"/>
        </w:rPr>
      </w:pPr>
      <w:r>
        <w:rPr>
          <w:rFonts w:hint="eastAsia"/>
          <w:highlight w:val="none"/>
          <w:lang w:val="en-US" w:eastAsia="zh-CN"/>
        </w:rPr>
        <w:t>项目总体要求</w:t>
      </w:r>
    </w:p>
    <w:p w14:paraId="35DC0F77">
      <w:pPr>
        <w:numPr>
          <w:ilvl w:val="0"/>
          <w:numId w:val="3"/>
        </w:numPr>
        <w:rPr>
          <w:rFonts w:hint="eastAsia"/>
          <w:b w:val="0"/>
          <w:bCs w:val="0"/>
          <w:highlight w:val="none"/>
          <w:lang w:eastAsia="zh-CN"/>
        </w:rPr>
      </w:pPr>
      <w:r>
        <w:rPr>
          <w:rFonts w:hint="eastAsia"/>
          <w:b w:val="0"/>
          <w:bCs w:val="0"/>
          <w:highlight w:val="none"/>
          <w:lang w:eastAsia="zh-CN"/>
        </w:rPr>
        <w:t>当前</w:t>
      </w:r>
      <w:r>
        <w:rPr>
          <w:rFonts w:hint="eastAsia"/>
          <w:lang w:eastAsia="zh-CN"/>
        </w:rPr>
        <w:t>上海市临床用血一体化管理平台</w:t>
      </w:r>
      <w:r>
        <w:rPr>
          <w:rFonts w:hint="eastAsia"/>
          <w:lang w:val="en-US" w:eastAsia="zh-CN"/>
        </w:rPr>
        <w:t>存储了</w:t>
      </w:r>
      <w:r>
        <w:rPr>
          <w:rFonts w:hint="eastAsia"/>
        </w:rPr>
        <w:t>全市临床用血一体化管理、</w:t>
      </w:r>
      <w:r>
        <w:rPr>
          <w:rFonts w:hint="eastAsia"/>
          <w:lang w:eastAsia="zh-CN"/>
        </w:rPr>
        <w:t>突发公共卫生事件血液安全保障体系</w:t>
      </w:r>
      <w:r>
        <w:rPr>
          <w:rFonts w:hint="eastAsia"/>
          <w:lang w:val="en-US" w:eastAsia="zh-CN"/>
        </w:rPr>
        <w:t>等血液核心数据，本项目涉及的</w:t>
      </w:r>
      <w:r>
        <w:rPr>
          <w:rFonts w:hint="eastAsia"/>
          <w:b w:val="0"/>
          <w:bCs w:val="0"/>
          <w:highlight w:val="none"/>
          <w:lang w:eastAsia="zh-CN"/>
        </w:rPr>
        <w:t>数据库国产化迁移是确保</w:t>
      </w:r>
      <w:r>
        <w:rPr>
          <w:rFonts w:hint="eastAsia"/>
          <w:b w:val="0"/>
          <w:bCs w:val="0"/>
          <w:highlight w:val="none"/>
          <w:lang w:val="en-US" w:eastAsia="zh-CN"/>
        </w:rPr>
        <w:t>上海市血液管理办公室</w:t>
      </w:r>
      <w:r>
        <w:rPr>
          <w:rFonts w:hint="eastAsia"/>
          <w:b w:val="0"/>
          <w:bCs w:val="0"/>
          <w:highlight w:val="none"/>
          <w:lang w:eastAsia="zh-CN"/>
        </w:rPr>
        <w:t>核心系统XC改造前后业务连续性、数据安全和合规性的核心板块。本次数据库国产化迁移服务需独立部署，升级不影响现有</w:t>
      </w:r>
      <w:r>
        <w:rPr>
          <w:rFonts w:hint="eastAsia"/>
          <w:lang w:eastAsia="zh-CN"/>
        </w:rPr>
        <w:t>上海市临床用血一体化管理平台</w:t>
      </w:r>
      <w:r>
        <w:rPr>
          <w:rFonts w:hint="eastAsia"/>
          <w:b w:val="0"/>
          <w:bCs w:val="0"/>
          <w:highlight w:val="none"/>
          <w:lang w:eastAsia="zh-CN"/>
        </w:rPr>
        <w:t>的使用和日常业务开展，如在迁移过程中存在必要的停机，时间不得超过8小时</w:t>
      </w:r>
      <w:r>
        <w:rPr>
          <w:rFonts w:hint="eastAsia"/>
          <w:b/>
          <w:bCs/>
          <w:highlight w:val="none"/>
          <w:lang w:eastAsia="zh-CN"/>
        </w:rPr>
        <w:t>。</w:t>
      </w:r>
    </w:p>
    <w:p w14:paraId="181D79B1">
      <w:pPr>
        <w:numPr>
          <w:ilvl w:val="0"/>
          <w:numId w:val="3"/>
        </w:numPr>
        <w:rPr>
          <w:rFonts w:hint="eastAsia"/>
          <w:b/>
          <w:bCs/>
          <w:highlight w:val="none"/>
          <w:lang w:eastAsia="zh-CN"/>
        </w:rPr>
      </w:pPr>
      <w:r>
        <w:rPr>
          <w:rFonts w:hint="eastAsia"/>
          <w:highlight w:val="none"/>
        </w:rPr>
        <w:t>投标人</w:t>
      </w:r>
      <w:r>
        <w:rPr>
          <w:rFonts w:hint="eastAsia"/>
          <w:highlight w:val="none"/>
          <w:lang w:val="en-US" w:eastAsia="zh-CN"/>
        </w:rPr>
        <w:t>须</w:t>
      </w:r>
      <w:r>
        <w:rPr>
          <w:rFonts w:hint="eastAsia"/>
          <w:highlight w:val="none"/>
        </w:rPr>
        <w:t>具备对</w:t>
      </w:r>
      <w:r>
        <w:rPr>
          <w:rFonts w:hint="eastAsia"/>
          <w:highlight w:val="none"/>
          <w:lang w:val="en-US" w:eastAsia="zh-CN"/>
        </w:rPr>
        <w:t>采购人</w:t>
      </w:r>
      <w:r>
        <w:rPr>
          <w:rFonts w:hint="eastAsia"/>
          <w:highlight w:val="none"/>
        </w:rPr>
        <w:t>现有业务系统</w:t>
      </w:r>
      <w:r>
        <w:rPr>
          <w:rFonts w:hint="eastAsia"/>
          <w:highlight w:val="none"/>
          <w:lang w:val="en-US" w:eastAsia="zh-CN"/>
        </w:rPr>
        <w:t>与第三方系统</w:t>
      </w:r>
      <w:r>
        <w:rPr>
          <w:rFonts w:hint="eastAsia"/>
          <w:highlight w:val="none"/>
        </w:rPr>
        <w:t>（如</w:t>
      </w:r>
      <w:r>
        <w:rPr>
          <w:rFonts w:hint="eastAsia"/>
          <w:highlight w:val="none"/>
          <w:lang w:val="en-US" w:eastAsia="zh-CN"/>
        </w:rPr>
        <w:t>社会化媒体平台、上海市血液中心业务系统</w:t>
      </w:r>
      <w:r>
        <w:rPr>
          <w:rFonts w:hint="eastAsia"/>
          <w:highlight w:val="none"/>
        </w:rPr>
        <w:t>）进行深度关联分析的能力，能够识别并处理系统模块间的字段级影响及连锁反应，确保主系统迁移改造不影响整体业务协同运行</w:t>
      </w:r>
      <w:r>
        <w:rPr>
          <w:rFonts w:hint="eastAsia"/>
          <w:highlight w:val="none"/>
          <w:lang w:eastAsia="zh-CN"/>
        </w:rPr>
        <w:t>。</w:t>
      </w:r>
    </w:p>
    <w:p w14:paraId="7785C387">
      <w:pPr>
        <w:numPr>
          <w:ilvl w:val="0"/>
          <w:numId w:val="3"/>
        </w:numPr>
        <w:rPr>
          <w:rFonts w:hint="eastAsia"/>
          <w:highlight w:val="none"/>
          <w:lang w:eastAsia="zh-CN"/>
        </w:rPr>
      </w:pPr>
      <w:r>
        <w:rPr>
          <w:rFonts w:hint="eastAsia"/>
          <w:highlight w:val="none"/>
        </w:rPr>
        <w:t>投标人</w:t>
      </w:r>
      <w:r>
        <w:rPr>
          <w:rFonts w:hint="eastAsia"/>
          <w:highlight w:val="none"/>
          <w:lang w:val="en-US" w:eastAsia="zh-CN"/>
        </w:rPr>
        <w:t>应能够结合项目需求</w:t>
      </w:r>
      <w:r>
        <w:rPr>
          <w:rFonts w:hint="eastAsia"/>
          <w:highlight w:val="none"/>
        </w:rPr>
        <w:t>，</w:t>
      </w:r>
      <w:r>
        <w:rPr>
          <w:rFonts w:hint="eastAsia"/>
          <w:highlight w:val="none"/>
          <w:lang w:val="en-US" w:eastAsia="zh-CN"/>
        </w:rPr>
        <w:t>提出具有创新性和可行性的</w:t>
      </w:r>
      <w:r>
        <w:rPr>
          <w:rFonts w:hint="eastAsia"/>
          <w:highlight w:val="none"/>
        </w:rPr>
        <w:t>技术方案，包括但不限于系统间数据流转、接口控制、业务协同机制等方面的创新设计。</w:t>
      </w:r>
    </w:p>
    <w:p w14:paraId="0847023A">
      <w:pPr>
        <w:numPr>
          <w:ilvl w:val="0"/>
          <w:numId w:val="3"/>
        </w:numPr>
        <w:rPr>
          <w:rFonts w:hint="eastAsia"/>
          <w:highlight w:val="none"/>
          <w:lang w:eastAsia="zh-CN"/>
        </w:rPr>
      </w:pPr>
      <w:r>
        <w:rPr>
          <w:rFonts w:hint="eastAsia"/>
          <w:highlight w:val="none"/>
        </w:rPr>
        <w:t>投标人</w:t>
      </w:r>
      <w:r>
        <w:rPr>
          <w:rFonts w:hint="eastAsia"/>
          <w:highlight w:val="none"/>
          <w:lang w:val="en-US" w:eastAsia="zh-CN"/>
        </w:rPr>
        <w:t>须</w:t>
      </w:r>
      <w:r>
        <w:rPr>
          <w:rFonts w:hint="eastAsia"/>
          <w:highlight w:val="none"/>
        </w:rPr>
        <w:t>具备对</w:t>
      </w:r>
      <w:r>
        <w:rPr>
          <w:rFonts w:hint="eastAsia"/>
          <w:highlight w:val="none"/>
          <w:lang w:eastAsia="zh-CN"/>
        </w:rPr>
        <w:t>XC</w:t>
      </w:r>
      <w:r>
        <w:rPr>
          <w:rFonts w:hint="eastAsia"/>
          <w:highlight w:val="none"/>
        </w:rPr>
        <w:t>改造项目进行全局影响评估的能力，能够识别主系统改动所引发的连锁反应，并提出相应的风险控制措施，确保系统迁移过程中的业务连续性和数据完整性。</w:t>
      </w:r>
    </w:p>
    <w:p w14:paraId="7B725B06">
      <w:pPr>
        <w:numPr>
          <w:ilvl w:val="0"/>
          <w:numId w:val="3"/>
        </w:numPr>
        <w:rPr>
          <w:rFonts w:hint="eastAsia"/>
          <w:highlight w:val="none"/>
          <w:lang w:eastAsia="zh-CN"/>
        </w:rPr>
      </w:pPr>
      <w:r>
        <w:rPr>
          <w:rFonts w:hint="eastAsia"/>
          <w:highlight w:val="none"/>
        </w:rPr>
        <w:t>投标人</w:t>
      </w:r>
      <w:r>
        <w:rPr>
          <w:rFonts w:hint="eastAsia"/>
          <w:highlight w:val="none"/>
          <w:lang w:eastAsia="zh-CN"/>
        </w:rPr>
        <w:t>须</w:t>
      </w:r>
      <w:r>
        <w:rPr>
          <w:rFonts w:hint="eastAsia"/>
          <w:highlight w:val="none"/>
        </w:rPr>
        <w:t>具备模块级及字段级的系统改造经验，能够对主系统及各子模块进行精细化梳理，明确改造范围与边界，避免因范围不清导致的核减或重复建设。</w:t>
      </w:r>
    </w:p>
    <w:p w14:paraId="7D6A3EB6">
      <w:pPr>
        <w:numPr>
          <w:ilvl w:val="0"/>
          <w:numId w:val="3"/>
        </w:numPr>
        <w:rPr>
          <w:rFonts w:hint="default"/>
          <w:b w:val="0"/>
          <w:bCs w:val="0"/>
          <w:highlight w:val="none"/>
          <w:lang w:val="en-US" w:eastAsia="zh-CN"/>
        </w:rPr>
      </w:pPr>
      <w:r>
        <w:rPr>
          <w:rFonts w:hint="eastAsia"/>
          <w:highlight w:val="none"/>
        </w:rPr>
        <w:t>投标人应能够从系统关联性、技术可行性、风险控制等多维度对技术方案进行综合分析，突出方案的差异化优势。</w:t>
      </w:r>
    </w:p>
    <w:p w14:paraId="69BE90C2">
      <w:pPr>
        <w:pStyle w:val="2"/>
        <w:bidi w:val="0"/>
        <w:rPr>
          <w:rFonts w:hint="eastAsia"/>
          <w:highlight w:val="none"/>
          <w:lang w:val="en-US" w:eastAsia="zh-CN"/>
        </w:rPr>
      </w:pPr>
      <w:r>
        <w:rPr>
          <w:rFonts w:hint="eastAsia"/>
          <w:highlight w:val="none"/>
          <w:lang w:val="en-US" w:eastAsia="zh-CN"/>
        </w:rPr>
        <w:t>项目具体建设要求</w:t>
      </w:r>
    </w:p>
    <w:p w14:paraId="33439AD4">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highlight w:val="none"/>
          <w:lang w:val="en-US" w:eastAsia="zh-CN"/>
        </w:rPr>
      </w:pPr>
      <w:r>
        <w:rPr>
          <w:rFonts w:hint="eastAsia"/>
          <w:b w:val="0"/>
          <w:bCs w:val="0"/>
          <w:highlight w:val="none"/>
          <w:lang w:eastAsia="zh-CN"/>
        </w:rPr>
        <w:t>当前</w:t>
      </w:r>
      <w:r>
        <w:rPr>
          <w:rFonts w:hint="eastAsia"/>
          <w:lang w:eastAsia="zh-CN"/>
        </w:rPr>
        <w:t>上海市临床用血一体化管理平台</w:t>
      </w:r>
      <w:r>
        <w:rPr>
          <w:rFonts w:hint="eastAsia"/>
          <w:b w:val="0"/>
          <w:bCs w:val="0"/>
          <w:highlight w:val="none"/>
          <w:lang w:val="en-US" w:eastAsia="zh-CN"/>
        </w:rPr>
        <w:t>的核心数据均保存在Oracle数据库，为保证项目执行过程中血液数据的充分安全，</w:t>
      </w:r>
      <w:r>
        <w:rPr>
          <w:rFonts w:hint="eastAsia"/>
          <w:highlight w:val="none"/>
          <w:lang w:val="en-US" w:eastAsia="zh-CN"/>
        </w:rPr>
        <w:t>投标人须具备以下技术能力：</w:t>
      </w:r>
    </w:p>
    <w:p w14:paraId="4925A198">
      <w:pPr>
        <w:pStyle w:val="3"/>
        <w:bidi w:val="0"/>
        <w:ind w:left="575" w:hanging="575"/>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数据深度分析能力</w:t>
      </w:r>
    </w:p>
    <w:p w14:paraId="0DF67343">
      <w:pPr>
        <w:numPr>
          <w:ilvl w:val="0"/>
          <w:numId w:val="4"/>
        </w:numPr>
        <w:ind w:left="425" w:leftChars="0" w:hanging="425" w:firstLineChars="0"/>
        <w:rPr>
          <w:rFonts w:hint="eastAsia"/>
          <w:highlight w:val="none"/>
          <w:lang w:val="en-US" w:eastAsia="zh-CN"/>
        </w:rPr>
      </w:pPr>
      <w:r>
        <w:rPr>
          <w:rFonts w:hint="eastAsia"/>
          <w:highlight w:val="none"/>
          <w:lang w:val="en-US" w:eastAsia="zh-CN"/>
        </w:rPr>
        <w:t>投标人须提供Oracle特性兼容性分析方案报告（触发器、物化视图、序列等）</w:t>
      </w:r>
    </w:p>
    <w:p w14:paraId="045E8B8F">
      <w:pPr>
        <w:numPr>
          <w:ilvl w:val="0"/>
          <w:numId w:val="4"/>
        </w:numPr>
        <w:ind w:left="425" w:leftChars="0" w:hanging="425" w:firstLineChars="0"/>
        <w:rPr>
          <w:rFonts w:hint="eastAsia"/>
          <w:highlight w:val="none"/>
          <w:lang w:val="en-US" w:eastAsia="zh-CN"/>
        </w:rPr>
      </w:pPr>
      <w:r>
        <w:rPr>
          <w:rFonts w:hint="eastAsia"/>
          <w:highlight w:val="none"/>
          <w:lang w:val="en-US" w:eastAsia="zh-CN"/>
        </w:rPr>
        <w:t>各特性在XC数据库中的实现方案/替代方案</w:t>
      </w:r>
    </w:p>
    <w:p w14:paraId="335B5A00">
      <w:pPr>
        <w:numPr>
          <w:ilvl w:val="0"/>
          <w:numId w:val="4"/>
        </w:numPr>
        <w:ind w:left="425" w:leftChars="0" w:hanging="425" w:firstLineChars="0"/>
        <w:rPr>
          <w:rFonts w:hint="eastAsia"/>
          <w:highlight w:val="none"/>
          <w:lang w:val="en-US" w:eastAsia="zh-CN"/>
        </w:rPr>
      </w:pPr>
      <w:r>
        <w:rPr>
          <w:rFonts w:hint="eastAsia"/>
          <w:highlight w:val="none"/>
          <w:lang w:val="en-US" w:eastAsia="zh-CN"/>
        </w:rPr>
        <w:t>数据质量分析：空值、重复、异常数据分布、索引使用情况</w:t>
      </w:r>
    </w:p>
    <w:p w14:paraId="2FFF2A4D">
      <w:pPr>
        <w:numPr>
          <w:ilvl w:val="0"/>
          <w:numId w:val="4"/>
        </w:numPr>
        <w:ind w:left="425" w:leftChars="0" w:hanging="425" w:firstLineChars="0"/>
        <w:rPr>
          <w:rFonts w:hint="eastAsia"/>
          <w:highlight w:val="none"/>
          <w:lang w:val="en-US" w:eastAsia="zh-CN"/>
        </w:rPr>
      </w:pPr>
      <w:r>
        <w:rPr>
          <w:rFonts w:hint="eastAsia"/>
          <w:highlight w:val="none"/>
          <w:lang w:val="en-US" w:eastAsia="zh-CN"/>
        </w:rPr>
        <w:t>字符集、时区、日期格式差异分析</w:t>
      </w:r>
    </w:p>
    <w:p w14:paraId="22663B51">
      <w:pPr>
        <w:pStyle w:val="3"/>
        <w:bidi w:val="0"/>
        <w:ind w:left="575" w:hanging="575"/>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分阶段验证机制能力</w:t>
      </w:r>
    </w:p>
    <w:p w14:paraId="4232EF8E">
      <w:pPr>
        <w:numPr>
          <w:ilvl w:val="0"/>
          <w:numId w:val="5"/>
        </w:numPr>
        <w:ind w:left="425" w:leftChars="0" w:hanging="425" w:firstLineChars="0"/>
        <w:rPr>
          <w:rFonts w:hint="eastAsia"/>
          <w:highlight w:val="none"/>
          <w:lang w:val="en-US" w:eastAsia="zh-CN"/>
        </w:rPr>
      </w:pPr>
      <w:r>
        <w:rPr>
          <w:rFonts w:hint="eastAsia"/>
          <w:highlight w:val="none"/>
          <w:lang w:val="en-US" w:eastAsia="zh-CN"/>
        </w:rPr>
        <w:t>性能回归测试：迁移前后核心业务响应时间对比测试计划</w:t>
      </w:r>
    </w:p>
    <w:p w14:paraId="12E685A0">
      <w:pPr>
        <w:pStyle w:val="3"/>
        <w:bidi w:val="0"/>
        <w:ind w:left="575" w:hanging="575"/>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停机窗口精细化控制能力</w:t>
      </w:r>
    </w:p>
    <w:p w14:paraId="56E24536">
      <w:pPr>
        <w:numPr>
          <w:ilvl w:val="0"/>
          <w:numId w:val="6"/>
        </w:numPr>
        <w:ind w:left="425" w:leftChars="0" w:hanging="425" w:firstLineChars="0"/>
        <w:rPr>
          <w:rFonts w:hint="eastAsia"/>
          <w:highlight w:val="none"/>
          <w:lang w:val="en-US" w:eastAsia="zh-CN"/>
        </w:rPr>
      </w:pPr>
      <w:r>
        <w:rPr>
          <w:rFonts w:hint="eastAsia"/>
          <w:highlight w:val="none"/>
          <w:lang w:val="en-US" w:eastAsia="zh-CN"/>
        </w:rPr>
        <w:t>限定停机时间：≤8小时（24:00-08:00）；要点：数据冻结点确定、增量追平时间、应用切换、回滚触发条件；</w:t>
      </w:r>
    </w:p>
    <w:p w14:paraId="7874EC46">
      <w:pPr>
        <w:numPr>
          <w:ilvl w:val="0"/>
          <w:numId w:val="6"/>
        </w:numPr>
        <w:ind w:left="425" w:leftChars="0" w:hanging="425" w:firstLineChars="0"/>
        <w:rPr>
          <w:rFonts w:hint="eastAsia"/>
          <w:highlight w:val="none"/>
          <w:lang w:val="en-US" w:eastAsia="zh-CN"/>
        </w:rPr>
      </w:pPr>
      <w:r>
        <w:rPr>
          <w:rFonts w:hint="eastAsia"/>
          <w:highlight w:val="none"/>
          <w:lang w:val="en-US" w:eastAsia="zh-CN"/>
        </w:rPr>
        <w:t>提供模拟演练报告（真实数据、真实环境）</w:t>
      </w:r>
    </w:p>
    <w:p w14:paraId="3B943670">
      <w:pPr>
        <w:pStyle w:val="3"/>
        <w:bidi w:val="0"/>
        <w:ind w:left="575" w:hanging="575"/>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应急回滚能力</w:t>
      </w:r>
    </w:p>
    <w:p w14:paraId="5B22A165">
      <w:pPr>
        <w:numPr>
          <w:ilvl w:val="0"/>
          <w:numId w:val="7"/>
        </w:numPr>
        <w:ind w:left="425" w:leftChars="0" w:hanging="425" w:firstLineChars="0"/>
        <w:rPr>
          <w:rFonts w:hint="eastAsia"/>
          <w:highlight w:val="none"/>
          <w:lang w:val="en-US" w:eastAsia="zh-CN"/>
        </w:rPr>
      </w:pPr>
      <w:r>
        <w:rPr>
          <w:rFonts w:hint="eastAsia"/>
          <w:highlight w:val="none"/>
          <w:lang w:val="en-US" w:eastAsia="zh-CN"/>
        </w:rPr>
        <w:t>提供应急回滚方案：应用层快速回滚开关（≤30分钟）</w:t>
      </w:r>
    </w:p>
    <w:p w14:paraId="5CAAD6F6">
      <w:pPr>
        <w:numPr>
          <w:ilvl w:val="0"/>
          <w:numId w:val="7"/>
        </w:numPr>
        <w:ind w:left="425" w:leftChars="0" w:hanging="425" w:firstLineChars="0"/>
        <w:rPr>
          <w:rFonts w:hint="eastAsia"/>
          <w:highlight w:val="none"/>
          <w:lang w:val="en-US" w:eastAsia="zh-CN"/>
        </w:rPr>
      </w:pPr>
      <w:r>
        <w:rPr>
          <w:rFonts w:hint="eastAsia"/>
          <w:highlight w:val="none"/>
          <w:lang w:val="en-US" w:eastAsia="zh-CN"/>
        </w:rPr>
        <w:t>全量Oracle恢复（≤8小时）</w:t>
      </w:r>
    </w:p>
    <w:p w14:paraId="685731BA">
      <w:pPr>
        <w:numPr>
          <w:ilvl w:val="0"/>
          <w:numId w:val="7"/>
        </w:numPr>
        <w:ind w:left="425" w:leftChars="0" w:hanging="425" w:firstLineChars="0"/>
        <w:rPr>
          <w:rFonts w:hint="eastAsia"/>
          <w:highlight w:val="none"/>
          <w:lang w:val="en-US" w:eastAsia="zh-CN"/>
        </w:rPr>
      </w:pPr>
      <w:r>
        <w:rPr>
          <w:rFonts w:hint="eastAsia"/>
          <w:highlight w:val="none"/>
          <w:lang w:val="en-US" w:eastAsia="zh-CN"/>
        </w:rPr>
        <w:t>要求明确回滚触发条件（如性能下降&gt;30%、关键业务失败&gt;1%）</w:t>
      </w:r>
    </w:p>
    <w:p w14:paraId="5C15150A">
      <w:pPr>
        <w:pStyle w:val="3"/>
        <w:bidi w:val="0"/>
        <w:ind w:left="575" w:hanging="575"/>
        <w:rPr>
          <w:rFonts w:hint="eastAsia"/>
          <w:highlight w:val="none"/>
          <w:lang w:val="en-US" w:eastAsia="zh-CN"/>
        </w:rPr>
      </w:pPr>
      <w:r>
        <w:rPr>
          <w:rFonts w:hint="eastAsia"/>
          <w:highlight w:val="none"/>
          <w:lang w:val="en-US" w:eastAsia="zh-CN"/>
        </w:rPr>
        <w:t>核心数据库适配能力</w:t>
      </w:r>
    </w:p>
    <w:p w14:paraId="21B310C5">
      <w:pPr>
        <w:pStyle w:val="4"/>
        <w:bidi w:val="0"/>
        <w:rPr>
          <w:rFonts w:hint="eastAsia"/>
          <w:highlight w:val="none"/>
          <w:lang w:val="en-US" w:eastAsia="zh-CN"/>
        </w:rPr>
      </w:pPr>
      <w:r>
        <w:rPr>
          <w:rFonts w:ascii="Arial" w:hAnsi="Arial" w:eastAsia="等线" w:cs="Arial"/>
          <w:highlight w:val="none"/>
        </w:rPr>
        <w:t>架构设计</w:t>
      </w:r>
    </w:p>
    <w:p w14:paraId="4778939B">
      <w:pPr>
        <w:numPr>
          <w:ilvl w:val="0"/>
          <w:numId w:val="8"/>
        </w:numPr>
        <w:ind w:left="425" w:leftChars="0" w:hanging="425" w:firstLineChars="0"/>
        <w:rPr>
          <w:rFonts w:hint="eastAsia"/>
          <w:b w:val="0"/>
          <w:bCs w:val="0"/>
          <w:highlight w:val="none"/>
          <w:lang w:val="en-US" w:eastAsia="zh-CN"/>
        </w:rPr>
      </w:pPr>
      <w:r>
        <w:rPr>
          <w:rFonts w:hint="eastAsia"/>
          <w:b w:val="0"/>
          <w:bCs w:val="0"/>
          <w:highlight w:val="none"/>
          <w:lang w:val="en-US" w:eastAsia="zh-CN"/>
        </w:rPr>
        <w:t>采用计算和存储分离架构，不同组件可在线不间断地独立部署和扩展。</w:t>
      </w:r>
    </w:p>
    <w:p w14:paraId="7F194368">
      <w:pPr>
        <w:numPr>
          <w:ilvl w:val="0"/>
          <w:numId w:val="8"/>
        </w:numPr>
        <w:ind w:left="425" w:leftChars="0" w:hanging="425" w:firstLineChars="0"/>
        <w:rPr>
          <w:rFonts w:hint="eastAsia"/>
          <w:b w:val="0"/>
          <w:bCs w:val="0"/>
          <w:highlight w:val="none"/>
          <w:lang w:val="en-US" w:eastAsia="zh-CN"/>
        </w:rPr>
      </w:pPr>
      <w:r>
        <w:rPr>
          <w:rFonts w:hint="eastAsia"/>
          <w:b w:val="0"/>
          <w:bCs w:val="0"/>
          <w:highlight w:val="none"/>
          <w:lang w:val="en-US" w:eastAsia="zh-CN"/>
        </w:rPr>
        <w:t>计算节点：提供完整的 SQL 支持，包含连接器、解析器、CBO 优化器和执行器功能。</w:t>
      </w:r>
    </w:p>
    <w:p w14:paraId="635B631B">
      <w:pPr>
        <w:numPr>
          <w:ilvl w:val="0"/>
          <w:numId w:val="8"/>
        </w:numPr>
        <w:ind w:left="425" w:leftChars="0" w:hanging="425" w:firstLineChars="0"/>
        <w:rPr>
          <w:rFonts w:hint="eastAsia"/>
          <w:b w:val="0"/>
          <w:bCs w:val="0"/>
          <w:highlight w:val="none"/>
          <w:lang w:val="en-US" w:eastAsia="zh-CN"/>
        </w:rPr>
      </w:pPr>
      <w:r>
        <w:rPr>
          <w:rFonts w:hint="eastAsia"/>
          <w:b w:val="0"/>
          <w:bCs w:val="0"/>
          <w:highlight w:val="none"/>
          <w:lang w:val="en-US" w:eastAsia="zh-CN"/>
        </w:rPr>
        <w:t>存储节点：提供存储引擎的功能，具备分布式多副本数据保护、MVCC、分布式事务等功能。</w:t>
      </w:r>
    </w:p>
    <w:p w14:paraId="04806C95">
      <w:pPr>
        <w:numPr>
          <w:ilvl w:val="0"/>
          <w:numId w:val="8"/>
        </w:numPr>
        <w:ind w:left="425" w:leftChars="0" w:hanging="425" w:firstLineChars="0"/>
        <w:rPr>
          <w:rFonts w:hint="eastAsia"/>
          <w:b w:val="0"/>
          <w:bCs w:val="0"/>
          <w:highlight w:val="none"/>
          <w:lang w:val="en-US" w:eastAsia="zh-CN"/>
        </w:rPr>
      </w:pPr>
      <w:r>
        <w:rPr>
          <w:rFonts w:hint="eastAsia"/>
          <w:b w:val="0"/>
          <w:bCs w:val="0"/>
          <w:highlight w:val="none"/>
          <w:lang w:val="en-US" w:eastAsia="zh-CN"/>
        </w:rPr>
        <w:t>存储引擎：基于 LSM Tree 引擎，数据多副本基于 Multi Raft 一致性协议实现。</w:t>
      </w:r>
    </w:p>
    <w:p w14:paraId="461F6B4D">
      <w:pPr>
        <w:pStyle w:val="4"/>
        <w:bidi w:val="0"/>
        <w:rPr>
          <w:rFonts w:hint="eastAsia"/>
          <w:highlight w:val="none"/>
          <w:lang w:val="en-US" w:eastAsia="zh-CN"/>
        </w:rPr>
      </w:pPr>
      <w:r>
        <w:rPr>
          <w:rFonts w:ascii="Arial" w:hAnsi="Arial" w:eastAsia="等线" w:cs="Arial"/>
          <w:highlight w:val="none"/>
        </w:rPr>
        <w:t>开发兼容性</w:t>
      </w:r>
    </w:p>
    <w:p w14:paraId="545C5C53">
      <w:pPr>
        <w:keepNext w:val="0"/>
        <w:keepLines w:val="0"/>
        <w:pageBreakBefore w:val="0"/>
        <w:widowControl/>
        <w:numPr>
          <w:ilvl w:val="0"/>
          <w:numId w:val="9"/>
        </w:numPr>
        <w:kinsoku/>
        <w:wordWrap/>
        <w:overflowPunct/>
        <w:topLinePunct w:val="0"/>
        <w:autoSpaceDE/>
        <w:autoSpaceDN/>
        <w:bidi w:val="0"/>
        <w:adjustRightInd/>
        <w:snapToGrid/>
        <w:ind w:left="425" w:hanging="425" w:firstLineChars="0"/>
        <w:textAlignment w:val="auto"/>
        <w:rPr>
          <w:rFonts w:hint="eastAsia"/>
          <w:highlight w:val="none"/>
          <w:lang w:val="en-US" w:eastAsia="zh-CN"/>
        </w:rPr>
      </w:pPr>
      <w:r>
        <w:rPr>
          <w:rFonts w:hint="eastAsia"/>
          <w:highlight w:val="none"/>
          <w:lang w:val="en-US" w:eastAsia="zh-CN"/>
        </w:rPr>
        <w:t>数据分布对业务无约束，无需固定分片规则（如分区键）。</w:t>
      </w:r>
    </w:p>
    <w:p w14:paraId="38D52C7A">
      <w:pPr>
        <w:keepNext w:val="0"/>
        <w:keepLines w:val="0"/>
        <w:pageBreakBefore w:val="0"/>
        <w:widowControl/>
        <w:numPr>
          <w:ilvl w:val="0"/>
          <w:numId w:val="9"/>
        </w:numPr>
        <w:kinsoku/>
        <w:wordWrap/>
        <w:overflowPunct/>
        <w:topLinePunct w:val="0"/>
        <w:autoSpaceDE/>
        <w:autoSpaceDN/>
        <w:bidi w:val="0"/>
        <w:adjustRightInd/>
        <w:snapToGrid/>
        <w:ind w:left="425" w:hanging="425" w:firstLineChars="0"/>
        <w:textAlignment w:val="auto"/>
        <w:rPr>
          <w:rFonts w:hint="eastAsia"/>
          <w:highlight w:val="none"/>
          <w:lang w:val="en-US" w:eastAsia="zh-CN"/>
        </w:rPr>
      </w:pPr>
      <w:r>
        <w:rPr>
          <w:rFonts w:hint="eastAsia"/>
          <w:highlight w:val="none"/>
          <w:lang w:val="en-US" w:eastAsia="zh-CN"/>
        </w:rPr>
        <w:t>表结构设计无需定义分片字段。</w:t>
      </w:r>
    </w:p>
    <w:p w14:paraId="6E201B2E">
      <w:pPr>
        <w:keepNext w:val="0"/>
        <w:keepLines w:val="0"/>
        <w:pageBreakBefore w:val="0"/>
        <w:widowControl/>
        <w:numPr>
          <w:ilvl w:val="0"/>
          <w:numId w:val="9"/>
        </w:numPr>
        <w:kinsoku/>
        <w:wordWrap/>
        <w:overflowPunct/>
        <w:topLinePunct w:val="0"/>
        <w:autoSpaceDE/>
        <w:autoSpaceDN/>
        <w:bidi w:val="0"/>
        <w:adjustRightInd/>
        <w:snapToGrid/>
        <w:ind w:left="425" w:hanging="425" w:firstLineChars="0"/>
        <w:textAlignment w:val="auto"/>
        <w:rPr>
          <w:rFonts w:hint="eastAsia"/>
          <w:highlight w:val="none"/>
          <w:lang w:val="en-US" w:eastAsia="zh-CN"/>
        </w:rPr>
      </w:pPr>
      <w:r>
        <w:rPr>
          <w:rFonts w:hint="eastAsia"/>
          <w:highlight w:val="none"/>
          <w:lang w:val="en-US" w:eastAsia="zh-CN"/>
        </w:rPr>
        <w:t>所有计算节点支持跨节点跨库的分布式 JOIN，且支持任意关联键。</w:t>
      </w:r>
    </w:p>
    <w:p w14:paraId="39B70616">
      <w:pPr>
        <w:pStyle w:val="4"/>
        <w:bidi w:val="0"/>
        <w:rPr>
          <w:rFonts w:hint="eastAsia" w:ascii="Arial" w:hAnsi="Arial" w:eastAsia="等线" w:cs="Arial"/>
          <w:highlight w:val="none"/>
          <w:lang w:val="en-US" w:eastAsia="zh-CN"/>
        </w:rPr>
      </w:pPr>
      <w:r>
        <w:rPr>
          <w:rFonts w:ascii="Arial" w:hAnsi="Arial" w:eastAsia="等线" w:cs="Arial"/>
          <w:highlight w:val="none"/>
        </w:rPr>
        <w:t>运维</w:t>
      </w:r>
    </w:p>
    <w:p w14:paraId="0129B0A7">
      <w:pPr>
        <w:numPr>
          <w:ilvl w:val="0"/>
          <w:numId w:val="8"/>
        </w:numPr>
        <w:ind w:left="425" w:leftChars="0" w:hanging="425" w:firstLineChars="0"/>
        <w:rPr>
          <w:rFonts w:hint="eastAsia"/>
          <w:b w:val="0"/>
          <w:bCs w:val="0"/>
          <w:highlight w:val="none"/>
          <w:lang w:val="en-US" w:eastAsia="zh-CN"/>
        </w:rPr>
      </w:pPr>
      <w:r>
        <w:rPr>
          <w:rFonts w:hint="eastAsia"/>
          <w:b w:val="0"/>
          <w:bCs w:val="0"/>
          <w:highlight w:val="none"/>
          <w:lang w:val="en-US" w:eastAsia="zh-CN"/>
        </w:rPr>
        <w:t>扩缩容能力，支持业务在线情况下进行计算节点和存储节点的上线扩展和下线收缩等弹性操作。 支持任意节点数扩展，如可以单独扩展 1 个计算节点或存储节点。</w:t>
      </w:r>
    </w:p>
    <w:p w14:paraId="7D6A85D6">
      <w:pPr>
        <w:numPr>
          <w:ilvl w:val="0"/>
          <w:numId w:val="8"/>
        </w:numPr>
        <w:ind w:left="425" w:leftChars="0" w:hanging="425" w:firstLineChars="0"/>
        <w:rPr>
          <w:rFonts w:hint="eastAsia"/>
          <w:b w:val="0"/>
          <w:bCs w:val="0"/>
          <w:highlight w:val="none"/>
          <w:lang w:val="en-US" w:eastAsia="zh-CN"/>
        </w:rPr>
      </w:pPr>
      <w:r>
        <w:rPr>
          <w:rFonts w:hint="eastAsia"/>
          <w:b w:val="0"/>
          <w:bCs w:val="0"/>
          <w:highlight w:val="none"/>
          <w:lang w:val="en-US" w:eastAsia="zh-CN"/>
        </w:rPr>
        <w:t>资源管控能力，支持基于统一单位进行资源管控，可以创建多个资源组并分配不同单位数量，资源组允许设置空闲时超用。支持根据 SQL 语句、执行时间或者消耗单位进行黑名单监控，当语句执行时间或者消耗资源单位达到阈值时，可以进行相应管理如降级或杀掉。</w:t>
      </w:r>
    </w:p>
    <w:p w14:paraId="73D9FCAC">
      <w:pPr>
        <w:pStyle w:val="4"/>
        <w:bidi w:val="0"/>
        <w:rPr>
          <w:rFonts w:ascii="Arial" w:hAnsi="Arial" w:eastAsia="等线" w:cs="Arial"/>
          <w:b/>
          <w:bCs/>
          <w:kern w:val="2"/>
          <w:sz w:val="32"/>
          <w:szCs w:val="32"/>
          <w:highlight w:val="none"/>
          <w:lang w:val="en-US" w:eastAsia="zh-CN" w:bidi="ar-SA"/>
          <w14:ligatures w14:val="none"/>
        </w:rPr>
      </w:pPr>
      <w:r>
        <w:rPr>
          <w:rFonts w:hint="eastAsia" w:ascii="Arial" w:hAnsi="Arial" w:eastAsia="等线" w:cs="Arial"/>
          <w:b/>
          <w:bCs/>
          <w:kern w:val="2"/>
          <w:sz w:val="32"/>
          <w:szCs w:val="32"/>
          <w:highlight w:val="none"/>
          <w:lang w:val="en-US" w:eastAsia="zh-CN" w:bidi="ar-SA"/>
          <w14:ligatures w14:val="none"/>
        </w:rPr>
        <w:t>开源性</w:t>
      </w:r>
    </w:p>
    <w:p w14:paraId="73FDB70A">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highlight w:val="none"/>
          <w:lang w:val="en-US" w:eastAsia="zh-CN"/>
        </w:rPr>
      </w:pPr>
      <w:r>
        <w:rPr>
          <w:rFonts w:hint="eastAsia"/>
          <w:highlight w:val="none"/>
          <w:lang w:val="en-US" w:eastAsia="zh-CN"/>
        </w:rPr>
        <w:t>基于 Apache v2 开源协议（支持修改源代码，并可将修改后的代码作为开源或商业软件再发布，不包含 GPL / LGPL 协议）主导开发分布式数据库。</w:t>
      </w:r>
    </w:p>
    <w:p w14:paraId="46A73F9A">
      <w:pPr>
        <w:pStyle w:val="4"/>
        <w:bidi w:val="0"/>
        <w:rPr>
          <w:rFonts w:hint="default" w:ascii="Arial" w:hAnsi="Arial" w:eastAsia="等线" w:cs="Arial"/>
          <w:b/>
          <w:bCs/>
          <w:kern w:val="2"/>
          <w:sz w:val="32"/>
          <w:szCs w:val="32"/>
          <w:highlight w:val="none"/>
          <w:lang w:val="en-US" w:eastAsia="zh-CN" w:bidi="ar-SA"/>
          <w14:ligatures w14:val="none"/>
        </w:rPr>
      </w:pPr>
      <w:r>
        <w:rPr>
          <w:rFonts w:hint="eastAsia" w:ascii="Arial" w:hAnsi="Arial" w:eastAsia="等线" w:cs="Arial"/>
          <w:b/>
          <w:bCs/>
          <w:kern w:val="2"/>
          <w:sz w:val="32"/>
          <w:szCs w:val="32"/>
          <w:highlight w:val="none"/>
          <w:lang w:val="en-US" w:eastAsia="zh-CN" w:bidi="ar-SA"/>
          <w14:ligatures w14:val="none"/>
        </w:rPr>
        <w:t>数据库及数据库设计</w:t>
      </w:r>
    </w:p>
    <w:p w14:paraId="1DFDF94C">
      <w:pPr>
        <w:numPr>
          <w:ilvl w:val="0"/>
          <w:numId w:val="10"/>
        </w:numPr>
        <w:ind w:left="425" w:leftChars="0" w:hanging="425" w:firstLineChars="0"/>
        <w:rPr>
          <w:rFonts w:hint="eastAsia"/>
          <w:highlight w:val="none"/>
          <w:lang w:val="en-US" w:eastAsia="zh-CN"/>
        </w:rPr>
      </w:pPr>
      <w:r>
        <w:rPr>
          <w:rFonts w:hint="eastAsia"/>
          <w:highlight w:val="none"/>
          <w:lang w:val="en-US" w:eastAsia="zh-CN"/>
        </w:rPr>
        <w:t>采用分布式数据库，支持在线扩容缩容和自动故障转移，支持分布式事务和保证全局强一致性；</w:t>
      </w:r>
    </w:p>
    <w:p w14:paraId="6D6C7D06">
      <w:pPr>
        <w:numPr>
          <w:ilvl w:val="0"/>
          <w:numId w:val="10"/>
        </w:numPr>
        <w:ind w:left="425" w:leftChars="0" w:hanging="425" w:firstLineChars="0"/>
        <w:rPr>
          <w:rFonts w:hint="eastAsia"/>
          <w:highlight w:val="none"/>
          <w:lang w:val="en-US" w:eastAsia="zh-CN"/>
        </w:rPr>
      </w:pPr>
      <w:r>
        <w:rPr>
          <w:rFonts w:hint="eastAsia"/>
          <w:highlight w:val="none"/>
          <w:lang w:val="en-US" w:eastAsia="zh-CN"/>
        </w:rPr>
        <w:t>采用多租户方式，隔离不同租户数据；</w:t>
      </w:r>
    </w:p>
    <w:p w14:paraId="04A7B7D4">
      <w:pPr>
        <w:numPr>
          <w:ilvl w:val="0"/>
          <w:numId w:val="10"/>
        </w:numPr>
        <w:ind w:left="425" w:leftChars="0" w:hanging="425" w:firstLineChars="0"/>
        <w:rPr>
          <w:rFonts w:hint="eastAsia"/>
          <w:highlight w:val="none"/>
          <w:lang w:val="en-US" w:eastAsia="zh-CN"/>
        </w:rPr>
      </w:pPr>
      <w:r>
        <w:rPr>
          <w:rFonts w:hint="eastAsia"/>
          <w:highlight w:val="none"/>
          <w:lang w:val="en-US" w:eastAsia="zh-CN"/>
        </w:rPr>
        <w:t>敏感数据加密存储，保证数据安全，关键业务数据采用hash校验，防篡改。</w:t>
      </w:r>
    </w:p>
    <w:p w14:paraId="5AFDE4F1">
      <w:pPr>
        <w:rPr>
          <w:rFonts w:hint="default"/>
          <w:highlight w:val="none"/>
          <w:lang w:val="en-US" w:eastAsia="zh-CN"/>
        </w:rPr>
      </w:pPr>
    </w:p>
    <w:p w14:paraId="14F772F4">
      <w:pPr>
        <w:pStyle w:val="3"/>
        <w:bidi w:val="0"/>
        <w:ind w:left="575" w:hanging="575"/>
        <w:rPr>
          <w:rFonts w:hint="eastAsia"/>
          <w:highlight w:val="none"/>
          <w:lang w:val="en-US" w:eastAsia="zh-CN"/>
        </w:rPr>
      </w:pPr>
      <w:r>
        <w:rPr>
          <w:rFonts w:hint="eastAsia"/>
          <w:highlight w:val="none"/>
          <w:lang w:val="en-US" w:eastAsia="zh-CN"/>
        </w:rPr>
        <w:t>系统功能描述</w:t>
      </w:r>
    </w:p>
    <w:tbl>
      <w:tblPr>
        <w:tblStyle w:val="18"/>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2083"/>
        <w:gridCol w:w="5846"/>
      </w:tblGrid>
      <w:tr w14:paraId="0A3A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70E1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BC40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功能名称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67125">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功能描述</w:t>
            </w:r>
          </w:p>
        </w:tc>
      </w:tr>
      <w:tr w14:paraId="0C0F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0697C">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1、应用支撑</w:t>
            </w:r>
          </w:p>
        </w:tc>
      </w:tr>
      <w:tr w14:paraId="4F0C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BD99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78D5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业务规则定义-献血者招募规则定义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9A439">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i w:val="0"/>
                <w:iCs w:val="0"/>
                <w:caps w:val="0"/>
                <w:color w:val="000000"/>
                <w:spacing w:val="0"/>
                <w:kern w:val="0"/>
                <w:sz w:val="22"/>
                <w:szCs w:val="22"/>
                <w:u w:val="none"/>
                <w:shd w:val="clear"/>
                <w:lang w:bidi="ar"/>
              </w:rPr>
              <w:t>系统支持献血者招募规则配置，可通过条件组合实现精准招募规则管理，界面可展示规则组合条数，为精准招募业务提供组件化支撑与交互能力。</w:t>
            </w:r>
          </w:p>
        </w:tc>
      </w:tr>
      <w:tr w14:paraId="5ADB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B172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EC415">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业务规则定义-献血表彰规则定义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A8460">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i w:val="0"/>
                <w:iCs w:val="0"/>
                <w:caps w:val="0"/>
                <w:color w:val="000000"/>
                <w:spacing w:val="0"/>
                <w:kern w:val="0"/>
                <w:sz w:val="22"/>
                <w:szCs w:val="22"/>
                <w:u w:val="none"/>
                <w:shd w:val="clear"/>
                <w:lang w:bidi="ar"/>
              </w:rPr>
              <w:t>系统内置献血者表彰规则（涵盖国家</w:t>
            </w:r>
            <w:r>
              <w:rPr>
                <w:rFonts w:hint="eastAsia" w:ascii="方正仿宋_GB2312" w:hAnsi="方正仿宋_GB2312" w:cs="方正仿宋_GB2312"/>
                <w:i w:val="0"/>
                <w:iCs w:val="0"/>
                <w:caps w:val="0"/>
                <w:color w:val="000000"/>
                <w:spacing w:val="0"/>
                <w:kern w:val="0"/>
                <w:sz w:val="22"/>
                <w:szCs w:val="22"/>
                <w:u w:val="none"/>
                <w:shd w:val="clear"/>
                <w:lang w:val="en-US" w:eastAsia="zh-CN" w:bidi="ar"/>
              </w:rPr>
              <w:t>奖项</w:t>
            </w:r>
            <w:r>
              <w:rPr>
                <w:rFonts w:hint="eastAsia" w:ascii="方正仿宋_GB2312" w:hAnsi="方正仿宋_GB2312" w:eastAsia="方正仿宋_GB2312" w:cs="方正仿宋_GB2312"/>
                <w:i w:val="0"/>
                <w:iCs w:val="0"/>
                <w:caps w:val="0"/>
                <w:color w:val="000000"/>
                <w:spacing w:val="0"/>
                <w:kern w:val="0"/>
                <w:sz w:val="22"/>
                <w:szCs w:val="22"/>
                <w:u w:val="none"/>
                <w:shd w:val="clear"/>
                <w:lang w:bidi="ar"/>
              </w:rPr>
              <w:t>表彰标准），可通过界面展示当前生效的表彰表单规则；</w:t>
            </w:r>
            <w:r>
              <w:rPr>
                <w:rFonts w:hint="eastAsia" w:ascii="方正仿宋_GB2312" w:hAnsi="方正仿宋_GB2312" w:cs="方正仿宋_GB2312"/>
                <w:i w:val="0"/>
                <w:iCs w:val="0"/>
                <w:caps w:val="0"/>
                <w:color w:val="000000"/>
                <w:spacing w:val="0"/>
                <w:kern w:val="0"/>
                <w:sz w:val="22"/>
                <w:szCs w:val="22"/>
                <w:u w:val="none"/>
                <w:shd w:val="clear"/>
                <w:lang w:val="en-US" w:eastAsia="zh-CN" w:bidi="ar"/>
              </w:rPr>
              <w:t>要求</w:t>
            </w:r>
            <w:r>
              <w:rPr>
                <w:rFonts w:hint="eastAsia" w:ascii="方正仿宋_GB2312" w:hAnsi="方正仿宋_GB2312" w:eastAsia="方正仿宋_GB2312" w:cs="方正仿宋_GB2312"/>
                <w:i w:val="0"/>
                <w:iCs w:val="0"/>
                <w:caps w:val="0"/>
                <w:color w:val="000000"/>
                <w:spacing w:val="0"/>
                <w:kern w:val="0"/>
                <w:sz w:val="22"/>
                <w:szCs w:val="22"/>
                <w:u w:val="none"/>
                <w:shd w:val="clear"/>
                <w:lang w:bidi="ar"/>
              </w:rPr>
              <w:t>规则为系统内置，不采用自定义配置引擎</w:t>
            </w: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w:t>
            </w:r>
          </w:p>
        </w:tc>
      </w:tr>
      <w:tr w14:paraId="2B26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9BC1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206D5">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业务规则定义-用血报销规则定义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0EA1F">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i w:val="0"/>
                <w:iCs w:val="0"/>
                <w:caps w:val="0"/>
                <w:color w:val="000000"/>
                <w:spacing w:val="0"/>
                <w:kern w:val="0"/>
                <w:sz w:val="22"/>
                <w:szCs w:val="22"/>
                <w:u w:val="none"/>
                <w:shd w:val="clear"/>
                <w:lang w:bidi="ar"/>
              </w:rPr>
              <w:t>系统内置当前政策规定的用血报销规则，可展示规则详情及生效状态提示；</w:t>
            </w:r>
            <w:r>
              <w:rPr>
                <w:rFonts w:hint="eastAsia" w:ascii="方正仿宋_GB2312" w:hAnsi="方正仿宋_GB2312" w:cs="方正仿宋_GB2312"/>
                <w:i w:val="0"/>
                <w:iCs w:val="0"/>
                <w:caps w:val="0"/>
                <w:color w:val="000000"/>
                <w:spacing w:val="0"/>
                <w:kern w:val="0"/>
                <w:sz w:val="22"/>
                <w:szCs w:val="22"/>
                <w:u w:val="none"/>
                <w:shd w:val="clear"/>
                <w:lang w:val="en-US" w:eastAsia="zh-CN" w:bidi="ar"/>
              </w:rPr>
              <w:t>要求</w:t>
            </w:r>
            <w:r>
              <w:rPr>
                <w:rFonts w:hint="eastAsia" w:ascii="方正仿宋_GB2312" w:hAnsi="方正仿宋_GB2312" w:eastAsia="方正仿宋_GB2312" w:cs="方正仿宋_GB2312"/>
                <w:i w:val="0"/>
                <w:iCs w:val="0"/>
                <w:caps w:val="0"/>
                <w:color w:val="000000"/>
                <w:spacing w:val="0"/>
                <w:kern w:val="0"/>
                <w:sz w:val="22"/>
                <w:szCs w:val="22"/>
                <w:u w:val="none"/>
                <w:shd w:val="clear"/>
                <w:lang w:bidi="ar"/>
              </w:rPr>
              <w:t>规则为系统内置标准，不支持自定义配置</w:t>
            </w: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w:t>
            </w:r>
          </w:p>
        </w:tc>
      </w:tr>
      <w:tr w14:paraId="38FA8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137D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B119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业务规则定义-数据字典管理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FF0D6">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对系统内的关键数据字典进行统一管理，如证件类型，亲属类型，用血类型，用血报销类型，输血不良反应，自体输血类型，病区字典，科室字典。</w:t>
            </w:r>
          </w:p>
        </w:tc>
      </w:tr>
      <w:tr w14:paraId="5F72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1A795">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C195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业务规则定义-系统数据配置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87B49">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对系统内的基础数据进行统一配置，如招募短信模板，表彰短信内容模板，医院帐号设置，医院联网状态监控，医院疾病字典匹配，医院科室字典匹配，医院联网日志查询。</w:t>
            </w:r>
          </w:p>
        </w:tc>
      </w:tr>
      <w:tr w14:paraId="5602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345FA">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2、服务渠道</w:t>
            </w:r>
          </w:p>
        </w:tc>
      </w:tr>
      <w:tr w14:paraId="771D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180D5">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ACD35">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社会化媒体平台（微信）-献血服务平台接入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F796A">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实现献血预约，献血地点，检验结果，荣誉奖项等数据在平台的接入。</w:t>
            </w:r>
          </w:p>
        </w:tc>
      </w:tr>
      <w:tr w14:paraId="3247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5BF2">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48868">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社会化媒体平台（微信）-用血服务平台接入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7243D">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实现用血报销结果，报销政策等数据在平台的接入。</w:t>
            </w:r>
          </w:p>
        </w:tc>
      </w:tr>
      <w:tr w14:paraId="6D66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2D30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9680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社会化媒体平台（微信）-基础数据服务接入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C8E5C">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实现社媒服务的基础数据在平台的接入。</w:t>
            </w:r>
          </w:p>
        </w:tc>
      </w:tr>
      <w:tr w14:paraId="6CA0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8B52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E5838">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数据统计-采供血业务数据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44625">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献血者信息、献血记录、血袋信息、血液检测信息、血液采集信息、血液制备信息、血液出入库信息等。</w:t>
            </w:r>
          </w:p>
        </w:tc>
      </w:tr>
      <w:tr w14:paraId="21EB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4C4A7">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E1F9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数据统计-血液行政管理业务数据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889B4">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用血报销信息、献血计划信息、献血表彰信息、用血计划信息、血液调拨信息、招募信息、工作单位管理信息等。</w:t>
            </w:r>
          </w:p>
        </w:tc>
      </w:tr>
      <w:tr w14:paraId="4A46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960E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6879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数据统计-临床用血业务数据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DA5E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血液出入库信息、输血申请信息、输血前检测信息、交叉配血信息、输血反馈、用血审证信息等。</w:t>
            </w:r>
          </w:p>
        </w:tc>
      </w:tr>
      <w:tr w14:paraId="322A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9094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10AA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数据统计-省际血液信息的共享数据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C3F5F">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省际高危献血者信息、省际献血间隔期信息、省际献血者证件信息等。</w:t>
            </w:r>
          </w:p>
        </w:tc>
      </w:tr>
      <w:tr w14:paraId="567C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0127C">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3、数据交换</w:t>
            </w:r>
          </w:p>
        </w:tc>
      </w:tr>
      <w:tr w14:paraId="584F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50DC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2078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临床用血接口-血液预定接口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6DD1D">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平台对接医院输血科系统中的血液预定数据。</w:t>
            </w:r>
          </w:p>
        </w:tc>
      </w:tr>
      <w:tr w14:paraId="2FB1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DDC0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8304E">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临床用血接口-血液出入库接口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DB131">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平台对接医院输血科系统中的血液出入库数据。</w:t>
            </w:r>
          </w:p>
        </w:tc>
      </w:tr>
      <w:tr w14:paraId="5248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0DF91">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3D11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临床用血接口-医院血库血液报废接口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D6F3A">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平台对接医院输血科系统中的医院血库血液报废数据。</w:t>
            </w:r>
          </w:p>
        </w:tc>
      </w:tr>
      <w:tr w14:paraId="1B53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64E02">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9B46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临床用血接口-医院血库血液调剂接口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2057A">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平台对接医院输血科系统中的医院血库血液调剂数据。</w:t>
            </w:r>
          </w:p>
        </w:tc>
      </w:tr>
      <w:tr w14:paraId="54CC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116E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22BA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临床用血接口-医院血库血液退回接口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223D1">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平台对接医院输血科系统中的医院血库血液退回数据。</w:t>
            </w:r>
          </w:p>
        </w:tc>
      </w:tr>
      <w:tr w14:paraId="614B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C27C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1574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临床用血接口-输血申请单接口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18FCF">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平台对接医院输血科系统中的输血申请单数据。</w:t>
            </w:r>
          </w:p>
        </w:tc>
      </w:tr>
      <w:tr w14:paraId="29D6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1D6D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42EDE">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临床用血接口-自体输血接口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201DC">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平台对接医院输血科系统中的自体输血数据。</w:t>
            </w:r>
          </w:p>
        </w:tc>
      </w:tr>
      <w:tr w14:paraId="657F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BCC8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C4F8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临床用血接口-输血不良反应接口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A265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平台对接医院输血科系统中的输血不良反应数据。</w:t>
            </w:r>
          </w:p>
        </w:tc>
      </w:tr>
      <w:tr w14:paraId="3D54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4C309">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4、外部系统接口</w:t>
            </w:r>
          </w:p>
        </w:tc>
      </w:tr>
      <w:tr w14:paraId="3D7EE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AE7CE">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8FFE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血液应急指挥相关数据服务接口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A3BBC">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血液应急指挥相关数据服务接口</w:t>
            </w:r>
          </w:p>
        </w:tc>
      </w:tr>
      <w:tr w14:paraId="2600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854E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7B6A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用血医院财务对接服务-业务单据凭证号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DE9E5">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对接回传业务单据凭证号数据至用血医院</w:t>
            </w:r>
          </w:p>
        </w:tc>
      </w:tr>
      <w:tr w14:paraId="7BFA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DF8D7">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DEA3E">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用血医院财务对接服务-凭证内容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690EE">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对接回传凭证内容数据至用血医院</w:t>
            </w:r>
          </w:p>
        </w:tc>
      </w:tr>
      <w:tr w14:paraId="1822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7222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4BCA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用血医院财务对接服务-用血者信息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7B2FD">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对接回传用血者信息数据至用血医院</w:t>
            </w:r>
          </w:p>
        </w:tc>
      </w:tr>
      <w:tr w14:paraId="6A78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F9AF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DA0D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用血医院财务对接服务-直免金额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95495">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对接回传直免金额数据至用血医院</w:t>
            </w:r>
          </w:p>
        </w:tc>
      </w:tr>
      <w:tr w14:paraId="5DDB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E0F4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CDF8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用血医院财务对接服务-献血者献血数据摘要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68419">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对接回传献血者献血数据摘要数据至用血医院</w:t>
            </w:r>
          </w:p>
        </w:tc>
      </w:tr>
      <w:tr w14:paraId="4420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7AFEE">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1865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省际数据对接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247CB">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包括省际屏蔽名单上报、间隔期筛查、血液库存查询、血液出库查询、永久黑名单查询等接口，参照国家平台数据标准。</w:t>
            </w:r>
          </w:p>
        </w:tc>
      </w:tr>
      <w:tr w14:paraId="6634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7B86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A7877">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大数据中心服务接口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E1C14">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包括随申码查询、上海市一网通办亮证 / 调证接口、用血医院财务接口，参照相关接口标准。</w:t>
            </w:r>
          </w:p>
        </w:tc>
      </w:tr>
      <w:tr w14:paraId="5B24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6993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5、全市血液组织动员管理</w:t>
            </w:r>
          </w:p>
        </w:tc>
      </w:tr>
      <w:tr w14:paraId="5E54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0BE6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259A2">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用血报销管理-用血报销登记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5E831">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工作人员核实患者提供证件材料齐全，符合无偿献血偿还范围后，录入相关报销信息。</w:t>
            </w:r>
          </w:p>
        </w:tc>
      </w:tr>
      <w:tr w14:paraId="233E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E48E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B196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用血报销管理-用血报销信息修改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565AF">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登记完成后，在未正式收费前，可以根据实际情况对已登记信息进行修改操作。</w:t>
            </w:r>
          </w:p>
        </w:tc>
      </w:tr>
      <w:tr w14:paraId="450B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8FE5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5A572">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用血报销管理-献血记录核查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8A620">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在登记完成用血报销详细信息后，可以根据个人二代证身份信息，查询个人献血记录情况，从而对个人献血情况进行核查。</w:t>
            </w:r>
          </w:p>
        </w:tc>
      </w:tr>
      <w:tr w14:paraId="7A7E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76EE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3918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用血报销管理-历史报销记录核查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99467">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在登记完成用血报销详细信息后，可以根据个人二代证身份信息，查询个人历史报销记录情况，从而对个人报销记录进行核查。</w:t>
            </w:r>
          </w:p>
        </w:tc>
      </w:tr>
      <w:tr w14:paraId="6DEE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9B751">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4062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用血报销管理-用血报销额度智能计算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99A17">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可以根据个人二代证身份信息，从而匹配个人详细信息，并且结合通过个人身份信息匹配到的个人献血记录和个人历史报销记录，核算得到最终需要报销金额。</w:t>
            </w:r>
          </w:p>
        </w:tc>
      </w:tr>
      <w:tr w14:paraId="7412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A4F4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16607">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用血报销管理-用血报销一览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CEDE2">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根据实际业务需要查看报销的情况。</w:t>
            </w:r>
          </w:p>
        </w:tc>
      </w:tr>
      <w:tr w14:paraId="2BD5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A862D">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6、医院临床用血管理</w:t>
            </w:r>
          </w:p>
        </w:tc>
      </w:tr>
      <w:tr w14:paraId="777E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6F24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AD78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医院血液联网管理-血液预订管理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3EF63">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实现医院向对应采供血机构进行血液预定申请。</w:t>
            </w:r>
          </w:p>
        </w:tc>
      </w:tr>
      <w:tr w14:paraId="03D4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BA98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B52D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医院血液联网管理-血液入库管理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DABC1">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血液从血站入库医院血库后的信息登记。</w:t>
            </w:r>
          </w:p>
        </w:tc>
      </w:tr>
      <w:tr w14:paraId="4E48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C5DD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41E7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医院血液联网管理-输血管理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EF025">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实现常规和紧急的临床输血申请及用血出库。</w:t>
            </w:r>
          </w:p>
        </w:tc>
      </w:tr>
      <w:tr w14:paraId="07D0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BBAC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2371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医院血液联网管理-输血反应反馈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379B4">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对临床出现输血不良反应进行登记和上报。</w:t>
            </w:r>
          </w:p>
        </w:tc>
      </w:tr>
      <w:tr w14:paraId="75C5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939A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EDA4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医院血液联网管理-库存管理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4C543">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了解医院血库库存数量、库存结构和预警情况。</w:t>
            </w:r>
          </w:p>
        </w:tc>
      </w:tr>
      <w:tr w14:paraId="22384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EB808">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C194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医院血液联网管理-自体输血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F875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完成对自体输血患者信息的登记上报和统计。</w:t>
            </w:r>
          </w:p>
        </w:tc>
      </w:tr>
      <w:tr w14:paraId="3336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2FDF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C5CA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医院血液联网管理-交叉配血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0D386">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完成对交叉配血信息的登记。登记信息包括血袋号、输血者姓名、输血者血型等。</w:t>
            </w:r>
          </w:p>
        </w:tc>
      </w:tr>
      <w:tr w14:paraId="2072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900D1">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C9E2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医院血液联网管理-医院血库血液调剂管理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EBDF4">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根据供需情况在医院间进行血液调剂管理。</w:t>
            </w:r>
          </w:p>
        </w:tc>
      </w:tr>
      <w:tr w14:paraId="305F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780D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E6D8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医院血液联网管理-医院血库血液报废及退回管理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5741B">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医院对不满足临床用血需求或不合格的血液进行报废和退回管理</w:t>
            </w:r>
          </w:p>
        </w:tc>
      </w:tr>
      <w:tr w14:paraId="11BED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7805A">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7、全市血液一体化平台医院输血科数据质量分析和管理</w:t>
            </w:r>
          </w:p>
        </w:tc>
      </w:tr>
      <w:tr w14:paraId="6DB7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08AB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D4B31">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医院库存血袋、库存填报情况查询/导出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34D25">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对用血医院的库存血袋、库存填报情况查询及导出。</w:t>
            </w:r>
          </w:p>
        </w:tc>
      </w:tr>
      <w:tr w14:paraId="4353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3AC5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4001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医院直免平台查询对账情况查询/导出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16C5A">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对用血医院直免平台对账情况进行查询及导出。</w:t>
            </w:r>
          </w:p>
        </w:tc>
      </w:tr>
      <w:tr w14:paraId="0CD2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57752">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2DC47">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医院用血计划执行情况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7BDFE">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展示医院用血计划执行情况。</w:t>
            </w:r>
          </w:p>
        </w:tc>
      </w:tr>
      <w:tr w14:paraId="3DD0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68638">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15A1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市办用血计划模块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DC124">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展示市血液管理办公室的用血计划</w:t>
            </w:r>
            <w:r>
              <w:rPr>
                <w:rFonts w:hint="eastAsia" w:ascii="方正仿宋_GB2312" w:hAnsi="方正仿宋_GB2312" w:eastAsia="方正仿宋_GB2312" w:cs="方正仿宋_GB2312"/>
                <w:i w:val="0"/>
                <w:iCs w:val="0"/>
                <w:caps w:val="0"/>
                <w:color w:val="000000"/>
                <w:spacing w:val="0"/>
                <w:kern w:val="0"/>
                <w:sz w:val="22"/>
                <w:szCs w:val="22"/>
                <w:u w:val="none"/>
                <w:shd w:val="clear"/>
                <w:lang w:bidi="ar"/>
              </w:rPr>
              <w:t>，支持按日期展开查看各医院用血量，后台具备用血计划新增管理能力</w:t>
            </w: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w:t>
            </w:r>
          </w:p>
        </w:tc>
      </w:tr>
      <w:tr w14:paraId="5286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90BD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29477">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医院一体化平台上报数据质量评价（含异常情况提醒功能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0CCF6">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医院一体化平台上报数据质量评价以及异常情况提醒功能。</w:t>
            </w:r>
          </w:p>
        </w:tc>
      </w:tr>
      <w:tr w14:paraId="256E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9336E">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B548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全市无偿献血者用血减免情况核查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729E7">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针对全市无偿献血者用血减免情况核查。</w:t>
            </w:r>
          </w:p>
        </w:tc>
      </w:tr>
      <w:tr w14:paraId="745D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0A96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6EA42">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全市无偿献血者历史报销与直免分析模块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4CED3">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针对全市无偿献血者历史报销与直免分析。</w:t>
            </w:r>
          </w:p>
        </w:tc>
      </w:tr>
      <w:tr w14:paraId="4D26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2819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57327">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一网通办办件信息推送模块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98011">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一网通办办件信息推送模块。</w:t>
            </w:r>
          </w:p>
        </w:tc>
      </w:tr>
      <w:tr w14:paraId="39F6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3F140">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8、长三角一体化移动展示</w:t>
            </w:r>
          </w:p>
        </w:tc>
      </w:tr>
      <w:tr w14:paraId="3B0B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0D4B1">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C721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献血屋血液采集分析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71E2D">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展示全血和单采全市及各区献血屋血液采集量汇总信息。</w:t>
            </w:r>
          </w:p>
        </w:tc>
      </w:tr>
      <w:tr w14:paraId="3EFC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C1F2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37791">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血站库存统计分析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A1691">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展示全血和单采全市及各区采供血机构血液库存量汇总信息。</w:t>
            </w:r>
          </w:p>
        </w:tc>
      </w:tr>
      <w:tr w14:paraId="1008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87E0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FB79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医院库存统计分析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FEED4">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展示全血和单采全市及各区用血医院血液库存量汇总信息。</w:t>
            </w:r>
          </w:p>
        </w:tc>
      </w:tr>
      <w:tr w14:paraId="3710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B815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1EBE1">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移动端登录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BE3B1">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移动端系统登录、人员、权限及日志管理。</w:t>
            </w:r>
          </w:p>
        </w:tc>
      </w:tr>
      <w:tr w14:paraId="55D0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478F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9、长三角一体化应急可视</w:t>
            </w:r>
          </w:p>
        </w:tc>
      </w:tr>
      <w:tr w14:paraId="063A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D49C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BC33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全市血液管理信息监控-上海市血液调拨信息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6BA5D">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地图展示上海市调拨方和接收方名称、在上海市调拨方和接收方动态显示调动线路，并展示调拨方向和调拨量，调拨记录采用按天展示，可选的时间范围为近7天。标题下显示数据更新时间。</w:t>
            </w:r>
          </w:p>
        </w:tc>
      </w:tr>
      <w:tr w14:paraId="25B1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A667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C56C2">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全市血液管理信息监控-采血实时信息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0BA17">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今日上海市全部采血点位的实时采血人份，8个点位为一组进行轮播展示，轮播间隔为2分钟。展示各点位昨日、今日实际采血人份数据柱状图。标题下显示数据更新时间。</w:t>
            </w:r>
          </w:p>
        </w:tc>
      </w:tr>
      <w:tr w14:paraId="5D02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0234E">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DACA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全市血液管理信息监控-红细胞制品近30天总库存量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AAAF6">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折线图展示近30天内红细胞制品的各血型库存量。标题下显示数据更新时间。</w:t>
            </w:r>
          </w:p>
        </w:tc>
      </w:tr>
      <w:tr w14:paraId="385A1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2F22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4A05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全市血液管理信息监控-全市动员单位实时信息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E9606">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柱状图展示今天全市动员单位实时信息。标题下显示数据更新时间。</w:t>
            </w:r>
          </w:p>
        </w:tc>
      </w:tr>
      <w:tr w14:paraId="0AEF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843B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1CC78">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全市血液管理信息监控-全市血站红细胞类饼图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282FD">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展示全市血站红细胞类库存饼图，饼图为红细胞类(A、B、O、AB),饼图中展示每种血型数量。</w:t>
            </w:r>
          </w:p>
        </w:tc>
      </w:tr>
      <w:tr w14:paraId="6834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26F2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999C8">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全市血液管理信息监控-全市血站单采血小板类饼图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B3F2E">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展示全市血站单采血小板类库存饼图，饼图为单采血小板类(A、B、O、AB),饼图中展示每种血型数量。</w:t>
            </w:r>
          </w:p>
        </w:tc>
      </w:tr>
      <w:tr w14:paraId="6783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C275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10、线上互动招募</w:t>
            </w:r>
          </w:p>
        </w:tc>
      </w:tr>
      <w:tr w14:paraId="0F1B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1F97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5800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评价反馈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F165D">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献血者在献血后可通过在线填写问卷调查，反馈本次应急献血的体验、建议或投诉。</w:t>
            </w:r>
          </w:p>
        </w:tc>
      </w:tr>
      <w:tr w14:paraId="1D49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8495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EFF8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全市应急献血地图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39A2B">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献血者可通过应急献血地图，快速找到当前可提供应急献血的地址，并通过系统自动推送距离最近的献血点。</w:t>
            </w:r>
          </w:p>
        </w:tc>
      </w:tr>
      <w:tr w14:paraId="01FC8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2BC7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2CF45">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应急预约服务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E781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献血者可平台预约献血，包括全血和成分血，预约精确到时段，有短信提醒，后台可查看预约信息、调整预约时间及量</w:t>
            </w:r>
          </w:p>
        </w:tc>
      </w:tr>
      <w:tr w14:paraId="1536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05F0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FAC3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活动主题模板引擎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3AA2E">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在应急献血状况下，实现应急献血事件背景、流程、环境以及特殊事项的重点宣传与指引，为献血者提供在应急状况下的清晰献血指导。</w:t>
            </w:r>
          </w:p>
        </w:tc>
      </w:tr>
      <w:tr w14:paraId="38D7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AAAD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194A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紧急公告管理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2714F">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紧急状态下公告献血开放时间调整、政策变更通知、血液库存通知</w:t>
            </w:r>
          </w:p>
        </w:tc>
      </w:tr>
      <w:tr w14:paraId="32955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29744">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11、精准招募</w:t>
            </w:r>
          </w:p>
        </w:tc>
      </w:tr>
      <w:tr w14:paraId="32604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C4F7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9A58E">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精准招募主动发布（线上通知）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06E5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线上创建招募任务，并对任务进行分派（可按献血点或按招募人员进行分派），招募人员在线接收招募任务，执行招募。招募管理人员在线实时查看招募进度，分析招募工作情况。</w:t>
            </w:r>
          </w:p>
        </w:tc>
      </w:tr>
      <w:tr w14:paraId="0730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41FF1">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AD92E">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线上渠道招募通知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29684">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通过画像筛选出用户群并基于短信模板发送短信或拨打电话，对招募反馈进行自动分类和跟进。通过在公众号上发布招募文章，献血者通过该文章的预约献血入口进行预约献血</w:t>
            </w:r>
          </w:p>
        </w:tc>
      </w:tr>
      <w:tr w14:paraId="5A78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BC11F">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12、献血者队伍组织动员管理</w:t>
            </w:r>
          </w:p>
        </w:tc>
      </w:tr>
      <w:tr w14:paraId="78B2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ADEB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49E3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用户反馈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94351">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献血者为献血项目打分或提建议，管理者查看献血点评价及评分排行，调整工作。</w:t>
            </w:r>
          </w:p>
        </w:tc>
      </w:tr>
      <w:tr w14:paraId="6D46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B0082">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88F0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献血者荣誉报奖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C6124">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献血者在线申报荣誉，工作人员在线审核、公示，支持在线领奖，系统自动判断身份信息、计算可领取权益。</w:t>
            </w:r>
          </w:p>
        </w:tc>
      </w:tr>
      <w:tr w14:paraId="03106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9626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50DB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献血者关爱服务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CDC10">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献血者注册后可查询获得的勋章，展示 “我的荣誉”，勋章规则支持献血记录配置，可生成分享海报</w:t>
            </w:r>
          </w:p>
        </w:tc>
      </w:tr>
      <w:tr w14:paraId="6B0D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9C07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B9115">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稀有血型者管理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9A0E0">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建设每位稀有血型者管理，在特殊状态下可快速建立应急献血通道。</w:t>
            </w:r>
          </w:p>
        </w:tc>
      </w:tr>
      <w:tr w14:paraId="17AA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0057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E8C4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献血者队伍管理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D6147">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对常规献血队伍以单位名称、单位类型、统一信用代码快速查询，支持编辑及冻结动员单位操作。</w:t>
            </w:r>
          </w:p>
        </w:tc>
      </w:tr>
      <w:tr w14:paraId="38DC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54F32">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13、献血者用血医院直接免费</w:t>
            </w:r>
          </w:p>
        </w:tc>
      </w:tr>
      <w:tr w14:paraId="76C43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F802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95B7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献血者用血医院直接免费(用户端)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4552B">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支持用血者通过手机提交相关资料至后台审核，直接办理血费减免。</w:t>
            </w:r>
          </w:p>
        </w:tc>
      </w:tr>
      <w:tr w14:paraId="3D53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7746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FC6B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献血者用血医院直接免费(血办管理端)-献血者查询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4A70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支持获取献血者信息，包括历史献血信息、历史核销信息、历史核销记录与献血记录的核销关系，并计算当前本人和家庭成员剩余额度。</w:t>
            </w:r>
          </w:p>
        </w:tc>
      </w:tr>
      <w:tr w14:paraId="3C73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E1FA8">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2A1A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献血者用血医院直接免费(血办管理端)-血办减免记录检索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D0A0A">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支持日期、用血者身份证、用血者姓名(减免登记单有填对应姓名)、状态、医院机构等查询条件查询减免记录信息。</w:t>
            </w:r>
          </w:p>
        </w:tc>
      </w:tr>
      <w:tr w14:paraId="4DD6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F5F0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733F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献血者用血医院直接免费(血办管理端)-对账统计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F4B14">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支持通过开始和结束日期，查询统计每个医疗机构对应的直免单数、应付金额，并可进行打印、导出。</w:t>
            </w:r>
          </w:p>
        </w:tc>
      </w:tr>
      <w:tr w14:paraId="7F03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384A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65E37">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献血者用血医院直接免费(血办管理端)-财务终审管理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6568C">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支持查看所有待终审的记录，并逐条终审或批量终审，支持已终审记录的查询。</w:t>
            </w:r>
          </w:p>
        </w:tc>
      </w:tr>
      <w:tr w14:paraId="0669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8256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8E61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献血者用血医院直接免费(医院端)-减免额度计算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5B3EE">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支持获取献血者信息，包括历史献血信息、历史核销信息，并计算当前剩余额度。</w:t>
            </w:r>
          </w:p>
        </w:tc>
      </w:tr>
      <w:tr w14:paraId="13C4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5A50E">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F7A38">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献血者用血医院直接免费(医院端)-减免登记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3863F">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支持添加多个献血者，支持身份证校验，用血金额再次确认功能，支持出院后14天内报销校验、支持检测献血者是否当天重复申请。</w:t>
            </w:r>
          </w:p>
        </w:tc>
      </w:tr>
      <w:tr w14:paraId="2D44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1B88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EF5A7">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献血者用血医院直接免费(医院端)-医院减免记录检索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9700C">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支持按日期检索记录，记录支持当日撤销。</w:t>
            </w:r>
          </w:p>
        </w:tc>
      </w:tr>
      <w:tr w14:paraId="5CE3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2D68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E8CC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献血者用血医院直接免费(医院端)-机构分账单管理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92A20">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支持按某一家机构进行分账单生成、支持机构分账单打印。</w:t>
            </w:r>
          </w:p>
        </w:tc>
      </w:tr>
      <w:tr w14:paraId="7DCE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92AA8">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2556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献血者用血医院直接免费(医院端)-机构账单管理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4EAF0">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机构汇总单支持按血办机构统计汇总减免单数、金额，机构汇总单支持打印、导出。</w:t>
            </w:r>
          </w:p>
        </w:tc>
      </w:tr>
      <w:tr w14:paraId="7BD4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CFB6B">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14、医院团体献血管理</w:t>
            </w:r>
          </w:p>
        </w:tc>
      </w:tr>
      <w:tr w14:paraId="54F5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EF57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226A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团体采血计划管理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62001">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创建每日团采计划，生成二维码在线管理，通知团采单位提前进行团采献血登记</w:t>
            </w:r>
          </w:p>
        </w:tc>
      </w:tr>
      <w:tr w14:paraId="5271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79E4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45E21">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稀有血型应急队伍管理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618B5">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建设稀有血型应急队伍，在特殊状态下可快速建立应急献血通道。</w:t>
            </w:r>
          </w:p>
        </w:tc>
      </w:tr>
      <w:tr w14:paraId="5957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D4C2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06455">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团体应急献血队伍管理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9BEA5">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对团体应急献血队伍以单位名称、单位类型、统一信用代码快速查询，支持编辑及冻结动员单位操作。</w:t>
            </w:r>
          </w:p>
        </w:tc>
      </w:tr>
      <w:tr w14:paraId="3DBF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078FB">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15、长三角血液保障血液调剂</w:t>
            </w:r>
          </w:p>
        </w:tc>
      </w:tr>
      <w:tr w14:paraId="5680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0CEE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D785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血液调剂业务系统适应性改造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ADD12">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前置校验血液出库，自动获取入库血液数据，自动转换和校验血液产品数据，核对入库外调血液。</w:t>
            </w:r>
          </w:p>
        </w:tc>
      </w:tr>
      <w:tr w14:paraId="296A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59C4E">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346C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长三角血液库存调剂管理-血液调入管理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C685B">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支持临时、紧急调剂申请在线提交，按血液品种、血型等申请，管理调入记录，获取待入库数据，在线确认入库。</w:t>
            </w:r>
          </w:p>
        </w:tc>
      </w:tr>
      <w:tr w14:paraId="7BFAE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9712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E48E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长三角血液库存调剂管理-血液调出管理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F4A0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供应方在线提交调剂申请，管理调出记录，发布供应信息。</w:t>
            </w:r>
          </w:p>
        </w:tc>
      </w:tr>
      <w:tr w14:paraId="29C2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C71E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111E7">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长三角血液库存调剂管理-调拨审核管理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CEB7F">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调剂方回复申请单可供应量，审核机构查询待审核列表并审核，查询已审核记录。</w:t>
            </w:r>
          </w:p>
        </w:tc>
      </w:tr>
      <w:tr w14:paraId="5A7D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42321">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2A1A1">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长三角血液库存调剂管理-调剂统计分析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8BB52">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统计本机构与其他机构的调出调入次数，调剂血液品种的血量和分布，不同调剂类型和品种的变化趋势。</w:t>
            </w:r>
          </w:p>
        </w:tc>
      </w:tr>
      <w:tr w14:paraId="2BB0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4C815">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834A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长三角血液各城市库存分析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64AE2">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轮询长三角地区采供血机构实时血液库存，输入调剂需求量评估库存状态，可视化地图展示库存状态及距离，智能推荐调剂方案</w:t>
            </w:r>
          </w:p>
        </w:tc>
      </w:tr>
      <w:tr w14:paraId="70C1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8E09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1B77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长三角血液品种标准化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83417">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进行血液品种映射，管理调剂的血液产品，在线映射本地产品码与平台标准产品码。</w:t>
            </w:r>
          </w:p>
        </w:tc>
      </w:tr>
      <w:tr w14:paraId="0605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A58C3">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16、长三角血液保障联网安全屏蔽</w:t>
            </w:r>
          </w:p>
        </w:tc>
      </w:tr>
      <w:tr w14:paraId="6E63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B52D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978E1">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联网屏蔽筛查客户端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ED23A">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同步云端屏蔽名单，支持计划任务、手工同步，实时查询长三角地区间隔期和屏蔽名单数据，筛查献血者是否适宜献血。</w:t>
            </w:r>
          </w:p>
        </w:tc>
      </w:tr>
      <w:tr w14:paraId="5515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0F25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2C31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长三角献血联网安全屏蔽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9A156">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通过省际数据接口对接，实现长三角间隔期屏蔽和确证阳性名单屏蔽的数据共享与同步。</w:t>
            </w:r>
          </w:p>
        </w:tc>
      </w:tr>
      <w:tr w14:paraId="2977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400CD">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17、全市一体化平台特殊血型检测</w:t>
            </w:r>
          </w:p>
        </w:tc>
      </w:tr>
      <w:tr w14:paraId="7F5A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A198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7F77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特殊血型检测申请提交接口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1FE06">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用于全市一体化平台特殊血型检测申请。</w:t>
            </w:r>
          </w:p>
        </w:tc>
      </w:tr>
      <w:tr w14:paraId="5339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FC5C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3980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特殊血型检测本次报告查询接口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2EED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用于全市一体化平台特殊血型检测报告查询。</w:t>
            </w:r>
          </w:p>
        </w:tc>
      </w:tr>
      <w:tr w14:paraId="727D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481B3">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014B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特殊血型检测历史信息预警模块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0CFDC">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用于全市一体化平台特殊血型检测历史信息预警。</w:t>
            </w:r>
          </w:p>
        </w:tc>
      </w:tr>
      <w:tr w14:paraId="62BCC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542D9">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9173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特殊血型检测患者信息管理模块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DA7F1">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用于全市一体化平台特殊血型检测患者信息管理。</w:t>
            </w:r>
          </w:p>
        </w:tc>
      </w:tr>
      <w:tr w14:paraId="4F6D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E701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A7757">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特殊血型检测报告统计分析模块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4C056">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用于全市一体化平台特殊血型检测统计分析。</w:t>
            </w:r>
          </w:p>
        </w:tc>
      </w:tr>
      <w:tr w14:paraId="0AD9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BE1A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383AE">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特殊血型检测收费单模块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7B07F">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用于全市一体化平台特殊血型检测收费单管理。</w:t>
            </w:r>
          </w:p>
        </w:tc>
      </w:tr>
      <w:tr w14:paraId="6317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5460F">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18、数据治理服务</w:t>
            </w:r>
          </w:p>
        </w:tc>
      </w:tr>
      <w:tr w14:paraId="3BD4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8A10C">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7BA6D">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数据仓库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BB4D7">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构建血液业务数据的集中存储仓库。</w:t>
            </w:r>
          </w:p>
        </w:tc>
      </w:tr>
      <w:tr w14:paraId="4F7A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F49CA">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cs="方正仿宋_GB2312"/>
                <w:b w:val="0"/>
                <w:bCs w:val="0"/>
                <w:i w:val="0"/>
                <w:iCs w:val="0"/>
                <w:color w:val="000000"/>
                <w:kern w:val="0"/>
                <w:sz w:val="22"/>
                <w:szCs w:val="22"/>
                <w:u w:val="none"/>
                <w:lang w:val="en-US" w:eastAsia="zh-CN" w:bidi="ar"/>
                <w14:ligatures w14:val="none"/>
              </w:rPr>
              <w:t>19</w:t>
            </w: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、密码应用功能</w:t>
            </w:r>
          </w:p>
        </w:tc>
      </w:tr>
      <w:tr w14:paraId="4A57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0735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BFA9F">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密码应用-用户身份认证机制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7CC4C">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开发用户身份认证机制模块，通过签名验签等安全机制实现登录用户的身份鉴别。</w:t>
            </w:r>
          </w:p>
        </w:tc>
      </w:tr>
      <w:tr w14:paraId="6BF1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9535">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B04B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密码应用-业务重要数据安全传输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C11C3">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开发业务重要数据安全传输模块，调用密码支撑平台提供的安全认证网关服务接口，实现应用系统通信数据的机密性和完整性保护。</w:t>
            </w:r>
          </w:p>
        </w:tc>
      </w:tr>
      <w:tr w14:paraId="7D32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4A438">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9F80B">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密码应用-服务器虚拟机设备日志/访问控制信息完整性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12C48">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开发服务器虚拟机设备日志/访问控制信息完整性模块，调用密码支撑平台提供的签名验签服务接口，实现服务器虚拟机、数据库等设备日志/访问控制信息的完整性保护。</w:t>
            </w:r>
          </w:p>
        </w:tc>
      </w:tr>
      <w:tr w14:paraId="1866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964A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66E2A">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密码应用-重要可执行程序签名验签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30807">
            <w:pPr>
              <w:keepNext w:val="0"/>
              <w:keepLines w:val="0"/>
              <w:widowControl/>
              <w:suppressLineNumbers w:val="0"/>
              <w:jc w:val="left"/>
              <w:textAlignment w:val="center"/>
              <w:rPr>
                <w:rFonts w:hint="eastAsia" w:ascii="方正仿宋_GB2312" w:hAnsi="方正仿宋_GB2312" w:eastAsia="方正仿宋_GB2312" w:cs="方正仿宋_GB2312"/>
                <w:b w:val="0"/>
                <w:bCs w:val="0"/>
                <w:i w:val="0"/>
                <w:iCs w:val="0"/>
                <w:color w:val="000000"/>
                <w:sz w:val="22"/>
                <w:szCs w:val="22"/>
                <w:u w:val="none"/>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14:ligatures w14:val="none"/>
              </w:rPr>
              <w:t>开发重要可执行程序签名验签模块，调用密码支撑平台提供的签名验签服务接口，实现重要可执行程序的完整性、来源真实性保护。</w:t>
            </w:r>
          </w:p>
        </w:tc>
      </w:tr>
    </w:tbl>
    <w:p w14:paraId="676F07A9">
      <w:pPr>
        <w:numPr>
          <w:ilvl w:val="0"/>
          <w:numId w:val="0"/>
        </w:numPr>
        <w:rPr>
          <w:rFonts w:hint="eastAsia"/>
          <w:highlight w:val="none"/>
          <w:lang w:val="en-US" w:eastAsia="zh-CN"/>
        </w:rPr>
      </w:pPr>
    </w:p>
    <w:p w14:paraId="4C7390BF">
      <w:pPr>
        <w:pStyle w:val="2"/>
        <w:bidi w:val="0"/>
        <w:rPr>
          <w:rFonts w:hint="eastAsia"/>
          <w:highlight w:val="none"/>
          <w:lang w:val="en-US" w:eastAsia="zh-CN"/>
        </w:rPr>
      </w:pPr>
      <w:r>
        <w:rPr>
          <w:rFonts w:hint="eastAsia"/>
          <w:highlight w:val="none"/>
          <w:lang w:val="en-US" w:eastAsia="zh-CN"/>
        </w:rPr>
        <w:t>项目商务要求</w:t>
      </w:r>
    </w:p>
    <w:p w14:paraId="5ACB14C3">
      <w:pPr>
        <w:pStyle w:val="3"/>
        <w:bidi w:val="0"/>
        <w:ind w:left="575" w:hanging="575"/>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知识转移与运维交付要求</w:t>
      </w:r>
    </w:p>
    <w:p w14:paraId="1C15BE0A">
      <w:pPr>
        <w:ind w:firstLine="420"/>
        <w:rPr>
          <w:rFonts w:hint="eastAsia"/>
          <w:b/>
          <w:bCs/>
          <w:highlight w:val="none"/>
          <w:lang w:val="en-US" w:eastAsia="zh-CN"/>
        </w:rPr>
      </w:pPr>
      <w:r>
        <w:rPr>
          <w:rFonts w:hint="eastAsia"/>
          <w:b/>
          <w:bCs/>
          <w:highlight w:val="none"/>
          <w:lang w:val="en-US" w:eastAsia="zh-CN"/>
        </w:rPr>
        <w:t>投标人须提供数据库原厂授权投标供应商的授权文件。</w:t>
      </w:r>
    </w:p>
    <w:p w14:paraId="7BB3EDCA">
      <w:pPr>
        <w:ind w:firstLine="420"/>
        <w:rPr>
          <w:rFonts w:hint="eastAsia"/>
          <w:highlight w:val="none"/>
          <w:lang w:val="en-US" w:eastAsia="zh-CN"/>
        </w:rPr>
      </w:pPr>
      <w:r>
        <w:rPr>
          <w:rFonts w:hint="eastAsia"/>
          <w:highlight w:val="none"/>
          <w:lang w:val="en-US" w:eastAsia="zh-CN"/>
        </w:rPr>
        <w:t>要求提交国产化XC数据库资源伸缩计划：基于统一单位进行资源管控，创建资源组并分配不同单位数量，资源组允许设置空闲时超用。</w:t>
      </w:r>
    </w:p>
    <w:p w14:paraId="3E380118">
      <w:pPr>
        <w:pStyle w:val="3"/>
        <w:bidi w:val="0"/>
        <w:ind w:left="575" w:hanging="575"/>
        <w:rPr>
          <w:rFonts w:hint="eastAsia" w:ascii="Times New Roman" w:hAnsi="Times New Roman" w:cs="Times New Roman"/>
          <w:highlight w:val="none"/>
          <w:lang w:val="en-US" w:eastAsia="zh-CN"/>
        </w:rPr>
      </w:pPr>
      <w:r>
        <w:rPr>
          <w:rFonts w:hint="eastAsia" w:cs="Times New Roman"/>
          <w:highlight w:val="none"/>
          <w:lang w:val="en-US" w:eastAsia="zh-CN"/>
        </w:rPr>
        <w:t>XC</w:t>
      </w:r>
      <w:r>
        <w:rPr>
          <w:rFonts w:hint="eastAsia" w:ascii="Times New Roman" w:hAnsi="Times New Roman" w:cs="Times New Roman"/>
          <w:highlight w:val="none"/>
          <w:lang w:val="en-US" w:eastAsia="zh-CN"/>
        </w:rPr>
        <w:t>合规要求</w:t>
      </w:r>
    </w:p>
    <w:p w14:paraId="3FE86BB3">
      <w:pPr>
        <w:rPr>
          <w:rFonts w:hint="eastAsia"/>
          <w:b/>
          <w:bCs/>
          <w:highlight w:val="none"/>
          <w:lang w:val="en-US" w:eastAsia="zh-CN"/>
        </w:rPr>
      </w:pPr>
      <w:r>
        <w:rPr>
          <w:rFonts w:hint="eastAsia"/>
          <w:highlight w:val="none"/>
          <w:lang w:val="en-US" w:eastAsia="zh-CN"/>
        </w:rPr>
        <w:t>▲要求国产化XC数据库适配</w:t>
      </w:r>
      <w:r>
        <w:rPr>
          <w:rFonts w:hint="eastAsia"/>
          <w:lang w:val="en-US" w:eastAsia="zh-CN"/>
        </w:rPr>
        <w:t>鲲鹏、中兴、麒麟等</w:t>
      </w:r>
      <w:r>
        <w:rPr>
          <w:rFonts w:hint="eastAsia"/>
        </w:rPr>
        <w:t>主流的国产芯片、服务器、操作系统等</w:t>
      </w:r>
      <w:r>
        <w:rPr>
          <w:rFonts w:hint="eastAsia"/>
          <w:lang w:eastAsia="zh-CN"/>
        </w:rPr>
        <w:t>，并提供证明</w:t>
      </w:r>
      <w:r>
        <w:rPr>
          <w:rFonts w:hint="eastAsia"/>
          <w:b/>
          <w:bCs/>
          <w:highlight w:val="none"/>
          <w:lang w:val="en-US" w:eastAsia="zh-CN"/>
        </w:rPr>
        <w:t>。</w:t>
      </w:r>
    </w:p>
    <w:p w14:paraId="74DAB067">
      <w:pPr>
        <w:rPr>
          <w:rFonts w:hint="eastAsia"/>
          <w:highlight w:val="none"/>
          <w:lang w:val="en-US" w:eastAsia="zh-CN"/>
        </w:rPr>
      </w:pPr>
      <w:r>
        <w:rPr>
          <w:rFonts w:hint="eastAsia"/>
          <w:highlight w:val="none"/>
          <w:lang w:val="en-US" w:eastAsia="zh-CN"/>
        </w:rPr>
        <w:t>▲数据迁移工具需具备自主可控证明（国产化率≥80%）。</w:t>
      </w:r>
    </w:p>
    <w:p w14:paraId="1D29FB94">
      <w:pPr>
        <w:pStyle w:val="3"/>
        <w:bidi w:val="0"/>
        <w:rPr>
          <w:rFonts w:hint="eastAsia"/>
          <w:highlight w:val="none"/>
          <w:lang w:val="en-US" w:eastAsia="zh-CN"/>
        </w:rPr>
      </w:pPr>
      <w:r>
        <w:rPr>
          <w:rFonts w:hint="eastAsia"/>
          <w:highlight w:val="none"/>
          <w:lang w:val="en-US" w:eastAsia="zh-CN"/>
        </w:rPr>
        <w:t>合同履行期限要求</w:t>
      </w:r>
    </w:p>
    <w:p w14:paraId="11743478">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80" w:firstLineChars="200"/>
        <w:textAlignment w:val="auto"/>
        <w:rPr>
          <w:rFonts w:hint="eastAsia"/>
          <w:highlight w:val="none"/>
          <w:lang w:val="en-US" w:eastAsia="zh-CN"/>
        </w:rPr>
      </w:pPr>
      <w:r>
        <w:rPr>
          <w:rFonts w:hint="eastAsia"/>
          <w:highlight w:val="none"/>
          <w:lang w:val="en-US" w:eastAsia="zh-CN"/>
        </w:rPr>
        <w:t>本项目服务期限为自合同签订生效之日起至2026年11月30日前。</w:t>
      </w:r>
    </w:p>
    <w:p w14:paraId="36C175E6">
      <w:pPr>
        <w:pStyle w:val="3"/>
        <w:bidi w:val="0"/>
        <w:rPr>
          <w:rFonts w:hint="eastAsia"/>
          <w:highlight w:val="none"/>
          <w:lang w:val="en-US" w:eastAsia="zh-CN"/>
        </w:rPr>
      </w:pPr>
      <w:r>
        <w:rPr>
          <w:rFonts w:hint="eastAsia"/>
          <w:highlight w:val="none"/>
          <w:lang w:val="en-US" w:eastAsia="zh-CN"/>
        </w:rPr>
        <w:t>交付地点</w:t>
      </w:r>
    </w:p>
    <w:p w14:paraId="63827C7C">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80" w:firstLineChars="200"/>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采购人指定地点。</w:t>
      </w:r>
    </w:p>
    <w:p w14:paraId="2072225E">
      <w:pPr>
        <w:pStyle w:val="3"/>
        <w:bidi w:val="0"/>
        <w:rPr>
          <w:rFonts w:hint="eastAsia"/>
          <w:highlight w:val="none"/>
          <w:lang w:val="en-US" w:eastAsia="zh-CN"/>
        </w:rPr>
      </w:pPr>
      <w:r>
        <w:rPr>
          <w:rFonts w:hint="eastAsia"/>
          <w:highlight w:val="none"/>
          <w:lang w:val="en-US" w:eastAsia="zh-CN"/>
        </w:rPr>
        <w:t>验收要求</w:t>
      </w:r>
    </w:p>
    <w:p w14:paraId="3483A61F">
      <w:pPr>
        <w:spacing w:line="360" w:lineRule="auto"/>
        <w:ind w:firstLine="560" w:firstLineChars="200"/>
        <w:rPr>
          <w:rFonts w:ascii="仿宋" w:hAnsi="仿宋" w:eastAsia="仿宋"/>
          <w:sz w:val="28"/>
          <w:szCs w:val="28"/>
        </w:rPr>
      </w:pPr>
      <w:r>
        <w:rPr>
          <w:rFonts w:hint="eastAsia" w:ascii="仿宋" w:hAnsi="仿宋" w:eastAsia="仿宋"/>
          <w:sz w:val="28"/>
          <w:szCs w:val="28"/>
        </w:rPr>
        <w:t>本项目按下述方式开展验收。</w:t>
      </w:r>
    </w:p>
    <w:p w14:paraId="34D88D0A">
      <w:pPr>
        <w:spacing w:line="360" w:lineRule="auto"/>
        <w:ind w:firstLine="560" w:firstLineChars="200"/>
        <w:rPr>
          <w:rFonts w:ascii="仿宋" w:hAnsi="仿宋" w:eastAsia="仿宋"/>
          <w:sz w:val="28"/>
          <w:szCs w:val="28"/>
        </w:rPr>
      </w:pPr>
      <w:r>
        <w:rPr>
          <w:rFonts w:hint="eastAsia" w:ascii="仿宋" w:hAnsi="仿宋" w:eastAsia="仿宋"/>
          <w:sz w:val="28"/>
          <w:szCs w:val="28"/>
        </w:rPr>
        <w:t>（1）验收分初验和终验。</w:t>
      </w:r>
    </w:p>
    <w:p w14:paraId="2A6D467B">
      <w:pPr>
        <w:spacing w:line="360" w:lineRule="auto"/>
        <w:ind w:firstLine="560" w:firstLineChars="200"/>
        <w:rPr>
          <w:rFonts w:ascii="仿宋" w:hAnsi="仿宋" w:eastAsia="仿宋"/>
          <w:sz w:val="28"/>
          <w:szCs w:val="28"/>
        </w:rPr>
      </w:pPr>
      <w:r>
        <w:rPr>
          <w:rFonts w:hint="eastAsia" w:ascii="仿宋" w:hAnsi="仿宋" w:eastAsia="仿宋"/>
          <w:sz w:val="28"/>
          <w:szCs w:val="28"/>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33978026">
      <w:pPr>
        <w:spacing w:line="360" w:lineRule="auto"/>
        <w:ind w:firstLine="560" w:firstLineChars="200"/>
        <w:rPr>
          <w:rFonts w:ascii="仿宋" w:hAnsi="仿宋" w:eastAsia="仿宋"/>
          <w:sz w:val="28"/>
          <w:szCs w:val="28"/>
        </w:rPr>
      </w:pPr>
      <w:r>
        <w:rPr>
          <w:rFonts w:hint="eastAsia" w:ascii="仿宋" w:hAnsi="仿宋" w:eastAsia="仿宋"/>
          <w:sz w:val="28"/>
          <w:szCs w:val="28"/>
        </w:rPr>
        <w:t>（3）初验时，供应商须提供软件文档包括《用户需求说明书》、《系统概要设计说明书》、《系统详细设计说明书》、《测试报告》、《用户使用手册》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1F58C498">
      <w:pPr>
        <w:spacing w:line="360" w:lineRule="auto"/>
        <w:ind w:firstLine="560" w:firstLineChars="200"/>
        <w:rPr>
          <w:rFonts w:ascii="仿宋" w:hAnsi="仿宋" w:eastAsia="仿宋"/>
          <w:sz w:val="28"/>
          <w:szCs w:val="28"/>
        </w:rPr>
      </w:pPr>
      <w:r>
        <w:rPr>
          <w:rFonts w:hint="eastAsia" w:ascii="仿宋" w:hAnsi="仿宋" w:eastAsia="仿宋"/>
          <w:sz w:val="28"/>
          <w:szCs w:val="28"/>
        </w:rPr>
        <w:t>（4）初验通过且信息系统试运行期已经达到本项目约定的时间，经供应商确认信息系统具备正常运行条件，且信息系统通过运行测试，供应商应以书面形式通知招标方信息系统已准备就绪等待终验。招标方在收到终验通知后的10个工作日内发起组织专家验收会。</w:t>
      </w:r>
    </w:p>
    <w:p w14:paraId="476DF8D7">
      <w:pPr>
        <w:spacing w:line="360" w:lineRule="auto"/>
        <w:ind w:firstLine="560" w:firstLineChars="200"/>
        <w:rPr>
          <w:rFonts w:ascii="仿宋" w:hAnsi="仿宋" w:eastAsia="仿宋"/>
          <w:sz w:val="28"/>
          <w:szCs w:val="28"/>
        </w:rPr>
      </w:pPr>
      <w:r>
        <w:rPr>
          <w:rFonts w:hint="eastAsia" w:ascii="仿宋" w:hAnsi="仿宋" w:eastAsia="仿宋"/>
          <w:sz w:val="28"/>
          <w:szCs w:val="28"/>
        </w:rPr>
        <w:t>（5）如果属于供应商原因致使本项目未能通过终验，供应商应当排除缺陷，直至本项目完全符合验收标准，由上述情形而产生的相关费用应由供应商自行承担。</w:t>
      </w:r>
    </w:p>
    <w:p w14:paraId="7ACAD549">
      <w:pPr>
        <w:spacing w:line="360" w:lineRule="auto"/>
        <w:ind w:firstLine="560" w:firstLineChars="200"/>
        <w:rPr>
          <w:rFonts w:ascii="仿宋" w:hAnsi="仿宋" w:eastAsia="仿宋"/>
          <w:sz w:val="28"/>
          <w:szCs w:val="28"/>
        </w:rPr>
      </w:pPr>
      <w:r>
        <w:rPr>
          <w:rFonts w:hint="eastAsia" w:ascii="仿宋" w:hAnsi="仿宋" w:eastAsia="仿宋"/>
          <w:sz w:val="28"/>
          <w:szCs w:val="28"/>
        </w:rPr>
        <w:t>（6）如果由于招标方原因导致本项目在终验通过前出现故障或问题，供应商应及时配合排除该方面的故障或问题。</w:t>
      </w:r>
    </w:p>
    <w:p w14:paraId="08A601A4">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（7）如本项目连续3次验收未通过（含初验未通过或终验未通过），招标方有权解除项目，并有权依照本项目约定的违约条款追究供应商的违约责任。</w:t>
      </w:r>
    </w:p>
    <w:p w14:paraId="27B6264D">
      <w:pPr>
        <w:pStyle w:val="3"/>
        <w:bidi w:val="0"/>
        <w:rPr>
          <w:rFonts w:hint="eastAsia"/>
          <w:highlight w:val="none"/>
          <w:lang w:val="en-US" w:eastAsia="zh-CN"/>
        </w:rPr>
      </w:pPr>
      <w:r>
        <w:rPr>
          <w:rFonts w:hint="eastAsia"/>
          <w:highlight w:val="none"/>
          <w:lang w:val="en-US" w:eastAsia="zh-CN"/>
        </w:rPr>
        <w:t>合规性要求</w:t>
      </w:r>
    </w:p>
    <w:p w14:paraId="4836A0F7">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80" w:firstLineChars="200"/>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投标人应保证所供服务的安全性、可靠性、先进性、经济性和实用性，完全符合招标文件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51A9680E">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80" w:firstLineChars="200"/>
        <w:textAlignment w:val="auto"/>
        <w:rPr>
          <w:rFonts w:hint="default" w:ascii="Times New Roman" w:hAnsi="Times New Roman" w:cs="Times New Roman"/>
          <w:b w:val="0"/>
          <w:bCs w:val="0"/>
          <w:highlight w:val="none"/>
          <w:lang w:val="en-US" w:eastAsia="zh-CN"/>
        </w:rPr>
      </w:pPr>
      <w:r>
        <w:rPr>
          <w:rFonts w:hint="eastAsia" w:cs="Times New Roman"/>
          <w:b w:val="0"/>
          <w:bCs w:val="0"/>
          <w:highlight w:val="none"/>
          <w:lang w:val="en-US" w:eastAsia="zh-CN"/>
        </w:rPr>
        <w:t>项目交付后，需完成等保三级测评、软件测评、密码测评。</w:t>
      </w:r>
    </w:p>
    <w:p w14:paraId="68BF72AD">
      <w:pPr>
        <w:pStyle w:val="3"/>
        <w:bidi w:val="0"/>
        <w:rPr>
          <w:rFonts w:hint="eastAsia"/>
          <w:highlight w:val="none"/>
          <w:lang w:val="en-US" w:eastAsia="zh-CN"/>
        </w:rPr>
      </w:pPr>
      <w:r>
        <w:rPr>
          <w:rFonts w:hint="eastAsia"/>
          <w:highlight w:val="none"/>
          <w:lang w:val="en-US" w:eastAsia="zh-CN"/>
        </w:rPr>
        <w:t>知识产权保障要求</w:t>
      </w:r>
    </w:p>
    <w:p w14:paraId="10D06F27">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480" w:firstLineChars="200"/>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投标人应保证采购人在使用其所供服务时不受第三方提出侵犯其专利权、著作权和工业产权等知识产权的起诉。一旦出现侵权，一律由投标人承担全部责任。同时，投标人对采购人采购的货物所涉及的技术、产能等信息负有保密义务。</w:t>
      </w:r>
    </w:p>
    <w:p w14:paraId="08386FAF">
      <w:pPr>
        <w:pStyle w:val="3"/>
        <w:bidi w:val="0"/>
        <w:rPr>
          <w:rFonts w:hint="eastAsia"/>
          <w:highlight w:val="none"/>
          <w:lang w:val="en-US" w:eastAsia="zh-CN"/>
        </w:rPr>
      </w:pPr>
      <w:r>
        <w:rPr>
          <w:rFonts w:hint="eastAsia"/>
          <w:highlight w:val="none"/>
          <w:lang w:val="en-US" w:eastAsia="zh-CN"/>
        </w:rPr>
        <w:t>售后服务要求</w:t>
      </w:r>
    </w:p>
    <w:p w14:paraId="2432383A">
      <w:pPr>
        <w:numPr>
          <w:ilvl w:val="-1"/>
          <w:numId w:val="0"/>
        </w:numPr>
        <w:ind w:left="0" w:leftChars="0" w:firstLine="0" w:firstLineChars="0"/>
        <w:rPr>
          <w:rFonts w:hint="eastAsia"/>
          <w:highlight w:val="none"/>
          <w:lang w:val="en-US" w:eastAsia="zh-CN"/>
        </w:rPr>
      </w:pPr>
      <w:r>
        <w:rPr>
          <w:rFonts w:hint="eastAsia"/>
          <w:highlight w:val="none"/>
        </w:rPr>
        <w:t>本项目从系统验收通过之日起1年内提供7*24小时免费技术支持和售后服务，1年后进入有偿维护期。</w:t>
      </w:r>
    </w:p>
    <w:p w14:paraId="454ADA79">
      <w:pPr>
        <w:numPr>
          <w:ilvl w:val="0"/>
          <w:numId w:val="11"/>
        </w:numPr>
        <w:rPr>
          <w:rFonts w:hint="eastAsia" w:ascii="Times New Roman" w:hAnsi="Times New Roman"/>
          <w:sz w:val="24"/>
          <w:szCs w:val="24"/>
          <w:highlight w:val="none"/>
        </w:rPr>
      </w:pPr>
      <w:r>
        <w:rPr>
          <w:rFonts w:hint="eastAsia" w:ascii="Times New Roman" w:hAnsi="Times New Roman"/>
          <w:sz w:val="24"/>
          <w:szCs w:val="24"/>
          <w:highlight w:val="none"/>
        </w:rPr>
        <w:t>在质量保证期内，供应商负责信息系统的运行维护工作，确保信息系统安全、稳定、可靠地运行。</w:t>
      </w:r>
    </w:p>
    <w:p w14:paraId="22DC4532">
      <w:pPr>
        <w:numPr>
          <w:ilvl w:val="0"/>
          <w:numId w:val="11"/>
        </w:numPr>
        <w:rPr>
          <w:rFonts w:hint="eastAsia"/>
          <w:lang w:val="en-US" w:eastAsia="zh-CN"/>
        </w:rPr>
      </w:pPr>
      <w:r>
        <w:rPr>
          <w:rFonts w:hint="eastAsia" w:ascii="Times New Roman" w:hAnsi="Times New Roman"/>
          <w:sz w:val="24"/>
          <w:szCs w:val="24"/>
          <w:highlight w:val="none"/>
        </w:rPr>
        <w:t>中标人提供完善的售后服务，包括售后服务电话，在线客服服务</w:t>
      </w:r>
      <w:r>
        <w:rPr>
          <w:rFonts w:hint="eastAsia" w:ascii="Times New Roman" w:hAnsi="Times New Roman"/>
          <w:sz w:val="24"/>
          <w:szCs w:val="24"/>
          <w:highlight w:val="none"/>
          <w:lang w:eastAsia="zh-CN"/>
        </w:rPr>
        <w:t>。</w:t>
      </w:r>
    </w:p>
    <w:p w14:paraId="0AC46FEE">
      <w:pPr>
        <w:numPr>
          <w:ilvl w:val="0"/>
          <w:numId w:val="11"/>
        </w:numPr>
        <w:ind w:left="425" w:leftChars="0" w:hanging="425" w:firstLineChars="0"/>
        <w:rPr>
          <w:rFonts w:hint="eastAsia"/>
          <w:highlight w:val="none"/>
          <w:lang w:val="en-US" w:eastAsia="zh-CN"/>
        </w:rPr>
      </w:pPr>
      <w:r>
        <w:rPr>
          <w:rFonts w:hint="eastAsia"/>
          <w:highlight w:val="none"/>
          <w:lang w:val="en-US" w:eastAsia="zh-CN"/>
        </w:rPr>
        <w:t>中标人质保期内免费提供本项目系统及其软件、硬件等相关所有设施的正常使用所必须的技术支持。</w:t>
      </w:r>
    </w:p>
    <w:p w14:paraId="641378B1">
      <w:pPr>
        <w:numPr>
          <w:ilvl w:val="0"/>
          <w:numId w:val="11"/>
        </w:numPr>
        <w:ind w:left="425" w:leftChars="0" w:hanging="425" w:firstLineChars="0"/>
        <w:rPr>
          <w:rFonts w:hint="eastAsia"/>
          <w:highlight w:val="none"/>
          <w:lang w:val="en-US" w:eastAsia="zh-CN"/>
        </w:rPr>
      </w:pPr>
      <w:r>
        <w:rPr>
          <w:rFonts w:hint="eastAsia"/>
          <w:highlight w:val="none"/>
          <w:lang w:val="en-US" w:eastAsia="zh-CN"/>
        </w:rPr>
        <w:t>中标人针对本项目系统及其配套软硬件出现故障需 2 小时内做出响应，24 小时内提供解决方案。</w:t>
      </w:r>
    </w:p>
    <w:p w14:paraId="3D7766CB">
      <w:pPr>
        <w:numPr>
          <w:ilvl w:val="0"/>
          <w:numId w:val="11"/>
        </w:numPr>
        <w:ind w:left="425" w:leftChars="0" w:hanging="425" w:firstLineChars="0"/>
        <w:rPr>
          <w:rFonts w:hint="eastAsia"/>
          <w:highlight w:val="none"/>
          <w:lang w:val="en-US" w:eastAsia="zh-CN"/>
        </w:rPr>
      </w:pPr>
      <w:r>
        <w:rPr>
          <w:rFonts w:hint="eastAsia"/>
          <w:highlight w:val="none"/>
          <w:lang w:val="en-US" w:eastAsia="zh-CN"/>
        </w:rPr>
        <w:t>中标人所提供的服务需有完善的售后服务保障方案，为产品提供售后、咨询、投诉等服务。</w:t>
      </w:r>
    </w:p>
    <w:p w14:paraId="694DB5CF">
      <w:pPr>
        <w:pStyle w:val="3"/>
        <w:ind w:left="960" w:leftChars="0" w:firstLineChars="0"/>
      </w:pPr>
      <w:bookmarkStart w:id="2" w:name="_Toc63785506"/>
      <w:r>
        <w:rPr>
          <w:rFonts w:hint="eastAsia"/>
        </w:rPr>
        <w:t>应急响应要求</w:t>
      </w:r>
      <w:bookmarkEnd w:id="2"/>
    </w:p>
    <w:p w14:paraId="363EAA07">
      <w:pPr>
        <w:pStyle w:val="31"/>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w:t>
      </w:r>
      <w:r>
        <w:rPr>
          <w:rFonts w:hint="eastAsia" w:ascii="宋体" w:hAnsi="宋体"/>
          <w:sz w:val="24"/>
          <w:szCs w:val="24"/>
          <w:lang w:val="en-US" w:eastAsia="zh-CN"/>
        </w:rPr>
        <w:t xml:space="preserve"> </w:t>
      </w:r>
      <w:r>
        <w:rPr>
          <w:rFonts w:ascii="宋体" w:hAnsi="宋体"/>
          <w:sz w:val="24"/>
          <w:szCs w:val="24"/>
        </w:rPr>
        <w:t>内响应，专业工程师2小时内到达现场</w:t>
      </w:r>
      <w:r>
        <w:rPr>
          <w:rFonts w:hint="eastAsia" w:ascii="宋体" w:hAnsi="宋体"/>
          <w:sz w:val="24"/>
          <w:szCs w:val="24"/>
        </w:rPr>
        <w:t>。特殊故障与客户沟通协商后，按照协商的方式制定解决方案并进行处理。</w:t>
      </w:r>
    </w:p>
    <w:p w14:paraId="7B8C793E">
      <w:pPr>
        <w:pStyle w:val="31"/>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533DEA8C">
      <w:pPr>
        <w:pStyle w:val="31"/>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4BE8E310">
      <w:pPr>
        <w:pStyle w:val="31"/>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7BDC537A">
      <w:pPr>
        <w:pStyle w:val="31"/>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39AF5692">
      <w:pPr>
        <w:pStyle w:val="3"/>
        <w:ind w:left="960" w:leftChars="0" w:firstLineChars="0"/>
      </w:pPr>
      <w:bookmarkStart w:id="3" w:name="_Toc63785507"/>
      <w:r>
        <w:rPr>
          <w:rFonts w:hint="eastAsia"/>
        </w:rPr>
        <w:t>培训要求</w:t>
      </w:r>
      <w:bookmarkEnd w:id="3"/>
    </w:p>
    <w:p w14:paraId="6F5E17C0">
      <w:pPr>
        <w:rPr>
          <w:rFonts w:hint="eastAsia"/>
        </w:rPr>
      </w:pPr>
      <w:r>
        <w:rPr>
          <w:rFonts w:hint="eastAsia"/>
          <w:highlight w:val="none"/>
          <w:lang w:val="en-US" w:eastAsia="zh-CN"/>
        </w:rPr>
        <w:t>承诺提供3天国产化XC数据库原厂运维培训，含实战演练</w:t>
      </w:r>
      <w:r>
        <w:rPr>
          <w:rFonts w:hint="eastAsia"/>
          <w:b/>
          <w:bCs/>
          <w:highlight w:val="none"/>
          <w:lang w:val="en-US" w:eastAsia="zh-CN"/>
        </w:rPr>
        <w:t>。</w:t>
      </w:r>
    </w:p>
    <w:p w14:paraId="06834CEF">
      <w:r>
        <w:rPr>
          <w:rFonts w:hint="eastAsia"/>
        </w:rPr>
        <w:t>对系统使用单位提供业务操作培训，应提供详细培训方案。</w:t>
      </w:r>
    </w:p>
    <w:p w14:paraId="2078F8C2">
      <w:pPr>
        <w:numPr>
          <w:ilvl w:val="0"/>
          <w:numId w:val="12"/>
        </w:numPr>
        <w:ind w:left="425" w:leftChars="0" w:hanging="425" w:firstLineChars="0"/>
      </w:pPr>
      <w:r>
        <w:rPr>
          <w:rFonts w:hint="eastAsia"/>
        </w:rPr>
        <w:t>在12个月的质量保证期内，提供2次与项目相关的必要培训。</w:t>
      </w:r>
    </w:p>
    <w:p w14:paraId="580B2743">
      <w:pPr>
        <w:numPr>
          <w:ilvl w:val="0"/>
          <w:numId w:val="12"/>
        </w:numPr>
        <w:ind w:left="425" w:leftChars="0" w:hanging="425" w:firstLineChars="0"/>
      </w:pPr>
      <w:r>
        <w:rPr>
          <w:rFonts w:hint="eastAsia"/>
        </w:rPr>
        <w:t>供应商需要开展分层次的人员培训工作，每次培训后应对参加培训人员进行测试，评估培训成果。培训应具有培训教材、培训环境和高水平的培训讲师。</w:t>
      </w:r>
    </w:p>
    <w:p w14:paraId="3FCD3BF3">
      <w:pPr>
        <w:numPr>
          <w:ilvl w:val="0"/>
          <w:numId w:val="12"/>
        </w:numPr>
        <w:ind w:left="425" w:leftChars="0" w:hanging="425" w:firstLineChars="0"/>
        <w:rPr>
          <w:rFonts w:hint="eastAsia"/>
        </w:rPr>
      </w:pPr>
      <w:r>
        <w:rPr>
          <w:rFonts w:hint="eastAsia"/>
        </w:rPr>
        <w:t>供应商应提供一般用户的基础操作培训和部门信息管理员的日常应用维护的培训，确保用户对象能够掌握对应的操作技能。</w:t>
      </w:r>
    </w:p>
    <w:p w14:paraId="547CDE39">
      <w:pPr>
        <w:pStyle w:val="3"/>
        <w:bidi w:val="0"/>
        <w:rPr>
          <w:rFonts w:hint="eastAsia"/>
          <w:highlight w:val="none"/>
          <w:lang w:val="en-US" w:eastAsia="zh-CN"/>
        </w:rPr>
      </w:pPr>
      <w:r>
        <w:rPr>
          <w:rFonts w:hint="eastAsia"/>
        </w:rPr>
        <w:t>人员要求</w:t>
      </w:r>
    </w:p>
    <w:p w14:paraId="6E47ADFB">
      <w:pPr>
        <w:numPr>
          <w:ilvl w:val="0"/>
          <w:numId w:val="13"/>
        </w:numPr>
      </w:pPr>
      <w:r>
        <w:rPr>
          <w:rFonts w:hint="eastAsia"/>
        </w:rPr>
        <w:t>投标人须具有稳定的在职技术保障力量，能够提供及时的技术支援或服务，供应商须固定派驻不少于6名全职驻场技术人员，含1名驻场项目经理、3名后端开发、1名前端开发、1名测试开发；所有人员工作日全天驻场采购人办公场地，不得远程替代；项目高峰期需额外增派2名开发驻场，增派人员到岗不超过3个工作日。投标单位的相关服务人员需具备相应的服务能力。</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095"/>
        <w:gridCol w:w="1180"/>
        <w:gridCol w:w="1891"/>
        <w:gridCol w:w="1180"/>
      </w:tblGrid>
      <w:tr w14:paraId="1AF6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2A8670A0">
            <w:pPr>
              <w:widowControl/>
              <w:spacing w:line="240" w:lineRule="auto"/>
              <w:ind w:firstLine="0" w:firstLineChars="0"/>
              <w:jc w:val="center"/>
              <w:rPr>
                <w:b/>
              </w:rPr>
            </w:pPr>
            <w:r>
              <w:rPr>
                <w:rFonts w:hint="eastAsia"/>
                <w:b/>
              </w:rPr>
              <w:t>角色</w:t>
            </w:r>
          </w:p>
        </w:tc>
        <w:tc>
          <w:tcPr>
            <w:tcW w:w="0" w:type="auto"/>
            <w:shd w:val="clear" w:color="auto" w:fill="auto"/>
            <w:noWrap/>
            <w:vAlign w:val="center"/>
          </w:tcPr>
          <w:p w14:paraId="6FBB11BA">
            <w:pPr>
              <w:widowControl/>
              <w:spacing w:line="240" w:lineRule="auto"/>
              <w:ind w:firstLine="0" w:firstLineChars="0"/>
              <w:jc w:val="center"/>
              <w:rPr>
                <w:b/>
              </w:rPr>
            </w:pPr>
            <w:r>
              <w:rPr>
                <w:rFonts w:hint="eastAsia"/>
                <w:b/>
              </w:rPr>
              <w:t>主要职责</w:t>
            </w:r>
          </w:p>
        </w:tc>
        <w:tc>
          <w:tcPr>
            <w:tcW w:w="0" w:type="auto"/>
            <w:shd w:val="clear" w:color="auto" w:fill="auto"/>
            <w:noWrap/>
            <w:vAlign w:val="center"/>
          </w:tcPr>
          <w:p w14:paraId="36758C3C">
            <w:pPr>
              <w:widowControl/>
              <w:spacing w:line="240" w:lineRule="auto"/>
              <w:ind w:firstLine="0" w:firstLineChars="0"/>
              <w:jc w:val="center"/>
              <w:rPr>
                <w:b/>
              </w:rPr>
            </w:pPr>
            <w:r>
              <w:rPr>
                <w:rFonts w:hint="eastAsia"/>
                <w:b/>
              </w:rPr>
              <w:t>人员数量</w:t>
            </w:r>
          </w:p>
        </w:tc>
        <w:tc>
          <w:tcPr>
            <w:tcW w:w="0" w:type="auto"/>
            <w:vAlign w:val="center"/>
          </w:tcPr>
          <w:p w14:paraId="1FC3F9DF">
            <w:pPr>
              <w:widowControl/>
              <w:spacing w:line="240" w:lineRule="auto"/>
              <w:ind w:firstLine="0" w:firstLineChars="0"/>
              <w:jc w:val="center"/>
              <w:rPr>
                <w:b/>
              </w:rPr>
            </w:pPr>
            <w:r>
              <w:rPr>
                <w:rFonts w:hint="eastAsia"/>
                <w:b/>
              </w:rPr>
              <w:t>人员要求</w:t>
            </w:r>
          </w:p>
        </w:tc>
        <w:tc>
          <w:tcPr>
            <w:tcW w:w="0" w:type="auto"/>
            <w:shd w:val="clear" w:color="auto" w:fill="auto"/>
            <w:noWrap/>
            <w:vAlign w:val="center"/>
          </w:tcPr>
          <w:p w14:paraId="2AF320A5">
            <w:pPr>
              <w:widowControl/>
              <w:spacing w:line="240" w:lineRule="auto"/>
              <w:ind w:firstLine="0" w:firstLineChars="0"/>
              <w:jc w:val="center"/>
              <w:rPr>
                <w:b/>
              </w:rPr>
            </w:pPr>
            <w:r>
              <w:rPr>
                <w:rFonts w:hint="eastAsia"/>
                <w:b/>
              </w:rPr>
              <w:t>驻场要求</w:t>
            </w:r>
          </w:p>
        </w:tc>
      </w:tr>
      <w:tr w14:paraId="74ED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638E3086">
            <w:pPr>
              <w:widowControl/>
              <w:spacing w:line="240" w:lineRule="auto"/>
              <w:ind w:firstLine="0" w:firstLineChars="0"/>
              <w:jc w:val="center"/>
            </w:pPr>
            <w:r>
              <w:rPr>
                <w:rFonts w:hint="eastAsia"/>
              </w:rPr>
              <w:t>项目经理</w:t>
            </w:r>
          </w:p>
        </w:tc>
        <w:tc>
          <w:tcPr>
            <w:tcW w:w="0" w:type="auto"/>
            <w:shd w:val="clear" w:color="auto" w:fill="auto"/>
            <w:vAlign w:val="center"/>
          </w:tcPr>
          <w:p w14:paraId="2F4BDD93">
            <w:pPr>
              <w:widowControl/>
              <w:spacing w:line="240" w:lineRule="auto"/>
              <w:ind w:firstLine="0" w:firstLineChars="0"/>
              <w:jc w:val="center"/>
            </w:pPr>
            <w:r>
              <w:rPr>
                <w:rFonts w:hint="eastAsia"/>
              </w:rPr>
              <w:t>负责项目质量和进度控制</w:t>
            </w:r>
          </w:p>
        </w:tc>
        <w:tc>
          <w:tcPr>
            <w:tcW w:w="0" w:type="auto"/>
            <w:shd w:val="clear" w:color="auto" w:fill="auto"/>
            <w:noWrap/>
            <w:vAlign w:val="center"/>
          </w:tcPr>
          <w:p w14:paraId="6E28DB16">
            <w:pPr>
              <w:widowControl/>
              <w:spacing w:line="240" w:lineRule="auto"/>
              <w:ind w:firstLine="0" w:firstLineChars="0"/>
              <w:jc w:val="center"/>
            </w:pPr>
            <w:r>
              <w:rPr>
                <w:rFonts w:hint="eastAsia"/>
                <w:lang w:val="en-US" w:eastAsia="zh-CN"/>
              </w:rPr>
              <w:t>1</w:t>
            </w:r>
            <w:r>
              <w:rPr>
                <w:rFonts w:hint="eastAsia"/>
              </w:rPr>
              <w:t>人</w:t>
            </w:r>
          </w:p>
        </w:tc>
        <w:tc>
          <w:tcPr>
            <w:tcW w:w="0" w:type="auto"/>
            <w:vAlign w:val="center"/>
          </w:tcPr>
          <w:p w14:paraId="5126F800">
            <w:pPr>
              <w:widowControl/>
              <w:spacing w:line="240" w:lineRule="auto"/>
              <w:ind w:firstLine="0" w:firstLineChars="0"/>
              <w:jc w:val="center"/>
            </w:pPr>
            <w:r>
              <w:rPr>
                <w:rFonts w:hint="eastAsia"/>
              </w:rPr>
              <w:t>具备</w:t>
            </w:r>
            <w:r>
              <w:rPr>
                <w:rFonts w:hint="eastAsia"/>
                <w:lang w:eastAsia="zh-CN"/>
              </w:rPr>
              <w:t>信息系统项目管理师</w:t>
            </w:r>
            <w:r>
              <w:rPr>
                <w:rFonts w:hint="eastAsia"/>
              </w:rPr>
              <w:t>证书</w:t>
            </w:r>
          </w:p>
        </w:tc>
        <w:tc>
          <w:tcPr>
            <w:tcW w:w="0" w:type="auto"/>
            <w:shd w:val="clear" w:color="auto" w:fill="auto"/>
            <w:noWrap/>
            <w:vAlign w:val="center"/>
          </w:tcPr>
          <w:p w14:paraId="63879D4F">
            <w:pPr>
              <w:widowControl/>
              <w:spacing w:line="240" w:lineRule="auto"/>
              <w:ind w:firstLine="0" w:firstLineChars="0"/>
              <w:jc w:val="center"/>
            </w:pPr>
            <w:r>
              <w:rPr>
                <w:rFonts w:hint="eastAsia"/>
              </w:rPr>
              <w:t>驻场</w:t>
            </w:r>
          </w:p>
        </w:tc>
      </w:tr>
      <w:tr w14:paraId="1A01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EAF2950">
            <w:pPr>
              <w:widowControl/>
              <w:spacing w:line="240" w:lineRule="auto"/>
              <w:ind w:firstLine="0" w:firstLineChars="0"/>
              <w:jc w:val="center"/>
              <w:rPr>
                <w:rFonts w:hint="eastAsia" w:eastAsia="宋体"/>
                <w:lang w:val="en-US" w:eastAsia="zh-CN"/>
              </w:rPr>
            </w:pPr>
            <w:r>
              <w:rPr>
                <w:rFonts w:hint="eastAsia"/>
                <w:lang w:val="en-US" w:eastAsia="zh-CN"/>
              </w:rPr>
              <w:t>前端开发</w:t>
            </w:r>
          </w:p>
        </w:tc>
        <w:tc>
          <w:tcPr>
            <w:tcW w:w="0" w:type="auto"/>
            <w:shd w:val="clear" w:color="auto" w:fill="auto"/>
            <w:vAlign w:val="center"/>
          </w:tcPr>
          <w:p w14:paraId="5BC88A51">
            <w:pPr>
              <w:widowControl/>
              <w:spacing w:line="240" w:lineRule="auto"/>
              <w:ind w:firstLine="0" w:firstLineChars="0"/>
              <w:jc w:val="center"/>
            </w:pPr>
            <w:r>
              <w:rPr>
                <w:rFonts w:hint="eastAsia"/>
              </w:rPr>
              <w:t>负责项目需求评估与产品设计</w:t>
            </w:r>
          </w:p>
        </w:tc>
        <w:tc>
          <w:tcPr>
            <w:tcW w:w="0" w:type="auto"/>
            <w:shd w:val="clear" w:color="auto" w:fill="auto"/>
            <w:noWrap/>
            <w:vAlign w:val="center"/>
          </w:tcPr>
          <w:p w14:paraId="72A4F24E">
            <w:pPr>
              <w:widowControl/>
              <w:spacing w:line="240" w:lineRule="auto"/>
              <w:ind w:firstLine="0" w:firstLineChars="0"/>
              <w:jc w:val="center"/>
            </w:pPr>
            <w:r>
              <w:rPr>
                <w:rFonts w:hint="eastAsia"/>
                <w:lang w:val="en-US" w:eastAsia="zh-CN"/>
              </w:rPr>
              <w:t>1</w:t>
            </w:r>
            <w:r>
              <w:rPr>
                <w:rFonts w:hint="eastAsia"/>
              </w:rPr>
              <w:t>人</w:t>
            </w:r>
          </w:p>
        </w:tc>
        <w:tc>
          <w:tcPr>
            <w:tcW w:w="0" w:type="auto"/>
            <w:vAlign w:val="center"/>
          </w:tcPr>
          <w:p w14:paraId="03907D9A">
            <w:pPr>
              <w:widowControl/>
              <w:spacing w:line="240" w:lineRule="auto"/>
              <w:ind w:firstLine="0" w:firstLineChars="0"/>
              <w:jc w:val="center"/>
            </w:pPr>
          </w:p>
        </w:tc>
        <w:tc>
          <w:tcPr>
            <w:tcW w:w="0" w:type="auto"/>
            <w:shd w:val="clear" w:color="auto" w:fill="auto"/>
            <w:noWrap/>
            <w:vAlign w:val="center"/>
          </w:tcPr>
          <w:p w14:paraId="31D55D21">
            <w:pPr>
              <w:widowControl/>
              <w:spacing w:line="240" w:lineRule="auto"/>
              <w:ind w:firstLine="0" w:firstLineChars="0"/>
              <w:jc w:val="center"/>
            </w:pPr>
            <w:r>
              <w:rPr>
                <w:rFonts w:hint="eastAsia"/>
              </w:rPr>
              <w:t>驻场</w:t>
            </w:r>
          </w:p>
        </w:tc>
      </w:tr>
      <w:tr w14:paraId="229D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502F670B">
            <w:pPr>
              <w:widowControl/>
              <w:spacing w:line="240" w:lineRule="auto"/>
              <w:ind w:firstLine="0" w:firstLineChars="0"/>
              <w:jc w:val="center"/>
            </w:pPr>
            <w:r>
              <w:rPr>
                <w:rFonts w:hint="eastAsia"/>
                <w:lang w:val="en-US" w:eastAsia="zh-CN"/>
              </w:rPr>
              <w:t>后端开</w:t>
            </w:r>
            <w:r>
              <w:rPr>
                <w:rFonts w:hint="eastAsia"/>
              </w:rPr>
              <w:t>发</w:t>
            </w:r>
          </w:p>
        </w:tc>
        <w:tc>
          <w:tcPr>
            <w:tcW w:w="0" w:type="auto"/>
            <w:shd w:val="clear" w:color="auto" w:fill="auto"/>
            <w:noWrap/>
            <w:vAlign w:val="center"/>
          </w:tcPr>
          <w:p w14:paraId="5E6D381B">
            <w:pPr>
              <w:widowControl/>
              <w:spacing w:line="240" w:lineRule="auto"/>
              <w:ind w:firstLine="0" w:firstLineChars="0"/>
              <w:jc w:val="center"/>
            </w:pPr>
            <w:r>
              <w:rPr>
                <w:rFonts w:hint="eastAsia"/>
              </w:rPr>
              <w:t>负责项目具体开发与实施</w:t>
            </w:r>
          </w:p>
        </w:tc>
        <w:tc>
          <w:tcPr>
            <w:tcW w:w="0" w:type="auto"/>
            <w:shd w:val="clear" w:color="auto" w:fill="auto"/>
            <w:noWrap/>
            <w:vAlign w:val="center"/>
          </w:tcPr>
          <w:p w14:paraId="7591F63F">
            <w:pPr>
              <w:widowControl/>
              <w:spacing w:line="240" w:lineRule="auto"/>
              <w:ind w:firstLine="0" w:firstLineChars="0"/>
              <w:jc w:val="center"/>
            </w:pPr>
            <w:r>
              <w:rPr>
                <w:rFonts w:hint="eastAsia"/>
                <w:lang w:val="en-US" w:eastAsia="zh-CN"/>
              </w:rPr>
              <w:t>3</w:t>
            </w:r>
            <w:r>
              <w:rPr>
                <w:rFonts w:hint="eastAsia"/>
              </w:rPr>
              <w:t>人</w:t>
            </w:r>
          </w:p>
        </w:tc>
        <w:tc>
          <w:tcPr>
            <w:tcW w:w="0" w:type="auto"/>
            <w:vAlign w:val="center"/>
          </w:tcPr>
          <w:p w14:paraId="04B3E9AD">
            <w:pPr>
              <w:widowControl/>
              <w:spacing w:line="240" w:lineRule="auto"/>
              <w:ind w:firstLine="0" w:firstLineChars="0"/>
              <w:jc w:val="center"/>
            </w:pPr>
          </w:p>
        </w:tc>
        <w:tc>
          <w:tcPr>
            <w:tcW w:w="0" w:type="auto"/>
            <w:shd w:val="clear" w:color="auto" w:fill="auto"/>
            <w:noWrap/>
            <w:vAlign w:val="center"/>
          </w:tcPr>
          <w:p w14:paraId="155A97FF">
            <w:pPr>
              <w:widowControl/>
              <w:spacing w:line="240" w:lineRule="auto"/>
              <w:ind w:firstLine="0" w:firstLineChars="0"/>
              <w:jc w:val="center"/>
            </w:pPr>
            <w:r>
              <w:rPr>
                <w:rFonts w:hint="eastAsia"/>
              </w:rPr>
              <w:t>驻场</w:t>
            </w:r>
          </w:p>
        </w:tc>
      </w:tr>
      <w:tr w14:paraId="1CC3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3635DF6B">
            <w:pPr>
              <w:widowControl/>
              <w:spacing w:line="240" w:lineRule="auto"/>
              <w:ind w:firstLine="0" w:firstLineChars="0"/>
              <w:jc w:val="center"/>
              <w:rPr>
                <w:rFonts w:hint="default"/>
                <w:lang w:val="en-US" w:eastAsia="zh-CN"/>
              </w:rPr>
            </w:pPr>
            <w:r>
              <w:rPr>
                <w:rFonts w:hint="eastAsia"/>
                <w:lang w:val="en-US" w:eastAsia="zh-CN"/>
              </w:rPr>
              <w:t>测试开发</w:t>
            </w:r>
          </w:p>
        </w:tc>
        <w:tc>
          <w:tcPr>
            <w:tcW w:w="0" w:type="auto"/>
            <w:shd w:val="clear" w:color="auto" w:fill="auto"/>
            <w:noWrap/>
            <w:vAlign w:val="center"/>
          </w:tcPr>
          <w:p w14:paraId="0FC2B433">
            <w:pPr>
              <w:widowControl/>
              <w:spacing w:line="240" w:lineRule="auto"/>
              <w:ind w:firstLine="0" w:firstLineChars="0"/>
              <w:jc w:val="center"/>
              <w:rPr>
                <w:rFonts w:hint="default" w:eastAsia="宋体"/>
                <w:lang w:val="en-US" w:eastAsia="zh-CN"/>
              </w:rPr>
            </w:pPr>
            <w:r>
              <w:rPr>
                <w:rFonts w:hint="eastAsia"/>
                <w:lang w:val="en-US" w:eastAsia="zh-CN"/>
              </w:rPr>
              <w:t>负责项目软件测试工作</w:t>
            </w:r>
          </w:p>
        </w:tc>
        <w:tc>
          <w:tcPr>
            <w:tcW w:w="0" w:type="auto"/>
            <w:shd w:val="clear" w:color="auto" w:fill="auto"/>
            <w:noWrap/>
            <w:vAlign w:val="center"/>
          </w:tcPr>
          <w:p w14:paraId="23E94E4E">
            <w:pPr>
              <w:widowControl/>
              <w:spacing w:line="240" w:lineRule="auto"/>
              <w:ind w:firstLine="0" w:firstLineChars="0"/>
              <w:jc w:val="center"/>
              <w:rPr>
                <w:rFonts w:hint="default"/>
                <w:lang w:val="en-US" w:eastAsia="zh-CN"/>
              </w:rPr>
            </w:pPr>
            <w:r>
              <w:rPr>
                <w:rFonts w:hint="eastAsia"/>
                <w:lang w:val="en-US" w:eastAsia="zh-CN"/>
              </w:rPr>
              <w:t>1人</w:t>
            </w:r>
          </w:p>
        </w:tc>
        <w:tc>
          <w:tcPr>
            <w:tcW w:w="0" w:type="auto"/>
            <w:vAlign w:val="center"/>
          </w:tcPr>
          <w:p w14:paraId="42F183D7">
            <w:pPr>
              <w:widowControl/>
              <w:spacing w:line="240" w:lineRule="auto"/>
              <w:ind w:firstLine="0" w:firstLineChars="0"/>
              <w:jc w:val="center"/>
            </w:pPr>
          </w:p>
        </w:tc>
        <w:tc>
          <w:tcPr>
            <w:tcW w:w="0" w:type="auto"/>
            <w:shd w:val="clear" w:color="auto" w:fill="auto"/>
            <w:noWrap/>
            <w:vAlign w:val="center"/>
          </w:tcPr>
          <w:p w14:paraId="296448EE">
            <w:pPr>
              <w:widowControl/>
              <w:spacing w:line="240" w:lineRule="auto"/>
              <w:ind w:firstLine="0" w:firstLineChars="0"/>
              <w:jc w:val="center"/>
              <w:rPr>
                <w:rFonts w:hint="eastAsia" w:eastAsia="宋体"/>
                <w:lang w:val="en-US" w:eastAsia="zh-CN"/>
              </w:rPr>
            </w:pPr>
            <w:r>
              <w:rPr>
                <w:rFonts w:hint="eastAsia"/>
                <w:lang w:val="en-US" w:eastAsia="zh-CN"/>
              </w:rPr>
              <w:t>驻场</w:t>
            </w:r>
          </w:p>
        </w:tc>
      </w:tr>
    </w:tbl>
    <w:p w14:paraId="2FB2AE96"/>
    <w:p w14:paraId="52FD4655">
      <w:pPr>
        <w:numPr>
          <w:ilvl w:val="0"/>
          <w:numId w:val="13"/>
        </w:numPr>
        <w:ind w:left="0" w:leftChars="0" w:firstLine="480" w:firstLineChars="200"/>
      </w:pPr>
      <w:r>
        <w:t>投标人应针对本项目提供不少于</w:t>
      </w:r>
      <w:r>
        <w:rPr>
          <w:rFonts w:hint="eastAsia"/>
          <w:lang w:val="en-US" w:eastAsia="zh-CN"/>
        </w:rPr>
        <w:t>4</w:t>
      </w:r>
      <w:r>
        <w:t>人的质保期间支撑团队（其中</w:t>
      </w:r>
      <w:r>
        <w:rPr>
          <w:rFonts w:hint="eastAsia"/>
          <w:lang w:eastAsia="zh-CN"/>
        </w:rPr>
        <w:t>项目</w:t>
      </w:r>
      <w:r>
        <w:t>经理</w:t>
      </w:r>
      <w:r>
        <w:rPr>
          <w:rFonts w:hint="eastAsia"/>
          <w:lang w:val="en-US" w:eastAsia="zh-CN"/>
        </w:rPr>
        <w:t>1</w:t>
      </w:r>
      <w:r>
        <w:t>人，产品经理</w:t>
      </w:r>
      <w:r>
        <w:rPr>
          <w:rFonts w:hint="eastAsia"/>
          <w:lang w:val="en-US" w:eastAsia="zh-CN"/>
        </w:rPr>
        <w:t>1</w:t>
      </w:r>
      <w:r>
        <w:t>人，技术工程师不少于</w:t>
      </w:r>
      <w:r>
        <w:rPr>
          <w:rFonts w:hint="eastAsia"/>
          <w:lang w:val="en-US" w:eastAsia="zh-CN"/>
        </w:rPr>
        <w:t>2</w:t>
      </w:r>
      <w:r>
        <w:t>人）；投标人的相关服务人员需具备相应的服务能力。</w:t>
      </w:r>
    </w:p>
    <w:p w14:paraId="178AC34C">
      <w:pPr>
        <w:numPr>
          <w:ilvl w:val="0"/>
          <w:numId w:val="0"/>
        </w:numPr>
        <w:ind w:leftChars="200"/>
      </w:pPr>
    </w:p>
    <w:tbl>
      <w:tblPr>
        <w:tblStyle w:val="1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2907"/>
        <w:gridCol w:w="1180"/>
        <w:gridCol w:w="1698"/>
        <w:gridCol w:w="1181"/>
      </w:tblGrid>
      <w:tr w14:paraId="2728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62" w:type="dxa"/>
            <w:shd w:val="clear" w:color="auto" w:fill="auto"/>
            <w:noWrap/>
            <w:vAlign w:val="center"/>
          </w:tcPr>
          <w:p w14:paraId="53F7B584">
            <w:pPr>
              <w:widowControl/>
              <w:snapToGrid w:val="0"/>
              <w:spacing w:line="240" w:lineRule="auto"/>
              <w:ind w:left="0" w:leftChars="0" w:right="0" w:rightChars="0" w:firstLine="0" w:firstLineChars="0"/>
              <w:jc w:val="center"/>
              <w:rPr>
                <w:b/>
              </w:rPr>
            </w:pPr>
            <w:r>
              <w:rPr>
                <w:rFonts w:hint="eastAsia"/>
                <w:b/>
              </w:rPr>
              <w:t>角色</w:t>
            </w:r>
          </w:p>
        </w:tc>
        <w:tc>
          <w:tcPr>
            <w:tcW w:w="0" w:type="auto"/>
            <w:shd w:val="clear" w:color="auto" w:fill="auto"/>
            <w:noWrap/>
            <w:vAlign w:val="center"/>
          </w:tcPr>
          <w:p w14:paraId="023FD92E">
            <w:pPr>
              <w:widowControl/>
              <w:snapToGrid w:val="0"/>
              <w:spacing w:line="240" w:lineRule="auto"/>
              <w:ind w:left="0" w:leftChars="0" w:right="0" w:rightChars="0" w:firstLine="0" w:firstLineChars="0"/>
              <w:jc w:val="center"/>
              <w:rPr>
                <w:b/>
              </w:rPr>
            </w:pPr>
            <w:r>
              <w:rPr>
                <w:rFonts w:hint="eastAsia"/>
                <w:b/>
              </w:rPr>
              <w:t>主要职责</w:t>
            </w:r>
          </w:p>
        </w:tc>
        <w:tc>
          <w:tcPr>
            <w:tcW w:w="0" w:type="auto"/>
            <w:shd w:val="clear" w:color="auto" w:fill="auto"/>
            <w:noWrap/>
            <w:vAlign w:val="center"/>
          </w:tcPr>
          <w:p w14:paraId="35F953DA">
            <w:pPr>
              <w:widowControl/>
              <w:snapToGrid w:val="0"/>
              <w:spacing w:line="240" w:lineRule="auto"/>
              <w:ind w:left="0" w:leftChars="0" w:right="0" w:rightChars="0" w:firstLine="0" w:firstLineChars="0"/>
              <w:jc w:val="center"/>
              <w:rPr>
                <w:b/>
              </w:rPr>
            </w:pPr>
            <w:r>
              <w:rPr>
                <w:rFonts w:hint="eastAsia"/>
                <w:b/>
              </w:rPr>
              <w:t>人员数量</w:t>
            </w:r>
          </w:p>
        </w:tc>
        <w:tc>
          <w:tcPr>
            <w:tcW w:w="1698" w:type="dxa"/>
            <w:vAlign w:val="center"/>
          </w:tcPr>
          <w:p w14:paraId="2E55B07F">
            <w:pPr>
              <w:widowControl/>
              <w:snapToGrid w:val="0"/>
              <w:spacing w:line="240" w:lineRule="auto"/>
              <w:ind w:left="0" w:leftChars="0" w:right="0" w:rightChars="0" w:firstLine="0" w:firstLineChars="0"/>
              <w:jc w:val="center"/>
              <w:rPr>
                <w:b/>
              </w:rPr>
            </w:pPr>
            <w:r>
              <w:rPr>
                <w:rFonts w:hint="eastAsia"/>
                <w:b/>
              </w:rPr>
              <w:t>人员要求</w:t>
            </w:r>
          </w:p>
        </w:tc>
        <w:tc>
          <w:tcPr>
            <w:tcW w:w="1181" w:type="dxa"/>
            <w:shd w:val="clear" w:color="auto" w:fill="auto"/>
            <w:noWrap/>
            <w:vAlign w:val="center"/>
          </w:tcPr>
          <w:p w14:paraId="70A60847">
            <w:pPr>
              <w:widowControl/>
              <w:snapToGrid w:val="0"/>
              <w:spacing w:line="240" w:lineRule="auto"/>
              <w:ind w:left="0" w:leftChars="0" w:right="0" w:rightChars="0" w:firstLine="0" w:firstLineChars="0"/>
              <w:jc w:val="center"/>
              <w:rPr>
                <w:b/>
              </w:rPr>
            </w:pPr>
            <w:r>
              <w:rPr>
                <w:rFonts w:hint="eastAsia"/>
                <w:b/>
              </w:rPr>
              <w:t>驻场要求</w:t>
            </w:r>
          </w:p>
        </w:tc>
      </w:tr>
      <w:tr w14:paraId="2BEE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62" w:type="dxa"/>
            <w:shd w:val="clear" w:color="auto" w:fill="auto"/>
            <w:noWrap/>
            <w:vAlign w:val="center"/>
          </w:tcPr>
          <w:p w14:paraId="54C8DEC2">
            <w:pPr>
              <w:widowControl/>
              <w:snapToGrid w:val="0"/>
              <w:spacing w:line="240" w:lineRule="auto"/>
              <w:ind w:left="0" w:leftChars="0" w:right="0" w:rightChars="0" w:firstLine="0" w:firstLineChars="0"/>
              <w:jc w:val="center"/>
            </w:pPr>
            <w:r>
              <w:rPr>
                <w:rFonts w:hint="eastAsia"/>
              </w:rPr>
              <w:t>项目经理</w:t>
            </w:r>
          </w:p>
        </w:tc>
        <w:tc>
          <w:tcPr>
            <w:tcW w:w="0" w:type="auto"/>
            <w:shd w:val="clear" w:color="auto" w:fill="auto"/>
            <w:vAlign w:val="center"/>
          </w:tcPr>
          <w:p w14:paraId="0F49E7A4">
            <w:pPr>
              <w:widowControl/>
              <w:snapToGrid w:val="0"/>
              <w:spacing w:line="240" w:lineRule="auto"/>
              <w:ind w:left="0" w:leftChars="0" w:right="0" w:rightChars="0" w:firstLine="0" w:firstLineChars="0"/>
              <w:jc w:val="center"/>
            </w:pPr>
            <w:r>
              <w:rPr>
                <w:rFonts w:hint="eastAsia"/>
              </w:rPr>
              <w:t>负责项目质量和进度控制</w:t>
            </w:r>
          </w:p>
        </w:tc>
        <w:tc>
          <w:tcPr>
            <w:tcW w:w="0" w:type="auto"/>
            <w:shd w:val="clear" w:color="auto" w:fill="auto"/>
            <w:noWrap/>
            <w:vAlign w:val="center"/>
          </w:tcPr>
          <w:p w14:paraId="6382AD97">
            <w:pPr>
              <w:widowControl/>
              <w:snapToGrid w:val="0"/>
              <w:spacing w:line="240" w:lineRule="auto"/>
              <w:ind w:left="0" w:leftChars="0" w:right="0" w:rightChars="0" w:firstLine="0" w:firstLineChars="0"/>
              <w:jc w:val="center"/>
            </w:pPr>
            <w:r>
              <w:rPr>
                <w:rFonts w:hint="eastAsia"/>
                <w:lang w:val="en-US" w:eastAsia="zh-CN"/>
              </w:rPr>
              <w:t>1</w:t>
            </w:r>
            <w:r>
              <w:rPr>
                <w:rFonts w:hint="eastAsia"/>
              </w:rPr>
              <w:t>人</w:t>
            </w:r>
          </w:p>
        </w:tc>
        <w:tc>
          <w:tcPr>
            <w:tcW w:w="1698" w:type="dxa"/>
            <w:vAlign w:val="center"/>
          </w:tcPr>
          <w:p w14:paraId="0DACDB38">
            <w:pPr>
              <w:widowControl/>
              <w:snapToGrid w:val="0"/>
              <w:spacing w:line="240" w:lineRule="auto"/>
              <w:ind w:left="0" w:leftChars="0" w:right="0" w:rightChars="0" w:firstLine="0" w:firstLineChars="0"/>
              <w:jc w:val="center"/>
            </w:pPr>
            <w:r>
              <w:rPr>
                <w:rFonts w:hint="eastAsia"/>
              </w:rPr>
              <w:t>具备</w:t>
            </w:r>
            <w:r>
              <w:rPr>
                <w:rFonts w:hint="eastAsia"/>
                <w:lang w:eastAsia="zh-CN"/>
              </w:rPr>
              <w:t>信息系统项目管理师</w:t>
            </w:r>
            <w:r>
              <w:rPr>
                <w:rFonts w:hint="eastAsia"/>
              </w:rPr>
              <w:t>证书</w:t>
            </w:r>
          </w:p>
        </w:tc>
        <w:tc>
          <w:tcPr>
            <w:tcW w:w="1181" w:type="dxa"/>
            <w:shd w:val="clear" w:color="auto" w:fill="auto"/>
            <w:noWrap/>
            <w:vAlign w:val="center"/>
          </w:tcPr>
          <w:p w14:paraId="701FBCEA">
            <w:pPr>
              <w:widowControl/>
              <w:snapToGrid w:val="0"/>
              <w:spacing w:line="240" w:lineRule="auto"/>
              <w:ind w:left="0" w:leftChars="0" w:right="0" w:rightChars="0" w:firstLine="0" w:firstLineChars="0"/>
              <w:jc w:val="center"/>
            </w:pPr>
            <w:r>
              <w:rPr>
                <w:rFonts w:hint="eastAsia"/>
              </w:rPr>
              <w:t>驻场</w:t>
            </w:r>
          </w:p>
        </w:tc>
      </w:tr>
      <w:tr w14:paraId="3553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62" w:type="dxa"/>
            <w:shd w:val="clear" w:color="auto" w:fill="auto"/>
            <w:noWrap/>
            <w:vAlign w:val="center"/>
          </w:tcPr>
          <w:p w14:paraId="5CD6C6CA">
            <w:pPr>
              <w:widowControl/>
              <w:snapToGrid w:val="0"/>
              <w:spacing w:line="240" w:lineRule="auto"/>
              <w:ind w:left="0" w:leftChars="0" w:right="0" w:rightChars="0" w:firstLine="0" w:firstLineChars="0"/>
              <w:jc w:val="center"/>
            </w:pPr>
            <w:r>
              <w:rPr>
                <w:rFonts w:hint="eastAsia"/>
              </w:rPr>
              <w:t>产品经理</w:t>
            </w:r>
          </w:p>
        </w:tc>
        <w:tc>
          <w:tcPr>
            <w:tcW w:w="0" w:type="auto"/>
            <w:shd w:val="clear" w:color="auto" w:fill="auto"/>
            <w:vAlign w:val="center"/>
          </w:tcPr>
          <w:p w14:paraId="40DDC81B">
            <w:pPr>
              <w:widowControl/>
              <w:snapToGrid w:val="0"/>
              <w:spacing w:line="240" w:lineRule="auto"/>
              <w:ind w:left="0" w:leftChars="0" w:right="0" w:rightChars="0" w:firstLine="0" w:firstLineChars="0"/>
              <w:jc w:val="center"/>
            </w:pPr>
            <w:r>
              <w:rPr>
                <w:rFonts w:hint="eastAsia"/>
              </w:rPr>
              <w:t>负责项目需求评估与产品设计</w:t>
            </w:r>
          </w:p>
        </w:tc>
        <w:tc>
          <w:tcPr>
            <w:tcW w:w="0" w:type="auto"/>
            <w:shd w:val="clear" w:color="auto" w:fill="auto"/>
            <w:noWrap/>
            <w:vAlign w:val="center"/>
          </w:tcPr>
          <w:p w14:paraId="25F9A91B">
            <w:pPr>
              <w:widowControl/>
              <w:snapToGrid w:val="0"/>
              <w:spacing w:line="240" w:lineRule="auto"/>
              <w:ind w:left="0" w:leftChars="0" w:right="0" w:rightChars="0" w:firstLine="0" w:firstLineChars="0"/>
              <w:jc w:val="center"/>
            </w:pPr>
            <w:r>
              <w:rPr>
                <w:rFonts w:hint="eastAsia"/>
                <w:lang w:val="en-US" w:eastAsia="zh-CN"/>
              </w:rPr>
              <w:t>1</w:t>
            </w:r>
            <w:r>
              <w:rPr>
                <w:rFonts w:hint="eastAsia"/>
              </w:rPr>
              <w:t>人</w:t>
            </w:r>
          </w:p>
        </w:tc>
        <w:tc>
          <w:tcPr>
            <w:tcW w:w="1698" w:type="dxa"/>
            <w:vAlign w:val="center"/>
          </w:tcPr>
          <w:p w14:paraId="54A50E62">
            <w:pPr>
              <w:widowControl/>
              <w:snapToGrid w:val="0"/>
              <w:spacing w:line="240" w:lineRule="auto"/>
              <w:ind w:left="0" w:leftChars="0" w:right="0" w:rightChars="0" w:firstLine="0" w:firstLineChars="0"/>
              <w:jc w:val="center"/>
            </w:pPr>
          </w:p>
        </w:tc>
        <w:tc>
          <w:tcPr>
            <w:tcW w:w="1181" w:type="dxa"/>
            <w:shd w:val="clear" w:color="auto" w:fill="auto"/>
            <w:noWrap/>
            <w:vAlign w:val="center"/>
          </w:tcPr>
          <w:p w14:paraId="3782316D">
            <w:pPr>
              <w:widowControl/>
              <w:snapToGrid w:val="0"/>
              <w:spacing w:line="240" w:lineRule="auto"/>
              <w:ind w:left="0" w:leftChars="0" w:right="0" w:rightChars="0" w:firstLine="0" w:firstLineChars="0"/>
              <w:jc w:val="center"/>
            </w:pPr>
            <w:r>
              <w:rPr>
                <w:rFonts w:hint="eastAsia"/>
              </w:rPr>
              <w:t>驻场</w:t>
            </w:r>
          </w:p>
        </w:tc>
      </w:tr>
      <w:tr w14:paraId="4C4A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62" w:type="dxa"/>
            <w:shd w:val="clear" w:color="auto" w:fill="auto"/>
            <w:noWrap/>
            <w:vAlign w:val="center"/>
          </w:tcPr>
          <w:p w14:paraId="2B386096">
            <w:pPr>
              <w:widowControl/>
              <w:snapToGrid w:val="0"/>
              <w:spacing w:line="240" w:lineRule="auto"/>
              <w:ind w:left="0" w:leftChars="0" w:right="0" w:rightChars="0" w:firstLine="0" w:firstLineChars="0"/>
              <w:jc w:val="center"/>
            </w:pPr>
            <w:r>
              <w:rPr>
                <w:rFonts w:hint="eastAsia"/>
              </w:rPr>
              <w:t>技术工程师</w:t>
            </w:r>
          </w:p>
        </w:tc>
        <w:tc>
          <w:tcPr>
            <w:tcW w:w="2907" w:type="dxa"/>
            <w:shd w:val="clear" w:color="auto" w:fill="auto"/>
            <w:noWrap/>
            <w:vAlign w:val="center"/>
          </w:tcPr>
          <w:p w14:paraId="74B1132E">
            <w:pPr>
              <w:widowControl/>
              <w:snapToGrid w:val="0"/>
              <w:spacing w:line="240" w:lineRule="auto"/>
              <w:ind w:left="0" w:leftChars="0" w:right="0" w:rightChars="0" w:firstLine="0" w:firstLineChars="0"/>
              <w:jc w:val="center"/>
            </w:pPr>
            <w:r>
              <w:rPr>
                <w:rFonts w:hint="eastAsia"/>
              </w:rPr>
              <w:t>负责项目运行维护</w:t>
            </w:r>
          </w:p>
        </w:tc>
        <w:tc>
          <w:tcPr>
            <w:tcW w:w="1180" w:type="dxa"/>
            <w:shd w:val="clear" w:color="auto" w:fill="auto"/>
            <w:noWrap/>
            <w:vAlign w:val="center"/>
          </w:tcPr>
          <w:p w14:paraId="765FBEDF">
            <w:pPr>
              <w:widowControl/>
              <w:snapToGrid w:val="0"/>
              <w:spacing w:line="240" w:lineRule="auto"/>
              <w:ind w:left="0" w:leftChars="0" w:right="0" w:rightChars="0" w:firstLine="0" w:firstLineChars="0"/>
              <w:jc w:val="center"/>
            </w:pPr>
            <w:r>
              <w:rPr>
                <w:rFonts w:hint="eastAsia"/>
                <w:lang w:val="en-US" w:eastAsia="zh-CN"/>
              </w:rPr>
              <w:t>2</w:t>
            </w:r>
            <w:r>
              <w:rPr>
                <w:rFonts w:hint="eastAsia"/>
              </w:rPr>
              <w:t>人</w:t>
            </w:r>
          </w:p>
        </w:tc>
        <w:tc>
          <w:tcPr>
            <w:tcW w:w="1698" w:type="dxa"/>
            <w:vAlign w:val="center"/>
          </w:tcPr>
          <w:p w14:paraId="3302AF04">
            <w:pPr>
              <w:widowControl/>
              <w:snapToGrid w:val="0"/>
              <w:spacing w:line="240" w:lineRule="auto"/>
              <w:ind w:left="0" w:leftChars="0" w:right="0" w:rightChars="0" w:firstLine="0" w:firstLineChars="0"/>
              <w:jc w:val="center"/>
            </w:pPr>
          </w:p>
        </w:tc>
        <w:tc>
          <w:tcPr>
            <w:tcW w:w="1181" w:type="dxa"/>
            <w:shd w:val="clear" w:color="auto" w:fill="auto"/>
            <w:noWrap/>
            <w:vAlign w:val="center"/>
          </w:tcPr>
          <w:p w14:paraId="2B8FEB2E">
            <w:pPr>
              <w:widowControl/>
              <w:snapToGrid w:val="0"/>
              <w:spacing w:line="240" w:lineRule="auto"/>
              <w:ind w:left="0" w:leftChars="0" w:right="0" w:rightChars="0" w:firstLine="0" w:firstLineChars="0"/>
              <w:jc w:val="center"/>
            </w:pPr>
            <w:r>
              <w:rPr>
                <w:rFonts w:hint="eastAsia"/>
              </w:rPr>
              <w:t>驻场</w:t>
            </w:r>
          </w:p>
        </w:tc>
      </w:tr>
    </w:tbl>
    <w:p w14:paraId="6FE5355B">
      <w:pPr>
        <w:rPr>
          <w:rFonts w:hint="eastAsia"/>
          <w:lang w:val="en-US" w:eastAsia="zh-CN"/>
        </w:rPr>
      </w:pPr>
    </w:p>
    <w:p w14:paraId="56DB1457">
      <w:pPr>
        <w:pStyle w:val="3"/>
        <w:ind w:left="960" w:leftChars="0" w:firstLineChars="0"/>
      </w:pPr>
      <w:bookmarkStart w:id="4" w:name="_Toc63785514"/>
      <w:r>
        <w:rPr>
          <w:rFonts w:hint="eastAsia"/>
        </w:rPr>
        <w:t>企业综合实力</w:t>
      </w:r>
    </w:p>
    <w:p w14:paraId="5BB461C4">
      <w:pPr>
        <w:rPr>
          <w:rFonts w:hint="eastAsia" w:eastAsia="方正仿宋_GB2312"/>
          <w:lang w:eastAsia="zh-CN"/>
        </w:rPr>
      </w:pPr>
      <w:r>
        <w:rPr>
          <w:rFonts w:hint="eastAsia"/>
          <w:lang w:eastAsia="zh-CN"/>
        </w:rPr>
        <w:t>投标人具有</w:t>
      </w:r>
      <w:r>
        <w:rPr>
          <w:rFonts w:hint="eastAsia"/>
        </w:rPr>
        <w:t>CCRC信息安全服务资质认证证书</w:t>
      </w:r>
      <w:r>
        <w:rPr>
          <w:rFonts w:hint="eastAsia"/>
          <w:lang w:eastAsia="zh-CN"/>
        </w:rPr>
        <w:t>的，优先考虑。</w:t>
      </w:r>
    </w:p>
    <w:p w14:paraId="253B0D35">
      <w:pPr>
        <w:pStyle w:val="3"/>
        <w:ind w:left="960" w:leftChars="0" w:firstLineChars="0"/>
      </w:pPr>
      <w:r>
        <w:rPr>
          <w:rFonts w:hint="eastAsia"/>
        </w:rPr>
        <w:t>技术文件要求</w:t>
      </w:r>
    </w:p>
    <w:p w14:paraId="44CAB4A7">
      <w:r>
        <w:rPr>
          <w:rFonts w:hint="eastAsia"/>
        </w:rPr>
        <w:t>投标人提供的书面技术资料应能确保系统正常运行所需的管理、运营及维护有关的全套文件。技术文件应该全面、完整、详细。投标人提供的技术文件至少应包括：</w:t>
      </w:r>
    </w:p>
    <w:p w14:paraId="3E6D9374">
      <w:r>
        <w:rPr>
          <w:rFonts w:hint="eastAsia"/>
        </w:rPr>
        <w:t>－</w:t>
      </w:r>
      <w:r>
        <w:t xml:space="preserve"> 系统说明文件； </w:t>
      </w:r>
    </w:p>
    <w:p w14:paraId="7F33A999">
      <w:r>
        <w:rPr>
          <w:rFonts w:hint="eastAsia"/>
        </w:rPr>
        <w:t>－</w:t>
      </w:r>
      <w:r>
        <w:t xml:space="preserve"> 技术手册(安装、测试、操作、维护、故障排除等)； </w:t>
      </w:r>
    </w:p>
    <w:p w14:paraId="2120F9F7">
      <w:r>
        <w:rPr>
          <w:rFonts w:hint="eastAsia"/>
        </w:rPr>
        <w:t>－</w:t>
      </w:r>
      <w:r>
        <w:t xml:space="preserve"> 项目文档，应该包括：</w:t>
      </w:r>
    </w:p>
    <w:p w14:paraId="769AF090">
      <w:pPr>
        <w:ind w:left="360"/>
      </w:pPr>
      <w:r>
        <w:t>(1)软件需求说明书</w:t>
      </w:r>
    </w:p>
    <w:p w14:paraId="0B84F6CF">
      <w:pPr>
        <w:ind w:left="360"/>
      </w:pPr>
      <w:r>
        <w:t>(2)系统总体设计说明书</w:t>
      </w:r>
    </w:p>
    <w:p w14:paraId="137DBE1F">
      <w:pPr>
        <w:ind w:left="360"/>
      </w:pPr>
      <w:r>
        <w:t>(3)应用软件功能清单</w:t>
      </w:r>
    </w:p>
    <w:p w14:paraId="49134F73">
      <w:pPr>
        <w:pStyle w:val="3"/>
        <w:ind w:left="960" w:leftChars="0" w:firstLineChars="0"/>
        <w:rPr>
          <w:rFonts w:hint="eastAsia"/>
          <w:highlight w:val="none"/>
        </w:rPr>
      </w:pPr>
      <w:r>
        <w:rPr>
          <w:rFonts w:hint="eastAsia"/>
          <w:highlight w:val="none"/>
        </w:rPr>
        <w:t>付款</w:t>
      </w:r>
      <w:bookmarkEnd w:id="4"/>
      <w:r>
        <w:rPr>
          <w:rFonts w:hint="eastAsia"/>
          <w:highlight w:val="none"/>
        </w:rPr>
        <w:t>方式</w:t>
      </w:r>
    </w:p>
    <w:p w14:paraId="04DBC673">
      <w:pPr>
        <w:ind w:left="360" w:leftChars="150" w:firstLine="120" w:firstLineChars="50"/>
        <w:rPr>
          <w:rFonts w:hint="eastAsia"/>
          <w:sz w:val="24"/>
          <w:szCs w:val="24"/>
          <w:highlight w:val="none"/>
        </w:rPr>
      </w:pPr>
      <w:r>
        <w:rPr>
          <w:sz w:val="24"/>
          <w:szCs w:val="24"/>
          <w:highlight w:val="none"/>
        </w:rPr>
        <w:t>采用以下方式付款：</w:t>
      </w:r>
    </w:p>
    <w:p w14:paraId="6DDA799E">
      <w:pPr>
        <w:pStyle w:val="30"/>
        <w:spacing w:line="360" w:lineRule="auto"/>
        <w:ind w:firstLine="480"/>
        <w:rPr>
          <w:rFonts w:hint="eastAsia" w:ascii="宋体" w:hAnsi="宋体"/>
          <w:sz w:val="24"/>
          <w:szCs w:val="24"/>
          <w:highlight w:val="none"/>
        </w:rPr>
      </w:pPr>
      <w:r>
        <w:rPr>
          <w:rFonts w:hint="eastAsia" w:ascii="宋体" w:hAnsi="宋体"/>
          <w:sz w:val="24"/>
          <w:szCs w:val="24"/>
          <w:highlight w:val="none"/>
          <w:lang w:val="en-US" w:eastAsia="zh-CN"/>
        </w:rPr>
        <w:t>三</w:t>
      </w:r>
      <w:r>
        <w:rPr>
          <w:rFonts w:hint="eastAsia" w:ascii="宋体" w:hAnsi="宋体"/>
          <w:sz w:val="24"/>
          <w:szCs w:val="24"/>
          <w:highlight w:val="none"/>
        </w:rPr>
        <w:t>期分期付款：</w:t>
      </w:r>
    </w:p>
    <w:p w14:paraId="7E58CAD1">
      <w:pPr>
        <w:pStyle w:val="30"/>
        <w:numPr>
          <w:ilvl w:val="0"/>
          <w:numId w:val="14"/>
        </w:numPr>
        <w:spacing w:line="360" w:lineRule="auto"/>
        <w:ind w:firstLine="480"/>
        <w:rPr>
          <w:rFonts w:hint="eastAsia" w:ascii="宋体" w:hAnsi="宋体"/>
          <w:sz w:val="24"/>
          <w:szCs w:val="24"/>
          <w:highlight w:val="none"/>
        </w:rPr>
      </w:pPr>
      <w:r>
        <w:rPr>
          <w:rFonts w:hint="eastAsia" w:ascii="宋体" w:hAnsi="宋体"/>
          <w:sz w:val="24"/>
          <w:szCs w:val="24"/>
          <w:highlight w:val="none"/>
        </w:rPr>
        <w:t>合同签订生效且</w:t>
      </w:r>
      <w:r>
        <w:rPr>
          <w:rFonts w:hint="eastAsia" w:ascii="宋体" w:hAnsi="宋体"/>
          <w:sz w:val="24"/>
          <w:szCs w:val="24"/>
          <w:highlight w:val="none"/>
          <w:lang w:eastAsia="zh-CN"/>
        </w:rPr>
        <w:t>采购人</w:t>
      </w:r>
      <w:r>
        <w:rPr>
          <w:rFonts w:hint="eastAsia" w:ascii="宋体" w:hAnsi="宋体"/>
          <w:sz w:val="24"/>
          <w:szCs w:val="24"/>
          <w:highlight w:val="none"/>
        </w:rPr>
        <w:t>收到等额发票后的10个工作日内，支付合同</w:t>
      </w:r>
      <w:r>
        <w:rPr>
          <w:rFonts w:hint="eastAsia" w:ascii="宋体" w:hAnsi="宋体"/>
          <w:sz w:val="24"/>
          <w:szCs w:val="24"/>
          <w:highlight w:val="none"/>
          <w:lang w:eastAsia="zh-CN"/>
        </w:rPr>
        <w:t>金额</w:t>
      </w:r>
      <w:r>
        <w:rPr>
          <w:rFonts w:hint="eastAsia" w:ascii="宋体" w:hAnsi="宋体"/>
          <w:sz w:val="24"/>
          <w:szCs w:val="24"/>
          <w:highlight w:val="none"/>
        </w:rPr>
        <w:t>的</w:t>
      </w:r>
      <w:r>
        <w:rPr>
          <w:rFonts w:hint="eastAsia" w:ascii="宋体" w:hAnsi="宋体"/>
          <w:sz w:val="24"/>
          <w:szCs w:val="24"/>
          <w:highlight w:val="none"/>
          <w:lang w:val="en-US" w:eastAsia="zh-CN"/>
        </w:rPr>
        <w:t>20</w:t>
      </w:r>
      <w:r>
        <w:rPr>
          <w:rFonts w:hint="eastAsia" w:ascii="宋体" w:hAnsi="宋体"/>
          <w:sz w:val="24"/>
          <w:szCs w:val="24"/>
          <w:highlight w:val="none"/>
        </w:rPr>
        <w:t>%；</w:t>
      </w:r>
    </w:p>
    <w:p w14:paraId="5C6FECF9">
      <w:pPr>
        <w:pStyle w:val="30"/>
        <w:numPr>
          <w:ilvl w:val="0"/>
          <w:numId w:val="14"/>
        </w:numPr>
        <w:spacing w:line="360" w:lineRule="auto"/>
        <w:ind w:firstLine="480"/>
        <w:rPr>
          <w:rFonts w:hint="eastAsia" w:ascii="宋体" w:hAnsi="宋体"/>
          <w:sz w:val="24"/>
          <w:szCs w:val="24"/>
          <w:highlight w:val="none"/>
        </w:rPr>
      </w:pPr>
      <w:r>
        <w:rPr>
          <w:rFonts w:hint="eastAsia" w:ascii="宋体" w:hAnsi="宋体"/>
          <w:sz w:val="24"/>
          <w:szCs w:val="24"/>
          <w:highlight w:val="none"/>
        </w:rPr>
        <w:t>本项目通过</w:t>
      </w:r>
      <w:r>
        <w:rPr>
          <w:rFonts w:hint="eastAsia" w:ascii="宋体" w:hAnsi="宋体"/>
          <w:sz w:val="24"/>
          <w:szCs w:val="24"/>
          <w:highlight w:val="none"/>
          <w:lang w:val="en-US" w:eastAsia="zh-CN"/>
        </w:rPr>
        <w:t>中期</w:t>
      </w:r>
      <w:r>
        <w:rPr>
          <w:rFonts w:hint="eastAsia" w:ascii="宋体" w:hAnsi="宋体"/>
          <w:sz w:val="24"/>
          <w:szCs w:val="24"/>
          <w:highlight w:val="none"/>
        </w:rPr>
        <w:t>验收</w:t>
      </w:r>
      <w:r>
        <w:rPr>
          <w:rFonts w:hint="eastAsia" w:ascii="宋体" w:hAnsi="宋体"/>
          <w:sz w:val="24"/>
          <w:szCs w:val="24"/>
          <w:highlight w:val="none"/>
          <w:lang w:eastAsia="zh-CN"/>
        </w:rPr>
        <w:t>（即初验）且采购人</w:t>
      </w:r>
      <w:r>
        <w:rPr>
          <w:rFonts w:hint="eastAsia" w:ascii="宋体" w:hAnsi="宋体"/>
          <w:sz w:val="24"/>
          <w:szCs w:val="24"/>
          <w:highlight w:val="none"/>
        </w:rPr>
        <w:t>收到约定的项目工作成果</w:t>
      </w:r>
      <w:r>
        <w:rPr>
          <w:rFonts w:hint="eastAsia" w:ascii="宋体" w:hAnsi="宋体"/>
          <w:sz w:val="24"/>
          <w:szCs w:val="24"/>
          <w:highlight w:val="none"/>
          <w:lang w:eastAsia="zh-CN"/>
        </w:rPr>
        <w:t>及</w:t>
      </w:r>
      <w:r>
        <w:rPr>
          <w:rFonts w:hint="eastAsia" w:ascii="宋体" w:hAnsi="宋体"/>
          <w:sz w:val="24"/>
          <w:szCs w:val="24"/>
          <w:highlight w:val="none"/>
        </w:rPr>
        <w:t>等额发票后的 10个工作日内，支付合同</w:t>
      </w:r>
      <w:r>
        <w:rPr>
          <w:rFonts w:hint="eastAsia" w:ascii="宋体" w:hAnsi="宋体"/>
          <w:sz w:val="24"/>
          <w:szCs w:val="24"/>
          <w:highlight w:val="none"/>
          <w:lang w:eastAsia="zh-CN"/>
        </w:rPr>
        <w:t>金额</w:t>
      </w:r>
      <w:r>
        <w:rPr>
          <w:rFonts w:hint="eastAsia" w:ascii="宋体" w:hAnsi="宋体"/>
          <w:sz w:val="24"/>
          <w:szCs w:val="24"/>
          <w:highlight w:val="none"/>
        </w:rPr>
        <w:t>的</w:t>
      </w:r>
      <w:r>
        <w:rPr>
          <w:rFonts w:hint="eastAsia" w:ascii="宋体" w:hAnsi="宋体"/>
          <w:sz w:val="24"/>
          <w:szCs w:val="24"/>
          <w:highlight w:val="none"/>
          <w:lang w:val="en-US" w:eastAsia="zh-CN"/>
        </w:rPr>
        <w:t>30</w:t>
      </w:r>
      <w:r>
        <w:rPr>
          <w:rFonts w:hint="eastAsia" w:ascii="宋体" w:hAnsi="宋体"/>
          <w:sz w:val="24"/>
          <w:szCs w:val="24"/>
          <w:highlight w:val="none"/>
        </w:rPr>
        <w:t>%。</w:t>
      </w:r>
    </w:p>
    <w:p w14:paraId="71A3DC14">
      <w:pPr>
        <w:pStyle w:val="30"/>
        <w:numPr>
          <w:ilvl w:val="0"/>
          <w:numId w:val="14"/>
        </w:numPr>
        <w:spacing w:line="360" w:lineRule="auto"/>
        <w:ind w:firstLine="480"/>
        <w:rPr>
          <w:rFonts w:hint="eastAsia" w:ascii="宋体" w:hAnsi="宋体"/>
          <w:sz w:val="24"/>
          <w:szCs w:val="24"/>
          <w:highlight w:val="none"/>
        </w:rPr>
      </w:pPr>
      <w:r>
        <w:rPr>
          <w:rFonts w:hint="eastAsia" w:ascii="宋体" w:hAnsi="宋体"/>
          <w:sz w:val="24"/>
          <w:szCs w:val="24"/>
          <w:highlight w:val="none"/>
        </w:rPr>
        <w:t>本项目通过最终验收且</w:t>
      </w:r>
      <w:r>
        <w:rPr>
          <w:rFonts w:hint="eastAsia" w:ascii="宋体" w:hAnsi="宋体"/>
          <w:sz w:val="24"/>
          <w:szCs w:val="24"/>
          <w:highlight w:val="none"/>
          <w:lang w:eastAsia="zh-CN"/>
        </w:rPr>
        <w:t>采购人</w:t>
      </w:r>
      <w:r>
        <w:rPr>
          <w:rFonts w:hint="eastAsia" w:ascii="宋体" w:hAnsi="宋体"/>
          <w:sz w:val="24"/>
          <w:szCs w:val="24"/>
          <w:highlight w:val="none"/>
        </w:rPr>
        <w:t>甲方收到约定的项目工作成果</w:t>
      </w:r>
      <w:r>
        <w:rPr>
          <w:rFonts w:hint="eastAsia" w:ascii="宋体" w:hAnsi="宋体"/>
          <w:sz w:val="24"/>
          <w:szCs w:val="24"/>
          <w:highlight w:val="none"/>
          <w:lang w:eastAsia="zh-CN"/>
        </w:rPr>
        <w:t>及</w:t>
      </w:r>
      <w:r>
        <w:rPr>
          <w:rFonts w:hint="eastAsia" w:ascii="宋体" w:hAnsi="宋体"/>
          <w:sz w:val="24"/>
          <w:szCs w:val="24"/>
          <w:highlight w:val="none"/>
        </w:rPr>
        <w:t>等额发票后的 10个工作日内，支付合同尾款。</w:t>
      </w:r>
    </w:p>
    <w:p w14:paraId="7E02A16A">
      <w:pPr>
        <w:pStyle w:val="30"/>
        <w:widowControl w:val="0"/>
        <w:numPr>
          <w:ilvl w:val="0"/>
          <w:numId w:val="0"/>
        </w:numPr>
        <w:tabs>
          <w:tab w:val="left" w:pos="312"/>
        </w:tabs>
        <w:adjustRightInd w:val="0"/>
        <w:snapToGrid w:val="0"/>
        <w:spacing w:after="50" w:afterLines="50" w:line="360" w:lineRule="auto"/>
        <w:jc w:val="both"/>
        <w:rPr>
          <w:rFonts w:hint="eastAsia" w:ascii="宋体" w:hAnsi="宋体"/>
          <w:sz w:val="24"/>
          <w:szCs w:val="24"/>
          <w:highlight w:val="none"/>
          <w:lang w:eastAsia="zh-CN"/>
        </w:rPr>
      </w:pPr>
    </w:p>
    <w:p w14:paraId="090797E4">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国标宋体">
    <w:panose1 w:val="02000500000000000000"/>
    <w:charset w:val="86"/>
    <w:family w:val="auto"/>
    <w:pitch w:val="default"/>
    <w:sig w:usb0="00000001" w:usb1="28000000" w:usb2="00000000" w:usb3="00000000" w:csb0="00060007" w:csb1="00000000"/>
  </w:font>
  <w:font w:name="方正书宋_GBK">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S Mincho">
    <w:altName w:val="方正书宋_GBK"/>
    <w:panose1 w:val="02020609040205080304"/>
    <w:charset w:val="80"/>
    <w:family w:val="modern"/>
    <w:pitch w:val="default"/>
    <w:sig w:usb0="00000000" w:usb1="00000000" w:usb2="00000012" w:usb3="00000000" w:csb0="4002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219C8"/>
    <w:multiLevelType w:val="singleLevel"/>
    <w:tmpl w:val="877219C8"/>
    <w:lvl w:ilvl="0" w:tentative="0">
      <w:start w:val="1"/>
      <w:numFmt w:val="decimal"/>
      <w:lvlText w:val="(%1)"/>
      <w:lvlJc w:val="left"/>
      <w:pPr>
        <w:ind w:left="425" w:hanging="425"/>
      </w:pPr>
      <w:rPr>
        <w:rFonts w:hint="default"/>
      </w:rPr>
    </w:lvl>
  </w:abstractNum>
  <w:abstractNum w:abstractNumId="1">
    <w:nsid w:val="9AB2BC72"/>
    <w:multiLevelType w:val="singleLevel"/>
    <w:tmpl w:val="9AB2BC72"/>
    <w:lvl w:ilvl="0" w:tentative="0">
      <w:start w:val="1"/>
      <w:numFmt w:val="decimal"/>
      <w:suff w:val="nothing"/>
      <w:lvlText w:val="%1）"/>
      <w:lvlJc w:val="left"/>
    </w:lvl>
  </w:abstractNum>
  <w:abstractNum w:abstractNumId="2">
    <w:nsid w:val="9F9577F4"/>
    <w:multiLevelType w:val="singleLevel"/>
    <w:tmpl w:val="9F9577F4"/>
    <w:lvl w:ilvl="0" w:tentative="0">
      <w:start w:val="1"/>
      <w:numFmt w:val="decimal"/>
      <w:lvlText w:val="(%1)"/>
      <w:lvlJc w:val="left"/>
      <w:pPr>
        <w:ind w:left="425" w:hanging="425"/>
      </w:pPr>
      <w:rPr>
        <w:rFonts w:hint="default"/>
      </w:rPr>
    </w:lvl>
  </w:abstractNum>
  <w:abstractNum w:abstractNumId="3">
    <w:nsid w:val="B68818B5"/>
    <w:multiLevelType w:val="singleLevel"/>
    <w:tmpl w:val="B68818B5"/>
    <w:lvl w:ilvl="0" w:tentative="0">
      <w:start w:val="1"/>
      <w:numFmt w:val="lowerLetter"/>
      <w:lvlText w:val="%1."/>
      <w:lvlJc w:val="left"/>
      <w:pPr>
        <w:tabs>
          <w:tab w:val="left" w:pos="312"/>
        </w:tabs>
      </w:pPr>
    </w:lvl>
  </w:abstractNum>
  <w:abstractNum w:abstractNumId="4">
    <w:nsid w:val="B78E961C"/>
    <w:multiLevelType w:val="singleLevel"/>
    <w:tmpl w:val="B78E961C"/>
    <w:lvl w:ilvl="0" w:tentative="0">
      <w:start w:val="1"/>
      <w:numFmt w:val="decimal"/>
      <w:lvlText w:val="(%1)"/>
      <w:lvlJc w:val="left"/>
      <w:pPr>
        <w:ind w:left="425" w:hanging="425"/>
      </w:pPr>
      <w:rPr>
        <w:rFonts w:hint="default"/>
      </w:rPr>
    </w:lvl>
  </w:abstractNum>
  <w:abstractNum w:abstractNumId="5">
    <w:nsid w:val="CEE9E529"/>
    <w:multiLevelType w:val="singleLevel"/>
    <w:tmpl w:val="CEE9E529"/>
    <w:lvl w:ilvl="0" w:tentative="0">
      <w:start w:val="1"/>
      <w:numFmt w:val="decimal"/>
      <w:lvlText w:val="(%1)"/>
      <w:lvlJc w:val="left"/>
      <w:pPr>
        <w:ind w:left="425" w:hanging="425"/>
      </w:pPr>
      <w:rPr>
        <w:rFonts w:hint="default"/>
      </w:rPr>
    </w:lvl>
  </w:abstractNum>
  <w:abstractNum w:abstractNumId="6">
    <w:nsid w:val="D5769D5B"/>
    <w:multiLevelType w:val="singleLevel"/>
    <w:tmpl w:val="D5769D5B"/>
    <w:lvl w:ilvl="0" w:tentative="0">
      <w:start w:val="1"/>
      <w:numFmt w:val="decimal"/>
      <w:suff w:val="nothing"/>
      <w:lvlText w:val="%1、"/>
      <w:lvlJc w:val="left"/>
    </w:lvl>
  </w:abstractNum>
  <w:abstractNum w:abstractNumId="7">
    <w:nsid w:val="DA7F34EC"/>
    <w:multiLevelType w:val="singleLevel"/>
    <w:tmpl w:val="DA7F34EC"/>
    <w:lvl w:ilvl="0" w:tentative="0">
      <w:start w:val="1"/>
      <w:numFmt w:val="decimal"/>
      <w:lvlText w:val="(%1)"/>
      <w:lvlJc w:val="left"/>
      <w:pPr>
        <w:ind w:left="425" w:hanging="425"/>
      </w:pPr>
      <w:rPr>
        <w:rFonts w:hint="default"/>
      </w:rPr>
    </w:lvl>
  </w:abstractNum>
  <w:abstractNum w:abstractNumId="8">
    <w:nsid w:val="E393009C"/>
    <w:multiLevelType w:val="singleLevel"/>
    <w:tmpl w:val="E393009C"/>
    <w:lvl w:ilvl="0" w:tentative="0">
      <w:start w:val="1"/>
      <w:numFmt w:val="decimal"/>
      <w:lvlText w:val="(%1)"/>
      <w:lvlJc w:val="left"/>
      <w:pPr>
        <w:ind w:left="425" w:hanging="425"/>
      </w:pPr>
      <w:rPr>
        <w:rFonts w:hint="default"/>
      </w:rPr>
    </w:lvl>
  </w:abstractNum>
  <w:abstractNum w:abstractNumId="9">
    <w:nsid w:val="F1E046C8"/>
    <w:multiLevelType w:val="multilevel"/>
    <w:tmpl w:val="F1E046C8"/>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10">
    <w:nsid w:val="578D3DE9"/>
    <w:multiLevelType w:val="singleLevel"/>
    <w:tmpl w:val="578D3DE9"/>
    <w:lvl w:ilvl="0" w:tentative="0">
      <w:start w:val="1"/>
      <w:numFmt w:val="decimal"/>
      <w:lvlText w:val="(%1)"/>
      <w:lvlJc w:val="left"/>
      <w:pPr>
        <w:ind w:left="425" w:hanging="425"/>
      </w:pPr>
      <w:rPr>
        <w:rFonts w:hint="default"/>
      </w:rPr>
    </w:lvl>
  </w:abstractNum>
  <w:abstractNum w:abstractNumId="11">
    <w:nsid w:val="5958933F"/>
    <w:multiLevelType w:val="singleLevel"/>
    <w:tmpl w:val="5958933F"/>
    <w:lvl w:ilvl="0" w:tentative="0">
      <w:start w:val="1"/>
      <w:numFmt w:val="decimal"/>
      <w:lvlText w:val="(%1)"/>
      <w:lvlJc w:val="left"/>
      <w:pPr>
        <w:ind w:left="425" w:hanging="425"/>
      </w:pPr>
      <w:rPr>
        <w:rFonts w:hint="default"/>
      </w:rPr>
    </w:lvl>
  </w:abstractNum>
  <w:abstractNum w:abstractNumId="12">
    <w:nsid w:val="64B99DA8"/>
    <w:multiLevelType w:val="singleLevel"/>
    <w:tmpl w:val="64B99DA8"/>
    <w:lvl w:ilvl="0" w:tentative="0">
      <w:start w:val="1"/>
      <w:numFmt w:val="decimal"/>
      <w:lvlText w:val="(%1)"/>
      <w:lvlJc w:val="left"/>
      <w:pPr>
        <w:ind w:left="425" w:hanging="425"/>
      </w:pPr>
      <w:rPr>
        <w:rFonts w:hint="default"/>
      </w:rPr>
    </w:lvl>
  </w:abstractNum>
  <w:abstractNum w:abstractNumId="13">
    <w:nsid w:val="7FCF8697"/>
    <w:multiLevelType w:val="singleLevel"/>
    <w:tmpl w:val="7FCF8697"/>
    <w:lvl w:ilvl="0" w:tentative="0">
      <w:start w:val="1"/>
      <w:numFmt w:val="decimal"/>
      <w:suff w:val="nothing"/>
      <w:lvlText w:val="%1、"/>
      <w:lvlJc w:val="left"/>
      <w:rPr>
        <w:rFonts w:hint="default"/>
        <w:b w:val="0"/>
        <w:bCs w:val="0"/>
      </w:rPr>
    </w:lvl>
  </w:abstractNum>
  <w:num w:numId="1">
    <w:abstractNumId w:val="9"/>
  </w:num>
  <w:num w:numId="2">
    <w:abstractNumId w:val="6"/>
  </w:num>
  <w:num w:numId="3">
    <w:abstractNumId w:val="13"/>
  </w:num>
  <w:num w:numId="4">
    <w:abstractNumId w:val="2"/>
  </w:num>
  <w:num w:numId="5">
    <w:abstractNumId w:val="10"/>
  </w:num>
  <w:num w:numId="6">
    <w:abstractNumId w:val="7"/>
  </w:num>
  <w:num w:numId="7">
    <w:abstractNumId w:val="8"/>
  </w:num>
  <w:num w:numId="8">
    <w:abstractNumId w:val="12"/>
  </w:num>
  <w:num w:numId="9">
    <w:abstractNumId w:val="11"/>
  </w:num>
  <w:num w:numId="10">
    <w:abstractNumId w:val="0"/>
  </w:num>
  <w:num w:numId="11">
    <w:abstractNumId w:val="5"/>
  </w:num>
  <w:num w:numId="12">
    <w:abstractNumId w:val="4"/>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97CED"/>
    <w:rsid w:val="127B7DF0"/>
    <w:rsid w:val="1336419E"/>
    <w:rsid w:val="1B0A3379"/>
    <w:rsid w:val="1EAB6D2E"/>
    <w:rsid w:val="20E64209"/>
    <w:rsid w:val="289742A6"/>
    <w:rsid w:val="2BEE7936"/>
    <w:rsid w:val="33EE0E77"/>
    <w:rsid w:val="377F2464"/>
    <w:rsid w:val="37C828B9"/>
    <w:rsid w:val="3C7FE789"/>
    <w:rsid w:val="412D24DF"/>
    <w:rsid w:val="4A9F72BE"/>
    <w:rsid w:val="515F236A"/>
    <w:rsid w:val="5412415F"/>
    <w:rsid w:val="5C0F3B78"/>
    <w:rsid w:val="5C89446B"/>
    <w:rsid w:val="5F3338FD"/>
    <w:rsid w:val="5F4B3119"/>
    <w:rsid w:val="5FF70811"/>
    <w:rsid w:val="63CA47B7"/>
    <w:rsid w:val="66B05CAA"/>
    <w:rsid w:val="69C75A92"/>
    <w:rsid w:val="6BFD0E71"/>
    <w:rsid w:val="6C1C63F4"/>
    <w:rsid w:val="72E83193"/>
    <w:rsid w:val="73423C00"/>
    <w:rsid w:val="73777D1C"/>
    <w:rsid w:val="75F9FA15"/>
    <w:rsid w:val="77FF450C"/>
    <w:rsid w:val="79B78539"/>
    <w:rsid w:val="79F65524"/>
    <w:rsid w:val="7FD67ABE"/>
    <w:rsid w:val="BC7FA5CC"/>
    <w:rsid w:val="BECDE04D"/>
    <w:rsid w:val="CF979C20"/>
    <w:rsid w:val="DA7DC137"/>
    <w:rsid w:val="EC7D8333"/>
    <w:rsid w:val="F74F2A8E"/>
    <w:rsid w:val="FBFBF721"/>
    <w:rsid w:val="FCFADD09"/>
    <w:rsid w:val="FFFF96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numPr>
        <w:ilvl w:val="0"/>
        <w:numId w:val="0"/>
      </w:numPr>
      <w:adjustRightInd w:val="0"/>
      <w:snapToGrid w:val="0"/>
      <w:spacing w:after="50" w:afterLines="50"/>
      <w:ind w:left="0" w:leftChars="0" w:firstLine="0" w:firstLineChars="0"/>
      <w:jc w:val="both"/>
    </w:pPr>
    <w:rPr>
      <w:rFonts w:ascii="Times New Roman" w:hAnsi="Times New Roman" w:eastAsia="方正仿宋_GB2312" w:cs="Times New Roman"/>
      <w:kern w:val="2"/>
      <w:sz w:val="24"/>
      <w:szCs w:val="24"/>
      <w:lang w:val="en-US" w:eastAsia="zh-CN" w:bidi="ar-SA"/>
      <w14:ligatures w14:val="none"/>
    </w:rPr>
  </w:style>
  <w:style w:type="paragraph" w:styleId="2">
    <w:name w:val="heading 1"/>
    <w:basedOn w:val="1"/>
    <w:next w:val="1"/>
    <w:link w:val="21"/>
    <w:qFormat/>
    <w:uiPriority w:val="0"/>
    <w:pPr>
      <w:keepNext/>
      <w:keepLines/>
      <w:numPr>
        <w:ilvl w:val="0"/>
        <w:numId w:val="1"/>
      </w:numPr>
      <w:tabs>
        <w:tab w:val="left" w:pos="312"/>
      </w:tabs>
      <w:adjustRightInd w:val="0"/>
      <w:snapToGrid w:val="0"/>
      <w:spacing w:line="312" w:lineRule="auto"/>
      <w:ind w:left="432" w:hanging="432"/>
      <w:outlineLvl w:val="0"/>
    </w:pPr>
    <w:rPr>
      <w:rFonts w:ascii="Times New Roman" w:hAnsi="Times New Roman" w:eastAsia="方正仿宋_GB2312" w:cs="Times New Roman"/>
      <w:b/>
      <w:bCs/>
      <w:kern w:val="44"/>
      <w:sz w:val="44"/>
      <w:szCs w:val="44"/>
      <w:lang w:val="en-US" w:eastAsia="zh-CN" w:bidi="ar-SA"/>
      <w14:ligatures w14:val="none"/>
    </w:rPr>
  </w:style>
  <w:style w:type="paragraph" w:styleId="3">
    <w:name w:val="heading 2"/>
    <w:basedOn w:val="1"/>
    <w:next w:val="1"/>
    <w:link w:val="22"/>
    <w:unhideWhenUsed/>
    <w:qFormat/>
    <w:uiPriority w:val="0"/>
    <w:pPr>
      <w:numPr>
        <w:ilvl w:val="1"/>
        <w:numId w:val="1"/>
      </w:numPr>
      <w:tabs>
        <w:tab w:val="left" w:pos="0"/>
      </w:tabs>
      <w:adjustRightInd w:val="0"/>
      <w:snapToGrid w:val="0"/>
      <w:spacing w:line="312" w:lineRule="auto"/>
      <w:ind w:left="575" w:hanging="575"/>
      <w:outlineLvl w:val="1"/>
    </w:pPr>
    <w:rPr>
      <w:rFonts w:ascii="Times New Roman" w:hAnsi="Times New Roman" w:eastAsia="方正仿宋_GB2312" w:cs="Times New Roman"/>
      <w:b/>
      <w:bCs/>
      <w:kern w:val="2"/>
      <w:sz w:val="36"/>
      <w:szCs w:val="36"/>
      <w:lang w:val="en-US" w:eastAsia="zh-CN" w:bidi="ar-SA"/>
      <w14:ligatures w14:val="none"/>
    </w:rPr>
  </w:style>
  <w:style w:type="paragraph" w:styleId="4">
    <w:name w:val="heading 3"/>
    <w:next w:val="1"/>
    <w:link w:val="23"/>
    <w:unhideWhenUsed/>
    <w:qFormat/>
    <w:uiPriority w:val="0"/>
    <w:pPr>
      <w:numPr>
        <w:ilvl w:val="2"/>
        <w:numId w:val="1"/>
      </w:numPr>
      <w:tabs>
        <w:tab w:val="left" w:pos="312"/>
      </w:tabs>
      <w:adjustRightInd w:val="0"/>
      <w:snapToGrid w:val="0"/>
      <w:spacing w:line="312" w:lineRule="auto"/>
      <w:ind w:left="720" w:hanging="720"/>
      <w:outlineLvl w:val="2"/>
    </w:pPr>
    <w:rPr>
      <w:rFonts w:ascii="Times New Roman" w:hAnsi="Times New Roman" w:eastAsia="方正仿宋_GB2312" w:cs="Times New Roman"/>
      <w:b/>
      <w:bCs/>
      <w:kern w:val="2"/>
      <w:sz w:val="32"/>
      <w:szCs w:val="32"/>
      <w:lang w:val="en-US" w:eastAsia="zh-CN" w:bidi="ar-SA"/>
      <w14:ligatures w14:val="none"/>
    </w:rPr>
  </w:style>
  <w:style w:type="paragraph" w:styleId="5">
    <w:name w:val="heading 4"/>
    <w:basedOn w:val="1"/>
    <w:next w:val="1"/>
    <w:link w:val="24"/>
    <w:unhideWhenUsed/>
    <w:qFormat/>
    <w:uiPriority w:val="0"/>
    <w:pPr>
      <w:numPr>
        <w:ilvl w:val="3"/>
        <w:numId w:val="1"/>
      </w:numPr>
      <w:tabs>
        <w:tab w:val="left" w:pos="0"/>
      </w:tabs>
      <w:adjustRightInd w:val="0"/>
      <w:snapToGrid w:val="0"/>
      <w:spacing w:line="312" w:lineRule="auto"/>
      <w:ind w:left="864" w:hanging="864"/>
      <w:outlineLvl w:val="3"/>
    </w:pPr>
    <w:rPr>
      <w:rFonts w:ascii="Times New Roman" w:hAnsi="Times New Roman" w:eastAsia="方正仿宋_GB2312" w:cstheme="minorBidi"/>
      <w:sz w:val="30"/>
      <w:szCs w:val="30"/>
    </w:rPr>
  </w:style>
  <w:style w:type="paragraph" w:styleId="6">
    <w:name w:val="heading 5"/>
    <w:next w:val="1"/>
    <w:link w:val="25"/>
    <w:unhideWhenUsed/>
    <w:qFormat/>
    <w:uiPriority w:val="0"/>
    <w:pPr>
      <w:numPr>
        <w:ilvl w:val="4"/>
        <w:numId w:val="1"/>
      </w:numPr>
      <w:tabs>
        <w:tab w:val="left" w:pos="312"/>
      </w:tabs>
      <w:adjustRightInd w:val="0"/>
      <w:snapToGrid w:val="0"/>
      <w:spacing w:line="312" w:lineRule="auto"/>
      <w:ind w:left="1008" w:hanging="1008"/>
      <w:outlineLvl w:val="4"/>
    </w:pPr>
    <w:rPr>
      <w:rFonts w:ascii="Times New Roman" w:hAnsi="Times New Roman" w:eastAsia="方正仿宋_GB2312" w:cs="Times New Roman"/>
      <w:b/>
      <w:bCs/>
      <w:kern w:val="2"/>
      <w:sz w:val="28"/>
      <w:szCs w:val="28"/>
      <w:lang w:val="en-US" w:eastAsia="zh-CN" w:bidi="ar-SA"/>
      <w14:ligatures w14:val="none"/>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Normal Indent"/>
    <w:basedOn w:val="1"/>
    <w:unhideWhenUsed/>
    <w:qFormat/>
    <w:uiPriority w:val="0"/>
    <w:rPr>
      <w:kern w:val="0"/>
      <w:szCs w:val="20"/>
    </w:rPr>
  </w:style>
  <w:style w:type="paragraph" w:styleId="12">
    <w:name w:val="annotation text"/>
    <w:basedOn w:val="1"/>
    <w:qFormat/>
    <w:uiPriority w:val="0"/>
    <w:pPr>
      <w:jc w:val="left"/>
    </w:pPr>
  </w:style>
  <w:style w:type="paragraph" w:styleId="13">
    <w:name w:val="toc 3"/>
    <w:next w:val="1"/>
    <w:qFormat/>
    <w:uiPriority w:val="0"/>
    <w:pPr>
      <w:adjustRightInd w:val="0"/>
      <w:snapToGrid w:val="0"/>
      <w:ind w:left="400" w:leftChars="400"/>
    </w:pPr>
    <w:rPr>
      <w:rFonts w:ascii="Times New Roman" w:hAnsi="Times New Roman" w:eastAsia="方正仿宋_GB2312" w:cs="Times New Roman"/>
      <w:kern w:val="2"/>
      <w:sz w:val="24"/>
      <w:szCs w:val="24"/>
      <w:lang w:val="en-US" w:eastAsia="zh-CN" w:bidi="ar-SA"/>
      <w14:ligatures w14:val="none"/>
    </w:rPr>
  </w:style>
  <w:style w:type="paragraph" w:styleId="14">
    <w:name w:val="toc 1"/>
    <w:next w:val="1"/>
    <w:qFormat/>
    <w:uiPriority w:val="0"/>
    <w:pPr>
      <w:adjustRightInd w:val="0"/>
      <w:snapToGrid w:val="0"/>
    </w:pPr>
    <w:rPr>
      <w:rFonts w:ascii="Times New Roman" w:hAnsi="Times New Roman" w:eastAsia="方正仿宋_GB2312" w:cs="Times New Roman"/>
      <w:kern w:val="2"/>
      <w:sz w:val="24"/>
      <w:szCs w:val="24"/>
      <w:lang w:val="en-US" w:eastAsia="zh-CN" w:bidi="ar-SA"/>
      <w14:ligatures w14:val="none"/>
    </w:rPr>
  </w:style>
  <w:style w:type="paragraph" w:styleId="15">
    <w:name w:val="toc 4"/>
    <w:next w:val="1"/>
    <w:qFormat/>
    <w:uiPriority w:val="0"/>
    <w:pPr>
      <w:adjustRightInd w:val="0"/>
      <w:snapToGrid w:val="0"/>
      <w:ind w:left="600" w:leftChars="600"/>
    </w:pPr>
    <w:rPr>
      <w:rFonts w:ascii="Times New Roman" w:hAnsi="Times New Roman" w:eastAsia="方正仿宋_GB2312" w:cs="Times New Roman"/>
      <w:kern w:val="2"/>
      <w:sz w:val="24"/>
      <w:szCs w:val="24"/>
      <w:lang w:val="en-US" w:eastAsia="zh-CN" w:bidi="ar-SA"/>
      <w14:ligatures w14:val="none"/>
    </w:rPr>
  </w:style>
  <w:style w:type="paragraph" w:styleId="16">
    <w:name w:val="toc 2"/>
    <w:next w:val="1"/>
    <w:qFormat/>
    <w:uiPriority w:val="0"/>
    <w:pPr>
      <w:adjustRightInd w:val="0"/>
      <w:snapToGrid w:val="0"/>
      <w:ind w:left="200" w:leftChars="200"/>
    </w:pPr>
    <w:rPr>
      <w:rFonts w:ascii="Times New Roman" w:hAnsi="Times New Roman" w:eastAsia="方正仿宋_GB2312" w:cs="Times New Roman"/>
      <w:kern w:val="2"/>
      <w:sz w:val="24"/>
      <w:szCs w:val="24"/>
      <w:lang w:val="en-US" w:eastAsia="zh-CN" w:bidi="ar-SA"/>
      <w14:ligatures w14:val="none"/>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0">
    <w:name w:val="Strong"/>
    <w:basedOn w:val="19"/>
    <w:qFormat/>
    <w:uiPriority w:val="0"/>
    <w:rPr>
      <w:b/>
    </w:rPr>
  </w:style>
  <w:style w:type="character" w:customStyle="1" w:styleId="21">
    <w:name w:val="标题 1 字符"/>
    <w:link w:val="2"/>
    <w:qFormat/>
    <w:uiPriority w:val="0"/>
    <w:rPr>
      <w:rFonts w:eastAsia="方正仿宋_GB2312" w:cs="Times New Roman"/>
      <w:b/>
      <w:bCs/>
      <w:kern w:val="44"/>
      <w:sz w:val="44"/>
      <w:szCs w:val="44"/>
    </w:rPr>
  </w:style>
  <w:style w:type="character" w:customStyle="1" w:styleId="22">
    <w:name w:val="标题 2 字符"/>
    <w:link w:val="3"/>
    <w:qFormat/>
    <w:uiPriority w:val="0"/>
    <w:rPr>
      <w:rFonts w:eastAsia="方正仿宋_GB2312" w:cs="Times New Roman"/>
      <w:b/>
      <w:bCs/>
      <w:sz w:val="36"/>
      <w:szCs w:val="36"/>
    </w:rPr>
  </w:style>
  <w:style w:type="character" w:customStyle="1" w:styleId="23">
    <w:name w:val="标题 3 字符"/>
    <w:link w:val="4"/>
    <w:qFormat/>
    <w:uiPriority w:val="0"/>
    <w:rPr>
      <w:rFonts w:eastAsia="方正仿宋_GB2312"/>
      <w:b/>
      <w:bCs/>
      <w:sz w:val="32"/>
      <w:szCs w:val="32"/>
    </w:rPr>
  </w:style>
  <w:style w:type="character" w:customStyle="1" w:styleId="24">
    <w:name w:val="标题 4 字符"/>
    <w:link w:val="5"/>
    <w:qFormat/>
    <w:uiPriority w:val="0"/>
    <w:rPr>
      <w:rFonts w:ascii="Times New Roman" w:hAnsi="Times New Roman" w:eastAsia="方正仿宋_GB2312"/>
      <w:b/>
      <w:bCs/>
      <w:sz w:val="30"/>
      <w:szCs w:val="30"/>
    </w:rPr>
  </w:style>
  <w:style w:type="character" w:customStyle="1" w:styleId="25">
    <w:name w:val="标题 5 字符"/>
    <w:link w:val="6"/>
    <w:qFormat/>
    <w:uiPriority w:val="0"/>
    <w:rPr>
      <w:rFonts w:eastAsia="方正仿宋_GB2312"/>
      <w:b/>
      <w:bCs/>
      <w:sz w:val="28"/>
      <w:szCs w:val="28"/>
    </w:rPr>
  </w:style>
  <w:style w:type="paragraph" w:customStyle="1" w:styleId="26">
    <w:name w:val="表样式"/>
    <w:qFormat/>
    <w:uiPriority w:val="0"/>
    <w:pPr>
      <w:adjustRightInd w:val="0"/>
      <w:snapToGrid w:val="0"/>
      <w:ind w:firstLine="0" w:firstLineChars="0"/>
      <w:jc w:val="both"/>
    </w:pPr>
    <w:rPr>
      <w:rFonts w:ascii="Times New Roman" w:hAnsi="Times New Roman" w:eastAsia="方正仿宋_GB2312" w:cs="Times New Roman"/>
      <w:kern w:val="0"/>
      <w:sz w:val="21"/>
      <w:szCs w:val="21"/>
    </w:rPr>
  </w:style>
  <w:style w:type="paragraph" w:customStyle="1" w:styleId="27">
    <w:name w:val="图样式"/>
    <w:qFormat/>
    <w:uiPriority w:val="0"/>
    <w:pPr>
      <w:adjustRightInd w:val="0"/>
      <w:snapToGrid w:val="0"/>
      <w:spacing w:after="50" w:afterLines="50"/>
      <w:ind w:firstLine="0" w:firstLineChars="0"/>
      <w:jc w:val="center"/>
    </w:pPr>
    <w:rPr>
      <w:rFonts w:ascii="Times New Roman" w:hAnsi="Times New Roman" w:eastAsia="方正仿宋_GB2312" w:cs="Times New Roman"/>
      <w:sz w:val="21"/>
      <w:szCs w:val="21"/>
    </w:rPr>
  </w:style>
  <w:style w:type="paragraph" w:customStyle="1" w:styleId="28">
    <w:name w:val="样式2"/>
    <w:basedOn w:val="1"/>
    <w:qFormat/>
    <w:uiPriority w:val="0"/>
    <w:pPr>
      <w:widowControl/>
      <w:adjustRightInd w:val="0"/>
      <w:spacing w:line="360" w:lineRule="auto"/>
      <w:ind w:firstLine="480"/>
    </w:pPr>
    <w:rPr>
      <w:rFonts w:ascii="宋体" w:hAnsi="宋体"/>
      <w:kern w:val="0"/>
      <w:sz w:val="24"/>
      <w:szCs w:val="24"/>
      <w:lang w:eastAsia="en-US"/>
    </w:rPr>
  </w:style>
  <w:style w:type="paragraph" w:styleId="29">
    <w:name w:val="List Paragraph"/>
    <w:basedOn w:val="1"/>
    <w:qFormat/>
    <w:uiPriority w:val="99"/>
  </w:style>
  <w:style w:type="paragraph" w:customStyle="1" w:styleId="30">
    <w:name w:val="列出段落1"/>
    <w:basedOn w:val="1"/>
    <w:autoRedefine/>
    <w:qFormat/>
    <w:uiPriority w:val="34"/>
    <w:pPr>
      <w:spacing w:line="240" w:lineRule="auto"/>
      <w:ind w:firstLine="420"/>
    </w:pPr>
    <w:rPr>
      <w:rFonts w:ascii="Calibri" w:hAnsi="Calibri"/>
      <w:sz w:val="21"/>
      <w:szCs w:val="22"/>
    </w:rPr>
  </w:style>
  <w:style w:type="paragraph" w:customStyle="1" w:styleId="31">
    <w:name w:val="正文缩进1"/>
    <w:basedOn w:val="1"/>
    <w:autoRedefine/>
    <w:qFormat/>
    <w:uiPriority w:val="0"/>
    <w:pPr>
      <w:spacing w:line="240" w:lineRule="auto"/>
      <w:ind w:firstLine="420"/>
    </w:pPr>
    <w:rPr>
      <w:rFonts w:ascii="Times New Roman" w:hAnsi="Times New Roman"/>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3242</Words>
  <Characters>3369</Characters>
  <Lines>0</Lines>
  <Paragraphs>0</Paragraphs>
  <TotalTime>990</TotalTime>
  <ScaleCrop>false</ScaleCrop>
  <LinksUpToDate>false</LinksUpToDate>
  <CharactersWithSpaces>3401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2025-08-17T10:18:00Z</dcterms:created>
  <dc:creator>admin</dc:creator>
  <cp:lastModifiedBy>王婉婷</cp:lastModifiedBy>
  <dcterms:modified xsi:type="dcterms:W3CDTF">2026-07-14T08:46:37Z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6EC3BA73565C4874AACC6821098CF59C_13</vt:lpwstr>
  </property>
  <property fmtid="{D5CDD505-2E9C-101B-9397-08002B2CF9AE}" pid="4" name="KSOTemplateDocerSaveRecord">
    <vt:lpwstr>eyJoZGlkIjoiZjEzZTUxZWNkOGUwN2ZjZmUzY2ZkYmVmYTNkMzJhNTUiLCJ1c2VySWQiOiI2MTEwNjY5MjIifQ==</vt:lpwstr>
  </property>
</Properties>
</file>