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B75D1">
      <w:pPr>
        <w:spacing w:line="360" w:lineRule="auto"/>
        <w:ind w:right="422" w:firstLine="5136"/>
        <w:jc w:val="right"/>
        <w:rPr>
          <w:rFonts w:hint="eastAsia" w:cs="宋体" w:asciiTheme="minorEastAsia" w:hAnsiTheme="minorEastAsia" w:eastAsiaTheme="minorEastAsia"/>
          <w:b/>
          <w:sz w:val="24"/>
          <w:szCs w:val="24"/>
        </w:rPr>
      </w:pPr>
    </w:p>
    <w:p w14:paraId="5863CE12">
      <w:pPr>
        <w:spacing w:line="360" w:lineRule="auto"/>
        <w:ind w:right="1284"/>
        <w:jc w:val="right"/>
        <w:rPr>
          <w:rFonts w:cs="宋体" w:asciiTheme="minorEastAsia" w:hAnsiTheme="minorEastAsia" w:eastAsiaTheme="minorEastAsia"/>
          <w:b/>
          <w:sz w:val="24"/>
          <w:szCs w:val="24"/>
        </w:rPr>
      </w:pPr>
    </w:p>
    <w:p w14:paraId="07E5635B">
      <w:pPr>
        <w:spacing w:line="360" w:lineRule="auto"/>
        <w:ind w:right="1284"/>
        <w:jc w:val="right"/>
        <w:rPr>
          <w:rFonts w:cs="宋体" w:asciiTheme="minorEastAsia" w:hAnsiTheme="minorEastAsia" w:eastAsiaTheme="minorEastAsia"/>
          <w:b/>
          <w:sz w:val="24"/>
          <w:szCs w:val="24"/>
        </w:rPr>
      </w:pPr>
    </w:p>
    <w:p w14:paraId="0621533C">
      <w:pPr>
        <w:spacing w:line="360" w:lineRule="auto"/>
        <w:jc w:val="center"/>
        <w:rPr>
          <w:rFonts w:cs="宋体" w:asciiTheme="minorEastAsia" w:hAnsiTheme="minorEastAsia" w:eastAsiaTheme="minorEastAsia"/>
          <w:b/>
          <w:bCs/>
          <w:sz w:val="48"/>
          <w:szCs w:val="48"/>
        </w:rPr>
      </w:pPr>
      <w:r>
        <w:rPr>
          <w:rFonts w:cs="宋体" w:asciiTheme="minorEastAsia" w:hAnsiTheme="minorEastAsia" w:eastAsiaTheme="minorEastAsia"/>
          <w:b/>
          <w:bCs/>
          <w:sz w:val="48"/>
          <w:szCs w:val="48"/>
        </w:rPr>
        <w:t>上海立信会计金融学院</w:t>
      </w:r>
    </w:p>
    <w:p w14:paraId="4782C89D">
      <w:pPr>
        <w:spacing w:line="360" w:lineRule="auto"/>
        <w:jc w:val="center"/>
        <w:rPr>
          <w:rFonts w:cs="宋体" w:asciiTheme="minorEastAsia" w:hAnsiTheme="minorEastAsia" w:eastAsiaTheme="minorEastAsia"/>
          <w:sz w:val="24"/>
          <w:szCs w:val="24"/>
        </w:rPr>
      </w:pPr>
      <w:r>
        <w:rPr>
          <w:rFonts w:hint="eastAsia" w:cs="宋体" w:asciiTheme="minorEastAsia" w:hAnsiTheme="minorEastAsia" w:eastAsiaTheme="minorEastAsia"/>
          <w:b/>
          <w:bCs/>
          <w:sz w:val="48"/>
          <w:szCs w:val="48"/>
        </w:rPr>
        <w:t>2026年算力平台集成实施服务</w:t>
      </w:r>
    </w:p>
    <w:p w14:paraId="7F570221">
      <w:pPr>
        <w:spacing w:line="360" w:lineRule="auto"/>
        <w:rPr>
          <w:rFonts w:cs="宋体" w:asciiTheme="minorEastAsia" w:hAnsiTheme="minorEastAsia" w:eastAsiaTheme="minorEastAsia"/>
          <w:sz w:val="24"/>
          <w:szCs w:val="24"/>
        </w:rPr>
      </w:pPr>
    </w:p>
    <w:p w14:paraId="47F996B0">
      <w:pPr>
        <w:spacing w:line="360" w:lineRule="auto"/>
        <w:rPr>
          <w:rFonts w:cs="宋体" w:asciiTheme="minorEastAsia" w:hAnsiTheme="minorEastAsia" w:eastAsiaTheme="minorEastAsia"/>
          <w:sz w:val="24"/>
          <w:szCs w:val="24"/>
        </w:rPr>
      </w:pPr>
    </w:p>
    <w:p w14:paraId="4D16AA97">
      <w:pPr>
        <w:spacing w:line="360" w:lineRule="auto"/>
        <w:rPr>
          <w:rFonts w:cs="宋体" w:asciiTheme="minorEastAsia" w:hAnsiTheme="minorEastAsia" w:eastAsiaTheme="minorEastAsia"/>
          <w:sz w:val="24"/>
          <w:szCs w:val="24"/>
        </w:rPr>
      </w:pPr>
    </w:p>
    <w:p w14:paraId="799B35B9">
      <w:pPr>
        <w:spacing w:line="360" w:lineRule="auto"/>
        <w:rPr>
          <w:rFonts w:cs="宋体" w:asciiTheme="minorEastAsia" w:hAnsiTheme="minorEastAsia" w:eastAsiaTheme="minorEastAsia"/>
          <w:sz w:val="24"/>
          <w:szCs w:val="24"/>
        </w:rPr>
      </w:pPr>
    </w:p>
    <w:p w14:paraId="5268F65D">
      <w:pPr>
        <w:spacing w:line="360" w:lineRule="auto"/>
        <w:jc w:val="center"/>
        <w:rPr>
          <w:rFonts w:cs="宋体" w:asciiTheme="minorEastAsia" w:hAnsiTheme="minorEastAsia" w:eastAsiaTheme="minorEastAsia"/>
          <w:b/>
          <w:bCs/>
          <w:sz w:val="48"/>
          <w:szCs w:val="48"/>
        </w:rPr>
      </w:pPr>
      <w:r>
        <w:rPr>
          <w:rFonts w:hint="eastAsia" w:cs="宋体" w:asciiTheme="minorEastAsia" w:hAnsiTheme="minorEastAsia" w:eastAsiaTheme="minorEastAsia"/>
          <w:b/>
          <w:bCs/>
          <w:sz w:val="48"/>
          <w:szCs w:val="48"/>
        </w:rPr>
        <w:t>采购需求书</w:t>
      </w:r>
    </w:p>
    <w:p w14:paraId="1FC026E1">
      <w:pPr>
        <w:spacing w:line="360" w:lineRule="auto"/>
        <w:jc w:val="center"/>
        <w:rPr>
          <w:rFonts w:cs="宋体" w:asciiTheme="minorEastAsia" w:hAnsiTheme="minorEastAsia" w:eastAsiaTheme="minorEastAsia"/>
          <w:sz w:val="24"/>
          <w:szCs w:val="24"/>
        </w:rPr>
      </w:pPr>
    </w:p>
    <w:p w14:paraId="29A03817">
      <w:pPr>
        <w:spacing w:line="360" w:lineRule="auto"/>
        <w:jc w:val="center"/>
        <w:rPr>
          <w:rFonts w:cs="宋体" w:asciiTheme="minorEastAsia" w:hAnsiTheme="minorEastAsia" w:eastAsiaTheme="minorEastAsia"/>
          <w:sz w:val="24"/>
          <w:szCs w:val="24"/>
        </w:rPr>
      </w:pPr>
    </w:p>
    <w:p w14:paraId="0294A699">
      <w:pPr>
        <w:spacing w:line="360" w:lineRule="auto"/>
        <w:rPr>
          <w:rFonts w:cs="宋体" w:asciiTheme="minorEastAsia" w:hAnsiTheme="minorEastAsia" w:eastAsiaTheme="minorEastAsia"/>
          <w:sz w:val="24"/>
          <w:szCs w:val="24"/>
        </w:rPr>
      </w:pPr>
    </w:p>
    <w:p w14:paraId="1BC7DFB3">
      <w:pPr>
        <w:spacing w:line="360" w:lineRule="auto"/>
        <w:rPr>
          <w:rFonts w:cs="宋体" w:asciiTheme="minorEastAsia" w:hAnsiTheme="minorEastAsia" w:eastAsiaTheme="minorEastAsia"/>
          <w:sz w:val="24"/>
          <w:szCs w:val="24"/>
        </w:rPr>
      </w:pPr>
    </w:p>
    <w:p w14:paraId="5DDD9EA2">
      <w:pPr>
        <w:spacing w:line="360" w:lineRule="auto"/>
        <w:rPr>
          <w:rFonts w:cs="宋体" w:asciiTheme="minorEastAsia" w:hAnsiTheme="minorEastAsia" w:eastAsiaTheme="minorEastAsia"/>
          <w:sz w:val="24"/>
          <w:szCs w:val="24"/>
        </w:rPr>
      </w:pPr>
    </w:p>
    <w:p w14:paraId="1A1B9E12">
      <w:pPr>
        <w:spacing w:line="360" w:lineRule="auto"/>
        <w:rPr>
          <w:rFonts w:cs="宋体" w:asciiTheme="minorEastAsia" w:hAnsiTheme="minorEastAsia" w:eastAsiaTheme="minorEastAsia"/>
          <w:sz w:val="24"/>
          <w:szCs w:val="24"/>
        </w:rPr>
      </w:pPr>
    </w:p>
    <w:p w14:paraId="308BDDA0">
      <w:pPr>
        <w:spacing w:line="360" w:lineRule="auto"/>
        <w:rPr>
          <w:rFonts w:cs="宋体" w:asciiTheme="minorEastAsia" w:hAnsiTheme="minorEastAsia" w:eastAsiaTheme="minorEastAsia"/>
          <w:b/>
          <w:spacing w:val="20"/>
          <w:sz w:val="24"/>
          <w:szCs w:val="24"/>
        </w:rPr>
      </w:pPr>
    </w:p>
    <w:p w14:paraId="00C208BD">
      <w:pPr>
        <w:spacing w:line="360" w:lineRule="auto"/>
        <w:rPr>
          <w:rFonts w:cs="宋体" w:asciiTheme="minorEastAsia" w:hAnsiTheme="minorEastAsia" w:eastAsiaTheme="minorEastAsia"/>
          <w:b/>
          <w:spacing w:val="20"/>
          <w:sz w:val="24"/>
          <w:szCs w:val="24"/>
        </w:rPr>
      </w:pPr>
    </w:p>
    <w:p w14:paraId="2ED5E452">
      <w:pPr>
        <w:spacing w:line="360" w:lineRule="auto"/>
        <w:rPr>
          <w:rFonts w:cs="宋体" w:asciiTheme="minorEastAsia" w:hAnsiTheme="minorEastAsia" w:eastAsiaTheme="minorEastAsia"/>
          <w:b/>
          <w:spacing w:val="20"/>
          <w:sz w:val="24"/>
          <w:szCs w:val="24"/>
        </w:rPr>
      </w:pPr>
    </w:p>
    <w:p w14:paraId="5EA4F754">
      <w:pPr>
        <w:spacing w:line="360" w:lineRule="auto"/>
        <w:rPr>
          <w:rFonts w:cs="宋体" w:asciiTheme="minorEastAsia" w:hAnsiTheme="minorEastAsia" w:eastAsiaTheme="minorEastAsia"/>
          <w:b/>
          <w:spacing w:val="20"/>
          <w:sz w:val="24"/>
          <w:szCs w:val="24"/>
        </w:rPr>
      </w:pPr>
    </w:p>
    <w:p w14:paraId="79B1392D">
      <w:pPr>
        <w:spacing w:line="360" w:lineRule="auto"/>
        <w:rPr>
          <w:rFonts w:cs="宋体" w:asciiTheme="minorEastAsia" w:hAnsiTheme="minorEastAsia" w:eastAsiaTheme="minorEastAsia"/>
          <w:b/>
          <w:spacing w:val="20"/>
          <w:sz w:val="24"/>
          <w:szCs w:val="24"/>
        </w:rPr>
      </w:pPr>
    </w:p>
    <w:p w14:paraId="1EEB6BD6">
      <w:pPr>
        <w:spacing w:line="360" w:lineRule="auto"/>
        <w:rPr>
          <w:rFonts w:cs="宋体" w:asciiTheme="minorEastAsia" w:hAnsiTheme="minorEastAsia" w:eastAsiaTheme="minorEastAsia"/>
          <w:b/>
          <w:spacing w:val="20"/>
          <w:sz w:val="24"/>
          <w:szCs w:val="24"/>
        </w:rPr>
      </w:pPr>
    </w:p>
    <w:p w14:paraId="4894A737">
      <w:pPr>
        <w:spacing w:line="360" w:lineRule="auto"/>
        <w:rPr>
          <w:rFonts w:cs="宋体" w:asciiTheme="minorEastAsia" w:hAnsiTheme="minorEastAsia" w:eastAsiaTheme="minorEastAsia"/>
          <w:b/>
          <w:spacing w:val="20"/>
          <w:sz w:val="24"/>
          <w:szCs w:val="24"/>
        </w:rPr>
      </w:pPr>
    </w:p>
    <w:p w14:paraId="09DFC4D9">
      <w:pPr>
        <w:spacing w:line="360" w:lineRule="auto"/>
        <w:rPr>
          <w:rFonts w:cs="宋体" w:asciiTheme="minorEastAsia" w:hAnsiTheme="minorEastAsia" w:eastAsiaTheme="minorEastAsia"/>
          <w:b/>
          <w:spacing w:val="20"/>
          <w:sz w:val="24"/>
          <w:szCs w:val="24"/>
        </w:rPr>
      </w:pPr>
    </w:p>
    <w:p w14:paraId="688F6078">
      <w:pPr>
        <w:spacing w:line="360" w:lineRule="auto"/>
        <w:rPr>
          <w:rFonts w:cs="宋体" w:asciiTheme="minorEastAsia" w:hAnsiTheme="minorEastAsia" w:eastAsiaTheme="minorEastAsia"/>
          <w:b/>
          <w:spacing w:val="20"/>
          <w:sz w:val="24"/>
          <w:szCs w:val="24"/>
        </w:rPr>
      </w:pPr>
    </w:p>
    <w:p w14:paraId="5F74B8CE">
      <w:pPr>
        <w:spacing w:line="360" w:lineRule="auto"/>
        <w:rPr>
          <w:rFonts w:cs="宋体" w:asciiTheme="minorEastAsia" w:hAnsiTheme="minorEastAsia" w:eastAsiaTheme="minorEastAsia"/>
          <w:b/>
          <w:spacing w:val="20"/>
          <w:sz w:val="24"/>
          <w:szCs w:val="24"/>
        </w:rPr>
      </w:pPr>
    </w:p>
    <w:p w14:paraId="1BE28F2E">
      <w:pPr>
        <w:spacing w:line="360" w:lineRule="auto"/>
        <w:rPr>
          <w:rFonts w:cs="宋体" w:asciiTheme="minorEastAsia" w:hAnsiTheme="minorEastAsia" w:eastAsiaTheme="minorEastAsia"/>
          <w:b/>
          <w:spacing w:val="20"/>
          <w:sz w:val="24"/>
          <w:szCs w:val="24"/>
        </w:rPr>
      </w:pPr>
    </w:p>
    <w:p w14:paraId="5D9B911B">
      <w:pPr>
        <w:pStyle w:val="3"/>
        <w:numPr>
          <w:ilvl w:val="0"/>
          <w:numId w:val="2"/>
        </w:numPr>
        <w:suppressAutoHyphens w:val="0"/>
        <w:spacing w:before="0" w:after="0" w:line="360" w:lineRule="auto"/>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 xml:space="preserve">项目概况 </w:t>
      </w:r>
    </w:p>
    <w:p w14:paraId="341A97E5">
      <w:pPr>
        <w:pStyle w:val="126"/>
        <w:numPr>
          <w:ilvl w:val="0"/>
          <w:numId w:val="3"/>
        </w:numPr>
        <w:spacing w:line="360" w:lineRule="auto"/>
        <w:ind w:firstLineChars="0"/>
        <w:rPr>
          <w:rFonts w:cs="宋体" w:asciiTheme="minorEastAsia" w:hAnsiTheme="minorEastAsia" w:eastAsiaTheme="minorEastAsia"/>
          <w:sz w:val="24"/>
        </w:rPr>
      </w:pPr>
      <w:r>
        <w:rPr>
          <w:rFonts w:cs="宋体" w:asciiTheme="minorEastAsia" w:hAnsiTheme="minorEastAsia" w:eastAsiaTheme="minorEastAsia"/>
          <w:kern w:val="2"/>
          <w:sz w:val="24"/>
          <w:szCs w:val="24"/>
        </w:rPr>
        <w:t>项目名称：</w:t>
      </w:r>
      <w:bookmarkStart w:id="0" w:name="OLE_LINK2"/>
      <w:bookmarkStart w:id="1" w:name="OLE_LINK1"/>
      <w:r>
        <w:rPr>
          <w:rFonts w:hint="eastAsia" w:cs="宋体" w:asciiTheme="minorEastAsia" w:hAnsiTheme="minorEastAsia" w:eastAsiaTheme="minorEastAsia"/>
          <w:sz w:val="24"/>
        </w:rPr>
        <w:t>2026年算力平台集成实施服务</w:t>
      </w:r>
      <w:bookmarkEnd w:id="0"/>
      <w:bookmarkEnd w:id="1"/>
    </w:p>
    <w:p w14:paraId="7B41F2EC">
      <w:pPr>
        <w:pStyle w:val="126"/>
        <w:numPr>
          <w:ilvl w:val="0"/>
          <w:numId w:val="3"/>
        </w:numPr>
        <w:spacing w:line="360" w:lineRule="auto"/>
        <w:ind w:firstLineChars="0"/>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项目预算</w:t>
      </w:r>
      <w:r>
        <w:rPr>
          <w:rFonts w:cs="宋体" w:asciiTheme="minorEastAsia" w:hAnsiTheme="minorEastAsia" w:eastAsiaTheme="minorEastAsia"/>
          <w:kern w:val="2"/>
          <w:sz w:val="24"/>
          <w:szCs w:val="24"/>
        </w:rPr>
        <w:t>：</w:t>
      </w:r>
      <w:r>
        <w:rPr>
          <w:rFonts w:hint="eastAsia" w:cs="宋体" w:asciiTheme="minorEastAsia" w:hAnsiTheme="minorEastAsia" w:eastAsiaTheme="minorEastAsia"/>
          <w:sz w:val="24"/>
        </w:rPr>
        <w:t>120</w:t>
      </w:r>
      <w:r>
        <w:rPr>
          <w:rFonts w:cs="宋体" w:asciiTheme="minorEastAsia" w:hAnsiTheme="minorEastAsia" w:eastAsiaTheme="minorEastAsia"/>
          <w:kern w:val="2"/>
          <w:sz w:val="24"/>
          <w:szCs w:val="24"/>
        </w:rPr>
        <w:t>万元人民币</w:t>
      </w:r>
    </w:p>
    <w:p w14:paraId="2AF3B71D">
      <w:pPr>
        <w:pStyle w:val="107"/>
        <w:widowControl/>
        <w:numPr>
          <w:ilvl w:val="0"/>
          <w:numId w:val="3"/>
        </w:numPr>
        <w:suppressAutoHyphens w:val="0"/>
        <w:adjustRightInd w:val="0"/>
        <w:snapToGrid w:val="0"/>
        <w:spacing w:line="360" w:lineRule="auto"/>
        <w:jc w:val="left"/>
        <w:rPr>
          <w:rFonts w:asciiTheme="minorEastAsia" w:hAnsiTheme="minorEastAsia" w:eastAsiaTheme="minorEastAsia"/>
          <w:sz w:val="24"/>
        </w:rPr>
      </w:pPr>
      <w:r>
        <w:rPr>
          <w:rFonts w:hint="eastAsia" w:cs="宋体" w:asciiTheme="minorEastAsia" w:hAnsiTheme="minorEastAsia" w:eastAsiaTheme="minorEastAsia"/>
          <w:kern w:val="2"/>
          <w:sz w:val="24"/>
          <w:szCs w:val="24"/>
        </w:rPr>
        <w:t>项目内容：</w:t>
      </w:r>
      <w:r>
        <w:rPr>
          <w:rFonts w:asciiTheme="minorEastAsia" w:hAnsiTheme="minorEastAsia" w:eastAsiaTheme="minorEastAsia"/>
          <w:sz w:val="24"/>
        </w:rPr>
        <w:t xml:space="preserve"> </w:t>
      </w:r>
      <w:r>
        <w:rPr>
          <w:rFonts w:hint="eastAsia" w:asciiTheme="minorEastAsia" w:hAnsiTheme="minorEastAsia" w:eastAsiaTheme="minorEastAsia"/>
          <w:sz w:val="24"/>
        </w:rPr>
        <w:t>采购 2 台高性能教学算力服务器硬件和算力集群调度平台并完成系统集成实施服务；服务范围覆盖软硬件部署调试/全周期运维质保、师生实操培训，实现项目全流程落地交付。</w:t>
      </w:r>
    </w:p>
    <w:p w14:paraId="62C495EB">
      <w:pPr>
        <w:pStyle w:val="126"/>
        <w:numPr>
          <w:ilvl w:val="0"/>
          <w:numId w:val="3"/>
        </w:numPr>
        <w:spacing w:line="360" w:lineRule="auto"/>
        <w:ind w:firstLineChars="0"/>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交付地点：</w:t>
      </w:r>
      <w:r>
        <w:rPr>
          <w:rFonts w:cs="宋体" w:asciiTheme="minorEastAsia" w:hAnsiTheme="minorEastAsia" w:eastAsiaTheme="minorEastAsia"/>
          <w:kern w:val="2"/>
          <w:sz w:val="24"/>
          <w:szCs w:val="24"/>
        </w:rPr>
        <w:t xml:space="preserve"> </w:t>
      </w:r>
      <w:r>
        <w:rPr>
          <w:rFonts w:hint="eastAsia" w:cs="宋体" w:asciiTheme="minorEastAsia" w:hAnsiTheme="minorEastAsia" w:eastAsiaTheme="minorEastAsia"/>
          <w:kern w:val="2"/>
          <w:sz w:val="24"/>
          <w:szCs w:val="24"/>
        </w:rPr>
        <w:t>上海市浦东新区顾唐路5</w:t>
      </w:r>
      <w:r>
        <w:rPr>
          <w:rFonts w:cs="宋体" w:asciiTheme="minorEastAsia" w:hAnsiTheme="minorEastAsia" w:eastAsiaTheme="minorEastAsia"/>
          <w:kern w:val="2"/>
          <w:sz w:val="24"/>
          <w:szCs w:val="24"/>
        </w:rPr>
        <w:t>00</w:t>
      </w:r>
      <w:r>
        <w:rPr>
          <w:rFonts w:hint="eastAsia" w:cs="宋体" w:asciiTheme="minorEastAsia" w:hAnsiTheme="minorEastAsia" w:eastAsiaTheme="minorEastAsia"/>
          <w:kern w:val="2"/>
          <w:sz w:val="24"/>
          <w:szCs w:val="24"/>
        </w:rPr>
        <w:t>号中心机房</w:t>
      </w:r>
    </w:p>
    <w:p w14:paraId="2AB85607">
      <w:pPr>
        <w:pStyle w:val="126"/>
        <w:numPr>
          <w:ilvl w:val="0"/>
          <w:numId w:val="3"/>
        </w:numPr>
        <w:spacing w:line="360" w:lineRule="auto"/>
        <w:ind w:firstLineChars="0"/>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完成期限：自合同签订之日起60日内完成项目建设并通过验收。</w:t>
      </w:r>
    </w:p>
    <w:p w14:paraId="3D950B7F">
      <w:pPr>
        <w:widowControl/>
        <w:suppressAutoHyphens w:val="0"/>
        <w:jc w:val="left"/>
        <w:rPr>
          <w:rFonts w:cs="宋体" w:asciiTheme="minorEastAsia" w:hAnsiTheme="minorEastAsia" w:eastAsiaTheme="minorEastAsia"/>
          <w:sz w:val="24"/>
          <w:szCs w:val="24"/>
        </w:rPr>
      </w:pPr>
      <w:r>
        <w:rPr>
          <w:rFonts w:hint="eastAsia" w:asciiTheme="minorEastAsia" w:hAnsiTheme="minorEastAsia" w:eastAsiaTheme="minorEastAsia"/>
          <w:szCs w:val="24"/>
        </w:rPr>
        <w:br w:type="page"/>
      </w:r>
    </w:p>
    <w:p w14:paraId="74CF7462">
      <w:pPr>
        <w:pStyle w:val="3"/>
        <w:numPr>
          <w:ilvl w:val="0"/>
          <w:numId w:val="2"/>
        </w:numPr>
        <w:suppressAutoHyphens w:val="0"/>
        <w:spacing w:before="0" w:after="0"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主要设备清单及技术参数</w:t>
      </w:r>
    </w:p>
    <w:p w14:paraId="16CF80E6">
      <w:pPr>
        <w:pStyle w:val="4"/>
      </w:pPr>
      <w:r>
        <w:rPr>
          <w:rFonts w:hint="eastAsia"/>
        </w:rPr>
        <w:t>2.1 设备清单</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3930"/>
        <w:gridCol w:w="1233"/>
        <w:gridCol w:w="1406"/>
      </w:tblGrid>
      <w:tr w14:paraId="7F62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3" w:type="dxa"/>
            <w:vAlign w:val="center"/>
          </w:tcPr>
          <w:p w14:paraId="4F609CFC">
            <w:pPr>
              <w:jc w:val="center"/>
              <w:rPr>
                <w:rFonts w:ascii="仿宋" w:hAnsi="仿宋" w:eastAsia="仿宋"/>
                <w:sz w:val="24"/>
                <w:szCs w:val="24"/>
              </w:rPr>
            </w:pPr>
            <w:r>
              <w:rPr>
                <w:rFonts w:hint="eastAsia" w:ascii="仿宋" w:hAnsi="仿宋" w:eastAsia="仿宋"/>
                <w:sz w:val="24"/>
                <w:szCs w:val="24"/>
              </w:rPr>
              <w:t>序号</w:t>
            </w:r>
          </w:p>
        </w:tc>
        <w:tc>
          <w:tcPr>
            <w:tcW w:w="3930" w:type="dxa"/>
            <w:vAlign w:val="center"/>
          </w:tcPr>
          <w:p w14:paraId="48735839">
            <w:pPr>
              <w:jc w:val="center"/>
              <w:rPr>
                <w:rFonts w:ascii="仿宋" w:hAnsi="仿宋" w:eastAsia="仿宋"/>
                <w:sz w:val="24"/>
                <w:szCs w:val="24"/>
              </w:rPr>
            </w:pPr>
            <w:r>
              <w:rPr>
                <w:rFonts w:hint="eastAsia" w:ascii="仿宋" w:hAnsi="仿宋" w:eastAsia="仿宋"/>
                <w:sz w:val="24"/>
                <w:szCs w:val="24"/>
              </w:rPr>
              <w:t>货物名称</w:t>
            </w:r>
          </w:p>
        </w:tc>
        <w:tc>
          <w:tcPr>
            <w:tcW w:w="1233" w:type="dxa"/>
            <w:vAlign w:val="center"/>
          </w:tcPr>
          <w:p w14:paraId="0C0C5309">
            <w:pPr>
              <w:jc w:val="center"/>
              <w:rPr>
                <w:rFonts w:ascii="仿宋" w:hAnsi="仿宋" w:eastAsia="仿宋"/>
                <w:sz w:val="24"/>
                <w:szCs w:val="24"/>
              </w:rPr>
            </w:pPr>
            <w:r>
              <w:rPr>
                <w:rFonts w:hint="eastAsia" w:ascii="仿宋" w:hAnsi="仿宋" w:eastAsia="仿宋"/>
                <w:sz w:val="24"/>
                <w:szCs w:val="24"/>
              </w:rPr>
              <w:t>计量单位</w:t>
            </w:r>
          </w:p>
        </w:tc>
        <w:tc>
          <w:tcPr>
            <w:tcW w:w="1406" w:type="dxa"/>
            <w:vAlign w:val="center"/>
          </w:tcPr>
          <w:p w14:paraId="4FDA28F4">
            <w:pPr>
              <w:jc w:val="center"/>
              <w:rPr>
                <w:rFonts w:ascii="仿宋" w:hAnsi="仿宋" w:eastAsia="仿宋"/>
                <w:sz w:val="24"/>
                <w:szCs w:val="24"/>
              </w:rPr>
            </w:pPr>
            <w:r>
              <w:rPr>
                <w:rFonts w:hint="eastAsia" w:ascii="仿宋" w:hAnsi="仿宋" w:eastAsia="仿宋"/>
                <w:sz w:val="24"/>
                <w:szCs w:val="24"/>
              </w:rPr>
              <w:t>数量</w:t>
            </w:r>
          </w:p>
        </w:tc>
      </w:tr>
      <w:tr w14:paraId="0E4E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3" w:type="dxa"/>
            <w:vAlign w:val="center"/>
          </w:tcPr>
          <w:p w14:paraId="6F40A095">
            <w:pPr>
              <w:jc w:val="center"/>
              <w:rPr>
                <w:rFonts w:ascii="仿宋" w:hAnsi="仿宋" w:eastAsia="仿宋"/>
                <w:sz w:val="24"/>
                <w:szCs w:val="24"/>
              </w:rPr>
            </w:pPr>
            <w:r>
              <w:rPr>
                <w:rFonts w:hint="eastAsia" w:ascii="仿宋" w:hAnsi="仿宋" w:eastAsia="仿宋"/>
                <w:sz w:val="24"/>
                <w:szCs w:val="24"/>
              </w:rPr>
              <w:t>1</w:t>
            </w:r>
          </w:p>
        </w:tc>
        <w:tc>
          <w:tcPr>
            <w:tcW w:w="3930" w:type="dxa"/>
            <w:vAlign w:val="center"/>
          </w:tcPr>
          <w:p w14:paraId="1D5D5936">
            <w:pPr>
              <w:jc w:val="center"/>
              <w:rPr>
                <w:rFonts w:hint="eastAsia" w:ascii="仿宋" w:hAnsi="仿宋" w:eastAsia="仿宋"/>
                <w:sz w:val="24"/>
                <w:szCs w:val="24"/>
                <w:lang w:eastAsia="zh-CN"/>
              </w:rPr>
            </w:pPr>
            <w:r>
              <w:rPr>
                <w:rFonts w:hint="eastAsia" w:ascii="仿宋" w:hAnsi="仿宋" w:eastAsia="仿宋"/>
                <w:sz w:val="24"/>
                <w:szCs w:val="24"/>
              </w:rPr>
              <w:t>算力服务器</w:t>
            </w:r>
            <w:r>
              <w:rPr>
                <w:rFonts w:hint="eastAsia" w:ascii="仿宋" w:hAnsi="仿宋" w:eastAsia="仿宋"/>
                <w:sz w:val="24"/>
                <w:szCs w:val="24"/>
                <w:lang w:eastAsia="zh-CN"/>
              </w:rPr>
              <w:t>（核心产品）</w:t>
            </w:r>
          </w:p>
        </w:tc>
        <w:tc>
          <w:tcPr>
            <w:tcW w:w="1233" w:type="dxa"/>
            <w:vAlign w:val="center"/>
          </w:tcPr>
          <w:p w14:paraId="21342172">
            <w:pPr>
              <w:jc w:val="center"/>
              <w:rPr>
                <w:rFonts w:ascii="仿宋" w:hAnsi="仿宋" w:eastAsia="仿宋"/>
                <w:sz w:val="24"/>
                <w:szCs w:val="24"/>
              </w:rPr>
            </w:pPr>
            <w:r>
              <w:rPr>
                <w:rFonts w:hint="eastAsia" w:ascii="仿宋" w:hAnsi="仿宋" w:eastAsia="仿宋"/>
                <w:sz w:val="24"/>
                <w:szCs w:val="24"/>
              </w:rPr>
              <w:t>台</w:t>
            </w:r>
          </w:p>
        </w:tc>
        <w:tc>
          <w:tcPr>
            <w:tcW w:w="1406" w:type="dxa"/>
            <w:vAlign w:val="center"/>
          </w:tcPr>
          <w:p w14:paraId="67F3C810">
            <w:pPr>
              <w:jc w:val="center"/>
              <w:rPr>
                <w:rFonts w:ascii="仿宋" w:hAnsi="仿宋" w:eastAsia="仿宋"/>
                <w:sz w:val="24"/>
                <w:szCs w:val="24"/>
              </w:rPr>
            </w:pPr>
            <w:r>
              <w:rPr>
                <w:rFonts w:hint="eastAsia" w:ascii="仿宋" w:hAnsi="仿宋" w:eastAsia="仿宋"/>
                <w:sz w:val="24"/>
                <w:szCs w:val="24"/>
              </w:rPr>
              <w:t>2</w:t>
            </w:r>
          </w:p>
        </w:tc>
      </w:tr>
      <w:tr w14:paraId="5438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3" w:type="dxa"/>
            <w:vAlign w:val="center"/>
          </w:tcPr>
          <w:p w14:paraId="046A3FB9">
            <w:pPr>
              <w:jc w:val="center"/>
              <w:rPr>
                <w:rFonts w:ascii="仿宋" w:hAnsi="仿宋" w:eastAsia="仿宋"/>
                <w:sz w:val="24"/>
                <w:szCs w:val="24"/>
              </w:rPr>
            </w:pPr>
            <w:r>
              <w:rPr>
                <w:rFonts w:hint="eastAsia" w:ascii="仿宋" w:hAnsi="仿宋" w:eastAsia="仿宋"/>
                <w:sz w:val="24"/>
                <w:szCs w:val="24"/>
              </w:rPr>
              <w:t>2</w:t>
            </w:r>
          </w:p>
        </w:tc>
        <w:tc>
          <w:tcPr>
            <w:tcW w:w="3930" w:type="dxa"/>
            <w:vAlign w:val="center"/>
          </w:tcPr>
          <w:p w14:paraId="7B1B4EEE">
            <w:pPr>
              <w:jc w:val="center"/>
              <w:rPr>
                <w:rFonts w:ascii="仿宋" w:hAnsi="仿宋" w:eastAsia="仿宋"/>
                <w:sz w:val="24"/>
                <w:szCs w:val="24"/>
              </w:rPr>
            </w:pPr>
            <w:r>
              <w:rPr>
                <w:rFonts w:hint="eastAsia" w:ascii="仿宋" w:hAnsi="仿宋" w:eastAsia="仿宋"/>
                <w:sz w:val="24"/>
                <w:szCs w:val="24"/>
              </w:rPr>
              <w:t>AI推理平台软件</w:t>
            </w:r>
          </w:p>
        </w:tc>
        <w:tc>
          <w:tcPr>
            <w:tcW w:w="1233" w:type="dxa"/>
            <w:vAlign w:val="center"/>
          </w:tcPr>
          <w:p w14:paraId="61AFFF8A">
            <w:pPr>
              <w:jc w:val="center"/>
              <w:rPr>
                <w:rFonts w:ascii="仿宋" w:hAnsi="仿宋" w:eastAsia="仿宋"/>
                <w:sz w:val="24"/>
                <w:szCs w:val="24"/>
              </w:rPr>
            </w:pPr>
            <w:r>
              <w:rPr>
                <w:rFonts w:hint="eastAsia" w:ascii="仿宋" w:hAnsi="仿宋" w:eastAsia="仿宋"/>
                <w:sz w:val="24"/>
                <w:szCs w:val="24"/>
              </w:rPr>
              <w:t>套</w:t>
            </w:r>
          </w:p>
        </w:tc>
        <w:tc>
          <w:tcPr>
            <w:tcW w:w="1406" w:type="dxa"/>
            <w:vAlign w:val="center"/>
          </w:tcPr>
          <w:p w14:paraId="37EB2D5F">
            <w:pPr>
              <w:jc w:val="center"/>
              <w:rPr>
                <w:rFonts w:ascii="仿宋" w:hAnsi="仿宋" w:eastAsia="仿宋"/>
                <w:sz w:val="24"/>
                <w:szCs w:val="24"/>
              </w:rPr>
            </w:pPr>
            <w:r>
              <w:rPr>
                <w:rFonts w:hint="eastAsia" w:ascii="仿宋" w:hAnsi="仿宋" w:eastAsia="仿宋"/>
                <w:sz w:val="24"/>
                <w:szCs w:val="24"/>
              </w:rPr>
              <w:t>2</w:t>
            </w:r>
          </w:p>
        </w:tc>
      </w:tr>
    </w:tbl>
    <w:p w14:paraId="35556AEC"/>
    <w:p w14:paraId="289BF427"/>
    <w:p w14:paraId="73ECF778">
      <w:pPr>
        <w:pStyle w:val="4"/>
      </w:pPr>
      <w:r>
        <w:rPr>
          <w:rFonts w:hint="eastAsia"/>
        </w:rPr>
        <w:t>2.2 技术参数</w:t>
      </w:r>
    </w:p>
    <w:p w14:paraId="57E08DA6">
      <w:pPr>
        <w:spacing w:line="360" w:lineRule="auto"/>
        <w:ind w:firstLine="480" w:firstLineChars="200"/>
        <w:rPr>
          <w:sz w:val="24"/>
          <w:szCs w:val="22"/>
        </w:rPr>
      </w:pPr>
      <w:r>
        <w:rPr>
          <w:rFonts w:eastAsiaTheme="minorHAnsi"/>
          <w:bCs/>
          <w:sz w:val="24"/>
          <w:szCs w:val="32"/>
        </w:rPr>
        <w:t>▲</w:t>
      </w:r>
      <w:r>
        <w:rPr>
          <w:rFonts w:hint="eastAsia" w:eastAsiaTheme="minorHAnsi"/>
          <w:bCs/>
          <w:sz w:val="24"/>
          <w:szCs w:val="32"/>
        </w:rPr>
        <w:t>技术参数应按照招标文件要求提供技术支持资料。</w:t>
      </w:r>
      <w:r>
        <w:rPr>
          <w:rFonts w:eastAsiaTheme="minorHAnsi"/>
          <w:bCs/>
          <w:sz w:val="24"/>
          <w:szCs w:val="32"/>
        </w:rPr>
        <w:t>技术支持资料以制造商公开发布的印刷资料（产品彩页、产品说明书、产品白皮书、官网截图）、界面截图、第三方检测机构出具的检测报告或在有效期内的证书扫描件等为准，投标人可以只提供上述材料关键页的复印件，关键页需体现投标产品的品牌、规格型号、相关性能指标</w:t>
      </w:r>
      <w:r>
        <w:rPr>
          <w:rFonts w:hint="eastAsia" w:eastAsiaTheme="minorHAnsi"/>
          <w:bCs/>
          <w:sz w:val="24"/>
          <w:szCs w:val="32"/>
        </w:rPr>
        <w:t>；相关性能指标需以醒目的方式标明招标文件技术要求对应的序号</w:t>
      </w:r>
      <w:r>
        <w:rPr>
          <w:rFonts w:hint="eastAsia" w:eastAsia="宋体"/>
          <w:bCs/>
          <w:sz w:val="24"/>
          <w:szCs w:val="32"/>
          <w:lang w:eastAsia="zh-CN"/>
        </w:rPr>
        <w:t>，</w:t>
      </w:r>
      <w:r>
        <w:rPr>
          <w:rFonts w:eastAsiaTheme="minorHAnsi"/>
          <w:bCs/>
          <w:sz w:val="24"/>
          <w:szCs w:val="32"/>
        </w:rPr>
        <w:t>凡不符合上述要求的</w:t>
      </w:r>
      <w:r>
        <w:rPr>
          <w:rFonts w:hint="eastAsia" w:eastAsiaTheme="minorHAnsi"/>
          <w:bCs/>
          <w:sz w:val="24"/>
          <w:szCs w:val="32"/>
          <w:lang w:eastAsia="zh-CN"/>
        </w:rPr>
        <w:t>可</w:t>
      </w:r>
      <w:r>
        <w:rPr>
          <w:rFonts w:eastAsiaTheme="minorHAnsi"/>
          <w:bCs/>
          <w:sz w:val="24"/>
          <w:szCs w:val="32"/>
        </w:rPr>
        <w:t>视为无效技术支持资料</w:t>
      </w:r>
      <w:r>
        <w:rPr>
          <w:rFonts w:hint="eastAsia" w:eastAsiaTheme="minorHAnsi"/>
          <w:bCs/>
          <w:sz w:val="24"/>
          <w:szCs w:val="32"/>
        </w:rPr>
        <w:t>。</w:t>
      </w:r>
    </w:p>
    <w:p w14:paraId="4A0FB6B1"/>
    <w:p w14:paraId="37B68EBA">
      <w:pPr>
        <w:pStyle w:val="5"/>
      </w:pPr>
      <w:bookmarkStart w:id="2" w:name="_Toc528325384"/>
      <w:r>
        <w:rPr>
          <w:rFonts w:hint="eastAsia"/>
        </w:rPr>
        <w:t>1、</w:t>
      </w:r>
      <w:r>
        <w:t>底层硬件：单台算力服务器配置（共采购 2 台，设备配置参数完全一致）</w:t>
      </w:r>
    </w:p>
    <w:tbl>
      <w:tblPr>
        <w:tblStyle w:val="1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842"/>
        <w:gridCol w:w="5445"/>
      </w:tblGrid>
      <w:tr w14:paraId="6032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7B0506C3">
            <w:pPr>
              <w:pStyle w:val="130"/>
              <w:rPr>
                <w:rFonts w:asciiTheme="minorEastAsia" w:hAnsiTheme="minorEastAsia" w:eastAsiaTheme="minorEastAsia"/>
              </w:rPr>
            </w:pPr>
            <w:r>
              <w:rPr>
                <w:rFonts w:asciiTheme="minorEastAsia" w:hAnsiTheme="minorEastAsia" w:eastAsiaTheme="minorEastAsia"/>
              </w:rPr>
              <w:t>序号</w:t>
            </w:r>
          </w:p>
        </w:tc>
        <w:tc>
          <w:tcPr>
            <w:tcW w:w="1842" w:type="dxa"/>
          </w:tcPr>
          <w:p w14:paraId="0AE16459">
            <w:pPr>
              <w:pStyle w:val="130"/>
              <w:rPr>
                <w:rFonts w:asciiTheme="minorEastAsia" w:hAnsiTheme="minorEastAsia" w:eastAsiaTheme="minorEastAsia"/>
              </w:rPr>
            </w:pPr>
            <w:r>
              <w:rPr>
                <w:rFonts w:asciiTheme="minorEastAsia" w:hAnsiTheme="minorEastAsia" w:eastAsiaTheme="minorEastAsia"/>
              </w:rPr>
              <w:t>技术指标</w:t>
            </w:r>
          </w:p>
        </w:tc>
        <w:tc>
          <w:tcPr>
            <w:tcW w:w="5445" w:type="dxa"/>
          </w:tcPr>
          <w:p w14:paraId="03D36767">
            <w:pPr>
              <w:pStyle w:val="130"/>
              <w:rPr>
                <w:rFonts w:asciiTheme="minorEastAsia" w:hAnsiTheme="minorEastAsia" w:eastAsiaTheme="minorEastAsia"/>
              </w:rPr>
            </w:pPr>
            <w:r>
              <w:rPr>
                <w:rFonts w:asciiTheme="minorEastAsia" w:hAnsiTheme="minorEastAsia" w:eastAsiaTheme="minorEastAsia"/>
              </w:rPr>
              <w:t>技术要求</w:t>
            </w:r>
          </w:p>
        </w:tc>
      </w:tr>
      <w:tr w14:paraId="25C1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0EB0F969">
            <w:pPr>
              <w:pStyle w:val="130"/>
              <w:rPr>
                <w:rFonts w:asciiTheme="minorEastAsia" w:hAnsiTheme="minorEastAsia" w:eastAsiaTheme="minorEastAsia"/>
              </w:rPr>
            </w:pPr>
            <w:r>
              <w:rPr>
                <w:rFonts w:asciiTheme="minorEastAsia" w:hAnsiTheme="minorEastAsia" w:eastAsiaTheme="minorEastAsia"/>
              </w:rPr>
              <w:t>1</w:t>
            </w:r>
          </w:p>
        </w:tc>
        <w:tc>
          <w:tcPr>
            <w:tcW w:w="1842" w:type="dxa"/>
          </w:tcPr>
          <w:p w14:paraId="365CE299">
            <w:pPr>
              <w:pStyle w:val="130"/>
              <w:rPr>
                <w:rFonts w:asciiTheme="minorEastAsia" w:hAnsiTheme="minorEastAsia" w:eastAsiaTheme="minorEastAsia"/>
              </w:rPr>
            </w:pPr>
            <w:r>
              <w:rPr>
                <w:rFonts w:asciiTheme="minorEastAsia" w:hAnsiTheme="minorEastAsia" w:eastAsiaTheme="minorEastAsia"/>
              </w:rPr>
              <w:t>机箱规格</w:t>
            </w:r>
          </w:p>
        </w:tc>
        <w:tc>
          <w:tcPr>
            <w:tcW w:w="5445" w:type="dxa"/>
          </w:tcPr>
          <w:p w14:paraId="246DDCED">
            <w:pPr>
              <w:pStyle w:val="130"/>
              <w:rPr>
                <w:rFonts w:asciiTheme="minorEastAsia" w:hAnsiTheme="minorEastAsia" w:eastAsiaTheme="minorEastAsia"/>
              </w:rPr>
            </w:pPr>
            <w:r>
              <w:rPr>
                <w:rFonts w:asciiTheme="minorEastAsia" w:hAnsiTheme="minorEastAsia" w:eastAsiaTheme="minorEastAsia"/>
              </w:rPr>
              <w:t>4U 机架式工业级服务器机箱，满载工况下可稳定搭载 8 张全高全长双宽 GPU 加速卡</w:t>
            </w:r>
          </w:p>
        </w:tc>
      </w:tr>
      <w:tr w14:paraId="7411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029A753C">
            <w:pPr>
              <w:pStyle w:val="130"/>
              <w:rPr>
                <w:rFonts w:asciiTheme="minorEastAsia" w:hAnsiTheme="minorEastAsia" w:eastAsiaTheme="minorEastAsia"/>
              </w:rPr>
            </w:pPr>
            <w:r>
              <w:rPr>
                <w:rFonts w:asciiTheme="minorEastAsia" w:hAnsiTheme="minorEastAsia" w:eastAsiaTheme="minorEastAsia"/>
              </w:rPr>
              <w:t>2</w:t>
            </w:r>
          </w:p>
        </w:tc>
        <w:tc>
          <w:tcPr>
            <w:tcW w:w="1842" w:type="dxa"/>
          </w:tcPr>
          <w:p w14:paraId="7A90368A">
            <w:pPr>
              <w:pStyle w:val="130"/>
              <w:rPr>
                <w:rFonts w:asciiTheme="minorEastAsia" w:hAnsiTheme="minorEastAsia" w:eastAsiaTheme="minorEastAsia"/>
              </w:rPr>
            </w:pPr>
            <w:r>
              <w:rPr>
                <w:rFonts w:asciiTheme="minorEastAsia" w:hAnsiTheme="minorEastAsia" w:eastAsiaTheme="minorEastAsia"/>
              </w:rPr>
              <w:t>处理器</w:t>
            </w:r>
          </w:p>
        </w:tc>
        <w:tc>
          <w:tcPr>
            <w:tcW w:w="5445" w:type="dxa"/>
          </w:tcPr>
          <w:p w14:paraId="098951BC">
            <w:pPr>
              <w:pStyle w:val="130"/>
              <w:rPr>
                <w:rFonts w:asciiTheme="minorEastAsia" w:hAnsiTheme="minorEastAsia" w:eastAsiaTheme="minorEastAsia"/>
              </w:rPr>
            </w:pPr>
            <w:r>
              <w:rPr>
                <w:rFonts w:asciiTheme="minorEastAsia" w:hAnsiTheme="minorEastAsia" w:eastAsiaTheme="minorEastAsia"/>
              </w:rPr>
              <w:t>搭载不少于 2 颗 x86 架构处理器，单颗 CPU 核心数≥32 核，主频≥2.1GHz，三级缓存≥160MB，原生支持 AVX512、AMX 指令集</w:t>
            </w:r>
          </w:p>
        </w:tc>
      </w:tr>
      <w:tr w14:paraId="0D9F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tcPr>
          <w:p w14:paraId="59673AD2">
            <w:pPr>
              <w:pStyle w:val="130"/>
              <w:rPr>
                <w:rFonts w:asciiTheme="minorEastAsia" w:hAnsiTheme="minorEastAsia" w:eastAsiaTheme="minorEastAsia"/>
              </w:rPr>
            </w:pPr>
            <w:r>
              <w:rPr>
                <w:rFonts w:asciiTheme="minorEastAsia" w:hAnsiTheme="minorEastAsia" w:eastAsiaTheme="minorEastAsia"/>
              </w:rPr>
              <w:t>3</w:t>
            </w:r>
          </w:p>
        </w:tc>
        <w:tc>
          <w:tcPr>
            <w:tcW w:w="1842" w:type="dxa"/>
          </w:tcPr>
          <w:p w14:paraId="6848744F">
            <w:pPr>
              <w:pStyle w:val="130"/>
              <w:rPr>
                <w:rFonts w:asciiTheme="minorEastAsia" w:hAnsiTheme="minorEastAsia" w:eastAsiaTheme="minorEastAsia"/>
              </w:rPr>
            </w:pPr>
            <w:r>
              <w:rPr>
                <w:rFonts w:asciiTheme="minorEastAsia" w:hAnsiTheme="minorEastAsia" w:eastAsiaTheme="minorEastAsia"/>
              </w:rPr>
              <w:t>内存</w:t>
            </w:r>
          </w:p>
        </w:tc>
        <w:tc>
          <w:tcPr>
            <w:tcW w:w="5445" w:type="dxa"/>
          </w:tcPr>
          <w:p w14:paraId="3EA2FBBA">
            <w:pPr>
              <w:pStyle w:val="130"/>
              <w:rPr>
                <w:rFonts w:asciiTheme="minorEastAsia" w:hAnsiTheme="minorEastAsia" w:eastAsiaTheme="minorEastAsia"/>
              </w:rPr>
            </w:pPr>
            <w:r>
              <w:rPr>
                <w:rFonts w:asciiTheme="minorEastAsia" w:hAnsiTheme="minorEastAsia" w:eastAsiaTheme="minorEastAsia"/>
              </w:rPr>
              <w:t>配置≥768GB DDR5 高速内存</w:t>
            </w:r>
          </w:p>
        </w:tc>
      </w:tr>
      <w:tr w14:paraId="56E6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4967A40B">
            <w:pPr>
              <w:pStyle w:val="130"/>
              <w:rPr>
                <w:rFonts w:asciiTheme="minorEastAsia" w:hAnsiTheme="minorEastAsia" w:eastAsiaTheme="minorEastAsia"/>
              </w:rPr>
            </w:pPr>
            <w:r>
              <w:rPr>
                <w:rFonts w:asciiTheme="minorEastAsia" w:hAnsiTheme="minorEastAsia" w:eastAsiaTheme="minorEastAsia"/>
              </w:rPr>
              <w:t>4</w:t>
            </w:r>
          </w:p>
        </w:tc>
        <w:tc>
          <w:tcPr>
            <w:tcW w:w="1842" w:type="dxa"/>
          </w:tcPr>
          <w:p w14:paraId="280D0C58">
            <w:pPr>
              <w:pStyle w:val="130"/>
              <w:rPr>
                <w:rFonts w:asciiTheme="minorEastAsia" w:hAnsiTheme="minorEastAsia" w:eastAsiaTheme="minorEastAsia"/>
              </w:rPr>
            </w:pPr>
            <w:r>
              <w:rPr>
                <w:rFonts w:asciiTheme="minorEastAsia" w:hAnsiTheme="minorEastAsia" w:eastAsiaTheme="minorEastAsia"/>
              </w:rPr>
              <w:t>本地存储</w:t>
            </w:r>
          </w:p>
        </w:tc>
        <w:tc>
          <w:tcPr>
            <w:tcW w:w="5445" w:type="dxa"/>
          </w:tcPr>
          <w:p w14:paraId="179F5759">
            <w:pPr>
              <w:pStyle w:val="130"/>
              <w:rPr>
                <w:rFonts w:asciiTheme="minorEastAsia" w:hAnsiTheme="minorEastAsia" w:eastAsiaTheme="minorEastAsia"/>
              </w:rPr>
            </w:pPr>
            <w:r>
              <w:rPr>
                <w:rFonts w:asciiTheme="minorEastAsia" w:hAnsiTheme="minorEastAsia" w:eastAsiaTheme="minorEastAsia"/>
              </w:rPr>
              <w:t>▲机箱硬件原生支持 24 块 2.5 英寸或 12 块 3.5 英寸 SAS/SATA 硬盘位，最大可拓展 16 块 NVMe/E3.S 固态硬盘；标配≥2 块 480GB SSD 系统盘、≥2 块 3.84TB NVMe 高速数据盘</w:t>
            </w:r>
            <w:r>
              <w:rPr>
                <w:rFonts w:hint="eastAsia" w:asciiTheme="minorEastAsia" w:hAnsiTheme="minorEastAsia" w:eastAsiaTheme="minorEastAsia"/>
              </w:rPr>
              <w:t>（需提供证明材料）</w:t>
            </w:r>
          </w:p>
        </w:tc>
      </w:tr>
      <w:tr w14:paraId="774D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6D807A80">
            <w:pPr>
              <w:pStyle w:val="130"/>
              <w:rPr>
                <w:rFonts w:asciiTheme="minorEastAsia" w:hAnsiTheme="minorEastAsia" w:eastAsiaTheme="minorEastAsia"/>
              </w:rPr>
            </w:pPr>
            <w:r>
              <w:rPr>
                <w:rFonts w:asciiTheme="minorEastAsia" w:hAnsiTheme="minorEastAsia" w:eastAsiaTheme="minorEastAsia"/>
              </w:rPr>
              <w:t>5</w:t>
            </w:r>
          </w:p>
        </w:tc>
        <w:tc>
          <w:tcPr>
            <w:tcW w:w="1842" w:type="dxa"/>
          </w:tcPr>
          <w:p w14:paraId="74E87982">
            <w:pPr>
              <w:pStyle w:val="130"/>
              <w:rPr>
                <w:rFonts w:asciiTheme="minorEastAsia" w:hAnsiTheme="minorEastAsia" w:eastAsiaTheme="minorEastAsia"/>
              </w:rPr>
            </w:pPr>
            <w:r>
              <w:rPr>
                <w:rFonts w:asciiTheme="minorEastAsia" w:hAnsiTheme="minorEastAsia" w:eastAsiaTheme="minorEastAsia"/>
              </w:rPr>
              <w:t>硬件扩展</w:t>
            </w:r>
          </w:p>
        </w:tc>
        <w:tc>
          <w:tcPr>
            <w:tcW w:w="5445" w:type="dxa"/>
          </w:tcPr>
          <w:p w14:paraId="158A578E">
            <w:pPr>
              <w:pStyle w:val="130"/>
              <w:rPr>
                <w:rFonts w:asciiTheme="minorEastAsia" w:hAnsiTheme="minorEastAsia" w:eastAsiaTheme="minorEastAsia"/>
              </w:rPr>
            </w:pPr>
            <w:r>
              <w:rPr>
                <w:rFonts w:asciiTheme="minorEastAsia" w:hAnsiTheme="minorEastAsia" w:eastAsiaTheme="minorEastAsia"/>
              </w:rPr>
              <w:t>▲主板配置≥8 个双宽 PCIe x16 插槽 + 3 个单宽 PCIe x16 插槽，支持拓展 2 张独立 RAID 阵列卡</w:t>
            </w:r>
            <w:r>
              <w:rPr>
                <w:rFonts w:hint="eastAsia" w:asciiTheme="minorEastAsia" w:hAnsiTheme="minorEastAsia" w:eastAsiaTheme="minorEastAsia"/>
              </w:rPr>
              <w:t>（需提供证明材料）</w:t>
            </w:r>
          </w:p>
        </w:tc>
      </w:tr>
      <w:tr w14:paraId="506C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794B9569">
            <w:pPr>
              <w:pStyle w:val="130"/>
              <w:rPr>
                <w:rFonts w:asciiTheme="minorEastAsia" w:hAnsiTheme="minorEastAsia" w:eastAsiaTheme="minorEastAsia"/>
              </w:rPr>
            </w:pPr>
            <w:r>
              <w:rPr>
                <w:rFonts w:asciiTheme="minorEastAsia" w:hAnsiTheme="minorEastAsia" w:eastAsiaTheme="minorEastAsia"/>
              </w:rPr>
              <w:t>6</w:t>
            </w:r>
          </w:p>
        </w:tc>
        <w:tc>
          <w:tcPr>
            <w:tcW w:w="1842" w:type="dxa"/>
          </w:tcPr>
          <w:p w14:paraId="63AFC478">
            <w:pPr>
              <w:pStyle w:val="130"/>
              <w:rPr>
                <w:rFonts w:asciiTheme="minorEastAsia" w:hAnsiTheme="minorEastAsia" w:eastAsiaTheme="minorEastAsia"/>
              </w:rPr>
            </w:pPr>
            <w:r>
              <w:rPr>
                <w:rFonts w:asciiTheme="minorEastAsia" w:hAnsiTheme="minorEastAsia" w:eastAsiaTheme="minorEastAsia"/>
              </w:rPr>
              <w:t>阵列卡</w:t>
            </w:r>
          </w:p>
        </w:tc>
        <w:tc>
          <w:tcPr>
            <w:tcW w:w="5445" w:type="dxa"/>
          </w:tcPr>
          <w:p w14:paraId="69111C03">
            <w:pPr>
              <w:pStyle w:val="130"/>
              <w:rPr>
                <w:rFonts w:asciiTheme="minorEastAsia" w:hAnsiTheme="minorEastAsia" w:eastAsiaTheme="minorEastAsia"/>
              </w:rPr>
            </w:pPr>
            <w:r>
              <w:rPr>
                <w:rFonts w:asciiTheme="minorEastAsia" w:hAnsiTheme="minorEastAsia" w:eastAsiaTheme="minorEastAsia"/>
              </w:rPr>
              <w:t>标配 8 通道 SAS 阵列卡，兼容 RAID0/1/5 阵列组建模式</w:t>
            </w:r>
          </w:p>
        </w:tc>
      </w:tr>
      <w:tr w14:paraId="6092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tcPr>
          <w:p w14:paraId="71337CE8">
            <w:pPr>
              <w:pStyle w:val="130"/>
              <w:rPr>
                <w:rFonts w:asciiTheme="minorEastAsia" w:hAnsiTheme="minorEastAsia" w:eastAsiaTheme="minorEastAsia"/>
              </w:rPr>
            </w:pPr>
            <w:r>
              <w:rPr>
                <w:rFonts w:asciiTheme="minorEastAsia" w:hAnsiTheme="minorEastAsia" w:eastAsiaTheme="minorEastAsia"/>
              </w:rPr>
              <w:t>7</w:t>
            </w:r>
          </w:p>
        </w:tc>
        <w:tc>
          <w:tcPr>
            <w:tcW w:w="1842" w:type="dxa"/>
          </w:tcPr>
          <w:p w14:paraId="5F4BD50D">
            <w:pPr>
              <w:pStyle w:val="130"/>
              <w:rPr>
                <w:rFonts w:asciiTheme="minorEastAsia" w:hAnsiTheme="minorEastAsia" w:eastAsiaTheme="minorEastAsia"/>
              </w:rPr>
            </w:pPr>
            <w:r>
              <w:rPr>
                <w:rFonts w:asciiTheme="minorEastAsia" w:hAnsiTheme="minorEastAsia" w:eastAsiaTheme="minorEastAsia"/>
              </w:rPr>
              <w:t>GPU 加速卡</w:t>
            </w:r>
          </w:p>
        </w:tc>
        <w:tc>
          <w:tcPr>
            <w:tcW w:w="5445" w:type="dxa"/>
          </w:tcPr>
          <w:p w14:paraId="7B394ED4">
            <w:pPr>
              <w:pStyle w:val="130"/>
              <w:rPr>
                <w:rFonts w:asciiTheme="minorEastAsia" w:hAnsiTheme="minorEastAsia" w:eastAsiaTheme="minorEastAsia"/>
              </w:rPr>
            </w:pPr>
            <w:r>
              <w:rPr>
                <w:rFonts w:asciiTheme="minorEastAsia" w:hAnsiTheme="minorEastAsia" w:eastAsiaTheme="minorEastAsia"/>
              </w:rPr>
              <w:t>▲单台服务器预装≥8 张 GPU 加速卡，单卡 FP32 算力≥59TFLOPS、FP16 算力≥119TFLOPS，板载显存≥48GB，显存带宽≥860GB/s</w:t>
            </w:r>
            <w:r>
              <w:rPr>
                <w:rFonts w:hint="eastAsia" w:asciiTheme="minorEastAsia" w:hAnsiTheme="minorEastAsia" w:eastAsiaTheme="minorEastAsia"/>
              </w:rPr>
              <w:t>（需提供证明材料）</w:t>
            </w:r>
          </w:p>
        </w:tc>
      </w:tr>
      <w:tr w14:paraId="0E95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5CEC4A8A">
            <w:pPr>
              <w:pStyle w:val="130"/>
              <w:rPr>
                <w:rFonts w:asciiTheme="minorEastAsia" w:hAnsiTheme="minorEastAsia" w:eastAsiaTheme="minorEastAsia"/>
              </w:rPr>
            </w:pPr>
            <w:r>
              <w:rPr>
                <w:rFonts w:asciiTheme="minorEastAsia" w:hAnsiTheme="minorEastAsia" w:eastAsiaTheme="minorEastAsia"/>
              </w:rPr>
              <w:t>8</w:t>
            </w:r>
          </w:p>
        </w:tc>
        <w:tc>
          <w:tcPr>
            <w:tcW w:w="1842" w:type="dxa"/>
          </w:tcPr>
          <w:p w14:paraId="6FF4792E">
            <w:pPr>
              <w:pStyle w:val="130"/>
              <w:rPr>
                <w:rFonts w:asciiTheme="minorEastAsia" w:hAnsiTheme="minorEastAsia" w:eastAsiaTheme="minorEastAsia"/>
              </w:rPr>
            </w:pPr>
            <w:r>
              <w:rPr>
                <w:rFonts w:asciiTheme="minorEastAsia" w:hAnsiTheme="minorEastAsia" w:eastAsiaTheme="minorEastAsia"/>
              </w:rPr>
              <w:t>网络配置</w:t>
            </w:r>
          </w:p>
        </w:tc>
        <w:tc>
          <w:tcPr>
            <w:tcW w:w="5445" w:type="dxa"/>
          </w:tcPr>
          <w:p w14:paraId="10D9CCE1">
            <w:pPr>
              <w:pStyle w:val="130"/>
              <w:rPr>
                <w:rFonts w:asciiTheme="minorEastAsia" w:hAnsiTheme="minorEastAsia" w:eastAsiaTheme="minorEastAsia"/>
              </w:rPr>
            </w:pPr>
            <w:r>
              <w:rPr>
                <w:rFonts w:asciiTheme="minorEastAsia" w:hAnsiTheme="minorEastAsia" w:eastAsiaTheme="minorEastAsia"/>
              </w:rPr>
              <w:t>配备≥2 个万兆以太网电口，配套原厂多模光模块</w:t>
            </w:r>
          </w:p>
        </w:tc>
      </w:tr>
      <w:tr w14:paraId="4B3D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1A7F4E80">
            <w:pPr>
              <w:pStyle w:val="130"/>
              <w:rPr>
                <w:rFonts w:asciiTheme="minorEastAsia" w:hAnsiTheme="minorEastAsia" w:eastAsiaTheme="minorEastAsia"/>
              </w:rPr>
            </w:pPr>
            <w:r>
              <w:rPr>
                <w:rFonts w:asciiTheme="minorEastAsia" w:hAnsiTheme="minorEastAsia" w:eastAsiaTheme="minorEastAsia"/>
              </w:rPr>
              <w:t>9</w:t>
            </w:r>
          </w:p>
        </w:tc>
        <w:tc>
          <w:tcPr>
            <w:tcW w:w="1842" w:type="dxa"/>
          </w:tcPr>
          <w:p w14:paraId="20F333C8">
            <w:pPr>
              <w:pStyle w:val="130"/>
              <w:rPr>
                <w:rFonts w:asciiTheme="minorEastAsia" w:hAnsiTheme="minorEastAsia" w:eastAsiaTheme="minorEastAsia"/>
              </w:rPr>
            </w:pPr>
            <w:r>
              <w:rPr>
                <w:rFonts w:asciiTheme="minorEastAsia" w:hAnsiTheme="minorEastAsia" w:eastAsiaTheme="minorEastAsia"/>
              </w:rPr>
              <w:t>供电模块</w:t>
            </w:r>
          </w:p>
        </w:tc>
        <w:tc>
          <w:tcPr>
            <w:tcW w:w="5445" w:type="dxa"/>
          </w:tcPr>
          <w:p w14:paraId="2D164ABC">
            <w:pPr>
              <w:pStyle w:val="130"/>
              <w:rPr>
                <w:rFonts w:asciiTheme="minorEastAsia" w:hAnsiTheme="minorEastAsia" w:eastAsiaTheme="minorEastAsia"/>
              </w:rPr>
            </w:pPr>
            <w:r>
              <w:rPr>
                <w:rFonts w:asciiTheme="minorEastAsia" w:hAnsiTheme="minorEastAsia" w:eastAsiaTheme="minorEastAsia"/>
              </w:rPr>
              <w:t>搭载≥4 个 3000W 热插拔电源，采用 N+N 冗余供电架构</w:t>
            </w:r>
          </w:p>
        </w:tc>
      </w:tr>
      <w:tr w14:paraId="6166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21051821">
            <w:pPr>
              <w:pStyle w:val="130"/>
              <w:rPr>
                <w:rFonts w:asciiTheme="minorEastAsia" w:hAnsiTheme="minorEastAsia" w:eastAsiaTheme="minorEastAsia"/>
              </w:rPr>
            </w:pPr>
            <w:r>
              <w:rPr>
                <w:rFonts w:asciiTheme="minorEastAsia" w:hAnsiTheme="minorEastAsia" w:eastAsiaTheme="minorEastAsia"/>
              </w:rPr>
              <w:t>10</w:t>
            </w:r>
          </w:p>
        </w:tc>
        <w:tc>
          <w:tcPr>
            <w:tcW w:w="1842" w:type="dxa"/>
          </w:tcPr>
          <w:p w14:paraId="5B7B7B22">
            <w:pPr>
              <w:pStyle w:val="130"/>
              <w:rPr>
                <w:rFonts w:asciiTheme="minorEastAsia" w:hAnsiTheme="minorEastAsia" w:eastAsiaTheme="minorEastAsia"/>
              </w:rPr>
            </w:pPr>
            <w:r>
              <w:rPr>
                <w:rFonts w:asciiTheme="minorEastAsia" w:hAnsiTheme="minorEastAsia" w:eastAsiaTheme="minorEastAsia"/>
              </w:rPr>
              <w:t>带外管理</w:t>
            </w:r>
          </w:p>
        </w:tc>
        <w:tc>
          <w:tcPr>
            <w:tcW w:w="5445" w:type="dxa"/>
          </w:tcPr>
          <w:p w14:paraId="2B2FBCB1">
            <w:pPr>
              <w:pStyle w:val="130"/>
              <w:rPr>
                <w:rFonts w:asciiTheme="minorEastAsia" w:hAnsiTheme="minorEastAsia" w:eastAsiaTheme="minorEastAsia"/>
              </w:rPr>
            </w:pPr>
            <w:r>
              <w:rPr>
                <w:rFonts w:asciiTheme="minorEastAsia" w:hAnsiTheme="minorEastAsia" w:eastAsiaTheme="minorEastAsia"/>
              </w:rPr>
              <w:t>标配 BMC 远程带外管理功能，支持远程开关机、系统镜像虚拟挂载、硬件故障在线诊断</w:t>
            </w:r>
          </w:p>
        </w:tc>
      </w:tr>
      <w:tr w14:paraId="1DBC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tcPr>
          <w:p w14:paraId="37BC1738">
            <w:pPr>
              <w:pStyle w:val="130"/>
              <w:rPr>
                <w:rFonts w:asciiTheme="minorEastAsia" w:hAnsiTheme="minorEastAsia" w:eastAsiaTheme="minorEastAsia"/>
              </w:rPr>
            </w:pPr>
            <w:r>
              <w:rPr>
                <w:rFonts w:asciiTheme="minorEastAsia" w:hAnsiTheme="minorEastAsia" w:eastAsiaTheme="minorEastAsia"/>
              </w:rPr>
              <w:t>11</w:t>
            </w:r>
          </w:p>
        </w:tc>
        <w:tc>
          <w:tcPr>
            <w:tcW w:w="1842" w:type="dxa"/>
          </w:tcPr>
          <w:p w14:paraId="45D3A3F9">
            <w:pPr>
              <w:pStyle w:val="130"/>
              <w:rPr>
                <w:rFonts w:asciiTheme="minorEastAsia" w:hAnsiTheme="minorEastAsia" w:eastAsiaTheme="minorEastAsia"/>
              </w:rPr>
            </w:pPr>
            <w:r>
              <w:rPr>
                <w:rFonts w:asciiTheme="minorEastAsia" w:hAnsiTheme="minorEastAsia" w:eastAsiaTheme="minorEastAsia"/>
              </w:rPr>
              <w:t>硬件运维配套</w:t>
            </w:r>
          </w:p>
        </w:tc>
        <w:tc>
          <w:tcPr>
            <w:tcW w:w="5445" w:type="dxa"/>
          </w:tcPr>
          <w:p w14:paraId="63465F1F">
            <w:pPr>
              <w:pStyle w:val="130"/>
              <w:rPr>
                <w:rFonts w:asciiTheme="minorEastAsia" w:hAnsiTheme="minorEastAsia" w:eastAsiaTheme="minorEastAsia"/>
              </w:rPr>
            </w:pPr>
            <w:r>
              <w:rPr>
                <w:rFonts w:asciiTheme="minorEastAsia" w:hAnsiTheme="minorEastAsia" w:eastAsiaTheme="minorEastAsia"/>
              </w:rPr>
              <w:t>▲服务器内置硬件性能监测模块，可实时监控设备功耗、出风口温度、CPU 与内存负载，具备硬件性能异常预判能力；支持服务器全生命周期备件台账管理、BMC 密码自动化轮换托管</w:t>
            </w:r>
            <w:r>
              <w:rPr>
                <w:rFonts w:hint="eastAsia" w:asciiTheme="minorEastAsia" w:hAnsiTheme="minorEastAsia" w:eastAsiaTheme="minorEastAsia"/>
              </w:rPr>
              <w:t>（需提供证明材料）</w:t>
            </w:r>
          </w:p>
        </w:tc>
      </w:tr>
      <w:tr w14:paraId="2F0A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53A60EB7">
            <w:pPr>
              <w:pStyle w:val="130"/>
              <w:rPr>
                <w:rFonts w:asciiTheme="minorEastAsia" w:hAnsiTheme="minorEastAsia" w:eastAsiaTheme="minorEastAsia"/>
              </w:rPr>
            </w:pPr>
            <w:r>
              <w:rPr>
                <w:rFonts w:asciiTheme="minorEastAsia" w:hAnsiTheme="minorEastAsia" w:eastAsiaTheme="minorEastAsia"/>
              </w:rPr>
              <w:t>12</w:t>
            </w:r>
          </w:p>
        </w:tc>
        <w:tc>
          <w:tcPr>
            <w:tcW w:w="1842" w:type="dxa"/>
          </w:tcPr>
          <w:p w14:paraId="248F6C35">
            <w:pPr>
              <w:pStyle w:val="130"/>
              <w:rPr>
                <w:rFonts w:asciiTheme="minorEastAsia" w:hAnsiTheme="minorEastAsia" w:eastAsiaTheme="minorEastAsia"/>
              </w:rPr>
            </w:pPr>
            <w:r>
              <w:rPr>
                <w:rFonts w:asciiTheme="minorEastAsia" w:hAnsiTheme="minorEastAsia" w:eastAsiaTheme="minorEastAsia"/>
              </w:rPr>
              <w:t>质保服务</w:t>
            </w:r>
          </w:p>
        </w:tc>
        <w:tc>
          <w:tcPr>
            <w:tcW w:w="5445" w:type="dxa"/>
          </w:tcPr>
          <w:p w14:paraId="2D36EC0C">
            <w:pPr>
              <w:pStyle w:val="130"/>
              <w:rPr>
                <w:rFonts w:asciiTheme="minorEastAsia" w:hAnsiTheme="minorEastAsia" w:eastAsiaTheme="minorEastAsia"/>
              </w:rPr>
            </w:pPr>
            <w:r>
              <w:rPr>
                <w:rFonts w:asciiTheme="minorEastAsia" w:hAnsiTheme="minorEastAsia" w:eastAsiaTheme="minorEastAsia"/>
              </w:rPr>
              <w:t>硬件享受原厂 3 年上门维保服务</w:t>
            </w:r>
          </w:p>
        </w:tc>
      </w:tr>
      <w:tr w14:paraId="66C1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2A327A5D">
            <w:pPr>
              <w:pStyle w:val="130"/>
              <w:rPr>
                <w:rFonts w:asciiTheme="minorEastAsia" w:hAnsiTheme="minorEastAsia" w:eastAsiaTheme="minorEastAsia"/>
              </w:rPr>
            </w:pPr>
            <w:r>
              <w:rPr>
                <w:rFonts w:hint="eastAsia" w:asciiTheme="minorEastAsia" w:hAnsiTheme="minorEastAsia" w:eastAsiaTheme="minorEastAsia"/>
              </w:rPr>
              <w:t>13</w:t>
            </w:r>
          </w:p>
        </w:tc>
        <w:tc>
          <w:tcPr>
            <w:tcW w:w="1842" w:type="dxa"/>
          </w:tcPr>
          <w:p w14:paraId="13D630C2">
            <w:pPr>
              <w:pStyle w:val="130"/>
              <w:rPr>
                <w:rFonts w:asciiTheme="minorEastAsia" w:hAnsiTheme="minorEastAsia" w:eastAsiaTheme="minorEastAsia"/>
              </w:rPr>
            </w:pPr>
            <w:r>
              <w:rPr>
                <w:rFonts w:hint="eastAsia" w:asciiTheme="minorEastAsia" w:hAnsiTheme="minorEastAsia" w:eastAsiaTheme="minorEastAsia"/>
              </w:rPr>
              <w:t>原厂授权</w:t>
            </w:r>
          </w:p>
        </w:tc>
        <w:tc>
          <w:tcPr>
            <w:tcW w:w="5445" w:type="dxa"/>
          </w:tcPr>
          <w:p w14:paraId="6A9C3467">
            <w:pPr>
              <w:pStyle w:val="130"/>
              <w:rPr>
                <w:rFonts w:asciiTheme="minorEastAsia" w:hAnsiTheme="minorEastAsia" w:eastAsiaTheme="minorEastAsia"/>
              </w:rPr>
            </w:pPr>
            <w:r>
              <w:rPr>
                <w:rFonts w:hint="eastAsia" w:asciiTheme="minorEastAsia" w:hAnsiTheme="minorEastAsia" w:eastAsiaTheme="minorEastAsia"/>
              </w:rPr>
              <w:t>投标提供原厂授权书优先考虑</w:t>
            </w:r>
          </w:p>
        </w:tc>
      </w:tr>
    </w:tbl>
    <w:p w14:paraId="37E28430">
      <w:pPr>
        <w:pStyle w:val="5"/>
        <w:rPr>
          <w:rFonts w:asciiTheme="minorEastAsia" w:hAnsiTheme="minorEastAsia" w:eastAsiaTheme="minorEastAsia"/>
        </w:rPr>
      </w:pPr>
      <w:r>
        <w:rPr>
          <w:rFonts w:hint="eastAsia" w:asciiTheme="minorEastAsia" w:hAnsiTheme="minorEastAsia" w:eastAsiaTheme="minorEastAsia"/>
        </w:rPr>
        <w:t>2、</w:t>
      </w:r>
      <w:r>
        <w:rPr>
          <w:rFonts w:asciiTheme="minorEastAsia" w:hAnsiTheme="minorEastAsia" w:eastAsiaTheme="minorEastAsia"/>
        </w:rPr>
        <w:t>系统集成软件模块（基于两台服务器集群一体化部署）</w:t>
      </w:r>
    </w:p>
    <w:tbl>
      <w:tblPr>
        <w:tblStyle w:val="26"/>
        <w:tblW w:w="0" w:type="auto"/>
        <w:tblInd w:w="-431" w:type="dxa"/>
        <w:tblLayout w:type="autofit"/>
        <w:tblCellMar>
          <w:top w:w="0" w:type="dxa"/>
          <w:left w:w="108" w:type="dxa"/>
          <w:bottom w:w="0" w:type="dxa"/>
          <w:right w:w="108" w:type="dxa"/>
        </w:tblCellMar>
      </w:tblPr>
      <w:tblGrid>
        <w:gridCol w:w="852"/>
        <w:gridCol w:w="1417"/>
        <w:gridCol w:w="6458"/>
      </w:tblGrid>
      <w:tr w14:paraId="63EEB22E">
        <w:tblPrEx>
          <w:tblCellMar>
            <w:top w:w="0" w:type="dxa"/>
            <w:left w:w="108" w:type="dxa"/>
            <w:bottom w:w="0" w:type="dxa"/>
            <w:right w:w="108" w:type="dxa"/>
          </w:tblCellMar>
        </w:tblPrEx>
        <w:trPr>
          <w:trHeight w:val="330" w:hRule="atLeast"/>
        </w:trPr>
        <w:tc>
          <w:tcPr>
            <w:tcW w:w="852" w:type="dxa"/>
            <w:tcBorders>
              <w:top w:val="single" w:color="auto" w:sz="4" w:space="0"/>
              <w:left w:val="single" w:color="auto" w:sz="4" w:space="0"/>
              <w:bottom w:val="single" w:color="auto" w:sz="4" w:space="0"/>
              <w:right w:val="single" w:color="auto" w:sz="4" w:space="0"/>
            </w:tcBorders>
          </w:tcPr>
          <w:p w14:paraId="6EDC5DF4">
            <w:pPr>
              <w:pStyle w:val="130"/>
              <w:rPr>
                <w:rFonts w:asciiTheme="minorEastAsia" w:hAnsiTheme="minorEastAsia" w:eastAsiaTheme="minorEastAsia"/>
              </w:rPr>
            </w:pPr>
            <w:bookmarkStart w:id="3" w:name="_Hlk230019629"/>
            <w:r>
              <w:rPr>
                <w:rFonts w:hint="eastAsia" w:asciiTheme="minorEastAsia" w:hAnsiTheme="minorEastAsia" w:eastAsiaTheme="minorEastAsia"/>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170D45FD">
            <w:pPr>
              <w:pStyle w:val="130"/>
              <w:rPr>
                <w:rFonts w:asciiTheme="minorEastAsia" w:hAnsiTheme="minorEastAsia" w:eastAsiaTheme="minorEastAsia"/>
              </w:rPr>
            </w:pPr>
            <w:r>
              <w:rPr>
                <w:rFonts w:asciiTheme="minorEastAsia" w:hAnsiTheme="minorEastAsia" w:eastAsiaTheme="minorEastAsia"/>
              </w:rPr>
              <w:t>指标</w:t>
            </w:r>
          </w:p>
        </w:tc>
        <w:tc>
          <w:tcPr>
            <w:tcW w:w="6458" w:type="dxa"/>
            <w:tcBorders>
              <w:top w:val="single" w:color="auto" w:sz="4" w:space="0"/>
              <w:left w:val="nil"/>
              <w:bottom w:val="single" w:color="auto" w:sz="4" w:space="0"/>
              <w:right w:val="single" w:color="auto" w:sz="4" w:space="0"/>
            </w:tcBorders>
            <w:vAlign w:val="center"/>
          </w:tcPr>
          <w:p w14:paraId="7342C78F">
            <w:pPr>
              <w:pStyle w:val="130"/>
              <w:rPr>
                <w:rFonts w:asciiTheme="minorEastAsia" w:hAnsiTheme="minorEastAsia" w:eastAsiaTheme="minorEastAsia"/>
              </w:rPr>
            </w:pPr>
            <w:r>
              <w:rPr>
                <w:rFonts w:asciiTheme="minorEastAsia" w:hAnsiTheme="minorEastAsia" w:eastAsiaTheme="minorEastAsia"/>
              </w:rPr>
              <w:t>指标内容</w:t>
            </w:r>
          </w:p>
        </w:tc>
      </w:tr>
      <w:tr w14:paraId="41428BA0">
        <w:tblPrEx>
          <w:tblCellMar>
            <w:top w:w="0" w:type="dxa"/>
            <w:left w:w="108" w:type="dxa"/>
            <w:bottom w:w="0" w:type="dxa"/>
            <w:right w:w="108" w:type="dxa"/>
          </w:tblCellMar>
        </w:tblPrEx>
        <w:trPr>
          <w:trHeight w:val="330" w:hRule="atLeast"/>
        </w:trPr>
        <w:tc>
          <w:tcPr>
            <w:tcW w:w="852" w:type="dxa"/>
            <w:tcBorders>
              <w:top w:val="single" w:color="auto" w:sz="4" w:space="0"/>
              <w:left w:val="single" w:color="auto" w:sz="4" w:space="0"/>
              <w:bottom w:val="single" w:color="auto" w:sz="4" w:space="0"/>
              <w:right w:val="single" w:color="auto" w:sz="4" w:space="0"/>
            </w:tcBorders>
          </w:tcPr>
          <w:p w14:paraId="57368B04">
            <w:pPr>
              <w:pStyle w:val="130"/>
              <w:rPr>
                <w:rFonts w:asciiTheme="minorEastAsia" w:hAnsiTheme="minorEastAsia" w:eastAsiaTheme="minorEastAsia"/>
              </w:rPr>
            </w:pPr>
          </w:p>
        </w:tc>
        <w:tc>
          <w:tcPr>
            <w:tcW w:w="1417" w:type="dxa"/>
            <w:tcBorders>
              <w:top w:val="single" w:color="auto" w:sz="4" w:space="0"/>
              <w:left w:val="single" w:color="auto" w:sz="4" w:space="0"/>
              <w:bottom w:val="single" w:color="auto" w:sz="4" w:space="0"/>
              <w:right w:val="single" w:color="auto" w:sz="4" w:space="0"/>
            </w:tcBorders>
            <w:vAlign w:val="center"/>
          </w:tcPr>
          <w:p w14:paraId="627FFF67">
            <w:pPr>
              <w:pStyle w:val="130"/>
              <w:rPr>
                <w:rFonts w:asciiTheme="minorEastAsia" w:hAnsiTheme="minorEastAsia" w:eastAsiaTheme="minorEastAsia"/>
              </w:rPr>
            </w:pPr>
            <w:r>
              <w:rPr>
                <w:rFonts w:hint="eastAsia" w:asciiTheme="minorEastAsia" w:hAnsiTheme="minorEastAsia" w:eastAsiaTheme="minorEastAsia"/>
              </w:rPr>
              <w:t>总体功能</w:t>
            </w:r>
          </w:p>
        </w:tc>
        <w:tc>
          <w:tcPr>
            <w:tcW w:w="6458" w:type="dxa"/>
            <w:tcBorders>
              <w:top w:val="single" w:color="auto" w:sz="4" w:space="0"/>
              <w:left w:val="nil"/>
              <w:bottom w:val="single" w:color="auto" w:sz="4" w:space="0"/>
              <w:right w:val="single" w:color="auto" w:sz="4" w:space="0"/>
            </w:tcBorders>
            <w:vAlign w:val="center"/>
          </w:tcPr>
          <w:p w14:paraId="63760249">
            <w:pPr>
              <w:pStyle w:val="130"/>
              <w:rPr>
                <w:rFonts w:asciiTheme="minorEastAsia" w:hAnsiTheme="minorEastAsia" w:eastAsiaTheme="minorEastAsia"/>
              </w:rPr>
            </w:pPr>
            <w:r>
              <w:rPr>
                <w:rFonts w:hint="eastAsia" w:asciiTheme="minorEastAsia" w:hAnsiTheme="minorEastAsia" w:eastAsiaTheme="minorEastAsia"/>
              </w:rPr>
              <w:t>▲商业版集群管理与调度软件，License覆盖系统所有节点，提供国家版权局颁发的计算机软件著作权登记证书</w:t>
            </w:r>
          </w:p>
        </w:tc>
      </w:tr>
      <w:tr w14:paraId="7BBCB4AB">
        <w:tblPrEx>
          <w:tblCellMar>
            <w:top w:w="0" w:type="dxa"/>
            <w:left w:w="108" w:type="dxa"/>
            <w:bottom w:w="0" w:type="dxa"/>
            <w:right w:w="108" w:type="dxa"/>
          </w:tblCellMar>
        </w:tblPrEx>
        <w:trPr>
          <w:trHeight w:val="280" w:hRule="atLeast"/>
        </w:trPr>
        <w:tc>
          <w:tcPr>
            <w:tcW w:w="852" w:type="dxa"/>
            <w:tcBorders>
              <w:top w:val="nil"/>
              <w:left w:val="single" w:color="auto" w:sz="4" w:space="0"/>
              <w:bottom w:val="single" w:color="auto" w:sz="4" w:space="0"/>
              <w:right w:val="single" w:color="auto" w:sz="4" w:space="0"/>
            </w:tcBorders>
          </w:tcPr>
          <w:p w14:paraId="626B6819">
            <w:pPr>
              <w:pStyle w:val="130"/>
              <w:rPr>
                <w:rFonts w:asciiTheme="minorEastAsia" w:hAnsiTheme="minorEastAsia" w:eastAsiaTheme="minorEastAsia"/>
              </w:rPr>
            </w:pPr>
          </w:p>
        </w:tc>
        <w:tc>
          <w:tcPr>
            <w:tcW w:w="1417" w:type="dxa"/>
            <w:vMerge w:val="restart"/>
            <w:tcBorders>
              <w:top w:val="nil"/>
              <w:left w:val="single" w:color="auto" w:sz="4" w:space="0"/>
              <w:bottom w:val="single" w:color="auto" w:sz="4" w:space="0"/>
              <w:right w:val="single" w:color="auto" w:sz="4" w:space="0"/>
            </w:tcBorders>
            <w:vAlign w:val="center"/>
          </w:tcPr>
          <w:p w14:paraId="4D858436">
            <w:pPr>
              <w:pStyle w:val="130"/>
              <w:rPr>
                <w:rFonts w:asciiTheme="minorEastAsia" w:hAnsiTheme="minorEastAsia" w:eastAsiaTheme="minorEastAsia"/>
              </w:rPr>
            </w:pPr>
            <w:r>
              <w:rPr>
                <w:rFonts w:asciiTheme="minorEastAsia" w:hAnsiTheme="minorEastAsia" w:eastAsiaTheme="minorEastAsia"/>
              </w:rPr>
              <w:t>数据管理</w:t>
            </w:r>
          </w:p>
        </w:tc>
        <w:tc>
          <w:tcPr>
            <w:tcW w:w="6458" w:type="dxa"/>
            <w:tcBorders>
              <w:top w:val="nil"/>
              <w:left w:val="nil"/>
              <w:bottom w:val="single" w:color="auto" w:sz="4" w:space="0"/>
              <w:right w:val="single" w:color="auto" w:sz="4" w:space="0"/>
            </w:tcBorders>
            <w:vAlign w:val="center"/>
          </w:tcPr>
          <w:p w14:paraId="162DF27F">
            <w:pPr>
              <w:pStyle w:val="130"/>
              <w:rPr>
                <w:rFonts w:asciiTheme="minorEastAsia" w:hAnsiTheme="minorEastAsia" w:eastAsiaTheme="minorEastAsia"/>
              </w:rPr>
            </w:pPr>
            <w:r>
              <w:rPr>
                <w:rFonts w:hint="eastAsia" w:asciiTheme="minorEastAsia" w:hAnsiTheme="minorEastAsia" w:eastAsiaTheme="minorEastAsia"/>
              </w:rPr>
              <w:t>▲支持数据集的创建、编辑、发布、删除等功能。支持数据在线批量标注，对数据质量进行评估（需提供证明材料）</w:t>
            </w:r>
          </w:p>
        </w:tc>
      </w:tr>
      <w:tr w14:paraId="68A93215">
        <w:tblPrEx>
          <w:tblCellMar>
            <w:top w:w="0" w:type="dxa"/>
            <w:left w:w="108" w:type="dxa"/>
            <w:bottom w:w="0" w:type="dxa"/>
            <w:right w:w="108" w:type="dxa"/>
          </w:tblCellMar>
        </w:tblPrEx>
        <w:trPr>
          <w:trHeight w:val="560" w:hRule="atLeast"/>
        </w:trPr>
        <w:tc>
          <w:tcPr>
            <w:tcW w:w="852" w:type="dxa"/>
            <w:tcBorders>
              <w:top w:val="nil"/>
              <w:left w:val="single" w:color="auto" w:sz="4" w:space="0"/>
              <w:bottom w:val="single" w:color="auto" w:sz="4" w:space="0"/>
              <w:right w:val="single" w:color="auto" w:sz="4" w:space="0"/>
            </w:tcBorders>
          </w:tcPr>
          <w:p w14:paraId="116C0FB7">
            <w:pPr>
              <w:pStyle w:val="130"/>
              <w:rPr>
                <w:rFonts w:asciiTheme="minorEastAsia" w:hAnsiTheme="minorEastAsia" w:eastAsiaTheme="minorEastAsia"/>
              </w:rPr>
            </w:pPr>
          </w:p>
        </w:tc>
        <w:tc>
          <w:tcPr>
            <w:tcW w:w="1417" w:type="dxa"/>
            <w:vMerge w:val="continue"/>
            <w:tcBorders>
              <w:top w:val="nil"/>
              <w:left w:val="single" w:color="auto" w:sz="4" w:space="0"/>
              <w:bottom w:val="single" w:color="auto" w:sz="4" w:space="0"/>
              <w:right w:val="single" w:color="auto" w:sz="4" w:space="0"/>
            </w:tcBorders>
            <w:vAlign w:val="center"/>
          </w:tcPr>
          <w:p w14:paraId="79A3A23D">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1593F84C">
            <w:pPr>
              <w:pStyle w:val="130"/>
              <w:rPr>
                <w:rFonts w:asciiTheme="minorEastAsia" w:hAnsiTheme="minorEastAsia" w:eastAsiaTheme="minorEastAsia"/>
              </w:rPr>
            </w:pPr>
            <w:r>
              <w:rPr>
                <w:rFonts w:hint="eastAsia" w:asciiTheme="minorEastAsia" w:hAnsiTheme="minorEastAsia" w:eastAsiaTheme="minorEastAsia"/>
              </w:rPr>
              <w:t>支持快速下载数据,支持http、https、ftp、sftp、git方式下载</w:t>
            </w:r>
          </w:p>
        </w:tc>
      </w:tr>
      <w:tr w14:paraId="2B47406C">
        <w:tblPrEx>
          <w:tblCellMar>
            <w:top w:w="0" w:type="dxa"/>
            <w:left w:w="108" w:type="dxa"/>
            <w:bottom w:w="0" w:type="dxa"/>
            <w:right w:w="108" w:type="dxa"/>
          </w:tblCellMar>
        </w:tblPrEx>
        <w:trPr>
          <w:trHeight w:val="560" w:hRule="atLeast"/>
        </w:trPr>
        <w:tc>
          <w:tcPr>
            <w:tcW w:w="852" w:type="dxa"/>
            <w:tcBorders>
              <w:top w:val="nil"/>
              <w:left w:val="single" w:color="auto" w:sz="4" w:space="0"/>
              <w:bottom w:val="single" w:color="auto" w:sz="4" w:space="0"/>
              <w:right w:val="single" w:color="auto" w:sz="4" w:space="0"/>
            </w:tcBorders>
          </w:tcPr>
          <w:p w14:paraId="3DF32B7E">
            <w:pPr>
              <w:pStyle w:val="130"/>
              <w:rPr>
                <w:rFonts w:asciiTheme="minorEastAsia" w:hAnsiTheme="minorEastAsia" w:eastAsiaTheme="minorEastAsia"/>
              </w:rPr>
            </w:pPr>
          </w:p>
        </w:tc>
        <w:tc>
          <w:tcPr>
            <w:tcW w:w="1417" w:type="dxa"/>
            <w:vMerge w:val="continue"/>
            <w:tcBorders>
              <w:top w:val="nil"/>
              <w:left w:val="single" w:color="auto" w:sz="4" w:space="0"/>
              <w:bottom w:val="single" w:color="auto" w:sz="4" w:space="0"/>
              <w:right w:val="single" w:color="auto" w:sz="4" w:space="0"/>
            </w:tcBorders>
            <w:vAlign w:val="center"/>
          </w:tcPr>
          <w:p w14:paraId="34D84EC6">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6952DF23">
            <w:pPr>
              <w:pStyle w:val="130"/>
              <w:rPr>
                <w:rFonts w:asciiTheme="minorEastAsia" w:hAnsiTheme="minorEastAsia" w:eastAsiaTheme="minorEastAsia"/>
              </w:rPr>
            </w:pPr>
            <w:r>
              <w:rPr>
                <w:rFonts w:hint="eastAsia" w:asciiTheme="minorEastAsia" w:hAnsiTheme="minorEastAsia" w:eastAsiaTheme="minorEastAsia"/>
              </w:rPr>
              <w:t>提供数据缓存加速机制，数据集可高速并行缓存到计算节点本地,支持解压和更新。</w:t>
            </w:r>
          </w:p>
        </w:tc>
      </w:tr>
      <w:tr w14:paraId="5755D92C">
        <w:tblPrEx>
          <w:tblCellMar>
            <w:top w:w="0" w:type="dxa"/>
            <w:left w:w="108" w:type="dxa"/>
            <w:bottom w:w="0" w:type="dxa"/>
            <w:right w:w="108" w:type="dxa"/>
          </w:tblCellMar>
        </w:tblPrEx>
        <w:trPr>
          <w:trHeight w:val="560" w:hRule="atLeast"/>
        </w:trPr>
        <w:tc>
          <w:tcPr>
            <w:tcW w:w="852" w:type="dxa"/>
            <w:tcBorders>
              <w:top w:val="nil"/>
              <w:left w:val="single" w:color="auto" w:sz="4" w:space="0"/>
              <w:bottom w:val="single" w:color="auto" w:sz="4" w:space="0"/>
              <w:right w:val="single" w:color="auto" w:sz="4" w:space="0"/>
            </w:tcBorders>
          </w:tcPr>
          <w:p w14:paraId="677F28A1">
            <w:pPr>
              <w:pStyle w:val="130"/>
              <w:rPr>
                <w:rFonts w:asciiTheme="minorEastAsia" w:hAnsiTheme="minorEastAsia" w:eastAsiaTheme="minorEastAsia"/>
              </w:rPr>
            </w:pPr>
          </w:p>
        </w:tc>
        <w:tc>
          <w:tcPr>
            <w:tcW w:w="1417" w:type="dxa"/>
            <w:vMerge w:val="restart"/>
            <w:tcBorders>
              <w:top w:val="nil"/>
              <w:left w:val="single" w:color="auto" w:sz="4" w:space="0"/>
              <w:bottom w:val="single" w:color="auto" w:sz="4" w:space="0"/>
              <w:right w:val="single" w:color="auto" w:sz="4" w:space="0"/>
            </w:tcBorders>
            <w:vAlign w:val="center"/>
          </w:tcPr>
          <w:p w14:paraId="14468793">
            <w:pPr>
              <w:pStyle w:val="130"/>
              <w:rPr>
                <w:rFonts w:asciiTheme="minorEastAsia" w:hAnsiTheme="minorEastAsia" w:eastAsiaTheme="minorEastAsia"/>
              </w:rPr>
            </w:pPr>
            <w:r>
              <w:rPr>
                <w:rFonts w:asciiTheme="minorEastAsia" w:hAnsiTheme="minorEastAsia" w:eastAsiaTheme="minorEastAsia"/>
              </w:rPr>
              <w:t>AI开发</w:t>
            </w:r>
          </w:p>
        </w:tc>
        <w:tc>
          <w:tcPr>
            <w:tcW w:w="6458" w:type="dxa"/>
            <w:tcBorders>
              <w:top w:val="nil"/>
              <w:left w:val="nil"/>
              <w:bottom w:val="single" w:color="auto" w:sz="4" w:space="0"/>
              <w:right w:val="single" w:color="auto" w:sz="4" w:space="0"/>
            </w:tcBorders>
            <w:vAlign w:val="center"/>
          </w:tcPr>
          <w:p w14:paraId="70CBD922">
            <w:pPr>
              <w:pStyle w:val="130"/>
              <w:rPr>
                <w:rFonts w:asciiTheme="minorEastAsia" w:hAnsiTheme="minorEastAsia" w:eastAsiaTheme="minorEastAsia"/>
              </w:rPr>
            </w:pPr>
            <w:r>
              <w:rPr>
                <w:rFonts w:hint="eastAsia" w:asciiTheme="minorEastAsia" w:hAnsiTheme="minorEastAsia" w:eastAsiaTheme="minorEastAsia"/>
              </w:rPr>
              <w:t>提供Jupyter、Webshell在线交互开发，支持对接第三方开发工具（如VSCode）</w:t>
            </w:r>
          </w:p>
        </w:tc>
      </w:tr>
      <w:tr w14:paraId="4136DD77">
        <w:tblPrEx>
          <w:tblCellMar>
            <w:top w:w="0" w:type="dxa"/>
            <w:left w:w="108" w:type="dxa"/>
            <w:bottom w:w="0" w:type="dxa"/>
            <w:right w:w="108" w:type="dxa"/>
          </w:tblCellMar>
        </w:tblPrEx>
        <w:trPr>
          <w:trHeight w:val="560" w:hRule="atLeast"/>
        </w:trPr>
        <w:tc>
          <w:tcPr>
            <w:tcW w:w="852" w:type="dxa"/>
            <w:tcBorders>
              <w:top w:val="nil"/>
              <w:left w:val="single" w:color="auto" w:sz="4" w:space="0"/>
              <w:bottom w:val="single" w:color="auto" w:sz="4" w:space="0"/>
              <w:right w:val="single" w:color="auto" w:sz="4" w:space="0"/>
            </w:tcBorders>
          </w:tcPr>
          <w:p w14:paraId="13795583">
            <w:pPr>
              <w:pStyle w:val="130"/>
              <w:rPr>
                <w:rFonts w:asciiTheme="minorEastAsia" w:hAnsiTheme="minorEastAsia" w:eastAsiaTheme="minorEastAsia"/>
              </w:rPr>
            </w:pPr>
          </w:p>
        </w:tc>
        <w:tc>
          <w:tcPr>
            <w:tcW w:w="1417" w:type="dxa"/>
            <w:vMerge w:val="continue"/>
            <w:tcBorders>
              <w:top w:val="nil"/>
              <w:left w:val="single" w:color="auto" w:sz="4" w:space="0"/>
              <w:bottom w:val="single" w:color="auto" w:sz="4" w:space="0"/>
              <w:right w:val="single" w:color="auto" w:sz="4" w:space="0"/>
            </w:tcBorders>
            <w:vAlign w:val="center"/>
          </w:tcPr>
          <w:p w14:paraId="30D244FA">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0DAD021D">
            <w:pPr>
              <w:pStyle w:val="130"/>
              <w:rPr>
                <w:rFonts w:asciiTheme="minorEastAsia" w:hAnsiTheme="minorEastAsia" w:eastAsiaTheme="minorEastAsia"/>
              </w:rPr>
            </w:pPr>
            <w:r>
              <w:rPr>
                <w:rFonts w:hint="eastAsia" w:asciiTheme="minorEastAsia" w:hAnsiTheme="minorEastAsia" w:eastAsiaTheme="minorEastAsia"/>
              </w:rPr>
              <w:t>▲支持AI模型的多机分布式训练，可提交Tensorflow、Caffe、pytorch、PaddlePaddle、MXNet框架的分布式训练作业，并支持MPI、PS/Worker、Master/Worker、Deepspeed、Megatron等分布式类型（需提供证明材料）</w:t>
            </w:r>
            <w:r>
              <w:rPr>
                <w:rFonts w:asciiTheme="minorEastAsia" w:hAnsiTheme="minorEastAsia" w:eastAsiaTheme="minorEastAsia"/>
              </w:rPr>
              <w:t>；</w:t>
            </w:r>
          </w:p>
        </w:tc>
      </w:tr>
      <w:tr w14:paraId="0C443E63">
        <w:tblPrEx>
          <w:tblCellMar>
            <w:top w:w="0" w:type="dxa"/>
            <w:left w:w="108" w:type="dxa"/>
            <w:bottom w:w="0" w:type="dxa"/>
            <w:right w:w="108" w:type="dxa"/>
          </w:tblCellMar>
        </w:tblPrEx>
        <w:trPr>
          <w:trHeight w:val="560" w:hRule="atLeast"/>
        </w:trPr>
        <w:tc>
          <w:tcPr>
            <w:tcW w:w="852" w:type="dxa"/>
            <w:tcBorders>
              <w:top w:val="nil"/>
              <w:left w:val="single" w:color="auto" w:sz="4" w:space="0"/>
              <w:bottom w:val="single" w:color="auto" w:sz="4" w:space="0"/>
              <w:right w:val="single" w:color="auto" w:sz="4" w:space="0"/>
            </w:tcBorders>
          </w:tcPr>
          <w:p w14:paraId="70DAEA48">
            <w:pPr>
              <w:pStyle w:val="130"/>
              <w:rPr>
                <w:rFonts w:asciiTheme="minorEastAsia" w:hAnsiTheme="minorEastAsia" w:eastAsiaTheme="minorEastAsia"/>
              </w:rPr>
            </w:pPr>
          </w:p>
        </w:tc>
        <w:tc>
          <w:tcPr>
            <w:tcW w:w="1417" w:type="dxa"/>
            <w:vMerge w:val="continue"/>
            <w:tcBorders>
              <w:top w:val="nil"/>
              <w:left w:val="single" w:color="auto" w:sz="4" w:space="0"/>
              <w:bottom w:val="single" w:color="auto" w:sz="4" w:space="0"/>
              <w:right w:val="single" w:color="auto" w:sz="4" w:space="0"/>
            </w:tcBorders>
            <w:vAlign w:val="center"/>
          </w:tcPr>
          <w:p w14:paraId="195AB402">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47B88146">
            <w:pPr>
              <w:pStyle w:val="130"/>
              <w:rPr>
                <w:rFonts w:asciiTheme="minorEastAsia" w:hAnsiTheme="minorEastAsia" w:eastAsiaTheme="minorEastAsia"/>
              </w:rPr>
            </w:pPr>
            <w:r>
              <w:rPr>
                <w:rFonts w:hint="eastAsia" w:asciiTheme="minorEastAsia" w:hAnsiTheme="minorEastAsia" w:eastAsiaTheme="minorEastAsia"/>
              </w:rPr>
              <w:t>支持弹性任务，设置任务资源配置的上下限，基于可用资源大小动态伸缩任务资源配置；</w:t>
            </w:r>
          </w:p>
        </w:tc>
      </w:tr>
      <w:tr w14:paraId="36FC50D8">
        <w:tblPrEx>
          <w:tblCellMar>
            <w:top w:w="0" w:type="dxa"/>
            <w:left w:w="108" w:type="dxa"/>
            <w:bottom w:w="0" w:type="dxa"/>
            <w:right w:w="108" w:type="dxa"/>
          </w:tblCellMar>
        </w:tblPrEx>
        <w:trPr>
          <w:trHeight w:val="280" w:hRule="atLeast"/>
        </w:trPr>
        <w:tc>
          <w:tcPr>
            <w:tcW w:w="852" w:type="dxa"/>
            <w:tcBorders>
              <w:top w:val="nil"/>
              <w:left w:val="single" w:color="auto" w:sz="4" w:space="0"/>
              <w:bottom w:val="single" w:color="auto" w:sz="4" w:space="0"/>
              <w:right w:val="single" w:color="auto" w:sz="4" w:space="0"/>
            </w:tcBorders>
          </w:tcPr>
          <w:p w14:paraId="311A1B48">
            <w:pPr>
              <w:pStyle w:val="130"/>
              <w:rPr>
                <w:rFonts w:asciiTheme="minorEastAsia" w:hAnsiTheme="minorEastAsia" w:eastAsiaTheme="minorEastAsia"/>
              </w:rPr>
            </w:pPr>
          </w:p>
        </w:tc>
        <w:tc>
          <w:tcPr>
            <w:tcW w:w="1417" w:type="dxa"/>
            <w:vMerge w:val="continue"/>
            <w:tcBorders>
              <w:top w:val="nil"/>
              <w:left w:val="single" w:color="auto" w:sz="4" w:space="0"/>
              <w:bottom w:val="single" w:color="auto" w:sz="4" w:space="0"/>
              <w:right w:val="single" w:color="auto" w:sz="4" w:space="0"/>
            </w:tcBorders>
            <w:vAlign w:val="center"/>
          </w:tcPr>
          <w:p w14:paraId="51955F4A">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6A757452">
            <w:pPr>
              <w:pStyle w:val="130"/>
              <w:rPr>
                <w:rFonts w:asciiTheme="minorEastAsia" w:hAnsiTheme="minorEastAsia" w:eastAsiaTheme="minorEastAsia"/>
              </w:rPr>
            </w:pPr>
            <w:r>
              <w:rPr>
                <w:rFonts w:hint="eastAsia" w:asciiTheme="minorEastAsia" w:hAnsiTheme="minorEastAsia" w:eastAsiaTheme="minorEastAsia"/>
              </w:rPr>
              <w:t>▲支持大模型训练容错，平台自动检测异常训练节点、出现异常节点自动业务迁移，自动加载断点重新发起任务（需提供证明材料）</w:t>
            </w:r>
            <w:r>
              <w:rPr>
                <w:rFonts w:asciiTheme="minorEastAsia" w:hAnsiTheme="minorEastAsia" w:eastAsiaTheme="minorEastAsia"/>
              </w:rPr>
              <w:t>；</w:t>
            </w:r>
          </w:p>
        </w:tc>
      </w:tr>
      <w:tr w14:paraId="11040A87">
        <w:tblPrEx>
          <w:tblCellMar>
            <w:top w:w="0" w:type="dxa"/>
            <w:left w:w="108" w:type="dxa"/>
            <w:bottom w:w="0" w:type="dxa"/>
            <w:right w:w="108" w:type="dxa"/>
          </w:tblCellMar>
        </w:tblPrEx>
        <w:trPr>
          <w:trHeight w:val="840" w:hRule="atLeast"/>
        </w:trPr>
        <w:tc>
          <w:tcPr>
            <w:tcW w:w="852" w:type="dxa"/>
            <w:tcBorders>
              <w:top w:val="nil"/>
              <w:left w:val="single" w:color="auto" w:sz="4" w:space="0"/>
              <w:bottom w:val="single" w:color="auto" w:sz="4" w:space="0"/>
              <w:right w:val="single" w:color="auto" w:sz="4" w:space="0"/>
            </w:tcBorders>
          </w:tcPr>
          <w:p w14:paraId="08B64D42">
            <w:pPr>
              <w:pStyle w:val="130"/>
              <w:rPr>
                <w:rFonts w:asciiTheme="minorEastAsia" w:hAnsiTheme="minorEastAsia" w:eastAsiaTheme="minorEastAsia"/>
              </w:rPr>
            </w:pPr>
          </w:p>
        </w:tc>
        <w:tc>
          <w:tcPr>
            <w:tcW w:w="1417" w:type="dxa"/>
            <w:vMerge w:val="restart"/>
            <w:tcBorders>
              <w:top w:val="nil"/>
              <w:left w:val="single" w:color="auto" w:sz="4" w:space="0"/>
              <w:right w:val="single" w:color="auto" w:sz="4" w:space="0"/>
            </w:tcBorders>
            <w:vAlign w:val="center"/>
          </w:tcPr>
          <w:p w14:paraId="54BE87D6">
            <w:pPr>
              <w:pStyle w:val="130"/>
              <w:rPr>
                <w:rFonts w:asciiTheme="minorEastAsia" w:hAnsiTheme="minorEastAsia" w:eastAsiaTheme="minorEastAsia"/>
              </w:rPr>
            </w:pPr>
            <w:r>
              <w:rPr>
                <w:rFonts w:asciiTheme="minorEastAsia" w:hAnsiTheme="minorEastAsia" w:eastAsiaTheme="minorEastAsia"/>
              </w:rPr>
              <w:t>AI推理</w:t>
            </w:r>
          </w:p>
        </w:tc>
        <w:tc>
          <w:tcPr>
            <w:tcW w:w="6458" w:type="dxa"/>
            <w:tcBorders>
              <w:top w:val="nil"/>
              <w:left w:val="nil"/>
              <w:bottom w:val="single" w:color="auto" w:sz="4" w:space="0"/>
              <w:right w:val="single" w:color="auto" w:sz="4" w:space="0"/>
            </w:tcBorders>
            <w:vAlign w:val="center"/>
          </w:tcPr>
          <w:p w14:paraId="2C6DF2B0">
            <w:pPr>
              <w:pStyle w:val="130"/>
              <w:rPr>
                <w:rFonts w:asciiTheme="minorEastAsia" w:hAnsiTheme="minorEastAsia" w:eastAsiaTheme="minorEastAsia"/>
              </w:rPr>
            </w:pPr>
            <w:r>
              <w:rPr>
                <w:rFonts w:hint="eastAsia" w:asciiTheme="minorEastAsia" w:hAnsiTheme="minorEastAsia" w:eastAsiaTheme="minorEastAsia"/>
              </w:rPr>
              <w:t>▲支持推理服务在线编排，提供推理服务基于串行、条件分支、流量分支、融合分支编排的能力；用户可以通过可视化界面方式，查看到所有场景的服务编排图、服务流中的服务组成情况（需提供证明材料）</w:t>
            </w:r>
            <w:r>
              <w:rPr>
                <w:rFonts w:asciiTheme="minorEastAsia" w:hAnsiTheme="minorEastAsia" w:eastAsiaTheme="minorEastAsia"/>
              </w:rPr>
              <w:t>。</w:t>
            </w:r>
          </w:p>
        </w:tc>
      </w:tr>
      <w:tr w14:paraId="79BF11CF">
        <w:tblPrEx>
          <w:tblCellMar>
            <w:top w:w="0" w:type="dxa"/>
            <w:left w:w="108" w:type="dxa"/>
            <w:bottom w:w="0" w:type="dxa"/>
            <w:right w:w="108" w:type="dxa"/>
          </w:tblCellMar>
        </w:tblPrEx>
        <w:trPr>
          <w:trHeight w:val="840" w:hRule="atLeast"/>
        </w:trPr>
        <w:tc>
          <w:tcPr>
            <w:tcW w:w="852" w:type="dxa"/>
            <w:tcBorders>
              <w:top w:val="nil"/>
              <w:left w:val="single" w:color="auto" w:sz="4" w:space="0"/>
              <w:bottom w:val="single" w:color="auto" w:sz="4" w:space="0"/>
              <w:right w:val="single" w:color="auto" w:sz="4" w:space="0"/>
            </w:tcBorders>
          </w:tcPr>
          <w:p w14:paraId="6314A68C">
            <w:pPr>
              <w:pStyle w:val="130"/>
              <w:rPr>
                <w:rFonts w:asciiTheme="minorEastAsia" w:hAnsiTheme="minorEastAsia" w:eastAsiaTheme="minorEastAsia"/>
              </w:rPr>
            </w:pPr>
          </w:p>
        </w:tc>
        <w:tc>
          <w:tcPr>
            <w:tcW w:w="1417" w:type="dxa"/>
            <w:vMerge w:val="continue"/>
            <w:tcBorders>
              <w:left w:val="single" w:color="auto" w:sz="4" w:space="0"/>
              <w:bottom w:val="single" w:color="auto" w:sz="4" w:space="0"/>
              <w:right w:val="single" w:color="auto" w:sz="4" w:space="0"/>
            </w:tcBorders>
            <w:vAlign w:val="center"/>
          </w:tcPr>
          <w:p w14:paraId="2A4629F8">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60C4D227">
            <w:pPr>
              <w:pStyle w:val="130"/>
              <w:rPr>
                <w:rFonts w:asciiTheme="minorEastAsia" w:hAnsiTheme="minorEastAsia" w:eastAsiaTheme="minorEastAsia"/>
              </w:rPr>
            </w:pPr>
            <w:r>
              <w:rPr>
                <w:rFonts w:hint="eastAsia" w:asciiTheme="minorEastAsia" w:hAnsiTheme="minorEastAsia" w:eastAsiaTheme="minorEastAsia"/>
              </w:rPr>
              <w:t>▲支持统计模型请求记录，包括请求成功数/记录条数、Tokens总数、提示tokens总数、生成tokens总数。模型名、API-KEY、用户、请求结果、提升tokens，生成Tokens、TTFT、TPS、E2E指标（需提供证明材料）。</w:t>
            </w:r>
          </w:p>
        </w:tc>
      </w:tr>
      <w:tr w14:paraId="0500149A">
        <w:tblPrEx>
          <w:tblCellMar>
            <w:top w:w="0" w:type="dxa"/>
            <w:left w:w="108" w:type="dxa"/>
            <w:bottom w:w="0" w:type="dxa"/>
            <w:right w:w="108" w:type="dxa"/>
          </w:tblCellMar>
        </w:tblPrEx>
        <w:trPr>
          <w:trHeight w:val="870" w:hRule="atLeast"/>
        </w:trPr>
        <w:tc>
          <w:tcPr>
            <w:tcW w:w="852" w:type="dxa"/>
            <w:tcBorders>
              <w:top w:val="nil"/>
              <w:left w:val="single" w:color="auto" w:sz="4" w:space="0"/>
              <w:bottom w:val="single" w:color="auto" w:sz="4" w:space="0"/>
              <w:right w:val="single" w:color="auto" w:sz="4" w:space="0"/>
            </w:tcBorders>
          </w:tcPr>
          <w:p w14:paraId="321B24C4">
            <w:pPr>
              <w:pStyle w:val="130"/>
              <w:rPr>
                <w:rFonts w:asciiTheme="minorEastAsia" w:hAnsiTheme="minorEastAsia" w:eastAsiaTheme="minorEastAsia"/>
              </w:rPr>
            </w:pPr>
          </w:p>
        </w:tc>
        <w:tc>
          <w:tcPr>
            <w:tcW w:w="1417" w:type="dxa"/>
            <w:vMerge w:val="restart"/>
            <w:tcBorders>
              <w:top w:val="nil"/>
              <w:left w:val="single" w:color="auto" w:sz="4" w:space="0"/>
              <w:bottom w:val="single" w:color="auto" w:sz="4" w:space="0"/>
              <w:right w:val="single" w:color="auto" w:sz="4" w:space="0"/>
            </w:tcBorders>
            <w:vAlign w:val="center"/>
          </w:tcPr>
          <w:p w14:paraId="565E42B3">
            <w:pPr>
              <w:pStyle w:val="130"/>
              <w:rPr>
                <w:rFonts w:asciiTheme="minorEastAsia" w:hAnsiTheme="minorEastAsia" w:eastAsiaTheme="minorEastAsia"/>
              </w:rPr>
            </w:pPr>
            <w:r>
              <w:rPr>
                <w:rFonts w:asciiTheme="minorEastAsia" w:hAnsiTheme="minorEastAsia" w:eastAsiaTheme="minorEastAsia"/>
              </w:rPr>
              <w:t>集群管理</w:t>
            </w:r>
          </w:p>
        </w:tc>
        <w:tc>
          <w:tcPr>
            <w:tcW w:w="6458" w:type="dxa"/>
            <w:tcBorders>
              <w:top w:val="nil"/>
              <w:left w:val="nil"/>
              <w:bottom w:val="single" w:color="auto" w:sz="4" w:space="0"/>
              <w:right w:val="single" w:color="auto" w:sz="4" w:space="0"/>
            </w:tcBorders>
            <w:vAlign w:val="center"/>
          </w:tcPr>
          <w:p w14:paraId="7931C283">
            <w:pPr>
              <w:pStyle w:val="130"/>
              <w:rPr>
                <w:rFonts w:asciiTheme="minorEastAsia" w:hAnsiTheme="minorEastAsia" w:eastAsiaTheme="minorEastAsia"/>
              </w:rPr>
            </w:pPr>
            <w:r>
              <w:rPr>
                <w:rFonts w:hint="eastAsia" w:asciiTheme="minorEastAsia" w:hAnsiTheme="minorEastAsia" w:eastAsiaTheme="minorEastAsia"/>
              </w:rPr>
              <w:t>支持基于WEB页面的资源组管理，不同异构加速卡可以划为1个资源组。资源组支持设置资源的共享、专享策略；支持设置单个任务的CPU核心数、加速卡数上下限；支持针对超时使用的策略设置</w:t>
            </w:r>
          </w:p>
        </w:tc>
      </w:tr>
      <w:tr w14:paraId="2E7AF8F3">
        <w:tblPrEx>
          <w:tblCellMar>
            <w:top w:w="0" w:type="dxa"/>
            <w:left w:w="108" w:type="dxa"/>
            <w:bottom w:w="0" w:type="dxa"/>
            <w:right w:w="108" w:type="dxa"/>
          </w:tblCellMar>
        </w:tblPrEx>
        <w:trPr>
          <w:trHeight w:val="580" w:hRule="atLeast"/>
        </w:trPr>
        <w:tc>
          <w:tcPr>
            <w:tcW w:w="852" w:type="dxa"/>
            <w:tcBorders>
              <w:top w:val="nil"/>
              <w:left w:val="single" w:color="auto" w:sz="4" w:space="0"/>
              <w:bottom w:val="single" w:color="auto" w:sz="4" w:space="0"/>
              <w:right w:val="single" w:color="auto" w:sz="4" w:space="0"/>
            </w:tcBorders>
          </w:tcPr>
          <w:p w14:paraId="6F2318E8">
            <w:pPr>
              <w:pStyle w:val="130"/>
              <w:rPr>
                <w:rFonts w:asciiTheme="minorEastAsia" w:hAnsiTheme="minorEastAsia" w:eastAsiaTheme="minorEastAsia"/>
              </w:rPr>
            </w:pPr>
          </w:p>
        </w:tc>
        <w:tc>
          <w:tcPr>
            <w:tcW w:w="1417" w:type="dxa"/>
            <w:vMerge w:val="continue"/>
            <w:tcBorders>
              <w:top w:val="nil"/>
              <w:left w:val="single" w:color="auto" w:sz="4" w:space="0"/>
              <w:bottom w:val="single" w:color="auto" w:sz="4" w:space="0"/>
              <w:right w:val="single" w:color="auto" w:sz="4" w:space="0"/>
            </w:tcBorders>
            <w:vAlign w:val="center"/>
          </w:tcPr>
          <w:p w14:paraId="307F68A1">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22DDB524">
            <w:pPr>
              <w:pStyle w:val="130"/>
              <w:rPr>
                <w:rFonts w:asciiTheme="minorEastAsia" w:hAnsiTheme="minorEastAsia" w:eastAsiaTheme="minorEastAsia"/>
              </w:rPr>
            </w:pPr>
            <w:r>
              <w:rPr>
                <w:rFonts w:hint="eastAsia" w:asciiTheme="minorEastAsia" w:hAnsiTheme="minorEastAsia" w:eastAsiaTheme="minorEastAsia"/>
              </w:rPr>
              <w:t>▲支持基于WEB页面的GPU细粒度调度设置，包括： 1）MIG模式：每张卡独立配置MIG方案；2）显存隔离：按GPU显存进行任意大小的切分，最小支持1GB显存；3）复用率：按GPU上并发任务个数进行配置（需提供证明材料）</w:t>
            </w:r>
            <w:r>
              <w:rPr>
                <w:rFonts w:asciiTheme="minorEastAsia" w:hAnsiTheme="minorEastAsia" w:eastAsiaTheme="minorEastAsia"/>
              </w:rPr>
              <w:t>。</w:t>
            </w:r>
          </w:p>
        </w:tc>
      </w:tr>
      <w:tr w14:paraId="22288D3D">
        <w:tblPrEx>
          <w:tblCellMar>
            <w:top w:w="0" w:type="dxa"/>
            <w:left w:w="108" w:type="dxa"/>
            <w:bottom w:w="0" w:type="dxa"/>
            <w:right w:w="108" w:type="dxa"/>
          </w:tblCellMar>
        </w:tblPrEx>
        <w:trPr>
          <w:trHeight w:val="560" w:hRule="atLeast"/>
        </w:trPr>
        <w:tc>
          <w:tcPr>
            <w:tcW w:w="852" w:type="dxa"/>
            <w:tcBorders>
              <w:top w:val="nil"/>
              <w:left w:val="single" w:color="auto" w:sz="4" w:space="0"/>
              <w:bottom w:val="single" w:color="auto" w:sz="4" w:space="0"/>
              <w:right w:val="single" w:color="auto" w:sz="4" w:space="0"/>
            </w:tcBorders>
          </w:tcPr>
          <w:p w14:paraId="3EAD5812">
            <w:pPr>
              <w:pStyle w:val="130"/>
              <w:rPr>
                <w:rFonts w:asciiTheme="minorEastAsia" w:hAnsiTheme="minorEastAsia" w:eastAsiaTheme="minorEastAsia"/>
              </w:rPr>
            </w:pPr>
          </w:p>
        </w:tc>
        <w:tc>
          <w:tcPr>
            <w:tcW w:w="1417" w:type="dxa"/>
            <w:vMerge w:val="continue"/>
            <w:tcBorders>
              <w:top w:val="nil"/>
              <w:left w:val="single" w:color="auto" w:sz="4" w:space="0"/>
              <w:bottom w:val="single" w:color="auto" w:sz="4" w:space="0"/>
              <w:right w:val="single" w:color="auto" w:sz="4" w:space="0"/>
            </w:tcBorders>
            <w:vAlign w:val="center"/>
          </w:tcPr>
          <w:p w14:paraId="1B18838E">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167BB056">
            <w:pPr>
              <w:pStyle w:val="130"/>
              <w:rPr>
                <w:rFonts w:asciiTheme="minorEastAsia" w:hAnsiTheme="minorEastAsia" w:eastAsiaTheme="minorEastAsia"/>
              </w:rPr>
            </w:pPr>
            <w:r>
              <w:rPr>
                <w:rFonts w:hint="eastAsia" w:asciiTheme="minorEastAsia" w:hAnsiTheme="minorEastAsia" w:eastAsiaTheme="minorEastAsia"/>
              </w:rPr>
              <w:t>平台设置系统管理员、组管理员、普通用户等，支持不用业务模块的使用权限控制，支持用户的资源配额设置</w:t>
            </w:r>
          </w:p>
        </w:tc>
      </w:tr>
      <w:tr w14:paraId="05478406">
        <w:tblPrEx>
          <w:tblCellMar>
            <w:top w:w="0" w:type="dxa"/>
            <w:left w:w="108" w:type="dxa"/>
            <w:bottom w:w="0" w:type="dxa"/>
            <w:right w:w="108" w:type="dxa"/>
          </w:tblCellMar>
        </w:tblPrEx>
        <w:trPr>
          <w:trHeight w:val="560" w:hRule="atLeast"/>
        </w:trPr>
        <w:tc>
          <w:tcPr>
            <w:tcW w:w="852" w:type="dxa"/>
            <w:tcBorders>
              <w:top w:val="nil"/>
              <w:left w:val="single" w:color="auto" w:sz="4" w:space="0"/>
              <w:bottom w:val="nil"/>
              <w:right w:val="single" w:color="auto" w:sz="4" w:space="0"/>
            </w:tcBorders>
          </w:tcPr>
          <w:p w14:paraId="08BF2745">
            <w:pPr>
              <w:pStyle w:val="130"/>
              <w:rPr>
                <w:rFonts w:asciiTheme="minorEastAsia" w:hAnsiTheme="minorEastAsia" w:eastAsiaTheme="minorEastAsia"/>
              </w:rPr>
            </w:pPr>
          </w:p>
        </w:tc>
        <w:tc>
          <w:tcPr>
            <w:tcW w:w="1417" w:type="dxa"/>
            <w:vMerge w:val="continue"/>
            <w:tcBorders>
              <w:top w:val="nil"/>
              <w:left w:val="single" w:color="auto" w:sz="4" w:space="0"/>
              <w:bottom w:val="single" w:color="auto" w:sz="4" w:space="0"/>
              <w:right w:val="single" w:color="auto" w:sz="4" w:space="0"/>
            </w:tcBorders>
            <w:vAlign w:val="center"/>
          </w:tcPr>
          <w:p w14:paraId="285227D5">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72CEDED5">
            <w:pPr>
              <w:pStyle w:val="130"/>
              <w:rPr>
                <w:rFonts w:asciiTheme="minorEastAsia" w:hAnsiTheme="minorEastAsia" w:eastAsiaTheme="minorEastAsia"/>
              </w:rPr>
            </w:pPr>
            <w:r>
              <w:rPr>
                <w:rFonts w:hint="eastAsia" w:asciiTheme="minorEastAsia" w:hAnsiTheme="minorEastAsia" w:eastAsiaTheme="minorEastAsia"/>
              </w:rPr>
              <w:t>支持以资源组为单位定义CPU和加速卡的单价；支持账户充值和配额设置，支持用户、用户组、任务账单明细，支持月账单、周账单、自定义账单，支持账单导出归档</w:t>
            </w:r>
            <w:r>
              <w:rPr>
                <w:rFonts w:asciiTheme="minorEastAsia" w:hAnsiTheme="minorEastAsia" w:eastAsiaTheme="minorEastAsia"/>
              </w:rPr>
              <w:t>；</w:t>
            </w:r>
          </w:p>
        </w:tc>
      </w:tr>
      <w:tr w14:paraId="74C1889E">
        <w:tblPrEx>
          <w:tblCellMar>
            <w:top w:w="0" w:type="dxa"/>
            <w:left w:w="108" w:type="dxa"/>
            <w:bottom w:w="0" w:type="dxa"/>
            <w:right w:w="108" w:type="dxa"/>
          </w:tblCellMar>
        </w:tblPrEx>
        <w:trPr>
          <w:trHeight w:val="1120" w:hRule="atLeast"/>
        </w:trPr>
        <w:tc>
          <w:tcPr>
            <w:tcW w:w="852" w:type="dxa"/>
            <w:tcBorders>
              <w:top w:val="nil"/>
              <w:left w:val="single" w:color="auto" w:sz="4" w:space="0"/>
              <w:bottom w:val="nil"/>
              <w:right w:val="single" w:color="auto" w:sz="4" w:space="0"/>
            </w:tcBorders>
          </w:tcPr>
          <w:p w14:paraId="23A08A5C">
            <w:pPr>
              <w:pStyle w:val="130"/>
              <w:rPr>
                <w:rFonts w:asciiTheme="minorEastAsia" w:hAnsiTheme="minorEastAsia" w:eastAsiaTheme="minorEastAsia"/>
              </w:rPr>
            </w:pPr>
          </w:p>
        </w:tc>
        <w:tc>
          <w:tcPr>
            <w:tcW w:w="1417" w:type="dxa"/>
            <w:vMerge w:val="continue"/>
            <w:tcBorders>
              <w:top w:val="nil"/>
              <w:left w:val="single" w:color="auto" w:sz="4" w:space="0"/>
              <w:bottom w:val="single" w:color="auto" w:sz="4" w:space="0"/>
              <w:right w:val="single" w:color="auto" w:sz="4" w:space="0"/>
            </w:tcBorders>
            <w:vAlign w:val="center"/>
          </w:tcPr>
          <w:p w14:paraId="60E8BD64">
            <w:pPr>
              <w:pStyle w:val="130"/>
              <w:rPr>
                <w:rFonts w:asciiTheme="minorEastAsia" w:hAnsiTheme="minorEastAsia" w:eastAsiaTheme="minorEastAsia"/>
              </w:rPr>
            </w:pPr>
          </w:p>
        </w:tc>
        <w:tc>
          <w:tcPr>
            <w:tcW w:w="6458" w:type="dxa"/>
            <w:tcBorders>
              <w:top w:val="nil"/>
              <w:left w:val="nil"/>
              <w:bottom w:val="single" w:color="auto" w:sz="4" w:space="0"/>
              <w:right w:val="single" w:color="auto" w:sz="4" w:space="0"/>
            </w:tcBorders>
            <w:vAlign w:val="center"/>
          </w:tcPr>
          <w:p w14:paraId="5BB69A97">
            <w:pPr>
              <w:pStyle w:val="130"/>
              <w:rPr>
                <w:rFonts w:asciiTheme="minorEastAsia" w:hAnsiTheme="minorEastAsia" w:eastAsiaTheme="minorEastAsia"/>
              </w:rPr>
            </w:pPr>
            <w:r>
              <w:rPr>
                <w:rFonts w:hint="eastAsia" w:asciiTheme="minorEastAsia" w:hAnsiTheme="minorEastAsia" w:eastAsiaTheme="minorEastAsia"/>
              </w:rPr>
              <w:t>支持节点视图、加速卡视图查看集群整体运行情况，提供不同层级的监控信息查看，提供GPU、CPU、内存、IB/RoCE网络、存储等关键设施的性能曲线、图表展示；</w:t>
            </w:r>
          </w:p>
          <w:p w14:paraId="075576F7">
            <w:pPr>
              <w:pStyle w:val="130"/>
              <w:rPr>
                <w:rFonts w:asciiTheme="minorEastAsia" w:hAnsiTheme="minorEastAsia" w:eastAsiaTheme="minorEastAsia"/>
              </w:rPr>
            </w:pPr>
            <w:r>
              <w:rPr>
                <w:rFonts w:hint="eastAsia" w:asciiTheme="minorEastAsia" w:hAnsiTheme="minorEastAsia" w:eastAsiaTheme="minorEastAsia"/>
              </w:rPr>
              <w:t>支持DCGM健康检查，支持查看当前节点的GPU物理信息、健康检查选项与开启状态、健康检查结果信息，支持健康检查选项的开启和关闭，支持查看卡的健康信息，包括设备信息、功率限制、温度限制</w:t>
            </w:r>
          </w:p>
        </w:tc>
      </w:tr>
      <w:tr w14:paraId="1186EFC3">
        <w:tblPrEx>
          <w:tblCellMar>
            <w:top w:w="0" w:type="dxa"/>
            <w:left w:w="108" w:type="dxa"/>
            <w:bottom w:w="0" w:type="dxa"/>
            <w:right w:w="108" w:type="dxa"/>
          </w:tblCellMar>
        </w:tblPrEx>
        <w:trPr>
          <w:trHeight w:val="465" w:hRule="atLeast"/>
        </w:trPr>
        <w:tc>
          <w:tcPr>
            <w:tcW w:w="852" w:type="dxa"/>
            <w:tcBorders>
              <w:top w:val="nil"/>
              <w:left w:val="single" w:color="auto" w:sz="4" w:space="0"/>
              <w:bottom w:val="single" w:color="auto" w:sz="4" w:space="0"/>
              <w:right w:val="single" w:color="auto" w:sz="4" w:space="0"/>
            </w:tcBorders>
          </w:tcPr>
          <w:p w14:paraId="3FA2F9A7">
            <w:pPr>
              <w:pStyle w:val="130"/>
              <w:rPr>
                <w:rFonts w:asciiTheme="minorEastAsia" w:hAnsiTheme="minorEastAsia" w:eastAsiaTheme="minorEastAsia"/>
              </w:rPr>
            </w:pPr>
          </w:p>
        </w:tc>
        <w:tc>
          <w:tcPr>
            <w:tcW w:w="1417" w:type="dxa"/>
            <w:tcBorders>
              <w:top w:val="single" w:color="auto" w:sz="4" w:space="0"/>
              <w:left w:val="single" w:color="auto" w:sz="4" w:space="0"/>
              <w:bottom w:val="single" w:color="auto" w:sz="4" w:space="0"/>
              <w:right w:val="single" w:color="auto" w:sz="4" w:space="0"/>
            </w:tcBorders>
            <w:vAlign w:val="center"/>
          </w:tcPr>
          <w:p w14:paraId="6A505701">
            <w:pPr>
              <w:pStyle w:val="130"/>
              <w:rPr>
                <w:rFonts w:asciiTheme="minorEastAsia" w:hAnsiTheme="minorEastAsia" w:eastAsiaTheme="minorEastAsia"/>
              </w:rPr>
            </w:pPr>
            <w:r>
              <w:rPr>
                <w:rFonts w:hint="eastAsia" w:asciiTheme="minorEastAsia" w:hAnsiTheme="minorEastAsia" w:eastAsiaTheme="minorEastAsia"/>
              </w:rPr>
              <w:t>服务</w:t>
            </w:r>
          </w:p>
        </w:tc>
        <w:tc>
          <w:tcPr>
            <w:tcW w:w="6458" w:type="dxa"/>
            <w:tcBorders>
              <w:top w:val="single" w:color="auto" w:sz="4" w:space="0"/>
              <w:left w:val="nil"/>
              <w:bottom w:val="single" w:color="auto" w:sz="4" w:space="0"/>
              <w:right w:val="single" w:color="auto" w:sz="4" w:space="0"/>
            </w:tcBorders>
            <w:vAlign w:val="center"/>
          </w:tcPr>
          <w:p w14:paraId="2726AB50">
            <w:pPr>
              <w:pStyle w:val="130"/>
              <w:rPr>
                <w:rFonts w:asciiTheme="minorEastAsia" w:hAnsiTheme="minorEastAsia" w:eastAsiaTheme="minorEastAsia"/>
              </w:rPr>
            </w:pPr>
            <w:r>
              <w:rPr>
                <w:rFonts w:hint="eastAsia" w:asciiTheme="minorEastAsia" w:hAnsiTheme="minorEastAsia" w:eastAsiaTheme="minorEastAsia"/>
              </w:rPr>
              <w:t>提供原厂3</w:t>
            </w:r>
            <w:r>
              <w:rPr>
                <w:rFonts w:asciiTheme="minorEastAsia" w:hAnsiTheme="minorEastAsia" w:eastAsiaTheme="minorEastAsia"/>
              </w:rPr>
              <w:t>年</w:t>
            </w:r>
            <w:r>
              <w:rPr>
                <w:rFonts w:hint="eastAsia" w:asciiTheme="minorEastAsia" w:hAnsiTheme="minorEastAsia" w:eastAsiaTheme="minorEastAsia"/>
              </w:rPr>
              <w:t>维保服务</w:t>
            </w:r>
          </w:p>
        </w:tc>
      </w:tr>
      <w:bookmarkEnd w:id="3"/>
    </w:tbl>
    <w:p w14:paraId="3807908C">
      <w:pPr>
        <w:pStyle w:val="107"/>
        <w:widowControl/>
        <w:suppressAutoHyphens w:val="0"/>
        <w:adjustRightInd w:val="0"/>
        <w:snapToGrid w:val="0"/>
        <w:spacing w:line="360" w:lineRule="auto"/>
        <w:ind w:firstLine="0"/>
        <w:jc w:val="left"/>
        <w:rPr>
          <w:rFonts w:cs="宋体" w:asciiTheme="minorEastAsia" w:hAnsiTheme="minorEastAsia" w:eastAsiaTheme="minorEastAsia"/>
          <w:sz w:val="24"/>
          <w:szCs w:val="24"/>
        </w:rPr>
      </w:pPr>
    </w:p>
    <w:p w14:paraId="7346E228">
      <w:pPr>
        <w:pStyle w:val="5"/>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系统集成</w:t>
      </w:r>
    </w:p>
    <w:p w14:paraId="5C05576C">
      <w:pPr>
        <w:spacing w:line="360" w:lineRule="auto"/>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针对本次两台算力服务器，完成全量硬件调试、联调工作，保障硬件性能</w:t>
      </w:r>
      <w:r>
        <w:rPr>
          <w:rFonts w:hint="eastAsia" w:cs="宋体" w:asciiTheme="minorEastAsia" w:hAnsiTheme="minorEastAsia" w:eastAsiaTheme="minorEastAsia"/>
          <w:kern w:val="2"/>
          <w:sz w:val="24"/>
          <w:szCs w:val="24"/>
          <w:lang w:eastAsia="zh-CN"/>
        </w:rPr>
        <w:t>，针对本项</w:t>
      </w:r>
      <w:bookmarkStart w:id="8" w:name="_GoBack"/>
      <w:bookmarkEnd w:id="8"/>
      <w:r>
        <w:rPr>
          <w:rFonts w:hint="eastAsia" w:cs="宋体" w:asciiTheme="minorEastAsia" w:hAnsiTheme="minorEastAsia" w:eastAsiaTheme="minorEastAsia"/>
          <w:kern w:val="2"/>
          <w:sz w:val="24"/>
          <w:szCs w:val="24"/>
          <w:lang w:eastAsia="zh-CN"/>
        </w:rPr>
        <w:t>目提供总体设计方案</w:t>
      </w:r>
      <w:r>
        <w:rPr>
          <w:rFonts w:hint="eastAsia" w:cs="宋体" w:asciiTheme="minorEastAsia" w:hAnsiTheme="minorEastAsia" w:eastAsiaTheme="minorEastAsia"/>
          <w:kern w:val="2"/>
          <w:sz w:val="24"/>
          <w:szCs w:val="24"/>
        </w:rPr>
        <w:t>：</w:t>
      </w:r>
    </w:p>
    <w:p w14:paraId="53F7BA41">
      <w:pPr>
        <w:spacing w:line="360" w:lineRule="auto"/>
        <w:rPr>
          <w:rFonts w:cs="宋体" w:asciiTheme="minorEastAsia" w:hAnsiTheme="minorEastAsia" w:eastAsiaTheme="minorEastAsia"/>
          <w:kern w:val="2"/>
          <w:sz w:val="24"/>
          <w:szCs w:val="24"/>
        </w:rPr>
      </w:pPr>
      <w:r>
        <w:rPr>
          <w:rFonts w:cs="宋体" w:asciiTheme="minorEastAsia" w:hAnsiTheme="minorEastAsia" w:eastAsiaTheme="minorEastAsia"/>
          <w:kern w:val="2"/>
          <w:sz w:val="24"/>
          <w:szCs w:val="24"/>
        </w:rPr>
        <w:t xml:space="preserve"> </w:t>
      </w:r>
    </w:p>
    <w:p w14:paraId="65704EB9">
      <w:pPr>
        <w:spacing w:line="360" w:lineRule="auto"/>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3.1 硬件初始化调试</w:t>
      </w:r>
    </w:p>
    <w:p w14:paraId="2089006D">
      <w:pPr>
        <w:spacing w:line="360" w:lineRule="auto"/>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1.</w:t>
      </w:r>
      <w:bookmarkStart w:id="4" w:name="OLE_LINK6"/>
      <w:bookmarkStart w:id="5" w:name="OLE_LINK5"/>
      <w:r>
        <w:rPr>
          <w:rFonts w:hint="eastAsia" w:cs="宋体" w:asciiTheme="minorEastAsia" w:hAnsiTheme="minorEastAsia" w:eastAsiaTheme="minorEastAsia"/>
          <w:kern w:val="2"/>
          <w:sz w:val="24"/>
          <w:szCs w:val="24"/>
        </w:rPr>
        <w:t>完成服务器CPU、GPU、内存、硬盘、网卡、电源等全硬件模块检测，出具硬件检测报告，确保所有硬件参数达标、无硬件故障、无性能损耗；</w:t>
      </w:r>
    </w:p>
    <w:p w14:paraId="42E21AAF">
      <w:pPr>
        <w:spacing w:line="360" w:lineRule="auto"/>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2.优化服务器BIOS参数，适配高算力运算场景，开启高性能模式、多任务并行模式，关闭节能降频策略，保障算力输出最大化；</w:t>
      </w:r>
    </w:p>
    <w:p w14:paraId="7726712E">
      <w:pPr>
        <w:spacing w:line="360" w:lineRule="auto"/>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3.配置硬盘阵列（根据业务需求适配RAID模式），保障数据存储安全、读写性能达标。</w:t>
      </w:r>
      <w:bookmarkEnd w:id="4"/>
      <w:bookmarkEnd w:id="5"/>
    </w:p>
    <w:p w14:paraId="18D0E81A">
      <w:pPr>
        <w:spacing w:line="360" w:lineRule="auto"/>
        <w:rPr>
          <w:rFonts w:cs="宋体" w:asciiTheme="minorEastAsia" w:hAnsiTheme="minorEastAsia" w:eastAsiaTheme="minorEastAsia"/>
          <w:kern w:val="2"/>
          <w:sz w:val="24"/>
          <w:szCs w:val="24"/>
        </w:rPr>
      </w:pPr>
      <w:r>
        <w:rPr>
          <w:rFonts w:cs="宋体" w:asciiTheme="minorEastAsia" w:hAnsiTheme="minorEastAsia" w:eastAsiaTheme="minorEastAsia"/>
          <w:kern w:val="2"/>
          <w:sz w:val="24"/>
          <w:szCs w:val="24"/>
        </w:rPr>
        <w:t xml:space="preserve"> </w:t>
      </w:r>
    </w:p>
    <w:p w14:paraId="360A0FED">
      <w:pPr>
        <w:spacing w:line="360" w:lineRule="auto"/>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3.2 双服务器协同集成</w:t>
      </w:r>
    </w:p>
    <w:p w14:paraId="3B11BA9C">
      <w:pPr>
        <w:spacing w:line="360" w:lineRule="auto"/>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1.实现两台算力服务器硬件资源互通互备，支持算力拆分、算力聚合，可根据任务大小自动调用单台或双台设备联合运算；</w:t>
      </w:r>
    </w:p>
    <w:p w14:paraId="3230BF66">
      <w:pPr>
        <w:spacing w:line="360" w:lineRule="auto"/>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2.解决双服务器资源冲突问题，设置硬件资源隔离与共享规则，避免多任务运行时出现硬件抢占、运算卡顿、任务中断问题；</w:t>
      </w:r>
    </w:p>
    <w:p w14:paraId="6020E122">
      <w:pPr>
        <w:pStyle w:val="3"/>
        <w:numPr>
          <w:ilvl w:val="0"/>
          <w:numId w:val="2"/>
        </w:numPr>
        <w:suppressAutoHyphens w:val="0"/>
        <w:spacing w:before="0" w:after="0"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技术要求及伴随服务要求</w:t>
      </w:r>
      <w:bookmarkEnd w:id="2"/>
    </w:p>
    <w:p w14:paraId="6869B688">
      <w:pPr>
        <w:pStyle w:val="124"/>
        <w:numPr>
          <w:ilvl w:val="0"/>
          <w:numId w:val="4"/>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基本要求</w:t>
      </w:r>
    </w:p>
    <w:p w14:paraId="3A8C6FCD">
      <w:pPr>
        <w:pStyle w:val="125"/>
        <w:tabs>
          <w:tab w:val="left" w:pos="0"/>
        </w:tabs>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1.供应商具有固定的服务场所和常驻的维护人员，且能提供良好的技术支持；</w:t>
      </w:r>
    </w:p>
    <w:p w14:paraId="38A9D0A2">
      <w:pPr>
        <w:pStyle w:val="125"/>
        <w:tabs>
          <w:tab w:val="left" w:pos="0"/>
        </w:tabs>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2.供应商报价应提供设备的详细参数，接入方式，网络连接（无线）等。</w:t>
      </w:r>
    </w:p>
    <w:p w14:paraId="65B5A36D">
      <w:pPr>
        <w:pStyle w:val="125"/>
        <w:tabs>
          <w:tab w:val="left" w:pos="0"/>
        </w:tabs>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3.供应商提供的设备应符合国家环保节能要求，低噪音，低能耗。</w:t>
      </w:r>
    </w:p>
    <w:p w14:paraId="044B7EDE">
      <w:pPr>
        <w:pStyle w:val="125"/>
        <w:tabs>
          <w:tab w:val="left" w:pos="0"/>
        </w:tabs>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4、供应商应加强对使用区域的集中控制和管理的便捷性，管理人员可通过终端设备实现所有设备的远程控制等。</w:t>
      </w:r>
    </w:p>
    <w:p w14:paraId="5F4EBE33">
      <w:pPr>
        <w:pStyle w:val="125"/>
        <w:tabs>
          <w:tab w:val="left" w:pos="0"/>
        </w:tabs>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5、供应商应免费供货至校方指定地点，并完成设备安装调试，期间不收取任何送货、配件、材料、人工等费用。</w:t>
      </w:r>
    </w:p>
    <w:p w14:paraId="09A05EE9">
      <w:pPr>
        <w:pStyle w:val="125"/>
        <w:tabs>
          <w:tab w:val="left" w:pos="0"/>
        </w:tabs>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6、项目配套服务器硬件均为原厂全新正品，禁止使用翻新件、拆机配件及 OEM 改装零部件。</w:t>
      </w:r>
    </w:p>
    <w:p w14:paraId="4F0D2152">
      <w:pPr>
        <w:pStyle w:val="125"/>
        <w:tabs>
          <w:tab w:val="left" w:pos="0"/>
        </w:tabs>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7、项目集成竣工后，实现硬件状态监控、算力资源调度、AI 课程实训、推理服务调用、词元计费结算各模块互联互通、数据互通。</w:t>
      </w:r>
    </w:p>
    <w:p w14:paraId="13520D90">
      <w:pPr>
        <w:pStyle w:val="125"/>
        <w:tabs>
          <w:tab w:val="left" w:pos="0"/>
        </w:tabs>
        <w:spacing w:line="360" w:lineRule="auto"/>
        <w:ind w:firstLine="240" w:firstLineChars="100"/>
        <w:rPr>
          <w:rFonts w:cs="宋体" w:asciiTheme="minorEastAsia" w:hAnsiTheme="minorEastAsia" w:eastAsiaTheme="minorEastAsia"/>
          <w:sz w:val="24"/>
          <w:szCs w:val="24"/>
        </w:rPr>
      </w:pPr>
    </w:p>
    <w:p w14:paraId="6AE3832A">
      <w:pPr>
        <w:pStyle w:val="107"/>
        <w:widowControl/>
        <w:suppressAutoHyphens w:val="0"/>
        <w:adjustRightInd w:val="0"/>
        <w:snapToGrid w:val="0"/>
        <w:spacing w:line="360" w:lineRule="auto"/>
        <w:ind w:firstLine="0"/>
        <w:jc w:val="left"/>
        <w:rPr>
          <w:rFonts w:cs="宋体" w:asciiTheme="minorEastAsia" w:hAnsiTheme="minorEastAsia" w:eastAsiaTheme="minorEastAsia"/>
          <w:spacing w:val="8"/>
          <w:sz w:val="24"/>
          <w:szCs w:val="24"/>
        </w:rPr>
      </w:pPr>
      <w:r>
        <w:rPr>
          <w:rFonts w:hint="eastAsia" w:cs="宋体" w:asciiTheme="minorEastAsia" w:hAnsiTheme="minorEastAsia" w:eastAsiaTheme="minorEastAsia"/>
          <w:spacing w:val="8"/>
          <w:sz w:val="24"/>
          <w:szCs w:val="24"/>
        </w:rPr>
        <w:t>（二）安全要求</w:t>
      </w:r>
    </w:p>
    <w:p w14:paraId="352BDDE4">
      <w:pPr>
        <w:pStyle w:val="107"/>
        <w:widowControl/>
        <w:suppressAutoHyphens w:val="0"/>
        <w:adjustRightInd w:val="0"/>
        <w:snapToGrid w:val="0"/>
        <w:spacing w:line="360" w:lineRule="auto"/>
        <w:ind w:firstLine="480" w:firstLineChars="200"/>
        <w:jc w:val="left"/>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1.若遇突发事件供应商应在第一时间按照流程上报，并派员协助校方职能部门进行相关工作。</w:t>
      </w:r>
    </w:p>
    <w:p w14:paraId="6EEC4293">
      <w:pPr>
        <w:pStyle w:val="107"/>
        <w:widowControl/>
        <w:suppressAutoHyphens w:val="0"/>
        <w:adjustRightInd w:val="0"/>
        <w:snapToGrid w:val="0"/>
        <w:spacing w:line="360" w:lineRule="auto"/>
        <w:ind w:firstLine="480" w:firstLineChars="200"/>
        <w:jc w:val="left"/>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2.制定各类风险工作预备方案，人员、物资准备、突发事件处置都有强大技术支持和应付能力。</w:t>
      </w:r>
    </w:p>
    <w:p w14:paraId="78C2FDEE">
      <w:pPr>
        <w:pStyle w:val="107"/>
        <w:widowControl/>
        <w:suppressAutoHyphens w:val="0"/>
        <w:adjustRightInd w:val="0"/>
        <w:snapToGrid w:val="0"/>
        <w:spacing w:line="360" w:lineRule="auto"/>
        <w:jc w:val="left"/>
        <w:rPr>
          <w:rFonts w:cs="宋体" w:asciiTheme="minorEastAsia" w:hAnsiTheme="minorEastAsia" w:eastAsiaTheme="minorEastAsia"/>
          <w:kern w:val="2"/>
          <w:sz w:val="24"/>
          <w:szCs w:val="24"/>
        </w:rPr>
      </w:pPr>
      <w:r>
        <w:rPr>
          <w:rFonts w:cs="宋体" w:asciiTheme="minorEastAsia" w:hAnsiTheme="minorEastAsia" w:eastAsiaTheme="minorEastAsia"/>
          <w:kern w:val="2"/>
          <w:sz w:val="24"/>
          <w:szCs w:val="24"/>
        </w:rPr>
        <w:t>3</w:t>
      </w:r>
      <w:r>
        <w:rPr>
          <w:rFonts w:hint="eastAsia" w:cs="宋体" w:asciiTheme="minorEastAsia" w:hAnsiTheme="minorEastAsia" w:eastAsiaTheme="minorEastAsia"/>
          <w:kern w:val="2"/>
          <w:sz w:val="24"/>
          <w:szCs w:val="24"/>
        </w:rPr>
        <w:t>.</w:t>
      </w:r>
      <w:r>
        <w:rPr>
          <w:rFonts w:hint="eastAsia" w:asciiTheme="minorEastAsia" w:hAnsiTheme="minorEastAsia" w:eastAsiaTheme="minorEastAsia"/>
          <w:sz w:val="28"/>
          <w:szCs w:val="28"/>
        </w:rPr>
        <w:t xml:space="preserve"> </w:t>
      </w:r>
      <w:r>
        <w:rPr>
          <w:rFonts w:hint="eastAsia" w:cs="宋体" w:asciiTheme="minorEastAsia" w:hAnsiTheme="minorEastAsia" w:eastAsiaTheme="minorEastAsia"/>
          <w:kern w:val="2"/>
          <w:sz w:val="24"/>
          <w:szCs w:val="24"/>
        </w:rPr>
        <w:t>供应商对上海立信会计金融学院的技术秘密、商业秘密等一切信息负有保密责任。供应商不得以任何方式向任何其他组织或个人泄露、转让、许可使用、交换、赠与该信息或与任何其他组织或个人共同使用或不正当使用该信息。对造成损失的供应商应负相关的法律责任。</w:t>
      </w:r>
    </w:p>
    <w:p w14:paraId="6B948F77">
      <w:pPr>
        <w:pStyle w:val="107"/>
        <w:widowControl/>
        <w:suppressAutoHyphens w:val="0"/>
        <w:adjustRightInd w:val="0"/>
        <w:snapToGrid w:val="0"/>
        <w:spacing w:line="360" w:lineRule="auto"/>
        <w:jc w:val="left"/>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设备系统中有涉及学校重要信息的遵守保密约定，不得泄密学校保密信息，应加强服务人员保密教育，按要求与员工签订保密协议。</w:t>
      </w:r>
    </w:p>
    <w:p w14:paraId="3D50B9BF">
      <w:pPr>
        <w:pStyle w:val="107"/>
        <w:widowControl/>
        <w:suppressAutoHyphens w:val="0"/>
        <w:adjustRightInd w:val="0"/>
        <w:snapToGrid w:val="0"/>
        <w:spacing w:line="360" w:lineRule="auto"/>
        <w:jc w:val="left"/>
        <w:rPr>
          <w:rFonts w:cs="宋体" w:asciiTheme="minorEastAsia" w:hAnsiTheme="minorEastAsia" w:eastAsiaTheme="minorEastAsia"/>
          <w:kern w:val="2"/>
          <w:sz w:val="24"/>
          <w:szCs w:val="24"/>
        </w:rPr>
      </w:pPr>
      <w:r>
        <w:rPr>
          <w:rFonts w:cs="宋体" w:asciiTheme="minorEastAsia" w:hAnsiTheme="minorEastAsia" w:eastAsiaTheme="minorEastAsia"/>
          <w:kern w:val="2"/>
          <w:sz w:val="24"/>
          <w:szCs w:val="24"/>
        </w:rPr>
        <w:t>保密义务在</w:t>
      </w:r>
      <w:r>
        <w:rPr>
          <w:rFonts w:hint="eastAsia" w:cs="宋体" w:asciiTheme="minorEastAsia" w:hAnsiTheme="minorEastAsia" w:eastAsiaTheme="minorEastAsia"/>
          <w:kern w:val="2"/>
          <w:sz w:val="24"/>
          <w:szCs w:val="24"/>
        </w:rPr>
        <w:t>服务期间</w:t>
      </w:r>
      <w:r>
        <w:rPr>
          <w:rFonts w:cs="宋体" w:asciiTheme="minorEastAsia" w:hAnsiTheme="minorEastAsia" w:eastAsiaTheme="minorEastAsia"/>
          <w:kern w:val="2"/>
          <w:sz w:val="24"/>
          <w:szCs w:val="24"/>
        </w:rPr>
        <w:t>届满或终止后持续有效。</w:t>
      </w:r>
    </w:p>
    <w:p w14:paraId="5CF2B56B">
      <w:pPr>
        <w:pStyle w:val="107"/>
        <w:widowControl/>
        <w:suppressAutoHyphens w:val="0"/>
        <w:adjustRightInd w:val="0"/>
        <w:snapToGrid w:val="0"/>
        <w:spacing w:line="360" w:lineRule="auto"/>
        <w:ind w:firstLine="480" w:firstLineChars="200"/>
        <w:jc w:val="left"/>
        <w:rPr>
          <w:rFonts w:cs="宋体" w:asciiTheme="minorEastAsia" w:hAnsiTheme="minorEastAsia" w:eastAsiaTheme="minorEastAsia"/>
          <w:kern w:val="2"/>
          <w:sz w:val="24"/>
          <w:szCs w:val="24"/>
        </w:rPr>
      </w:pPr>
      <w:r>
        <w:rPr>
          <w:rFonts w:cs="宋体" w:asciiTheme="minorEastAsia" w:hAnsiTheme="minorEastAsia" w:eastAsiaTheme="minorEastAsia"/>
          <w:kern w:val="2"/>
          <w:sz w:val="24"/>
          <w:szCs w:val="24"/>
        </w:rPr>
        <w:t>4</w:t>
      </w:r>
      <w:r>
        <w:rPr>
          <w:rFonts w:hint="eastAsia" w:cs="宋体" w:asciiTheme="minorEastAsia" w:hAnsiTheme="minorEastAsia" w:eastAsiaTheme="minorEastAsia"/>
          <w:kern w:val="2"/>
          <w:sz w:val="24"/>
          <w:szCs w:val="24"/>
        </w:rPr>
        <w:t>.供应商应建立健全各项管理制度，操作流程，各种信息都有记录并及时归档。</w:t>
      </w:r>
    </w:p>
    <w:p w14:paraId="6626AC53">
      <w:pPr>
        <w:suppressAutoHyphens w:val="0"/>
        <w:adjustRightInd w:val="0"/>
        <w:snapToGrid w:val="0"/>
        <w:spacing w:line="360" w:lineRule="auto"/>
        <w:ind w:left="360"/>
        <w:rPr>
          <w:rFonts w:cs="宋体" w:asciiTheme="minorEastAsia" w:hAnsiTheme="minorEastAsia" w:eastAsiaTheme="minorEastAsia"/>
          <w:spacing w:val="8"/>
          <w:sz w:val="24"/>
          <w:szCs w:val="24"/>
        </w:rPr>
      </w:pPr>
      <w:r>
        <w:rPr>
          <w:rFonts w:hint="eastAsia" w:cs="宋体" w:asciiTheme="minorEastAsia" w:hAnsiTheme="minorEastAsia" w:eastAsiaTheme="minorEastAsia"/>
          <w:spacing w:val="8"/>
          <w:sz w:val="24"/>
          <w:szCs w:val="24"/>
        </w:rPr>
        <w:t>（三）</w:t>
      </w:r>
      <w:r>
        <w:rPr>
          <w:rFonts w:hint="eastAsia" w:cs="宋体" w:asciiTheme="minorEastAsia" w:hAnsiTheme="minorEastAsia" w:eastAsiaTheme="minorEastAsia"/>
          <w:sz w:val="24"/>
          <w:szCs w:val="24"/>
        </w:rPr>
        <w:t>应急维护要求</w:t>
      </w:r>
    </w:p>
    <w:p w14:paraId="74ADDFEA">
      <w:pPr>
        <w:pStyle w:val="124"/>
        <w:spacing w:line="360" w:lineRule="auto"/>
        <w:ind w:firstLine="480"/>
        <w:rPr>
          <w:rFonts w:cs="宋体" w:asciiTheme="minorEastAsia" w:hAnsiTheme="minorEastAsia" w:eastAsiaTheme="minorEastAsia"/>
          <w:sz w:val="24"/>
          <w:szCs w:val="24"/>
        </w:rPr>
      </w:pPr>
      <w:r>
        <w:rPr>
          <w:rFonts w:cs="宋体" w:asciiTheme="minorEastAsia" w:hAnsiTheme="minorEastAsia" w:eastAsiaTheme="minorEastAsia"/>
          <w:sz w:val="24"/>
          <w:szCs w:val="24"/>
        </w:rPr>
        <w:t>1</w:t>
      </w:r>
      <w:r>
        <w:rPr>
          <w:rFonts w:hint="eastAsia" w:cs="宋体" w:asciiTheme="minorEastAsia" w:hAnsiTheme="minorEastAsia" w:eastAsiaTheme="minorEastAsia"/>
          <w:sz w:val="24"/>
          <w:szCs w:val="24"/>
        </w:rPr>
        <w:t>．设备正常运行期间，一旦发现设备不能正常工作，导致设备瘫痪或重要功能失效时，供应商应立即响应进行故障排查。</w:t>
      </w:r>
    </w:p>
    <w:p w14:paraId="4D740633">
      <w:pPr>
        <w:pStyle w:val="124"/>
        <w:spacing w:line="360" w:lineRule="auto"/>
        <w:ind w:firstLine="480"/>
        <w:rPr>
          <w:rFonts w:cs="宋体"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．对未能在</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小时内修复故障，供应商应立即启动应急预案，并同时向学校相关部门上报故障初步原因、造成的影响程度及临时采取的应急措施，并及时组织人员、备件或其它可用资源，尽快排除故障，恢复系统正常工作。</w:t>
      </w:r>
    </w:p>
    <w:p w14:paraId="771EA578">
      <w:pPr>
        <w:pStyle w:val="124"/>
        <w:spacing w:line="360" w:lineRule="auto"/>
        <w:ind w:firstLine="480"/>
        <w:rPr>
          <w:rFonts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．供应商完成应急维护工作结束后的24小时内，填写系统应急服务维修记录单，说明故障详细原因、采取的修复方法等信息，并由应急维护负责人签字，经用户方确认签字后，一式肆份存档。</w:t>
      </w:r>
    </w:p>
    <w:p w14:paraId="6DBEEFB7">
      <w:pPr>
        <w:pStyle w:val="124"/>
        <w:spacing w:line="360" w:lineRule="auto"/>
        <w:ind w:firstLine="480"/>
        <w:rPr>
          <w:rFonts w:cs="宋体" w:asciiTheme="minorEastAsia" w:hAnsiTheme="minorEastAsia" w:eastAsiaTheme="minorEastAsia"/>
          <w:sz w:val="24"/>
          <w:szCs w:val="24"/>
        </w:rPr>
      </w:pP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．一旦现场应急维护人员无法处理故障问题时，供应商应及时调派具有相应能力的工程师前来处理。</w:t>
      </w:r>
    </w:p>
    <w:p w14:paraId="50FF3AE3">
      <w:pPr>
        <w:pStyle w:val="124"/>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（四）其它要求</w:t>
      </w:r>
    </w:p>
    <w:p w14:paraId="6A82F698">
      <w:pPr>
        <w:pStyle w:val="124"/>
        <w:spacing w:line="360" w:lineRule="auto"/>
        <w:ind w:firstLine="48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供应商在设备安装调试实施期间为确保安装作业区域及周围环节的整洁和不影响其他活动正常进行，严格执行国家和上海市有关安全文明施工（安装）管理的法律、法规和政策，积极主动加强和落实安全文明施工及环境保护等有关管理工作，并按规定承担相应费用。供应商若违反规定野蛮施工、违章作业等原因造成的一切损失和责任由供应商承担。</w:t>
      </w:r>
    </w:p>
    <w:p w14:paraId="3D3B2725">
      <w:pPr>
        <w:pStyle w:val="124"/>
        <w:spacing w:line="360" w:lineRule="auto"/>
        <w:ind w:firstLine="48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供应商在货物供货前应对学校所需货物的技术资料和使用条件报学校认可后方可订货（组织、生产）、供货。本项目调试安排及试用期间管理将纳入学校的管理范围，供应商在此过程中须服从学校的管理协调。</w:t>
      </w:r>
    </w:p>
    <w:p w14:paraId="21598EEF">
      <w:pPr>
        <w:pStyle w:val="124"/>
        <w:spacing w:line="360" w:lineRule="auto"/>
        <w:ind w:firstLine="48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本项目涉及商品包装盒快递包装的，除采购需求另有要求外，供应商所出售的货物包装应参照财政部办公厅、生态环境部办公厅以及国家邮政局办公室联合发布的《商品包装政府采购需求标准（试行）》《快递包装政府采购需求标准（试行）》执行。</w:t>
      </w:r>
    </w:p>
    <w:p w14:paraId="03CD2E29">
      <w:pPr>
        <w:pStyle w:val="124"/>
        <w:spacing w:line="360" w:lineRule="auto"/>
        <w:ind w:firstLine="480"/>
        <w:rPr>
          <w:rFonts w:cs="宋体" w:asciiTheme="minorEastAsia" w:hAnsiTheme="minorEastAsia" w:eastAsiaTheme="minorEastAsia"/>
          <w:sz w:val="24"/>
          <w:szCs w:val="24"/>
        </w:rPr>
      </w:pPr>
    </w:p>
    <w:p w14:paraId="71708B5F">
      <w:pPr>
        <w:pStyle w:val="3"/>
        <w:numPr>
          <w:ilvl w:val="0"/>
          <w:numId w:val="2"/>
        </w:numPr>
        <w:suppressAutoHyphens w:val="0"/>
        <w:spacing w:before="0" w:after="0"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售后服务</w:t>
      </w:r>
    </w:p>
    <w:p w14:paraId="059FA95C">
      <w:pPr>
        <w:pStyle w:val="125"/>
        <w:tabs>
          <w:tab w:val="left" w:pos="0"/>
        </w:tabs>
        <w:spacing w:line="360" w:lineRule="auto"/>
        <w:ind w:firstLineChars="0"/>
        <w:rPr>
          <w:rFonts w:cs="宋体" w:asciiTheme="minorEastAsia" w:hAnsiTheme="minorEastAsia" w:eastAsiaTheme="minorEastAsia"/>
          <w:sz w:val="24"/>
          <w:szCs w:val="24"/>
        </w:rPr>
      </w:pPr>
      <w:r>
        <w:rPr>
          <w:rFonts w:cs="宋体" w:asciiTheme="minorEastAsia" w:hAnsiTheme="minorEastAsia" w:eastAsiaTheme="minorEastAsia"/>
          <w:sz w:val="24"/>
          <w:szCs w:val="24"/>
        </w:rPr>
        <w:t>1</w:t>
      </w:r>
      <w:r>
        <w:rPr>
          <w:rFonts w:hint="eastAsia" w:cs="宋体" w:asciiTheme="minorEastAsia" w:hAnsiTheme="minorEastAsia" w:eastAsiaTheme="minorEastAsia"/>
          <w:sz w:val="24"/>
          <w:szCs w:val="24"/>
        </w:rPr>
        <w:t>.质量保修期：</w:t>
      </w:r>
      <w:r>
        <w:rPr>
          <w:rFonts w:hint="eastAsia" w:cs="宋体" w:asciiTheme="minorEastAsia" w:hAnsiTheme="minorEastAsia" w:eastAsiaTheme="minorEastAsia"/>
          <w:sz w:val="24"/>
          <w:szCs w:val="24"/>
          <w:lang w:eastAsia="zh-CN"/>
        </w:rPr>
        <w:t>系统整体提供</w:t>
      </w:r>
      <w:r>
        <w:rPr>
          <w:rFonts w:hint="eastAsia" w:cs="宋体" w:asciiTheme="minorEastAsia" w:hAnsiTheme="minorEastAsia" w:eastAsiaTheme="minorEastAsia"/>
          <w:sz w:val="24"/>
          <w:szCs w:val="24"/>
        </w:rPr>
        <w:t>自验收通过之日起不少于36个月的免费质保</w:t>
      </w:r>
      <w:r>
        <w:rPr>
          <w:rFonts w:hint="eastAsia" w:cs="宋体" w:asciiTheme="minorEastAsia" w:hAnsiTheme="minorEastAsia" w:eastAsiaTheme="minorEastAsia"/>
          <w:sz w:val="24"/>
          <w:szCs w:val="24"/>
          <w:lang w:eastAsia="zh-CN"/>
        </w:rPr>
        <w:t>，其中硬件和成品软件提供不少于36个月的免费原厂质保</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eastAsia="zh-CN"/>
        </w:rPr>
        <w:t>质保</w:t>
      </w:r>
      <w:r>
        <w:rPr>
          <w:rFonts w:hint="eastAsia" w:cs="宋体" w:asciiTheme="minorEastAsia" w:hAnsiTheme="minorEastAsia" w:eastAsiaTheme="minorEastAsia"/>
          <w:sz w:val="24"/>
          <w:szCs w:val="24"/>
        </w:rPr>
        <w:t>期内，供应商应提供设备巡检等维护服务，且每年不少于2次；保修期内设备发生故障，应派人维修，不再收取人工费、材料费、设备费等任何费用。</w:t>
      </w:r>
    </w:p>
    <w:p w14:paraId="5930ECFC">
      <w:pPr>
        <w:pStyle w:val="125"/>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2.供应商应为设备听足够的备品配件、附件和易损件，并保证是原厂生产的产品，以满足设备正常运行和维修的需要。</w:t>
      </w:r>
    </w:p>
    <w:p w14:paraId="45007316">
      <w:pPr>
        <w:pStyle w:val="125"/>
        <w:tabs>
          <w:tab w:val="left" w:pos="0"/>
        </w:tabs>
        <w:spacing w:line="360" w:lineRule="auto"/>
        <w:ind w:firstLineChars="0"/>
        <w:rPr>
          <w:rFonts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.供应商应建立维护工作流程，做好维护记录。</w:t>
      </w:r>
    </w:p>
    <w:p w14:paraId="3D4BF047">
      <w:pPr>
        <w:pStyle w:val="125"/>
        <w:tabs>
          <w:tab w:val="left" w:pos="0"/>
        </w:tabs>
        <w:spacing w:line="360" w:lineRule="auto"/>
        <w:ind w:firstLineChars="0"/>
        <w:rPr>
          <w:rFonts w:cs="宋体" w:asciiTheme="minorEastAsia" w:hAnsiTheme="minorEastAsia" w:eastAsiaTheme="minorEastAsia"/>
          <w:sz w:val="24"/>
          <w:szCs w:val="24"/>
        </w:rPr>
      </w:pP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w:t>
      </w:r>
      <w:r>
        <w:rPr>
          <w:rFonts w:hint="eastAsia" w:asciiTheme="minorEastAsia" w:hAnsiTheme="minorEastAsia" w:eastAsiaTheme="minorEastAsia"/>
        </w:rPr>
        <w:t xml:space="preserve"> </w:t>
      </w:r>
      <w:r>
        <w:rPr>
          <w:rFonts w:hint="eastAsia" w:cs="宋体" w:asciiTheme="minorEastAsia" w:hAnsiTheme="minorEastAsia" w:eastAsiaTheme="minorEastAsia"/>
          <w:sz w:val="24"/>
          <w:szCs w:val="24"/>
        </w:rPr>
        <w:t>在接到故障通知后60分钟内响应，故障备件次日出库更换；平台软件终身提供安全补丁，3 年内免费享受软件版本迭代升级维护。48小时无法排除故障时，供应商需提供相同型号备用设备，以保证正常使用。</w:t>
      </w:r>
    </w:p>
    <w:p w14:paraId="254DB31B">
      <w:pPr>
        <w:pStyle w:val="125"/>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5、供应商须根据现场实际情况出具相应的设备定位图、管道线路说明图、设备连线图等。</w:t>
      </w:r>
    </w:p>
    <w:p w14:paraId="30DCC815">
      <w:pPr>
        <w:pStyle w:val="125"/>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6、供应商不得在实施过程中擅自更换投标书及合同中所列任何设备的品牌、型号等，或擅自变更设计方案及系统拓扑的，一律按严重违约处理，并按照合同规定追究责任。</w:t>
      </w:r>
    </w:p>
    <w:p w14:paraId="20F4AD17">
      <w:pPr>
        <w:pStyle w:val="125"/>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7、培训要求：供应商免费提供相关培训课程，必须提供满足设备系统建设、管理、维护等要求的技术培训服务，并达到预定的培训目标。</w:t>
      </w:r>
    </w:p>
    <w:p w14:paraId="65A10E90">
      <w:pPr>
        <w:pStyle w:val="125"/>
        <w:tabs>
          <w:tab w:val="left" w:pos="0"/>
        </w:tabs>
        <w:spacing w:line="360" w:lineRule="auto"/>
        <w:ind w:firstLineChars="0"/>
        <w:rPr>
          <w:rFonts w:cs="宋体" w:asciiTheme="minorEastAsia" w:hAnsiTheme="minorEastAsia" w:eastAsiaTheme="minorEastAsia"/>
          <w:sz w:val="24"/>
          <w:szCs w:val="24"/>
        </w:rPr>
      </w:pPr>
    </w:p>
    <w:p w14:paraId="6EB8A7E4">
      <w:pPr>
        <w:pStyle w:val="3"/>
        <w:numPr>
          <w:ilvl w:val="0"/>
          <w:numId w:val="2"/>
        </w:numPr>
        <w:suppressAutoHyphens w:val="0"/>
        <w:spacing w:before="0" w:after="0"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质量标准与验收要求</w:t>
      </w:r>
    </w:p>
    <w:p w14:paraId="3D0DC027">
      <w:pPr>
        <w:pStyle w:val="125"/>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1.供应商提供的产品和相关服务应符合国家和上海市与本项目有关的各项质量和安全标准、规范和验收要求以及相关政府管理部门和行业有关规定和规程。安装后，设备应满足环保、节能与环境使用要求。</w:t>
      </w:r>
    </w:p>
    <w:p w14:paraId="0670EFE1">
      <w:pPr>
        <w:pStyle w:val="125"/>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w:t>
      </w:r>
      <w:r>
        <w:rPr>
          <w:rFonts w:cs="宋体" w:asciiTheme="minorEastAsia" w:hAnsiTheme="minorEastAsia" w:eastAsiaTheme="minorEastAsia"/>
          <w:sz w:val="24"/>
          <w:szCs w:val="24"/>
        </w:rPr>
        <w:t>.</w:t>
      </w:r>
      <w:bookmarkStart w:id="6" w:name="OLE_LINK8"/>
      <w:bookmarkStart w:id="7" w:name="OLE_LINK7"/>
      <w:r>
        <w:rPr>
          <w:rFonts w:hint="eastAsia" w:cs="宋体" w:asciiTheme="minorEastAsia" w:hAnsiTheme="minorEastAsia" w:eastAsiaTheme="minorEastAsia"/>
          <w:sz w:val="24"/>
          <w:szCs w:val="24"/>
        </w:rPr>
        <w:t>项目实施完毕后，学校组织专家进行验收，供应商应提供相关验收材料，材料包括供货单，项目验收报告等。</w:t>
      </w:r>
      <w:bookmarkEnd w:id="6"/>
      <w:bookmarkEnd w:id="7"/>
    </w:p>
    <w:p w14:paraId="5391686A">
      <w:pPr>
        <w:pStyle w:val="125"/>
        <w:tabs>
          <w:tab w:val="left" w:pos="0"/>
        </w:tabs>
        <w:spacing w:line="360" w:lineRule="auto"/>
        <w:ind w:firstLineChars="0"/>
        <w:rPr>
          <w:rFonts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.如验收未通过，学校有权要求按合同约定的违约条款进行处理。</w:t>
      </w:r>
    </w:p>
    <w:p w14:paraId="568F5840">
      <w:pPr>
        <w:pStyle w:val="125"/>
        <w:tabs>
          <w:tab w:val="left" w:pos="0"/>
        </w:tabs>
        <w:spacing w:line="360" w:lineRule="auto"/>
        <w:ind w:firstLineChars="0"/>
        <w:rPr>
          <w:rFonts w:cs="宋体" w:asciiTheme="minorEastAsia" w:hAnsiTheme="minorEastAsia" w:eastAsiaTheme="minorEastAsia"/>
          <w:sz w:val="24"/>
          <w:szCs w:val="24"/>
        </w:rPr>
      </w:pP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.验收要求：</w:t>
      </w:r>
    </w:p>
    <w:p w14:paraId="77F3BF30">
      <w:pPr>
        <w:pStyle w:val="125"/>
        <w:numPr>
          <w:ilvl w:val="0"/>
          <w:numId w:val="5"/>
        </w:numPr>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产品规格参数与投标文件内容保持一致，无硬件降配、配件私自替换问题；整机硬件自检、GPU 识别、存储、网络、BMC 带外管理各项功能运行正常。</w:t>
      </w:r>
    </w:p>
    <w:p w14:paraId="5CFA79F7">
      <w:pPr>
        <w:pStyle w:val="125"/>
        <w:numPr>
          <w:ilvl w:val="0"/>
          <w:numId w:val="5"/>
        </w:numPr>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算力调度平台全部部署完毕，集群跨两台服务器资源互通、调度正常。</w:t>
      </w:r>
    </w:p>
    <w:p w14:paraId="1025D75E">
      <w:pPr>
        <w:pStyle w:val="125"/>
        <w:numPr>
          <w:ilvl w:val="0"/>
          <w:numId w:val="5"/>
        </w:numPr>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支持 50～100 名用户同时在线登录，开展模型分布式训练、AI 推理、大模型词元调用无卡顿； </w:t>
      </w:r>
    </w:p>
    <w:p w14:paraId="16C3F470">
      <w:pPr>
        <w:pStyle w:val="125"/>
        <w:numPr>
          <w:ilvl w:val="0"/>
          <w:numId w:val="5"/>
        </w:numPr>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整套集成系统连续 72 小时不间断试运行，无宕机、无系统性报错，算力调度异常告警功能触发准确有效。</w:t>
      </w:r>
    </w:p>
    <w:p w14:paraId="740767D1">
      <w:pPr>
        <w:pStyle w:val="125"/>
        <w:numPr>
          <w:ilvl w:val="0"/>
          <w:numId w:val="5"/>
        </w:numPr>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全套项目技术文档完整移交，完成现场实操教学培训，各方签字确认项目验收。</w:t>
      </w:r>
    </w:p>
    <w:p w14:paraId="3803573A">
      <w:pPr>
        <w:pStyle w:val="125"/>
        <w:tabs>
          <w:tab w:val="left" w:pos="0"/>
        </w:tabs>
        <w:spacing w:line="360" w:lineRule="auto"/>
        <w:ind w:firstLineChars="0"/>
        <w:rPr>
          <w:rFonts w:cs="宋体" w:asciiTheme="minorEastAsia" w:hAnsiTheme="minorEastAsia" w:eastAsiaTheme="minorEastAsia"/>
          <w:sz w:val="24"/>
          <w:szCs w:val="24"/>
        </w:rPr>
      </w:pPr>
    </w:p>
    <w:p w14:paraId="7FC58118">
      <w:pPr>
        <w:pStyle w:val="3"/>
        <w:numPr>
          <w:ilvl w:val="0"/>
          <w:numId w:val="2"/>
        </w:numPr>
        <w:suppressAutoHyphens w:val="0"/>
        <w:spacing w:before="0" w:after="0"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报价及说明</w:t>
      </w:r>
    </w:p>
    <w:p w14:paraId="56F684D5">
      <w:pPr>
        <w:pStyle w:val="125"/>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1、报价：按设备清单分项报价，包含配件、材料、运输、人工费、售后服务、安装、调试、保险、搬运费、税金等一切费用。</w:t>
      </w:r>
    </w:p>
    <w:p w14:paraId="4A52CDBF">
      <w:pPr>
        <w:pStyle w:val="125"/>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2、论证报价说明</w:t>
      </w:r>
      <w:r>
        <w:rPr>
          <w:rFonts w:hint="eastAsia" w:cs="宋体" w:asciiTheme="minorEastAsia" w:hAnsiTheme="minorEastAsia" w:eastAsiaTheme="minorEastAsia"/>
          <w:sz w:val="24"/>
          <w:szCs w:val="24"/>
        </w:rPr>
        <w:tab/>
      </w:r>
    </w:p>
    <w:p w14:paraId="65AC0794">
      <w:pPr>
        <w:pStyle w:val="125"/>
        <w:tabs>
          <w:tab w:val="left" w:pos="0"/>
        </w:tabs>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供应商应根据企业自身实际情况和管理优势进行报价。供应商在投标报价时应充分考虑项目大小、复杂程度、难易程度等情况及服务周期长短，并充分考虑服务期间的市场价格变化和政策性调整带来的各种风险，供应商应根据各自的经验自行测算期间的所有费用，并计入报价。确定后不得以不完全了解项目情况为借口，向学校提出额外收取费用等补偿的要求，对此学校不作任何考虑。</w:t>
      </w:r>
    </w:p>
    <w:p w14:paraId="610D9D38">
      <w:pPr>
        <w:spacing w:line="360" w:lineRule="auto"/>
        <w:ind w:firstLine="0" w:firstLineChars="0"/>
        <w:rPr>
          <w:rFonts w:cs="宋体" w:asciiTheme="minorEastAsia" w:hAnsiTheme="minorEastAsia" w:eastAsiaTheme="minorEastAsia"/>
          <w:bCs/>
          <w:sz w:val="24"/>
          <w:szCs w:val="24"/>
        </w:rPr>
      </w:pPr>
    </w:p>
    <w:sectPr>
      <w:headerReference r:id="rId3" w:type="default"/>
      <w:pgSz w:w="11906" w:h="16838"/>
      <w:pgMar w:top="1247" w:right="1474" w:bottom="1247" w:left="1474" w:header="851"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楷体_GB2312">
    <w:panose1 w:val="02010609030101010101"/>
    <w:charset w:val="86"/>
    <w:family w:val="modern"/>
    <w:pitch w:val="default"/>
    <w:sig w:usb0="00000001" w:usb1="080E0000" w:usb2="00000000" w:usb3="00000000" w:csb0="00040000" w:csb1="00000000"/>
  </w:font>
  <w:font w:name="Liberation Sans">
    <w:panose1 w:val="020B0604020202020204"/>
    <w:charset w:val="01"/>
    <w:family w:val="swiss"/>
    <w:pitch w:val="default"/>
    <w:sig w:usb0="A00002AF" w:usb1="500078FB" w:usb2="00000000" w:usb3="00000000" w:csb0="6000009F" w:csb1="DFD70000"/>
  </w:font>
  <w:font w:name="Droid Sans Fallback">
    <w:panose1 w:val="020B0502000000000001"/>
    <w:charset w:val="86"/>
    <w:family w:val="auto"/>
    <w:pitch w:val="default"/>
    <w:sig w:usb0="910002FF" w:usb1="2BDFFCFB" w:usb2="00000036" w:usb3="00000000" w:csb0="203F01FF" w:csb1="D7FF0000"/>
  </w:font>
  <w:font w:name="ˎ̥">
    <w:altName w:val="仿宋_GB2312"/>
    <w:panose1 w:val="00000000000000000000"/>
    <w:charset w:val="00"/>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20ADC">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decimal"/>
      <w:lvlText w:val="%1"/>
      <w:lvlJc w:val="left"/>
      <w:pPr>
        <w:tabs>
          <w:tab w:val="left" w:pos="432"/>
        </w:tabs>
        <w:ind w:left="432" w:hanging="432"/>
      </w:pPr>
    </w:lvl>
    <w:lvl w:ilvl="1" w:tentative="0">
      <w:start w:val="1"/>
      <w:numFmt w:val="decimal"/>
      <w:pStyle w:val="119"/>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6DA0881"/>
    <w:multiLevelType w:val="multilevel"/>
    <w:tmpl w:val="06DA088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2C992AA5"/>
    <w:multiLevelType w:val="multilevel"/>
    <w:tmpl w:val="2C992AA5"/>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606F4DBA"/>
    <w:multiLevelType w:val="multilevel"/>
    <w:tmpl w:val="606F4DB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D532CE1"/>
    <w:multiLevelType w:val="multilevel"/>
    <w:tmpl w:val="7D532C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0"/>
  <w:drawingGridVerticalSpacing w:val="0"/>
  <w:doNotUseMarginsForDrawingGridOrigin w:val="1"/>
  <w:drawingGridHorizontalOrigin w:val="0"/>
  <w:drawingGridVerticalOrigin w:val="0"/>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655"/>
    <w:rsid w:val="00006691"/>
    <w:rsid w:val="00006F9D"/>
    <w:rsid w:val="00010C74"/>
    <w:rsid w:val="00011607"/>
    <w:rsid w:val="00015D0F"/>
    <w:rsid w:val="00024277"/>
    <w:rsid w:val="000333E5"/>
    <w:rsid w:val="00042E85"/>
    <w:rsid w:val="00052500"/>
    <w:rsid w:val="0005278C"/>
    <w:rsid w:val="00064F7A"/>
    <w:rsid w:val="00071CD3"/>
    <w:rsid w:val="00075787"/>
    <w:rsid w:val="00080665"/>
    <w:rsid w:val="0008342A"/>
    <w:rsid w:val="00087610"/>
    <w:rsid w:val="00091A1D"/>
    <w:rsid w:val="00094EF6"/>
    <w:rsid w:val="00097BA1"/>
    <w:rsid w:val="000B12EA"/>
    <w:rsid w:val="000F33A4"/>
    <w:rsid w:val="000F39E7"/>
    <w:rsid w:val="001105CB"/>
    <w:rsid w:val="001135F6"/>
    <w:rsid w:val="00125EC1"/>
    <w:rsid w:val="001277B2"/>
    <w:rsid w:val="001309F9"/>
    <w:rsid w:val="00132815"/>
    <w:rsid w:val="00137796"/>
    <w:rsid w:val="00141E60"/>
    <w:rsid w:val="00152294"/>
    <w:rsid w:val="00154D50"/>
    <w:rsid w:val="0016492C"/>
    <w:rsid w:val="00165CF1"/>
    <w:rsid w:val="00171283"/>
    <w:rsid w:val="00172A27"/>
    <w:rsid w:val="001731EC"/>
    <w:rsid w:val="001758D7"/>
    <w:rsid w:val="00175AFD"/>
    <w:rsid w:val="00181CF9"/>
    <w:rsid w:val="00182510"/>
    <w:rsid w:val="001850D1"/>
    <w:rsid w:val="00193DF8"/>
    <w:rsid w:val="001A3551"/>
    <w:rsid w:val="001C1C47"/>
    <w:rsid w:val="001C328A"/>
    <w:rsid w:val="001F161D"/>
    <w:rsid w:val="001F20A8"/>
    <w:rsid w:val="001F3017"/>
    <w:rsid w:val="001F6BD2"/>
    <w:rsid w:val="0020175B"/>
    <w:rsid w:val="00205183"/>
    <w:rsid w:val="00206B1E"/>
    <w:rsid w:val="00207D65"/>
    <w:rsid w:val="00220BB9"/>
    <w:rsid w:val="0023144B"/>
    <w:rsid w:val="002322AF"/>
    <w:rsid w:val="00233ACB"/>
    <w:rsid w:val="00236C57"/>
    <w:rsid w:val="00237F90"/>
    <w:rsid w:val="002411A2"/>
    <w:rsid w:val="002563CF"/>
    <w:rsid w:val="00264504"/>
    <w:rsid w:val="002668D4"/>
    <w:rsid w:val="002761B7"/>
    <w:rsid w:val="00281B77"/>
    <w:rsid w:val="00295179"/>
    <w:rsid w:val="002A50F1"/>
    <w:rsid w:val="002A552A"/>
    <w:rsid w:val="002B1171"/>
    <w:rsid w:val="002B404F"/>
    <w:rsid w:val="002B7940"/>
    <w:rsid w:val="002C3564"/>
    <w:rsid w:val="002C6942"/>
    <w:rsid w:val="002C6DA0"/>
    <w:rsid w:val="002D062B"/>
    <w:rsid w:val="002D2BAC"/>
    <w:rsid w:val="002E5F0D"/>
    <w:rsid w:val="002F12E3"/>
    <w:rsid w:val="002F1312"/>
    <w:rsid w:val="002F4370"/>
    <w:rsid w:val="002F75F7"/>
    <w:rsid w:val="00323DF8"/>
    <w:rsid w:val="00325C26"/>
    <w:rsid w:val="0032617C"/>
    <w:rsid w:val="00342872"/>
    <w:rsid w:val="00345211"/>
    <w:rsid w:val="00345E94"/>
    <w:rsid w:val="00350A59"/>
    <w:rsid w:val="0036577B"/>
    <w:rsid w:val="00365F6D"/>
    <w:rsid w:val="00377C64"/>
    <w:rsid w:val="00393630"/>
    <w:rsid w:val="00395EDE"/>
    <w:rsid w:val="003A0B09"/>
    <w:rsid w:val="003C377C"/>
    <w:rsid w:val="003C5CDB"/>
    <w:rsid w:val="003D1C55"/>
    <w:rsid w:val="003E6C9B"/>
    <w:rsid w:val="003E74A5"/>
    <w:rsid w:val="00405C1B"/>
    <w:rsid w:val="004142FE"/>
    <w:rsid w:val="00414AA3"/>
    <w:rsid w:val="00414EB7"/>
    <w:rsid w:val="00414FDA"/>
    <w:rsid w:val="00417CA3"/>
    <w:rsid w:val="0042014F"/>
    <w:rsid w:val="004218F9"/>
    <w:rsid w:val="00422F4E"/>
    <w:rsid w:val="00423E72"/>
    <w:rsid w:val="00425D8A"/>
    <w:rsid w:val="00426147"/>
    <w:rsid w:val="004306B5"/>
    <w:rsid w:val="004427CF"/>
    <w:rsid w:val="00442A5D"/>
    <w:rsid w:val="00454219"/>
    <w:rsid w:val="00457051"/>
    <w:rsid w:val="00463564"/>
    <w:rsid w:val="0047750D"/>
    <w:rsid w:val="00483B54"/>
    <w:rsid w:val="004931F3"/>
    <w:rsid w:val="00494AEC"/>
    <w:rsid w:val="00496A80"/>
    <w:rsid w:val="00497855"/>
    <w:rsid w:val="004A1B64"/>
    <w:rsid w:val="004A4057"/>
    <w:rsid w:val="004B08BD"/>
    <w:rsid w:val="004B2175"/>
    <w:rsid w:val="004C34B9"/>
    <w:rsid w:val="004D06B9"/>
    <w:rsid w:val="004E5C57"/>
    <w:rsid w:val="004E68B9"/>
    <w:rsid w:val="004F6696"/>
    <w:rsid w:val="00501DC1"/>
    <w:rsid w:val="00506BD2"/>
    <w:rsid w:val="00511AC2"/>
    <w:rsid w:val="005203C7"/>
    <w:rsid w:val="0053384B"/>
    <w:rsid w:val="00553D19"/>
    <w:rsid w:val="00557616"/>
    <w:rsid w:val="005654AB"/>
    <w:rsid w:val="00574F28"/>
    <w:rsid w:val="00576649"/>
    <w:rsid w:val="00582ED2"/>
    <w:rsid w:val="00585649"/>
    <w:rsid w:val="0058577F"/>
    <w:rsid w:val="00591B71"/>
    <w:rsid w:val="005B13B4"/>
    <w:rsid w:val="005B541B"/>
    <w:rsid w:val="005B54C1"/>
    <w:rsid w:val="005B5DFB"/>
    <w:rsid w:val="005D3789"/>
    <w:rsid w:val="005E187D"/>
    <w:rsid w:val="005F3858"/>
    <w:rsid w:val="00604F6C"/>
    <w:rsid w:val="0062297D"/>
    <w:rsid w:val="00624DF8"/>
    <w:rsid w:val="00635827"/>
    <w:rsid w:val="00640C7D"/>
    <w:rsid w:val="00643746"/>
    <w:rsid w:val="00656CDC"/>
    <w:rsid w:val="0065735A"/>
    <w:rsid w:val="006577E6"/>
    <w:rsid w:val="00667F15"/>
    <w:rsid w:val="00671713"/>
    <w:rsid w:val="00671D52"/>
    <w:rsid w:val="00681F44"/>
    <w:rsid w:val="0068216D"/>
    <w:rsid w:val="006B0474"/>
    <w:rsid w:val="006B74A6"/>
    <w:rsid w:val="006C54FB"/>
    <w:rsid w:val="006C7D13"/>
    <w:rsid w:val="006D2B4C"/>
    <w:rsid w:val="006D7D53"/>
    <w:rsid w:val="006E63A8"/>
    <w:rsid w:val="00714699"/>
    <w:rsid w:val="00720BE9"/>
    <w:rsid w:val="007343DC"/>
    <w:rsid w:val="007360A8"/>
    <w:rsid w:val="0074321E"/>
    <w:rsid w:val="00744621"/>
    <w:rsid w:val="007527DC"/>
    <w:rsid w:val="00753BB2"/>
    <w:rsid w:val="00755C9E"/>
    <w:rsid w:val="00773002"/>
    <w:rsid w:val="007B03D2"/>
    <w:rsid w:val="007C035B"/>
    <w:rsid w:val="007F56C3"/>
    <w:rsid w:val="008015F9"/>
    <w:rsid w:val="00806329"/>
    <w:rsid w:val="0082465D"/>
    <w:rsid w:val="00830F81"/>
    <w:rsid w:val="00847423"/>
    <w:rsid w:val="008474F0"/>
    <w:rsid w:val="00847B37"/>
    <w:rsid w:val="00860223"/>
    <w:rsid w:val="008605DD"/>
    <w:rsid w:val="008700FA"/>
    <w:rsid w:val="00870C94"/>
    <w:rsid w:val="0087215F"/>
    <w:rsid w:val="008773BC"/>
    <w:rsid w:val="008A2FE4"/>
    <w:rsid w:val="008B39F2"/>
    <w:rsid w:val="008C5B72"/>
    <w:rsid w:val="008D06AB"/>
    <w:rsid w:val="008E11BB"/>
    <w:rsid w:val="008E1F5B"/>
    <w:rsid w:val="008E441A"/>
    <w:rsid w:val="008E7DB3"/>
    <w:rsid w:val="009001D0"/>
    <w:rsid w:val="00905030"/>
    <w:rsid w:val="00931A9E"/>
    <w:rsid w:val="009332DF"/>
    <w:rsid w:val="00936910"/>
    <w:rsid w:val="00945C1C"/>
    <w:rsid w:val="009615DA"/>
    <w:rsid w:val="00971D8E"/>
    <w:rsid w:val="0098782E"/>
    <w:rsid w:val="0099195C"/>
    <w:rsid w:val="009923F3"/>
    <w:rsid w:val="00992AB8"/>
    <w:rsid w:val="00992B8C"/>
    <w:rsid w:val="009947E5"/>
    <w:rsid w:val="009A3ACD"/>
    <w:rsid w:val="009B1A0F"/>
    <w:rsid w:val="009B2DF5"/>
    <w:rsid w:val="009B3489"/>
    <w:rsid w:val="009B4FD8"/>
    <w:rsid w:val="009B699D"/>
    <w:rsid w:val="00A122C4"/>
    <w:rsid w:val="00A225C4"/>
    <w:rsid w:val="00A377E3"/>
    <w:rsid w:val="00A42BE9"/>
    <w:rsid w:val="00A534A2"/>
    <w:rsid w:val="00A61C39"/>
    <w:rsid w:val="00A645A5"/>
    <w:rsid w:val="00A65ECF"/>
    <w:rsid w:val="00A72F04"/>
    <w:rsid w:val="00A804AF"/>
    <w:rsid w:val="00A8083B"/>
    <w:rsid w:val="00A80E93"/>
    <w:rsid w:val="00A82988"/>
    <w:rsid w:val="00A85697"/>
    <w:rsid w:val="00A927B4"/>
    <w:rsid w:val="00AA6A6F"/>
    <w:rsid w:val="00AC429E"/>
    <w:rsid w:val="00AC64F9"/>
    <w:rsid w:val="00AD2245"/>
    <w:rsid w:val="00AD4B29"/>
    <w:rsid w:val="00AE5FD6"/>
    <w:rsid w:val="00AE6A89"/>
    <w:rsid w:val="00AE6C4E"/>
    <w:rsid w:val="00AF0860"/>
    <w:rsid w:val="00B01841"/>
    <w:rsid w:val="00B07521"/>
    <w:rsid w:val="00B1441C"/>
    <w:rsid w:val="00B17A90"/>
    <w:rsid w:val="00B35167"/>
    <w:rsid w:val="00B536DA"/>
    <w:rsid w:val="00B669B7"/>
    <w:rsid w:val="00B73FF3"/>
    <w:rsid w:val="00B8087C"/>
    <w:rsid w:val="00B87669"/>
    <w:rsid w:val="00B97618"/>
    <w:rsid w:val="00BA3C4E"/>
    <w:rsid w:val="00BA52DB"/>
    <w:rsid w:val="00BA77DF"/>
    <w:rsid w:val="00BB65EC"/>
    <w:rsid w:val="00BC7C6A"/>
    <w:rsid w:val="00BD2248"/>
    <w:rsid w:val="00BF406E"/>
    <w:rsid w:val="00BF4883"/>
    <w:rsid w:val="00BF4C66"/>
    <w:rsid w:val="00C00B9D"/>
    <w:rsid w:val="00C052F4"/>
    <w:rsid w:val="00C2655A"/>
    <w:rsid w:val="00C269FF"/>
    <w:rsid w:val="00C354D8"/>
    <w:rsid w:val="00C463DE"/>
    <w:rsid w:val="00C54D56"/>
    <w:rsid w:val="00C61816"/>
    <w:rsid w:val="00C74912"/>
    <w:rsid w:val="00C77489"/>
    <w:rsid w:val="00C905CF"/>
    <w:rsid w:val="00C90968"/>
    <w:rsid w:val="00C92A9B"/>
    <w:rsid w:val="00CA407A"/>
    <w:rsid w:val="00CB44AA"/>
    <w:rsid w:val="00CC3401"/>
    <w:rsid w:val="00CC6859"/>
    <w:rsid w:val="00CC7522"/>
    <w:rsid w:val="00CD1373"/>
    <w:rsid w:val="00CD4785"/>
    <w:rsid w:val="00CD497A"/>
    <w:rsid w:val="00CE1D7E"/>
    <w:rsid w:val="00CE65E9"/>
    <w:rsid w:val="00D005F8"/>
    <w:rsid w:val="00D052C7"/>
    <w:rsid w:val="00D144AA"/>
    <w:rsid w:val="00D179F6"/>
    <w:rsid w:val="00D20198"/>
    <w:rsid w:val="00D2778E"/>
    <w:rsid w:val="00D47DA4"/>
    <w:rsid w:val="00D624EA"/>
    <w:rsid w:val="00D62E46"/>
    <w:rsid w:val="00D66053"/>
    <w:rsid w:val="00D705A6"/>
    <w:rsid w:val="00D80F10"/>
    <w:rsid w:val="00D90109"/>
    <w:rsid w:val="00D95917"/>
    <w:rsid w:val="00DC2D6C"/>
    <w:rsid w:val="00DF444C"/>
    <w:rsid w:val="00E17F53"/>
    <w:rsid w:val="00E22508"/>
    <w:rsid w:val="00E22EEB"/>
    <w:rsid w:val="00E24B5B"/>
    <w:rsid w:val="00E27F8C"/>
    <w:rsid w:val="00E33513"/>
    <w:rsid w:val="00E34CFA"/>
    <w:rsid w:val="00E34E62"/>
    <w:rsid w:val="00E474FA"/>
    <w:rsid w:val="00E51A78"/>
    <w:rsid w:val="00E70118"/>
    <w:rsid w:val="00E77C37"/>
    <w:rsid w:val="00E87DA5"/>
    <w:rsid w:val="00E91489"/>
    <w:rsid w:val="00E93F57"/>
    <w:rsid w:val="00EB0A8A"/>
    <w:rsid w:val="00EC4FC8"/>
    <w:rsid w:val="00ED46E7"/>
    <w:rsid w:val="00EF582D"/>
    <w:rsid w:val="00F00339"/>
    <w:rsid w:val="00F3207C"/>
    <w:rsid w:val="00F44488"/>
    <w:rsid w:val="00F45B17"/>
    <w:rsid w:val="00F47370"/>
    <w:rsid w:val="00F52492"/>
    <w:rsid w:val="00F62DE3"/>
    <w:rsid w:val="00F6478A"/>
    <w:rsid w:val="00F67A43"/>
    <w:rsid w:val="00F753EC"/>
    <w:rsid w:val="00F8283E"/>
    <w:rsid w:val="00F82B5C"/>
    <w:rsid w:val="00F85E72"/>
    <w:rsid w:val="00F92B2B"/>
    <w:rsid w:val="00FA1BAD"/>
    <w:rsid w:val="00FA7C12"/>
    <w:rsid w:val="00FB2337"/>
    <w:rsid w:val="00FB372C"/>
    <w:rsid w:val="00FB5DD6"/>
    <w:rsid w:val="00FC0FF0"/>
    <w:rsid w:val="00FC7065"/>
    <w:rsid w:val="00FE6389"/>
    <w:rsid w:val="00FF010B"/>
    <w:rsid w:val="00FF37E4"/>
    <w:rsid w:val="00FF7E04"/>
    <w:rsid w:val="019E78D4"/>
    <w:rsid w:val="072F400B"/>
    <w:rsid w:val="0E9D2EF3"/>
    <w:rsid w:val="1797CFF2"/>
    <w:rsid w:val="2536781E"/>
    <w:rsid w:val="299C1B6C"/>
    <w:rsid w:val="3DFA068B"/>
    <w:rsid w:val="472E1ABE"/>
    <w:rsid w:val="4FF1B019"/>
    <w:rsid w:val="57DFDCBE"/>
    <w:rsid w:val="5A3F0C95"/>
    <w:rsid w:val="6AE30830"/>
    <w:rsid w:val="72E2168D"/>
    <w:rsid w:val="76FF9FFB"/>
    <w:rsid w:val="77BFC39C"/>
    <w:rsid w:val="7BBF97FB"/>
    <w:rsid w:val="7BC47DF4"/>
    <w:rsid w:val="7BFF8EAA"/>
    <w:rsid w:val="7DDF293F"/>
    <w:rsid w:val="7ECEFD42"/>
    <w:rsid w:val="7F9F61C5"/>
    <w:rsid w:val="9ADC85B7"/>
    <w:rsid w:val="BFBFADAA"/>
    <w:rsid w:val="FFF567A3"/>
    <w:rsid w:val="FFFD5D4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0"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1"/>
      <w:sz w:val="21"/>
      <w:lang w:val="en-US" w:eastAsia="zh-CN" w:bidi="ar-SA"/>
    </w:rPr>
  </w:style>
  <w:style w:type="paragraph" w:styleId="2">
    <w:name w:val="heading 1"/>
    <w:basedOn w:val="1"/>
    <w:next w:val="1"/>
    <w:qFormat/>
    <w:uiPriority w:val="0"/>
    <w:pPr>
      <w:keepNext/>
      <w:keepLines/>
      <w:spacing w:before="340" w:after="330" w:line="480" w:lineRule="auto"/>
      <w:outlineLvl w:val="0"/>
    </w:pPr>
    <w:rPr>
      <w:b/>
      <w:bCs/>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after="260" w:line="415" w:lineRule="auto"/>
      <w:outlineLvl w:val="2"/>
    </w:pPr>
    <w:rPr>
      <w:b/>
      <w:sz w:val="32"/>
    </w:rPr>
  </w:style>
  <w:style w:type="paragraph" w:styleId="5">
    <w:name w:val="heading 4"/>
    <w:basedOn w:val="1"/>
    <w:next w:val="1"/>
    <w:qFormat/>
    <w:uiPriority w:val="0"/>
    <w:pPr>
      <w:keepNext/>
      <w:keepLines/>
      <w:spacing w:before="280" w:after="290" w:line="374" w:lineRule="auto"/>
      <w:outlineLvl w:val="3"/>
    </w:pPr>
    <w:rPr>
      <w:rFonts w:ascii="Arial" w:hAnsi="Arial" w:eastAsia="黑体" w:cs="Arial"/>
      <w:b/>
      <w:bCs/>
      <w:sz w:val="28"/>
      <w:szCs w:val="28"/>
    </w:rPr>
  </w:style>
  <w:style w:type="paragraph" w:styleId="6">
    <w:name w:val="heading 5"/>
    <w:basedOn w:val="1"/>
    <w:next w:val="1"/>
    <w:link w:val="131"/>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129"/>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29">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127"/>
    <w:qFormat/>
    <w:uiPriority w:val="0"/>
    <w:pPr>
      <w:suppressAutoHyphens w:val="0"/>
      <w:ind w:firstLine="420"/>
    </w:pPr>
    <w:rPr>
      <w:kern w:val="2"/>
    </w:rPr>
  </w:style>
  <w:style w:type="paragraph" w:styleId="9">
    <w:name w:val="caption"/>
    <w:basedOn w:val="1"/>
    <w:next w:val="1"/>
    <w:qFormat/>
    <w:uiPriority w:val="0"/>
    <w:pPr>
      <w:suppressLineNumbers/>
      <w:spacing w:before="120" w:after="120"/>
    </w:pPr>
    <w:rPr>
      <w:i/>
      <w:iCs/>
      <w:sz w:val="24"/>
      <w:szCs w:val="24"/>
    </w:rPr>
  </w:style>
  <w:style w:type="paragraph" w:styleId="10">
    <w:name w:val="annotation text"/>
    <w:basedOn w:val="1"/>
    <w:link w:val="134"/>
    <w:qFormat/>
    <w:uiPriority w:val="0"/>
    <w:pPr>
      <w:jc w:val="left"/>
    </w:pPr>
  </w:style>
  <w:style w:type="paragraph" w:styleId="11">
    <w:name w:val="Body Text"/>
    <w:basedOn w:val="1"/>
    <w:qFormat/>
    <w:uiPriority w:val="0"/>
    <w:pPr>
      <w:spacing w:after="120"/>
    </w:pPr>
  </w:style>
  <w:style w:type="paragraph" w:styleId="12">
    <w:name w:val="Body Text Indent"/>
    <w:basedOn w:val="1"/>
    <w:qFormat/>
    <w:uiPriority w:val="0"/>
    <w:pPr>
      <w:spacing w:after="120"/>
      <w:ind w:left="420"/>
    </w:pPr>
    <w:rPr>
      <w:szCs w:val="24"/>
    </w:rPr>
  </w:style>
  <w:style w:type="paragraph" w:styleId="13">
    <w:name w:val="List 2"/>
    <w:basedOn w:val="1"/>
    <w:qFormat/>
    <w:uiPriority w:val="0"/>
    <w:pPr>
      <w:tabs>
        <w:tab w:val="left" w:pos="851"/>
      </w:tabs>
      <w:ind w:left="851" w:hanging="851"/>
    </w:pPr>
  </w:style>
  <w:style w:type="paragraph" w:styleId="14">
    <w:name w:val="Plain Text"/>
    <w:basedOn w:val="1"/>
    <w:qFormat/>
    <w:uiPriority w:val="0"/>
    <w:pPr>
      <w:widowControl/>
      <w:spacing w:before="280" w:after="280"/>
      <w:jc w:val="left"/>
    </w:pPr>
    <w:rPr>
      <w:rFonts w:ascii="宋体" w:hAnsi="宋体" w:cs="宋体"/>
      <w:color w:val="000000"/>
      <w:sz w:val="24"/>
    </w:rPr>
  </w:style>
  <w:style w:type="paragraph" w:styleId="15">
    <w:name w:val="Date"/>
    <w:basedOn w:val="1"/>
    <w:next w:val="1"/>
    <w:qFormat/>
    <w:uiPriority w:val="0"/>
    <w:rPr>
      <w:rFonts w:ascii="宋体" w:hAnsi="宋体"/>
      <w:sz w:val="28"/>
    </w:rPr>
  </w:style>
  <w:style w:type="paragraph" w:styleId="16">
    <w:name w:val="Body Text Indent 2"/>
    <w:basedOn w:val="1"/>
    <w:qFormat/>
    <w:uiPriority w:val="0"/>
    <w:pPr>
      <w:widowControl/>
      <w:autoSpaceDE w:val="0"/>
      <w:spacing w:line="360" w:lineRule="auto"/>
      <w:ind w:firstLine="560"/>
      <w:jc w:val="left"/>
    </w:pPr>
    <w:rPr>
      <w:rFonts w:ascii="楷体_GB2312" w:hAnsi="楷体_GB2312" w:eastAsia="楷体_GB2312"/>
      <w:sz w:val="28"/>
    </w:rPr>
  </w:style>
  <w:style w:type="paragraph" w:styleId="17">
    <w:name w:val="Balloon Text"/>
    <w:basedOn w:val="1"/>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qFormat/>
    <w:uiPriority w:val="0"/>
    <w:pPr>
      <w:pBdr>
        <w:bottom w:val="single" w:color="000000" w:sz="6" w:space="1"/>
      </w:pBdr>
      <w:tabs>
        <w:tab w:val="center" w:pos="4153"/>
        <w:tab w:val="right" w:pos="8306"/>
      </w:tabs>
      <w:snapToGrid w:val="0"/>
      <w:jc w:val="center"/>
    </w:pPr>
    <w:rPr>
      <w:sz w:val="18"/>
    </w:rPr>
  </w:style>
  <w:style w:type="paragraph" w:styleId="20">
    <w:name w:val="toc 1"/>
    <w:basedOn w:val="1"/>
    <w:next w:val="1"/>
    <w:qFormat/>
    <w:uiPriority w:val="0"/>
  </w:style>
  <w:style w:type="paragraph" w:styleId="21">
    <w:name w:val="List"/>
    <w:basedOn w:val="11"/>
    <w:qFormat/>
    <w:uiPriority w:val="0"/>
  </w:style>
  <w:style w:type="paragraph" w:styleId="22">
    <w:name w:val="Body Text Indent 3"/>
    <w:basedOn w:val="1"/>
    <w:qFormat/>
    <w:uiPriority w:val="0"/>
    <w:pPr>
      <w:spacing w:after="120"/>
      <w:ind w:left="420"/>
    </w:pPr>
    <w:rPr>
      <w:sz w:val="16"/>
      <w:szCs w:val="16"/>
    </w:rPr>
  </w:style>
  <w:style w:type="paragraph" w:styleId="23">
    <w:name w:val="Normal (Web)"/>
    <w:basedOn w:val="1"/>
    <w:qFormat/>
    <w:uiPriority w:val="0"/>
    <w:pPr>
      <w:widowControl/>
      <w:spacing w:before="280" w:after="280"/>
      <w:jc w:val="left"/>
    </w:pPr>
    <w:rPr>
      <w:color w:val="000000"/>
    </w:rPr>
  </w:style>
  <w:style w:type="paragraph" w:styleId="24">
    <w:name w:val="Title"/>
    <w:basedOn w:val="1"/>
    <w:next w:val="11"/>
    <w:qFormat/>
    <w:uiPriority w:val="0"/>
    <w:pPr>
      <w:keepNext/>
      <w:spacing w:before="240" w:after="120"/>
    </w:pPr>
    <w:rPr>
      <w:rFonts w:ascii="Liberation Sans" w:hAnsi="Liberation Sans" w:eastAsia="Droid Sans Fallback" w:cs="Droid Sans Fallback"/>
      <w:sz w:val="28"/>
      <w:szCs w:val="28"/>
    </w:rPr>
  </w:style>
  <w:style w:type="paragraph" w:styleId="25">
    <w:name w:val="annotation subject"/>
    <w:basedOn w:val="10"/>
    <w:next w:val="10"/>
    <w:link w:val="135"/>
    <w:semiHidden/>
    <w:unhideWhenUsed/>
    <w:qFormat/>
    <w:uiPriority w:val="99"/>
    <w:rPr>
      <w:b/>
      <w:bCs/>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8">
    <w:name w:val="Colorful Shading Accent 3"/>
    <w:basedOn w:val="26"/>
    <w:qFormat/>
    <w:uiPriority w:val="0"/>
    <w:rPr>
      <w:kern w:val="2"/>
      <w:sz w:val="21"/>
      <w:szCs w:val="24"/>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EDF2F8"/>
    </w:tcPr>
    <w:tblStylePr w:type="firstRow">
      <w:rPr>
        <w:b/>
        <w:bCs/>
      </w:rPr>
      <w:tblPr/>
      <w:tcPr>
        <w:tcBorders>
          <w:bottom w:val="single" w:color="FFFFFF" w:sz="12" w:space="0"/>
        </w:tcBorders>
        <w:shd w:val="clear" w:color="auto" w:fill="9E3A38"/>
      </w:tcPr>
    </w:tblStylePr>
    <w:tblStylePr w:type="lastRow">
      <w:rPr>
        <w:b/>
        <w:bCs/>
        <w:color w:val="FFFFFF"/>
      </w:rPr>
      <w:tblPr/>
      <w:tcPr>
        <w:tcBorders>
          <w:top w:val="single" w:color="auto" w:sz="12" w:space="0"/>
        </w:tcBorders>
        <w:shd w:val="clear" w:color="auto" w:fill="FFFFFF"/>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30">
    <w:name w:val="page number"/>
    <w:qFormat/>
    <w:uiPriority w:val="0"/>
    <w:rPr>
      <w:rFonts w:ascii="Times New Roman" w:hAnsi="Times New Roman" w:eastAsia="宋体" w:cs="Times New Roman"/>
    </w:rPr>
  </w:style>
  <w:style w:type="character" w:styleId="31">
    <w:name w:val="Hyperlink"/>
    <w:qFormat/>
    <w:uiPriority w:val="0"/>
    <w:rPr>
      <w:rFonts w:ascii="Times New Roman" w:hAnsi="Times New Roman" w:eastAsia="宋体" w:cs="Times New Roman"/>
      <w:color w:val="000080"/>
      <w:u w:val="none"/>
    </w:rPr>
  </w:style>
  <w:style w:type="character" w:styleId="32">
    <w:name w:val="annotation reference"/>
    <w:qFormat/>
    <w:uiPriority w:val="0"/>
    <w:rPr>
      <w:rFonts w:ascii="Times New Roman" w:hAnsi="Times New Roman" w:eastAsia="宋体" w:cs="Times New Roman"/>
      <w:sz w:val="21"/>
      <w:szCs w:val="21"/>
    </w:rPr>
  </w:style>
  <w:style w:type="character" w:customStyle="1" w:styleId="33">
    <w:name w:val="WW8Num1z0"/>
    <w:qFormat/>
    <w:uiPriority w:val="0"/>
    <w:rPr>
      <w:rFonts w:ascii="宋体" w:hAnsi="宋体" w:eastAsia="宋体" w:cs="宋体"/>
      <w:color w:val="000000"/>
      <w:kern w:val="1"/>
      <w:sz w:val="24"/>
      <w:szCs w:val="24"/>
    </w:rPr>
  </w:style>
  <w:style w:type="character" w:customStyle="1" w:styleId="34">
    <w:name w:val="WW8Num1z1"/>
    <w:qFormat/>
    <w:uiPriority w:val="0"/>
    <w:rPr>
      <w:rFonts w:ascii="Times New Roman" w:hAnsi="Times New Roman" w:eastAsia="宋体" w:cs="Times New Roman"/>
    </w:rPr>
  </w:style>
  <w:style w:type="character" w:customStyle="1" w:styleId="35">
    <w:name w:val="WW8Num1z2"/>
    <w:qFormat/>
    <w:uiPriority w:val="0"/>
    <w:rPr>
      <w:rFonts w:ascii="Times New Roman" w:hAnsi="Times New Roman" w:eastAsia="宋体" w:cs="Times New Roman"/>
    </w:rPr>
  </w:style>
  <w:style w:type="character" w:customStyle="1" w:styleId="36">
    <w:name w:val="WW8Num1z3"/>
    <w:qFormat/>
    <w:uiPriority w:val="0"/>
    <w:rPr>
      <w:rFonts w:ascii="Times New Roman" w:hAnsi="Times New Roman" w:eastAsia="宋体" w:cs="Times New Roman"/>
    </w:rPr>
  </w:style>
  <w:style w:type="character" w:customStyle="1" w:styleId="37">
    <w:name w:val="WW8Num1z4"/>
    <w:qFormat/>
    <w:uiPriority w:val="0"/>
    <w:rPr>
      <w:rFonts w:ascii="Times New Roman" w:hAnsi="Times New Roman" w:eastAsia="宋体" w:cs="Times New Roman"/>
    </w:rPr>
  </w:style>
  <w:style w:type="character" w:customStyle="1" w:styleId="38">
    <w:name w:val="WW8Num1z5"/>
    <w:qFormat/>
    <w:uiPriority w:val="0"/>
    <w:rPr>
      <w:rFonts w:ascii="Times New Roman" w:hAnsi="Times New Roman" w:eastAsia="宋体" w:cs="Times New Roman"/>
    </w:rPr>
  </w:style>
  <w:style w:type="character" w:customStyle="1" w:styleId="39">
    <w:name w:val="WW8Num1z6"/>
    <w:qFormat/>
    <w:uiPriority w:val="0"/>
    <w:rPr>
      <w:rFonts w:ascii="Times New Roman" w:hAnsi="Times New Roman" w:eastAsia="宋体" w:cs="Times New Roman"/>
    </w:rPr>
  </w:style>
  <w:style w:type="character" w:customStyle="1" w:styleId="40">
    <w:name w:val="WW8Num1z7"/>
    <w:qFormat/>
    <w:uiPriority w:val="0"/>
    <w:rPr>
      <w:rFonts w:ascii="Times New Roman" w:hAnsi="Times New Roman" w:eastAsia="宋体" w:cs="Times New Roman"/>
    </w:rPr>
  </w:style>
  <w:style w:type="character" w:customStyle="1" w:styleId="41">
    <w:name w:val="WW8Num1z8"/>
    <w:qFormat/>
    <w:uiPriority w:val="0"/>
    <w:rPr>
      <w:rFonts w:ascii="Times New Roman" w:hAnsi="Times New Roman" w:eastAsia="宋体" w:cs="Times New Roman"/>
    </w:rPr>
  </w:style>
  <w:style w:type="character" w:customStyle="1" w:styleId="42">
    <w:name w:val="WW8Num2z0"/>
    <w:qFormat/>
    <w:uiPriority w:val="0"/>
    <w:rPr>
      <w:rFonts w:ascii="Times New Roman" w:hAnsi="Times New Roman" w:eastAsia="宋体" w:cs="Times New Roman"/>
    </w:rPr>
  </w:style>
  <w:style w:type="character" w:customStyle="1" w:styleId="43">
    <w:name w:val="WW8Num2z1"/>
    <w:qFormat/>
    <w:uiPriority w:val="0"/>
    <w:rPr>
      <w:rFonts w:ascii="Times New Roman" w:hAnsi="Times New Roman" w:eastAsia="宋体" w:cs="Times New Roman"/>
    </w:rPr>
  </w:style>
  <w:style w:type="character" w:customStyle="1" w:styleId="44">
    <w:name w:val="WW8Num2z2"/>
    <w:qFormat/>
    <w:uiPriority w:val="0"/>
    <w:rPr>
      <w:rFonts w:ascii="Times New Roman" w:hAnsi="Times New Roman" w:eastAsia="宋体" w:cs="Times New Roman"/>
    </w:rPr>
  </w:style>
  <w:style w:type="character" w:customStyle="1" w:styleId="45">
    <w:name w:val="WW8Num2z3"/>
    <w:qFormat/>
    <w:uiPriority w:val="0"/>
    <w:rPr>
      <w:rFonts w:ascii="Times New Roman" w:hAnsi="Times New Roman" w:eastAsia="宋体" w:cs="Times New Roman"/>
    </w:rPr>
  </w:style>
  <w:style w:type="character" w:customStyle="1" w:styleId="46">
    <w:name w:val="WW8Num2z4"/>
    <w:qFormat/>
    <w:uiPriority w:val="0"/>
    <w:rPr>
      <w:rFonts w:ascii="Times New Roman" w:hAnsi="Times New Roman" w:eastAsia="宋体" w:cs="Times New Roman"/>
    </w:rPr>
  </w:style>
  <w:style w:type="character" w:customStyle="1" w:styleId="47">
    <w:name w:val="WW8Num2z5"/>
    <w:qFormat/>
    <w:uiPriority w:val="0"/>
    <w:rPr>
      <w:rFonts w:ascii="Times New Roman" w:hAnsi="Times New Roman" w:eastAsia="宋体" w:cs="Times New Roman"/>
    </w:rPr>
  </w:style>
  <w:style w:type="character" w:customStyle="1" w:styleId="48">
    <w:name w:val="WW8Num2z6"/>
    <w:qFormat/>
    <w:uiPriority w:val="0"/>
    <w:rPr>
      <w:rFonts w:ascii="Times New Roman" w:hAnsi="Times New Roman" w:eastAsia="宋体" w:cs="Times New Roman"/>
    </w:rPr>
  </w:style>
  <w:style w:type="character" w:customStyle="1" w:styleId="49">
    <w:name w:val="WW8Num2z7"/>
    <w:qFormat/>
    <w:uiPriority w:val="0"/>
    <w:rPr>
      <w:rFonts w:ascii="Times New Roman" w:hAnsi="Times New Roman" w:eastAsia="宋体" w:cs="Times New Roman"/>
    </w:rPr>
  </w:style>
  <w:style w:type="character" w:customStyle="1" w:styleId="50">
    <w:name w:val="WW8Num2z8"/>
    <w:qFormat/>
    <w:uiPriority w:val="0"/>
    <w:rPr>
      <w:rFonts w:ascii="Times New Roman" w:hAnsi="Times New Roman" w:eastAsia="宋体" w:cs="Times New Roman"/>
    </w:rPr>
  </w:style>
  <w:style w:type="character" w:customStyle="1" w:styleId="51">
    <w:name w:val="WW8Num3z0"/>
    <w:qFormat/>
    <w:uiPriority w:val="0"/>
    <w:rPr>
      <w:rFonts w:ascii="Times New Roman" w:hAnsi="Times New Roman" w:eastAsia="宋体" w:cs="Times New Roman"/>
    </w:rPr>
  </w:style>
  <w:style w:type="character" w:customStyle="1" w:styleId="52">
    <w:name w:val="WW8Num3z1"/>
    <w:qFormat/>
    <w:uiPriority w:val="0"/>
    <w:rPr>
      <w:rFonts w:ascii="Times New Roman" w:hAnsi="Times New Roman" w:eastAsia="宋体" w:cs="Times New Roman"/>
    </w:rPr>
  </w:style>
  <w:style w:type="character" w:customStyle="1" w:styleId="53">
    <w:name w:val="WW8Num3z2"/>
    <w:qFormat/>
    <w:uiPriority w:val="0"/>
    <w:rPr>
      <w:rFonts w:ascii="Times New Roman" w:hAnsi="Times New Roman" w:eastAsia="宋体" w:cs="Times New Roman"/>
    </w:rPr>
  </w:style>
  <w:style w:type="character" w:customStyle="1" w:styleId="54">
    <w:name w:val="WW8Num3z3"/>
    <w:qFormat/>
    <w:uiPriority w:val="0"/>
    <w:rPr>
      <w:rFonts w:ascii="Times New Roman" w:hAnsi="Times New Roman" w:eastAsia="宋体" w:cs="Times New Roman"/>
    </w:rPr>
  </w:style>
  <w:style w:type="character" w:customStyle="1" w:styleId="55">
    <w:name w:val="WW8Num3z4"/>
    <w:qFormat/>
    <w:uiPriority w:val="0"/>
    <w:rPr>
      <w:rFonts w:ascii="Times New Roman" w:hAnsi="Times New Roman" w:eastAsia="宋体" w:cs="Times New Roman"/>
    </w:rPr>
  </w:style>
  <w:style w:type="character" w:customStyle="1" w:styleId="56">
    <w:name w:val="WW8Num3z5"/>
    <w:qFormat/>
    <w:uiPriority w:val="0"/>
    <w:rPr>
      <w:rFonts w:ascii="Times New Roman" w:hAnsi="Times New Roman" w:eastAsia="宋体" w:cs="Times New Roman"/>
    </w:rPr>
  </w:style>
  <w:style w:type="character" w:customStyle="1" w:styleId="57">
    <w:name w:val="WW8Num3z6"/>
    <w:qFormat/>
    <w:uiPriority w:val="0"/>
    <w:rPr>
      <w:rFonts w:ascii="Times New Roman" w:hAnsi="Times New Roman" w:eastAsia="宋体" w:cs="Times New Roman"/>
    </w:rPr>
  </w:style>
  <w:style w:type="character" w:customStyle="1" w:styleId="58">
    <w:name w:val="WW8Num3z7"/>
    <w:qFormat/>
    <w:uiPriority w:val="0"/>
    <w:rPr>
      <w:rFonts w:ascii="Times New Roman" w:hAnsi="Times New Roman" w:eastAsia="宋体" w:cs="Times New Roman"/>
    </w:rPr>
  </w:style>
  <w:style w:type="character" w:customStyle="1" w:styleId="59">
    <w:name w:val="WW8Num3z8"/>
    <w:qFormat/>
    <w:uiPriority w:val="0"/>
    <w:rPr>
      <w:rFonts w:ascii="Times New Roman" w:hAnsi="Times New Roman" w:eastAsia="宋体" w:cs="Times New Roman"/>
    </w:rPr>
  </w:style>
  <w:style w:type="character" w:customStyle="1" w:styleId="60">
    <w:name w:val="WW8Num4z0"/>
    <w:qFormat/>
    <w:uiPriority w:val="0"/>
    <w:rPr>
      <w:rFonts w:ascii="Times New Roman" w:hAnsi="Times New Roman" w:eastAsia="宋体" w:cs="Times New Roman"/>
    </w:rPr>
  </w:style>
  <w:style w:type="character" w:customStyle="1" w:styleId="61">
    <w:name w:val="WW8Num4z1"/>
    <w:qFormat/>
    <w:uiPriority w:val="0"/>
    <w:rPr>
      <w:rFonts w:ascii="Times New Roman" w:hAnsi="Times New Roman" w:eastAsia="宋体" w:cs="Times New Roman"/>
    </w:rPr>
  </w:style>
  <w:style w:type="character" w:customStyle="1" w:styleId="62">
    <w:name w:val="WW8Num4z2"/>
    <w:qFormat/>
    <w:uiPriority w:val="0"/>
    <w:rPr>
      <w:rFonts w:ascii="Times New Roman" w:hAnsi="Times New Roman" w:eastAsia="宋体" w:cs="Times New Roman"/>
    </w:rPr>
  </w:style>
  <w:style w:type="character" w:customStyle="1" w:styleId="63">
    <w:name w:val="WW8Num4z3"/>
    <w:qFormat/>
    <w:uiPriority w:val="0"/>
    <w:rPr>
      <w:rFonts w:ascii="Times New Roman" w:hAnsi="Times New Roman" w:eastAsia="宋体" w:cs="Times New Roman"/>
    </w:rPr>
  </w:style>
  <w:style w:type="character" w:customStyle="1" w:styleId="64">
    <w:name w:val="WW8Num4z4"/>
    <w:qFormat/>
    <w:uiPriority w:val="0"/>
    <w:rPr>
      <w:rFonts w:ascii="Times New Roman" w:hAnsi="Times New Roman" w:eastAsia="宋体" w:cs="Times New Roman"/>
    </w:rPr>
  </w:style>
  <w:style w:type="character" w:customStyle="1" w:styleId="65">
    <w:name w:val="WW8Num4z5"/>
    <w:qFormat/>
    <w:uiPriority w:val="0"/>
    <w:rPr>
      <w:rFonts w:ascii="Times New Roman" w:hAnsi="Times New Roman" w:eastAsia="宋体" w:cs="Times New Roman"/>
    </w:rPr>
  </w:style>
  <w:style w:type="character" w:customStyle="1" w:styleId="66">
    <w:name w:val="WW8Num4z6"/>
    <w:qFormat/>
    <w:uiPriority w:val="0"/>
    <w:rPr>
      <w:rFonts w:ascii="Times New Roman" w:hAnsi="Times New Roman" w:eastAsia="宋体" w:cs="Times New Roman"/>
    </w:rPr>
  </w:style>
  <w:style w:type="character" w:customStyle="1" w:styleId="67">
    <w:name w:val="WW8Num4z7"/>
    <w:qFormat/>
    <w:uiPriority w:val="0"/>
    <w:rPr>
      <w:rFonts w:ascii="Times New Roman" w:hAnsi="Times New Roman" w:eastAsia="宋体" w:cs="Times New Roman"/>
    </w:rPr>
  </w:style>
  <w:style w:type="character" w:customStyle="1" w:styleId="68">
    <w:name w:val="WW8Num4z8"/>
    <w:qFormat/>
    <w:uiPriority w:val="0"/>
    <w:rPr>
      <w:rFonts w:ascii="Times New Roman" w:hAnsi="Times New Roman" w:eastAsia="宋体" w:cs="Times New Roman"/>
    </w:rPr>
  </w:style>
  <w:style w:type="character" w:customStyle="1" w:styleId="69">
    <w:name w:val="WW8Num5z0"/>
    <w:qFormat/>
    <w:uiPriority w:val="0"/>
    <w:rPr>
      <w:rFonts w:ascii="Times New Roman" w:hAnsi="Times New Roman" w:eastAsia="宋体" w:cs="Times New Roman"/>
    </w:rPr>
  </w:style>
  <w:style w:type="character" w:customStyle="1" w:styleId="70">
    <w:name w:val="WW8Num5z1"/>
    <w:qFormat/>
    <w:uiPriority w:val="0"/>
    <w:rPr>
      <w:rFonts w:ascii="Times New Roman" w:hAnsi="Times New Roman" w:eastAsia="宋体" w:cs="Times New Roman"/>
    </w:rPr>
  </w:style>
  <w:style w:type="character" w:customStyle="1" w:styleId="71">
    <w:name w:val="WW8Num5z2"/>
    <w:qFormat/>
    <w:uiPriority w:val="0"/>
    <w:rPr>
      <w:rFonts w:ascii="Times New Roman" w:hAnsi="Times New Roman" w:eastAsia="宋体" w:cs="Times New Roman"/>
    </w:rPr>
  </w:style>
  <w:style w:type="character" w:customStyle="1" w:styleId="72">
    <w:name w:val="WW8Num5z3"/>
    <w:qFormat/>
    <w:uiPriority w:val="0"/>
    <w:rPr>
      <w:rFonts w:ascii="Times New Roman" w:hAnsi="Times New Roman" w:eastAsia="宋体" w:cs="Times New Roman"/>
    </w:rPr>
  </w:style>
  <w:style w:type="character" w:customStyle="1" w:styleId="73">
    <w:name w:val="WW8Num5z4"/>
    <w:qFormat/>
    <w:uiPriority w:val="0"/>
    <w:rPr>
      <w:rFonts w:ascii="Times New Roman" w:hAnsi="Times New Roman" w:eastAsia="宋体" w:cs="Times New Roman"/>
    </w:rPr>
  </w:style>
  <w:style w:type="character" w:customStyle="1" w:styleId="74">
    <w:name w:val="WW8Num5z5"/>
    <w:qFormat/>
    <w:uiPriority w:val="0"/>
    <w:rPr>
      <w:rFonts w:ascii="Times New Roman" w:hAnsi="Times New Roman" w:eastAsia="宋体" w:cs="Times New Roman"/>
    </w:rPr>
  </w:style>
  <w:style w:type="character" w:customStyle="1" w:styleId="75">
    <w:name w:val="WW8Num5z6"/>
    <w:qFormat/>
    <w:uiPriority w:val="0"/>
    <w:rPr>
      <w:rFonts w:ascii="Times New Roman" w:hAnsi="Times New Roman" w:eastAsia="宋体" w:cs="Times New Roman"/>
    </w:rPr>
  </w:style>
  <w:style w:type="character" w:customStyle="1" w:styleId="76">
    <w:name w:val="WW8Num5z7"/>
    <w:qFormat/>
    <w:uiPriority w:val="0"/>
    <w:rPr>
      <w:rFonts w:ascii="Times New Roman" w:hAnsi="Times New Roman" w:eastAsia="宋体" w:cs="Times New Roman"/>
    </w:rPr>
  </w:style>
  <w:style w:type="character" w:customStyle="1" w:styleId="77">
    <w:name w:val="WW8Num5z8"/>
    <w:qFormat/>
    <w:uiPriority w:val="0"/>
    <w:rPr>
      <w:rFonts w:ascii="Times New Roman" w:hAnsi="Times New Roman" w:eastAsia="宋体" w:cs="Times New Roman"/>
    </w:rPr>
  </w:style>
  <w:style w:type="character" w:customStyle="1" w:styleId="78">
    <w:name w:val="批注文字 字符"/>
    <w:qFormat/>
    <w:uiPriority w:val="0"/>
    <w:rPr>
      <w:rFonts w:ascii="Times New Roman" w:hAnsi="Times New Roman" w:eastAsia="宋体" w:cs="Times New Roman"/>
      <w:kern w:val="1"/>
      <w:sz w:val="21"/>
      <w:lang w:val="en-US" w:eastAsia="zh-CN" w:bidi="ar-SA"/>
    </w:rPr>
  </w:style>
  <w:style w:type="character" w:customStyle="1" w:styleId="79">
    <w:name w:val="页脚 字符"/>
    <w:qFormat/>
    <w:uiPriority w:val="0"/>
    <w:rPr>
      <w:rFonts w:ascii="Times New Roman" w:hAnsi="Times New Roman" w:eastAsia="宋体" w:cs="Times New Roman"/>
      <w:kern w:val="1"/>
      <w:sz w:val="18"/>
    </w:rPr>
  </w:style>
  <w:style w:type="character" w:customStyle="1" w:styleId="80">
    <w:name w:val="Char Char6"/>
    <w:qFormat/>
    <w:uiPriority w:val="0"/>
    <w:rPr>
      <w:rFonts w:ascii="宋体" w:hAnsi="宋体" w:eastAsia="宋体" w:cs="Courier New"/>
      <w:kern w:val="1"/>
      <w:sz w:val="28"/>
      <w:szCs w:val="24"/>
      <w:lang w:val="en-US" w:eastAsia="zh-CN" w:bidi="ar-SA"/>
    </w:rPr>
  </w:style>
  <w:style w:type="character" w:customStyle="1" w:styleId="81">
    <w:name w:val="Char Char Char Char Char Char Char Char Char Char"/>
    <w:qFormat/>
    <w:uiPriority w:val="0"/>
    <w:rPr>
      <w:rFonts w:ascii="宋体" w:hAnsi="宋体" w:eastAsia="宋体" w:cs="宋体"/>
      <w:color w:val="000000"/>
      <w:sz w:val="24"/>
      <w:lang w:val="en-US" w:eastAsia="zh-CN" w:bidi="ar-SA"/>
    </w:rPr>
  </w:style>
  <w:style w:type="character" w:customStyle="1" w:styleId="82">
    <w:name w:val="Char Char2"/>
    <w:qFormat/>
    <w:uiPriority w:val="0"/>
    <w:rPr>
      <w:rFonts w:ascii="宋体" w:hAnsi="宋体" w:eastAsia="宋体" w:cs="宋体"/>
      <w:color w:val="000000"/>
      <w:sz w:val="24"/>
      <w:lang w:val="en-US" w:eastAsia="zh-CN" w:bidi="ar-SA"/>
    </w:rPr>
  </w:style>
  <w:style w:type="character" w:customStyle="1" w:styleId="83">
    <w:name w:val="t1"/>
    <w:qFormat/>
    <w:uiPriority w:val="0"/>
    <w:rPr>
      <w:rFonts w:ascii="Times New Roman" w:hAnsi="Times New Roman" w:eastAsia="宋体" w:cs="Times New Roman"/>
      <w:color w:val="800000"/>
    </w:rPr>
  </w:style>
  <w:style w:type="character" w:customStyle="1" w:styleId="84">
    <w:name w:val="black1"/>
    <w:qFormat/>
    <w:uiPriority w:val="0"/>
    <w:rPr>
      <w:rFonts w:ascii="ˎ̥" w:hAnsi="ˎ̥" w:eastAsia="宋体" w:cs="ˎ̥"/>
      <w:color w:val="333333"/>
      <w:sz w:val="20"/>
      <w:u w:val="none"/>
      <w:lang w:val="en-US" w:eastAsia="zh-CN" w:bidi="ar-SA"/>
    </w:rPr>
  </w:style>
  <w:style w:type="character" w:customStyle="1" w:styleId="85">
    <w:name w:val="Char Char10"/>
    <w:qFormat/>
    <w:uiPriority w:val="0"/>
    <w:rPr>
      <w:rFonts w:ascii="宋体" w:hAnsi="宋体" w:eastAsia="宋体" w:cs="宋体"/>
      <w:color w:val="000000"/>
      <w:sz w:val="24"/>
      <w:lang w:val="en-US" w:eastAsia="zh-CN" w:bidi="ar-SA"/>
    </w:rPr>
  </w:style>
  <w:style w:type="character" w:customStyle="1" w:styleId="86">
    <w:name w:val="明显参考1"/>
    <w:qFormat/>
    <w:uiPriority w:val="0"/>
    <w:rPr>
      <w:rFonts w:ascii="Times New Roman" w:hAnsi="Times New Roman" w:eastAsia="宋体" w:cs="Times New Roman"/>
      <w:b/>
      <w:bCs/>
      <w:smallCaps/>
      <w:color w:val="808080"/>
      <w:spacing w:val="5"/>
      <w:u w:val="single"/>
    </w:rPr>
  </w:style>
  <w:style w:type="character" w:customStyle="1" w:styleId="87">
    <w:name w:val="Char Char11"/>
    <w:qFormat/>
    <w:uiPriority w:val="0"/>
    <w:rPr>
      <w:rFonts w:ascii="宋体" w:hAnsi="宋体" w:eastAsia="宋体" w:cs="宋体"/>
      <w:color w:val="000000"/>
      <w:sz w:val="24"/>
      <w:lang w:val="en-US" w:eastAsia="zh-CN" w:bidi="ar-SA"/>
    </w:rPr>
  </w:style>
  <w:style w:type="character" w:customStyle="1" w:styleId="88">
    <w:name w:val="正文缩进 字符"/>
    <w:qFormat/>
    <w:uiPriority w:val="0"/>
    <w:rPr>
      <w:rFonts w:ascii="Times New Roman" w:hAnsi="Times New Roman" w:eastAsia="宋体" w:cs="Times New Roman"/>
      <w:sz w:val="24"/>
      <w:lang w:val="en-US" w:eastAsia="zh-CN" w:bidi="ar-SA"/>
    </w:rPr>
  </w:style>
  <w:style w:type="character" w:customStyle="1" w:styleId="89">
    <w:name w:val="A5"/>
    <w:qFormat/>
    <w:uiPriority w:val="0"/>
    <w:rPr>
      <w:rFonts w:ascii="Times New Roman" w:hAnsi="Times New Roman" w:eastAsia="宋体" w:cs="Arial"/>
      <w:color w:val="000000"/>
      <w:sz w:val="14"/>
    </w:rPr>
  </w:style>
  <w:style w:type="character" w:customStyle="1" w:styleId="90">
    <w:name w:val="一般文字 字元 字元 Char Char"/>
    <w:qFormat/>
    <w:uiPriority w:val="0"/>
    <w:rPr>
      <w:rFonts w:ascii="宋体" w:hAnsi="宋体" w:eastAsia="宋体" w:cs="Courier New"/>
      <w:kern w:val="1"/>
      <w:sz w:val="21"/>
      <w:szCs w:val="21"/>
      <w:lang w:val="en-US" w:eastAsia="zh-CN" w:bidi="ar-SA"/>
    </w:rPr>
  </w:style>
  <w:style w:type="character" w:customStyle="1" w:styleId="91">
    <w:name w:val="marklong"/>
    <w:qFormat/>
    <w:uiPriority w:val="0"/>
    <w:rPr>
      <w:rFonts w:ascii="Times New Roman" w:hAnsi="Times New Roman" w:eastAsia="宋体" w:cs="Times New Roman"/>
    </w:rPr>
  </w:style>
  <w:style w:type="character" w:customStyle="1" w:styleId="92">
    <w:name w:val="引用 字符"/>
    <w:qFormat/>
    <w:uiPriority w:val="0"/>
    <w:rPr>
      <w:rFonts w:ascii="Calibri" w:hAnsi="Calibri" w:eastAsia="宋体" w:cs="Calibri"/>
      <w:i/>
      <w:iCs/>
      <w:kern w:val="1"/>
      <w:sz w:val="22"/>
      <w:szCs w:val="22"/>
      <w:lang w:val="en-US" w:bidi="en-US"/>
    </w:rPr>
  </w:style>
  <w:style w:type="character" w:customStyle="1" w:styleId="93">
    <w:name w:val="纯文本 字符"/>
    <w:qFormat/>
    <w:uiPriority w:val="0"/>
    <w:rPr>
      <w:rFonts w:ascii="宋体" w:hAnsi="宋体" w:eastAsia="宋体" w:cs="宋体"/>
      <w:color w:val="000000"/>
      <w:sz w:val="24"/>
      <w:lang w:bidi="ar-SA"/>
    </w:rPr>
  </w:style>
  <w:style w:type="character" w:customStyle="1" w:styleId="94">
    <w:name w:val="彩色列表 - 强调文字颜色 1 Char"/>
    <w:qFormat/>
    <w:uiPriority w:val="0"/>
    <w:rPr>
      <w:rFonts w:ascii="Calibri" w:hAnsi="Calibri" w:eastAsia="宋体" w:cs="Calibri"/>
      <w:kern w:val="1"/>
      <w:sz w:val="22"/>
      <w:szCs w:val="22"/>
      <w:lang w:bidi="ar-SA"/>
    </w:rPr>
  </w:style>
  <w:style w:type="character" w:customStyle="1" w:styleId="95">
    <w:name w:val="列出段落 Char"/>
    <w:qFormat/>
    <w:uiPriority w:val="0"/>
    <w:rPr>
      <w:rFonts w:ascii="Times New Roman" w:hAnsi="Times New Roman" w:eastAsia="宋体" w:cs="Times New Roman"/>
      <w:kern w:val="1"/>
      <w:sz w:val="21"/>
      <w:szCs w:val="24"/>
    </w:rPr>
  </w:style>
  <w:style w:type="paragraph" w:customStyle="1" w:styleId="96">
    <w:name w:val="索引"/>
    <w:basedOn w:val="1"/>
    <w:qFormat/>
    <w:uiPriority w:val="0"/>
    <w:pPr>
      <w:suppressLineNumbers/>
    </w:pPr>
  </w:style>
  <w:style w:type="paragraph" w:customStyle="1" w:styleId="97">
    <w:name w:val="Char Char Char Char Char Char Char Char Char Char Char Char Char Char Char Char"/>
    <w:basedOn w:val="1"/>
    <w:qFormat/>
    <w:uiPriority w:val="0"/>
    <w:rPr>
      <w:szCs w:val="24"/>
    </w:rPr>
  </w:style>
  <w:style w:type="paragraph" w:customStyle="1" w:styleId="98">
    <w:name w:val="xl25"/>
    <w:basedOn w:val="1"/>
    <w:qFormat/>
    <w:uiPriority w:val="0"/>
    <w:pPr>
      <w:widowControl/>
      <w:pBdr>
        <w:bottom w:val="single" w:color="000000" w:sz="4" w:space="0"/>
        <w:right w:val="single" w:color="000000" w:sz="4" w:space="0"/>
      </w:pBdr>
      <w:spacing w:before="280" w:after="280"/>
      <w:jc w:val="center"/>
    </w:pPr>
    <w:rPr>
      <w:rFonts w:ascii="宋体" w:hAnsi="宋体" w:cs="宋体"/>
      <w:szCs w:val="21"/>
    </w:rPr>
  </w:style>
  <w:style w:type="paragraph" w:customStyle="1" w:styleId="99">
    <w:name w:val="Char Char1 Char"/>
    <w:basedOn w:val="1"/>
    <w:next w:val="1"/>
    <w:qFormat/>
    <w:uiPriority w:val="0"/>
    <w:pPr>
      <w:widowControl/>
      <w:spacing w:after="160" w:line="240" w:lineRule="exact"/>
      <w:jc w:val="left"/>
    </w:pPr>
  </w:style>
  <w:style w:type="paragraph" w:customStyle="1" w:styleId="100">
    <w:name w:val="默认段落字体 Para Char Char Char1 Char"/>
    <w:basedOn w:val="1"/>
    <w:qFormat/>
    <w:uiPriority w:val="0"/>
    <w:pPr>
      <w:spacing w:line="360" w:lineRule="auto"/>
      <w:ind w:left="420" w:firstLine="420"/>
    </w:pPr>
    <w:rPr>
      <w:sz w:val="24"/>
      <w:szCs w:val="24"/>
    </w:rPr>
  </w:style>
  <w:style w:type="paragraph" w:customStyle="1" w:styleId="101">
    <w:name w:val="正文（绿盟科技）"/>
    <w:qFormat/>
    <w:uiPriority w:val="0"/>
    <w:pPr>
      <w:suppressAutoHyphens/>
      <w:spacing w:line="300" w:lineRule="auto"/>
    </w:pPr>
    <w:rPr>
      <w:rFonts w:ascii="Arial" w:hAnsi="Arial" w:eastAsia="宋体" w:cs="Arial"/>
      <w:sz w:val="21"/>
      <w:szCs w:val="21"/>
      <w:lang w:val="en-US" w:eastAsia="zh-CN" w:bidi="ar-SA"/>
    </w:rPr>
  </w:style>
  <w:style w:type="paragraph" w:customStyle="1" w:styleId="102">
    <w:name w:val="songblack14"/>
    <w:basedOn w:val="1"/>
    <w:qFormat/>
    <w:uiPriority w:val="0"/>
    <w:pPr>
      <w:widowControl/>
      <w:spacing w:before="280" w:after="280"/>
      <w:jc w:val="left"/>
    </w:pPr>
    <w:rPr>
      <w:color w:val="000000"/>
    </w:rPr>
  </w:style>
  <w:style w:type="paragraph" w:customStyle="1" w:styleId="103">
    <w:name w:val="中等深浅底纹 1 - 着色 31"/>
    <w:basedOn w:val="1"/>
    <w:next w:val="1"/>
    <w:qFormat/>
    <w:uiPriority w:val="0"/>
    <w:pPr>
      <w:widowControl/>
      <w:spacing w:before="200" w:line="276" w:lineRule="auto"/>
      <w:ind w:left="360" w:right="360"/>
      <w:jc w:val="left"/>
    </w:pPr>
    <w:rPr>
      <w:rFonts w:ascii="Calibri" w:hAnsi="Calibri" w:cs="Calibri"/>
      <w:i/>
      <w:iCs/>
      <w:sz w:val="22"/>
      <w:szCs w:val="22"/>
      <w:lang w:bidi="en-US"/>
    </w:rPr>
  </w:style>
  <w:style w:type="paragraph" w:customStyle="1" w:styleId="104">
    <w:name w:val="p0"/>
    <w:basedOn w:val="1"/>
    <w:qFormat/>
    <w:uiPriority w:val="0"/>
    <w:pPr>
      <w:widowControl/>
      <w:spacing w:before="280" w:after="280"/>
      <w:jc w:val="left"/>
    </w:pPr>
    <w:rPr>
      <w:rFonts w:ascii="宋体" w:hAnsi="宋体" w:cs="宋体"/>
      <w:sz w:val="24"/>
      <w:szCs w:val="24"/>
    </w:rPr>
  </w:style>
  <w:style w:type="paragraph" w:customStyle="1" w:styleId="105">
    <w:name w:val="表头文本"/>
    <w:basedOn w:val="1"/>
    <w:qFormat/>
    <w:uiPriority w:val="0"/>
    <w:pPr>
      <w:autoSpaceDE w:val="0"/>
      <w:jc w:val="center"/>
    </w:pPr>
    <w:rPr>
      <w:b/>
      <w:sz w:val="24"/>
    </w:rPr>
  </w:style>
  <w:style w:type="paragraph" w:customStyle="1" w:styleId="106">
    <w:name w:val="bt1bt1"/>
    <w:basedOn w:val="2"/>
    <w:qFormat/>
    <w:uiPriority w:val="0"/>
    <w:pPr>
      <w:spacing w:line="240" w:lineRule="auto"/>
      <w:jc w:val="center"/>
    </w:pPr>
    <w:rPr>
      <w:rFonts w:ascii="黑体" w:hAnsi="黑体" w:eastAsia="黑体"/>
      <w:b w:val="0"/>
      <w:sz w:val="36"/>
      <w:szCs w:val="36"/>
    </w:rPr>
  </w:style>
  <w:style w:type="paragraph" w:customStyle="1" w:styleId="107">
    <w:name w:val="列出段落1"/>
    <w:basedOn w:val="1"/>
    <w:qFormat/>
    <w:uiPriority w:val="34"/>
    <w:pPr>
      <w:ind w:firstLine="420"/>
    </w:pPr>
    <w:rPr>
      <w:szCs w:val="21"/>
    </w:rPr>
  </w:style>
  <w:style w:type="paragraph" w:customStyle="1" w:styleId="108">
    <w:name w:val="彩色列表 - 强调文字颜色 11"/>
    <w:basedOn w:val="1"/>
    <w:qFormat/>
    <w:uiPriority w:val="0"/>
    <w:pPr>
      <w:spacing w:line="360" w:lineRule="auto"/>
      <w:ind w:firstLine="420"/>
    </w:pPr>
    <w:rPr>
      <w:rFonts w:ascii="Calibri" w:hAnsi="Calibri" w:cs="Calibri"/>
      <w:sz w:val="22"/>
      <w:szCs w:val="22"/>
    </w:rPr>
  </w:style>
  <w:style w:type="paragraph" w:customStyle="1" w:styleId="109">
    <w:name w:val="style3"/>
    <w:basedOn w:val="1"/>
    <w:qFormat/>
    <w:uiPriority w:val="0"/>
    <w:pPr>
      <w:widowControl/>
      <w:spacing w:before="280" w:after="280"/>
      <w:jc w:val="left"/>
    </w:pPr>
    <w:rPr>
      <w:rFonts w:ascii="宋体" w:hAnsi="宋体" w:cs="宋体"/>
      <w:sz w:val="24"/>
      <w:szCs w:val="24"/>
    </w:rPr>
  </w:style>
  <w:style w:type="paragraph" w:customStyle="1" w:styleId="110">
    <w:name w:val="浅色网格 - 着色 31"/>
    <w:basedOn w:val="1"/>
    <w:qFormat/>
    <w:uiPriority w:val="0"/>
    <w:pPr>
      <w:ind w:firstLine="420"/>
    </w:pPr>
    <w:rPr>
      <w:szCs w:val="24"/>
    </w:rPr>
  </w:style>
  <w:style w:type="paragraph" w:customStyle="1" w:styleId="111">
    <w:name w:val="浅色网格 - 强调文字颜色 31"/>
    <w:basedOn w:val="1"/>
    <w:qFormat/>
    <w:uiPriority w:val="0"/>
    <w:pPr>
      <w:spacing w:line="360" w:lineRule="auto"/>
      <w:ind w:firstLine="420"/>
    </w:pPr>
    <w:rPr>
      <w:rFonts w:ascii="Calibri" w:hAnsi="Calibri" w:cs="Calibri"/>
      <w:sz w:val="22"/>
      <w:szCs w:val="22"/>
    </w:rPr>
  </w:style>
  <w:style w:type="paragraph" w:customStyle="1" w:styleId="112">
    <w:name w:val="Char"/>
    <w:basedOn w:val="1"/>
    <w:qFormat/>
    <w:uiPriority w:val="0"/>
    <w:pPr>
      <w:spacing w:line="360" w:lineRule="auto"/>
      <w:ind w:left="420" w:firstLine="420"/>
    </w:pPr>
    <w:rPr>
      <w:sz w:val="24"/>
      <w:szCs w:val="24"/>
    </w:rPr>
  </w:style>
  <w:style w:type="paragraph" w:customStyle="1" w:styleId="113">
    <w:name w:val="List Paragraph1"/>
    <w:basedOn w:val="1"/>
    <w:qFormat/>
    <w:uiPriority w:val="0"/>
    <w:pPr>
      <w:ind w:firstLine="420"/>
    </w:pPr>
    <w:rPr>
      <w:szCs w:val="24"/>
    </w:rPr>
  </w:style>
  <w:style w:type="paragraph" w:customStyle="1" w:styleId="114">
    <w:name w:val="Char Char Char Char Char Char Char Char Char Char Char Char"/>
    <w:basedOn w:val="1"/>
    <w:qFormat/>
    <w:uiPriority w:val="0"/>
    <w:pPr>
      <w:widowControl/>
      <w:spacing w:after="160" w:line="240" w:lineRule="exact"/>
      <w:jc w:val="left"/>
    </w:pPr>
    <w:rPr>
      <w:szCs w:val="24"/>
    </w:rPr>
  </w:style>
  <w:style w:type="paragraph" w:customStyle="1" w:styleId="115">
    <w:name w:val="songgray12"/>
    <w:basedOn w:val="1"/>
    <w:qFormat/>
    <w:uiPriority w:val="0"/>
    <w:pPr>
      <w:widowControl/>
      <w:spacing w:before="280" w:after="280"/>
      <w:jc w:val="left"/>
    </w:pPr>
    <w:rPr>
      <w:color w:val="808080"/>
    </w:rPr>
  </w:style>
  <w:style w:type="paragraph" w:customStyle="1" w:styleId="116">
    <w:name w:val="_Style 1"/>
    <w:basedOn w:val="1"/>
    <w:qFormat/>
    <w:uiPriority w:val="0"/>
  </w:style>
  <w:style w:type="paragraph" w:customStyle="1" w:styleId="117">
    <w:name w:val="songblack12"/>
    <w:basedOn w:val="1"/>
    <w:qFormat/>
    <w:uiPriority w:val="0"/>
    <w:pPr>
      <w:widowControl/>
      <w:spacing w:before="280" w:after="280"/>
      <w:jc w:val="left"/>
    </w:pPr>
    <w:rPr>
      <w:color w:val="000000"/>
    </w:rPr>
  </w:style>
  <w:style w:type="paragraph" w:customStyle="1" w:styleId="118">
    <w:name w:val="_Style 4"/>
    <w:basedOn w:val="1"/>
    <w:qFormat/>
    <w:uiPriority w:val="0"/>
    <w:rPr>
      <w:szCs w:val="24"/>
    </w:rPr>
  </w:style>
  <w:style w:type="paragraph" w:customStyle="1" w:styleId="119">
    <w:name w:val="节"/>
    <w:basedOn w:val="3"/>
    <w:qFormat/>
    <w:uiPriority w:val="0"/>
    <w:pPr>
      <w:numPr>
        <w:ilvl w:val="1"/>
        <w:numId w:val="1"/>
      </w:numPr>
      <w:spacing w:line="240" w:lineRule="auto"/>
    </w:pPr>
    <w:rPr>
      <w:rFonts w:ascii="黑体" w:hAnsi="黑体" w:eastAsia="宋体" w:cs="Times New Roman"/>
      <w:b w:val="0"/>
      <w:sz w:val="28"/>
      <w:szCs w:val="28"/>
    </w:rPr>
  </w:style>
  <w:style w:type="paragraph" w:customStyle="1" w:styleId="120">
    <w:name w:val="表格内容"/>
    <w:basedOn w:val="1"/>
    <w:qFormat/>
    <w:uiPriority w:val="0"/>
    <w:pPr>
      <w:suppressLineNumbers/>
    </w:pPr>
  </w:style>
  <w:style w:type="paragraph" w:customStyle="1" w:styleId="121">
    <w:name w:val="表格标题"/>
    <w:basedOn w:val="120"/>
    <w:qFormat/>
    <w:uiPriority w:val="0"/>
    <w:pPr>
      <w:jc w:val="center"/>
    </w:pPr>
    <w:rPr>
      <w:b/>
      <w:bCs/>
    </w:rPr>
  </w:style>
  <w:style w:type="character" w:customStyle="1" w:styleId="122">
    <w:name w:val="彩色列表 - 强调文字颜色 1 Char1"/>
    <w:qFormat/>
    <w:uiPriority w:val="0"/>
    <w:rPr>
      <w:rFonts w:ascii="Times New Roman" w:hAnsi="Times New Roman" w:eastAsia="宋体" w:cs="Times New Roman"/>
      <w:kern w:val="2"/>
      <w:sz w:val="21"/>
      <w:szCs w:val="24"/>
    </w:rPr>
  </w:style>
  <w:style w:type="paragraph" w:customStyle="1" w:styleId="123">
    <w:name w:val="！正文"/>
    <w:basedOn w:val="1"/>
    <w:qFormat/>
    <w:uiPriority w:val="0"/>
    <w:pPr>
      <w:suppressAutoHyphens w:val="0"/>
      <w:spacing w:line="360" w:lineRule="auto"/>
      <w:ind w:firstLine="200" w:firstLineChars="200"/>
    </w:pPr>
    <w:rPr>
      <w:rFonts w:ascii="Calibri" w:hAnsi="Calibri"/>
      <w:kern w:val="2"/>
      <w:sz w:val="24"/>
      <w:szCs w:val="21"/>
    </w:rPr>
  </w:style>
  <w:style w:type="paragraph" w:customStyle="1" w:styleId="124">
    <w:name w:val="列出段落2"/>
    <w:basedOn w:val="1"/>
    <w:qFormat/>
    <w:uiPriority w:val="0"/>
    <w:pPr>
      <w:suppressAutoHyphens w:val="0"/>
      <w:ind w:firstLine="420" w:firstLineChars="200"/>
    </w:pPr>
    <w:rPr>
      <w:kern w:val="2"/>
      <w:szCs w:val="21"/>
    </w:rPr>
  </w:style>
  <w:style w:type="paragraph" w:customStyle="1" w:styleId="125">
    <w:name w:val="列表段落1"/>
    <w:basedOn w:val="1"/>
    <w:qFormat/>
    <w:uiPriority w:val="0"/>
    <w:pPr>
      <w:suppressAutoHyphens w:val="0"/>
      <w:ind w:firstLine="420" w:firstLineChars="200"/>
    </w:pPr>
    <w:rPr>
      <w:kern w:val="2"/>
      <w:szCs w:val="21"/>
    </w:rPr>
  </w:style>
  <w:style w:type="paragraph" w:styleId="126">
    <w:name w:val="List Paragraph"/>
    <w:basedOn w:val="1"/>
    <w:link w:val="132"/>
    <w:qFormat/>
    <w:uiPriority w:val="34"/>
    <w:pPr>
      <w:ind w:firstLine="420" w:firstLineChars="200"/>
    </w:pPr>
  </w:style>
  <w:style w:type="character" w:customStyle="1" w:styleId="127">
    <w:name w:val="正文缩进 字符1"/>
    <w:link w:val="8"/>
    <w:qFormat/>
    <w:locked/>
    <w:uiPriority w:val="0"/>
    <w:rPr>
      <w:kern w:val="2"/>
      <w:sz w:val="21"/>
    </w:rPr>
  </w:style>
  <w:style w:type="character" w:customStyle="1" w:styleId="128">
    <w:name w:val="font11"/>
    <w:basedOn w:val="29"/>
    <w:qFormat/>
    <w:uiPriority w:val="0"/>
    <w:rPr>
      <w:rFonts w:hint="eastAsia" w:ascii="宋体" w:hAnsi="宋体" w:eastAsia="宋体" w:cs="宋体"/>
      <w:color w:val="666666"/>
      <w:sz w:val="24"/>
      <w:szCs w:val="24"/>
      <w:u w:val="none"/>
    </w:rPr>
  </w:style>
  <w:style w:type="character" w:customStyle="1" w:styleId="129">
    <w:name w:val="标题 6 字符"/>
    <w:basedOn w:val="29"/>
    <w:link w:val="7"/>
    <w:semiHidden/>
    <w:qFormat/>
    <w:uiPriority w:val="9"/>
    <w:rPr>
      <w:rFonts w:asciiTheme="majorHAnsi" w:hAnsiTheme="majorHAnsi" w:eastAsiaTheme="majorEastAsia" w:cstheme="majorBidi"/>
      <w:b/>
      <w:bCs/>
      <w:kern w:val="1"/>
      <w:sz w:val="24"/>
      <w:szCs w:val="24"/>
    </w:rPr>
  </w:style>
  <w:style w:type="paragraph" w:customStyle="1" w:styleId="130">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131">
    <w:name w:val="标题 5 字符"/>
    <w:basedOn w:val="29"/>
    <w:link w:val="6"/>
    <w:qFormat/>
    <w:uiPriority w:val="9"/>
    <w:rPr>
      <w:b/>
      <w:bCs/>
      <w:kern w:val="1"/>
      <w:sz w:val="28"/>
      <w:szCs w:val="28"/>
    </w:rPr>
  </w:style>
  <w:style w:type="character" w:customStyle="1" w:styleId="132">
    <w:name w:val="列出段落 字符"/>
    <w:link w:val="126"/>
    <w:qFormat/>
    <w:uiPriority w:val="34"/>
    <w:rPr>
      <w:kern w:val="1"/>
      <w:sz w:val="21"/>
    </w:rPr>
  </w:style>
  <w:style w:type="table" w:customStyle="1" w:styleId="133">
    <w:name w:val="网格型浅色1"/>
    <w:basedOn w:val="2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134">
    <w:name w:val="批注文字 字符1"/>
    <w:basedOn w:val="29"/>
    <w:link w:val="10"/>
    <w:qFormat/>
    <w:uiPriority w:val="0"/>
    <w:rPr>
      <w:kern w:val="1"/>
      <w:sz w:val="21"/>
    </w:rPr>
  </w:style>
  <w:style w:type="character" w:customStyle="1" w:styleId="135">
    <w:name w:val="批注主题 字符"/>
    <w:basedOn w:val="134"/>
    <w:link w:val="25"/>
    <w:semiHidden/>
    <w:qFormat/>
    <w:uiPriority w:val="99"/>
    <w:rPr>
      <w:b/>
      <w:bCs/>
      <w:kern w:val="1"/>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61958D14-306A-4004-9DB3-2B3C1EDB8BF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950</Words>
  <Characters>5421</Characters>
  <Lines>45</Lines>
  <Paragraphs>12</Paragraphs>
  <TotalTime>109</TotalTime>
  <ScaleCrop>false</ScaleCrop>
  <LinksUpToDate>false</LinksUpToDate>
  <CharactersWithSpaces>6359</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2026-07-16T05:18:00Z</dcterms:created>
  <dc:creator>zhubin</dc:creator>
  <cp:lastModifiedBy>user</cp:lastModifiedBy>
  <cp:lastPrinted>2026-06-16T16:42:00Z</cp:lastPrinted>
  <dcterms:modified xsi:type="dcterms:W3CDTF">2026-07-22T15:14:23Z</dcterms:modified>
  <dc:title>项目编号：12-042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ICV">
    <vt:lpwstr>BCD066EC49B34FFBB4A5EFD237CE44E0</vt:lpwstr>
  </property>
</Properties>
</file>