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97C469">
      <w:pPr>
        <w:autoSpaceDE w:val="0"/>
        <w:autoSpaceDN w:val="0"/>
        <w:adjustRightInd w:val="0"/>
        <w:rPr>
          <w:rFonts w:ascii="宋体" w:hAnsi="宋体"/>
          <w:b/>
          <w:color w:val="auto"/>
          <w:sz w:val="30"/>
          <w:szCs w:val="30"/>
        </w:rPr>
      </w:pPr>
      <w:r>
        <w:rPr>
          <w:rFonts w:hint="eastAsia" w:ascii="黑体" w:hAnsi="华文楷体" w:cs="黑体"/>
          <w:b/>
          <w:bCs/>
          <w:color w:val="auto"/>
          <w:sz w:val="30"/>
          <w:szCs w:val="30"/>
        </w:rPr>
        <w:t xml:space="preserve">           </w:t>
      </w:r>
      <w:r>
        <w:rPr>
          <w:rFonts w:hint="eastAsia" w:ascii="黑体" w:hAnsi="华文楷体" w:cs="黑体"/>
          <w:b/>
          <w:bCs/>
          <w:color w:val="auto"/>
          <w:sz w:val="30"/>
          <w:szCs w:val="30"/>
          <w:lang w:val="en-US" w:eastAsia="zh-CN"/>
        </w:rPr>
        <w:t xml:space="preserve"> 学生宿舍管理服务</w:t>
      </w:r>
      <w:r>
        <w:rPr>
          <w:rFonts w:hint="eastAsia" w:ascii="宋体" w:hAnsi="宋体"/>
          <w:b/>
          <w:color w:val="auto"/>
          <w:sz w:val="30"/>
          <w:szCs w:val="30"/>
        </w:rPr>
        <w:t>项目采购需求</w:t>
      </w:r>
    </w:p>
    <w:p w14:paraId="19E98EB1">
      <w:pPr>
        <w:keepNext w:val="0"/>
        <w:keepLines w:val="0"/>
        <w:widowControl/>
        <w:numPr>
          <w:ilvl w:val="-1"/>
          <w:numId w:val="0"/>
        </w:numPr>
        <w:suppressLineNumbers w:val="0"/>
        <w:autoSpaceDE w:val="0"/>
        <w:autoSpaceDN w:val="0"/>
        <w:adjustRightInd w:val="0"/>
        <w:spacing w:line="360" w:lineRule="auto"/>
        <w:jc w:val="left"/>
        <w:rPr>
          <w:rFonts w:hint="eastAsia" w:asciiTheme="minorEastAsia" w:hAnsiTheme="minorEastAsia" w:eastAsiaTheme="minorEastAsia" w:cstheme="minorEastAsia"/>
          <w:color w:val="auto"/>
          <w:u w:val="none" w:color="auto"/>
        </w:rPr>
      </w:pPr>
      <w:r>
        <w:rPr>
          <w:rFonts w:hint="eastAsia" w:ascii="宋体" w:hAnsi="宋体"/>
          <w:b/>
          <w:color w:val="auto"/>
          <w:lang w:eastAsia="zh-CN"/>
        </w:rPr>
        <w:t>一、</w:t>
      </w:r>
      <w:r>
        <w:rPr>
          <w:rFonts w:hint="eastAsia" w:ascii="宋体" w:hAnsi="宋体"/>
          <w:b/>
          <w:color w:val="auto"/>
        </w:rPr>
        <w:t>项目概况（</w:t>
      </w:r>
      <w:bookmarkStart w:id="0" w:name="_Toc165513757"/>
      <w:bookmarkStart w:id="1" w:name="_Toc225755989"/>
      <w:bookmarkStart w:id="2" w:name="_Toc230256461"/>
      <w:bookmarkStart w:id="3" w:name="_Toc101009850"/>
      <w:r>
        <w:rPr>
          <w:rFonts w:hint="eastAsia" w:ascii="宋体" w:hAnsi="宋体"/>
          <w:b/>
          <w:color w:val="auto"/>
        </w:rPr>
        <w:t>项目</w:t>
      </w:r>
      <w:r>
        <w:rPr>
          <w:rFonts w:hint="eastAsia" w:ascii="宋体" w:hAnsi="宋体"/>
          <w:b/>
          <w:color w:val="auto"/>
          <w:szCs w:val="28"/>
          <w:lang w:val="en-GB"/>
        </w:rPr>
        <w:t>背景</w:t>
      </w:r>
      <w:bookmarkEnd w:id="0"/>
      <w:bookmarkEnd w:id="1"/>
      <w:bookmarkEnd w:id="2"/>
      <w:bookmarkEnd w:id="3"/>
      <w:r>
        <w:rPr>
          <w:rFonts w:hint="eastAsia" w:ascii="宋体" w:hAnsi="宋体"/>
          <w:b/>
          <w:color w:val="auto"/>
          <w:szCs w:val="28"/>
          <w:lang w:val="en-GB"/>
        </w:rPr>
        <w:t>、需实现的相关功能或目标</w:t>
      </w:r>
      <w:r>
        <w:rPr>
          <w:rFonts w:hint="eastAsia" w:ascii="宋体" w:hAnsi="宋体"/>
          <w:b/>
          <w:color w:val="auto"/>
        </w:rPr>
        <w:t>）</w:t>
      </w:r>
    </w:p>
    <w:p w14:paraId="06A7A37B">
      <w:pPr>
        <w:keepNext w:val="0"/>
        <w:keepLines w:val="0"/>
        <w:widowControl/>
        <w:numPr>
          <w:ilvl w:val="-1"/>
          <w:numId w:val="0"/>
        </w:numPr>
        <w:suppressLineNumbers w:val="0"/>
        <w:autoSpaceDE w:val="0"/>
        <w:autoSpaceDN w:val="0"/>
        <w:adjustRightInd w:val="0"/>
        <w:spacing w:line="360" w:lineRule="auto"/>
        <w:ind w:firstLine="422" w:firstLineChars="200"/>
        <w:jc w:val="left"/>
        <w:rPr>
          <w:rFonts w:hint="eastAsia" w:asciiTheme="minorEastAsia" w:hAnsiTheme="minorEastAsia" w:eastAsiaTheme="minorEastAsia" w:cstheme="minorEastAsia"/>
          <w:color w:val="auto"/>
          <w:u w:val="none" w:color="auto"/>
        </w:rPr>
      </w:pPr>
      <w:r>
        <w:rPr>
          <w:rFonts w:hint="eastAsia" w:ascii="宋体" w:hAnsi="宋体"/>
          <w:b/>
          <w:color w:val="auto"/>
          <w:lang w:val="en-US" w:eastAsia="zh-CN"/>
        </w:rPr>
        <w:t xml:space="preserve"> </w:t>
      </w:r>
      <w:r>
        <w:rPr>
          <w:rFonts w:hint="eastAsia" w:asciiTheme="minorEastAsia" w:hAnsiTheme="minorEastAsia" w:eastAsiaTheme="minorEastAsia" w:cstheme="minorEastAsia"/>
          <w:color w:val="auto"/>
          <w:kern w:val="2"/>
          <w:sz w:val="21"/>
          <w:szCs w:val="21"/>
          <w:u w:val="none" w:color="auto"/>
          <w:lang w:val="en-US" w:eastAsia="zh-CN" w:bidi="ar-SA"/>
        </w:rPr>
        <w:t>本次学生宿舍管理服务项目涵盖学校主校区8栋、五厍实训基地1栋，共计9栋学生公寓楼，服务对象为在校全体住宿学生。为深入落实“四全育人”教育理念，切实破解校内学生公寓管理中存在的效率不高、专业不足、育人融合不够等痛点难点问题，学校坚持“整合社会优质资源、提升管理服务效能”的原则，决定对学生公寓管理服务实行外包模式，通过竞争性磋商方式遴选专业、优质的服务供应商，推动学生公寓管理提质增效、转型升级。项目核心目标是实现学生公寓管理制度化、信息化、科学化，推动物业管理与育人工作深度融合，构建“安全、有序、整洁、温馨”的新型学生社区，切实提升师生住宿满意度和幸福感。</w:t>
      </w:r>
    </w:p>
    <w:p w14:paraId="6D106A2E">
      <w:pPr>
        <w:autoSpaceDE w:val="0"/>
        <w:autoSpaceDN w:val="0"/>
        <w:adjustRightInd w:val="0"/>
        <w:spacing w:line="360" w:lineRule="auto"/>
        <w:rPr>
          <w:rFonts w:ascii="宋体" w:hAnsi="宋体"/>
          <w:b/>
          <w:color w:val="auto"/>
        </w:rPr>
      </w:pPr>
      <w:r>
        <w:rPr>
          <w:rFonts w:hint="eastAsia" w:ascii="宋体" w:hAnsi="宋体"/>
          <w:b/>
          <w:color w:val="auto"/>
          <w:lang w:eastAsia="zh-CN"/>
        </w:rPr>
        <w:t>二</w:t>
      </w:r>
      <w:r>
        <w:rPr>
          <w:rFonts w:ascii="宋体" w:hAnsi="宋体"/>
          <w:b/>
          <w:color w:val="auto"/>
        </w:rPr>
        <w:t>、</w:t>
      </w:r>
      <w:r>
        <w:rPr>
          <w:rFonts w:hint="eastAsia" w:ascii="宋体" w:hAnsi="宋体"/>
          <w:b/>
          <w:color w:val="auto"/>
        </w:rPr>
        <w:t>服务</w:t>
      </w:r>
      <w:r>
        <w:rPr>
          <w:rFonts w:ascii="宋体" w:hAnsi="宋体"/>
          <w:b/>
          <w:color w:val="auto"/>
        </w:rPr>
        <w:t>要求</w:t>
      </w:r>
    </w:p>
    <w:p w14:paraId="582F4968">
      <w:pPr>
        <w:numPr>
          <w:ilvl w:val="0"/>
          <w:numId w:val="1"/>
        </w:numPr>
        <w:autoSpaceDE w:val="0"/>
        <w:autoSpaceDN w:val="0"/>
        <w:adjustRightInd w:val="0"/>
        <w:spacing w:line="360" w:lineRule="auto"/>
        <w:ind w:left="425" w:leftChars="0" w:hanging="425" w:firstLineChars="0"/>
        <w:rPr>
          <w:rFonts w:ascii="宋体" w:hAnsi="宋体"/>
          <w:b/>
          <w:color w:val="auto"/>
        </w:rPr>
      </w:pPr>
      <w:r>
        <w:rPr>
          <w:rFonts w:hint="eastAsia" w:ascii="宋体" w:hAnsi="宋体"/>
          <w:b/>
          <w:color w:val="auto"/>
        </w:rPr>
        <w:t>服务内容</w:t>
      </w:r>
      <w:r>
        <w:rPr>
          <w:rFonts w:hint="eastAsia" w:ascii="宋体" w:hAnsi="宋体"/>
          <w:b/>
          <w:color w:val="auto"/>
          <w:lang w:val="en-US" w:eastAsia="zh-CN"/>
        </w:rPr>
        <w:t>及标准</w:t>
      </w:r>
      <w:r>
        <w:rPr>
          <w:rFonts w:ascii="宋体" w:hAnsi="宋体"/>
          <w:b/>
          <w:color w:val="auto"/>
        </w:rPr>
        <w:t>要求</w:t>
      </w:r>
      <w:r>
        <w:rPr>
          <w:rFonts w:hint="eastAsia" w:ascii="宋体" w:hAnsi="宋体"/>
          <w:b/>
          <w:color w:val="auto"/>
        </w:rPr>
        <w:t>：</w:t>
      </w:r>
    </w:p>
    <w:p w14:paraId="4B2CDF2C">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值班巡视和公共场所管理</w:t>
      </w:r>
    </w:p>
    <w:p w14:paraId="3606F884">
      <w:pPr>
        <w:keepNext w:val="0"/>
        <w:keepLines w:val="0"/>
        <w:pageBreakBefore w:val="0"/>
        <w:widowControl w:val="0"/>
        <w:numPr>
          <w:ilvl w:val="2"/>
          <w:numId w:val="3"/>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双岗值班：严格按照采购方管理要求，在早晚查房关键时段，确保每栋公寓楼内均有2名宿管员同时在岗履职，实行分工协作机制——1人负责宿舍全面巡查，重点排查安全隐患、违规行为及异常情况；1人在值班室固定值守，负责接待学生咨询、处理突发诉求、登记相关事宜，全方位筑牢公寓安全稳定防线。</w:t>
      </w:r>
    </w:p>
    <w:p w14:paraId="6DC1C463">
      <w:pPr>
        <w:keepNext w:val="0"/>
        <w:keepLines w:val="0"/>
        <w:pageBreakBefore w:val="0"/>
        <w:widowControl w:val="0"/>
        <w:numPr>
          <w:ilvl w:val="2"/>
          <w:numId w:val="3"/>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学生辨识：在依托门禁系统做好出入管控的基础上，宿管员须熟练掌握本楼所有住宿学生的基本信息，实现对住宿学生的精准辨识，辨识正确率不低于80%。该辨识准确率将纳入宿管员个人年度考核核心指标，与绩效考核直接挂钩。</w:t>
      </w:r>
    </w:p>
    <w:p w14:paraId="33833192">
      <w:pPr>
        <w:keepNext w:val="0"/>
        <w:keepLines w:val="0"/>
        <w:pageBreakBefore w:val="0"/>
        <w:widowControl w:val="0"/>
        <w:numPr>
          <w:ilvl w:val="2"/>
          <w:numId w:val="3"/>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每日四检：严格执行每日四次常态化检查制度，确保检查全覆盖、无死角、有记录、有反馈。9:00开展每间学生宿舍安全卫生专项检查，重点检查内务整理、卫生状况及违规物品（如违章电器、管制刀具等）；13:00对每层楼道进行全面巡视，及时排查安全隐患与环境卫生问题，做到即查即改；21:30深入每间学生宿舍开展晚点名工作，精准核实学生归寝情况，对未按时归寝学生及时登记并系统上报；23:00再次对每层楼道进行夜间巡视，重点督查学生就寝纪律与安全状况，杜绝夜间违规行为。</w:t>
      </w:r>
    </w:p>
    <w:p w14:paraId="000D5FE3">
      <w:pPr>
        <w:keepNext w:val="0"/>
        <w:keepLines w:val="0"/>
        <w:pageBreakBefore w:val="0"/>
        <w:widowControl w:val="0"/>
        <w:numPr>
          <w:ilvl w:val="2"/>
          <w:numId w:val="3"/>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钥匙管理：严谨落实公寓楼各类钥匙管理制度，妥善保管所有钥匙，规范执行钥匙借用、归还登记流程，明确登记责任人、借用时间、归还时间及用途。严格履行公共场所、通道门等钥匙的管理职责，按照采购方要求，准时开启、关闭公寓楼内浴室、开水房等公共设施，保障学生正常使用。</w:t>
      </w:r>
    </w:p>
    <w:p w14:paraId="14DE53ED">
      <w:pPr>
        <w:keepNext w:val="0"/>
        <w:keepLines w:val="0"/>
        <w:pageBreakBefore w:val="0"/>
        <w:widowControl w:val="0"/>
        <w:numPr>
          <w:ilvl w:val="2"/>
          <w:numId w:val="3"/>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预检报修：主动配合学校物业部门，对公寓楼内公用设备、安全设施等开展日常预检预修工作，发现损坏、故障或安全隐患及时上报报修，并全程跟踪维修进度，反馈维修结果。协助物业部门做好设备设施的日常维护、保养及维修现场配合工作，保障各类设施设备正常运行。</w:t>
      </w:r>
    </w:p>
    <w:p w14:paraId="023DDB70">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日常管理工作</w:t>
      </w:r>
    </w:p>
    <w:p w14:paraId="7358BA29">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台账管理：严格按照上海市高校学生公寓“六T”实务管理标准，规范做好每栋公寓楼的日报表、周报表、月报表及学期报表的统计、整理、上报工作，确保报表数据真实、准确、完整、及时。定期开展档案整理归档工作，建立健全公寓管理档案体系，做到档案齐全、分类清晰、查阅便捷。</w:t>
      </w:r>
    </w:p>
    <w:p w14:paraId="18199D10">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常规检查：负责每日学生寝室安全卫生检查、违章电器暂存登记、晚点名等工作，做好相关数据的汇总、分析及上报；积极配合采购方开展各类专项检查、消防演练等活动，严格落实上级部门及采购方的各项工作指示和要求，及时整改检查中发现的问题。</w:t>
      </w:r>
    </w:p>
    <w:p w14:paraId="6706E813">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资源管理：按照住宿床位编号，实行床位“一对一”精准管理，建立完善的床位管理台账。主动配合采购方做好新生床位分配、学生走读/住读变更、床位调换、毕业退宿及宿舍搬迁等相关工作，确保床位管理规范有序，无混乱、无遗漏。</w:t>
      </w:r>
    </w:p>
    <w:p w14:paraId="1F4C78B2">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假期工作：</w:t>
      </w:r>
      <w:r>
        <w:rPr>
          <w:rFonts w:hint="eastAsia" w:asciiTheme="minorEastAsia" w:hAnsiTheme="minorEastAsia" w:eastAsiaTheme="minorEastAsia" w:cstheme="minorEastAsia"/>
          <w:color w:val="auto"/>
          <w:kern w:val="2"/>
          <w:sz w:val="21"/>
          <w:szCs w:val="21"/>
          <w:u w:val="none" w:color="auto"/>
          <w:lang w:val="en-US" w:eastAsia="zh-CN" w:bidi="ar-SA"/>
        </w:rPr>
        <w:t>寒暑假期间，若采购方有军训、各类大赛、校园活动等相关安排，须全力配合做好留校学生的日常管理、安全值守、生活保障等工作。配合采购方协调安保、物业、空调、信息化、消防等各类工程及维修工作，保障假期公寓管理工作有序开展。</w:t>
      </w:r>
    </w:p>
    <w:p w14:paraId="55D8A890">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安全管理工作</w:t>
      </w:r>
    </w:p>
    <w:p w14:paraId="57720532">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安全制度建设：结合本项目实际，建立健全公寓安全管理制度及突发事件应急预案，明确应急处置流程、责任分工及处置措施。完善安全工作台账，定期汇总安全管理情况并上报采购方，对排查发现的安全隐患及时预警、妥善处置，形成闭环管理。定期组织宿管员开展安全管理培训，提升宿管员安全防范意识和应急处置能力，严格落实全员安全管理职责。</w:t>
      </w:r>
    </w:p>
    <w:p w14:paraId="4578D379">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安全教育宣传：积极配合采购方开展多样化、常态化的安全教育活动（如安全知识讲座、应急演练、主题宣传等）；确保公寓楼内各类安全标识规范、清晰、完整、醒目，无损坏、无缺失；在日常巡查、晚点名等工作中，主动向学生普及消防安全、用电安全、防盗防骗等知识，强化学生安全意识；在节假日、重要节点，通过黑板报、通告栏等形式开展专题安全宣传，营造“人人讲安全、事事为安全”的良好氛围。</w:t>
      </w:r>
    </w:p>
    <w:p w14:paraId="07253CEE">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安全专项检查：严格落实每日安全巡查制度，重点排查学生寝室及公共区域的违规电器使用、管制刀具存放、吸烟等违规行为，发现问题及时登记、劝阻、收缴并上报采购方。定期检查维护公寓楼内安全设施设备，确保设施设备正常有效运行。</w:t>
      </w:r>
    </w:p>
    <w:p w14:paraId="194B4613">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安全责任追究：</w:t>
      </w:r>
      <w:r>
        <w:rPr>
          <w:rFonts w:hint="eastAsia" w:asciiTheme="minorEastAsia" w:hAnsiTheme="minorEastAsia" w:eastAsiaTheme="minorEastAsia" w:cstheme="minorEastAsia"/>
          <w:color w:val="auto"/>
          <w:kern w:val="2"/>
          <w:sz w:val="21"/>
          <w:szCs w:val="21"/>
          <w:u w:val="none" w:color="auto"/>
          <w:lang w:val="en-US" w:eastAsia="zh-CN" w:bidi="ar-SA"/>
        </w:rPr>
        <w:t>若因服务方未履行安全管理职责、管理不到位，引发重大安全责任事故，造成学校财产损失、不良社会影响或学生人身伤害的，一经核实，采购方将全额扣除服务方履约保证金，不予续签服务合同，并依法追究服务方相应的法律责任和经济赔偿责任。</w:t>
      </w:r>
    </w:p>
    <w:p w14:paraId="025A5F83">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信息化管理工作</w:t>
      </w:r>
    </w:p>
    <w:p w14:paraId="6EE58B1F">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信息操作培训：服务方须建立宿管员信息化操作培训机制，定期组织全体在岗宿管员开展采购方指定信息化管理系统的操作培训，确保每位宿管员能够熟练、规范使用该系统，准确完成各类信息录入、查询、上报等操作，杜绝因操作不规范导致的信息错误、遗漏等问题。确保全体在岗人员能够熟练、规范使用采购方信息化管理系统。</w:t>
      </w:r>
    </w:p>
    <w:p w14:paraId="49FDD5BF">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信息管理维护：全力配合采购方，全面推进学生公寓管理信息化建设，实现线上选宿、退宿、换宿、安全卫生检查、晚点名等工作的信息化运行。负责信息化管理平台日常信息维护与更新，及时录入学生住宿信息、检查结果、违规记录等相关数据，确保平台信息真实、准确、及时。</w:t>
      </w:r>
    </w:p>
    <w:p w14:paraId="0C38C46E">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信息展示管控：</w:t>
      </w:r>
      <w:r>
        <w:rPr>
          <w:rFonts w:hint="eastAsia" w:asciiTheme="minorEastAsia" w:hAnsiTheme="minorEastAsia" w:eastAsiaTheme="minorEastAsia" w:cstheme="minorEastAsia"/>
          <w:color w:val="auto"/>
          <w:kern w:val="2"/>
          <w:sz w:val="21"/>
          <w:szCs w:val="21"/>
          <w:u w:val="none" w:color="auto"/>
          <w:lang w:val="en-US" w:eastAsia="zh-CN" w:bidi="ar-SA"/>
        </w:rPr>
        <w:t>充分利用公寓楼内电脑、电子显示屏等信息化设备，及时发布学校的重要通知、活动安排、安全提示等内容。所有展示信息须提前提交采购方审核，经审核通过后方可上线展示，严禁发布未经审核、违规或无关的信息，确保信息发布规范、严谨。</w:t>
      </w:r>
    </w:p>
    <w:p w14:paraId="68AD66DA">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学生德育工作</w:t>
      </w:r>
    </w:p>
    <w:p w14:paraId="5913BC5E">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行为育人引导：深入贯彻“四全育人”理念，将德育工作融入公寓日常管理全过程，加强学生文明素养、日常行为规范及安全意识的教育引导，规范学生宿舍内部布置，杜绝不文明住宿行为。积极配合采购方开展一站式学生社区建设、各类德育活动组织、相关材料报送及学生骨干队伍培育等工作，推动公寓成为育人重要阵地。</w:t>
      </w:r>
    </w:p>
    <w:p w14:paraId="353885EF">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联动协同管理：按时、准确报送每周卫生报表、违章电器汇总信息，精准统计辅导员（班主任）下宿舍频次、时长及相关情况，按期提交学期卫生工作总结报表。主动配合采购方做好学生违纪行为的教育、劝阻、处置与上报工作，形成育人联动机制。</w:t>
      </w:r>
    </w:p>
    <w:p w14:paraId="7E0CA4EA">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和谐氛围共建：密切关注学生行为表现、思想动态及公寓管理难点问题，主动收集学生诉求并及时反馈给采购方。对学生之间的矛盾纠纷，第一时间介入调解，耐心做好思想疏导工作，化解矛盾、平息纠纷，维护公寓楼秩序和谐稳定。</w:t>
      </w:r>
    </w:p>
    <w:p w14:paraId="6AED55FB">
      <w:pPr>
        <w:keepNext w:val="0"/>
        <w:keepLines w:val="0"/>
        <w:pageBreakBefore w:val="0"/>
        <w:widowControl w:val="0"/>
        <w:numPr>
          <w:ilvl w:val="2"/>
          <w:numId w:val="2"/>
        </w:numPr>
        <w:kinsoku/>
        <w:wordWrap/>
        <w:overflowPunct/>
        <w:topLinePunct w:val="0"/>
        <w:autoSpaceDE w:val="0"/>
        <w:autoSpaceDN w:val="0"/>
        <w:bidi w:val="0"/>
        <w:adjustRightInd w:val="0"/>
        <w:snapToGrid/>
        <w:spacing w:line="360" w:lineRule="auto"/>
        <w:ind w:left="0" w:leftChars="0" w:firstLine="420" w:firstLineChars="200"/>
        <w:textAlignment w:val="auto"/>
        <w:rPr>
          <w:rFonts w:hint="eastAsia" w:asciiTheme="minorEastAsia" w:hAnsiTheme="minorEastAsia" w:eastAsiaTheme="minorEastAsia" w:cstheme="minorEastAsia"/>
          <w:b w:val="0"/>
          <w:bCs w:val="0"/>
          <w:color w:val="auto"/>
          <w:kern w:val="2"/>
          <w:sz w:val="21"/>
          <w:szCs w:val="21"/>
          <w:u w:val="none" w:color="auto"/>
          <w:lang w:val="en-US" w:eastAsia="zh-CN" w:bidi="ar-SA"/>
        </w:rPr>
      </w:pPr>
      <w:r>
        <w:rPr>
          <w:rFonts w:hint="eastAsia" w:asciiTheme="minorEastAsia" w:hAnsiTheme="minorEastAsia" w:eastAsiaTheme="minorEastAsia" w:cstheme="minorEastAsia"/>
          <w:b w:val="0"/>
          <w:bCs w:val="0"/>
          <w:color w:val="auto"/>
          <w:kern w:val="2"/>
          <w:sz w:val="21"/>
          <w:szCs w:val="21"/>
          <w:u w:val="none" w:color="auto"/>
          <w:lang w:val="en-US" w:eastAsia="zh-CN" w:bidi="ar-SA"/>
        </w:rPr>
        <w:t>社区活动开展：积极配合采购方开展社区文化节、爱国卫生运动、文明创建等各类校园活动，做好活动资料收集、现场组织、宣传总结等相关工作。负责公寓楼黑板报、通告栏等宣传阵地的日常管理，宣传内容须经采购方审核通过后发布。按照采购方要求，有序开展文明宿舍、每月之星等评选活动，做好楼长、层长、宿舍长的选拔、培养与管理工作，全力助力文明校园创建。</w:t>
      </w:r>
    </w:p>
    <w:p w14:paraId="39BD9DCC">
      <w:pPr>
        <w:numPr>
          <w:ilvl w:val="1"/>
          <w:numId w:val="2"/>
        </w:numPr>
        <w:autoSpaceDE w:val="0"/>
        <w:autoSpaceDN w:val="0"/>
        <w:adjustRightInd w:val="0"/>
        <w:spacing w:line="360" w:lineRule="auto"/>
        <w:ind w:left="567" w:leftChars="0" w:hanging="567" w:firstLineChars="0"/>
        <w:rPr>
          <w:rFonts w:hint="eastAsia" w:asciiTheme="minorEastAsia" w:hAnsiTheme="minorEastAsia" w:eastAsiaTheme="minorEastAsia" w:cstheme="minorEastAsia"/>
          <w:b/>
          <w:bCs/>
          <w:color w:val="auto"/>
          <w:kern w:val="2"/>
          <w:sz w:val="21"/>
          <w:szCs w:val="21"/>
          <w:u w:val="none" w:color="auto"/>
          <w:lang w:val="en-US" w:eastAsia="zh-CN" w:bidi="ar-SA"/>
        </w:rPr>
      </w:pPr>
      <w:r>
        <w:rPr>
          <w:rFonts w:hint="eastAsia" w:asciiTheme="minorEastAsia" w:hAnsiTheme="minorEastAsia" w:eastAsiaTheme="minorEastAsia" w:cstheme="minorEastAsia"/>
          <w:b/>
          <w:bCs/>
          <w:color w:val="auto"/>
          <w:kern w:val="2"/>
          <w:sz w:val="21"/>
          <w:szCs w:val="21"/>
          <w:u w:val="none" w:color="auto"/>
          <w:lang w:val="en-US" w:eastAsia="zh-CN" w:bidi="ar-SA"/>
        </w:rPr>
        <w:t>其他工作</w:t>
      </w:r>
    </w:p>
    <w:p w14:paraId="489A110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textAlignment w:val="auto"/>
        <w:rPr>
          <w:rFonts w:hint="eastAsia" w:ascii="宋体" w:hAnsi="宋体"/>
          <w:b/>
          <w:color w:val="auto"/>
          <w:lang w:eastAsia="zh-CN"/>
        </w:rPr>
      </w:pPr>
      <w:r>
        <w:rPr>
          <w:rFonts w:hint="eastAsia" w:asciiTheme="minorEastAsia" w:hAnsiTheme="minorEastAsia" w:eastAsiaTheme="minorEastAsia" w:cstheme="minorEastAsia"/>
          <w:color w:val="auto"/>
          <w:kern w:val="2"/>
          <w:sz w:val="21"/>
          <w:szCs w:val="21"/>
          <w:u w:val="none" w:color="auto"/>
          <w:lang w:val="en-US" w:eastAsia="zh-CN" w:bidi="ar-SA"/>
        </w:rPr>
        <w:t>若遇传染性疾病暴发等突发公共卫生事件，服务方须无偿配合采购方医务室，做好公寓楼内公共区域、学生宿舍等重点区域的消毒消杀工作，消毒器具、消毒药水等物资由医务室统一提供。严格按照上海市高校后勤服务中心相关要求，积极配合采购方开展“六T”公寓创建工作，推动公寓管理向规范化、精细化、科学化方向提升，确保创建工作达标。</w:t>
      </w:r>
    </w:p>
    <w:p w14:paraId="64DA7DD9">
      <w:pPr>
        <w:numPr>
          <w:ilvl w:val="0"/>
          <w:numId w:val="1"/>
        </w:numPr>
        <w:autoSpaceDE w:val="0"/>
        <w:autoSpaceDN w:val="0"/>
        <w:adjustRightInd w:val="0"/>
        <w:spacing w:line="360" w:lineRule="auto"/>
        <w:ind w:left="425" w:leftChars="0" w:hanging="425" w:firstLineChars="0"/>
        <w:rPr>
          <w:rFonts w:ascii="宋体" w:hAnsi="宋体"/>
          <w:b/>
          <w:color w:val="auto"/>
        </w:rPr>
      </w:pPr>
      <w:r>
        <w:rPr>
          <w:rFonts w:hint="eastAsia" w:ascii="宋体" w:hAnsi="宋体"/>
          <w:b/>
          <w:color w:val="auto"/>
          <w:lang w:eastAsia="zh-CN"/>
        </w:rPr>
        <w:t>人员配置与服务标准</w:t>
      </w:r>
      <w:r>
        <w:rPr>
          <w:rFonts w:hint="eastAsia" w:ascii="宋体" w:hAnsi="宋体"/>
          <w:b/>
          <w:color w:val="auto"/>
          <w:lang w:val="en-US" w:eastAsia="zh-CN"/>
        </w:rPr>
        <w:t>要求</w:t>
      </w:r>
    </w:p>
    <w:p w14:paraId="6DDC5C5F">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color w:val="auto"/>
          <w:kern w:val="2"/>
          <w:sz w:val="21"/>
          <w:szCs w:val="21"/>
          <w:u w:val="none" w:color="auto"/>
          <w:lang w:val="en-US" w:eastAsia="zh-CN" w:bidi="ar-SA"/>
        </w:rPr>
        <w:t>人员配置达标：严格按照采购方要求配置专业管理服务团队，</w:t>
      </w:r>
      <w:r>
        <w:rPr>
          <w:rFonts w:hint="eastAsia" w:asciiTheme="minorEastAsia" w:hAnsiTheme="minorEastAsia" w:eastAsiaTheme="minorEastAsia" w:cstheme="minorEastAsia"/>
          <w:color w:val="FF0000"/>
          <w:kern w:val="2"/>
          <w:sz w:val="21"/>
          <w:szCs w:val="21"/>
          <w:u w:val="none" w:color="auto"/>
          <w:lang w:val="en-US" w:eastAsia="zh-CN" w:bidi="ar-SA"/>
        </w:rPr>
        <w:t>★团队人员总数不少于32人</w:t>
      </w:r>
      <w:r>
        <w:rPr>
          <w:rFonts w:hint="eastAsia" w:asciiTheme="minorEastAsia" w:hAnsiTheme="minorEastAsia" w:eastAsiaTheme="minorEastAsia" w:cstheme="minorEastAsia"/>
          <w:color w:val="auto"/>
          <w:kern w:val="2"/>
          <w:sz w:val="21"/>
          <w:szCs w:val="21"/>
          <w:u w:val="none" w:color="auto"/>
          <w:lang w:val="en-US" w:eastAsia="zh-CN" w:bidi="ar-SA"/>
        </w:rPr>
        <w:t>，其中含专职项目经理1名。项目经理需具有大专或以上学历；具备中级及以上职称；具备5年及以上学生宿舍管理服务经验。服务期内，须保障项目经理任职稳定性，原则上不得擅自更换；确需更换的，须提前15个工作日书面报备采购方，经采购方书面同意后方可更换，且更换后的项目经理资质、工作经验不得低于原承诺标准。</w:t>
      </w:r>
    </w:p>
    <w:p w14:paraId="2B3B8C5D">
      <w:pPr>
        <w:jc w:val="center"/>
        <w:rPr>
          <w:rFonts w:hint="eastAsia"/>
          <w:color w:val="auto"/>
          <w:sz w:val="21"/>
          <w:szCs w:val="21"/>
          <w:lang w:val="en-US" w:eastAsia="zh-CN"/>
        </w:rPr>
      </w:pPr>
      <w:r>
        <w:rPr>
          <w:rFonts w:hint="eastAsia"/>
          <w:color w:val="auto"/>
          <w:sz w:val="21"/>
          <w:szCs w:val="21"/>
          <w:lang w:val="en-US" w:eastAsia="zh-CN"/>
        </w:rPr>
        <w:t>农林宿管员日常工作班次表</w:t>
      </w:r>
    </w:p>
    <w:tbl>
      <w:tblPr>
        <w:tblStyle w:val="16"/>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279"/>
        <w:gridCol w:w="843"/>
        <w:gridCol w:w="1818"/>
        <w:gridCol w:w="1770"/>
        <w:gridCol w:w="2145"/>
      </w:tblGrid>
      <w:tr w14:paraId="00FF2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788" w:type="dxa"/>
            <w:gridSpan w:val="3"/>
          </w:tcPr>
          <w:p w14:paraId="1309DFFD">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类型</w:t>
            </w:r>
          </w:p>
        </w:tc>
        <w:tc>
          <w:tcPr>
            <w:tcW w:w="1818" w:type="dxa"/>
          </w:tcPr>
          <w:p w14:paraId="2762D2EE">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进出班时间</w:t>
            </w:r>
          </w:p>
        </w:tc>
        <w:tc>
          <w:tcPr>
            <w:tcW w:w="1770" w:type="dxa"/>
            <w:vAlign w:val="top"/>
          </w:tcPr>
          <w:p w14:paraId="61E38753">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工作地点</w:t>
            </w:r>
          </w:p>
        </w:tc>
        <w:tc>
          <w:tcPr>
            <w:tcW w:w="2145" w:type="dxa"/>
            <w:vAlign w:val="top"/>
          </w:tcPr>
          <w:p w14:paraId="136B026C">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备注</w:t>
            </w:r>
          </w:p>
        </w:tc>
      </w:tr>
      <w:tr w14:paraId="137D9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77495F51">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w:t>
            </w:r>
          </w:p>
        </w:tc>
        <w:tc>
          <w:tcPr>
            <w:tcW w:w="1279" w:type="dxa"/>
            <w:vAlign w:val="center"/>
          </w:tcPr>
          <w:p w14:paraId="0EA05781">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宿管员</w:t>
            </w:r>
          </w:p>
        </w:tc>
        <w:tc>
          <w:tcPr>
            <w:tcW w:w="843" w:type="dxa"/>
            <w:vAlign w:val="center"/>
          </w:tcPr>
          <w:p w14:paraId="3DFBB9A2">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27人</w:t>
            </w:r>
          </w:p>
        </w:tc>
        <w:tc>
          <w:tcPr>
            <w:tcW w:w="1818" w:type="dxa"/>
            <w:vAlign w:val="center"/>
          </w:tcPr>
          <w:p w14:paraId="750A0546">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20:30至第三天10:30</w:t>
            </w:r>
          </w:p>
        </w:tc>
        <w:tc>
          <w:tcPr>
            <w:tcW w:w="1770" w:type="dxa"/>
            <w:vAlign w:val="center"/>
          </w:tcPr>
          <w:p w14:paraId="56613804">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本校区</w:t>
            </w:r>
          </w:p>
        </w:tc>
        <w:tc>
          <w:tcPr>
            <w:tcW w:w="2145" w:type="dxa"/>
            <w:vAlign w:val="center"/>
          </w:tcPr>
          <w:p w14:paraId="51562F4C">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24小时轮值，夜间双人在岗，其中1岗20:30至次日6:30在值班室休息</w:t>
            </w:r>
          </w:p>
        </w:tc>
      </w:tr>
      <w:tr w14:paraId="37D2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6E2F9078">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w:t>
            </w:r>
          </w:p>
        </w:tc>
        <w:tc>
          <w:tcPr>
            <w:tcW w:w="1279" w:type="dxa"/>
            <w:vAlign w:val="center"/>
          </w:tcPr>
          <w:p w14:paraId="5EFF088A">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宿管员</w:t>
            </w:r>
          </w:p>
        </w:tc>
        <w:tc>
          <w:tcPr>
            <w:tcW w:w="843" w:type="dxa"/>
            <w:vAlign w:val="center"/>
          </w:tcPr>
          <w:p w14:paraId="7425882D">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3人</w:t>
            </w:r>
          </w:p>
        </w:tc>
        <w:tc>
          <w:tcPr>
            <w:tcW w:w="1818" w:type="dxa"/>
            <w:vAlign w:val="center"/>
          </w:tcPr>
          <w:p w14:paraId="3B4DB998">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8:00至次日16:00</w:t>
            </w:r>
          </w:p>
        </w:tc>
        <w:tc>
          <w:tcPr>
            <w:tcW w:w="1770" w:type="dxa"/>
            <w:vAlign w:val="center"/>
          </w:tcPr>
          <w:p w14:paraId="0CA5DA65">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五厍基地</w:t>
            </w:r>
          </w:p>
        </w:tc>
        <w:tc>
          <w:tcPr>
            <w:tcW w:w="2145" w:type="dxa"/>
            <w:vAlign w:val="center"/>
          </w:tcPr>
          <w:p w14:paraId="45CE305F">
            <w:pPr>
              <w:jc w:val="center"/>
              <w:rPr>
                <w:rFonts w:hint="eastAsia" w:ascii="宋体" w:hAnsi="宋体" w:cs="宋体"/>
                <w:color w:val="auto"/>
                <w:sz w:val="21"/>
                <w:szCs w:val="21"/>
                <w:vertAlign w:val="baseline"/>
                <w:lang w:val="en-US" w:eastAsia="zh-CN"/>
              </w:rPr>
            </w:pPr>
          </w:p>
        </w:tc>
      </w:tr>
      <w:tr w14:paraId="5CD35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6" w:type="dxa"/>
            <w:vAlign w:val="center"/>
          </w:tcPr>
          <w:p w14:paraId="43EA08FF">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w:t>
            </w:r>
          </w:p>
        </w:tc>
        <w:tc>
          <w:tcPr>
            <w:tcW w:w="1279" w:type="dxa"/>
            <w:vAlign w:val="center"/>
          </w:tcPr>
          <w:p w14:paraId="65E2FA55">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项目经理、主管</w:t>
            </w:r>
          </w:p>
        </w:tc>
        <w:tc>
          <w:tcPr>
            <w:tcW w:w="843" w:type="dxa"/>
            <w:vAlign w:val="center"/>
          </w:tcPr>
          <w:p w14:paraId="6A4966FB">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2人</w:t>
            </w:r>
          </w:p>
        </w:tc>
        <w:tc>
          <w:tcPr>
            <w:tcW w:w="1818" w:type="dxa"/>
            <w:vAlign w:val="center"/>
          </w:tcPr>
          <w:p w14:paraId="5F3D8C0A">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8:30至当天16:30</w:t>
            </w:r>
          </w:p>
        </w:tc>
        <w:tc>
          <w:tcPr>
            <w:tcW w:w="1770" w:type="dxa"/>
            <w:vAlign w:val="center"/>
          </w:tcPr>
          <w:p w14:paraId="7A854E72">
            <w:pPr>
              <w:jc w:val="center"/>
              <w:rPr>
                <w:rFonts w:hint="eastAsia"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本校区+五厍基地</w:t>
            </w:r>
          </w:p>
        </w:tc>
        <w:tc>
          <w:tcPr>
            <w:tcW w:w="2145" w:type="dxa"/>
            <w:vAlign w:val="center"/>
          </w:tcPr>
          <w:p w14:paraId="111B2631">
            <w:pPr>
              <w:jc w:val="center"/>
              <w:rPr>
                <w:rFonts w:hint="eastAsia" w:ascii="宋体" w:hAnsi="宋体" w:cs="宋体"/>
                <w:color w:val="auto"/>
                <w:sz w:val="21"/>
                <w:szCs w:val="21"/>
                <w:vertAlign w:val="baseline"/>
                <w:lang w:val="en-US" w:eastAsia="zh-CN"/>
              </w:rPr>
            </w:pPr>
          </w:p>
        </w:tc>
      </w:tr>
    </w:tbl>
    <w:p w14:paraId="3E0298D0">
      <w:pPr>
        <w:keepNext w:val="0"/>
        <w:keepLines w:val="0"/>
        <w:pageBreakBefore w:val="0"/>
        <w:widowControl/>
        <w:numPr>
          <w:ilvl w:val="-1"/>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420" w:leftChars="200" w:right="0" w:rightChars="0" w:firstLine="0" w:firstLineChars="0"/>
        <w:jc w:val="left"/>
        <w:textAlignment w:val="auto"/>
        <w:rPr>
          <w:rFonts w:hint="eastAsia" w:asciiTheme="minorEastAsia" w:hAnsiTheme="minorEastAsia" w:eastAsiaTheme="minorEastAsia" w:cstheme="minorEastAsia"/>
          <w:color w:val="auto"/>
          <w:kern w:val="2"/>
          <w:sz w:val="21"/>
          <w:szCs w:val="21"/>
          <w:u w:val="none" w:color="auto"/>
          <w:lang w:val="en-US" w:eastAsia="zh-CN" w:bidi="ar-SA"/>
        </w:rPr>
      </w:pPr>
    </w:p>
    <w:p w14:paraId="1472BC6D">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color w:val="auto"/>
          <w:kern w:val="2"/>
          <w:sz w:val="21"/>
          <w:szCs w:val="21"/>
          <w:u w:val="none" w:color="auto"/>
          <w:lang w:val="en-US" w:eastAsia="zh-CN" w:bidi="ar-SA"/>
        </w:rPr>
        <w:t>管理能力提升：各学生公寓楼全面实行24小时值班值守制度，规范台账记录、档案管理与管理流程，全面落实信息化管理作业要求，确保各项管理工作有序高效开展。建立健全宿管员队伍常态化培训、考核与激励机制，定期开展业务培训、技能考核，持续提升管理服务团队的专业素养、业务能力和服务水平。</w:t>
      </w:r>
    </w:p>
    <w:p w14:paraId="2C38B62E">
      <w:pPr>
        <w:keepNext w:val="0"/>
        <w:keepLines w:val="0"/>
        <w:pageBreakBefore w:val="0"/>
        <w:widowControl/>
        <w:numPr>
          <w:ilvl w:val="1"/>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rPr>
          <w:rFonts w:hint="eastAsia" w:asciiTheme="minorEastAsia" w:hAnsiTheme="minorEastAsia" w:eastAsiaTheme="minorEastAsia" w:cstheme="minorEastAsia"/>
          <w:color w:val="auto"/>
          <w:kern w:val="2"/>
          <w:sz w:val="21"/>
          <w:szCs w:val="21"/>
          <w:u w:val="none" w:color="auto"/>
          <w:lang w:val="en-US" w:eastAsia="zh-CN" w:bidi="ar-SA"/>
        </w:rPr>
      </w:pPr>
      <w:r>
        <w:rPr>
          <w:rFonts w:hint="eastAsia" w:asciiTheme="minorEastAsia" w:hAnsiTheme="minorEastAsia" w:eastAsiaTheme="minorEastAsia" w:cstheme="minorEastAsia"/>
          <w:color w:val="auto"/>
          <w:kern w:val="2"/>
          <w:sz w:val="21"/>
          <w:szCs w:val="21"/>
          <w:u w:val="none" w:color="auto"/>
          <w:lang w:val="en-US" w:eastAsia="zh-CN" w:bidi="ar-SA"/>
        </w:rPr>
        <w:t>服务成效保障：每日常态化开展公寓安全巡查、卫生整治与安全隐患排查工作，对发现的问题及时反馈、督促整改，确保服务期内无重大安全责任事故发生。每学期配合采购方组织开展宿管员服务质量师生满意度测评，测评满意度原则上不低于90%；对测评中发现的问题，须及时制定整改方案，限期整改，持续优化服务质量，改善学生住宿与育人环境。</w:t>
      </w:r>
    </w:p>
    <w:p w14:paraId="40195CD7">
      <w:pPr>
        <w:autoSpaceDE w:val="0"/>
        <w:autoSpaceDN w:val="0"/>
        <w:adjustRightInd w:val="0"/>
        <w:spacing w:line="360" w:lineRule="auto"/>
        <w:rPr>
          <w:rFonts w:ascii="宋体" w:hAnsi="宋体"/>
          <w:b/>
          <w:color w:val="auto"/>
        </w:rPr>
      </w:pPr>
      <w:r>
        <w:rPr>
          <w:rFonts w:hint="eastAsia" w:ascii="宋体" w:hAnsi="宋体"/>
          <w:b/>
          <w:color w:val="auto"/>
          <w:lang w:eastAsia="zh-CN"/>
        </w:rPr>
        <w:t>三</w:t>
      </w:r>
      <w:r>
        <w:rPr>
          <w:rFonts w:ascii="宋体" w:hAnsi="宋体"/>
          <w:b/>
          <w:color w:val="auto"/>
        </w:rPr>
        <w:t>、</w:t>
      </w:r>
      <w:r>
        <w:rPr>
          <w:rFonts w:hint="eastAsia" w:ascii="宋体" w:hAnsi="宋体"/>
          <w:b/>
          <w:color w:val="auto"/>
          <w:lang w:eastAsia="zh-CN"/>
        </w:rPr>
        <w:t>其他</w:t>
      </w:r>
      <w:r>
        <w:rPr>
          <w:rFonts w:ascii="宋体" w:hAnsi="宋体"/>
          <w:b/>
          <w:color w:val="auto"/>
        </w:rPr>
        <w:t>要求</w:t>
      </w:r>
    </w:p>
    <w:p w14:paraId="21CA68DB">
      <w:pPr>
        <w:autoSpaceDE w:val="0"/>
        <w:autoSpaceDN w:val="0"/>
        <w:adjustRightInd w:val="0"/>
        <w:spacing w:line="360" w:lineRule="auto"/>
        <w:rPr>
          <w:rFonts w:hint="eastAsia" w:ascii="宋体" w:hAnsi="宋体"/>
          <w:b/>
          <w:color w:val="auto"/>
        </w:rPr>
      </w:pPr>
      <w:r>
        <w:rPr>
          <w:rFonts w:hint="eastAsia" w:ascii="宋体" w:hAnsi="宋体"/>
          <w:b/>
          <w:color w:val="auto"/>
          <w:lang w:eastAsia="zh-CN"/>
        </w:rPr>
        <w:t>1.</w:t>
      </w:r>
      <w:r>
        <w:rPr>
          <w:rFonts w:hint="eastAsia" w:ascii="宋体" w:hAnsi="宋体"/>
          <w:b/>
          <w:color w:val="auto"/>
        </w:rPr>
        <w:t>服务期</w:t>
      </w:r>
      <w:r>
        <w:rPr>
          <w:rFonts w:ascii="宋体" w:hAnsi="宋体"/>
          <w:b/>
          <w:color w:val="auto"/>
        </w:rPr>
        <w:t>限</w:t>
      </w:r>
      <w:r>
        <w:rPr>
          <w:rFonts w:hint="eastAsia" w:ascii="宋体" w:hAnsi="宋体"/>
          <w:b/>
          <w:color w:val="auto"/>
        </w:rPr>
        <w:t>及</w:t>
      </w:r>
      <w:r>
        <w:rPr>
          <w:rFonts w:ascii="宋体" w:hAnsi="宋体"/>
          <w:b/>
          <w:color w:val="auto"/>
        </w:rPr>
        <w:t>地点</w:t>
      </w:r>
      <w:r>
        <w:rPr>
          <w:rFonts w:hint="eastAsia" w:ascii="宋体" w:hAnsi="宋体"/>
          <w:b/>
          <w:color w:val="auto"/>
        </w:rPr>
        <w:t>：</w:t>
      </w:r>
    </w:p>
    <w:p w14:paraId="6B0AED08">
      <w:pPr>
        <w:autoSpaceDE w:val="0"/>
        <w:autoSpaceDN w:val="0"/>
        <w:adjustRightInd w:val="0"/>
        <w:spacing w:line="360" w:lineRule="auto"/>
        <w:rPr>
          <w:rFonts w:hint="default" w:ascii="宋体" w:hAnsi="宋体"/>
          <w:b w:val="0"/>
          <w:bCs/>
          <w:color w:val="auto"/>
          <w:lang w:val="en-US" w:eastAsia="zh-CN"/>
        </w:rPr>
      </w:pPr>
      <w:r>
        <w:rPr>
          <w:rFonts w:hint="eastAsia" w:ascii="宋体" w:hAnsi="宋体"/>
          <w:b w:val="0"/>
          <w:bCs/>
          <w:color w:val="auto"/>
          <w:lang w:val="en-US" w:eastAsia="zh-CN"/>
        </w:rPr>
        <w:t>1.1 服务期限：自合同签订之日起一年。</w:t>
      </w:r>
    </w:p>
    <w:p w14:paraId="516E756F">
      <w:pPr>
        <w:autoSpaceDE w:val="0"/>
        <w:autoSpaceDN w:val="0"/>
        <w:adjustRightInd w:val="0"/>
        <w:spacing w:line="360" w:lineRule="auto"/>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1.2 服务地点：本校区：上海市松江区岳阳街道中山二路658号；五厍基地：松江区水产公路28号</w:t>
      </w:r>
    </w:p>
    <w:p w14:paraId="0AF4894F">
      <w:pPr>
        <w:autoSpaceDE w:val="0"/>
        <w:autoSpaceDN w:val="0"/>
        <w:adjustRightInd w:val="0"/>
        <w:spacing w:line="360" w:lineRule="auto"/>
        <w:rPr>
          <w:rFonts w:hint="eastAsia" w:ascii="宋体" w:hAnsi="宋体"/>
          <w:b/>
          <w:color w:val="auto"/>
        </w:rPr>
      </w:pPr>
      <w:r>
        <w:rPr>
          <w:rFonts w:hint="eastAsia" w:ascii="宋体" w:hAnsi="宋体"/>
          <w:b/>
          <w:color w:val="auto"/>
          <w:lang w:eastAsia="zh-CN"/>
        </w:rPr>
        <w:t>2.</w:t>
      </w:r>
      <w:r>
        <w:rPr>
          <w:rFonts w:ascii="宋体" w:hAnsi="宋体"/>
          <w:b/>
          <w:color w:val="auto"/>
        </w:rPr>
        <w:t>付款方式</w:t>
      </w:r>
      <w:r>
        <w:rPr>
          <w:rFonts w:hint="eastAsia" w:ascii="宋体" w:hAnsi="宋体"/>
          <w:b/>
          <w:color w:val="auto"/>
        </w:rPr>
        <w:t>：</w:t>
      </w:r>
    </w:p>
    <w:p w14:paraId="5E5B0AB3">
      <w:pPr>
        <w:numPr>
          <w:ilvl w:val="0"/>
          <w:numId w:val="0"/>
        </w:numPr>
        <w:autoSpaceDE w:val="0"/>
        <w:autoSpaceDN w:val="0"/>
        <w:adjustRightInd w:val="0"/>
        <w:spacing w:line="360" w:lineRule="auto"/>
        <w:ind w:firstLine="420" w:firstLineChars="200"/>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双方约定物业管理服务费按季度支付。中标单位在完成一个季度的服务工作后，采购人根据合同规定的标准对中标单位的服务情况进行考核，考核合格后10个工作日内支付该季度服务费。</w:t>
      </w:r>
    </w:p>
    <w:p w14:paraId="1B4189A0">
      <w:pPr>
        <w:numPr>
          <w:ilvl w:val="-1"/>
          <w:numId w:val="0"/>
        </w:numPr>
        <w:autoSpaceDE w:val="0"/>
        <w:autoSpaceDN w:val="0"/>
        <w:adjustRightInd w:val="0"/>
        <w:spacing w:line="360" w:lineRule="auto"/>
        <w:ind w:left="0" w:firstLine="0" w:firstLineChars="0"/>
        <w:rPr>
          <w:rFonts w:hint="eastAsia" w:ascii="宋体" w:hAnsi="宋体" w:eastAsia="宋体"/>
          <w:b/>
          <w:color w:val="auto"/>
          <w:lang w:val="en-US" w:eastAsia="zh-CN"/>
        </w:rPr>
      </w:pPr>
      <w:r>
        <w:rPr>
          <w:rFonts w:hint="eastAsia" w:ascii="宋体" w:hAnsi="宋体" w:eastAsia="宋体"/>
          <w:b/>
          <w:color w:val="auto"/>
          <w:lang w:val="en-US" w:eastAsia="zh-CN"/>
        </w:rPr>
        <w:t>3.履约保证金：</w:t>
      </w:r>
    </w:p>
    <w:p w14:paraId="35603E73">
      <w:pPr>
        <w:numPr>
          <w:ilvl w:val="-1"/>
          <w:numId w:val="0"/>
        </w:numPr>
        <w:autoSpaceDE w:val="0"/>
        <w:autoSpaceDN w:val="0"/>
        <w:adjustRightInd w:val="0"/>
        <w:spacing w:line="360" w:lineRule="auto"/>
        <w:ind w:left="0" w:firstLine="420" w:firstLineChars="200"/>
        <w:rPr>
          <w:rFonts w:hint="default"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收取合同金额2%的履约保证金，以保函形式收取。</w:t>
      </w:r>
    </w:p>
    <w:p w14:paraId="45C98EBD">
      <w:pPr>
        <w:numPr>
          <w:ilvl w:val="0"/>
          <w:numId w:val="0"/>
        </w:numPr>
        <w:autoSpaceDE w:val="0"/>
        <w:autoSpaceDN w:val="0"/>
        <w:adjustRightInd w:val="0"/>
        <w:spacing w:line="360" w:lineRule="auto"/>
        <w:rPr>
          <w:rFonts w:hint="eastAsia" w:ascii="宋体" w:hAnsi="宋体"/>
          <w:b/>
          <w:color w:val="auto"/>
        </w:rPr>
      </w:pPr>
      <w:r>
        <w:rPr>
          <w:rFonts w:hint="eastAsia" w:ascii="宋体" w:hAnsi="宋体"/>
          <w:b/>
          <w:color w:val="auto"/>
          <w:lang w:val="en-US" w:eastAsia="zh-CN"/>
        </w:rPr>
        <w:t>4.</w:t>
      </w:r>
      <w:r>
        <w:rPr>
          <w:rFonts w:ascii="宋体" w:hAnsi="宋体"/>
          <w:b/>
          <w:color w:val="auto"/>
        </w:rPr>
        <w:t>验收要求</w:t>
      </w:r>
      <w:r>
        <w:rPr>
          <w:rFonts w:hint="eastAsia" w:ascii="宋体" w:hAnsi="宋体"/>
          <w:b/>
          <w:color w:val="auto"/>
        </w:rPr>
        <w:t>或</w:t>
      </w:r>
      <w:r>
        <w:rPr>
          <w:rFonts w:ascii="宋体" w:hAnsi="宋体"/>
          <w:b/>
          <w:color w:val="auto"/>
        </w:rPr>
        <w:t>评价标准</w:t>
      </w:r>
      <w:r>
        <w:rPr>
          <w:rFonts w:hint="eastAsia" w:ascii="宋体" w:hAnsi="宋体"/>
          <w:b/>
          <w:color w:val="auto"/>
        </w:rPr>
        <w:t>：</w:t>
      </w:r>
    </w:p>
    <w:p w14:paraId="07BA561F">
      <w:pPr>
        <w:numPr>
          <w:ilvl w:val="0"/>
          <w:numId w:val="0"/>
        </w:numPr>
        <w:autoSpaceDE w:val="0"/>
        <w:autoSpaceDN w:val="0"/>
        <w:adjustRightInd w:val="0"/>
        <w:spacing w:line="360" w:lineRule="auto"/>
        <w:ind w:firstLine="420" w:firstLineChars="200"/>
        <w:rPr>
          <w:rFonts w:hint="eastAsia" w:asciiTheme="minorEastAsia" w:hAnsiTheme="minorEastAsia" w:eastAsiaTheme="minorEastAsia"/>
          <w:color w:val="auto"/>
          <w:lang w:val="en-US" w:eastAsia="zh-CN"/>
        </w:rPr>
      </w:pPr>
      <w:r>
        <w:rPr>
          <w:rFonts w:hint="eastAsia" w:ascii="宋体" w:hAnsi="宋体" w:cs="宋体"/>
          <w:color w:val="auto"/>
          <w:sz w:val="21"/>
          <w:szCs w:val="21"/>
          <w:lang w:val="en-US" w:eastAsia="zh-CN"/>
        </w:rPr>
        <w:t>3</w:t>
      </w:r>
      <w:r>
        <w:rPr>
          <w:rFonts w:hint="eastAsia" w:asciiTheme="minorEastAsia" w:hAnsiTheme="minorEastAsia" w:eastAsiaTheme="minorEastAsia"/>
          <w:color w:val="auto"/>
          <w:lang w:val="en-US" w:eastAsia="zh-CN"/>
        </w:rPr>
        <w:t>.1 日常监督考核：采购方将严格按照《服务方的管理服务考核办法》，对服务方的日常管理服务质量、工作落实情况进行常态化监督、检查与考核。对不符合服务质量标准、未按要求落实工作的，采购方有权向服务方下达整改通知，明确整改要求及期限，服务方须按时完成整改并反馈整改结果；对考核中发现的不称职、不履职的工作人员，采购方有权要求服务方在规定期限内更换，更换后人员的资质、能力不得低于原岗位要求。</w:t>
      </w:r>
    </w:p>
    <w:p w14:paraId="5BE20FD3">
      <w:pPr>
        <w:numPr>
          <w:ilvl w:val="0"/>
          <w:numId w:val="0"/>
        </w:numPr>
        <w:autoSpaceDE w:val="0"/>
        <w:autoSpaceDN w:val="0"/>
        <w:adjustRightInd w:val="0"/>
        <w:spacing w:line="360" w:lineRule="auto"/>
        <w:ind w:firstLine="420" w:firstLineChars="200"/>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4.2 满意度测评考核：采购方每学年将组织2次宿管员服务质量师生满意度测评（每学期各1次），若单次师生满意度测评（详见附件1）低于90%（不含90%），采购方将扣除服务方履约保证金50000元-100000元，具体扣除金额根据测评分数、服务短板情况确定；若师生满意度测评结果连续两次低于80%（不含80%），视为服务方严重违约，采购方有权直接解除本项目服务合同，同时追究服务方的相应违约责任。</w:t>
      </w:r>
    </w:p>
    <w:p w14:paraId="7114ADBE">
      <w:pPr>
        <w:numPr>
          <w:ilvl w:val="0"/>
          <w:numId w:val="0"/>
        </w:numPr>
        <w:autoSpaceDE w:val="0"/>
        <w:autoSpaceDN w:val="0"/>
        <w:adjustRightInd w:val="0"/>
        <w:spacing w:line="360" w:lineRule="auto"/>
        <w:ind w:firstLine="420" w:firstLineChars="200"/>
        <w:rPr>
          <w:rFonts w:hint="eastAsia"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4.3 年度总结评价：服务方须在每学年结束后规定期限内，向采购方提交年度工作总结报告，全面汇报本年度服务开展情况、工作成效、存在问题及下一年度工作计划，接受采购方的年度综合评价，评价结果将作为后续合作考核的重要依据。</w:t>
      </w:r>
    </w:p>
    <w:p w14:paraId="4397D085">
      <w:pPr>
        <w:numPr>
          <w:ilvl w:val="0"/>
          <w:numId w:val="0"/>
        </w:numPr>
        <w:autoSpaceDE w:val="0"/>
        <w:autoSpaceDN w:val="0"/>
        <w:adjustRightInd w:val="0"/>
        <w:spacing w:line="360" w:lineRule="auto"/>
        <w:ind w:firstLine="0" w:firstLineChars="0"/>
        <w:rPr>
          <w:rFonts w:hint="eastAsia" w:ascii="宋体" w:hAnsi="宋体" w:cs="Times New Roman"/>
          <w:b/>
          <w:color w:val="auto"/>
          <w:sz w:val="21"/>
          <w:szCs w:val="21"/>
          <w:lang w:val="en-US" w:eastAsia="zh-CN"/>
        </w:rPr>
      </w:pPr>
      <w:r>
        <w:rPr>
          <w:rFonts w:hint="eastAsia" w:ascii="宋体" w:hAnsi="宋体" w:eastAsia="宋体" w:cs="Times New Roman"/>
          <w:b/>
          <w:color w:val="auto"/>
          <w:sz w:val="21"/>
          <w:szCs w:val="21"/>
          <w:lang w:val="en-US" w:eastAsia="zh-CN"/>
        </w:rPr>
        <w:t>5</w:t>
      </w:r>
      <w:r>
        <w:rPr>
          <w:rFonts w:hint="eastAsia" w:ascii="宋体" w:hAnsi="宋体" w:cs="Times New Roman"/>
          <w:b/>
          <w:color w:val="auto"/>
          <w:sz w:val="21"/>
          <w:szCs w:val="21"/>
          <w:lang w:val="en-US" w:eastAsia="zh-CN"/>
        </w:rPr>
        <w:t>.投标人要求：</w:t>
      </w:r>
    </w:p>
    <w:p w14:paraId="603EE3C8">
      <w:pPr>
        <w:widowControl/>
        <w:numPr>
          <w:ilvl w:val="0"/>
          <w:numId w:val="0"/>
        </w:numPr>
        <w:autoSpaceDE/>
        <w:autoSpaceDN/>
        <w:adjustRightInd/>
        <w:spacing w:line="360" w:lineRule="auto"/>
        <w:ind w:firstLine="420" w:firstLineChars="200"/>
        <w:jc w:val="left"/>
        <w:rPr>
          <w:rFonts w:hint="eastAsia" w:asciiTheme="minorEastAsia" w:hAnsiTheme="minorEastAsia" w:eastAsiaTheme="minorEastAsia"/>
          <w:color w:val="auto"/>
          <w:lang w:val="en-US" w:eastAsia="zh-CN"/>
        </w:rPr>
      </w:pPr>
      <w:r>
        <w:rPr>
          <w:rFonts w:hint="eastAsia" w:cs="宋体" w:asciiTheme="minorEastAsia" w:hAnsiTheme="minorEastAsia" w:eastAsiaTheme="minorEastAsia"/>
          <w:color w:val="auto"/>
          <w:lang w:val="en-US" w:eastAsia="zh-CN"/>
        </w:rPr>
        <w:t>5.1投标人</w:t>
      </w:r>
      <w:r>
        <w:rPr>
          <w:rFonts w:hint="eastAsia" w:asciiTheme="minorEastAsia" w:hAnsiTheme="minorEastAsia" w:eastAsiaTheme="minorEastAsia"/>
          <w:color w:val="auto"/>
        </w:rPr>
        <w:t>具备质量管理体系认证（ISO9001认证或者GB/T 19001认证）、职业健康安全管理体系认证（ISO45001认证或者GB/T 45001认证）、环境管理体系认证（ISO14001认证或者GB/T 24001认证）的</w:t>
      </w:r>
      <w:r>
        <w:rPr>
          <w:rFonts w:hint="eastAsia" w:asciiTheme="minorEastAsia" w:hAnsiTheme="minorEastAsia" w:eastAsiaTheme="minorEastAsia"/>
          <w:color w:val="auto"/>
          <w:lang w:eastAsia="zh-CN"/>
        </w:rPr>
        <w:t>优先考虑。</w:t>
      </w:r>
    </w:p>
    <w:p w14:paraId="2DC4529E">
      <w:pPr>
        <w:widowControl/>
        <w:numPr>
          <w:ilvl w:val="0"/>
          <w:numId w:val="0"/>
        </w:numPr>
        <w:autoSpaceDE/>
        <w:autoSpaceDN/>
        <w:adjustRightInd/>
        <w:spacing w:line="360" w:lineRule="auto"/>
        <w:ind w:firstLine="420" w:firstLineChars="200"/>
        <w:jc w:val="left"/>
        <w:rPr>
          <w:rFonts w:hint="eastAsia" w:cs="宋体" w:asciiTheme="minorEastAsia" w:hAnsiTheme="minorEastAsia" w:eastAsiaTheme="minorEastAsia"/>
          <w:color w:val="auto"/>
          <w:lang w:val="en-US" w:eastAsia="zh-CN"/>
        </w:rPr>
      </w:pPr>
      <w:r>
        <w:rPr>
          <w:rFonts w:hint="eastAsia" w:asciiTheme="minorEastAsia" w:hAnsiTheme="minorEastAsia" w:eastAsiaTheme="minorEastAsia"/>
          <w:color w:val="auto"/>
          <w:lang w:val="en-US" w:eastAsia="zh-CN"/>
        </w:rPr>
        <w:t>5.2投标人须具备近三年来同类学生宿舍管理相关服务业绩，需提供完整的合同复印件（加盖公章，注明合同签订时间、服务内容、服务期限）</w:t>
      </w:r>
      <w:r>
        <w:rPr>
          <w:rFonts w:hint="eastAsia" w:cs="宋体" w:asciiTheme="minorEastAsia" w:hAnsiTheme="minorEastAsia" w:eastAsiaTheme="minorEastAsia"/>
          <w:color w:val="auto"/>
          <w:lang w:val="en-US" w:eastAsia="zh-CN"/>
        </w:rPr>
        <w:t>。</w:t>
      </w:r>
    </w:p>
    <w:p w14:paraId="4F8EBCF2">
      <w:pPr>
        <w:keepNext w:val="0"/>
        <w:keepLines w:val="0"/>
        <w:widowControl/>
        <w:numPr>
          <w:ilvl w:val="0"/>
          <w:numId w:val="0"/>
        </w:numPr>
        <w:suppressLineNumbers w:val="0"/>
        <w:spacing w:line="360" w:lineRule="auto"/>
        <w:ind w:firstLine="420" w:firstLineChars="200"/>
        <w:jc w:val="left"/>
        <w:rPr>
          <w:rFonts w:hint="eastAsia" w:cs="宋体" w:asciiTheme="minorEastAsia" w:hAnsiTheme="minorEastAsia" w:eastAsiaTheme="minorEastAsia"/>
          <w:color w:val="auto"/>
          <w:kern w:val="2"/>
          <w:sz w:val="21"/>
          <w:szCs w:val="21"/>
          <w:lang w:val="en-US" w:eastAsia="zh-CN" w:bidi="ar"/>
        </w:rPr>
      </w:pPr>
      <w:r>
        <w:rPr>
          <w:rFonts w:hint="eastAsia" w:cs="宋体" w:asciiTheme="minorEastAsia" w:hAnsiTheme="minorEastAsia" w:eastAsiaTheme="minorEastAsia"/>
          <w:color w:val="auto"/>
          <w:lang w:val="en-US" w:eastAsia="zh-CN"/>
        </w:rPr>
        <w:t>5.3</w:t>
      </w:r>
      <w:r>
        <w:rPr>
          <w:rFonts w:hint="eastAsia" w:cs="宋体" w:asciiTheme="minorEastAsia" w:hAnsiTheme="minorEastAsia" w:eastAsiaTheme="minorEastAsia"/>
          <w:color w:val="auto"/>
          <w:kern w:val="2"/>
          <w:sz w:val="21"/>
          <w:szCs w:val="21"/>
          <w:lang w:val="en-US" w:eastAsia="zh-CN" w:bidi="ar"/>
        </w:rPr>
        <w:t>投标人须结合本次学生宿舍管理服务项目的特点（如学生群体特性、宿舍园区布局、安全管理重点等）及采购方的具体管理要求，在投标文件中制定科学、可行、针对性强的管理服务方案，明确服务目标、岗位职责、工作流程、安全防控措施、应急处置预案等核心内容。</w:t>
      </w:r>
    </w:p>
    <w:p w14:paraId="5AB5C22C">
      <w:pPr>
        <w:keepNext w:val="0"/>
        <w:keepLines w:val="0"/>
        <w:widowControl/>
        <w:numPr>
          <w:ilvl w:val="0"/>
          <w:numId w:val="0"/>
        </w:numPr>
        <w:suppressLineNumbers w:val="0"/>
        <w:spacing w:line="360" w:lineRule="auto"/>
        <w:ind w:firstLine="420" w:firstLineChars="200"/>
        <w:jc w:val="left"/>
        <w:rPr>
          <w:rFonts w:hint="eastAsia" w:cs="宋体" w:asciiTheme="minorEastAsia" w:hAnsiTheme="minorEastAsia" w:eastAsiaTheme="minorEastAsia"/>
          <w:color w:val="auto"/>
          <w:lang w:eastAsia="zh-CN" w:bidi="ar"/>
        </w:rPr>
      </w:pPr>
      <w:r>
        <w:rPr>
          <w:rFonts w:hint="eastAsia" w:cs="宋体" w:asciiTheme="minorEastAsia" w:hAnsiTheme="minorEastAsia" w:eastAsiaTheme="minorEastAsia"/>
          <w:color w:val="auto"/>
          <w:kern w:val="2"/>
          <w:sz w:val="21"/>
          <w:szCs w:val="21"/>
          <w:lang w:val="en-US" w:eastAsia="zh-CN" w:bidi="ar"/>
        </w:rPr>
        <w:t>5.4为防范服务过程中的安全风险，保障工作人员人身财产安全，投标人须承诺在服务期内足额购买雇主责任险与公众责任险</w:t>
      </w:r>
      <w:bookmarkStart w:id="4" w:name="_GoBack"/>
      <w:bookmarkEnd w:id="4"/>
      <w:r>
        <w:rPr>
          <w:rFonts w:hint="eastAsia" w:cs="宋体" w:asciiTheme="minorEastAsia" w:hAnsiTheme="minorEastAsia" w:eastAsiaTheme="minorEastAsia"/>
          <w:color w:val="auto"/>
          <w:kern w:val="2"/>
          <w:sz w:val="21"/>
          <w:szCs w:val="21"/>
          <w:lang w:val="en-US" w:eastAsia="zh-CN" w:bidi="ar"/>
        </w:rPr>
        <w:t>（覆盖全部现场工作人员），并在投标文件中列出保险的投保标准、保险金额、投保期限及必需的费用清单，费用须纳入投标报价，不得额外向采购人收取。</w:t>
      </w:r>
    </w:p>
    <w:p w14:paraId="79A5A61C">
      <w:pPr>
        <w:keepNext w:val="0"/>
        <w:keepLines w:val="0"/>
        <w:widowControl/>
        <w:numPr>
          <w:ilvl w:val="0"/>
          <w:numId w:val="0"/>
        </w:numPr>
        <w:suppressLineNumbers w:val="0"/>
        <w:spacing w:line="360" w:lineRule="auto"/>
        <w:ind w:firstLine="420" w:firstLineChars="200"/>
        <w:jc w:val="left"/>
        <w:rPr>
          <w:rFonts w:hint="eastAsia" w:cs="宋体" w:asciiTheme="minorEastAsia" w:hAnsiTheme="minorEastAsia" w:eastAsiaTheme="minorEastAsia"/>
          <w:color w:val="auto"/>
          <w:kern w:val="2"/>
          <w:sz w:val="21"/>
          <w:szCs w:val="21"/>
          <w:lang w:val="en-US" w:eastAsia="zh-CN" w:bidi="ar"/>
        </w:rPr>
      </w:pPr>
      <w:r>
        <w:rPr>
          <w:rFonts w:hint="eastAsia" w:cs="宋体" w:asciiTheme="minorEastAsia" w:hAnsiTheme="minorEastAsia" w:eastAsiaTheme="minorEastAsia"/>
          <w:color w:val="auto"/>
          <w:lang w:val="en-US" w:eastAsia="zh-CN" w:bidi="ar"/>
        </w:rPr>
        <w:t>5.5</w:t>
      </w:r>
      <w:r>
        <w:rPr>
          <w:rFonts w:hint="eastAsia" w:cs="宋体" w:asciiTheme="minorEastAsia" w:hAnsiTheme="minorEastAsia" w:eastAsiaTheme="minorEastAsia"/>
          <w:color w:val="auto"/>
          <w:kern w:val="2"/>
          <w:sz w:val="21"/>
          <w:szCs w:val="21"/>
          <w:lang w:val="en-US" w:eastAsia="zh-CN" w:bidi="ar"/>
        </w:rPr>
        <w:t>投标人在投标文件中承诺的现场项目经理及全体宿管人员，须为本单位正式在职职工，已签订合法有效的劳动合同，缴纳相关社会保险（需提供投标前3个月的社保缴纳证明复印件并加盖公章）；人员的招聘、录用、培训、离职、薪资待遇、绩效考核等全部事宜均由投标人独立负责，与采购人无隶属关系，采购方不承担任何相关费用及责任。</w:t>
      </w:r>
    </w:p>
    <w:p w14:paraId="1F17A2ED">
      <w:pPr>
        <w:keepNext w:val="0"/>
        <w:keepLines w:val="0"/>
        <w:widowControl/>
        <w:numPr>
          <w:ilvl w:val="0"/>
          <w:numId w:val="0"/>
        </w:numPr>
        <w:suppressLineNumbers w:val="0"/>
        <w:spacing w:line="360" w:lineRule="auto"/>
        <w:ind w:firstLine="420" w:firstLineChars="200"/>
        <w:jc w:val="left"/>
        <w:rPr>
          <w:rFonts w:hint="eastAsia" w:cs="宋体" w:asciiTheme="minorEastAsia" w:hAnsiTheme="minorEastAsia" w:eastAsiaTheme="minorEastAsia"/>
          <w:color w:val="auto"/>
          <w:lang w:bidi="ar"/>
        </w:rPr>
      </w:pPr>
      <w:r>
        <w:rPr>
          <w:rFonts w:hint="eastAsia" w:cs="宋体" w:asciiTheme="minorEastAsia" w:hAnsiTheme="minorEastAsia" w:eastAsiaTheme="minorEastAsia"/>
          <w:color w:val="auto"/>
          <w:kern w:val="2"/>
          <w:sz w:val="21"/>
          <w:szCs w:val="21"/>
          <w:lang w:val="en-US" w:eastAsia="zh-CN" w:bidi="ar"/>
        </w:rPr>
        <w:t>5.6投标人须建立完善的宿管人员队伍稳定机制，严格控制人员轮换比例（年度轮换比例不得超过</w:t>
      </w:r>
      <w:r>
        <w:rPr>
          <w:rFonts w:hint="eastAsia" w:cs="宋体" w:asciiTheme="minorEastAsia" w:hAnsiTheme="minorEastAsia" w:eastAsiaTheme="minorEastAsia"/>
          <w:color w:val="auto"/>
          <w:kern w:val="2"/>
          <w:sz w:val="21"/>
          <w:szCs w:val="21"/>
          <w:highlight w:val="none"/>
          <w:lang w:val="en-US" w:eastAsia="zh-CN" w:bidi="ar"/>
        </w:rPr>
        <w:t>20%</w:t>
      </w:r>
      <w:r>
        <w:rPr>
          <w:rFonts w:hint="eastAsia" w:cs="宋体" w:asciiTheme="minorEastAsia" w:hAnsiTheme="minorEastAsia" w:eastAsiaTheme="minorEastAsia"/>
          <w:color w:val="auto"/>
          <w:kern w:val="2"/>
          <w:sz w:val="21"/>
          <w:szCs w:val="21"/>
          <w:lang w:val="en-US" w:eastAsia="zh-CN" w:bidi="ar"/>
        </w:rPr>
        <w:t>），确保服务的连续性和稳定性；</w:t>
      </w:r>
      <w:r>
        <w:rPr>
          <w:rFonts w:hint="eastAsia" w:asciiTheme="minorEastAsia" w:hAnsiTheme="minorEastAsia" w:eastAsiaTheme="minorEastAsia"/>
          <w:color w:val="auto"/>
        </w:rPr>
        <w:t>其中有高校管理经验的宿管员人数不低于80%，严格控制人员轮换比例，</w:t>
      </w:r>
      <w:r>
        <w:rPr>
          <w:rFonts w:hint="eastAsia" w:asciiTheme="minorEastAsia" w:hAnsiTheme="minorEastAsia" w:eastAsiaTheme="minorEastAsia"/>
          <w:color w:val="auto"/>
          <w:highlight w:val="none"/>
        </w:rPr>
        <w:t>宿管员平均年龄不得超过5</w:t>
      </w:r>
      <w:r>
        <w:rPr>
          <w:rFonts w:hint="eastAsia" w:asciiTheme="minorEastAsia" w:hAnsiTheme="minorEastAsia" w:eastAsiaTheme="minorEastAsia"/>
          <w:color w:val="auto"/>
          <w:highlight w:val="none"/>
          <w:lang w:val="en-US" w:eastAsia="zh-CN"/>
        </w:rPr>
        <w:t>5</w:t>
      </w:r>
      <w:r>
        <w:rPr>
          <w:rFonts w:hint="eastAsia" w:asciiTheme="minorEastAsia" w:hAnsiTheme="minorEastAsia" w:eastAsiaTheme="minorEastAsia"/>
          <w:color w:val="auto"/>
          <w:highlight w:val="none"/>
        </w:rPr>
        <w:t>岁；</w:t>
      </w:r>
      <w:r>
        <w:rPr>
          <w:rFonts w:hint="eastAsia" w:asciiTheme="minorEastAsia" w:hAnsiTheme="minorEastAsia" w:eastAsiaTheme="minorEastAsia"/>
          <w:color w:val="auto"/>
        </w:rPr>
        <w:t>除宿管员外，需配备一名项目经理，项目经理</w:t>
      </w:r>
      <w:r>
        <w:rPr>
          <w:rFonts w:hint="eastAsia" w:asciiTheme="minorEastAsia" w:hAnsiTheme="minorEastAsia" w:eastAsiaTheme="minorEastAsia"/>
          <w:color w:val="auto"/>
          <w:lang w:eastAsia="zh-CN"/>
        </w:rPr>
        <w:t>须</w:t>
      </w:r>
      <w:r>
        <w:rPr>
          <w:rFonts w:hint="eastAsia" w:asciiTheme="minorEastAsia" w:hAnsiTheme="minorEastAsia" w:eastAsiaTheme="minorEastAsia"/>
          <w:color w:val="auto"/>
        </w:rPr>
        <w:t>具有大专及以上学历，</w:t>
      </w:r>
      <w:r>
        <w:rPr>
          <w:rFonts w:hint="eastAsia" w:asciiTheme="minorEastAsia" w:hAnsiTheme="minorEastAsia" w:eastAsiaTheme="minorEastAsia"/>
          <w:color w:val="auto"/>
          <w:lang w:val="en-US" w:eastAsia="zh-CN"/>
        </w:rPr>
        <w:t>中</w:t>
      </w:r>
      <w:r>
        <w:rPr>
          <w:rFonts w:hint="eastAsia" w:cs="宋体" w:asciiTheme="minorEastAsia" w:hAnsiTheme="minorEastAsia" w:eastAsiaTheme="minorEastAsia"/>
          <w:color w:val="auto"/>
          <w:lang w:val="en-US" w:eastAsia="zh-CN" w:bidi="ar"/>
        </w:rPr>
        <w:t>级及以上职称，</w:t>
      </w:r>
      <w:r>
        <w:rPr>
          <w:rFonts w:hint="eastAsia" w:cs="宋体" w:asciiTheme="minorEastAsia" w:hAnsiTheme="minorEastAsia" w:eastAsiaTheme="minorEastAsia"/>
          <w:color w:val="auto"/>
          <w:lang w:bidi="ar"/>
        </w:rPr>
        <w:t>且具备</w:t>
      </w:r>
      <w:r>
        <w:rPr>
          <w:rFonts w:hint="eastAsia" w:cs="宋体" w:asciiTheme="minorEastAsia" w:hAnsiTheme="minorEastAsia" w:eastAsiaTheme="minorEastAsia"/>
          <w:color w:val="auto"/>
          <w:lang w:eastAsia="zh-CN" w:bidi="ar"/>
        </w:rPr>
        <w:t>五年以上</w:t>
      </w:r>
      <w:r>
        <w:rPr>
          <w:rFonts w:hint="eastAsia" w:cs="宋体" w:asciiTheme="minorEastAsia" w:hAnsiTheme="minorEastAsia" w:eastAsiaTheme="minorEastAsia"/>
          <w:color w:val="auto"/>
          <w:lang w:bidi="ar"/>
        </w:rPr>
        <w:t>学生</w:t>
      </w:r>
      <w:r>
        <w:rPr>
          <w:rFonts w:hint="eastAsia" w:cs="宋体" w:asciiTheme="minorEastAsia" w:hAnsiTheme="minorEastAsia" w:eastAsiaTheme="minorEastAsia"/>
          <w:color w:val="auto"/>
          <w:lang w:val="en-US" w:eastAsia="zh-CN" w:bidi="ar"/>
        </w:rPr>
        <w:t>公寓</w:t>
      </w:r>
      <w:r>
        <w:rPr>
          <w:rFonts w:hint="eastAsia" w:cs="宋体" w:asciiTheme="minorEastAsia" w:hAnsiTheme="minorEastAsia" w:eastAsiaTheme="minorEastAsia"/>
          <w:color w:val="auto"/>
          <w:lang w:bidi="ar"/>
        </w:rPr>
        <w:t>管理服务经验。</w:t>
      </w:r>
    </w:p>
    <w:p w14:paraId="2F72D4EC">
      <w:pPr>
        <w:keepNext w:val="0"/>
        <w:keepLines w:val="0"/>
        <w:widowControl/>
        <w:numPr>
          <w:ilvl w:val="0"/>
          <w:numId w:val="0"/>
        </w:numPr>
        <w:suppressLineNumbers w:val="0"/>
        <w:spacing w:line="360" w:lineRule="auto"/>
        <w:ind w:firstLine="420" w:firstLineChars="200"/>
        <w:jc w:val="left"/>
        <w:rPr>
          <w:rFonts w:hint="eastAsia" w:cs="Times New Roman" w:asciiTheme="minorEastAsia" w:hAnsiTheme="minorEastAsia" w:eastAsiaTheme="minorEastAsia"/>
          <w:color w:val="auto"/>
          <w:kern w:val="2"/>
          <w:sz w:val="21"/>
          <w:szCs w:val="21"/>
          <w:lang w:val="en-US" w:eastAsia="zh-CN" w:bidi="ar"/>
        </w:rPr>
      </w:pPr>
      <w:r>
        <w:rPr>
          <w:rFonts w:hint="eastAsia" w:cs="宋体" w:asciiTheme="minorEastAsia" w:hAnsiTheme="minorEastAsia" w:eastAsiaTheme="minorEastAsia"/>
          <w:color w:val="auto"/>
          <w:lang w:val="en-US" w:eastAsia="zh-CN" w:bidi="ar"/>
        </w:rPr>
        <w:t>5.7</w:t>
      </w:r>
      <w:r>
        <w:rPr>
          <w:rFonts w:hint="eastAsia" w:cs="宋体" w:asciiTheme="minorEastAsia" w:hAnsiTheme="minorEastAsia" w:eastAsiaTheme="minorEastAsia"/>
          <w:color w:val="auto"/>
          <w:kern w:val="2"/>
          <w:sz w:val="21"/>
          <w:szCs w:val="21"/>
          <w:lang w:val="en-US" w:eastAsia="zh-CN" w:bidi="ar"/>
        </w:rPr>
        <w:t>投标人须承诺，中标后严格按照投标文件中的承诺及采购方要求开展服务工作，不得擅自转包、违法分包本次项目，不得擅自更换承诺的项目经理及核心</w:t>
      </w:r>
      <w:r>
        <w:rPr>
          <w:rFonts w:hint="eastAsia" w:cs="Times New Roman" w:asciiTheme="minorEastAsia" w:hAnsiTheme="minorEastAsia" w:eastAsiaTheme="minorEastAsia"/>
          <w:color w:val="auto"/>
          <w:kern w:val="2"/>
          <w:sz w:val="21"/>
          <w:szCs w:val="21"/>
          <w:lang w:val="en-US" w:eastAsia="zh-CN" w:bidi="ar"/>
        </w:rPr>
        <w:t>宿管人员（确需更换的，须提前15个工作日书面报备采购方，经采购方书面同意后方可更换，且更换人员的资质、经验不得低于原承诺人员标准）。</w:t>
      </w:r>
    </w:p>
    <w:p w14:paraId="151B3409">
      <w:pPr>
        <w:numPr>
          <w:ilvl w:val="0"/>
          <w:numId w:val="0"/>
        </w:numPr>
        <w:autoSpaceDE w:val="0"/>
        <w:autoSpaceDN w:val="0"/>
        <w:adjustRightInd w:val="0"/>
        <w:spacing w:line="360" w:lineRule="auto"/>
        <w:ind w:firstLine="420" w:firstLineChars="200"/>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5.8投标人须承诺，服从采购方的日常管理、监督检查及考核评价，严格遵守校园管理相关规定，配合采购方开展各类宿舍安全检查、文明宿舍创建等相关工作，对检查中发现的问题及时整改。</w:t>
      </w:r>
    </w:p>
    <w:p w14:paraId="1423B2E5">
      <w:pPr>
        <w:numPr>
          <w:ilvl w:val="0"/>
          <w:numId w:val="0"/>
        </w:numPr>
        <w:autoSpaceDE w:val="0"/>
        <w:autoSpaceDN w:val="0"/>
        <w:adjustRightInd w:val="0"/>
        <w:spacing w:line="360" w:lineRule="auto"/>
        <w:ind w:firstLine="420" w:firstLineChars="200"/>
        <w:rPr>
          <w:rFonts w:hint="eastAsia" w:cs="Times New Roman" w:asciiTheme="minorEastAsia" w:hAnsiTheme="minorEastAsia" w:eastAsiaTheme="minorEastAsia"/>
          <w:color w:val="auto"/>
          <w:kern w:val="2"/>
          <w:sz w:val="21"/>
          <w:szCs w:val="21"/>
          <w:lang w:val="en-US" w:eastAsia="zh-CN" w:bidi="ar"/>
        </w:rPr>
      </w:pPr>
    </w:p>
    <w:p w14:paraId="4415160A">
      <w:pPr>
        <w:numPr>
          <w:ilvl w:val="0"/>
          <w:numId w:val="0"/>
        </w:numPr>
        <w:autoSpaceDE w:val="0"/>
        <w:autoSpaceDN w:val="0"/>
        <w:adjustRightInd w:val="0"/>
        <w:spacing w:line="360" w:lineRule="auto"/>
        <w:ind w:firstLine="420" w:firstLineChars="200"/>
        <w:rPr>
          <w:rFonts w:hint="eastAsia" w:cs="Times New Roman" w:asciiTheme="minorEastAsia" w:hAnsiTheme="minorEastAsia" w:eastAsiaTheme="minorEastAsia"/>
          <w:color w:val="auto"/>
          <w:kern w:val="2"/>
          <w:sz w:val="21"/>
          <w:szCs w:val="21"/>
          <w:lang w:val="en-US" w:eastAsia="zh-CN" w:bidi="ar"/>
        </w:rPr>
      </w:pPr>
    </w:p>
    <w:p w14:paraId="706E157C">
      <w:pPr>
        <w:numPr>
          <w:ilvl w:val="0"/>
          <w:numId w:val="0"/>
        </w:numPr>
        <w:autoSpaceDE w:val="0"/>
        <w:autoSpaceDN w:val="0"/>
        <w:adjustRightInd w:val="0"/>
        <w:spacing w:line="360" w:lineRule="auto"/>
        <w:ind w:firstLine="0" w:firstLineChars="0"/>
        <w:rPr>
          <w:rFonts w:hint="eastAsia" w:ascii="宋体" w:hAnsi="宋体" w:eastAsia="宋体" w:cs="Times New Roman"/>
          <w:b/>
          <w:color w:val="auto"/>
          <w:sz w:val="21"/>
          <w:szCs w:val="21"/>
          <w:lang w:val="en-US" w:eastAsia="zh-CN"/>
        </w:rPr>
      </w:pPr>
      <w:r>
        <w:rPr>
          <w:rFonts w:hint="eastAsia" w:ascii="宋体" w:hAnsi="宋体" w:eastAsia="宋体" w:cs="Times New Roman"/>
          <w:b/>
          <w:color w:val="auto"/>
          <w:sz w:val="21"/>
          <w:szCs w:val="21"/>
          <w:lang w:val="en-US" w:eastAsia="zh-CN"/>
        </w:rPr>
        <w:t>四、学生宿舍管理服务项目考核奖惩细则</w:t>
      </w:r>
    </w:p>
    <w:p w14:paraId="064B27C8">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1.由采购方进行考核，考核分高于70分（含70分），考核合格，根据合同全额拨付服务费；考核分在69分～60分（含60分），为基本合格，给予书面警告并酌情扣除下年度部分服务费；考核分在60分以下，为不合格，采购方有权单方解除合同。</w:t>
      </w:r>
    </w:p>
    <w:p w14:paraId="7E054A24">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2.服务期间出现下列情况的，采购方有权单方解除合同，并要求中标方赔偿对应损失的违约金。</w:t>
      </w:r>
    </w:p>
    <w:p w14:paraId="63115B83">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（1）服务内容未达到合同及投标文件约定的；</w:t>
      </w:r>
    </w:p>
    <w:p w14:paraId="1A94A8FE">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（2）服务标准未达到合同及投标文件承诺的；</w:t>
      </w:r>
    </w:p>
    <w:p w14:paraId="5781FE9E">
      <w:pPr>
        <w:pStyle w:val="34"/>
        <w:keepNext/>
        <w:keepLines/>
        <w:pageBreakBefore w:val="0"/>
        <w:widowControl w:val="0"/>
        <w:kinsoku/>
        <w:wordWrap/>
        <w:overflowPunct/>
        <w:topLinePunct w:val="0"/>
        <w:autoSpaceDE/>
        <w:autoSpaceDN/>
        <w:bidi w:val="0"/>
        <w:adjustRightInd w:val="0"/>
        <w:snapToGrid/>
        <w:spacing w:before="0" w:after="0" w:line="240" w:lineRule="auto"/>
        <w:textAlignment w:val="auto"/>
        <w:rPr>
          <w:rFonts w:hint="eastAsia" w:cs="Times New Roman" w:asciiTheme="minorEastAsia" w:hAnsiTheme="minorEastAsia" w:eastAsiaTheme="minorEastAsia"/>
          <w:b w:val="0"/>
          <w:bCs/>
          <w:color w:val="auto"/>
          <w:kern w:val="2"/>
          <w:sz w:val="21"/>
          <w:szCs w:val="21"/>
          <w:lang w:val="en-US" w:eastAsia="zh-CN" w:bidi="ar"/>
        </w:rPr>
      </w:pPr>
      <w:r>
        <w:rPr>
          <w:rFonts w:hint="eastAsia" w:cs="Times New Roman" w:asciiTheme="minorEastAsia" w:hAnsiTheme="minorEastAsia" w:eastAsiaTheme="minorEastAsia"/>
          <w:b w:val="0"/>
          <w:bCs/>
          <w:color w:val="auto"/>
          <w:kern w:val="2"/>
          <w:sz w:val="21"/>
          <w:szCs w:val="21"/>
          <w:lang w:val="en-US" w:eastAsia="zh-CN" w:bidi="ar"/>
        </w:rPr>
        <w:t>（3）师生满意度测评连续两次低于80%；</w:t>
      </w:r>
    </w:p>
    <w:p w14:paraId="6484E5D5">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（4）物业服务人员持证情况无法满足本项目需求；</w:t>
      </w:r>
    </w:p>
    <w:p w14:paraId="0FDC5BEB">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（5）发生泄密事件；</w:t>
      </w:r>
    </w:p>
    <w:p w14:paraId="29327FCC">
      <w:pPr>
        <w:rPr>
          <w:rFonts w:hint="eastAsia" w:cs="Times New Roman" w:asciiTheme="minorEastAsia" w:hAnsiTheme="minorEastAsia" w:eastAsiaTheme="minorEastAsia"/>
          <w:color w:val="auto"/>
          <w:kern w:val="2"/>
          <w:sz w:val="21"/>
          <w:szCs w:val="21"/>
          <w:lang w:val="en-US" w:eastAsia="zh-CN" w:bidi="ar"/>
        </w:rPr>
      </w:pPr>
      <w:r>
        <w:rPr>
          <w:rFonts w:hint="eastAsia" w:cs="Times New Roman" w:asciiTheme="minorEastAsia" w:hAnsiTheme="minorEastAsia" w:eastAsiaTheme="minorEastAsia"/>
          <w:color w:val="auto"/>
          <w:kern w:val="2"/>
          <w:sz w:val="21"/>
          <w:szCs w:val="21"/>
          <w:lang w:val="en-US" w:eastAsia="zh-CN" w:bidi="ar"/>
        </w:rPr>
        <w:t>（6）因中标方过错，造成采购方师生发生安全事故或造成巨大损失的。</w:t>
      </w:r>
    </w:p>
    <w:p w14:paraId="4DA4D506">
      <w:pPr>
        <w:pStyle w:val="9"/>
        <w:ind w:left="0" w:leftChars="0" w:firstLine="0" w:firstLineChars="0"/>
        <w:rPr>
          <w:rFonts w:hint="eastAsia"/>
          <w:color w:val="auto"/>
        </w:rPr>
      </w:pPr>
      <w:r>
        <w:rPr>
          <w:rFonts w:hint="eastAsia"/>
          <w:color w:val="auto"/>
          <w:lang w:eastAsia="zh-CN"/>
        </w:rPr>
        <w:t>3.</w:t>
      </w:r>
      <w:r>
        <w:rPr>
          <w:rFonts w:hint="eastAsia"/>
          <w:color w:val="auto"/>
        </w:rPr>
        <w:t>履约考核参考标准</w:t>
      </w:r>
    </w:p>
    <w:tbl>
      <w:tblPr>
        <w:tblStyle w:val="15"/>
        <w:tblW w:w="5025" w:type="pct"/>
        <w:tblInd w:w="0" w:type="dxa"/>
        <w:tblLayout w:type="fixed"/>
        <w:tblCellMar>
          <w:top w:w="0" w:type="dxa"/>
          <w:left w:w="108" w:type="dxa"/>
          <w:bottom w:w="0" w:type="dxa"/>
          <w:right w:w="108" w:type="dxa"/>
        </w:tblCellMar>
      </w:tblPr>
      <w:tblGrid>
        <w:gridCol w:w="633"/>
        <w:gridCol w:w="993"/>
        <w:gridCol w:w="704"/>
        <w:gridCol w:w="4218"/>
        <w:gridCol w:w="588"/>
        <w:gridCol w:w="582"/>
        <w:gridCol w:w="848"/>
      </w:tblGrid>
      <w:tr w14:paraId="0B6767AF">
        <w:tblPrEx>
          <w:tblCellMar>
            <w:top w:w="0" w:type="dxa"/>
            <w:left w:w="108" w:type="dxa"/>
            <w:bottom w:w="0" w:type="dxa"/>
            <w:right w:w="108" w:type="dxa"/>
          </w:tblCellMar>
        </w:tblPrEx>
        <w:trPr>
          <w:trHeight w:val="623" w:hRule="atLeast"/>
        </w:trPr>
        <w:tc>
          <w:tcPr>
            <w:tcW w:w="369" w:type="pct"/>
            <w:tcBorders>
              <w:top w:val="single" w:color="000000" w:sz="4" w:space="0"/>
              <w:left w:val="single" w:color="000000" w:sz="4" w:space="0"/>
              <w:bottom w:val="single" w:color="000000" w:sz="4" w:space="0"/>
              <w:right w:val="single" w:color="000000" w:sz="4" w:space="0"/>
            </w:tcBorders>
            <w:noWrap w:val="0"/>
            <w:vAlign w:val="center"/>
          </w:tcPr>
          <w:p w14:paraId="4C2764B6">
            <w:r>
              <w:rPr>
                <w:rFonts w:hint="eastAsia"/>
                <w:lang w:bidi="ar"/>
              </w:rPr>
              <w:t>序号</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61C1F7C7">
            <w:r>
              <w:rPr>
                <w:rFonts w:hint="eastAsia"/>
                <w:lang w:bidi="ar"/>
              </w:rPr>
              <w:t>项目</w:t>
            </w:r>
          </w:p>
        </w:tc>
        <w:tc>
          <w:tcPr>
            <w:tcW w:w="410" w:type="pct"/>
            <w:tcBorders>
              <w:top w:val="single" w:color="000000" w:sz="4" w:space="0"/>
              <w:left w:val="single" w:color="000000" w:sz="4" w:space="0"/>
              <w:bottom w:val="single" w:color="000000" w:sz="4" w:space="0"/>
              <w:right w:val="single" w:color="000000" w:sz="4" w:space="0"/>
            </w:tcBorders>
            <w:noWrap w:val="0"/>
            <w:vAlign w:val="center"/>
          </w:tcPr>
          <w:p w14:paraId="09256293">
            <w:r>
              <w:rPr>
                <w:rFonts w:hint="eastAsia"/>
                <w:lang w:bidi="ar"/>
              </w:rPr>
              <w:t>总分</w:t>
            </w:r>
          </w:p>
        </w:tc>
        <w:tc>
          <w:tcPr>
            <w:tcW w:w="2462" w:type="pct"/>
            <w:tcBorders>
              <w:top w:val="single" w:color="000000" w:sz="4" w:space="0"/>
              <w:left w:val="single" w:color="000000" w:sz="4" w:space="0"/>
              <w:bottom w:val="single" w:color="000000" w:sz="4" w:space="0"/>
              <w:right w:val="single" w:color="000000" w:sz="4" w:space="0"/>
            </w:tcBorders>
            <w:noWrap w:val="0"/>
            <w:vAlign w:val="center"/>
          </w:tcPr>
          <w:p w14:paraId="1BF93FBD">
            <w:r>
              <w:rPr>
                <w:rFonts w:hint="eastAsia"/>
                <w:lang w:bidi="ar"/>
              </w:rPr>
              <w:t>参考标准内容</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406FF92C">
            <w:r>
              <w:rPr>
                <w:rFonts w:hint="eastAsia"/>
                <w:lang w:bidi="ar"/>
              </w:rPr>
              <w:t>分值</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41CC75F6">
            <w:r>
              <w:rPr>
                <w:rFonts w:hint="eastAsia"/>
                <w:lang w:bidi="ar"/>
              </w:rPr>
              <w:t>评分</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14:paraId="18847205">
            <w:r>
              <w:rPr>
                <w:rFonts w:hint="eastAsia"/>
                <w:lang w:bidi="ar"/>
              </w:rPr>
              <w:t>评分细则</w:t>
            </w:r>
          </w:p>
        </w:tc>
      </w:tr>
      <w:tr w14:paraId="27FE4C2E">
        <w:tblPrEx>
          <w:tblCellMar>
            <w:top w:w="0" w:type="dxa"/>
            <w:left w:w="108" w:type="dxa"/>
            <w:bottom w:w="0" w:type="dxa"/>
            <w:right w:w="108" w:type="dxa"/>
          </w:tblCellMar>
        </w:tblPrEx>
        <w:trPr>
          <w:trHeight w:val="929" w:hRule="atLeast"/>
        </w:trPr>
        <w:tc>
          <w:tcPr>
            <w:tcW w:w="633" w:type="dxa"/>
            <w:vMerge w:val="restart"/>
            <w:tcBorders>
              <w:top w:val="single" w:color="000000" w:sz="4" w:space="0"/>
              <w:left w:val="single" w:color="000000" w:sz="4" w:space="0"/>
              <w:right w:val="single" w:color="000000" w:sz="4" w:space="0"/>
            </w:tcBorders>
            <w:noWrap w:val="0"/>
            <w:vAlign w:val="center"/>
          </w:tcPr>
          <w:p w14:paraId="28277297">
            <w:r>
              <w:rPr>
                <w:lang w:bidi="ar"/>
              </w:rPr>
              <w:t>1</w:t>
            </w:r>
          </w:p>
        </w:tc>
        <w:tc>
          <w:tcPr>
            <w:tcW w:w="993" w:type="dxa"/>
            <w:vMerge w:val="restart"/>
            <w:tcBorders>
              <w:top w:val="single" w:color="000000" w:sz="4" w:space="0"/>
              <w:left w:val="single" w:color="000000" w:sz="4" w:space="0"/>
              <w:right w:val="single" w:color="000000" w:sz="4" w:space="0"/>
            </w:tcBorders>
            <w:noWrap w:val="0"/>
            <w:vAlign w:val="center"/>
          </w:tcPr>
          <w:p w14:paraId="32476999">
            <w:r>
              <w:rPr>
                <w:rFonts w:hint="eastAsia"/>
                <w:lang w:bidi="ar"/>
              </w:rPr>
              <w:t>人员制度、内部管理</w:t>
            </w:r>
          </w:p>
        </w:tc>
        <w:tc>
          <w:tcPr>
            <w:tcW w:w="704" w:type="dxa"/>
            <w:vMerge w:val="restart"/>
            <w:tcBorders>
              <w:top w:val="single" w:color="000000" w:sz="4" w:space="0"/>
              <w:left w:val="single" w:color="000000" w:sz="4" w:space="0"/>
              <w:right w:val="single" w:color="000000" w:sz="4" w:space="0"/>
            </w:tcBorders>
            <w:noWrap w:val="0"/>
            <w:vAlign w:val="center"/>
          </w:tcPr>
          <w:p w14:paraId="273C449E">
            <w:r>
              <w:rPr>
                <w:rFonts w:hint="eastAsia"/>
                <w:lang w:val="en-US" w:eastAsia="zh-CN" w:bidi="ar"/>
              </w:rPr>
              <w:t>25</w:t>
            </w:r>
            <w:r>
              <w:rPr>
                <w:rStyle w:val="36"/>
                <w:rFonts w:hint="default"/>
                <w:color w:val="auto"/>
                <w:lang w:bidi="ar"/>
              </w:rPr>
              <w:t>分</w:t>
            </w:r>
          </w:p>
        </w:tc>
        <w:tc>
          <w:tcPr>
            <w:tcW w:w="2462" w:type="pct"/>
            <w:tcBorders>
              <w:top w:val="single" w:color="000000" w:sz="4" w:space="0"/>
              <w:left w:val="single" w:color="000000" w:sz="4" w:space="0"/>
              <w:bottom w:val="single" w:color="000000" w:sz="4" w:space="0"/>
              <w:right w:val="single" w:color="000000" w:sz="4" w:space="0"/>
            </w:tcBorders>
            <w:noWrap w:val="0"/>
            <w:vAlign w:val="center"/>
          </w:tcPr>
          <w:p w14:paraId="28A3AEE1">
            <w:pPr>
              <w:rPr>
                <w:rStyle w:val="36"/>
                <w:rFonts w:hint="default" w:ascii="宋体" w:hAnsi="宋体" w:eastAsia="宋体" w:cs="宋体"/>
                <w:color w:val="auto"/>
                <w:lang w:bidi="ar"/>
              </w:rPr>
            </w:pPr>
            <w:r>
              <w:rPr>
                <w:rStyle w:val="36"/>
                <w:rFonts w:hint="eastAsia" w:ascii="宋体" w:hAnsi="宋体" w:eastAsia="宋体" w:cs="宋体"/>
                <w:color w:val="auto"/>
                <w:lang w:val="en-US" w:eastAsia="zh-CN" w:bidi="ar"/>
              </w:rPr>
              <w:t>1.团队人员总数不少于32人，含专职项目经理1名。</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6C9F3036">
            <w:pPr>
              <w:rPr>
                <w:rFonts w:hint="default" w:eastAsia="宋体"/>
                <w:lang w:val="en-US" w:eastAsia="zh-CN"/>
              </w:rPr>
            </w:pPr>
            <w:r>
              <w:rPr>
                <w:rFonts w:hint="eastAsia"/>
                <w:lang w:val="en-US" w:eastAsia="zh-CN"/>
              </w:rPr>
              <w:t>6</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5B94D441"/>
        </w:tc>
        <w:tc>
          <w:tcPr>
            <w:tcW w:w="494" w:type="pct"/>
            <w:vMerge w:val="restart"/>
            <w:tcBorders>
              <w:left w:val="single" w:color="000000" w:sz="4" w:space="0"/>
              <w:right w:val="single" w:color="000000" w:sz="4" w:space="0"/>
            </w:tcBorders>
            <w:noWrap w:val="0"/>
            <w:vAlign w:val="center"/>
          </w:tcPr>
          <w:p w14:paraId="18BABBF9">
            <w:r>
              <w:rPr>
                <w:rFonts w:hint="eastAsia"/>
                <w:lang w:bidi="ar"/>
              </w:rPr>
              <w:t>完全符合得满分，部分符合相应递减，不符合得0分</w:t>
            </w:r>
          </w:p>
        </w:tc>
      </w:tr>
      <w:tr w14:paraId="6423FE42">
        <w:tblPrEx>
          <w:tblCellMar>
            <w:top w:w="0" w:type="dxa"/>
            <w:left w:w="108" w:type="dxa"/>
            <w:bottom w:w="0" w:type="dxa"/>
            <w:right w:w="108" w:type="dxa"/>
          </w:tblCellMar>
        </w:tblPrEx>
        <w:trPr>
          <w:trHeight w:val="251" w:hRule="atLeast"/>
        </w:trPr>
        <w:tc>
          <w:tcPr>
            <w:tcW w:w="369" w:type="pct"/>
            <w:vMerge w:val="continue"/>
            <w:tcBorders>
              <w:top w:val="single" w:color="000000" w:sz="4" w:space="0"/>
              <w:left w:val="single" w:color="000000" w:sz="4" w:space="0"/>
              <w:bottom w:val="single" w:color="000000" w:sz="4" w:space="0"/>
              <w:right w:val="single" w:color="000000" w:sz="4" w:space="0"/>
            </w:tcBorders>
            <w:noWrap w:val="0"/>
            <w:vAlign w:val="center"/>
          </w:tcPr>
          <w:p w14:paraId="22AE5558"/>
        </w:tc>
        <w:tc>
          <w:tcPr>
            <w:tcW w:w="579"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63ED6A"/>
        </w:tc>
        <w:tc>
          <w:tcPr>
            <w:tcW w:w="410" w:type="pct"/>
            <w:vMerge w:val="continue"/>
            <w:tcBorders>
              <w:top w:val="single" w:color="000000" w:sz="4" w:space="0"/>
              <w:left w:val="single" w:color="000000" w:sz="4" w:space="0"/>
              <w:bottom w:val="single" w:color="000000" w:sz="4" w:space="0"/>
              <w:right w:val="single" w:color="000000" w:sz="4" w:space="0"/>
            </w:tcBorders>
            <w:noWrap w:val="0"/>
            <w:vAlign w:val="center"/>
          </w:tcPr>
          <w:p w14:paraId="1474479E"/>
        </w:tc>
        <w:tc>
          <w:tcPr>
            <w:tcW w:w="2462" w:type="pct"/>
            <w:tcBorders>
              <w:top w:val="single" w:color="000000" w:sz="4" w:space="0"/>
              <w:left w:val="single" w:color="000000" w:sz="4" w:space="0"/>
              <w:bottom w:val="single" w:color="000000" w:sz="4" w:space="0"/>
              <w:right w:val="single" w:color="000000" w:sz="4" w:space="0"/>
            </w:tcBorders>
            <w:noWrap w:val="0"/>
            <w:vAlign w:val="center"/>
          </w:tcPr>
          <w:p w14:paraId="3DF19344">
            <w:pPr>
              <w:rPr>
                <w:rStyle w:val="36"/>
                <w:rFonts w:hint="default" w:ascii="宋体" w:hAnsi="宋体" w:eastAsia="宋体" w:cs="宋体"/>
                <w:color w:val="auto"/>
                <w:lang w:bidi="ar"/>
              </w:rPr>
            </w:pPr>
            <w:r>
              <w:rPr>
                <w:rStyle w:val="36"/>
                <w:rFonts w:hint="eastAsia" w:ascii="宋体" w:hAnsi="宋体" w:eastAsia="宋体" w:cs="宋体"/>
                <w:color w:val="auto"/>
                <w:lang w:val="en-US" w:eastAsia="zh-CN" w:bidi="ar"/>
              </w:rPr>
              <w:t>2.服务期内保障项目经理任职稳定性，原则上不得擅自更换；确需更换的，须提前15个工作日书面报备采购方，且更换后的项目经理资质、工作经验不得低于原承诺标准。</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06B76552">
            <w:pPr>
              <w:rPr>
                <w:rFonts w:hint="eastAsia" w:eastAsia="宋体"/>
                <w:lang w:eastAsia="zh-CN"/>
              </w:rPr>
            </w:pPr>
            <w:r>
              <w:rPr>
                <w:rFonts w:hint="eastAsia"/>
                <w:lang w:val="en-US" w:eastAsia="zh-CN" w:bidi="ar"/>
              </w:rPr>
              <w:t>5</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3CB39C13"/>
        </w:tc>
        <w:tc>
          <w:tcPr>
            <w:tcW w:w="494" w:type="pct"/>
            <w:vMerge w:val="continue"/>
            <w:tcBorders>
              <w:left w:val="single" w:color="000000" w:sz="4" w:space="0"/>
              <w:right w:val="single" w:color="000000" w:sz="4" w:space="0"/>
            </w:tcBorders>
            <w:noWrap w:val="0"/>
            <w:vAlign w:val="center"/>
          </w:tcPr>
          <w:p w14:paraId="6D0D301A"/>
        </w:tc>
      </w:tr>
      <w:tr w14:paraId="0290E460">
        <w:tblPrEx>
          <w:tblCellMar>
            <w:top w:w="0" w:type="dxa"/>
            <w:left w:w="108" w:type="dxa"/>
            <w:bottom w:w="0" w:type="dxa"/>
            <w:right w:w="108" w:type="dxa"/>
          </w:tblCellMar>
        </w:tblPrEx>
        <w:trPr>
          <w:trHeight w:val="1377" w:hRule="atLeast"/>
        </w:trPr>
        <w:tc>
          <w:tcPr>
            <w:tcW w:w="369" w:type="pct"/>
            <w:vMerge w:val="continue"/>
            <w:tcBorders>
              <w:top w:val="single" w:color="000000" w:sz="4" w:space="0"/>
              <w:left w:val="single" w:color="000000" w:sz="4" w:space="0"/>
              <w:bottom w:val="single" w:color="auto" w:sz="4" w:space="0"/>
              <w:right w:val="single" w:color="000000" w:sz="4" w:space="0"/>
            </w:tcBorders>
            <w:noWrap w:val="0"/>
            <w:vAlign w:val="center"/>
          </w:tcPr>
          <w:p w14:paraId="76DE9C11"/>
        </w:tc>
        <w:tc>
          <w:tcPr>
            <w:tcW w:w="579" w:type="pct"/>
            <w:vMerge w:val="continue"/>
            <w:tcBorders>
              <w:top w:val="single" w:color="000000" w:sz="4" w:space="0"/>
              <w:left w:val="single" w:color="000000" w:sz="4" w:space="0"/>
              <w:bottom w:val="single" w:color="auto" w:sz="4" w:space="0"/>
              <w:right w:val="single" w:color="000000" w:sz="4" w:space="0"/>
            </w:tcBorders>
            <w:noWrap w:val="0"/>
            <w:vAlign w:val="center"/>
          </w:tcPr>
          <w:p w14:paraId="7304D535"/>
        </w:tc>
        <w:tc>
          <w:tcPr>
            <w:tcW w:w="410" w:type="pct"/>
            <w:vMerge w:val="continue"/>
            <w:tcBorders>
              <w:top w:val="single" w:color="000000" w:sz="4" w:space="0"/>
              <w:left w:val="single" w:color="000000" w:sz="4" w:space="0"/>
              <w:bottom w:val="single" w:color="auto" w:sz="4" w:space="0"/>
              <w:right w:val="single" w:color="000000" w:sz="4" w:space="0"/>
            </w:tcBorders>
            <w:noWrap w:val="0"/>
            <w:vAlign w:val="center"/>
          </w:tcPr>
          <w:p w14:paraId="601950DA"/>
        </w:tc>
        <w:tc>
          <w:tcPr>
            <w:tcW w:w="2462" w:type="pct"/>
            <w:tcBorders>
              <w:top w:val="single" w:color="000000" w:sz="4" w:space="0"/>
              <w:left w:val="single" w:color="000000" w:sz="4" w:space="0"/>
              <w:bottom w:val="single" w:color="auto" w:sz="4" w:space="0"/>
              <w:right w:val="single" w:color="000000" w:sz="4" w:space="0"/>
            </w:tcBorders>
            <w:noWrap w:val="0"/>
            <w:vAlign w:val="center"/>
          </w:tcPr>
          <w:p w14:paraId="740C77E5">
            <w:pPr>
              <w:rPr>
                <w:rFonts w:ascii="Calibri" w:hAnsi="Calibri" w:cs="Calibri"/>
                <w:kern w:val="0"/>
                <w:lang w:bidi="ar"/>
              </w:rPr>
            </w:pPr>
            <w:r>
              <w:rPr>
                <w:rFonts w:hint="eastAsia" w:ascii="Calibri" w:hAnsi="Calibri" w:cs="Calibri"/>
                <w:kern w:val="0"/>
                <w:lang w:val="en-US" w:eastAsia="zh-CN" w:bidi="ar"/>
              </w:rPr>
              <w:t>3.</w:t>
            </w:r>
            <w:r>
              <w:rPr>
                <w:rStyle w:val="36"/>
                <w:rFonts w:hint="default"/>
                <w:color w:val="auto"/>
                <w:lang w:bidi="ar"/>
              </w:rPr>
              <w:t>健全</w:t>
            </w:r>
            <w:r>
              <w:rPr>
                <w:rStyle w:val="36"/>
                <w:rFonts w:hint="eastAsia"/>
                <w:color w:val="auto"/>
                <w:lang w:val="en-US" w:eastAsia="zh-CN" w:bidi="ar"/>
              </w:rPr>
              <w:t>宿管员</w:t>
            </w:r>
            <w:r>
              <w:rPr>
                <w:rStyle w:val="36"/>
                <w:rFonts w:hint="default"/>
                <w:color w:val="auto"/>
                <w:lang w:bidi="ar"/>
              </w:rPr>
              <w:t>考核制度，</w:t>
            </w:r>
            <w:r>
              <w:rPr>
                <w:rStyle w:val="36"/>
                <w:rFonts w:hint="eastAsia"/>
                <w:color w:val="auto"/>
                <w:lang w:val="en-US" w:eastAsia="zh-CN" w:bidi="ar"/>
              </w:rPr>
              <w:t>明确</w:t>
            </w:r>
            <w:r>
              <w:rPr>
                <w:rStyle w:val="36"/>
                <w:rFonts w:hint="default"/>
                <w:color w:val="auto"/>
                <w:lang w:bidi="ar"/>
              </w:rPr>
              <w:t>岗位职责</w:t>
            </w:r>
            <w:r>
              <w:rPr>
                <w:rStyle w:val="36"/>
                <w:rFonts w:hint="eastAsia"/>
                <w:color w:val="auto"/>
                <w:lang w:eastAsia="zh-CN" w:bidi="ar"/>
              </w:rPr>
              <w:t>、</w:t>
            </w:r>
            <w:r>
              <w:rPr>
                <w:rStyle w:val="36"/>
                <w:rFonts w:hint="default"/>
                <w:color w:val="auto"/>
                <w:lang w:bidi="ar"/>
              </w:rPr>
              <w:t>工作流程</w:t>
            </w:r>
            <w:r>
              <w:rPr>
                <w:rStyle w:val="36"/>
                <w:rFonts w:hint="eastAsia"/>
                <w:color w:val="auto"/>
                <w:lang w:eastAsia="zh-CN" w:bidi="ar"/>
              </w:rPr>
              <w:t>，</w:t>
            </w:r>
            <w:r>
              <w:rPr>
                <w:rStyle w:val="36"/>
                <w:rFonts w:hint="default"/>
                <w:color w:val="auto"/>
                <w:lang w:bidi="ar"/>
              </w:rPr>
              <w:t>建立各类应急预案</w:t>
            </w:r>
            <w:r>
              <w:rPr>
                <w:rStyle w:val="36"/>
                <w:rFonts w:hint="eastAsia"/>
                <w:color w:val="auto"/>
                <w:lang w:eastAsia="zh-CN" w:bidi="ar"/>
              </w:rPr>
              <w:t>，</w:t>
            </w:r>
            <w:r>
              <w:rPr>
                <w:rStyle w:val="36"/>
                <w:rFonts w:hint="eastAsia"/>
                <w:color w:val="auto"/>
                <w:lang w:val="en-US" w:eastAsia="zh-CN" w:bidi="ar"/>
              </w:rPr>
              <w:t>坚持制度上墙。</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129E6DCF">
            <w:pPr>
              <w:rPr>
                <w:rFonts w:hint="eastAsia"/>
                <w:lang w:val="en-US" w:eastAsia="zh-CN" w:bidi="ar"/>
              </w:rPr>
            </w:pPr>
            <w:r>
              <w:rPr>
                <w:rFonts w:hint="eastAsia"/>
                <w:lang w:val="en-US" w:eastAsia="zh-CN" w:bidi="ar"/>
              </w:rPr>
              <w:t>7</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3093EA55"/>
        </w:tc>
        <w:tc>
          <w:tcPr>
            <w:tcW w:w="494" w:type="pct"/>
            <w:vMerge w:val="continue"/>
            <w:tcBorders>
              <w:left w:val="single" w:color="000000" w:sz="4" w:space="0"/>
              <w:bottom w:val="single" w:color="000000" w:sz="4" w:space="0"/>
              <w:right w:val="single" w:color="000000" w:sz="4" w:space="0"/>
            </w:tcBorders>
            <w:noWrap w:val="0"/>
            <w:vAlign w:val="center"/>
          </w:tcPr>
          <w:p w14:paraId="5676C0CC"/>
        </w:tc>
      </w:tr>
      <w:tr w14:paraId="697FE003">
        <w:tblPrEx>
          <w:tblCellMar>
            <w:top w:w="0" w:type="dxa"/>
            <w:left w:w="108" w:type="dxa"/>
            <w:bottom w:w="0" w:type="dxa"/>
            <w:right w:w="108" w:type="dxa"/>
          </w:tblCellMar>
        </w:tblPrEx>
        <w:trPr>
          <w:trHeight w:val="1377" w:hRule="atLeast"/>
        </w:trPr>
        <w:tc>
          <w:tcPr>
            <w:tcW w:w="369" w:type="pct"/>
            <w:vMerge w:val="continue"/>
            <w:tcBorders>
              <w:top w:val="single" w:color="000000" w:sz="4" w:space="0"/>
              <w:left w:val="single" w:color="000000" w:sz="4" w:space="0"/>
              <w:bottom w:val="single" w:color="auto" w:sz="4" w:space="0"/>
              <w:right w:val="single" w:color="000000" w:sz="4" w:space="0"/>
            </w:tcBorders>
            <w:noWrap w:val="0"/>
            <w:vAlign w:val="center"/>
          </w:tcPr>
          <w:p w14:paraId="79DED834"/>
        </w:tc>
        <w:tc>
          <w:tcPr>
            <w:tcW w:w="579" w:type="pct"/>
            <w:vMerge w:val="continue"/>
            <w:tcBorders>
              <w:top w:val="single" w:color="000000" w:sz="4" w:space="0"/>
              <w:left w:val="single" w:color="000000" w:sz="4" w:space="0"/>
              <w:bottom w:val="single" w:color="auto" w:sz="4" w:space="0"/>
              <w:right w:val="single" w:color="000000" w:sz="4" w:space="0"/>
            </w:tcBorders>
            <w:noWrap w:val="0"/>
            <w:vAlign w:val="center"/>
          </w:tcPr>
          <w:p w14:paraId="2A9F50F2"/>
        </w:tc>
        <w:tc>
          <w:tcPr>
            <w:tcW w:w="410" w:type="pct"/>
            <w:vMerge w:val="continue"/>
            <w:tcBorders>
              <w:top w:val="single" w:color="000000" w:sz="4" w:space="0"/>
              <w:left w:val="single" w:color="000000" w:sz="4" w:space="0"/>
              <w:bottom w:val="single" w:color="auto" w:sz="4" w:space="0"/>
              <w:right w:val="single" w:color="000000" w:sz="4" w:space="0"/>
            </w:tcBorders>
            <w:noWrap w:val="0"/>
            <w:vAlign w:val="center"/>
          </w:tcPr>
          <w:p w14:paraId="22E40F1D"/>
        </w:tc>
        <w:tc>
          <w:tcPr>
            <w:tcW w:w="2462" w:type="pct"/>
            <w:tcBorders>
              <w:top w:val="single" w:color="000000" w:sz="4" w:space="0"/>
              <w:left w:val="single" w:color="000000" w:sz="4" w:space="0"/>
              <w:bottom w:val="single" w:color="auto" w:sz="4" w:space="0"/>
              <w:right w:val="single" w:color="000000" w:sz="4" w:space="0"/>
            </w:tcBorders>
            <w:noWrap w:val="0"/>
            <w:vAlign w:val="center"/>
          </w:tcPr>
          <w:p w14:paraId="536FCC2B">
            <w:pPr>
              <w:rPr>
                <w:rFonts w:hint="default" w:ascii="Calibri" w:hAnsi="Calibri" w:eastAsia="宋体" w:cs="Calibri"/>
                <w:lang w:val="en-US" w:eastAsia="zh-CN"/>
              </w:rPr>
            </w:pPr>
            <w:r>
              <w:rPr>
                <w:rFonts w:hint="eastAsia" w:ascii="宋体" w:hAnsi="宋体" w:cs="宋体"/>
                <w:bCs/>
                <w:color w:val="000000"/>
                <w:kern w:val="0"/>
                <w:lang w:val="en-US" w:eastAsia="zh-CN"/>
              </w:rPr>
              <w:t>4.每年度针对宿管员团队开展系列安全教育、心理健康等培训，妥善处理各类突发事件。</w:t>
            </w:r>
          </w:p>
        </w:tc>
        <w:tc>
          <w:tcPr>
            <w:tcW w:w="343" w:type="pct"/>
            <w:tcBorders>
              <w:top w:val="single" w:color="000000" w:sz="4" w:space="0"/>
              <w:left w:val="single" w:color="000000" w:sz="4" w:space="0"/>
              <w:bottom w:val="single" w:color="auto" w:sz="4" w:space="0"/>
              <w:right w:val="single" w:color="000000" w:sz="4" w:space="0"/>
            </w:tcBorders>
            <w:noWrap w:val="0"/>
            <w:vAlign w:val="center"/>
          </w:tcPr>
          <w:p w14:paraId="44222063">
            <w:pPr>
              <w:rPr>
                <w:rFonts w:hint="default" w:eastAsia="宋体"/>
                <w:lang w:val="en-US" w:eastAsia="zh-CN"/>
              </w:rPr>
            </w:pPr>
            <w:r>
              <w:rPr>
                <w:rFonts w:hint="eastAsia"/>
                <w:lang w:val="en-US" w:eastAsia="zh-CN"/>
              </w:rPr>
              <w:t>7</w:t>
            </w:r>
          </w:p>
        </w:tc>
        <w:tc>
          <w:tcPr>
            <w:tcW w:w="339" w:type="pct"/>
            <w:tcBorders>
              <w:top w:val="single" w:color="000000" w:sz="4" w:space="0"/>
              <w:left w:val="single" w:color="000000" w:sz="4" w:space="0"/>
              <w:bottom w:val="single" w:color="auto" w:sz="4" w:space="0"/>
              <w:right w:val="single" w:color="000000" w:sz="4" w:space="0"/>
            </w:tcBorders>
            <w:noWrap w:val="0"/>
            <w:vAlign w:val="center"/>
          </w:tcPr>
          <w:p w14:paraId="1C8B2F42"/>
        </w:tc>
        <w:tc>
          <w:tcPr>
            <w:tcW w:w="494" w:type="pct"/>
            <w:vMerge w:val="continue"/>
            <w:tcBorders>
              <w:left w:val="single" w:color="000000" w:sz="4" w:space="0"/>
              <w:bottom w:val="single" w:color="auto" w:sz="4" w:space="0"/>
              <w:right w:val="single" w:color="000000" w:sz="4" w:space="0"/>
            </w:tcBorders>
            <w:noWrap w:val="0"/>
            <w:vAlign w:val="center"/>
          </w:tcPr>
          <w:p w14:paraId="552FA00F"/>
        </w:tc>
      </w:tr>
      <w:tr w14:paraId="1138B5AB">
        <w:tblPrEx>
          <w:tblCellMar>
            <w:top w:w="0" w:type="dxa"/>
            <w:left w:w="108" w:type="dxa"/>
            <w:bottom w:w="0" w:type="dxa"/>
            <w:right w:w="108" w:type="dxa"/>
          </w:tblCellMar>
        </w:tblPrEx>
        <w:trPr>
          <w:trHeight w:val="1101" w:hRule="atLeast"/>
        </w:trPr>
        <w:tc>
          <w:tcPr>
            <w:tcW w:w="369" w:type="pct"/>
            <w:vMerge w:val="restart"/>
            <w:tcBorders>
              <w:top w:val="single" w:color="auto" w:sz="4" w:space="0"/>
              <w:left w:val="single" w:color="auto" w:sz="4" w:space="0"/>
              <w:bottom w:val="single" w:color="auto" w:sz="4" w:space="0"/>
              <w:right w:val="single" w:color="auto" w:sz="4" w:space="0"/>
            </w:tcBorders>
            <w:noWrap w:val="0"/>
            <w:vAlign w:val="center"/>
          </w:tcPr>
          <w:p w14:paraId="5523107B">
            <w:pPr>
              <w:rPr>
                <w:rFonts w:hint="eastAsia" w:eastAsia="宋体"/>
                <w:lang w:eastAsia="zh-CN"/>
              </w:rPr>
            </w:pPr>
            <w:r>
              <w:rPr>
                <w:rFonts w:hint="eastAsia"/>
                <w:lang w:val="en-US" w:eastAsia="zh-CN"/>
              </w:rPr>
              <w:t>2</w:t>
            </w:r>
          </w:p>
        </w:tc>
        <w:tc>
          <w:tcPr>
            <w:tcW w:w="579" w:type="pct"/>
            <w:vMerge w:val="restart"/>
            <w:tcBorders>
              <w:top w:val="single" w:color="auto" w:sz="4" w:space="0"/>
              <w:left w:val="single" w:color="auto" w:sz="4" w:space="0"/>
              <w:bottom w:val="single" w:color="auto" w:sz="4" w:space="0"/>
              <w:right w:val="single" w:color="auto" w:sz="4" w:space="0"/>
            </w:tcBorders>
            <w:noWrap w:val="0"/>
            <w:vAlign w:val="center"/>
          </w:tcPr>
          <w:p w14:paraId="210D808F">
            <w:r>
              <w:rPr>
                <w:rFonts w:hint="eastAsia"/>
              </w:rPr>
              <w:t>宿舍管理</w:t>
            </w:r>
          </w:p>
        </w:tc>
        <w:tc>
          <w:tcPr>
            <w:tcW w:w="410" w:type="pct"/>
            <w:vMerge w:val="restart"/>
            <w:tcBorders>
              <w:top w:val="single" w:color="auto" w:sz="4" w:space="0"/>
              <w:left w:val="single" w:color="auto" w:sz="4" w:space="0"/>
              <w:bottom w:val="single" w:color="auto" w:sz="4" w:space="0"/>
              <w:right w:val="single" w:color="auto" w:sz="4" w:space="0"/>
            </w:tcBorders>
            <w:noWrap w:val="0"/>
            <w:vAlign w:val="center"/>
          </w:tcPr>
          <w:p w14:paraId="48B27204">
            <w:pPr>
              <w:rPr>
                <w:rFonts w:hint="default" w:ascii="宋体" w:hAnsi="宋体" w:cs="宋体"/>
                <w:bCs/>
                <w:color w:val="000000"/>
                <w:kern w:val="0"/>
                <w:lang w:val="en-US" w:eastAsia="zh-CN"/>
              </w:rPr>
            </w:pPr>
            <w:r>
              <w:rPr>
                <w:rFonts w:hint="eastAsia" w:ascii="宋体" w:hAnsi="宋体" w:cs="宋体"/>
                <w:bCs/>
                <w:color w:val="000000"/>
                <w:kern w:val="0"/>
                <w:lang w:val="en-US" w:eastAsia="zh-CN"/>
              </w:rPr>
              <w:t>65</w:t>
            </w:r>
          </w:p>
        </w:tc>
        <w:tc>
          <w:tcPr>
            <w:tcW w:w="2462" w:type="pct"/>
            <w:tcBorders>
              <w:top w:val="single" w:color="auto" w:sz="4" w:space="0"/>
              <w:left w:val="single" w:color="auto" w:sz="4" w:space="0"/>
              <w:bottom w:val="single" w:color="auto" w:sz="4" w:space="0"/>
              <w:right w:val="single" w:color="auto" w:sz="4" w:space="0"/>
            </w:tcBorders>
            <w:noWrap w:val="0"/>
            <w:vAlign w:val="center"/>
          </w:tcPr>
          <w:p w14:paraId="3E863864">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1.实行24小时值班值守制度，规范台账记录，加强档案管理，全面落实信息化管理作业要求。</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4C755109">
            <w:pPr>
              <w:rPr>
                <w:rFonts w:hint="default" w:eastAsia="宋体"/>
                <w:lang w:val="en-US" w:eastAsia="zh-CN" w:bidi="ar"/>
              </w:rPr>
            </w:pPr>
            <w:r>
              <w:rPr>
                <w:rFonts w:hint="eastAsia"/>
                <w:lang w:val="en-US" w:eastAsia="zh-CN" w:bidi="ar"/>
              </w:rPr>
              <w:t>10</w:t>
            </w:r>
          </w:p>
        </w:tc>
        <w:tc>
          <w:tcPr>
            <w:tcW w:w="339" w:type="pct"/>
            <w:tcBorders>
              <w:top w:val="single" w:color="auto" w:sz="4" w:space="0"/>
              <w:left w:val="single" w:color="auto" w:sz="4" w:space="0"/>
              <w:bottom w:val="single" w:color="auto" w:sz="4" w:space="0"/>
              <w:right w:val="single" w:color="auto" w:sz="4" w:space="0"/>
            </w:tcBorders>
            <w:noWrap w:val="0"/>
            <w:vAlign w:val="center"/>
          </w:tcPr>
          <w:p w14:paraId="0D938667"/>
        </w:tc>
        <w:tc>
          <w:tcPr>
            <w:tcW w:w="494" w:type="pct"/>
            <w:vMerge w:val="restart"/>
            <w:tcBorders>
              <w:top w:val="single" w:color="auto" w:sz="4" w:space="0"/>
              <w:left w:val="single" w:color="auto" w:sz="4" w:space="0"/>
              <w:bottom w:val="single" w:color="auto" w:sz="4" w:space="0"/>
              <w:right w:val="single" w:color="auto" w:sz="4" w:space="0"/>
            </w:tcBorders>
            <w:noWrap w:val="0"/>
            <w:vAlign w:val="center"/>
          </w:tcPr>
          <w:p w14:paraId="566309DB">
            <w:pPr>
              <w:rPr>
                <w:rFonts w:ascii="Calibri" w:hAnsi="Calibri" w:cs="Calibri"/>
              </w:rPr>
            </w:pPr>
            <w:r>
              <w:rPr>
                <w:rFonts w:hint="eastAsia"/>
                <w:lang w:bidi="ar"/>
              </w:rPr>
              <w:t>完全符合得满分，部分符合相应递减，不符合得0分</w:t>
            </w:r>
          </w:p>
        </w:tc>
      </w:tr>
      <w:tr w14:paraId="64DF6C46">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auto" w:sz="4" w:space="0"/>
            </w:tcBorders>
            <w:noWrap w:val="0"/>
            <w:vAlign w:val="center"/>
          </w:tcPr>
          <w:p w14:paraId="19DD2C86"/>
        </w:tc>
        <w:tc>
          <w:tcPr>
            <w:tcW w:w="579" w:type="pct"/>
            <w:vMerge w:val="continue"/>
            <w:tcBorders>
              <w:top w:val="single" w:color="auto" w:sz="4" w:space="0"/>
              <w:left w:val="single" w:color="auto" w:sz="4" w:space="0"/>
              <w:bottom w:val="single" w:color="auto" w:sz="4" w:space="0"/>
              <w:right w:val="single" w:color="auto" w:sz="4" w:space="0"/>
            </w:tcBorders>
            <w:noWrap w:val="0"/>
            <w:vAlign w:val="center"/>
          </w:tcPr>
          <w:p w14:paraId="781362F8"/>
        </w:tc>
        <w:tc>
          <w:tcPr>
            <w:tcW w:w="410" w:type="pct"/>
            <w:vMerge w:val="continue"/>
            <w:tcBorders>
              <w:top w:val="single" w:color="auto" w:sz="4" w:space="0"/>
              <w:left w:val="single" w:color="auto" w:sz="4" w:space="0"/>
              <w:bottom w:val="single" w:color="auto" w:sz="4" w:space="0"/>
              <w:right w:val="single" w:color="auto" w:sz="4" w:space="0"/>
            </w:tcBorders>
            <w:noWrap w:val="0"/>
            <w:vAlign w:val="center"/>
          </w:tcPr>
          <w:p w14:paraId="490E51AB">
            <w:pPr>
              <w:rPr>
                <w:rFonts w:hint="eastAsia" w:ascii="宋体" w:hAnsi="宋体" w:cs="宋体"/>
                <w:bCs/>
                <w:color w:val="000000"/>
                <w:kern w:val="0"/>
                <w:lang w:val="en-US" w:eastAsia="zh-CN"/>
              </w:rPr>
            </w:pPr>
          </w:p>
        </w:tc>
        <w:tc>
          <w:tcPr>
            <w:tcW w:w="2462" w:type="pct"/>
            <w:tcBorders>
              <w:top w:val="single" w:color="auto" w:sz="4" w:space="0"/>
              <w:left w:val="single" w:color="auto" w:sz="4" w:space="0"/>
              <w:bottom w:val="single" w:color="auto" w:sz="4" w:space="0"/>
              <w:right w:val="single" w:color="auto" w:sz="4" w:space="0"/>
            </w:tcBorders>
            <w:noWrap w:val="0"/>
            <w:vAlign w:val="center"/>
          </w:tcPr>
          <w:p w14:paraId="04CFB8DE">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2.每日常态化开展宿舍安全卫生检查工作，对发现的问题及时反馈、督促整改。</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0EF5BA0A">
            <w:pPr>
              <w:rPr>
                <w:rFonts w:hint="default" w:eastAsia="宋体"/>
                <w:lang w:val="en-US" w:eastAsia="zh-CN" w:bidi="ar"/>
              </w:rPr>
            </w:pPr>
            <w:r>
              <w:rPr>
                <w:rFonts w:hint="eastAsia"/>
                <w:lang w:val="en-US" w:eastAsia="zh-CN" w:bidi="ar"/>
              </w:rPr>
              <w:t>8</w:t>
            </w:r>
          </w:p>
        </w:tc>
        <w:tc>
          <w:tcPr>
            <w:tcW w:w="339" w:type="pct"/>
            <w:tcBorders>
              <w:top w:val="single" w:color="auto" w:sz="4" w:space="0"/>
              <w:left w:val="single" w:color="auto" w:sz="4" w:space="0"/>
              <w:bottom w:val="single" w:color="auto" w:sz="4" w:space="0"/>
              <w:right w:val="single" w:color="auto" w:sz="4" w:space="0"/>
            </w:tcBorders>
            <w:noWrap w:val="0"/>
            <w:vAlign w:val="center"/>
          </w:tcPr>
          <w:p w14:paraId="2C585C3F"/>
        </w:tc>
        <w:tc>
          <w:tcPr>
            <w:tcW w:w="494" w:type="pct"/>
            <w:vMerge w:val="continue"/>
            <w:tcBorders>
              <w:top w:val="single" w:color="auto" w:sz="4" w:space="0"/>
              <w:left w:val="single" w:color="auto" w:sz="4" w:space="0"/>
              <w:bottom w:val="single" w:color="auto" w:sz="4" w:space="0"/>
              <w:right w:val="single" w:color="auto" w:sz="4" w:space="0"/>
            </w:tcBorders>
            <w:noWrap w:val="0"/>
            <w:vAlign w:val="center"/>
          </w:tcPr>
          <w:p w14:paraId="78287791"/>
        </w:tc>
      </w:tr>
      <w:tr w14:paraId="7FA1C40B">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026DBC12"/>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6B240565"/>
        </w:tc>
        <w:tc>
          <w:tcPr>
            <w:tcW w:w="410" w:type="pct"/>
            <w:vMerge w:val="continue"/>
            <w:tcBorders>
              <w:top w:val="single" w:color="auto" w:sz="4" w:space="0"/>
              <w:left w:val="single" w:color="000000" w:sz="4" w:space="0"/>
              <w:bottom w:val="single" w:color="auto" w:sz="4" w:space="0"/>
              <w:right w:val="single" w:color="auto" w:sz="4" w:space="0"/>
            </w:tcBorders>
            <w:noWrap w:val="0"/>
            <w:vAlign w:val="center"/>
          </w:tcPr>
          <w:p w14:paraId="5953B276">
            <w:pPr>
              <w:rPr>
                <w:rFonts w:hint="eastAsia" w:ascii="宋体" w:hAnsi="宋体" w:cs="宋体"/>
                <w:bCs/>
                <w:color w:val="000000"/>
                <w:kern w:val="0"/>
                <w:lang w:val="en-US" w:eastAsia="zh-CN"/>
              </w:rPr>
            </w:pPr>
          </w:p>
        </w:tc>
        <w:tc>
          <w:tcPr>
            <w:tcW w:w="2462" w:type="pct"/>
            <w:tcBorders>
              <w:top w:val="single" w:color="auto" w:sz="4" w:space="0"/>
              <w:left w:val="single" w:color="auto" w:sz="4" w:space="0"/>
              <w:bottom w:val="single" w:color="000000" w:sz="4" w:space="0"/>
              <w:right w:val="single" w:color="000000" w:sz="4" w:space="0"/>
            </w:tcBorders>
            <w:noWrap w:val="0"/>
            <w:vAlign w:val="center"/>
          </w:tcPr>
          <w:p w14:paraId="07A1504C">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3.建立健全安全管理制度及突发事件应急预案，明确应急处置流程、责任分工及处置措施。</w:t>
            </w:r>
          </w:p>
        </w:tc>
        <w:tc>
          <w:tcPr>
            <w:tcW w:w="343" w:type="pct"/>
            <w:tcBorders>
              <w:top w:val="single" w:color="auto" w:sz="4" w:space="0"/>
              <w:left w:val="single" w:color="000000" w:sz="4" w:space="0"/>
              <w:bottom w:val="single" w:color="000000" w:sz="4" w:space="0"/>
              <w:right w:val="single" w:color="auto" w:sz="4" w:space="0"/>
            </w:tcBorders>
            <w:noWrap w:val="0"/>
            <w:vAlign w:val="center"/>
          </w:tcPr>
          <w:p w14:paraId="487C09E1">
            <w:pPr>
              <w:rPr>
                <w:rFonts w:hint="default" w:eastAsia="宋体"/>
                <w:lang w:val="en-US" w:eastAsia="zh-CN" w:bidi="ar"/>
              </w:rPr>
            </w:pPr>
            <w:r>
              <w:rPr>
                <w:rFonts w:hint="eastAsia"/>
                <w:lang w:val="en-US" w:eastAsia="zh-CN" w:bidi="ar"/>
              </w:rPr>
              <w:t>7</w:t>
            </w:r>
          </w:p>
        </w:tc>
        <w:tc>
          <w:tcPr>
            <w:tcW w:w="339" w:type="pct"/>
            <w:tcBorders>
              <w:top w:val="single" w:color="auto" w:sz="4" w:space="0"/>
              <w:left w:val="single" w:color="auto" w:sz="4" w:space="0"/>
              <w:bottom w:val="single" w:color="auto" w:sz="4" w:space="0"/>
              <w:right w:val="single" w:color="auto" w:sz="4" w:space="0"/>
            </w:tcBorders>
            <w:noWrap w:val="0"/>
            <w:vAlign w:val="center"/>
          </w:tcPr>
          <w:p w14:paraId="4F8EDEC9"/>
        </w:tc>
        <w:tc>
          <w:tcPr>
            <w:tcW w:w="494" w:type="pct"/>
            <w:vMerge w:val="continue"/>
            <w:tcBorders>
              <w:top w:val="single" w:color="auto" w:sz="4" w:space="0"/>
              <w:left w:val="single" w:color="auto" w:sz="4" w:space="0"/>
              <w:bottom w:val="single" w:color="auto" w:sz="4" w:space="0"/>
              <w:right w:val="single" w:color="auto" w:sz="4" w:space="0"/>
            </w:tcBorders>
            <w:noWrap w:val="0"/>
            <w:vAlign w:val="center"/>
          </w:tcPr>
          <w:p w14:paraId="5E09C540"/>
        </w:tc>
      </w:tr>
      <w:tr w14:paraId="3E8CC991">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5A3080AB"/>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281E39A9"/>
        </w:tc>
        <w:tc>
          <w:tcPr>
            <w:tcW w:w="410" w:type="pct"/>
            <w:vMerge w:val="continue"/>
            <w:tcBorders>
              <w:top w:val="single" w:color="auto" w:sz="4" w:space="0"/>
              <w:left w:val="single" w:color="000000" w:sz="4" w:space="0"/>
              <w:bottom w:val="single" w:color="auto" w:sz="4" w:space="0"/>
              <w:right w:val="single" w:color="auto" w:sz="4" w:space="0"/>
            </w:tcBorders>
            <w:noWrap w:val="0"/>
            <w:vAlign w:val="center"/>
          </w:tcPr>
          <w:p w14:paraId="6F159F2A">
            <w:pPr>
              <w:rPr>
                <w:rFonts w:hint="eastAsia" w:ascii="宋体" w:hAnsi="宋体" w:cs="宋体"/>
                <w:bCs/>
                <w:color w:val="000000"/>
                <w:kern w:val="0"/>
                <w:lang w:val="en-US" w:eastAsia="zh-CN"/>
              </w:rPr>
            </w:pPr>
          </w:p>
        </w:tc>
        <w:tc>
          <w:tcPr>
            <w:tcW w:w="2462" w:type="pct"/>
            <w:tcBorders>
              <w:top w:val="single" w:color="000000" w:sz="4" w:space="0"/>
              <w:left w:val="single" w:color="auto" w:sz="4" w:space="0"/>
              <w:bottom w:val="single" w:color="000000" w:sz="4" w:space="0"/>
              <w:right w:val="single" w:color="000000" w:sz="4" w:space="0"/>
            </w:tcBorders>
            <w:noWrap w:val="0"/>
            <w:vAlign w:val="center"/>
          </w:tcPr>
          <w:p w14:paraId="1A7C1F12">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4.对于管理服务不达标或存在严重问题采购方有权提出整改，整改无效或效果不明显，对委托管理服务单位和管理负责人实施责任追究，直至调离岗位或辞退。</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60C438D2">
            <w:pPr>
              <w:rPr>
                <w:rFonts w:hint="eastAsia" w:eastAsia="宋体"/>
                <w:lang w:eastAsia="zh-CN" w:bidi="ar"/>
              </w:rPr>
            </w:pPr>
            <w:r>
              <w:rPr>
                <w:rFonts w:hint="eastAsia"/>
                <w:lang w:val="en-US" w:eastAsia="zh-CN" w:bidi="ar"/>
              </w:rPr>
              <w:t>5</w:t>
            </w:r>
          </w:p>
        </w:tc>
        <w:tc>
          <w:tcPr>
            <w:tcW w:w="339" w:type="pct"/>
            <w:tcBorders>
              <w:top w:val="single" w:color="auto" w:sz="4" w:space="0"/>
              <w:left w:val="single" w:color="000000" w:sz="4" w:space="0"/>
              <w:bottom w:val="single" w:color="000000" w:sz="4" w:space="0"/>
              <w:right w:val="single" w:color="000000" w:sz="4" w:space="0"/>
            </w:tcBorders>
            <w:noWrap w:val="0"/>
            <w:vAlign w:val="center"/>
          </w:tcPr>
          <w:p w14:paraId="4A5161CE"/>
        </w:tc>
        <w:tc>
          <w:tcPr>
            <w:tcW w:w="494" w:type="pct"/>
            <w:vMerge w:val="continue"/>
            <w:tcBorders>
              <w:top w:val="single" w:color="auto" w:sz="4" w:space="0"/>
              <w:left w:val="single" w:color="000000" w:sz="4" w:space="0"/>
              <w:right w:val="single" w:color="auto" w:sz="4" w:space="0"/>
            </w:tcBorders>
            <w:noWrap w:val="0"/>
            <w:vAlign w:val="center"/>
          </w:tcPr>
          <w:p w14:paraId="021798C8"/>
        </w:tc>
      </w:tr>
      <w:tr w14:paraId="2A18A95E">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5CE1D87D"/>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5C36DA70"/>
        </w:tc>
        <w:tc>
          <w:tcPr>
            <w:tcW w:w="410" w:type="pct"/>
            <w:vMerge w:val="continue"/>
            <w:tcBorders>
              <w:top w:val="single" w:color="auto" w:sz="4" w:space="0"/>
              <w:left w:val="single" w:color="000000" w:sz="4" w:space="0"/>
              <w:bottom w:val="single" w:color="auto" w:sz="4" w:space="0"/>
              <w:right w:val="single" w:color="auto" w:sz="4" w:space="0"/>
            </w:tcBorders>
            <w:noWrap w:val="0"/>
            <w:vAlign w:val="center"/>
          </w:tcPr>
          <w:p w14:paraId="7B08BAD5"/>
        </w:tc>
        <w:tc>
          <w:tcPr>
            <w:tcW w:w="2462" w:type="pct"/>
            <w:tcBorders>
              <w:top w:val="single" w:color="000000" w:sz="4" w:space="0"/>
              <w:left w:val="single" w:color="auto" w:sz="4" w:space="0"/>
              <w:bottom w:val="single" w:color="000000" w:sz="4" w:space="0"/>
              <w:right w:val="single" w:color="000000" w:sz="4" w:space="0"/>
            </w:tcBorders>
            <w:noWrap w:val="0"/>
            <w:vAlign w:val="center"/>
          </w:tcPr>
          <w:p w14:paraId="4775BBA3">
            <w:pPr>
              <w:rPr>
                <w:rFonts w:hint="eastAsia" w:ascii="Calibri" w:hAnsi="Calibri" w:eastAsia="宋体" w:cs="Calibri"/>
                <w:kern w:val="0"/>
                <w:lang w:eastAsia="zh-CN" w:bidi="ar"/>
              </w:rPr>
            </w:pPr>
            <w:r>
              <w:rPr>
                <w:rFonts w:hint="eastAsia" w:ascii="宋体" w:hAnsi="宋体" w:cs="宋体"/>
                <w:bCs/>
                <w:color w:val="000000"/>
                <w:kern w:val="0"/>
                <w:lang w:val="en-US" w:eastAsia="zh-CN"/>
              </w:rPr>
              <w:t>5.两次</w:t>
            </w:r>
            <w:r>
              <w:rPr>
                <w:rFonts w:hint="eastAsia" w:ascii="宋体" w:hAnsi="宋体" w:cs="宋体"/>
                <w:bCs/>
                <w:color w:val="000000"/>
                <w:kern w:val="0"/>
              </w:rPr>
              <w:t>师生满意</w:t>
            </w:r>
            <w:r>
              <w:rPr>
                <w:rFonts w:hint="eastAsia" w:ascii="宋体" w:hAnsi="宋体" w:cs="宋体"/>
                <w:bCs/>
                <w:color w:val="000000"/>
                <w:kern w:val="0"/>
                <w:lang w:val="en-US" w:eastAsia="zh-CN"/>
              </w:rPr>
              <w:t>度测评均</w:t>
            </w:r>
            <w:r>
              <w:rPr>
                <w:rFonts w:hint="eastAsia" w:ascii="宋体" w:hAnsi="宋体" w:cs="宋体"/>
                <w:bCs/>
                <w:color w:val="000000"/>
                <w:kern w:val="0"/>
              </w:rPr>
              <w:t>达到90%</w:t>
            </w:r>
            <w:r>
              <w:rPr>
                <w:rFonts w:hint="eastAsia" w:ascii="宋体" w:hAnsi="宋体" w:cs="宋体"/>
                <w:bCs/>
                <w:color w:val="000000"/>
                <w:kern w:val="0"/>
                <w:lang w:val="en-US" w:eastAsia="zh-CN"/>
              </w:rPr>
              <w:t>以上</w:t>
            </w:r>
            <w:r>
              <w:rPr>
                <w:rFonts w:hint="eastAsia" w:ascii="宋体" w:hAnsi="宋体" w:cs="宋体"/>
                <w:bCs/>
                <w:color w:val="000000"/>
                <w:kern w:val="0"/>
                <w:lang w:eastAsia="zh-CN"/>
              </w:rPr>
              <w:t>。</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650A6C57">
            <w:pPr>
              <w:rPr>
                <w:rFonts w:hint="default" w:eastAsia="宋体"/>
                <w:lang w:val="en-US" w:eastAsia="zh-CN" w:bidi="ar"/>
              </w:rPr>
            </w:pPr>
            <w:r>
              <w:rPr>
                <w:rFonts w:hint="eastAsia"/>
                <w:lang w:val="en-US" w:eastAsia="zh-CN" w:bidi="ar"/>
              </w:rPr>
              <w:t>15</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4B08AF2E"/>
        </w:tc>
        <w:tc>
          <w:tcPr>
            <w:tcW w:w="494" w:type="pct"/>
            <w:vMerge w:val="continue"/>
            <w:tcBorders>
              <w:left w:val="single" w:color="000000" w:sz="4" w:space="0"/>
              <w:right w:val="single" w:color="auto" w:sz="4" w:space="0"/>
            </w:tcBorders>
            <w:noWrap w:val="0"/>
            <w:vAlign w:val="center"/>
          </w:tcPr>
          <w:p w14:paraId="3E6B3EAA"/>
        </w:tc>
      </w:tr>
      <w:tr w14:paraId="2C353E46">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08EA08B5"/>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5822CA72"/>
        </w:tc>
        <w:tc>
          <w:tcPr>
            <w:tcW w:w="410" w:type="pct"/>
            <w:vMerge w:val="continue"/>
            <w:tcBorders>
              <w:top w:val="single" w:color="auto" w:sz="4" w:space="0"/>
              <w:left w:val="single" w:color="000000" w:sz="4" w:space="0"/>
              <w:bottom w:val="single" w:color="auto" w:sz="4" w:space="0"/>
              <w:right w:val="single" w:color="auto" w:sz="4" w:space="0"/>
            </w:tcBorders>
            <w:noWrap w:val="0"/>
            <w:vAlign w:val="center"/>
          </w:tcPr>
          <w:p w14:paraId="4F62E122"/>
        </w:tc>
        <w:tc>
          <w:tcPr>
            <w:tcW w:w="2462" w:type="pct"/>
            <w:tcBorders>
              <w:top w:val="single" w:color="000000" w:sz="4" w:space="0"/>
              <w:left w:val="single" w:color="auto" w:sz="4" w:space="0"/>
              <w:bottom w:val="single" w:color="000000" w:sz="4" w:space="0"/>
              <w:right w:val="single" w:color="000000" w:sz="4" w:space="0"/>
            </w:tcBorders>
            <w:noWrap w:val="0"/>
            <w:vAlign w:val="center"/>
          </w:tcPr>
          <w:p w14:paraId="010AD200">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6.加强学生行为育人，</w:t>
            </w:r>
            <w:r>
              <w:rPr>
                <w:rFonts w:hint="eastAsia" w:ascii="宋体" w:hAnsi="宋体" w:cs="宋体"/>
                <w:bCs/>
                <w:color w:val="000000"/>
                <w:kern w:val="0"/>
              </w:rPr>
              <w:t>定期开展宿舍评优</w:t>
            </w:r>
            <w:r>
              <w:rPr>
                <w:rFonts w:hint="eastAsia" w:ascii="宋体" w:hAnsi="宋体" w:cs="宋体"/>
                <w:bCs/>
                <w:color w:val="000000"/>
                <w:kern w:val="0"/>
                <w:lang w:eastAsia="zh-CN"/>
              </w:rPr>
              <w:t>，</w:t>
            </w:r>
            <w:r>
              <w:rPr>
                <w:rFonts w:hint="eastAsia" w:ascii="宋体" w:hAnsi="宋体" w:cs="宋体"/>
                <w:bCs/>
                <w:color w:val="000000"/>
                <w:kern w:val="0"/>
                <w:lang w:val="en-US" w:eastAsia="zh-CN"/>
              </w:rPr>
              <w:t>配合开展社区文化节等活动。</w:t>
            </w:r>
            <w:r>
              <w:rPr>
                <w:rFonts w:hint="eastAsia" w:ascii="宋体" w:hAnsi="宋体" w:cs="宋体"/>
                <w:bCs/>
                <w:color w:val="000000"/>
                <w:kern w:val="0"/>
              </w:rPr>
              <w:t>宿舍内发生的违纪违规事件</w:t>
            </w:r>
            <w:r>
              <w:rPr>
                <w:rFonts w:hint="eastAsia" w:ascii="宋体" w:hAnsi="宋体" w:cs="宋体"/>
                <w:bCs/>
                <w:color w:val="000000"/>
                <w:kern w:val="0"/>
                <w:lang w:val="en-US" w:eastAsia="zh-CN"/>
              </w:rPr>
              <w:t>及时制止，加强教育引导</w:t>
            </w:r>
            <w:r>
              <w:rPr>
                <w:rFonts w:hint="eastAsia" w:ascii="宋体" w:hAnsi="宋体" w:cs="宋体"/>
                <w:bCs/>
                <w:color w:val="000000"/>
                <w:kern w:val="0"/>
                <w:lang w:eastAsia="zh-CN"/>
              </w:rPr>
              <w:t>。</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340D345C">
            <w:pPr>
              <w:rPr>
                <w:rFonts w:hint="default"/>
                <w:lang w:val="en-US" w:eastAsia="zh-CN" w:bidi="ar"/>
              </w:rPr>
            </w:pPr>
            <w:r>
              <w:rPr>
                <w:rFonts w:hint="eastAsia"/>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41AB2C42"/>
        </w:tc>
        <w:tc>
          <w:tcPr>
            <w:tcW w:w="494" w:type="pct"/>
            <w:vMerge w:val="continue"/>
            <w:tcBorders>
              <w:left w:val="single" w:color="000000" w:sz="4" w:space="0"/>
              <w:right w:val="single" w:color="auto" w:sz="4" w:space="0"/>
            </w:tcBorders>
            <w:noWrap w:val="0"/>
            <w:vAlign w:val="center"/>
          </w:tcPr>
          <w:p w14:paraId="02D5767B"/>
        </w:tc>
      </w:tr>
      <w:tr w14:paraId="17D9A2C9">
        <w:tblPrEx>
          <w:tblCellMar>
            <w:top w:w="0" w:type="dxa"/>
            <w:left w:w="108" w:type="dxa"/>
            <w:bottom w:w="0" w:type="dxa"/>
            <w:right w:w="108" w:type="dxa"/>
          </w:tblCellMar>
        </w:tblPrEx>
        <w:trPr>
          <w:trHeight w:val="1101"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1303511E"/>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6C88FCD6"/>
        </w:tc>
        <w:tc>
          <w:tcPr>
            <w:tcW w:w="410" w:type="pct"/>
            <w:vMerge w:val="continue"/>
            <w:tcBorders>
              <w:top w:val="single" w:color="auto" w:sz="4" w:space="0"/>
              <w:left w:val="single" w:color="000000" w:sz="4" w:space="0"/>
              <w:bottom w:val="single" w:color="auto" w:sz="4" w:space="0"/>
              <w:right w:val="single" w:color="auto" w:sz="4" w:space="0"/>
            </w:tcBorders>
            <w:noWrap w:val="0"/>
            <w:vAlign w:val="center"/>
          </w:tcPr>
          <w:p w14:paraId="25512EE2"/>
        </w:tc>
        <w:tc>
          <w:tcPr>
            <w:tcW w:w="2462" w:type="pct"/>
            <w:tcBorders>
              <w:top w:val="single" w:color="000000" w:sz="4" w:space="0"/>
              <w:left w:val="single" w:color="auto" w:sz="4" w:space="0"/>
              <w:bottom w:val="single" w:color="000000" w:sz="4" w:space="0"/>
              <w:right w:val="single" w:color="000000" w:sz="4" w:space="0"/>
            </w:tcBorders>
            <w:noWrap w:val="0"/>
            <w:vAlign w:val="center"/>
          </w:tcPr>
          <w:p w14:paraId="7A64BF3B">
            <w:pPr>
              <w:rPr>
                <w:rFonts w:hint="eastAsia" w:ascii="宋体" w:hAnsi="宋体" w:cs="宋体"/>
                <w:bCs/>
                <w:color w:val="000000"/>
                <w:kern w:val="0"/>
                <w:lang w:val="en-US" w:eastAsia="zh-CN"/>
              </w:rPr>
            </w:pPr>
            <w:r>
              <w:rPr>
                <w:rFonts w:hint="eastAsia" w:ascii="宋体" w:hAnsi="宋体" w:cs="宋体"/>
                <w:bCs/>
                <w:color w:val="000000"/>
                <w:kern w:val="0"/>
                <w:lang w:val="en-US" w:eastAsia="zh-CN"/>
              </w:rPr>
              <w:t>7.定期向采购方提交年度工作总结报告，全面汇报本年度服务开展情况、工作成效、存在问题。</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421B5235">
            <w:pPr>
              <w:rPr>
                <w:rFonts w:hint="default"/>
                <w:lang w:val="en-US" w:eastAsia="zh-CN" w:bidi="ar"/>
              </w:rPr>
            </w:pPr>
            <w:r>
              <w:rPr>
                <w:rFonts w:hint="eastAsia"/>
                <w:lang w:val="en-US" w:eastAsia="zh-CN" w:bidi="ar"/>
              </w:rPr>
              <w:t>10</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6AF312D6"/>
        </w:tc>
        <w:tc>
          <w:tcPr>
            <w:tcW w:w="494" w:type="pct"/>
            <w:vMerge w:val="continue"/>
            <w:tcBorders>
              <w:left w:val="single" w:color="000000" w:sz="4" w:space="0"/>
              <w:right w:val="single" w:color="auto" w:sz="4" w:space="0"/>
            </w:tcBorders>
            <w:noWrap w:val="0"/>
            <w:vAlign w:val="center"/>
          </w:tcPr>
          <w:p w14:paraId="3E1270FE"/>
        </w:tc>
      </w:tr>
      <w:tr w14:paraId="025E1296">
        <w:tblPrEx>
          <w:tblCellMar>
            <w:top w:w="0" w:type="dxa"/>
            <w:left w:w="108" w:type="dxa"/>
            <w:bottom w:w="0" w:type="dxa"/>
            <w:right w:w="108" w:type="dxa"/>
          </w:tblCellMar>
        </w:tblPrEx>
        <w:trPr>
          <w:trHeight w:val="1440" w:hRule="atLeast"/>
        </w:trPr>
        <w:tc>
          <w:tcPr>
            <w:tcW w:w="369" w:type="pct"/>
            <w:vMerge w:val="restart"/>
            <w:tcBorders>
              <w:top w:val="single" w:color="auto" w:sz="4" w:space="0"/>
              <w:left w:val="single" w:color="auto" w:sz="4" w:space="0"/>
              <w:bottom w:val="single" w:color="auto" w:sz="4" w:space="0"/>
              <w:right w:val="single" w:color="auto" w:sz="4" w:space="0"/>
            </w:tcBorders>
            <w:noWrap w:val="0"/>
            <w:vAlign w:val="center"/>
          </w:tcPr>
          <w:p w14:paraId="58BFF7B5">
            <w:pPr>
              <w:rPr>
                <w:rFonts w:hint="eastAsia" w:eastAsia="宋体"/>
                <w:lang w:eastAsia="zh-CN" w:bidi="ar"/>
              </w:rPr>
            </w:pPr>
            <w:r>
              <w:rPr>
                <w:rFonts w:hint="eastAsia"/>
                <w:lang w:val="en-US" w:eastAsia="zh-CN" w:bidi="ar"/>
              </w:rPr>
              <w:t>3</w:t>
            </w:r>
          </w:p>
        </w:tc>
        <w:tc>
          <w:tcPr>
            <w:tcW w:w="579" w:type="pct"/>
            <w:vMerge w:val="restart"/>
            <w:tcBorders>
              <w:top w:val="single" w:color="auto" w:sz="4" w:space="0"/>
              <w:left w:val="single" w:color="auto" w:sz="4" w:space="0"/>
              <w:bottom w:val="single" w:color="auto" w:sz="4" w:space="0"/>
              <w:right w:val="single" w:color="auto" w:sz="4" w:space="0"/>
            </w:tcBorders>
            <w:noWrap w:val="0"/>
            <w:vAlign w:val="center"/>
          </w:tcPr>
          <w:p w14:paraId="01AE8AC6">
            <w:pPr>
              <w:rPr>
                <w:lang w:bidi="ar"/>
              </w:rPr>
            </w:pPr>
            <w:r>
              <w:rPr>
                <w:rFonts w:hint="eastAsia"/>
                <w:lang w:bidi="ar"/>
              </w:rPr>
              <w:t>特色服务</w:t>
            </w:r>
          </w:p>
        </w:tc>
        <w:tc>
          <w:tcPr>
            <w:tcW w:w="410" w:type="pct"/>
            <w:vMerge w:val="restart"/>
            <w:tcBorders>
              <w:top w:val="single" w:color="auto" w:sz="4" w:space="0"/>
              <w:left w:val="single" w:color="auto" w:sz="4" w:space="0"/>
              <w:bottom w:val="single" w:color="auto" w:sz="4" w:space="0"/>
              <w:right w:val="single" w:color="auto" w:sz="4" w:space="0"/>
            </w:tcBorders>
            <w:noWrap w:val="0"/>
            <w:vAlign w:val="center"/>
          </w:tcPr>
          <w:p w14:paraId="4A32D357">
            <w:pPr>
              <w:rPr>
                <w:rFonts w:hint="default" w:eastAsia="宋体"/>
                <w:lang w:val="en-US" w:eastAsia="zh-CN" w:bidi="ar"/>
              </w:rPr>
            </w:pPr>
            <w:r>
              <w:rPr>
                <w:rFonts w:hint="eastAsia"/>
                <w:lang w:val="en-US" w:eastAsia="zh-CN" w:bidi="ar"/>
              </w:rPr>
              <w:t>10</w:t>
            </w:r>
          </w:p>
        </w:tc>
        <w:tc>
          <w:tcPr>
            <w:tcW w:w="2462" w:type="pct"/>
            <w:tcBorders>
              <w:top w:val="single" w:color="auto" w:sz="4" w:space="0"/>
              <w:left w:val="single" w:color="auto" w:sz="4" w:space="0"/>
              <w:bottom w:val="single" w:color="auto" w:sz="4" w:space="0"/>
              <w:right w:val="single" w:color="auto" w:sz="4" w:space="0"/>
            </w:tcBorders>
            <w:noWrap w:val="0"/>
            <w:vAlign w:val="center"/>
          </w:tcPr>
          <w:p w14:paraId="497B9BAB">
            <w:pPr>
              <w:rPr>
                <w:rFonts w:hint="default" w:eastAsia="宋体"/>
                <w:lang w:val="en-US" w:eastAsia="zh-CN" w:bidi="ar"/>
              </w:rPr>
            </w:pPr>
            <w:r>
              <w:rPr>
                <w:rFonts w:hint="eastAsia"/>
                <w:lang w:eastAsia="zh-CN" w:bidi="ar"/>
              </w:rPr>
              <w:t>1.</w:t>
            </w:r>
            <w:r>
              <w:rPr>
                <w:rFonts w:hint="eastAsia"/>
                <w:lang w:val="en-US" w:eastAsia="zh-CN" w:bidi="ar"/>
              </w:rPr>
              <w:t>积极配合采购方开展学生公寓六T创建工作，争先创优。</w:t>
            </w:r>
          </w:p>
        </w:tc>
        <w:tc>
          <w:tcPr>
            <w:tcW w:w="343" w:type="pct"/>
            <w:tcBorders>
              <w:top w:val="single" w:color="000000" w:sz="4" w:space="0"/>
              <w:left w:val="single" w:color="auto" w:sz="4" w:space="0"/>
              <w:bottom w:val="single" w:color="000000" w:sz="4" w:space="0"/>
              <w:right w:val="single" w:color="000000" w:sz="4" w:space="0"/>
            </w:tcBorders>
            <w:noWrap w:val="0"/>
            <w:vAlign w:val="center"/>
          </w:tcPr>
          <w:p w14:paraId="7422B207">
            <w:pPr>
              <w:rPr>
                <w:rFonts w:hint="eastAsia" w:eastAsia="宋体"/>
                <w:lang w:eastAsia="zh-CN" w:bidi="ar"/>
              </w:rPr>
            </w:pPr>
            <w:r>
              <w:rPr>
                <w:rFonts w:hint="eastAsia"/>
                <w:lang w:val="en-US" w:eastAsia="zh-CN" w:bidi="ar"/>
              </w:rPr>
              <w:t>6</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1481F64C"/>
        </w:tc>
        <w:tc>
          <w:tcPr>
            <w:tcW w:w="494" w:type="pct"/>
            <w:vMerge w:val="restart"/>
            <w:tcBorders>
              <w:top w:val="single" w:color="000000" w:sz="4" w:space="0"/>
              <w:left w:val="single" w:color="000000" w:sz="4" w:space="0"/>
              <w:right w:val="single" w:color="000000" w:sz="4" w:space="0"/>
            </w:tcBorders>
            <w:noWrap w:val="0"/>
            <w:vAlign w:val="center"/>
          </w:tcPr>
          <w:p w14:paraId="3B6BD59A">
            <w:r>
              <w:rPr>
                <w:rFonts w:hint="eastAsia"/>
              </w:rPr>
              <w:t>完全符合得满分，部分符合相应递减，不符合得0分</w:t>
            </w:r>
          </w:p>
        </w:tc>
      </w:tr>
      <w:tr w14:paraId="27F7235C">
        <w:tblPrEx>
          <w:tblCellMar>
            <w:top w:w="0" w:type="dxa"/>
            <w:left w:w="108" w:type="dxa"/>
            <w:bottom w:w="0" w:type="dxa"/>
            <w:right w:w="108" w:type="dxa"/>
          </w:tblCellMar>
        </w:tblPrEx>
        <w:trPr>
          <w:trHeight w:val="1390" w:hRule="atLeast"/>
        </w:trPr>
        <w:tc>
          <w:tcPr>
            <w:tcW w:w="369" w:type="pct"/>
            <w:vMerge w:val="continue"/>
            <w:tcBorders>
              <w:top w:val="single" w:color="auto" w:sz="4" w:space="0"/>
              <w:left w:val="single" w:color="auto" w:sz="4" w:space="0"/>
              <w:bottom w:val="single" w:color="auto" w:sz="4" w:space="0"/>
              <w:right w:val="single" w:color="000000" w:sz="4" w:space="0"/>
            </w:tcBorders>
            <w:noWrap w:val="0"/>
            <w:vAlign w:val="center"/>
          </w:tcPr>
          <w:p w14:paraId="76EC97BE">
            <w:pPr>
              <w:rPr>
                <w:lang w:bidi="ar"/>
              </w:rPr>
            </w:pPr>
          </w:p>
        </w:tc>
        <w:tc>
          <w:tcPr>
            <w:tcW w:w="579" w:type="pct"/>
            <w:vMerge w:val="continue"/>
            <w:tcBorders>
              <w:top w:val="single" w:color="auto" w:sz="4" w:space="0"/>
              <w:left w:val="single" w:color="000000" w:sz="4" w:space="0"/>
              <w:bottom w:val="single" w:color="auto" w:sz="4" w:space="0"/>
              <w:right w:val="single" w:color="000000" w:sz="4" w:space="0"/>
            </w:tcBorders>
            <w:noWrap w:val="0"/>
            <w:vAlign w:val="center"/>
          </w:tcPr>
          <w:p w14:paraId="1D00041B">
            <w:pPr>
              <w:rPr>
                <w:lang w:bidi="ar"/>
              </w:rPr>
            </w:pPr>
          </w:p>
        </w:tc>
        <w:tc>
          <w:tcPr>
            <w:tcW w:w="410" w:type="pct"/>
            <w:vMerge w:val="continue"/>
            <w:tcBorders>
              <w:top w:val="single" w:color="auto" w:sz="4" w:space="0"/>
              <w:left w:val="single" w:color="000000" w:sz="4" w:space="0"/>
              <w:bottom w:val="single" w:color="auto" w:sz="4" w:space="0"/>
              <w:right w:val="single" w:color="000000" w:sz="4" w:space="0"/>
            </w:tcBorders>
            <w:noWrap w:val="0"/>
            <w:vAlign w:val="center"/>
          </w:tcPr>
          <w:p w14:paraId="4D89E24E">
            <w:pPr>
              <w:rPr>
                <w:lang w:bidi="ar"/>
              </w:rPr>
            </w:pPr>
          </w:p>
        </w:tc>
        <w:tc>
          <w:tcPr>
            <w:tcW w:w="2462" w:type="pct"/>
            <w:tcBorders>
              <w:top w:val="single" w:color="auto" w:sz="4" w:space="0"/>
              <w:left w:val="single" w:color="000000" w:sz="4" w:space="0"/>
              <w:bottom w:val="single" w:color="000000" w:sz="4" w:space="0"/>
              <w:right w:val="single" w:color="000000" w:sz="4" w:space="0"/>
            </w:tcBorders>
            <w:noWrap w:val="0"/>
            <w:vAlign w:val="center"/>
          </w:tcPr>
          <w:p w14:paraId="1F6338B9">
            <w:r>
              <w:rPr>
                <w:rFonts w:hint="eastAsia"/>
                <w:lang w:eastAsia="zh-CN"/>
              </w:rPr>
              <w:t>2.</w:t>
            </w:r>
            <w:r>
              <w:rPr>
                <w:rFonts w:hint="eastAsia"/>
                <w:lang w:val="en-US" w:eastAsia="zh-CN"/>
              </w:rPr>
              <w:t>积极配合采购方一站式学生社区管理工作，做好相关材料收集及宣传工作</w:t>
            </w:r>
            <w:r>
              <w:rPr>
                <w:rFonts w:hint="eastAsia"/>
              </w:rPr>
              <w:t>。</w:t>
            </w:r>
          </w:p>
        </w:tc>
        <w:tc>
          <w:tcPr>
            <w:tcW w:w="343" w:type="pct"/>
            <w:tcBorders>
              <w:top w:val="single" w:color="000000" w:sz="4" w:space="0"/>
              <w:left w:val="single" w:color="000000" w:sz="4" w:space="0"/>
              <w:bottom w:val="single" w:color="000000" w:sz="4" w:space="0"/>
              <w:right w:val="single" w:color="000000" w:sz="4" w:space="0"/>
            </w:tcBorders>
            <w:noWrap w:val="0"/>
            <w:vAlign w:val="center"/>
          </w:tcPr>
          <w:p w14:paraId="1C33CF72">
            <w:pPr>
              <w:rPr>
                <w:rFonts w:hint="eastAsia" w:eastAsia="宋体"/>
                <w:lang w:eastAsia="zh-CN" w:bidi="ar"/>
              </w:rPr>
            </w:pPr>
            <w:r>
              <w:rPr>
                <w:rFonts w:hint="eastAsia"/>
                <w:lang w:val="en-US" w:eastAsia="zh-CN" w:bidi="ar"/>
              </w:rPr>
              <w:t>4</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2871D4C6"/>
        </w:tc>
        <w:tc>
          <w:tcPr>
            <w:tcW w:w="494" w:type="pct"/>
            <w:vMerge w:val="continue"/>
            <w:tcBorders>
              <w:left w:val="single" w:color="000000" w:sz="4" w:space="0"/>
              <w:bottom w:val="single" w:color="000000" w:sz="4" w:space="0"/>
              <w:right w:val="single" w:color="000000" w:sz="4" w:space="0"/>
            </w:tcBorders>
            <w:noWrap w:val="0"/>
            <w:vAlign w:val="center"/>
          </w:tcPr>
          <w:p w14:paraId="2CB72263"/>
        </w:tc>
      </w:tr>
      <w:tr w14:paraId="63F8292C">
        <w:tblPrEx>
          <w:tblCellMar>
            <w:top w:w="0" w:type="dxa"/>
            <w:left w:w="108" w:type="dxa"/>
            <w:bottom w:w="0" w:type="dxa"/>
            <w:right w:w="108" w:type="dxa"/>
          </w:tblCellMar>
        </w:tblPrEx>
        <w:trPr>
          <w:trHeight w:val="316" w:hRule="atLeast"/>
        </w:trPr>
        <w:tc>
          <w:tcPr>
            <w:tcW w:w="369" w:type="pct"/>
            <w:tcBorders>
              <w:top w:val="single" w:color="000000" w:sz="4" w:space="0"/>
              <w:left w:val="single" w:color="000000" w:sz="4" w:space="0"/>
              <w:bottom w:val="single" w:color="000000" w:sz="4" w:space="0"/>
              <w:right w:val="single" w:color="000000" w:sz="4" w:space="0"/>
            </w:tcBorders>
            <w:noWrap w:val="0"/>
            <w:vAlign w:val="center"/>
          </w:tcPr>
          <w:p w14:paraId="3E8AEF98">
            <w:pPr>
              <w:rPr>
                <w:rFonts w:hint="eastAsia" w:eastAsia="宋体"/>
                <w:lang w:eastAsia="zh-CN"/>
              </w:rPr>
            </w:pPr>
            <w:r>
              <w:rPr>
                <w:rFonts w:hint="eastAsia"/>
                <w:lang w:val="en-US" w:eastAsia="zh-CN" w:bidi="ar"/>
              </w:rPr>
              <w:t>4</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0AA57624">
            <w:r>
              <w:rPr>
                <w:rFonts w:hint="eastAsia"/>
                <w:lang w:bidi="ar"/>
              </w:rPr>
              <w:t>标准分</w:t>
            </w:r>
          </w:p>
        </w:tc>
        <w:tc>
          <w:tcPr>
            <w:tcW w:w="3216" w:type="pct"/>
            <w:gridSpan w:val="3"/>
            <w:tcBorders>
              <w:top w:val="single" w:color="000000" w:sz="4" w:space="0"/>
              <w:left w:val="single" w:color="000000" w:sz="4" w:space="0"/>
              <w:bottom w:val="single" w:color="000000" w:sz="4" w:space="0"/>
              <w:right w:val="single" w:color="000000" w:sz="4" w:space="0"/>
            </w:tcBorders>
            <w:noWrap w:val="0"/>
            <w:vAlign w:val="center"/>
          </w:tcPr>
          <w:p w14:paraId="16689430">
            <w:r>
              <w:rPr>
                <w:lang w:bidi="ar"/>
              </w:rPr>
              <w:t>100分</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05949E2B"/>
        </w:tc>
        <w:tc>
          <w:tcPr>
            <w:tcW w:w="494" w:type="pct"/>
            <w:tcBorders>
              <w:top w:val="single" w:color="000000" w:sz="4" w:space="0"/>
              <w:left w:val="single" w:color="000000" w:sz="4" w:space="0"/>
              <w:bottom w:val="single" w:color="000000" w:sz="4" w:space="0"/>
              <w:right w:val="single" w:color="000000" w:sz="4" w:space="0"/>
            </w:tcBorders>
            <w:noWrap w:val="0"/>
            <w:vAlign w:val="center"/>
          </w:tcPr>
          <w:p w14:paraId="5897774A"/>
        </w:tc>
      </w:tr>
      <w:tr w14:paraId="012E8B02">
        <w:tblPrEx>
          <w:tblCellMar>
            <w:top w:w="0" w:type="dxa"/>
            <w:left w:w="108" w:type="dxa"/>
            <w:bottom w:w="0" w:type="dxa"/>
            <w:right w:w="108" w:type="dxa"/>
          </w:tblCellMar>
        </w:tblPrEx>
        <w:trPr>
          <w:trHeight w:val="326" w:hRule="atLeast"/>
        </w:trPr>
        <w:tc>
          <w:tcPr>
            <w:tcW w:w="369" w:type="pct"/>
            <w:tcBorders>
              <w:top w:val="single" w:color="000000" w:sz="4" w:space="0"/>
              <w:left w:val="single" w:color="000000" w:sz="4" w:space="0"/>
              <w:bottom w:val="single" w:color="000000" w:sz="4" w:space="0"/>
              <w:right w:val="single" w:color="000000" w:sz="4" w:space="0"/>
            </w:tcBorders>
            <w:noWrap w:val="0"/>
            <w:vAlign w:val="center"/>
          </w:tcPr>
          <w:p w14:paraId="6BD548D6">
            <w:pPr>
              <w:rPr>
                <w:rFonts w:hint="eastAsia" w:eastAsia="宋体"/>
                <w:lang w:eastAsia="zh-CN"/>
              </w:rPr>
            </w:pPr>
            <w:r>
              <w:rPr>
                <w:rFonts w:hint="eastAsia"/>
                <w:lang w:val="en-US" w:eastAsia="zh-CN"/>
              </w:rPr>
              <w:t>5</w:t>
            </w:r>
          </w:p>
        </w:tc>
        <w:tc>
          <w:tcPr>
            <w:tcW w:w="579" w:type="pct"/>
            <w:tcBorders>
              <w:top w:val="single" w:color="000000" w:sz="4" w:space="0"/>
              <w:left w:val="single" w:color="000000" w:sz="4" w:space="0"/>
              <w:bottom w:val="single" w:color="000000" w:sz="4" w:space="0"/>
              <w:right w:val="single" w:color="000000" w:sz="4" w:space="0"/>
            </w:tcBorders>
            <w:noWrap w:val="0"/>
            <w:vAlign w:val="center"/>
          </w:tcPr>
          <w:p w14:paraId="79D014E7">
            <w:r>
              <w:rPr>
                <w:rFonts w:hint="eastAsia"/>
                <w:lang w:bidi="ar"/>
              </w:rPr>
              <w:t>总得分</w:t>
            </w:r>
          </w:p>
        </w:tc>
        <w:tc>
          <w:tcPr>
            <w:tcW w:w="3216" w:type="pct"/>
            <w:gridSpan w:val="3"/>
            <w:tcBorders>
              <w:top w:val="single" w:color="000000" w:sz="4" w:space="0"/>
              <w:left w:val="single" w:color="000000" w:sz="4" w:space="0"/>
              <w:bottom w:val="single" w:color="000000" w:sz="4" w:space="0"/>
              <w:right w:val="single" w:color="000000" w:sz="4" w:space="0"/>
            </w:tcBorders>
            <w:noWrap w:val="0"/>
            <w:vAlign w:val="center"/>
          </w:tcPr>
          <w:p w14:paraId="68E25AFB">
            <w:r>
              <w:rPr>
                <w:rStyle w:val="36"/>
                <w:rFonts w:hint="default"/>
                <w:color w:val="auto"/>
                <w:lang w:bidi="ar"/>
              </w:rPr>
              <w:t>考核实际得分</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14:paraId="51DA1F7F"/>
        </w:tc>
        <w:tc>
          <w:tcPr>
            <w:tcW w:w="494" w:type="pct"/>
            <w:tcBorders>
              <w:top w:val="single" w:color="000000" w:sz="4" w:space="0"/>
              <w:left w:val="single" w:color="000000" w:sz="4" w:space="0"/>
              <w:bottom w:val="single" w:color="000000" w:sz="4" w:space="0"/>
              <w:right w:val="single" w:color="000000" w:sz="4" w:space="0"/>
            </w:tcBorders>
            <w:noWrap/>
            <w:vAlign w:val="center"/>
          </w:tcPr>
          <w:p w14:paraId="3F6EDA91"/>
        </w:tc>
      </w:tr>
    </w:tbl>
    <w:p w14:paraId="28F7588F">
      <w:pPr>
        <w:pStyle w:val="9"/>
        <w:ind w:left="0" w:leftChars="0" w:firstLine="0" w:firstLineChars="0"/>
        <w:rPr>
          <w:rFonts w:hint="eastAsia"/>
          <w:color w:val="auto"/>
        </w:rPr>
      </w:pPr>
    </w:p>
    <w:p w14:paraId="14F35C11">
      <w:pPr>
        <w:rPr>
          <w:color w:val="auto"/>
        </w:rPr>
      </w:pPr>
    </w:p>
    <w:p w14:paraId="00878F72">
      <w:pPr>
        <w:pStyle w:val="25"/>
        <w:numPr>
          <w:ilvl w:val="-1"/>
          <w:numId w:val="0"/>
        </w:numPr>
        <w:autoSpaceDE w:val="0"/>
        <w:autoSpaceDN w:val="0"/>
        <w:adjustRightInd w:val="0"/>
        <w:spacing w:line="360" w:lineRule="auto"/>
        <w:ind w:left="0" w:firstLine="422" w:firstLineChars="200"/>
        <w:rPr>
          <w:rFonts w:hint="eastAsia" w:ascii="宋体" w:hAnsi="宋体" w:eastAsia="宋体"/>
          <w:b/>
          <w:color w:val="auto"/>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方正黑体_GBK">
    <w:panose1 w:val="02000000000000000000"/>
    <w:charset w:val="86"/>
    <w:family w:val="auto"/>
    <w:pitch w:val="default"/>
    <w:sig w:usb0="00000001" w:usb1="08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微软雅黑">
    <w:altName w:val="文泉驿微米黑"/>
    <w:panose1 w:val="020B0503020204020204"/>
    <w:charset w:val="00"/>
    <w:family w:val="auto"/>
    <w:pitch w:val="default"/>
    <w:sig w:usb0="00000000" w:usb1="00000000" w:usb2="00000016" w:usb3="00000000" w:csb0="0004001F" w:csb1="00000000"/>
  </w:font>
  <w:font w:name="文泉驿微米黑">
    <w:panose1 w:val="020B0606030804020204"/>
    <w:charset w:val="86"/>
    <w:family w:val="auto"/>
    <w:pitch w:val="default"/>
    <w:sig w:usb0="E10002EF" w:usb1="6BDFFCFB" w:usb2="00800036" w:usb3="00000000" w:csb0="603E019F" w:csb1="DFD70000"/>
  </w:font>
  <w:font w:name="华文楷体">
    <w:altName w:val="方正楷体_GBK"/>
    <w:panose1 w:val="02010600040101010101"/>
    <w:charset w:val="86"/>
    <w:family w:val="auto"/>
    <w:pitch w:val="default"/>
    <w:sig w:usb0="00000000" w:usb1="00000000" w:usb2="00000016" w:usb3="00000000" w:csb0="6006009F" w:csb1="DFD70000"/>
  </w:font>
  <w:font w:name="方正楷体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BA78CF"/>
    <w:multiLevelType w:val="multilevel"/>
    <w:tmpl w:val="1ABA78C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suff w:val="space"/>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1BB0F155"/>
    <w:multiLevelType w:val="multilevel"/>
    <w:tmpl w:val="1BB0F155"/>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suff w:val="space"/>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56AFD657"/>
    <w:multiLevelType w:val="multilevel"/>
    <w:tmpl w:val="56AFD657"/>
    <w:lvl w:ilvl="0" w:tentative="0">
      <w:start w:val="1"/>
      <w:numFmt w:val="decimal"/>
      <w:lvlText w:val="%1."/>
      <w:lvlJc w:val="left"/>
      <w:pPr>
        <w:ind w:left="425" w:hanging="425"/>
      </w:pPr>
      <w:rPr>
        <w:rFonts w:hint="default"/>
      </w:rPr>
    </w:lvl>
    <w:lvl w:ilvl="1" w:tentative="0">
      <w:start w:val="1"/>
      <w:numFmt w:val="decimal"/>
      <w:suff w:val="space"/>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dlMzJiYTgyNTJkM2E5NzA5NDNiNGU0YmVkYTRiODEifQ=="/>
  </w:docVars>
  <w:rsids>
    <w:rsidRoot w:val="0010468B"/>
    <w:rsid w:val="0007445E"/>
    <w:rsid w:val="000D7E38"/>
    <w:rsid w:val="0010468B"/>
    <w:rsid w:val="00105C6B"/>
    <w:rsid w:val="001B05F6"/>
    <w:rsid w:val="001B2B23"/>
    <w:rsid w:val="001C52C5"/>
    <w:rsid w:val="001E20D9"/>
    <w:rsid w:val="002413F5"/>
    <w:rsid w:val="00276B55"/>
    <w:rsid w:val="002C424F"/>
    <w:rsid w:val="002D4620"/>
    <w:rsid w:val="003012D7"/>
    <w:rsid w:val="00347F47"/>
    <w:rsid w:val="00360287"/>
    <w:rsid w:val="003C27F1"/>
    <w:rsid w:val="003F31D4"/>
    <w:rsid w:val="00455AB0"/>
    <w:rsid w:val="004D4923"/>
    <w:rsid w:val="004E7CFA"/>
    <w:rsid w:val="00500C98"/>
    <w:rsid w:val="00543BEE"/>
    <w:rsid w:val="0056281B"/>
    <w:rsid w:val="005F06F8"/>
    <w:rsid w:val="005F2124"/>
    <w:rsid w:val="00633FF2"/>
    <w:rsid w:val="0068368C"/>
    <w:rsid w:val="006915DA"/>
    <w:rsid w:val="006F4982"/>
    <w:rsid w:val="00784B8C"/>
    <w:rsid w:val="00855E8C"/>
    <w:rsid w:val="008D7672"/>
    <w:rsid w:val="00903F82"/>
    <w:rsid w:val="00925F3E"/>
    <w:rsid w:val="00965EDF"/>
    <w:rsid w:val="00986F73"/>
    <w:rsid w:val="00A10D64"/>
    <w:rsid w:val="00AB436E"/>
    <w:rsid w:val="00AE25CC"/>
    <w:rsid w:val="00AF5386"/>
    <w:rsid w:val="00B44D84"/>
    <w:rsid w:val="00BC168D"/>
    <w:rsid w:val="00C153E0"/>
    <w:rsid w:val="00C3061D"/>
    <w:rsid w:val="00C3789B"/>
    <w:rsid w:val="00C723FE"/>
    <w:rsid w:val="00C90F4A"/>
    <w:rsid w:val="00CC11D1"/>
    <w:rsid w:val="00CC1BA6"/>
    <w:rsid w:val="00CC75F0"/>
    <w:rsid w:val="00D01EC7"/>
    <w:rsid w:val="00D708C4"/>
    <w:rsid w:val="00DC0F27"/>
    <w:rsid w:val="00DF29B4"/>
    <w:rsid w:val="00DF7F2E"/>
    <w:rsid w:val="00E8110C"/>
    <w:rsid w:val="00EB7818"/>
    <w:rsid w:val="00F9782A"/>
    <w:rsid w:val="00FA2575"/>
    <w:rsid w:val="00FE0DF7"/>
    <w:rsid w:val="00FE2B48"/>
    <w:rsid w:val="00FE4958"/>
    <w:rsid w:val="00FF2214"/>
    <w:rsid w:val="00FF6F13"/>
    <w:rsid w:val="04E20E30"/>
    <w:rsid w:val="05E42AD4"/>
    <w:rsid w:val="0817224F"/>
    <w:rsid w:val="083D2FFC"/>
    <w:rsid w:val="0CAB024D"/>
    <w:rsid w:val="0D8D47F9"/>
    <w:rsid w:val="0E9116AB"/>
    <w:rsid w:val="0F014389"/>
    <w:rsid w:val="0F0F718F"/>
    <w:rsid w:val="101C0512"/>
    <w:rsid w:val="141F3E2C"/>
    <w:rsid w:val="14B7657F"/>
    <w:rsid w:val="1690241B"/>
    <w:rsid w:val="16C01AFD"/>
    <w:rsid w:val="16D656B0"/>
    <w:rsid w:val="18263380"/>
    <w:rsid w:val="190A2783"/>
    <w:rsid w:val="19575350"/>
    <w:rsid w:val="1A370FA1"/>
    <w:rsid w:val="1B590390"/>
    <w:rsid w:val="1DE82BED"/>
    <w:rsid w:val="212E5B46"/>
    <w:rsid w:val="21DC19A0"/>
    <w:rsid w:val="224344E2"/>
    <w:rsid w:val="22CD4A2A"/>
    <w:rsid w:val="26F62F37"/>
    <w:rsid w:val="2A14378E"/>
    <w:rsid w:val="2B1240B8"/>
    <w:rsid w:val="2B514BE0"/>
    <w:rsid w:val="2BCC6D8D"/>
    <w:rsid w:val="2EF568E1"/>
    <w:rsid w:val="30F5315F"/>
    <w:rsid w:val="320454C8"/>
    <w:rsid w:val="374220CF"/>
    <w:rsid w:val="37F53227"/>
    <w:rsid w:val="38D458DC"/>
    <w:rsid w:val="39DF6FB1"/>
    <w:rsid w:val="3AF04F93"/>
    <w:rsid w:val="3B9E597B"/>
    <w:rsid w:val="3BEB016C"/>
    <w:rsid w:val="3F1E7BAD"/>
    <w:rsid w:val="3F9B2A3F"/>
    <w:rsid w:val="428E1E1E"/>
    <w:rsid w:val="43727992"/>
    <w:rsid w:val="43A96E14"/>
    <w:rsid w:val="43CA50D8"/>
    <w:rsid w:val="4AC5484B"/>
    <w:rsid w:val="4C4D27DD"/>
    <w:rsid w:val="4E921CB9"/>
    <w:rsid w:val="4F696687"/>
    <w:rsid w:val="507E754A"/>
    <w:rsid w:val="51D3387A"/>
    <w:rsid w:val="541A0E14"/>
    <w:rsid w:val="55077651"/>
    <w:rsid w:val="557822F6"/>
    <w:rsid w:val="582C4211"/>
    <w:rsid w:val="596D0588"/>
    <w:rsid w:val="5C554167"/>
    <w:rsid w:val="5E286752"/>
    <w:rsid w:val="5EF37FDB"/>
    <w:rsid w:val="619D4239"/>
    <w:rsid w:val="623D63EC"/>
    <w:rsid w:val="64085411"/>
    <w:rsid w:val="67ED513F"/>
    <w:rsid w:val="67F50E6D"/>
    <w:rsid w:val="6A312936"/>
    <w:rsid w:val="6C164AAF"/>
    <w:rsid w:val="6E640DC0"/>
    <w:rsid w:val="6F6F9344"/>
    <w:rsid w:val="70074E3A"/>
    <w:rsid w:val="75C8225A"/>
    <w:rsid w:val="79084A14"/>
    <w:rsid w:val="79AE1232"/>
    <w:rsid w:val="7C7D48E2"/>
    <w:rsid w:val="7CE863D0"/>
    <w:rsid w:val="7CED3225"/>
    <w:rsid w:val="7F939FC3"/>
    <w:rsid w:val="7FF7FC83"/>
    <w:rsid w:val="A7CF9236"/>
    <w:rsid w:val="BB8FCB1A"/>
    <w:rsid w:val="CFDF6F84"/>
    <w:rsid w:val="EFEB0FC6"/>
    <w:rsid w:val="EFFFA3F8"/>
    <w:rsid w:val="FEFF1876"/>
    <w:rsid w:val="FFD75FF5"/>
    <w:rsid w:val="FFF72F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31"/>
    <w:qFormat/>
    <w:uiPriority w:val="0"/>
    <w:pPr>
      <w:keepNext/>
      <w:keepLines/>
      <w:spacing w:before="260" w:after="260" w:line="416" w:lineRule="auto"/>
      <w:outlineLvl w:val="1"/>
    </w:pPr>
    <w:rPr>
      <w:rFonts w:ascii="Calibri Light" w:hAnsi="Calibri Light"/>
      <w:b/>
      <w:bCs/>
      <w:sz w:val="32"/>
      <w:szCs w:val="32"/>
    </w:rPr>
  </w:style>
  <w:style w:type="paragraph" w:styleId="4">
    <w:name w:val="heading 4"/>
    <w:basedOn w:val="1"/>
    <w:next w:val="1"/>
    <w:link w:val="19"/>
    <w:qFormat/>
    <w:uiPriority w:val="99"/>
    <w:pPr>
      <w:keepNext/>
      <w:keepLines/>
      <w:spacing w:before="280" w:after="290" w:line="376" w:lineRule="auto"/>
      <w:outlineLvl w:val="3"/>
    </w:pPr>
    <w:rPr>
      <w:rFonts w:ascii="Arial" w:hAnsi="Arial" w:eastAsia="黑体" w:cs="Arial"/>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4"/>
    <w:qFormat/>
    <w:uiPriority w:val="0"/>
    <w:pPr>
      <w:ind w:firstLine="420" w:firstLineChars="200"/>
    </w:pPr>
    <w:rPr>
      <w:szCs w:val="20"/>
    </w:rPr>
  </w:style>
  <w:style w:type="paragraph" w:styleId="6">
    <w:name w:val="annotation text"/>
    <w:basedOn w:val="1"/>
    <w:semiHidden/>
    <w:unhideWhenUsed/>
    <w:qFormat/>
    <w:uiPriority w:val="99"/>
    <w:pPr>
      <w:jc w:val="left"/>
    </w:pPr>
  </w:style>
  <w:style w:type="paragraph" w:styleId="7">
    <w:name w:val="Body Text"/>
    <w:basedOn w:val="1"/>
    <w:link w:val="20"/>
    <w:qFormat/>
    <w:uiPriority w:val="99"/>
    <w:pPr>
      <w:spacing w:after="120"/>
    </w:pPr>
  </w:style>
  <w:style w:type="paragraph" w:styleId="8">
    <w:name w:val="Body Text Indent"/>
    <w:basedOn w:val="1"/>
    <w:link w:val="26"/>
    <w:qFormat/>
    <w:uiPriority w:val="99"/>
    <w:pPr>
      <w:spacing w:after="120"/>
      <w:ind w:left="420" w:leftChars="200"/>
    </w:pPr>
  </w:style>
  <w:style w:type="paragraph" w:styleId="9">
    <w:name w:val="Plain Text"/>
    <w:basedOn w:val="1"/>
    <w:link w:val="22"/>
    <w:qFormat/>
    <w:uiPriority w:val="99"/>
    <w:rPr>
      <w:rFonts w:ascii="宋体" w:hAnsi="Courier New" w:cs="宋体"/>
    </w:rPr>
  </w:style>
  <w:style w:type="paragraph" w:styleId="10">
    <w:name w:val="Date"/>
    <w:basedOn w:val="1"/>
    <w:next w:val="1"/>
    <w:link w:val="21"/>
    <w:qFormat/>
    <w:uiPriority w:val="0"/>
    <w:pPr>
      <w:ind w:left="100" w:leftChars="2500"/>
    </w:pPr>
  </w:style>
  <w:style w:type="paragraph" w:styleId="11">
    <w:name w:val="footer"/>
    <w:basedOn w:val="1"/>
    <w:link w:val="30"/>
    <w:unhideWhenUsed/>
    <w:qFormat/>
    <w:uiPriority w:val="99"/>
    <w:pPr>
      <w:tabs>
        <w:tab w:val="center" w:pos="4153"/>
        <w:tab w:val="right" w:pos="8306"/>
      </w:tabs>
      <w:snapToGrid w:val="0"/>
      <w:jc w:val="left"/>
    </w:pPr>
    <w:rPr>
      <w:sz w:val="18"/>
      <w:szCs w:val="18"/>
    </w:rPr>
  </w:style>
  <w:style w:type="paragraph" w:styleId="12">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qFormat/>
    <w:uiPriority w:val="0"/>
    <w:pPr>
      <w:ind w:left="200" w:hanging="200" w:hangingChars="200"/>
    </w:pPr>
    <w:rPr>
      <w:szCs w:val="24"/>
    </w:rPr>
  </w:style>
  <w:style w:type="paragraph" w:styleId="14">
    <w:name w:val="Normal (Web)"/>
    <w:basedOn w:val="1"/>
    <w:qFormat/>
    <w:uiPriority w:val="99"/>
    <w:pPr>
      <w:spacing w:before="100" w:beforeAutospacing="1" w:after="100" w:afterAutospacing="1"/>
      <w:jc w:val="left"/>
    </w:pPr>
    <w:rPr>
      <w:rFonts w:ascii="Calibri" w:hAnsi="Calibri"/>
      <w:kern w:val="0"/>
      <w:sz w:val="24"/>
      <w:szCs w:val="24"/>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8">
    <w:name w:val="Strong"/>
    <w:basedOn w:val="17"/>
    <w:qFormat/>
    <w:uiPriority w:val="22"/>
    <w:rPr>
      <w:b/>
    </w:rPr>
  </w:style>
  <w:style w:type="character" w:customStyle="1" w:styleId="19">
    <w:name w:val="标题 4 Char"/>
    <w:basedOn w:val="17"/>
    <w:link w:val="4"/>
    <w:qFormat/>
    <w:uiPriority w:val="9"/>
    <w:rPr>
      <w:rFonts w:ascii="Arial" w:hAnsi="Arial" w:eastAsia="黑体" w:cs="Arial"/>
      <w:b/>
      <w:bCs/>
      <w:sz w:val="28"/>
      <w:szCs w:val="28"/>
    </w:rPr>
  </w:style>
  <w:style w:type="character" w:customStyle="1" w:styleId="20">
    <w:name w:val="正文文本 Char"/>
    <w:basedOn w:val="17"/>
    <w:link w:val="7"/>
    <w:qFormat/>
    <w:uiPriority w:val="99"/>
    <w:rPr>
      <w:rFonts w:ascii="Times New Roman" w:hAnsi="Times New Roman" w:eastAsia="宋体" w:cs="Times New Roman"/>
      <w:szCs w:val="21"/>
    </w:rPr>
  </w:style>
  <w:style w:type="character" w:customStyle="1" w:styleId="21">
    <w:name w:val="日期 Char"/>
    <w:basedOn w:val="17"/>
    <w:link w:val="10"/>
    <w:qFormat/>
    <w:uiPriority w:val="0"/>
    <w:rPr>
      <w:rFonts w:ascii="Times New Roman" w:hAnsi="Times New Roman" w:eastAsia="宋体" w:cs="Times New Roman"/>
      <w:szCs w:val="21"/>
    </w:rPr>
  </w:style>
  <w:style w:type="character" w:customStyle="1" w:styleId="22">
    <w:name w:val="纯文本 Char"/>
    <w:basedOn w:val="17"/>
    <w:link w:val="9"/>
    <w:qFormat/>
    <w:uiPriority w:val="99"/>
    <w:rPr>
      <w:rFonts w:ascii="宋体" w:hAnsi="Courier New" w:eastAsia="宋体" w:cs="宋体"/>
      <w:szCs w:val="21"/>
    </w:rPr>
  </w:style>
  <w:style w:type="paragraph" w:customStyle="1" w:styleId="23">
    <w:name w:val="样式1"/>
    <w:basedOn w:val="1"/>
    <w:qFormat/>
    <w:uiPriority w:val="99"/>
    <w:pPr>
      <w:widowControl/>
      <w:spacing w:line="360" w:lineRule="auto"/>
      <w:ind w:firstLine="480" w:firstLineChars="200"/>
    </w:pPr>
    <w:rPr>
      <w:rFonts w:ascii="宋体" w:hAnsi="宋体" w:cs="宋体"/>
      <w:kern w:val="24"/>
      <w:sz w:val="24"/>
      <w:szCs w:val="24"/>
    </w:rPr>
  </w:style>
  <w:style w:type="character" w:customStyle="1" w:styleId="24">
    <w:name w:val="正文缩进 Char"/>
    <w:link w:val="5"/>
    <w:qFormat/>
    <w:uiPriority w:val="0"/>
    <w:rPr>
      <w:rFonts w:ascii="Times New Roman" w:hAnsi="Times New Roman" w:eastAsia="宋体" w:cs="Times New Roman"/>
      <w:szCs w:val="20"/>
    </w:rPr>
  </w:style>
  <w:style w:type="paragraph" w:styleId="25">
    <w:name w:val="List Paragraph"/>
    <w:basedOn w:val="1"/>
    <w:qFormat/>
    <w:uiPriority w:val="34"/>
    <w:pPr>
      <w:ind w:firstLine="420" w:firstLineChars="200"/>
    </w:pPr>
  </w:style>
  <w:style w:type="character" w:customStyle="1" w:styleId="26">
    <w:name w:val="正文文本缩进 Char"/>
    <w:basedOn w:val="17"/>
    <w:link w:val="8"/>
    <w:qFormat/>
    <w:uiPriority w:val="99"/>
    <w:rPr>
      <w:rFonts w:ascii="Times New Roman" w:hAnsi="Times New Roman" w:eastAsia="宋体" w:cs="Times New Roman"/>
      <w:szCs w:val="21"/>
    </w:rPr>
  </w:style>
  <w:style w:type="character" w:customStyle="1" w:styleId="27">
    <w:name w:val="fontstyle01"/>
    <w:basedOn w:val="17"/>
    <w:qFormat/>
    <w:uiPriority w:val="0"/>
    <w:rPr>
      <w:rFonts w:hint="eastAsia" w:ascii="宋体" w:hAnsi="宋体" w:eastAsia="宋体"/>
      <w:color w:val="000000"/>
      <w:sz w:val="22"/>
      <w:szCs w:val="22"/>
    </w:rPr>
  </w:style>
  <w:style w:type="paragraph" w:customStyle="1" w:styleId="28">
    <w:name w:val="列出段落1"/>
    <w:basedOn w:val="1"/>
    <w:qFormat/>
    <w:uiPriority w:val="0"/>
    <w:pPr>
      <w:ind w:firstLine="420" w:firstLineChars="200"/>
    </w:pPr>
    <w:rPr>
      <w:szCs w:val="24"/>
    </w:rPr>
  </w:style>
  <w:style w:type="character" w:customStyle="1" w:styleId="29">
    <w:name w:val="页眉 Char"/>
    <w:basedOn w:val="17"/>
    <w:link w:val="12"/>
    <w:qFormat/>
    <w:uiPriority w:val="99"/>
    <w:rPr>
      <w:rFonts w:ascii="Times New Roman" w:hAnsi="Times New Roman" w:eastAsia="宋体" w:cs="Times New Roman"/>
      <w:sz w:val="18"/>
      <w:szCs w:val="18"/>
    </w:rPr>
  </w:style>
  <w:style w:type="character" w:customStyle="1" w:styleId="30">
    <w:name w:val="页脚 Char"/>
    <w:basedOn w:val="17"/>
    <w:link w:val="11"/>
    <w:qFormat/>
    <w:uiPriority w:val="99"/>
    <w:rPr>
      <w:rFonts w:ascii="Times New Roman" w:hAnsi="Times New Roman" w:eastAsia="宋体" w:cs="Times New Roman"/>
      <w:sz w:val="18"/>
      <w:szCs w:val="18"/>
    </w:rPr>
  </w:style>
  <w:style w:type="character" w:customStyle="1" w:styleId="31">
    <w:name w:val="标题 2 Char"/>
    <w:basedOn w:val="17"/>
    <w:link w:val="3"/>
    <w:qFormat/>
    <w:uiPriority w:val="0"/>
    <w:rPr>
      <w:rFonts w:ascii="Calibri Light" w:hAnsi="Calibri Light" w:eastAsia="宋体" w:cs="Times New Roman"/>
      <w:b/>
      <w:bCs/>
      <w:sz w:val="32"/>
      <w:szCs w:val="32"/>
    </w:rPr>
  </w:style>
  <w:style w:type="paragraph" w:customStyle="1" w:styleId="32">
    <w:name w:val="Char Char Char Char Char Char Char Char Char Char"/>
    <w:basedOn w:val="1"/>
    <w:qFormat/>
    <w:uiPriority w:val="0"/>
    <w:rPr>
      <w:rFonts w:ascii="Tahoma" w:hAnsi="Tahoma" w:cs="仿宋_GB2312"/>
      <w:sz w:val="24"/>
      <w:szCs w:val="20"/>
    </w:rPr>
  </w:style>
  <w:style w:type="paragraph" w:customStyle="1" w:styleId="33">
    <w:name w:val="列出段落2"/>
    <w:basedOn w:val="1"/>
    <w:autoRedefine/>
    <w:qFormat/>
    <w:uiPriority w:val="99"/>
    <w:pPr>
      <w:ind w:firstLine="420" w:firstLineChars="200"/>
    </w:pPr>
    <w:rPr>
      <w:rFonts w:ascii="Times New Roman" w:hAnsi="Times New Roman"/>
    </w:rPr>
  </w:style>
  <w:style w:type="paragraph" w:customStyle="1" w:styleId="34">
    <w:name w:val="21bc9c4b-6a32-43e5-beaa-fd2d792c5735"/>
    <w:basedOn w:val="2"/>
    <w:next w:val="35"/>
    <w:qFormat/>
    <w:uiPriority w:val="0"/>
    <w:pPr>
      <w:adjustRightInd w:val="0"/>
      <w:spacing w:line="288" w:lineRule="auto"/>
      <w:jc w:val="left"/>
    </w:pPr>
    <w:rPr>
      <w:rFonts w:hint="eastAsia" w:ascii="微软雅黑" w:hAnsi="微软雅黑" w:eastAsia="微软雅黑" w:cs="微软雅黑"/>
      <w:color w:val="000000"/>
      <w:sz w:val="32"/>
    </w:rPr>
  </w:style>
  <w:style w:type="paragraph" w:customStyle="1" w:styleId="35">
    <w:name w:val="acbfdd8b-e11b-4d36-88ff-6049b138f862"/>
    <w:basedOn w:val="1"/>
    <w:qFormat/>
    <w:uiPriority w:val="0"/>
    <w:pPr>
      <w:adjustRightInd w:val="0"/>
      <w:spacing w:line="288" w:lineRule="auto"/>
      <w:jc w:val="left"/>
    </w:pPr>
    <w:rPr>
      <w:rFonts w:hint="eastAsia" w:ascii="微软雅黑" w:hAnsi="微软雅黑" w:eastAsia="微软雅黑" w:cs="微软雅黑"/>
      <w:color w:val="000000"/>
      <w:sz w:val="22"/>
    </w:rPr>
  </w:style>
  <w:style w:type="character" w:customStyle="1" w:styleId="36">
    <w:name w:val="font3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eac6bc08-7a05-44d2-88c0-87a9728b15b6</errorID>
      <errorWord xmlns="http://schemas.wps.cn/vas-ai-hub/contract-review">介乎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解除</item>
      </candidateList>
      <explain xmlns="http://schemas.wps.cn/vas-ai-hub/contract-review"/>
      <paraID xmlns="http://schemas.wps.cn/vas-ai-hub/contract-review">57286046</paraID>
      <start xmlns="http://schemas.wps.cn/vas-ai-hub/contract-review">130</start>
      <end xmlns="http://schemas.wps.cn/vas-ai-hub/contract-review">132</end>
      <status xmlns="http://schemas.wps.cn/vas-ai-hub/contract-review">modified</status>
      <modifiedWord xmlns="http://schemas.wps.cn/vas-ai-hub/contract-review">解除</modifiedWord>
      <trackRevisions xmlns="http://schemas.wps.cn/vas-ai-hub/contract-review">true</trackRevisions>
    </reviewItem>
    <reviewItem xmlns="http://schemas.wps.cn/vas-ai-hub/contract-review">
      <errorID xmlns="http://schemas.wps.cn/vas-ai-hub/contract-review">7a4872e9-7097-46a4-9725-a4f513a7de72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33833192</paraID>
      <start xmlns="http://schemas.wps.cn/vas-ai-hub/contract-review">42</start>
      <end xmlns="http://schemas.wps.cn/vas-ai-hub/contract-review">43</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a8d15643-240c-4b98-8b1b-642affdf4706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33833192</paraID>
      <start xmlns="http://schemas.wps.cn/vas-ai-hub/contract-review">96</start>
      <end xmlns="http://schemas.wps.cn/vas-ai-hub/contract-review">97</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eebdd3ad-7035-4545-879d-3c9d378bb987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33833192</paraID>
      <start xmlns="http://schemas.wps.cn/vas-ai-hub/contract-review">186</start>
      <end xmlns="http://schemas.wps.cn/vas-ai-hub/contract-review">187</end>
      <status xmlns="http://schemas.wps.cn/vas-ai-hub/contract-review">modified</status>
      <modifiedWord xmlns="http://schemas.wps.cn/vas-ai-hub/contract-review">:</modifiedWord>
      <trackRevisions xmlns="http://schemas.wps.cn/vas-ai-hub/contract-review">true</trackRevisions>
    </reviewItem>
    <reviewItem xmlns="http://schemas.wps.cn/vas-ai-hub/contract-review">
      <errorID xmlns="http://schemas.wps.cn/vas-ai-hub/contract-review">a20c3c33-03e6-4702-8281-9e1f74bae31d</errorID>
      <errorWord xmlns="http://schemas.wps.cn/vas-ai-hub/contract-review">归发</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规范</item>
      </candidateList>
      <explain xmlns="http://schemas.wps.cn/vas-ai-hub/contract-review">❶〈名〉约定俗成或明文规定的标准：语音～｜道德～。❷〈形〉合乎规范：这个词的用法不～。❸〈动〉使合乎规范：用新的社会道德来～人们的行为。</explain>
      <paraID xmlns="http://schemas.wps.cn/vas-ai-hub/contract-review">6EE58B1F</paraID>
      <start xmlns="http://schemas.wps.cn/vas-ai-hub/contract-review">103</start>
      <end xmlns="http://schemas.wps.cn/vas-ai-hub/contract-review">105</end>
      <status xmlns="http://schemas.wps.cn/vas-ai-hub/contract-review">modified</status>
      <modifiedWord xmlns="http://schemas.wps.cn/vas-ai-hub/contract-review">规范</modifiedWord>
      <trackRevisions xmlns="http://schemas.wps.cn/vas-ai-hub/contract-review">true</trackRevisions>
    </reviewItem>
    <reviewItem xmlns="http://schemas.wps.cn/vas-ai-hub/contract-review">
      <errorID xmlns="http://schemas.wps.cn/vas-ai-hub/contract-review">3d17cfd5-6a55-4d01-9c98-7e8bdfa39d73</errorID>
      <errorWord xmlns="http://schemas.wps.cn/vas-ai-hub/contract-review">接触</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解除</item>
      </candidateList>
      <explain xmlns="http://schemas.wps.cn/vas-ai-hub/contract-review"/>
      <paraID xmlns="http://schemas.wps.cn/vas-ai-hub/contract-review">5BE20FD3</paraID>
      <start xmlns="http://schemas.wps.cn/vas-ai-hub/contract-review">171</start>
      <end xmlns="http://schemas.wps.cn/vas-ai-hub/contract-review">173</end>
      <status xmlns="http://schemas.wps.cn/vas-ai-hub/contract-review">modified</status>
      <modifiedWord xmlns="http://schemas.wps.cn/vas-ai-hub/contract-review">解除</modifiedWord>
      <trackRevisions xmlns="http://schemas.wps.cn/vas-ai-hub/contract-review">true</trackRevisions>
    </reviewItem>
  </reviewItems>
  <config xmlns="http://schemas.wps.cn/vas-ai-hub/contract-review"/>
</contractReview>
</file>

<file path=customXml/itemProps1.xml><?xml version="1.0" encoding="utf-8"?>
<ds:datastoreItem xmlns:ds="http://schemas.openxmlformats.org/officeDocument/2006/customXml" ds:itemID="{bd758d79-9e14-42f3-8a99-a7c965459864}">
  <ds:schemaRefs/>
</ds:datastoreItem>
</file>

<file path=docProps/app.xml><?xml version="1.0" encoding="utf-8"?>
<Properties xmlns="http://schemas.openxmlformats.org/officeDocument/2006/extended-properties" xmlns:vt="http://schemas.openxmlformats.org/officeDocument/2006/docPropsVTypes">
  <Pages>8</Pages>
  <Words>6129</Words>
  <Characters>6252</Characters>
  <Lines>6</Lines>
  <Paragraphs>1</Paragraphs>
  <TotalTime>0</TotalTime>
  <ScaleCrop>false</ScaleCrop>
  <LinksUpToDate>false</LinksUpToDate>
  <CharactersWithSpaces>6282</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2025-01-12T10:43:00Z</dcterms:created>
  <dc:creator>sgd</dc:creator>
  <cp:lastModifiedBy>user</cp:lastModifiedBy>
  <dcterms:modified xsi:type="dcterms:W3CDTF">2026-03-10T15:22:16Z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B979A8CD301B677A667CAF69749DAE59_43</vt:lpwstr>
  </property>
  <property fmtid="{D5CDD505-2E9C-101B-9397-08002B2CF9AE}" pid="4" name="KSOTemplateDocerSaveRecord">
    <vt:lpwstr>eyJoZGlkIjoiN2JlMWM1NTQ2YmNkZjNjMmFhOGYzMjM3OWVmNmQwM2MiLCJ1c2VySWQiOiIxNjU1MDc5NDQwIn0=</vt:lpwstr>
  </property>
</Properties>
</file>