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AECDB">
      <w:pPr>
        <w:spacing w:line="600" w:lineRule="exact"/>
        <w:jc w:val="center"/>
        <w:rPr>
          <w:rFonts w:hint="eastAsia" w:ascii="宋体" w:hAnsi="宋体" w:eastAsia="宋体" w:cs="宋体"/>
          <w:b/>
          <w:color w:val="auto"/>
        </w:rPr>
      </w:pPr>
      <w:r>
        <w:rPr>
          <w:rFonts w:hint="eastAsia" w:ascii="宋体" w:hAnsi="宋体" w:eastAsia="宋体" w:cs="宋体"/>
          <w:b/>
          <w:color w:val="auto"/>
          <w:sz w:val="44"/>
          <w:szCs w:val="44"/>
        </w:rPr>
        <w:t>采购需求</w:t>
      </w:r>
    </w:p>
    <w:p w14:paraId="755AECDC">
      <w:pPr>
        <w:spacing w:after="0" w:line="360" w:lineRule="auto"/>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一、项目基本情况</w:t>
      </w:r>
    </w:p>
    <w:p w14:paraId="755AECDD">
      <w:pPr>
        <w:spacing w:after="0" w:line="360" w:lineRule="auto"/>
        <w:ind w:firstLine="640" w:firstLineChars="200"/>
        <w:contextualSpacing/>
        <w:jc w:val="left"/>
        <w:rPr>
          <w:rFonts w:hint="eastAsia" w:ascii="仿宋_GB2312" w:hAnsi="黑体" w:eastAsia="仿宋_GB2312" w:cs="黑体"/>
          <w:bCs/>
          <w:color w:val="auto"/>
          <w:sz w:val="32"/>
          <w:szCs w:val="32"/>
        </w:rPr>
      </w:pPr>
      <w:r>
        <w:rPr>
          <w:rFonts w:hint="eastAsia" w:ascii="仿宋_GB2312" w:hAnsi="黑体" w:eastAsia="仿宋_GB2312" w:cs="黑体"/>
          <w:bCs/>
          <w:color w:val="auto"/>
          <w:sz w:val="32"/>
          <w:szCs w:val="32"/>
        </w:rPr>
        <w:t>1、项目概况</w:t>
      </w:r>
    </w:p>
    <w:p w14:paraId="755AECDE">
      <w:pPr>
        <w:spacing w:after="0" w:line="360" w:lineRule="auto"/>
        <w:ind w:firstLine="640" w:firstLineChars="200"/>
        <w:contextualSpacing/>
        <w:jc w:val="left"/>
        <w:rPr>
          <w:rFonts w:hint="eastAsia" w:ascii="仿宋_GB2312" w:hAnsi="黑体" w:eastAsia="仿宋_GB2312" w:cs="黑体"/>
          <w:bCs/>
          <w:color w:val="auto"/>
          <w:sz w:val="32"/>
          <w:szCs w:val="32"/>
        </w:rPr>
      </w:pPr>
      <w:r>
        <w:rPr>
          <w:rFonts w:hint="eastAsia" w:ascii="仿宋_GB2312" w:hAnsi="黑体" w:eastAsia="仿宋_GB2312" w:cs="黑体"/>
          <w:bCs/>
          <w:color w:val="auto"/>
          <w:sz w:val="32"/>
          <w:szCs w:val="32"/>
        </w:rPr>
        <w:t>项目名称：上海经贸展台搭建服务项目</w:t>
      </w:r>
    </w:p>
    <w:p w14:paraId="755AECDF">
      <w:pPr>
        <w:spacing w:after="0" w:line="360" w:lineRule="auto"/>
        <w:ind w:firstLine="640" w:firstLineChars="200"/>
        <w:rPr>
          <w:rFonts w:hint="eastAsia" w:ascii="仿宋_GB2312" w:hAnsi="宋体" w:eastAsia="仿宋_GB2312" w:cs="宋体"/>
          <w:color w:val="auto"/>
          <w:sz w:val="32"/>
          <w:szCs w:val="32"/>
        </w:rPr>
      </w:pPr>
      <w:r>
        <w:rPr>
          <w:rFonts w:hint="eastAsia" w:ascii="仿宋_GB2312" w:hAnsi="仿宋_GB2312" w:eastAsia="仿宋_GB2312" w:cs="仿宋_GB2312"/>
          <w:color w:val="auto"/>
          <w:sz w:val="32"/>
          <w:szCs w:val="32"/>
        </w:rPr>
        <w:t>项目内容：2026年，上海市人民政府合作交流办公室组团参加西安等3个兄弟省市举办的经贸展会。</w:t>
      </w:r>
      <w:r>
        <w:rPr>
          <w:rFonts w:hint="eastAsia" w:ascii="仿宋_GB2312" w:hAnsi="宋体" w:eastAsia="仿宋_GB2312" w:cs="宋体"/>
          <w:color w:val="auto"/>
          <w:sz w:val="32"/>
          <w:szCs w:val="32"/>
        </w:rPr>
        <w:t>展台预计500平方米/个（以</w:t>
      </w:r>
      <w:r>
        <w:rPr>
          <w:rFonts w:ascii="仿宋_GB2312" w:hAnsi="黑体" w:eastAsia="仿宋_GB2312" w:cs="黑体"/>
          <w:bCs/>
          <w:color w:val="auto"/>
          <w:sz w:val="32"/>
          <w:szCs w:val="32"/>
        </w:rPr>
        <w:t>组委会</w:t>
      </w:r>
      <w:r>
        <w:rPr>
          <w:rFonts w:hint="eastAsia" w:ascii="仿宋_GB2312" w:hAnsi="宋体" w:eastAsia="仿宋_GB2312" w:cs="宋体"/>
          <w:color w:val="auto"/>
          <w:sz w:val="32"/>
          <w:szCs w:val="32"/>
        </w:rPr>
        <w:t>实际图纸面积为准），以整体特装展台的形象出展，要求供应商提供展台设计、展台施工制作搭建、展商现场布展支持、展前展后仓储运输等全流程服务。其中，针对每场展会活动需提出个性化的整体设计方案，并提供配套的搭建服务，设计和制作上需充分考虑展区的整体外观形象，主体结构的安全性和环保性等方面。</w:t>
      </w:r>
    </w:p>
    <w:tbl>
      <w:tblPr>
        <w:tblStyle w:val="9"/>
        <w:tblW w:w="929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3"/>
        <w:gridCol w:w="5581"/>
        <w:gridCol w:w="1726"/>
        <w:gridCol w:w="1037"/>
      </w:tblGrid>
      <w:tr w14:paraId="755AE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4" w:hRule="atLeast"/>
          <w:jc w:val="center"/>
        </w:trPr>
        <w:tc>
          <w:tcPr>
            <w:tcW w:w="953" w:type="dxa"/>
            <w:noWrap/>
            <w:vAlign w:val="center"/>
          </w:tcPr>
          <w:p w14:paraId="755AECE0">
            <w:pPr>
              <w:widowControl/>
              <w:spacing w:after="0" w:line="360" w:lineRule="auto"/>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序号</w:t>
            </w:r>
          </w:p>
        </w:tc>
        <w:tc>
          <w:tcPr>
            <w:tcW w:w="5581" w:type="dxa"/>
            <w:noWrap/>
            <w:vAlign w:val="center"/>
          </w:tcPr>
          <w:p w14:paraId="755AECE1">
            <w:pPr>
              <w:widowControl/>
              <w:spacing w:after="0" w:line="360" w:lineRule="auto"/>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展会名称</w:t>
            </w:r>
          </w:p>
        </w:tc>
        <w:tc>
          <w:tcPr>
            <w:tcW w:w="1726" w:type="dxa"/>
            <w:noWrap/>
            <w:vAlign w:val="center"/>
          </w:tcPr>
          <w:p w14:paraId="755AECE2">
            <w:pPr>
              <w:widowControl/>
              <w:spacing w:after="0" w:line="360" w:lineRule="auto"/>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时间</w:t>
            </w:r>
          </w:p>
        </w:tc>
        <w:tc>
          <w:tcPr>
            <w:tcW w:w="1037" w:type="dxa"/>
            <w:noWrap/>
            <w:vAlign w:val="center"/>
          </w:tcPr>
          <w:p w14:paraId="755AECE3">
            <w:pPr>
              <w:widowControl/>
              <w:spacing w:after="0" w:line="360" w:lineRule="auto"/>
              <w:jc w:val="center"/>
              <w:rPr>
                <w:rFonts w:hint="eastAsia"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地点</w:t>
            </w:r>
          </w:p>
        </w:tc>
      </w:tr>
      <w:tr w14:paraId="755AE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953" w:type="dxa"/>
            <w:noWrap/>
            <w:vAlign w:val="center"/>
          </w:tcPr>
          <w:p w14:paraId="755AECEA">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5581" w:type="dxa"/>
            <w:vAlign w:val="center"/>
          </w:tcPr>
          <w:p w14:paraId="755AECEB">
            <w:pPr>
              <w:widowControl/>
              <w:spacing w:after="0" w:line="360" w:lineRule="auto"/>
              <w:jc w:val="center"/>
              <w:rPr>
                <w:rFonts w:hint="eastAsia" w:ascii="仿宋_GB2312" w:hAnsi="仿宋_GB2312" w:eastAsia="仿宋_GB2312" w:cs="仿宋_GB2312"/>
                <w:color w:val="auto"/>
                <w:kern w:val="0"/>
                <w:sz w:val="28"/>
                <w:szCs w:val="28"/>
                <w:highlight w:val="darkGreen"/>
              </w:rPr>
            </w:pPr>
            <w:bookmarkStart w:id="0" w:name="OLE_LINK179"/>
            <w:bookmarkStart w:id="1" w:name="OLE_LINK178"/>
            <w:r>
              <w:rPr>
                <w:rFonts w:hint="eastAsia" w:ascii="仿宋_GB2312" w:hAnsi="仿宋_GB2312" w:eastAsia="仿宋_GB2312" w:cs="仿宋_GB2312"/>
                <w:color w:val="auto"/>
                <w:kern w:val="0"/>
                <w:sz w:val="28"/>
                <w:szCs w:val="28"/>
              </w:rPr>
              <w:t>第十届丝绸之路国际博览会暨中国东西部合作与投资贸易洽谈会</w:t>
            </w:r>
            <w:bookmarkEnd w:id="0"/>
            <w:bookmarkEnd w:id="1"/>
          </w:p>
        </w:tc>
        <w:tc>
          <w:tcPr>
            <w:tcW w:w="1726" w:type="dxa"/>
            <w:noWrap/>
            <w:vAlign w:val="center"/>
          </w:tcPr>
          <w:p w14:paraId="755AECEC">
            <w:pPr>
              <w:widowControl/>
              <w:spacing w:after="0"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5.21-5.25</w:t>
            </w:r>
          </w:p>
        </w:tc>
        <w:tc>
          <w:tcPr>
            <w:tcW w:w="1037" w:type="dxa"/>
            <w:noWrap/>
            <w:vAlign w:val="center"/>
          </w:tcPr>
          <w:p w14:paraId="755AECED">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西安</w:t>
            </w:r>
          </w:p>
        </w:tc>
      </w:tr>
      <w:tr w14:paraId="755AEC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953" w:type="dxa"/>
            <w:noWrap/>
            <w:vAlign w:val="center"/>
          </w:tcPr>
          <w:p w14:paraId="755AECF4">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p>
        </w:tc>
        <w:tc>
          <w:tcPr>
            <w:tcW w:w="5581" w:type="dxa"/>
            <w:vAlign w:val="center"/>
          </w:tcPr>
          <w:p w14:paraId="755AECF5">
            <w:pPr>
              <w:widowControl/>
              <w:spacing w:after="0" w:line="360" w:lineRule="auto"/>
              <w:jc w:val="center"/>
              <w:rPr>
                <w:rFonts w:hint="eastAsia" w:ascii="仿宋_GB2312" w:hAnsi="仿宋_GB2312" w:eastAsia="仿宋_GB2312" w:cs="仿宋_GB2312"/>
                <w:color w:val="auto"/>
                <w:kern w:val="0"/>
                <w:sz w:val="28"/>
                <w:szCs w:val="28"/>
                <w:highlight w:val="darkGreen"/>
              </w:rPr>
            </w:pPr>
            <w:r>
              <w:rPr>
                <w:rFonts w:hint="eastAsia" w:ascii="仿宋_GB2312" w:hAnsi="仿宋_GB2312" w:eastAsia="仿宋_GB2312" w:cs="仿宋_GB2312"/>
                <w:color w:val="auto"/>
                <w:kern w:val="0"/>
                <w:sz w:val="28"/>
                <w:szCs w:val="28"/>
              </w:rPr>
              <w:t>第三十二届中国兰州投资贸易洽谈会</w:t>
            </w:r>
          </w:p>
        </w:tc>
        <w:tc>
          <w:tcPr>
            <w:tcW w:w="1726" w:type="dxa"/>
            <w:noWrap/>
            <w:vAlign w:val="center"/>
          </w:tcPr>
          <w:p w14:paraId="755AECF6">
            <w:pPr>
              <w:widowControl/>
              <w:spacing w:after="0"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7.9-7.13</w:t>
            </w:r>
          </w:p>
        </w:tc>
        <w:tc>
          <w:tcPr>
            <w:tcW w:w="1037" w:type="dxa"/>
            <w:noWrap/>
            <w:vAlign w:val="center"/>
          </w:tcPr>
          <w:p w14:paraId="755AECF7">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兰州</w:t>
            </w:r>
          </w:p>
        </w:tc>
      </w:tr>
      <w:tr w14:paraId="755AE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2" w:hRule="atLeast"/>
          <w:jc w:val="center"/>
        </w:trPr>
        <w:tc>
          <w:tcPr>
            <w:tcW w:w="953" w:type="dxa"/>
            <w:noWrap/>
            <w:vAlign w:val="center"/>
          </w:tcPr>
          <w:p w14:paraId="755AED03">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w:t>
            </w:r>
          </w:p>
        </w:tc>
        <w:tc>
          <w:tcPr>
            <w:tcW w:w="5581" w:type="dxa"/>
            <w:vAlign w:val="center"/>
          </w:tcPr>
          <w:p w14:paraId="755AED04">
            <w:pPr>
              <w:widowControl/>
              <w:spacing w:after="0" w:line="360" w:lineRule="auto"/>
              <w:jc w:val="center"/>
              <w:rPr>
                <w:rFonts w:hint="eastAsia" w:ascii="仿宋_GB2312" w:hAnsi="仿宋_GB2312" w:eastAsia="仿宋_GB2312" w:cs="仿宋_GB2312"/>
                <w:color w:val="auto"/>
                <w:kern w:val="0"/>
                <w:sz w:val="28"/>
                <w:szCs w:val="28"/>
                <w:highlight w:val="darkGreen"/>
              </w:rPr>
            </w:pPr>
            <w:r>
              <w:rPr>
                <w:rFonts w:hint="eastAsia" w:ascii="仿宋_GB2312" w:hAnsi="仿宋_GB2312" w:eastAsia="仿宋_GB2312" w:cs="仿宋_GB2312"/>
                <w:color w:val="auto"/>
                <w:kern w:val="0"/>
                <w:sz w:val="28"/>
                <w:szCs w:val="28"/>
              </w:rPr>
              <w:t>第十四届中国中部投资贸易博览会（</w:t>
            </w:r>
            <w:r>
              <w:rPr>
                <w:rFonts w:ascii="仿宋_GB2312" w:hAnsi="仿宋_GB2312" w:eastAsia="仿宋_GB2312" w:cs="仿宋_GB2312"/>
                <w:color w:val="auto"/>
                <w:kern w:val="0"/>
                <w:sz w:val="28"/>
                <w:szCs w:val="28"/>
              </w:rPr>
              <w:t>或第十六届中国河南国际投资贸易</w:t>
            </w:r>
            <w:r>
              <w:rPr>
                <w:rFonts w:hint="eastAsia" w:ascii="仿宋_GB2312" w:hAnsi="仿宋_GB2312" w:eastAsia="仿宋_GB2312" w:cs="仿宋_GB2312"/>
                <w:color w:val="auto"/>
                <w:kern w:val="0"/>
                <w:sz w:val="28"/>
                <w:szCs w:val="28"/>
              </w:rPr>
              <w:t>洽谈会)</w:t>
            </w:r>
          </w:p>
        </w:tc>
        <w:tc>
          <w:tcPr>
            <w:tcW w:w="1726" w:type="dxa"/>
            <w:noWrap/>
            <w:vAlign w:val="center"/>
          </w:tcPr>
          <w:p w14:paraId="755AED05">
            <w:pPr>
              <w:widowControl/>
              <w:spacing w:after="0"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11.16-11.18</w:t>
            </w:r>
          </w:p>
        </w:tc>
        <w:tc>
          <w:tcPr>
            <w:tcW w:w="1037" w:type="dxa"/>
            <w:noWrap/>
            <w:vAlign w:val="center"/>
          </w:tcPr>
          <w:p w14:paraId="755AED06">
            <w:pPr>
              <w:widowControl/>
              <w:spacing w:after="0" w:line="360" w:lineRule="auto"/>
              <w:jc w:val="cente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郑州</w:t>
            </w:r>
          </w:p>
        </w:tc>
      </w:tr>
    </w:tbl>
    <w:p w14:paraId="755AED08">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备注：以采购方实际参展情况为准。</w:t>
      </w:r>
    </w:p>
    <w:p w14:paraId="755AED09">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每个展会分为项目设计费用，布展费用、现场费用、仓储运输费用和差旅费用。</w:t>
      </w:r>
    </w:p>
    <w:p w14:paraId="755AED10">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rPr>
      </w:pPr>
      <w:r>
        <w:rPr>
          <w:rFonts w:hint="eastAsia" w:ascii="仿宋_GB2312" w:hAnsi="黑体" w:eastAsia="仿宋_GB2312" w:cs="黑体"/>
          <w:b/>
          <w:color w:val="auto"/>
          <w:sz w:val="32"/>
          <w:szCs w:val="32"/>
        </w:rPr>
        <w:t>第十届丝绸之路国际博览会暨中国东西部合作与投资贸易洽谈会</w:t>
      </w:r>
    </w:p>
    <w:p w14:paraId="084FE764">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第十届丝绸之路国际博览会暨中国东西部合作与投资贸易治谈会将于</w:t>
      </w:r>
      <w:r>
        <w:rPr>
          <w:rFonts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rPr>
        <w:t>6</w:t>
      </w:r>
      <w:r>
        <w:rPr>
          <w:rFonts w:ascii="仿宋_GB2312" w:hAnsi="仿宋_GB2312" w:eastAsia="仿宋_GB2312" w:cs="仿宋_GB2312"/>
          <w:color w:val="auto"/>
          <w:sz w:val="32"/>
          <w:szCs w:val="32"/>
        </w:rPr>
        <w:t>年5月21日至25日在西安国际会展中心举办。</w:t>
      </w:r>
      <w:r>
        <w:rPr>
          <w:rFonts w:hint="eastAsia" w:ascii="仿宋_GB2312" w:hAnsi="仿宋_GB2312" w:eastAsia="仿宋_GB2312" w:cs="仿宋_GB2312"/>
          <w:color w:val="auto"/>
          <w:sz w:val="32"/>
          <w:szCs w:val="32"/>
        </w:rPr>
        <w:t>本次展会以“丝路融通 开放合作”为主题，主要涉及东西部合作、投资贸易、科技创新、新能源、新材料等领域。</w:t>
      </w:r>
    </w:p>
    <w:p w14:paraId="755AED12">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上海经贸展区布展面积为500平方米，将集中展示约 20 家企业及相关展品，涵盖智能制造、绿色环保、新材料、生物科技等重点产业领域。目前已初步邀请上海海洋大学、仪电集团、健麾信息技术、氦豚机器人、iRIC 机器人联创中心、宝怡环境等单位参展，展品主要包括智能药箱、人形机器人、咖啡机器人、仿生鱼、藻类分析仪等专业设备。</w:t>
      </w:r>
    </w:p>
    <w:p w14:paraId="755AED16">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rPr>
      </w:pPr>
      <w:r>
        <w:rPr>
          <w:rFonts w:hint="eastAsia" w:ascii="仿宋_GB2312" w:hAnsi="黑体" w:eastAsia="仿宋_GB2312" w:cs="黑体"/>
          <w:b/>
          <w:color w:val="auto"/>
          <w:sz w:val="32"/>
          <w:szCs w:val="32"/>
        </w:rPr>
        <w:t>第三十二届中国兰州投资贸易洽谈会</w:t>
      </w:r>
    </w:p>
    <w:p w14:paraId="1A9E9480">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第三十二届中国兰州投资贸易洽谈会将于2026年7月9日至13日在甘肃国际会展中心举办。本次展会以“共享机遇、共谋发展、共创繁荣”</w:t>
      </w:r>
      <w:r>
        <w:rPr>
          <w:rFonts w:ascii="Courier New" w:hAnsi="Courier New" w:eastAsia="仿宋_GB2312" w:cs="Courier New"/>
          <w:color w:val="auto"/>
          <w:sz w:val="32"/>
          <w:szCs w:val="32"/>
        </w:rPr>
        <w:t>‌</w:t>
      </w:r>
      <w:r>
        <w:rPr>
          <w:rFonts w:hint="eastAsia" w:ascii="仿宋_GB2312" w:hAnsi="仿宋_GB2312" w:eastAsia="仿宋_GB2312" w:cs="仿宋_GB2312"/>
          <w:color w:val="auto"/>
          <w:sz w:val="32"/>
          <w:szCs w:val="32"/>
        </w:rPr>
        <w:t>为主题，主要涉及新能源、新材料、现代农业等领域。</w:t>
      </w:r>
    </w:p>
    <w:p w14:paraId="755AED18">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海经贸展台布展面积预计为500平方米（以组委会实际图纸面积为准）。展区将汇聚约20家上海老字号和科技领域代表性企业携展品参展。展区将通过LED大屏、AI、VR等现代技术手段，融合上海传统美食、手工、非遗等现场体验，充分展现海派文化魅力。</w:t>
      </w:r>
    </w:p>
    <w:p w14:paraId="755AED1C">
      <w:pPr>
        <w:pStyle w:val="13"/>
        <w:numPr>
          <w:ilvl w:val="0"/>
          <w:numId w:val="1"/>
        </w:numPr>
        <w:spacing w:after="0" w:line="360" w:lineRule="auto"/>
        <w:ind w:left="420" w:firstLineChars="0"/>
        <w:contextualSpacing/>
        <w:jc w:val="left"/>
        <w:rPr>
          <w:rFonts w:hint="eastAsia" w:ascii="仿宋_GB2312" w:hAnsi="黑体" w:eastAsia="仿宋_GB2312" w:cs="黑体"/>
          <w:b/>
          <w:color w:val="auto"/>
          <w:sz w:val="32"/>
          <w:szCs w:val="32"/>
        </w:rPr>
      </w:pPr>
      <w:r>
        <w:rPr>
          <w:rFonts w:hint="eastAsia" w:ascii="仿宋_GB2312" w:hAnsi="黑体" w:eastAsia="仿宋_GB2312" w:cs="黑体"/>
          <w:b/>
          <w:color w:val="auto"/>
          <w:sz w:val="32"/>
          <w:szCs w:val="32"/>
        </w:rPr>
        <w:t>第十四届中国中部投资贸易博览会（</w:t>
      </w:r>
      <w:r>
        <w:rPr>
          <w:rFonts w:ascii="仿宋_GB2312" w:hAnsi="黑体" w:eastAsia="仿宋_GB2312" w:cs="黑体"/>
          <w:b/>
          <w:color w:val="auto"/>
          <w:sz w:val="32"/>
          <w:szCs w:val="32"/>
        </w:rPr>
        <w:t>或第十六届中国河南国际投资贸易</w:t>
      </w:r>
      <w:r>
        <w:rPr>
          <w:rFonts w:hint="eastAsia" w:ascii="仿宋_GB2312" w:hAnsi="黑体" w:eastAsia="仿宋_GB2312" w:cs="黑体"/>
          <w:b/>
          <w:color w:val="auto"/>
          <w:sz w:val="32"/>
          <w:szCs w:val="32"/>
        </w:rPr>
        <w:t>洽谈会)</w:t>
      </w:r>
    </w:p>
    <w:p w14:paraId="755AED1F">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第十四届中国中部投资贸易博览会</w:t>
      </w:r>
      <w:r>
        <w:rPr>
          <w:rFonts w:hint="eastAsia" w:ascii="仿宋_GB2312" w:hAnsi="仿宋_GB2312" w:eastAsia="仿宋_GB2312" w:cs="仿宋_GB2312"/>
          <w:color w:val="auto"/>
          <w:sz w:val="32"/>
          <w:szCs w:val="32"/>
        </w:rPr>
        <w:t>（第十六届中国河南国际投资贸易洽谈会)预计将于2026年11月16日至18日在郑州国际会展中心</w:t>
      </w:r>
      <w:r>
        <w:rPr>
          <w:rFonts w:ascii="Courier New" w:hAnsi="Courier New" w:eastAsia="仿宋_GB2312" w:cs="Courier New"/>
          <w:color w:val="auto"/>
          <w:sz w:val="32"/>
          <w:szCs w:val="32"/>
        </w:rPr>
        <w:t>‌</w:t>
      </w:r>
      <w:r>
        <w:rPr>
          <w:rFonts w:hint="eastAsia" w:ascii="仿宋_GB2312" w:hAnsi="仿宋_GB2312" w:eastAsia="仿宋_GB2312" w:cs="仿宋_GB2312"/>
          <w:color w:val="auto"/>
          <w:sz w:val="32"/>
          <w:szCs w:val="32"/>
        </w:rPr>
        <w:t>举办。本次展会以“开放合作共赢、中原更加出彩”为主题，主要涉及高端制造</w:t>
      </w:r>
      <w:r>
        <w:rPr>
          <w:rFonts w:ascii="Courier New" w:hAnsi="Courier New" w:eastAsia="仿宋_GB2312" w:cs="Courier New"/>
          <w:color w:val="auto"/>
          <w:sz w:val="32"/>
          <w:szCs w:val="32"/>
        </w:rPr>
        <w:t>‌</w:t>
      </w:r>
      <w:r>
        <w:rPr>
          <w:rFonts w:hint="eastAsia" w:ascii="仿宋_GB2312" w:hAnsi="仿宋_GB2312" w:eastAsia="仿宋_GB2312" w:cs="仿宋_GB2312"/>
          <w:color w:val="auto"/>
          <w:sz w:val="32"/>
          <w:szCs w:val="32"/>
        </w:rPr>
        <w:t>、新能源与绿色低碳、生物医药与大健康等领域。</w:t>
      </w:r>
    </w:p>
    <w:p w14:paraId="569E3E4C">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上海经贸展台布展面积预计为500平方米（以组委会实际图纸面积为准），展区将汇聚约20家来自智能制造、人工智能、新能源、新材料等先进产业领域企业和展品。主要展品有机器人、新能源汽车、专业设备等。</w:t>
      </w:r>
    </w:p>
    <w:p w14:paraId="755AED20">
      <w:pPr>
        <w:spacing w:after="0" w:line="360" w:lineRule="auto"/>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w:t>
      </w:r>
      <w:r>
        <w:rPr>
          <w:rFonts w:hint="eastAsia" w:ascii="黑体" w:hAnsi="黑体" w:eastAsia="黑体" w:cs="黑体"/>
          <w:color w:val="auto"/>
          <w:sz w:val="32"/>
          <w:szCs w:val="32"/>
          <w:lang w:eastAsia="zh-CN"/>
        </w:rPr>
        <w:t>供应商</w:t>
      </w:r>
      <w:r>
        <w:rPr>
          <w:rFonts w:hint="eastAsia" w:ascii="黑体" w:hAnsi="黑体" w:eastAsia="黑体" w:cs="黑体"/>
          <w:color w:val="auto"/>
          <w:sz w:val="32"/>
          <w:szCs w:val="32"/>
        </w:rPr>
        <w:t>要求</w:t>
      </w:r>
    </w:p>
    <w:p w14:paraId="755AED21">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具有展览承办经验及较强的策略规划制定、创意设计、展会执行等能力，有异地参展参会项目的经验；具备在项目活动期间适应高强度工作节奏的能力，并对项目执行过程中的各种困难，具有充分预计和解决问题的经验能力；内部管理规范，具有良好的信誉，无重大违法、违规、失信行为；</w:t>
      </w:r>
    </w:p>
    <w:p w14:paraId="755AED22">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2.展会现场如有特定工种施工时，施工人员需持相关部门颁发的合法有效证件上岗作业。</w:t>
      </w:r>
    </w:p>
    <w:p w14:paraId="755AED24">
      <w:pPr>
        <w:spacing w:after="0" w:line="360" w:lineRule="auto"/>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三、交付状态</w:t>
      </w:r>
    </w:p>
    <w:p w14:paraId="755AED25">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单个展会开幕前，采购人现场进行实地验收；所有</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个项目完成后，</w:t>
      </w:r>
      <w:r>
        <w:rPr>
          <w:rFonts w:hint="eastAsia" w:ascii="仿宋_GB2312" w:hAnsi="仿宋_GB2312" w:eastAsia="仿宋_GB2312" w:cs="仿宋_GB2312"/>
          <w:color w:val="auto"/>
          <w:sz w:val="32"/>
          <w:szCs w:val="32"/>
          <w:lang w:eastAsia="zh-CN"/>
        </w:rPr>
        <w:t>供应商</w:t>
      </w:r>
      <w:r>
        <w:rPr>
          <w:rFonts w:hint="eastAsia" w:ascii="仿宋_GB2312" w:hAnsi="仿宋_GB2312" w:eastAsia="仿宋_GB2312" w:cs="仿宋_GB2312"/>
          <w:color w:val="auto"/>
          <w:sz w:val="32"/>
          <w:szCs w:val="32"/>
        </w:rPr>
        <w:t>及时报送项目实施总结评估报告，由采购人组织最终验收。</w:t>
      </w:r>
    </w:p>
    <w:p w14:paraId="755AED28">
      <w:pPr>
        <w:spacing w:after="0" w:line="360" w:lineRule="auto"/>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四、需求概述</w:t>
      </w:r>
    </w:p>
    <w:p w14:paraId="755AED29">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（一）指导思想与设计原则</w:t>
      </w:r>
    </w:p>
    <w:p w14:paraId="755AED2A">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1、指导思想：上海市人民政府合作交流办公室计划组织上海企业组团参加国内区域性经贸展会，</w:t>
      </w:r>
      <w:r>
        <w:rPr>
          <w:rFonts w:hint="eastAsia" w:ascii="仿宋_GB2312" w:hAnsi="仿宋_GB2312" w:eastAsia="仿宋_GB2312" w:cs="仿宋_GB2312"/>
          <w:color w:val="auto"/>
          <w:sz w:val="32"/>
          <w:szCs w:val="32"/>
          <w:lang w:eastAsia="zh-CN"/>
        </w:rPr>
        <w:t>供应商</w:t>
      </w:r>
      <w:r>
        <w:rPr>
          <w:rFonts w:ascii="仿宋_GB2312" w:hAnsi="仿宋_GB2312" w:eastAsia="仿宋_GB2312" w:cs="仿宋_GB2312"/>
          <w:color w:val="auto"/>
          <w:sz w:val="32"/>
          <w:szCs w:val="32"/>
        </w:rPr>
        <w:t>需根据每场展会的地域特色、主题要求及场馆规范，提出相应的设计思路、表现形式及展区布局和整体设计，展现上海的城市形象和发展理念的同时把上海的合作交流、对口支援、区域合作成果成效融入到每个展览项目的设计制作中去。</w:t>
      </w:r>
    </w:p>
    <w:p w14:paraId="755AED2B">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2、设计原则：每场展会活动需提出完整的设计及施工搭建方案并提供全流程搭建管理服务，尤其在造型和制作工艺上需充分考虑展区的外观形象性及整体性，主体结构的安全性和环保性等方面。设计应采取展品与形象表达并重的原则，以创新的思维和现代设计理念及艺术展示手法，实现学术性、知识性、艺术性、趣味性和互动性的有机结合，能呈现展区主题特色和重点亮点。具体如下：</w:t>
      </w:r>
    </w:p>
    <w:p w14:paraId="755AED2C">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（1）布局巧妙，空间合理。紧扣内容，精心布局，内容、形式、空间相辅相成，高效引导参展观众注意力。</w:t>
      </w:r>
    </w:p>
    <w:p w14:paraId="755AED2D">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（2）参观动线有序，完整顺畅。参观动线设计考虑全面，重点展品展项尽量布置在主通道区域。</w:t>
      </w:r>
    </w:p>
    <w:p w14:paraId="755AED2E">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（3）运用图文、视频、多媒体等形式丰富多样的展陈形式，使展区形态鲜活生动富有艺术张力，充分体现参与性、互动性、体验性。</w:t>
      </w:r>
    </w:p>
    <w:p w14:paraId="755AED2F">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（4）生态节能，绿色环保。使用材料在满足展馆标准的同时，追求生态节能，打造绿色展馆。</w:t>
      </w:r>
    </w:p>
    <w:p w14:paraId="755AED30">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（二）展示总体要求</w:t>
      </w:r>
    </w:p>
    <w:p w14:paraId="755AED31">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单个项目的展台预计500平方米/个，限高5米（以</w:t>
      </w:r>
      <w:r>
        <w:rPr>
          <w:rFonts w:ascii="仿宋_GB2312" w:hAnsi="仿宋_GB2312" w:eastAsia="仿宋_GB2312" w:cs="仿宋_GB2312"/>
          <w:color w:val="auto"/>
          <w:sz w:val="32"/>
          <w:szCs w:val="32"/>
        </w:rPr>
        <w:t>组委会</w:t>
      </w:r>
      <w:r>
        <w:rPr>
          <w:rFonts w:hint="eastAsia" w:ascii="仿宋_GB2312" w:hAnsi="仿宋_GB2312" w:eastAsia="仿宋_GB2312" w:cs="仿宋_GB2312"/>
          <w:color w:val="auto"/>
          <w:sz w:val="32"/>
          <w:szCs w:val="32"/>
        </w:rPr>
        <w:t>实际图纸面积为准）。以上海展区的整体特装形象展示。</w:t>
      </w:r>
    </w:p>
    <w:p w14:paraId="755AED32">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展示内容：</w:t>
      </w:r>
    </w:p>
    <w:p w14:paraId="755AED33">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（1）展品主要为实物、展板、多媒体等。成交供应商根据采购人所提供的素材，设计整体布局、参观动线、完整展区和单体方案。</w:t>
      </w:r>
    </w:p>
    <w:p w14:paraId="755AED34">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（2）在图片、实物、置景等传统展示手段的基础上，充分运用现代展示手段，融入上海元素，各类展品安排合理有序、错落有致。</w:t>
      </w:r>
    </w:p>
    <w:p w14:paraId="755AED35">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（3）设计方面，色彩搭配把握上要简约、明亮、协调。设计方案须符合上海社会主义现代化国际大都市的形象特质。</w:t>
      </w:r>
    </w:p>
    <w:p w14:paraId="755AED36">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（4）搭建方面，首先要考虑结构安全性，其次要满足所有参展企业的展示要求。</w:t>
      </w:r>
    </w:p>
    <w:p w14:paraId="755AED38">
      <w:pPr>
        <w:spacing w:after="0" w:line="360" w:lineRule="auto"/>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五、服务范围及需求</w:t>
      </w:r>
    </w:p>
    <w:p w14:paraId="755AED39">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包括但不限于展会信息及相关事宜对接；展台布局、人流动线、展台3</w:t>
      </w:r>
      <w:r>
        <w:rPr>
          <w:rFonts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rPr>
        <w:t>效果、平面展示等的设计制作工作；展台主体搭建结构、图文美工制作；展会现场布展施工搭建及撤展拆除工作；展会相关展品的收集、运输、管理、布置及归还工作。</w:t>
      </w:r>
    </w:p>
    <w:p w14:paraId="755AED3A">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（一）展品</w:t>
      </w:r>
      <w:r>
        <w:rPr>
          <w:rFonts w:ascii="楷体_GB2312" w:hAnsi="楷体_GB2312" w:eastAsia="楷体_GB2312" w:cs="楷体_GB2312"/>
          <w:b/>
          <w:bCs/>
          <w:color w:val="auto"/>
          <w:sz w:val="32"/>
          <w:szCs w:val="32"/>
        </w:rPr>
        <w:t>信息</w:t>
      </w:r>
      <w:r>
        <w:rPr>
          <w:rFonts w:hint="eastAsia" w:ascii="楷体_GB2312" w:hAnsi="楷体_GB2312" w:eastAsia="楷体_GB2312" w:cs="楷体_GB2312"/>
          <w:b/>
          <w:bCs/>
          <w:color w:val="auto"/>
          <w:sz w:val="32"/>
          <w:szCs w:val="32"/>
        </w:rPr>
        <w:t>对接</w:t>
      </w:r>
    </w:p>
    <w:p w14:paraId="755AED3B">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1.负责与各场次展会主办方、主场搭建商、主场运输商等相关展会单位就各场展会的举办时间、地点、展位信息等情况进行预先信息对接、报馆等工作。</w:t>
      </w:r>
    </w:p>
    <w:p w14:paraId="755AED3C">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配合通知并协调展会各相关单位及展商，收集并审核参展商相关资料。</w:t>
      </w:r>
    </w:p>
    <w:p w14:paraId="755AED3D">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（二）整体方案设计</w:t>
      </w:r>
    </w:p>
    <w:p w14:paraId="755AED3E">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1.配合采购人组织对接参展企业，协调沟通展示需求，了解展示重点，针对性完善整体展示方案；</w:t>
      </w:r>
    </w:p>
    <w:p w14:paraId="755AED3F">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2.根据各场次展会情况负责展团展台的整体布局规划，合理设计展台的展项规划及人员参观动线设计</w:t>
      </w:r>
      <w:r>
        <w:rPr>
          <w:rFonts w:ascii="仿宋_GB2312" w:hAnsi="仿宋_GB2312" w:eastAsia="仿宋_GB2312" w:cs="仿宋_GB2312"/>
          <w:color w:val="auto"/>
          <w:sz w:val="32"/>
          <w:szCs w:val="32"/>
        </w:rPr>
        <w:t>；</w:t>
      </w:r>
    </w:p>
    <w:p w14:paraId="755AED40">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3.负责统筹所有设计图纸，包括但不限于展台3D渲染效果图、场地平面布置图、流线图、展商展台单体设计图、根据设计需要补充说明的效果图等；</w:t>
      </w:r>
    </w:p>
    <w:p w14:paraId="755AED41">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4.整体设计策划要求富有创造感，整体造型感强，视觉效果美观大方，能综合体现上海国际化大都市城市形象；</w:t>
      </w:r>
    </w:p>
    <w:p w14:paraId="755AED42">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5、设计需充分考虑展区布局、人流疏导、互动参与、安全环保、管理维护等要求，让设计方案更加直观地展现出来，完成设计并通过采购人审核。</w:t>
      </w:r>
    </w:p>
    <w:p w14:paraId="755AED43">
      <w:pPr>
        <w:spacing w:after="0" w:line="360" w:lineRule="auto"/>
        <w:ind w:firstLine="643" w:firstLineChars="200"/>
        <w:jc w:val="left"/>
        <w:rPr>
          <w:rFonts w:hint="eastAsia" w:ascii="楷体_GB2312" w:hAnsi="楷体_GB2312" w:eastAsia="楷体_GB2312" w:cs="楷体_GB2312"/>
          <w:b/>
          <w:bCs/>
          <w:color w:val="auto"/>
          <w:sz w:val="32"/>
          <w:szCs w:val="32"/>
        </w:rPr>
      </w:pPr>
      <w:bookmarkStart w:id="2" w:name="OLE_LINK9"/>
      <w:bookmarkStart w:id="3" w:name="OLE_LINK8"/>
      <w:r>
        <w:rPr>
          <w:rFonts w:hint="eastAsia" w:ascii="楷体_GB2312" w:hAnsi="楷体_GB2312" w:eastAsia="楷体_GB2312" w:cs="楷体_GB2312"/>
          <w:b/>
          <w:bCs/>
          <w:color w:val="auto"/>
          <w:sz w:val="32"/>
          <w:szCs w:val="32"/>
        </w:rPr>
        <w:t>（三）物料制作</w:t>
      </w:r>
    </w:p>
    <w:p w14:paraId="755AED44">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严格按照采购人审定的设计方案，按时完成展台的主体结构、美工物料的制作工作，把控展区制作工艺，在传统物料制作过程中充分开发并运用绿色环保、安全可靠的布展材料。结合展品特性，在设计、用材、制作等方面有所创新，材料质量合格，绿色环保，不在使用过程中出现破损、断裂等情况；</w:t>
      </w:r>
    </w:p>
    <w:p w14:paraId="755AED45">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所有搭建内容的形象设计应符合本项目定位并满足展商、观众及工作人员的实际使用需求。如有舞台需含有阻燃地毯、LED屏幕、支撑LED屏幕主体结构、演讲台、讲台前写真、舞台底部区域板材下辅助材料等。相关配套设备包括但不限于LED屏幕、切换台、媒体播放系统、电脑、监视器、视频处理分配系统、翻页器等。LED屏幕需提供高质量播放效果，活动彩排及举办期间全屏无坏点出现</w:t>
      </w:r>
      <w:r>
        <w:rPr>
          <w:rFonts w:hint="eastAsia" w:ascii="仿宋_GB2312" w:hAnsi="仿宋_GB2312" w:eastAsia="仿宋_GB2312" w:cs="仿宋_GB2312"/>
          <w:color w:val="auto"/>
          <w:sz w:val="32"/>
          <w:szCs w:val="32"/>
          <w:lang w:eastAsia="zh-CN"/>
        </w:rPr>
        <w:t>，相关配套设备需按租赁价投报</w:t>
      </w:r>
      <w:r>
        <w:rPr>
          <w:rFonts w:hint="eastAsia" w:ascii="仿宋_GB2312" w:hAnsi="仿宋_GB2312" w:eastAsia="仿宋_GB2312" w:cs="仿宋_GB2312"/>
          <w:color w:val="auto"/>
          <w:sz w:val="32"/>
          <w:szCs w:val="32"/>
        </w:rPr>
        <w:t>；</w:t>
      </w:r>
    </w:p>
    <w:p w14:paraId="755AED46">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为确保展台制作的高质量和稳定性，所有材料的材质、尺寸、性能等指标必须符合或优于报价单中列出的标准，确保其在实际使用中能够满足需求。在材料选择过程中，应优先考虑符合国际或国内相关行业标准的材料，并确保其具备环保性和安全性。所有材料需确保无瑕疵、无缺陷，并在施工过程中按照规范进行安装和固定，避免因材料质量问题或施工不当导致的安全隐患或功能缺失。</w:t>
      </w:r>
    </w:p>
    <w:bookmarkEnd w:id="2"/>
    <w:bookmarkEnd w:id="3"/>
    <w:p w14:paraId="755AED47">
      <w:pPr>
        <w:spacing w:after="0" w:line="360" w:lineRule="auto"/>
        <w:ind w:firstLine="643" w:firstLineChars="200"/>
        <w:jc w:val="left"/>
        <w:rPr>
          <w:rFonts w:hint="eastAsia" w:ascii="楷体_GB2312" w:hAnsi="楷体_GB2312" w:eastAsia="楷体_GB2312" w:cs="楷体_GB2312"/>
          <w:b/>
          <w:bCs/>
          <w:color w:val="auto"/>
          <w:sz w:val="32"/>
          <w:szCs w:val="32"/>
        </w:rPr>
      </w:pPr>
      <w:bookmarkStart w:id="4" w:name="OLE_LINK11"/>
      <w:bookmarkStart w:id="5" w:name="OLE_LINK10"/>
      <w:r>
        <w:rPr>
          <w:rFonts w:hint="eastAsia" w:ascii="楷体_GB2312" w:hAnsi="楷体_GB2312" w:eastAsia="楷体_GB2312" w:cs="楷体_GB2312"/>
          <w:b/>
          <w:bCs/>
          <w:color w:val="auto"/>
          <w:sz w:val="32"/>
          <w:szCs w:val="32"/>
        </w:rPr>
        <w:t>（四）布展搭建及撤展</w:t>
      </w:r>
    </w:p>
    <w:p w14:paraId="755AED48">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.严格遵守各展馆的材料和施工要求等方面的规定，办理水电气等展台所需的场馆设施及展台进场施工的一切手续；</w:t>
      </w:r>
    </w:p>
    <w:p w14:paraId="755AED49">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2.接受并积极配合采购人及采购人委派的专业第三方机构的监督与管理单位；</w:t>
      </w:r>
    </w:p>
    <w:p w14:paraId="755AED4A">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3.负责统筹现场展览施工搭建，在展会指定时间段内</w:t>
      </w:r>
      <w:r>
        <w:rPr>
          <w:rFonts w:ascii="仿宋_GB2312" w:hAnsi="仿宋_GB2312" w:eastAsia="仿宋_GB2312" w:cs="仿宋_GB2312"/>
          <w:color w:val="auto"/>
          <w:sz w:val="32"/>
          <w:szCs w:val="32"/>
        </w:rPr>
        <w:t>安全</w:t>
      </w:r>
      <w:r>
        <w:rPr>
          <w:rFonts w:hint="eastAsia" w:ascii="仿宋_GB2312" w:hAnsi="仿宋_GB2312" w:eastAsia="仿宋_GB2312" w:cs="仿宋_GB2312"/>
          <w:color w:val="auto"/>
          <w:sz w:val="32"/>
          <w:szCs w:val="32"/>
        </w:rPr>
        <w:t>完成所有展区展位的搭建，要求结构牢固，安全环保，并负责现场安装和调试等全部工作；</w:t>
      </w:r>
    </w:p>
    <w:p w14:paraId="755AED4B">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4.展会结束后在展会指定时间内，安全完成展品撤展、展台拆除等相关工作</w:t>
      </w:r>
      <w:r>
        <w:rPr>
          <w:rFonts w:hint="eastAsia" w:ascii="仿宋_GB2312" w:hAnsi="仿宋_GB2312" w:eastAsia="仿宋_GB2312" w:cs="仿宋_GB2312"/>
          <w:color w:val="auto"/>
          <w:sz w:val="32"/>
          <w:szCs w:val="32"/>
        </w:rPr>
        <w:t>；</w:t>
      </w:r>
    </w:p>
    <w:p w14:paraId="755AED4C">
      <w:pPr>
        <w:spacing w:after="0" w:line="360" w:lineRule="auto"/>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人员要求：布展期</w:t>
      </w:r>
      <w:r>
        <w:rPr>
          <w:rFonts w:ascii="仿宋_GB2312" w:hAnsi="仿宋_GB2312" w:eastAsia="仿宋_GB2312" w:cs="仿宋_GB2312"/>
          <w:color w:val="auto"/>
          <w:sz w:val="32"/>
          <w:szCs w:val="32"/>
        </w:rPr>
        <w:t>现场管理人员不得少于3人，</w:t>
      </w:r>
      <w:r>
        <w:rPr>
          <w:rFonts w:hint="eastAsia" w:ascii="仿宋_GB2312" w:hAnsi="仿宋_GB2312" w:eastAsia="仿宋_GB2312" w:cs="仿宋_GB2312"/>
          <w:color w:val="auto"/>
          <w:sz w:val="32"/>
          <w:szCs w:val="32"/>
        </w:rPr>
        <w:t>负责统筹施工进度和安全风险排查，确保搭建工作按计划完成</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开展期现场管理人员及保障人员不得少于</w:t>
      </w:r>
      <w:r>
        <w:rPr>
          <w:rFonts w:ascii="仿宋_GB2312" w:hAnsi="仿宋_GB2312" w:eastAsia="仿宋_GB2312" w:cs="仿宋_GB2312"/>
          <w:color w:val="auto"/>
          <w:sz w:val="32"/>
          <w:szCs w:val="32"/>
        </w:rPr>
        <w:t>5人，负责展台</w:t>
      </w:r>
      <w:r>
        <w:rPr>
          <w:rFonts w:hint="eastAsia" w:ascii="仿宋_GB2312" w:hAnsi="仿宋_GB2312" w:eastAsia="仿宋_GB2312" w:cs="仿宋_GB2312"/>
          <w:color w:val="auto"/>
          <w:sz w:val="32"/>
          <w:szCs w:val="32"/>
        </w:rPr>
        <w:t>技术维护及应急处理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撤展期现场管理人员不得少于</w:t>
      </w:r>
      <w:r>
        <w:rPr>
          <w:rFonts w:ascii="仿宋_GB2312" w:hAnsi="仿宋_GB2312" w:eastAsia="仿宋_GB2312" w:cs="仿宋_GB2312"/>
          <w:color w:val="auto"/>
          <w:sz w:val="32"/>
          <w:szCs w:val="32"/>
        </w:rPr>
        <w:t>2人，</w:t>
      </w:r>
      <w:r>
        <w:rPr>
          <w:rFonts w:hint="eastAsia" w:ascii="仿宋_GB2312" w:hAnsi="仿宋_GB2312" w:eastAsia="仿宋_GB2312" w:cs="仿宋_GB2312"/>
          <w:color w:val="auto"/>
          <w:sz w:val="32"/>
          <w:szCs w:val="32"/>
        </w:rPr>
        <w:t>确保撤展作业顺利完成且场地无遗留物。</w:t>
      </w:r>
    </w:p>
    <w:bookmarkEnd w:id="4"/>
    <w:bookmarkEnd w:id="5"/>
    <w:p w14:paraId="755AED4E">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（五）运输及仓储</w:t>
      </w:r>
    </w:p>
    <w:p w14:paraId="755AED4F">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1.负责展台所需搭建材料和相关安装设备的打包运输及装卸车等；</w:t>
      </w:r>
    </w:p>
    <w:p w14:paraId="755AED50">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2.负责展团相关参展商需要代运的展品至</w:t>
      </w:r>
      <w:r>
        <w:rPr>
          <w:rFonts w:ascii="仿宋_GB2312" w:hAnsi="仿宋_GB2312" w:eastAsia="仿宋_GB2312" w:cs="仿宋_GB2312"/>
          <w:color w:val="auto"/>
          <w:sz w:val="32"/>
          <w:szCs w:val="32"/>
        </w:rPr>
        <w:t>各场次展会</w:t>
      </w:r>
      <w:r>
        <w:rPr>
          <w:rFonts w:hint="eastAsia" w:ascii="仿宋_GB2312" w:hAnsi="仿宋_GB2312" w:eastAsia="仿宋_GB2312" w:cs="仿宋_GB2312"/>
          <w:color w:val="auto"/>
          <w:sz w:val="32"/>
          <w:szCs w:val="32"/>
        </w:rPr>
        <w:t>的往返运输工作（包含打包运输及装卸车等）；对有需要的展品提供特殊接送服务，并确保展品的安全；</w:t>
      </w:r>
    </w:p>
    <w:p w14:paraId="755AED51">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3.制定合理安全的运输管理方案，根据不同展品情况配备专业人员和运输设备等确保展品的及时装卸、顺利搬运；</w:t>
      </w:r>
    </w:p>
    <w:p w14:paraId="755AED52">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4.需在项目举办地有临时储存点，用于展品及设备外包装的临时储存。 </w:t>
      </w:r>
    </w:p>
    <w:p w14:paraId="755AED53">
      <w:pPr>
        <w:spacing w:after="0" w:line="360" w:lineRule="auto"/>
        <w:ind w:firstLine="643" w:firstLineChars="200"/>
        <w:jc w:val="left"/>
        <w:rPr>
          <w:rFonts w:hint="eastAsia" w:ascii="楷体_GB2312" w:hAnsi="楷体_GB2312" w:eastAsia="楷体_GB2312" w:cs="楷体_GB2312"/>
          <w:b/>
          <w:bCs/>
          <w:color w:val="auto"/>
          <w:sz w:val="32"/>
          <w:szCs w:val="32"/>
        </w:rPr>
      </w:pPr>
      <w:r>
        <w:rPr>
          <w:rFonts w:ascii="楷体_GB2312" w:hAnsi="楷体_GB2312" w:eastAsia="楷体_GB2312" w:cs="楷体_GB2312"/>
          <w:b/>
          <w:bCs/>
          <w:color w:val="auto"/>
          <w:sz w:val="32"/>
          <w:szCs w:val="32"/>
        </w:rPr>
        <w:t>（</w:t>
      </w:r>
      <w:r>
        <w:rPr>
          <w:rFonts w:hint="eastAsia" w:ascii="楷体_GB2312" w:hAnsi="楷体_GB2312" w:eastAsia="楷体_GB2312" w:cs="楷体_GB2312"/>
          <w:b/>
          <w:bCs/>
          <w:color w:val="auto"/>
          <w:sz w:val="32"/>
          <w:szCs w:val="32"/>
        </w:rPr>
        <w:t>六</w:t>
      </w:r>
      <w:r>
        <w:rPr>
          <w:rFonts w:ascii="楷体_GB2312" w:hAnsi="楷体_GB2312" w:eastAsia="楷体_GB2312" w:cs="楷体_GB2312"/>
          <w:b/>
          <w:bCs/>
          <w:color w:val="auto"/>
          <w:sz w:val="32"/>
          <w:szCs w:val="32"/>
        </w:rPr>
        <w:t>）展期运营保障</w:t>
      </w:r>
    </w:p>
    <w:p w14:paraId="755AED54">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1.当日展会开展前，安排专职人员每天对展区各项设备进行例行检查，做到及时发现问题并整改到位；</w:t>
      </w:r>
    </w:p>
    <w:p w14:paraId="755AED55">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2.协助采购人妥善完成现场相关单位的接待及引导工作，维护现场秩序；</w:t>
      </w:r>
    </w:p>
    <w:p w14:paraId="755AED56">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3.负责展台现场清洁管理、展示结构、美工物料的维修替换工作；</w:t>
      </w:r>
    </w:p>
    <w:p w14:paraId="755AED57">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4.当日展会结束后，待展商关闭所有展品电源后，安排专职人员关闭展区总电源并做安全检查。</w:t>
      </w:r>
    </w:p>
    <w:p w14:paraId="755AED58">
      <w:pPr>
        <w:spacing w:after="0" w:line="360" w:lineRule="auto"/>
        <w:ind w:firstLine="643" w:firstLineChars="200"/>
        <w:jc w:val="left"/>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（七）其他</w:t>
      </w:r>
    </w:p>
    <w:p w14:paraId="755AED59">
      <w:pPr>
        <w:spacing w:after="0"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应商应确保其按照本合同要求所提交的设计文件、方案及为完成本承包项目而实施的任何工作没有侵犯任何人的著作权、专利权、商标权及其他知识产权。供应商应当保证采购人均不会因其履行合同义务而引起的在专利权、经注册的技术以及其他知识产权方面，发生针对采购人的任何第三方的索赔。 </w:t>
      </w:r>
    </w:p>
    <w:p w14:paraId="20C644F7">
      <w:pPr>
        <w:spacing w:after="0" w:line="360" w:lineRule="auto"/>
        <w:ind w:firstLine="640" w:firstLineChars="200"/>
        <w:rPr>
          <w:rFonts w:hint="eastAsia" w:ascii="仿宋_GB2312" w:hAnsi="仿宋_GB2312" w:eastAsia="仿宋_GB2312" w:cs="仿宋_GB2312"/>
          <w:color w:val="auto"/>
          <w:sz w:val="32"/>
          <w:szCs w:val="32"/>
        </w:rPr>
      </w:pPr>
      <w:bookmarkStart w:id="6" w:name="_GoBack"/>
      <w:bookmarkEnd w:id="6"/>
    </w:p>
    <w:p w14:paraId="7D27EFA7">
      <w:pPr>
        <w:spacing w:after="0" w:line="360" w:lineRule="auto"/>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附：西安丝博会会场平面图</w:t>
      </w:r>
    </w:p>
    <w:p w14:paraId="31C5C198">
      <w:pPr>
        <w:spacing w:after="0" w:line="360" w:lineRule="auto"/>
        <w:ind w:firstLine="0" w:firstLineChars="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drawing>
          <wp:inline distT="0" distB="0" distL="114300" distR="114300">
            <wp:extent cx="5271135" cy="3692525"/>
            <wp:effectExtent l="0" t="0" r="1905" b="10795"/>
            <wp:docPr id="2" name="图片 2" descr="5c162a46e4159ded6f79685d3e0fb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c162a46e4159ded6f79685d3e0fb02"/>
                    <pic:cNvPicPr>
                      <a:picLocks noChangeAspect="1"/>
                    </pic:cNvPicPr>
                  </pic:nvPicPr>
                  <pic:blipFill>
                    <a:blip r:embed="rId7"/>
                    <a:stretch>
                      <a:fillRect/>
                    </a:stretch>
                  </pic:blipFill>
                  <pic:spPr>
                    <a:xfrm>
                      <a:off x="0" y="0"/>
                      <a:ext cx="5271135" cy="3692525"/>
                    </a:xfrm>
                    <a:prstGeom prst="rect">
                      <a:avLst/>
                    </a:prstGeom>
                  </pic:spPr>
                </pic:pic>
              </a:graphicData>
            </a:graphic>
          </wp:inline>
        </w:drawing>
      </w:r>
    </w:p>
    <w:p w14:paraId="755AEEBA">
      <w:pPr>
        <w:spacing w:after="0" w:line="360" w:lineRule="auto"/>
        <w:rPr>
          <w:rFonts w:hint="eastAsia" w:asciiTheme="minorEastAsia" w:hAnsiTheme="minorEastAsia" w:cstheme="minorEastAsia"/>
          <w:b/>
          <w:bCs/>
          <w:color w:val="auto"/>
          <w:sz w:val="28"/>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CESI黑体-GB13000">
    <w:panose1 w:val="02000500000000000000"/>
    <w:charset w:val="86"/>
    <w:family w:val="auto"/>
    <w:pitch w:val="default"/>
    <w:sig w:usb0="800002BF" w:usb1="38CF7CF8"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Noto Sans CJK SC"/>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AEEBF">
    <w:pPr>
      <w:pStyle w:val="7"/>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AEEC2">
                          <w:pPr>
                            <w:pStyle w:val="7"/>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55AEEC2">
                    <w:pPr>
                      <w:pStyle w:val="7"/>
                      <w:rPr>
                        <w:rFonts w:hint="eastAsia"/>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249F1"/>
    <w:multiLevelType w:val="multilevel"/>
    <w:tmpl w:val="57E249F1"/>
    <w:lvl w:ilvl="0" w:tentative="0">
      <w:start w:val="1"/>
      <w:numFmt w:val="bullet"/>
      <w:lvlText w:val=""/>
      <w:lvlJc w:val="left"/>
      <w:pPr>
        <w:ind w:left="1480" w:hanging="420"/>
      </w:pPr>
      <w:rPr>
        <w:rFonts w:hint="default" w:ascii="Wingdings" w:hAnsi="Wingdings"/>
      </w:rPr>
    </w:lvl>
    <w:lvl w:ilvl="1" w:tentative="0">
      <w:start w:val="1"/>
      <w:numFmt w:val="bullet"/>
      <w:lvlText w:val=""/>
      <w:lvlJc w:val="left"/>
      <w:pPr>
        <w:ind w:left="1900" w:hanging="420"/>
      </w:pPr>
      <w:rPr>
        <w:rFonts w:hint="default" w:ascii="Wingdings" w:hAnsi="Wingdings"/>
      </w:rPr>
    </w:lvl>
    <w:lvl w:ilvl="2" w:tentative="0">
      <w:start w:val="1"/>
      <w:numFmt w:val="bullet"/>
      <w:lvlText w:val=""/>
      <w:lvlJc w:val="left"/>
      <w:pPr>
        <w:ind w:left="2320" w:hanging="420"/>
      </w:pPr>
      <w:rPr>
        <w:rFonts w:hint="default" w:ascii="Wingdings" w:hAnsi="Wingdings"/>
      </w:rPr>
    </w:lvl>
    <w:lvl w:ilvl="3" w:tentative="0">
      <w:start w:val="1"/>
      <w:numFmt w:val="bullet"/>
      <w:lvlText w:val=""/>
      <w:lvlJc w:val="left"/>
      <w:pPr>
        <w:ind w:left="2740" w:hanging="420"/>
      </w:pPr>
      <w:rPr>
        <w:rFonts w:hint="default" w:ascii="Wingdings" w:hAnsi="Wingdings"/>
      </w:rPr>
    </w:lvl>
    <w:lvl w:ilvl="4" w:tentative="0">
      <w:start w:val="1"/>
      <w:numFmt w:val="bullet"/>
      <w:lvlText w:val=""/>
      <w:lvlJc w:val="left"/>
      <w:pPr>
        <w:ind w:left="3160" w:hanging="420"/>
      </w:pPr>
      <w:rPr>
        <w:rFonts w:hint="default" w:ascii="Wingdings" w:hAnsi="Wingdings"/>
      </w:rPr>
    </w:lvl>
    <w:lvl w:ilvl="5" w:tentative="0">
      <w:start w:val="1"/>
      <w:numFmt w:val="bullet"/>
      <w:lvlText w:val=""/>
      <w:lvlJc w:val="left"/>
      <w:pPr>
        <w:ind w:left="3580" w:hanging="420"/>
      </w:pPr>
      <w:rPr>
        <w:rFonts w:hint="default" w:ascii="Wingdings" w:hAnsi="Wingdings"/>
      </w:rPr>
    </w:lvl>
    <w:lvl w:ilvl="6" w:tentative="0">
      <w:start w:val="1"/>
      <w:numFmt w:val="bullet"/>
      <w:lvlText w:val=""/>
      <w:lvlJc w:val="left"/>
      <w:pPr>
        <w:ind w:left="4000" w:hanging="420"/>
      </w:pPr>
      <w:rPr>
        <w:rFonts w:hint="default" w:ascii="Wingdings" w:hAnsi="Wingdings"/>
      </w:rPr>
    </w:lvl>
    <w:lvl w:ilvl="7" w:tentative="0">
      <w:start w:val="1"/>
      <w:numFmt w:val="bullet"/>
      <w:lvlText w:val=""/>
      <w:lvlJc w:val="left"/>
      <w:pPr>
        <w:ind w:left="4420" w:hanging="420"/>
      </w:pPr>
      <w:rPr>
        <w:rFonts w:hint="default" w:ascii="Wingdings" w:hAnsi="Wingdings"/>
      </w:rPr>
    </w:lvl>
    <w:lvl w:ilvl="8" w:tentative="0">
      <w:start w:val="1"/>
      <w:numFmt w:val="bullet"/>
      <w:lvlText w:val=""/>
      <w:lvlJc w:val="left"/>
      <w:pPr>
        <w:ind w:left="48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C30"/>
    <w:rsid w:val="000035FC"/>
    <w:rsid w:val="00011759"/>
    <w:rsid w:val="00014A40"/>
    <w:rsid w:val="0003040C"/>
    <w:rsid w:val="00031CFF"/>
    <w:rsid w:val="00031EBC"/>
    <w:rsid w:val="000409E8"/>
    <w:rsid w:val="0004341B"/>
    <w:rsid w:val="000635F1"/>
    <w:rsid w:val="000726AA"/>
    <w:rsid w:val="00082344"/>
    <w:rsid w:val="0008687F"/>
    <w:rsid w:val="00086D14"/>
    <w:rsid w:val="00093AB2"/>
    <w:rsid w:val="000A54B9"/>
    <w:rsid w:val="000B1C53"/>
    <w:rsid w:val="000B654E"/>
    <w:rsid w:val="000C0784"/>
    <w:rsid w:val="000D1111"/>
    <w:rsid w:val="000D4FDD"/>
    <w:rsid w:val="000D5812"/>
    <w:rsid w:val="000E6E07"/>
    <w:rsid w:val="000F41C2"/>
    <w:rsid w:val="00100344"/>
    <w:rsid w:val="00103E7C"/>
    <w:rsid w:val="00112F6E"/>
    <w:rsid w:val="001145D3"/>
    <w:rsid w:val="00120D4D"/>
    <w:rsid w:val="00125110"/>
    <w:rsid w:val="0013360D"/>
    <w:rsid w:val="00137F9C"/>
    <w:rsid w:val="001555EA"/>
    <w:rsid w:val="0018051C"/>
    <w:rsid w:val="0019351F"/>
    <w:rsid w:val="00193A38"/>
    <w:rsid w:val="001E105B"/>
    <w:rsid w:val="00203FD7"/>
    <w:rsid w:val="00231D11"/>
    <w:rsid w:val="00241D02"/>
    <w:rsid w:val="00252A9D"/>
    <w:rsid w:val="002921C8"/>
    <w:rsid w:val="00296EF9"/>
    <w:rsid w:val="002A4572"/>
    <w:rsid w:val="002B0D81"/>
    <w:rsid w:val="002B5C06"/>
    <w:rsid w:val="002D00A3"/>
    <w:rsid w:val="002D36E6"/>
    <w:rsid w:val="002E71EB"/>
    <w:rsid w:val="00304092"/>
    <w:rsid w:val="00304667"/>
    <w:rsid w:val="00306D54"/>
    <w:rsid w:val="00307D50"/>
    <w:rsid w:val="00323E09"/>
    <w:rsid w:val="003254F8"/>
    <w:rsid w:val="00336341"/>
    <w:rsid w:val="00337144"/>
    <w:rsid w:val="00340723"/>
    <w:rsid w:val="00342C62"/>
    <w:rsid w:val="003471C8"/>
    <w:rsid w:val="00351A2D"/>
    <w:rsid w:val="00364EA9"/>
    <w:rsid w:val="00364ECF"/>
    <w:rsid w:val="003703CF"/>
    <w:rsid w:val="003B2521"/>
    <w:rsid w:val="003E292F"/>
    <w:rsid w:val="003E797A"/>
    <w:rsid w:val="004027F7"/>
    <w:rsid w:val="0041074C"/>
    <w:rsid w:val="00414F93"/>
    <w:rsid w:val="00423606"/>
    <w:rsid w:val="004243C7"/>
    <w:rsid w:val="00431FF4"/>
    <w:rsid w:val="00454E43"/>
    <w:rsid w:val="00457D58"/>
    <w:rsid w:val="00463E0F"/>
    <w:rsid w:val="00465DCF"/>
    <w:rsid w:val="004A3BAF"/>
    <w:rsid w:val="004B09F5"/>
    <w:rsid w:val="004C574B"/>
    <w:rsid w:val="004E0185"/>
    <w:rsid w:val="004F073A"/>
    <w:rsid w:val="004F26B2"/>
    <w:rsid w:val="004F4A7C"/>
    <w:rsid w:val="0050336F"/>
    <w:rsid w:val="00506695"/>
    <w:rsid w:val="0055286A"/>
    <w:rsid w:val="005733CF"/>
    <w:rsid w:val="00580C56"/>
    <w:rsid w:val="005A714C"/>
    <w:rsid w:val="005C377C"/>
    <w:rsid w:val="005D21F7"/>
    <w:rsid w:val="005E609B"/>
    <w:rsid w:val="005E7297"/>
    <w:rsid w:val="005E72D4"/>
    <w:rsid w:val="005F4678"/>
    <w:rsid w:val="00613985"/>
    <w:rsid w:val="00634BD3"/>
    <w:rsid w:val="006550F4"/>
    <w:rsid w:val="00657EA2"/>
    <w:rsid w:val="00663C30"/>
    <w:rsid w:val="00667014"/>
    <w:rsid w:val="00677D56"/>
    <w:rsid w:val="006912F2"/>
    <w:rsid w:val="006A5092"/>
    <w:rsid w:val="006B2FF3"/>
    <w:rsid w:val="006B6FF2"/>
    <w:rsid w:val="006C0745"/>
    <w:rsid w:val="006D624B"/>
    <w:rsid w:val="006E52BE"/>
    <w:rsid w:val="006F0672"/>
    <w:rsid w:val="006F1A26"/>
    <w:rsid w:val="006F340B"/>
    <w:rsid w:val="006F4DB5"/>
    <w:rsid w:val="007005C6"/>
    <w:rsid w:val="00702905"/>
    <w:rsid w:val="0070624A"/>
    <w:rsid w:val="007077C2"/>
    <w:rsid w:val="007265A1"/>
    <w:rsid w:val="00733E8D"/>
    <w:rsid w:val="007344DE"/>
    <w:rsid w:val="00736C33"/>
    <w:rsid w:val="00744632"/>
    <w:rsid w:val="00751621"/>
    <w:rsid w:val="00755B92"/>
    <w:rsid w:val="00760567"/>
    <w:rsid w:val="00763879"/>
    <w:rsid w:val="00770C10"/>
    <w:rsid w:val="00776793"/>
    <w:rsid w:val="0077757A"/>
    <w:rsid w:val="00790B69"/>
    <w:rsid w:val="007955C9"/>
    <w:rsid w:val="007A0B62"/>
    <w:rsid w:val="007C0F06"/>
    <w:rsid w:val="00812CED"/>
    <w:rsid w:val="008153D1"/>
    <w:rsid w:val="00830478"/>
    <w:rsid w:val="00845526"/>
    <w:rsid w:val="00855B95"/>
    <w:rsid w:val="00874698"/>
    <w:rsid w:val="00886B85"/>
    <w:rsid w:val="00895299"/>
    <w:rsid w:val="00897EB2"/>
    <w:rsid w:val="008A5295"/>
    <w:rsid w:val="008B1170"/>
    <w:rsid w:val="008B2E59"/>
    <w:rsid w:val="008C0188"/>
    <w:rsid w:val="008C67C9"/>
    <w:rsid w:val="008D2156"/>
    <w:rsid w:val="008E4BCC"/>
    <w:rsid w:val="00903490"/>
    <w:rsid w:val="00912FD6"/>
    <w:rsid w:val="00913B97"/>
    <w:rsid w:val="00916E04"/>
    <w:rsid w:val="00923736"/>
    <w:rsid w:val="0094271C"/>
    <w:rsid w:val="009434C9"/>
    <w:rsid w:val="00947623"/>
    <w:rsid w:val="00952A8D"/>
    <w:rsid w:val="00965DA2"/>
    <w:rsid w:val="00971A02"/>
    <w:rsid w:val="00973113"/>
    <w:rsid w:val="009742AC"/>
    <w:rsid w:val="00995916"/>
    <w:rsid w:val="009970E0"/>
    <w:rsid w:val="009D24DA"/>
    <w:rsid w:val="009D7FC9"/>
    <w:rsid w:val="009E5FE0"/>
    <w:rsid w:val="009F1E27"/>
    <w:rsid w:val="009F39A4"/>
    <w:rsid w:val="009F60CB"/>
    <w:rsid w:val="009F7C3B"/>
    <w:rsid w:val="00A12DB6"/>
    <w:rsid w:val="00A30E33"/>
    <w:rsid w:val="00A4226B"/>
    <w:rsid w:val="00A43B78"/>
    <w:rsid w:val="00A43B84"/>
    <w:rsid w:val="00A45814"/>
    <w:rsid w:val="00A4730A"/>
    <w:rsid w:val="00A61259"/>
    <w:rsid w:val="00A6746E"/>
    <w:rsid w:val="00A6776C"/>
    <w:rsid w:val="00A72786"/>
    <w:rsid w:val="00A72D54"/>
    <w:rsid w:val="00A74869"/>
    <w:rsid w:val="00A846C8"/>
    <w:rsid w:val="00A94956"/>
    <w:rsid w:val="00AA62AC"/>
    <w:rsid w:val="00AB264A"/>
    <w:rsid w:val="00AB32B4"/>
    <w:rsid w:val="00AB67B4"/>
    <w:rsid w:val="00AE23B7"/>
    <w:rsid w:val="00AE7CAD"/>
    <w:rsid w:val="00B01FEF"/>
    <w:rsid w:val="00B17A54"/>
    <w:rsid w:val="00B33A33"/>
    <w:rsid w:val="00B35D49"/>
    <w:rsid w:val="00B41FEA"/>
    <w:rsid w:val="00B46107"/>
    <w:rsid w:val="00B5328F"/>
    <w:rsid w:val="00B86D8B"/>
    <w:rsid w:val="00B97AA0"/>
    <w:rsid w:val="00BA4FF2"/>
    <w:rsid w:val="00BC4F26"/>
    <w:rsid w:val="00BD26E4"/>
    <w:rsid w:val="00BD3056"/>
    <w:rsid w:val="00BD6257"/>
    <w:rsid w:val="00BE6E9F"/>
    <w:rsid w:val="00BF0927"/>
    <w:rsid w:val="00C02386"/>
    <w:rsid w:val="00C0669C"/>
    <w:rsid w:val="00C11374"/>
    <w:rsid w:val="00C14757"/>
    <w:rsid w:val="00C1729B"/>
    <w:rsid w:val="00C25D07"/>
    <w:rsid w:val="00C3356C"/>
    <w:rsid w:val="00C40570"/>
    <w:rsid w:val="00C552BC"/>
    <w:rsid w:val="00C557D7"/>
    <w:rsid w:val="00C67FE1"/>
    <w:rsid w:val="00C76FD2"/>
    <w:rsid w:val="00C823E9"/>
    <w:rsid w:val="00C90EBE"/>
    <w:rsid w:val="00CA13AD"/>
    <w:rsid w:val="00CA27DD"/>
    <w:rsid w:val="00CD148C"/>
    <w:rsid w:val="00CD4399"/>
    <w:rsid w:val="00CD52EA"/>
    <w:rsid w:val="00CE6574"/>
    <w:rsid w:val="00CE6C2B"/>
    <w:rsid w:val="00D21760"/>
    <w:rsid w:val="00D30727"/>
    <w:rsid w:val="00D30B84"/>
    <w:rsid w:val="00D37E6D"/>
    <w:rsid w:val="00D54FE8"/>
    <w:rsid w:val="00D56456"/>
    <w:rsid w:val="00D57FD2"/>
    <w:rsid w:val="00D61CAE"/>
    <w:rsid w:val="00D7245C"/>
    <w:rsid w:val="00D908EB"/>
    <w:rsid w:val="00D95ECF"/>
    <w:rsid w:val="00D973B2"/>
    <w:rsid w:val="00DA0024"/>
    <w:rsid w:val="00DA1361"/>
    <w:rsid w:val="00DB6E78"/>
    <w:rsid w:val="00DC6079"/>
    <w:rsid w:val="00DD0F3E"/>
    <w:rsid w:val="00DD24A1"/>
    <w:rsid w:val="00DD4037"/>
    <w:rsid w:val="00DE1212"/>
    <w:rsid w:val="00DE1CF6"/>
    <w:rsid w:val="00E03B6E"/>
    <w:rsid w:val="00E33161"/>
    <w:rsid w:val="00E4324A"/>
    <w:rsid w:val="00E50BC5"/>
    <w:rsid w:val="00E54C6C"/>
    <w:rsid w:val="00E7721F"/>
    <w:rsid w:val="00E803BA"/>
    <w:rsid w:val="00E82C51"/>
    <w:rsid w:val="00E8643D"/>
    <w:rsid w:val="00E91839"/>
    <w:rsid w:val="00EA4467"/>
    <w:rsid w:val="00EC0F74"/>
    <w:rsid w:val="00EC3140"/>
    <w:rsid w:val="00ED385B"/>
    <w:rsid w:val="00EE34C6"/>
    <w:rsid w:val="00EF1D20"/>
    <w:rsid w:val="00F067B2"/>
    <w:rsid w:val="00F12D81"/>
    <w:rsid w:val="00F146C9"/>
    <w:rsid w:val="00F154CB"/>
    <w:rsid w:val="00F23628"/>
    <w:rsid w:val="00F30B47"/>
    <w:rsid w:val="00F35891"/>
    <w:rsid w:val="00F36847"/>
    <w:rsid w:val="00F46E1B"/>
    <w:rsid w:val="00F700F0"/>
    <w:rsid w:val="00F73EA5"/>
    <w:rsid w:val="00F7792B"/>
    <w:rsid w:val="00F83B0B"/>
    <w:rsid w:val="00F83E71"/>
    <w:rsid w:val="00F87338"/>
    <w:rsid w:val="00FA6307"/>
    <w:rsid w:val="00FD1259"/>
    <w:rsid w:val="00FD6A84"/>
    <w:rsid w:val="00FE0744"/>
    <w:rsid w:val="00FE3A86"/>
    <w:rsid w:val="03C76963"/>
    <w:rsid w:val="05E82BC0"/>
    <w:rsid w:val="0A6D28B2"/>
    <w:rsid w:val="0A7D5FCD"/>
    <w:rsid w:val="0E8F62CF"/>
    <w:rsid w:val="102869DB"/>
    <w:rsid w:val="12850115"/>
    <w:rsid w:val="12AB56A1"/>
    <w:rsid w:val="16F93C3E"/>
    <w:rsid w:val="17ED553E"/>
    <w:rsid w:val="183E7A46"/>
    <w:rsid w:val="1B4B17D0"/>
    <w:rsid w:val="1D076614"/>
    <w:rsid w:val="1E80442A"/>
    <w:rsid w:val="1EE75CB3"/>
    <w:rsid w:val="242A78F6"/>
    <w:rsid w:val="24D13584"/>
    <w:rsid w:val="26F21066"/>
    <w:rsid w:val="27985D9D"/>
    <w:rsid w:val="28C037FD"/>
    <w:rsid w:val="292411BF"/>
    <w:rsid w:val="2A1853C2"/>
    <w:rsid w:val="2AA7672D"/>
    <w:rsid w:val="2ACF250E"/>
    <w:rsid w:val="2B911481"/>
    <w:rsid w:val="2BA83601"/>
    <w:rsid w:val="2CCF789E"/>
    <w:rsid w:val="2EC1207D"/>
    <w:rsid w:val="2EDE49DD"/>
    <w:rsid w:val="2F0D1E7C"/>
    <w:rsid w:val="2FE87E8A"/>
    <w:rsid w:val="2FF051B5"/>
    <w:rsid w:val="303D3985"/>
    <w:rsid w:val="31FD5099"/>
    <w:rsid w:val="32B177B3"/>
    <w:rsid w:val="342A4220"/>
    <w:rsid w:val="34844512"/>
    <w:rsid w:val="3804014E"/>
    <w:rsid w:val="386817BB"/>
    <w:rsid w:val="3BFF3C2F"/>
    <w:rsid w:val="3CCF238D"/>
    <w:rsid w:val="3F5DC935"/>
    <w:rsid w:val="40377B31"/>
    <w:rsid w:val="409704CC"/>
    <w:rsid w:val="43F81C45"/>
    <w:rsid w:val="44F85C75"/>
    <w:rsid w:val="45BB0838"/>
    <w:rsid w:val="45C17918"/>
    <w:rsid w:val="469043B7"/>
    <w:rsid w:val="49BB1B0D"/>
    <w:rsid w:val="4A093BC3"/>
    <w:rsid w:val="4AB87DE9"/>
    <w:rsid w:val="4C2537F3"/>
    <w:rsid w:val="4C2A72E5"/>
    <w:rsid w:val="4ED92673"/>
    <w:rsid w:val="50824F0E"/>
    <w:rsid w:val="52486BB6"/>
    <w:rsid w:val="52BB9A43"/>
    <w:rsid w:val="534A697E"/>
    <w:rsid w:val="56951575"/>
    <w:rsid w:val="57FF139C"/>
    <w:rsid w:val="590A0A3C"/>
    <w:rsid w:val="5C545A2F"/>
    <w:rsid w:val="5DE66A2C"/>
    <w:rsid w:val="5E820594"/>
    <w:rsid w:val="5FB7671B"/>
    <w:rsid w:val="600D113F"/>
    <w:rsid w:val="61380253"/>
    <w:rsid w:val="61BB0BCB"/>
    <w:rsid w:val="61D92C5E"/>
    <w:rsid w:val="61E0223F"/>
    <w:rsid w:val="64852C29"/>
    <w:rsid w:val="65FF3A70"/>
    <w:rsid w:val="66B75B1A"/>
    <w:rsid w:val="6822579E"/>
    <w:rsid w:val="695D4175"/>
    <w:rsid w:val="6AD71D05"/>
    <w:rsid w:val="6B4F21E3"/>
    <w:rsid w:val="6C1370C5"/>
    <w:rsid w:val="6C651507"/>
    <w:rsid w:val="6CBB308B"/>
    <w:rsid w:val="6D885538"/>
    <w:rsid w:val="702D3795"/>
    <w:rsid w:val="7036571F"/>
    <w:rsid w:val="70467B14"/>
    <w:rsid w:val="715F4802"/>
    <w:rsid w:val="72BA2C79"/>
    <w:rsid w:val="735E7F1F"/>
    <w:rsid w:val="74365E32"/>
    <w:rsid w:val="755E02D7"/>
    <w:rsid w:val="75FFFA74"/>
    <w:rsid w:val="7693567A"/>
    <w:rsid w:val="77316C41"/>
    <w:rsid w:val="778F06C6"/>
    <w:rsid w:val="78A13A2B"/>
    <w:rsid w:val="7ACF29F8"/>
    <w:rsid w:val="7C5C02BC"/>
    <w:rsid w:val="7D7F138D"/>
    <w:rsid w:val="7E3F7E95"/>
    <w:rsid w:val="7F1F151E"/>
    <w:rsid w:val="7F2A644F"/>
    <w:rsid w:val="7FEFCC04"/>
    <w:rsid w:val="7FFF9D0D"/>
    <w:rsid w:val="8AF6333B"/>
    <w:rsid w:val="9D8ED471"/>
    <w:rsid w:val="9EBF82BE"/>
    <w:rsid w:val="BCDAFEE2"/>
    <w:rsid w:val="D7D373AD"/>
    <w:rsid w:val="D7FC31CE"/>
    <w:rsid w:val="DBA9A341"/>
    <w:rsid w:val="DBEA6204"/>
    <w:rsid w:val="DFCE1C5C"/>
    <w:rsid w:val="DFFFBFF8"/>
    <w:rsid w:val="EB3D7840"/>
    <w:rsid w:val="EE863AA1"/>
    <w:rsid w:val="EE9B3029"/>
    <w:rsid w:val="EFBE3FD5"/>
    <w:rsid w:val="F4ED7995"/>
    <w:rsid w:val="F5DF31F0"/>
    <w:rsid w:val="F6DD14D6"/>
    <w:rsid w:val="F6DF0A5C"/>
    <w:rsid w:val="F6EBD9DA"/>
    <w:rsid w:val="F6FBE987"/>
    <w:rsid w:val="F786E19F"/>
    <w:rsid w:val="FBF7015F"/>
    <w:rsid w:val="FDFF9BF0"/>
    <w:rsid w:val="FEBF961C"/>
    <w:rsid w:val="FEFD430D"/>
    <w:rsid w:val="FF6CE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ind w:left="600" w:leftChars="200"/>
      <w:jc w:val="left"/>
      <w:outlineLvl w:val="0"/>
    </w:pPr>
    <w:rPr>
      <w:rFonts w:ascii="黑体" w:hAnsi="黑体" w:eastAsia="黑体" w:cs="Times New Roman"/>
      <w:b/>
      <w:kern w:val="44"/>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annotation text"/>
    <w:basedOn w:val="1"/>
    <w:semiHidden/>
    <w:unhideWhenUsed/>
    <w:qFormat/>
    <w:uiPriority w:val="99"/>
    <w:pPr>
      <w:jc w:val="left"/>
    </w:pPr>
  </w:style>
  <w:style w:type="paragraph" w:styleId="5">
    <w:name w:val="Body Text"/>
    <w:basedOn w:val="1"/>
    <w:qFormat/>
    <w:uiPriority w:val="1"/>
    <w:pPr>
      <w:ind w:left="449"/>
    </w:pPr>
    <w:rPr>
      <w:rFonts w:ascii="宋体" w:hAnsi="宋体" w:cs="宋体"/>
      <w:szCs w:val="21"/>
      <w:lang w:val="zh-CN" w:bidi="zh-CN"/>
    </w:rPr>
  </w:style>
  <w:style w:type="paragraph" w:styleId="6">
    <w:name w:val="Balloon Text"/>
    <w:basedOn w:val="1"/>
    <w:link w:val="17"/>
    <w:semiHidden/>
    <w:unhideWhenUsed/>
    <w:qFormat/>
    <w:uiPriority w:val="99"/>
    <w:pPr>
      <w:spacing w:after="0" w:line="240" w:lineRule="auto"/>
    </w:pPr>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rPr>
  </w:style>
  <w:style w:type="paragraph" w:styleId="13">
    <w:name w:val="List Paragraph"/>
    <w:basedOn w:val="1"/>
    <w:qFormat/>
    <w:uiPriority w:val="34"/>
    <w:pPr>
      <w:ind w:firstLine="420" w:firstLineChars="200"/>
    </w:pPr>
    <w:rPr>
      <w:rFonts w:ascii="Calibri" w:hAnsi="Calibri" w:eastAsia="宋体" w:cs="Times New Roman"/>
    </w:rPr>
  </w:style>
  <w:style w:type="character" w:customStyle="1" w:styleId="14">
    <w:name w:val="UserStyle_0"/>
    <w:semiHidden/>
    <w:qFormat/>
    <w:uiPriority w:val="0"/>
  </w:style>
  <w:style w:type="character" w:customStyle="1" w:styleId="15">
    <w:name w:val="页眉 字符"/>
    <w:basedOn w:val="11"/>
    <w:link w:val="8"/>
    <w:qFormat/>
    <w:uiPriority w:val="99"/>
    <w:rPr>
      <w:sz w:val="18"/>
      <w:szCs w:val="18"/>
    </w:rPr>
  </w:style>
  <w:style w:type="character" w:customStyle="1" w:styleId="16">
    <w:name w:val="页脚 字符"/>
    <w:basedOn w:val="11"/>
    <w:link w:val="7"/>
    <w:qFormat/>
    <w:uiPriority w:val="99"/>
    <w:rPr>
      <w:sz w:val="18"/>
      <w:szCs w:val="18"/>
    </w:rPr>
  </w:style>
  <w:style w:type="character" w:customStyle="1" w:styleId="17">
    <w:name w:val="批注框文本 字符"/>
    <w:basedOn w:val="11"/>
    <w:link w:val="6"/>
    <w:semiHidden/>
    <w:qFormat/>
    <w:uiPriority w:val="99"/>
    <w:rPr>
      <w:kern w:val="2"/>
      <w:sz w:val="18"/>
      <w:szCs w:val="18"/>
    </w:rPr>
  </w:style>
  <w:style w:type="character" w:customStyle="1" w:styleId="18">
    <w:name w:val="标题 1 字符"/>
    <w:basedOn w:val="11"/>
    <w:link w:val="2"/>
    <w:qFormat/>
    <w:uiPriority w:val="9"/>
    <w:rPr>
      <w:rFonts w:ascii="黑体" w:hAnsi="黑体" w:eastAsia="黑体"/>
      <w:b/>
      <w:kern w:val="44"/>
      <w:sz w:val="21"/>
      <w:szCs w:val="48"/>
    </w:rPr>
  </w:style>
  <w:style w:type="paragraph" w:customStyle="1" w:styleId="19">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2969</Words>
  <Characters>3088</Characters>
  <Lines>386</Lines>
  <Paragraphs>275</Paragraphs>
  <TotalTime>103</TotalTime>
  <ScaleCrop>false</ScaleCrop>
  <LinksUpToDate>false</LinksUpToDate>
  <CharactersWithSpaces>5782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2025-04-11T04:07:00Z</dcterms:created>
  <dc:creator>佳嘉 陈</dc:creator>
  <cp:lastModifiedBy>顾文林</cp:lastModifiedBy>
  <cp:lastPrinted>2025-03-20T11:27:00Z</cp:lastPrinted>
  <dcterms:modified xsi:type="dcterms:W3CDTF">2026-04-15T16:58:53Z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754B55F98ADD37245F8EF767A7246EEA_43</vt:lpwstr>
  </property>
  <property fmtid="{D5CDD505-2E9C-101B-9397-08002B2CF9AE}" pid="4" name="KSOTemplateDocerSaveRecord">
    <vt:lpwstr>eyJoZGlkIjoiMTMzOGY5ZDMyZThhZjI5N2FkYjM4YjU3NDM3YjBiYTMiLCJ1c2VySWQiOiI0NjQ4NDUwMDkifQ==</vt:lpwstr>
  </property>
</Properties>
</file>