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p>
    <w:p>
      <w:pPr>
        <w:jc w:val="center"/>
        <w:rPr>
          <w:rFonts w:ascii="黑体" w:hAnsi="黑体" w:eastAsia="黑体"/>
          <w:sz w:val="36"/>
          <w:szCs w:val="36"/>
        </w:rPr>
      </w:pPr>
    </w:p>
    <w:p>
      <w:pPr>
        <w:jc w:val="center"/>
        <w:rPr>
          <w:rFonts w:ascii="黑体" w:hAnsi="黑体" w:eastAsia="黑体"/>
          <w:sz w:val="36"/>
          <w:szCs w:val="36"/>
        </w:rPr>
      </w:pPr>
      <w:r>
        <w:rPr>
          <w:rFonts w:hint="eastAsia" w:ascii="黑体" w:hAnsi="黑体" w:eastAsia="黑体"/>
          <w:sz w:val="36"/>
          <w:szCs w:val="36"/>
        </w:rPr>
        <w:t>《市域公共服务专项规划研究和编制》采购需求</w:t>
      </w:r>
    </w:p>
    <w:p>
      <w:pPr>
        <w:jc w:val="center"/>
        <w:rPr>
          <w:rFonts w:ascii="黑体" w:hAnsi="黑体" w:eastAsia="黑体"/>
          <w:sz w:val="36"/>
          <w:szCs w:val="36"/>
        </w:rPr>
      </w:pPr>
    </w:p>
    <w:p>
      <w:pPr>
        <w:ind w:firstLine="560" w:firstLineChars="200"/>
        <w:rPr>
          <w:rFonts w:ascii="黑体" w:hAnsi="黑体" w:eastAsia="黑体"/>
          <w:sz w:val="36"/>
          <w:szCs w:val="36"/>
          <w:highlight w:val="yellow"/>
        </w:rPr>
      </w:pPr>
      <w:r>
        <w:rPr>
          <w:rFonts w:hint="eastAsia" w:ascii="黑体" w:hAnsi="黑体" w:eastAsia="黑体"/>
          <w:sz w:val="28"/>
          <w:szCs w:val="28"/>
        </w:rPr>
        <w:t>一、工作背景</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全面贯彻党的二十大和二十届历次全会精神以及中央城市工作会议精神，按照市委、市政府部署，以“上海2035”城市总规为引领，开展上海市市域科教文卫体等公共服务的国土空间规划研究和编制工作，持续优化超大城市空间格局，强化资源要素保障，提升城市安全韧性。</w:t>
      </w:r>
    </w:p>
    <w:p>
      <w:pPr>
        <w:spacing w:line="500" w:lineRule="exact"/>
        <w:ind w:firstLine="560" w:firstLineChars="200"/>
        <w:rPr>
          <w:rFonts w:ascii="黑体" w:hAnsi="黑体" w:eastAsia="黑体"/>
          <w:sz w:val="28"/>
          <w:szCs w:val="28"/>
        </w:rPr>
      </w:pPr>
      <w:r>
        <w:rPr>
          <w:rFonts w:hint="eastAsia" w:ascii="黑体" w:hAnsi="黑体" w:eastAsia="黑体"/>
          <w:sz w:val="28"/>
          <w:szCs w:val="28"/>
        </w:rPr>
        <w:t>二、工作内容</w:t>
      </w:r>
    </w:p>
    <w:p>
      <w:pPr>
        <w:spacing w:line="360" w:lineRule="auto"/>
        <w:ind w:firstLine="600" w:firstLineChars="200"/>
        <w:jc w:val="both"/>
        <w:rPr>
          <w:rFonts w:ascii="仿宋_GB2312" w:hAnsi="仿宋" w:eastAsia="仿宋_GB2312"/>
          <w:sz w:val="30"/>
          <w:szCs w:val="30"/>
        </w:rPr>
      </w:pPr>
      <w:r>
        <w:rPr>
          <w:rFonts w:ascii="仿宋_GB2312" w:hAnsi="仿宋" w:eastAsia="仿宋_GB2312"/>
          <w:sz w:val="30"/>
          <w:szCs w:val="30"/>
        </w:rPr>
        <w:t>聚焦市域公共服务空间优化与城市功能提质核心目标，统筹推进多项重点专项规划与技术服务工作。具体涵盖</w:t>
      </w:r>
      <w:r>
        <w:rPr>
          <w:rFonts w:hint="eastAsia" w:ascii="仿宋_GB2312" w:hAnsi="仿宋" w:eastAsia="仿宋_GB2312"/>
          <w:sz w:val="30"/>
          <w:szCs w:val="30"/>
        </w:rPr>
        <w:t>韧性安全城市建设“十五五”规划参编、高校空间布局战略规划、殡葬设施数据库建设和近期规划、新城绿环空间贯通与融合提升技术服务、风帆运动布局及选址研究</w:t>
      </w:r>
      <w:r>
        <w:rPr>
          <w:rFonts w:ascii="仿宋_GB2312" w:hAnsi="仿宋" w:eastAsia="仿宋_GB2312"/>
          <w:sz w:val="30"/>
          <w:szCs w:val="30"/>
        </w:rPr>
        <w:t>等专项任务，多点发力完善城市公共服务体系、夯实空间发展基础。</w:t>
      </w:r>
    </w:p>
    <w:p>
      <w:pPr>
        <w:spacing w:line="360" w:lineRule="auto"/>
        <w:ind w:firstLine="602" w:firstLineChars="200"/>
        <w:jc w:val="both"/>
        <w:rPr>
          <w:rFonts w:ascii="仿宋_GB2312" w:hAnsi="仿宋" w:eastAsia="仿宋_GB2312"/>
          <w:sz w:val="30"/>
          <w:szCs w:val="30"/>
        </w:rPr>
      </w:pPr>
      <w:r>
        <w:rPr>
          <w:rFonts w:hint="eastAsia" w:ascii="仿宋_GB2312" w:hAnsi="仿宋" w:eastAsia="仿宋_GB2312"/>
          <w:b/>
          <w:sz w:val="30"/>
          <w:szCs w:val="30"/>
        </w:rPr>
        <w:t>1</w:t>
      </w:r>
      <w:r>
        <w:rPr>
          <w:rFonts w:ascii="仿宋_GB2312" w:hAnsi="仿宋" w:eastAsia="仿宋_GB2312"/>
          <w:b/>
          <w:sz w:val="30"/>
          <w:szCs w:val="30"/>
        </w:rPr>
        <w:t>.</w:t>
      </w:r>
      <w:r>
        <w:rPr>
          <w:rFonts w:hint="eastAsia" w:ascii="仿宋_GB2312" w:hAnsi="仿宋" w:eastAsia="仿宋_GB2312"/>
          <w:b/>
          <w:sz w:val="30"/>
          <w:szCs w:val="30"/>
        </w:rPr>
        <w:t xml:space="preserve"> 上海市韧性安全城市建设“十五五”规划：</w:t>
      </w:r>
      <w:r>
        <w:rPr>
          <w:rFonts w:hint="eastAsia" w:ascii="仿宋_GB2312" w:hAnsi="仿宋" w:eastAsia="仿宋_GB2312"/>
          <w:sz w:val="30"/>
          <w:szCs w:val="30"/>
        </w:rPr>
        <w:t>依托本市自然灾害风险普查及各专业领域风险评估基础，系统研判上海主要风险挑战，立足于超大城市综合风险特征和安全保障需求，明确“十五五”期间上海韧性城市规划建设在空间领域的格局、治理与空间资源保障要求。一是构建韧性安全空间格局。统筹长三角区域、上海大都市圈和上海市域应急保障资源，构建多维度的韧性安全空间体系。锚固安全底板、保障核心功能、强化运行支撑，完善与一体化、高质量发展格局相匹配的超大城市韧性安全空间格局。二是深化国土空间韧性治理。基于总体空间格局，明确“十五五”期间重点地区，制定差异化、精准化的韧性发展导向。强化资源统筹配置、“平急两用”功能转换和“平战急”功能复合等规划引导，增强多灾种弹性适应的韧性空间建设引导。三是加强韧性安全空间资源保障。围绕城市基本运行和人民基本生活保障需求，构建“灾前-灾中-灾后”全过程韧性安全体系。统筹应急避难场所系统布局和规范化建设，提升全市极端灾害疏散安置托底保障能力。系统优化重要市级韧性安全系统布局。夯实重大防御设施设防能力，巩固千里海塘、千里江堤、区域除涝、城镇排水“四道防线”，加强自然柔性抵御与适应，构建刚柔并济、弹性适应、品质功能融合的综合防御体系。</w:t>
      </w:r>
    </w:p>
    <w:p>
      <w:pPr>
        <w:spacing w:line="360" w:lineRule="auto"/>
        <w:ind w:firstLine="602" w:firstLineChars="200"/>
        <w:jc w:val="both"/>
        <w:rPr>
          <w:rFonts w:ascii="仿宋_GB2312" w:hAnsi="仿宋" w:eastAsia="仿宋_GB2312"/>
          <w:sz w:val="30"/>
          <w:szCs w:val="30"/>
        </w:rPr>
      </w:pPr>
      <w:r>
        <w:rPr>
          <w:rFonts w:hint="eastAsia" w:ascii="仿宋_GB2312" w:hAnsi="仿宋" w:eastAsia="仿宋_GB2312"/>
          <w:b/>
          <w:sz w:val="30"/>
          <w:szCs w:val="30"/>
        </w:rPr>
        <w:t>2</w:t>
      </w:r>
      <w:r>
        <w:rPr>
          <w:rFonts w:ascii="仿宋_GB2312" w:hAnsi="仿宋" w:eastAsia="仿宋_GB2312"/>
          <w:b/>
          <w:sz w:val="30"/>
          <w:szCs w:val="30"/>
        </w:rPr>
        <w:t>.</w:t>
      </w:r>
      <w:r>
        <w:rPr>
          <w:rFonts w:hint="eastAsia" w:ascii="仿宋_GB2312" w:hAnsi="Times New Roman" w:cs="Times New Roman"/>
          <w:sz w:val="32"/>
          <w:szCs w:val="32"/>
        </w:rPr>
        <w:t xml:space="preserve"> </w:t>
      </w:r>
      <w:r>
        <w:rPr>
          <w:rFonts w:hint="eastAsia" w:ascii="仿宋_GB2312" w:hAnsi="仿宋" w:eastAsia="仿宋_GB2312"/>
          <w:b/>
          <w:sz w:val="30"/>
          <w:szCs w:val="30"/>
        </w:rPr>
        <w:t>上海市高校空间布局战略规划：</w:t>
      </w:r>
      <w:r>
        <w:rPr>
          <w:rFonts w:hint="eastAsia" w:ascii="仿宋_GB2312" w:hAnsi="仿宋" w:eastAsia="仿宋_GB2312"/>
          <w:sz w:val="30"/>
          <w:szCs w:val="30"/>
        </w:rPr>
        <w:t>为</w:t>
      </w:r>
      <w:r>
        <w:rPr>
          <w:rFonts w:ascii="仿宋_GB2312" w:hAnsi="仿宋" w:eastAsia="仿宋_GB2312"/>
          <w:sz w:val="30"/>
          <w:szCs w:val="30"/>
        </w:rPr>
        <w:t>进一步优化本市高等教育资源配置，完善本市高等教育布局结构，</w:t>
      </w:r>
      <w:r>
        <w:rPr>
          <w:rFonts w:hint="eastAsia" w:ascii="仿宋_GB2312" w:hAnsi="仿宋" w:eastAsia="仿宋_GB2312"/>
          <w:sz w:val="30"/>
          <w:szCs w:val="30"/>
        </w:rPr>
        <w:t>通过系统梳理市属公办高校空间布局结构调整相关情况，对高等学校空间布局现状、存在问题及未来布局体系进行针对性、前瞻性思考。具体包括三方面内容：</w:t>
      </w:r>
      <w:r>
        <w:rPr>
          <w:rFonts w:ascii="仿宋_GB2312" w:hAnsi="仿宋" w:eastAsia="仿宋_GB2312"/>
          <w:sz w:val="30"/>
          <w:szCs w:val="30"/>
        </w:rPr>
        <w:t>一是现状分析评估。通过对上海市属公办高校进行全面的数据梳理与用地摸底评估，系统明晰各高校的现有发展状况，准确理清存量空间的利用效率与潜力空间的拓展可能性。在此基础上，深入找出制约高校发展的主要瓶颈与空间配置方面存在的突出问题，为后续优化调整奠定坚实基础。二是高校空间布局规划。在充分借鉴国内外先进案例经验的基础上，结合本市发展实际，科学提出高校布局的基本原则、明确的规划目标以及整体性规划结构。同时，立足长远发展，制定具体可行的空间</w:t>
      </w:r>
      <w:r>
        <w:rPr>
          <w:rFonts w:hint="eastAsia" w:ascii="仿宋_GB2312" w:hAnsi="仿宋" w:eastAsia="仿宋_GB2312"/>
          <w:sz w:val="30"/>
          <w:szCs w:val="30"/>
        </w:rPr>
        <w:t>布局</w:t>
      </w:r>
      <w:r>
        <w:rPr>
          <w:rFonts w:ascii="仿宋_GB2312" w:hAnsi="仿宋" w:eastAsia="仿宋_GB2312"/>
          <w:sz w:val="30"/>
          <w:szCs w:val="30"/>
        </w:rPr>
        <w:t>调整建议，推动高校空间与城市功能、产业布局及区域创新体系实现深度融合与协同发展。三是“一校一图一表”编制。建立统一规范的高校空间数据库，将全市68所高校、185个校区全部精确落图，涵盖四至范围等关键地理信息。同步为每个校区制作基础信息表，系统梳理土地、建筑、功能、使用状况等核心数据，形成完整、准确、标准化的高校空间信息档案，为后续精细化管理与决策提供可靠支撑。</w:t>
      </w:r>
    </w:p>
    <w:p>
      <w:pPr>
        <w:spacing w:line="360" w:lineRule="auto"/>
        <w:ind w:firstLine="602" w:firstLineChars="200"/>
        <w:jc w:val="both"/>
        <w:rPr>
          <w:rFonts w:ascii="仿宋_GB2312" w:hAnsi="仿宋" w:eastAsia="仿宋_GB2312"/>
          <w:sz w:val="30"/>
          <w:szCs w:val="30"/>
        </w:rPr>
      </w:pPr>
      <w:r>
        <w:rPr>
          <w:rFonts w:hint="eastAsia" w:ascii="仿宋_GB2312" w:hAnsi="仿宋" w:eastAsia="仿宋_GB2312"/>
          <w:b/>
          <w:sz w:val="30"/>
          <w:szCs w:val="30"/>
        </w:rPr>
        <w:t>3</w:t>
      </w:r>
      <w:r>
        <w:rPr>
          <w:rFonts w:ascii="仿宋_GB2312" w:hAnsi="仿宋" w:eastAsia="仿宋_GB2312"/>
          <w:b/>
          <w:sz w:val="30"/>
          <w:szCs w:val="30"/>
        </w:rPr>
        <w:t>.</w:t>
      </w:r>
      <w:r>
        <w:rPr>
          <w:rFonts w:hint="eastAsia" w:ascii="仿宋_GB2312" w:hAnsi="仿宋" w:eastAsia="仿宋_GB2312"/>
          <w:b/>
          <w:sz w:val="30"/>
          <w:szCs w:val="30"/>
        </w:rPr>
        <w:t xml:space="preserve"> 上海市殡葬设施数据库建设和近期规划：</w:t>
      </w:r>
      <w:r>
        <w:rPr>
          <w:rFonts w:hint="eastAsia" w:ascii="仿宋_GB2312" w:hAnsi="仿宋" w:eastAsia="仿宋_GB2312"/>
          <w:sz w:val="30"/>
          <w:szCs w:val="30"/>
        </w:rPr>
        <w:t>全面落实《上海市殡葬设施布局专项规划（2026-2035年）》确定的规划目标、规模、布局、建设任务和各项指标，衔接民政领域“十五五”规划中关于殡葬事业的安排和要求，具体工作内容包括以下三个方面：一是全面摸清殡葬设施现状底数。为夯实全市殡葬行业数字化治理根基，系统开展上海市殡葬设施基础数据采集获取工作，按照全市统一标准，聚焦殡仪馆、农村公益性公墓和骨灰堂、经营性公墓和骨灰堂等各类殡葬设施，围绕设施地理位置、用地范围、建设规模、产权性质、审批备案信息、运营主体、服务能力、设施现状、使用年限、配套设施等核心维度开展全域数据摸排和汇总整理。二是开展殡葬设施规划数据库建设与维护，形成殡葬设施规划“一张图”。全面落实市级殡葬设施布局专项规划要求，落实“三区三线”等底线管控要求，严格落实永久基本农田、生态保护红线等管控要求，衔接道路红线、河道蓝线等规划控制线，防止发生殡葬设施非法占用耕地、林地、草地及自然保护地的现象。同时，加强市、区两级殡葬设施布局的统筹衔接，结合区级殡葬设施布局专项规划，明确殡仪馆、农村公益性公墓和骨灰堂、城市公益性骨灰堂、经营性公墓和骨灰堂、回民公墓以及殡仪服务站等各类殡葬设施的用地规模和四至边界。三是制定殡葬设施近期规划。衔接“十五五”规划，进一步明确至2030年殡葬设施近期规划建设目标，明确殡仪馆、农村公益性公墓和骨灰堂、城市公益性骨灰堂等殡葬设施的近期规划布局和重点建设项目，做好计划安排，有序推进殡葬设施落地实施。</w:t>
      </w:r>
    </w:p>
    <w:p>
      <w:pPr>
        <w:spacing w:line="360" w:lineRule="auto"/>
        <w:ind w:firstLine="602" w:firstLineChars="200"/>
        <w:jc w:val="both"/>
        <w:rPr>
          <w:rFonts w:ascii="仿宋_GB2312" w:hAnsi="仿宋" w:eastAsia="仿宋_GB2312"/>
          <w:sz w:val="30"/>
          <w:szCs w:val="30"/>
        </w:rPr>
      </w:pPr>
      <w:r>
        <w:rPr>
          <w:rFonts w:ascii="仿宋_GB2312" w:hAnsi="仿宋" w:eastAsia="仿宋_GB2312"/>
          <w:b/>
          <w:sz w:val="30"/>
          <w:szCs w:val="30"/>
        </w:rPr>
        <w:t>4.</w:t>
      </w:r>
      <w:r>
        <w:rPr>
          <w:rFonts w:hint="eastAsia" w:ascii="仿宋_GB2312" w:hAnsi="仿宋" w:eastAsia="仿宋_GB2312"/>
          <w:b/>
          <w:sz w:val="30"/>
          <w:szCs w:val="30"/>
        </w:rPr>
        <w:t xml:space="preserve"> 2026年度上海新城绿环空间贯通与融合提升技术服务：</w:t>
      </w:r>
      <w:r>
        <w:rPr>
          <w:rFonts w:hint="eastAsia" w:ascii="仿宋_GB2312" w:hAnsi="仿宋" w:eastAsia="仿宋_GB2312"/>
          <w:sz w:val="30"/>
          <w:szCs w:val="30"/>
        </w:rPr>
        <w:t>新城绿环是本市市域生态网络的重要组成部分，是紧邻新城重要的乡村地区、生态空间和公共开放空间。2023年，《上海市新城绿环专项规划》获批，构建了“54113”新城绿环体系，锚固并优化了市域生态网络格局，明确了总体发展导向和近期建设重点。五个新城绿环已开展包括绿道建设、水系整治、林地建设在内的多个实施项目，建设成效初显，但比对规划目标还存在一定差距。本项目主要完成2026年度上海新城绿环空间贯通与融合提升技术服务工作，从市级层面加强对各新城绿环规划建设的统筹指导，高质量推进新城绿环贯通建设，系统推进新城绿环空间贯通与融合提升。具体内容包括三个方面，一是研究、完善形成上海新城绿环空间贯通与融合提升行动方案（2025-2027年），锚定新城绿环专项规划总体目标，明确新城绿环贯通实施总体要求，整体谋划近3年、1年的新城绿环若干行动安排，形成项目清单；二是开展上海新城绿环空间贯通与融合提升行动年度跟踪服务，通过配合组织工作例会、现场调研等多种形式，加强市区沟通、各部门协调和重大问题会商对接，推动行动方案实施；三是开展系列宣贯推广活动，通过配合组织线上、线下等多种形式的宣传推广活动，营造新城绿环建设实施的持续热度、提升公众参与度和社会影响力。</w:t>
      </w:r>
    </w:p>
    <w:p>
      <w:pPr>
        <w:spacing w:line="360" w:lineRule="auto"/>
        <w:ind w:firstLine="602" w:firstLineChars="200"/>
        <w:jc w:val="both"/>
        <w:rPr>
          <w:rFonts w:ascii="仿宋_GB2312" w:hAnsi="仿宋" w:eastAsia="仿宋_GB2312"/>
          <w:sz w:val="30"/>
          <w:szCs w:val="30"/>
        </w:rPr>
      </w:pPr>
      <w:r>
        <w:rPr>
          <w:rFonts w:ascii="仿宋_GB2312" w:hAnsi="仿宋" w:eastAsia="仿宋_GB2312"/>
          <w:b/>
          <w:sz w:val="30"/>
          <w:szCs w:val="30"/>
        </w:rPr>
        <w:t>5</w:t>
      </w:r>
      <w:r>
        <w:rPr>
          <w:rFonts w:hint="eastAsia" w:ascii="仿宋_GB2312" w:hAnsi="仿宋" w:eastAsia="仿宋_GB2312"/>
          <w:b/>
          <w:sz w:val="30"/>
          <w:szCs w:val="30"/>
        </w:rPr>
        <w:t>.</w:t>
      </w:r>
      <w:r>
        <w:rPr>
          <w:rFonts w:hint="eastAsia"/>
        </w:rPr>
        <w:t xml:space="preserve"> </w:t>
      </w:r>
      <w:r>
        <w:rPr>
          <w:rFonts w:hint="eastAsia" w:ascii="仿宋_GB2312" w:hAnsi="仿宋" w:eastAsia="仿宋_GB2312"/>
          <w:b/>
          <w:sz w:val="30"/>
          <w:szCs w:val="30"/>
        </w:rPr>
        <w:t>全市风帆运动总体格局及规划选址方案研究：</w:t>
      </w:r>
      <w:r>
        <w:rPr>
          <w:rFonts w:hint="eastAsia" w:ascii="仿宋_GB2312" w:hAnsi="仿宋" w:eastAsia="仿宋_GB2312"/>
          <w:sz w:val="30"/>
          <w:szCs w:val="30"/>
        </w:rPr>
        <w:t>聚焦风帆运动这一国际高端体育产业新赛道，系统开展全市风帆运动总体格局构建与规划场地选址研究，旨在为风帆运动预留战略空间，为空间规划提供科学依据，推动体育、文化、旅游与商业深度融合，培育城市发展新动能。具体包括三个方面，一是国内外案例研究。选取风帆运动发达且举办过国际风帆运动赛事的国内外城市开展案例研究，总结风帆运动场地、运营管理以及配套建设的特征和趋势，总结不同级别赛事、不同类型船只对于运动场地的选址要求和设施需求。二是选址需求调研与功能定位研究。梳理相关政策文件和规划成果，分析风帆行业发展现状及趋势，通过实地调研了解风帆运动发展导向和场地选址要求。研究上海风帆运动场地功能定位及周边地区发展的整体设想。三是选址方案和开发计划制定。深入评估在横沙外港地区预留风帆运动水域场地的可行性，同时开展多方案比选，经科学论证后确定选址方案，并提出建设布局的初步方案。结合实际需求，明确开发时序，制定近远期计划，提出实施运营建议。</w:t>
      </w:r>
    </w:p>
    <w:p>
      <w:pPr>
        <w:spacing w:line="360" w:lineRule="auto"/>
        <w:ind w:firstLine="560" w:firstLineChars="200"/>
        <w:jc w:val="both"/>
        <w:rPr>
          <w:rFonts w:ascii="黑体" w:hAnsi="黑体" w:eastAsia="黑体"/>
          <w:sz w:val="28"/>
          <w:szCs w:val="28"/>
        </w:rPr>
      </w:pPr>
      <w:r>
        <w:rPr>
          <w:rFonts w:hint="eastAsia" w:ascii="黑体" w:hAnsi="黑体" w:eastAsia="黑体"/>
          <w:sz w:val="28"/>
          <w:szCs w:val="28"/>
        </w:rPr>
        <w:t>三、成果要求</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形成《上海市韧性安全城市建设“十五五”规划》中“城市韧性安全空间布局体系”的规划文本内容、《上海市高校空间布局战略规划》文本、《上海市殡葬设施数据库说明和近期规划报告》、《上海新城绿环空间贯通与融合提升技术服务（2026年）》报告、《全市风帆运动总体格局及规划选址方案研究》报告等成果。</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成果形式包括打印的纸质文本和电子文件，电子文件应包括PDF文件和可编辑的WORD格式文件等。</w:t>
      </w:r>
    </w:p>
    <w:p>
      <w:pPr>
        <w:spacing w:line="360" w:lineRule="auto"/>
        <w:ind w:firstLine="562" w:firstLineChars="200"/>
        <w:jc w:val="both"/>
        <w:rPr>
          <w:rFonts w:ascii="仿宋_GB2312" w:hAnsi="宋体" w:eastAsia="仿宋_GB2312"/>
          <w:b/>
          <w:sz w:val="28"/>
          <w:szCs w:val="28"/>
        </w:rPr>
      </w:pPr>
      <w:r>
        <w:rPr>
          <w:rFonts w:hint="eastAsia" w:ascii="仿宋_GB2312" w:hAnsi="宋体" w:eastAsia="仿宋_GB2312"/>
          <w:b/>
          <w:sz w:val="28"/>
          <w:szCs w:val="28"/>
        </w:rPr>
        <w:t>四、进度要求</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按照上海市规划和自然资源局具体工作时间要求推进，原则上于202</w:t>
      </w:r>
      <w:r>
        <w:rPr>
          <w:rFonts w:ascii="仿宋_GB2312" w:hAnsi="仿宋" w:eastAsia="仿宋_GB2312"/>
          <w:sz w:val="30"/>
          <w:szCs w:val="30"/>
        </w:rPr>
        <w:t>6</w:t>
      </w:r>
      <w:r>
        <w:rPr>
          <w:rFonts w:hint="eastAsia" w:ascii="仿宋_GB2312" w:hAnsi="仿宋" w:eastAsia="仿宋_GB2312"/>
          <w:sz w:val="30"/>
          <w:szCs w:val="30"/>
        </w:rPr>
        <w:t>年12月31日前完成并提交成果。</w:t>
      </w:r>
    </w:p>
    <w:p>
      <w:pPr>
        <w:spacing w:line="360" w:lineRule="auto"/>
        <w:ind w:firstLine="562" w:firstLineChars="200"/>
        <w:jc w:val="both"/>
        <w:rPr>
          <w:rFonts w:ascii="仿宋_GB2312" w:hAnsi="宋体" w:eastAsia="仿宋_GB2312"/>
          <w:b/>
          <w:sz w:val="28"/>
          <w:szCs w:val="28"/>
        </w:rPr>
      </w:pPr>
      <w:r>
        <w:rPr>
          <w:rFonts w:hint="eastAsia" w:ascii="仿宋_GB2312" w:hAnsi="宋体" w:eastAsia="仿宋_GB2312"/>
          <w:b/>
          <w:sz w:val="28"/>
          <w:szCs w:val="28"/>
        </w:rPr>
        <w:t>五、资质要求</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具有城乡规划编制资质证书乙级及以上资质。</w:t>
      </w:r>
    </w:p>
    <w:p>
      <w:pPr>
        <w:spacing w:line="360" w:lineRule="auto"/>
        <w:ind w:firstLine="562" w:firstLineChars="200"/>
        <w:jc w:val="both"/>
        <w:rPr>
          <w:rFonts w:ascii="仿宋_GB2312" w:hAnsi="宋体" w:eastAsia="仿宋_GB2312"/>
          <w:b/>
          <w:sz w:val="28"/>
          <w:szCs w:val="28"/>
        </w:rPr>
      </w:pPr>
      <w:r>
        <w:rPr>
          <w:rFonts w:hint="eastAsia" w:ascii="仿宋_GB2312" w:hAnsi="宋体" w:eastAsia="仿宋_GB2312"/>
          <w:b/>
          <w:sz w:val="28"/>
          <w:szCs w:val="28"/>
        </w:rPr>
        <w:t>六、转包与分包</w:t>
      </w:r>
    </w:p>
    <w:p>
      <w:pPr>
        <w:spacing w:line="360" w:lineRule="auto"/>
        <w:ind w:firstLine="600" w:firstLineChars="200"/>
        <w:jc w:val="both"/>
        <w:rPr>
          <w:rFonts w:ascii="仿宋" w:hAnsi="仿宋" w:eastAsia="仿宋"/>
          <w:sz w:val="30"/>
          <w:szCs w:val="30"/>
        </w:rPr>
      </w:pPr>
      <w:r>
        <w:rPr>
          <w:rFonts w:hint="eastAsia" w:ascii="仿宋" w:hAnsi="仿宋" w:eastAsia="仿宋"/>
          <w:sz w:val="30"/>
          <w:szCs w:val="30"/>
        </w:rPr>
        <w:t>本项目合同不得转让、合同主体部分不得分包，合同非主体部分经采购人确认需要委托专项服务单位实行服务的则允许分包，允许分包的服务项内容为相关数据处理、分析、测算等技术支撑工作；分包承担主体应当具备相应资质条件且不得再次分包，除投标文件已载明分包的专项服务事项外，中标后一律不得对外分包。</w:t>
      </w:r>
    </w:p>
    <w:p>
      <w:pPr>
        <w:spacing w:line="360" w:lineRule="auto"/>
        <w:ind w:firstLine="562" w:firstLineChars="200"/>
        <w:jc w:val="both"/>
        <w:rPr>
          <w:rFonts w:ascii="仿宋_GB2312" w:hAnsi="宋体" w:eastAsia="仿宋_GB2312"/>
          <w:b/>
          <w:sz w:val="28"/>
          <w:szCs w:val="28"/>
        </w:rPr>
      </w:pPr>
      <w:r>
        <w:rPr>
          <w:rFonts w:hint="eastAsia" w:ascii="仿宋_GB2312" w:hAnsi="宋体" w:eastAsia="仿宋_GB2312"/>
          <w:b/>
          <w:sz w:val="28"/>
          <w:szCs w:val="28"/>
        </w:rPr>
        <w:t>七、联合投标</w:t>
      </w:r>
    </w:p>
    <w:p>
      <w:pPr>
        <w:spacing w:line="360" w:lineRule="auto"/>
        <w:ind w:firstLine="600" w:firstLineChars="200"/>
        <w:jc w:val="both"/>
        <w:rPr>
          <w:rFonts w:ascii="仿宋" w:hAnsi="仿宋" w:eastAsia="仿宋"/>
          <w:sz w:val="30"/>
          <w:szCs w:val="30"/>
        </w:rPr>
      </w:pPr>
      <w:r>
        <w:rPr>
          <w:rFonts w:hint="eastAsia" w:ascii="仿宋_GB2312" w:hAnsi="仿宋" w:eastAsia="仿宋_GB2312"/>
          <w:sz w:val="30"/>
          <w:szCs w:val="30"/>
        </w:rPr>
        <w:t>本项目接受（不）联合投标</w:t>
      </w:r>
    </w:p>
    <w:p>
      <w:pPr>
        <w:spacing w:line="360" w:lineRule="auto"/>
        <w:ind w:firstLine="562" w:firstLineChars="200"/>
        <w:jc w:val="both"/>
        <w:rPr>
          <w:rFonts w:ascii="仿宋_GB2312" w:hAnsi="宋体" w:eastAsia="仿宋_GB2312"/>
          <w:b/>
          <w:sz w:val="28"/>
          <w:szCs w:val="28"/>
        </w:rPr>
      </w:pPr>
      <w:r>
        <w:rPr>
          <w:rFonts w:hint="eastAsia" w:ascii="仿宋_GB2312" w:hAnsi="宋体" w:eastAsia="仿宋_GB2312"/>
          <w:b/>
          <w:sz w:val="28"/>
          <w:szCs w:val="28"/>
        </w:rPr>
        <w:t>八、人员组织要求</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1、项目组人员数量和专业组成结构等方面应满足本项目服务需求，供应商应提供负责本项目的服务团队人数（不包含项目负责人）不少于8人，具有城乡规划、交通等相关专业高级职称证书或硕士及以上学历人数不少于5人的优先考虑。在服务期限内，项目组人员应保持相对稳定，以保证服务工作的正常进行。</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2、项目负责人需具有注册城乡规划师证书；从事城乡规划相关技术工作八年以上，具有城乡规划相关专业高级工程师职称。</w:t>
      </w:r>
    </w:p>
    <w:p>
      <w:pPr>
        <w:spacing w:line="360" w:lineRule="auto"/>
        <w:ind w:firstLine="562" w:firstLineChars="200"/>
        <w:jc w:val="both"/>
        <w:rPr>
          <w:rFonts w:ascii="仿宋_GB2312" w:hAnsi="宋体" w:eastAsia="仿宋_GB2312"/>
          <w:b/>
          <w:sz w:val="28"/>
          <w:szCs w:val="28"/>
        </w:rPr>
      </w:pPr>
      <w:r>
        <w:rPr>
          <w:rFonts w:hint="eastAsia" w:ascii="仿宋_GB2312" w:hAnsi="宋体" w:eastAsia="仿宋_GB2312"/>
          <w:b/>
          <w:sz w:val="28"/>
          <w:szCs w:val="28"/>
        </w:rPr>
        <w:t>八、其他要求</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1、根据上海市规划和自然资源局相关工作要求变化即时做出工作调整。</w:t>
      </w:r>
    </w:p>
    <w:p>
      <w:pPr>
        <w:spacing w:line="360" w:lineRule="auto"/>
        <w:ind w:firstLine="600" w:firstLineChars="200"/>
        <w:jc w:val="both"/>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、项目实施过程中应严格遵守国家和地方有关安全生产规定。</w:t>
      </w:r>
    </w:p>
    <w:p>
      <w:pPr>
        <w:spacing w:line="360" w:lineRule="auto"/>
        <w:ind w:firstLine="600" w:firstLineChars="200"/>
        <w:jc w:val="both"/>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、严格遵守保密要求，未经委托人许可，中标单位不得向第三方泄露与本工作相关的任何资料、数据和成果。</w:t>
      </w:r>
    </w:p>
    <w:p>
      <w:pPr>
        <w:spacing w:line="360" w:lineRule="auto"/>
        <w:ind w:firstLine="600" w:firstLineChars="200"/>
        <w:jc w:val="both"/>
        <w:rPr>
          <w:rFonts w:ascii="仿宋_GB2312" w:hAnsi="仿宋" w:eastAsia="仿宋_GB2312"/>
          <w:sz w:val="30"/>
          <w:szCs w:val="30"/>
        </w:rPr>
      </w:pPr>
      <w:r>
        <w:rPr>
          <w:rFonts w:hint="eastAsia" w:ascii="仿宋_GB2312" w:hAnsi="仿宋" w:eastAsia="仿宋_GB2312"/>
          <w:sz w:val="30"/>
          <w:szCs w:val="30"/>
        </w:rPr>
        <w:t>4、供应商具有ISO9001质量管理体系认证证书、类似项目</w:t>
      </w:r>
      <w:bookmarkStart w:id="0" w:name="_GoBack"/>
      <w:bookmarkEnd w:id="0"/>
      <w:r>
        <w:rPr>
          <w:rFonts w:hint="eastAsia" w:ascii="仿宋_GB2312" w:hAnsi="仿宋" w:eastAsia="仿宋_GB2312"/>
          <w:sz w:val="30"/>
          <w:szCs w:val="30"/>
        </w:rPr>
        <w:t>的优先考虑。</w:t>
      </w:r>
    </w:p>
    <w:p>
      <w:pPr>
        <w:spacing w:line="360" w:lineRule="auto"/>
        <w:ind w:firstLine="600" w:firstLineChars="200"/>
        <w:jc w:val="both"/>
        <w:rPr>
          <w:rFonts w:ascii="仿宋_GB2312" w:hAnsi="仿宋" w:eastAsia="仿宋_GB2312"/>
          <w:sz w:val="30"/>
          <w:szCs w:val="30"/>
        </w:rPr>
      </w:pPr>
    </w:p>
    <w:sectPr>
      <w:footerReference r:id="rId4" w:type="default"/>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260329"/>
    </w:sdtPr>
    <w:sdtContent>
      <w:p>
        <w:pPr>
          <w:pStyle w:val="6"/>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EE7"/>
    <w:rsid w:val="00001CFC"/>
    <w:rsid w:val="00002517"/>
    <w:rsid w:val="00006BC8"/>
    <w:rsid w:val="000135F4"/>
    <w:rsid w:val="00022264"/>
    <w:rsid w:val="00027EFA"/>
    <w:rsid w:val="00034DEB"/>
    <w:rsid w:val="00041B50"/>
    <w:rsid w:val="00042C1B"/>
    <w:rsid w:val="00051366"/>
    <w:rsid w:val="00054DCA"/>
    <w:rsid w:val="00065710"/>
    <w:rsid w:val="000719E3"/>
    <w:rsid w:val="0007429E"/>
    <w:rsid w:val="0007647B"/>
    <w:rsid w:val="00076737"/>
    <w:rsid w:val="00080B15"/>
    <w:rsid w:val="000849E2"/>
    <w:rsid w:val="000879D5"/>
    <w:rsid w:val="000919CC"/>
    <w:rsid w:val="0009258E"/>
    <w:rsid w:val="000955B8"/>
    <w:rsid w:val="00096699"/>
    <w:rsid w:val="000A05AA"/>
    <w:rsid w:val="000A37D1"/>
    <w:rsid w:val="000A513E"/>
    <w:rsid w:val="000B4725"/>
    <w:rsid w:val="000B5E15"/>
    <w:rsid w:val="000C35C1"/>
    <w:rsid w:val="000C4CD7"/>
    <w:rsid w:val="000D1371"/>
    <w:rsid w:val="000D710C"/>
    <w:rsid w:val="000D7617"/>
    <w:rsid w:val="000F2E72"/>
    <w:rsid w:val="000F47F7"/>
    <w:rsid w:val="0010011F"/>
    <w:rsid w:val="001100E5"/>
    <w:rsid w:val="00111B0E"/>
    <w:rsid w:val="001252D4"/>
    <w:rsid w:val="00133628"/>
    <w:rsid w:val="00133ED2"/>
    <w:rsid w:val="0015054D"/>
    <w:rsid w:val="001576C2"/>
    <w:rsid w:val="0016177B"/>
    <w:rsid w:val="0016263B"/>
    <w:rsid w:val="00163FDA"/>
    <w:rsid w:val="001659BA"/>
    <w:rsid w:val="00165CDA"/>
    <w:rsid w:val="00166161"/>
    <w:rsid w:val="00166B6E"/>
    <w:rsid w:val="001719AD"/>
    <w:rsid w:val="001724AE"/>
    <w:rsid w:val="00176C08"/>
    <w:rsid w:val="00177F69"/>
    <w:rsid w:val="00182E71"/>
    <w:rsid w:val="001843FA"/>
    <w:rsid w:val="0018485E"/>
    <w:rsid w:val="00193130"/>
    <w:rsid w:val="00193F94"/>
    <w:rsid w:val="00195494"/>
    <w:rsid w:val="00197D3D"/>
    <w:rsid w:val="001A0707"/>
    <w:rsid w:val="001A0D30"/>
    <w:rsid w:val="001A2CEF"/>
    <w:rsid w:val="001A4AE0"/>
    <w:rsid w:val="001A5668"/>
    <w:rsid w:val="001A64F6"/>
    <w:rsid w:val="001B020E"/>
    <w:rsid w:val="001B0B96"/>
    <w:rsid w:val="001B11F6"/>
    <w:rsid w:val="001B6F06"/>
    <w:rsid w:val="001C1742"/>
    <w:rsid w:val="001C1986"/>
    <w:rsid w:val="001D1F1B"/>
    <w:rsid w:val="001D4FA1"/>
    <w:rsid w:val="001E2C78"/>
    <w:rsid w:val="001E7032"/>
    <w:rsid w:val="001E7E8E"/>
    <w:rsid w:val="001F496E"/>
    <w:rsid w:val="001F6999"/>
    <w:rsid w:val="0020085E"/>
    <w:rsid w:val="00205796"/>
    <w:rsid w:val="00206FB2"/>
    <w:rsid w:val="002133F4"/>
    <w:rsid w:val="00213878"/>
    <w:rsid w:val="002175BB"/>
    <w:rsid w:val="00220CDA"/>
    <w:rsid w:val="00230693"/>
    <w:rsid w:val="00231093"/>
    <w:rsid w:val="0023230D"/>
    <w:rsid w:val="002329A6"/>
    <w:rsid w:val="00236C08"/>
    <w:rsid w:val="0023733C"/>
    <w:rsid w:val="00237DA1"/>
    <w:rsid w:val="00237F8A"/>
    <w:rsid w:val="00240662"/>
    <w:rsid w:val="002503FD"/>
    <w:rsid w:val="002600EA"/>
    <w:rsid w:val="00261CB2"/>
    <w:rsid w:val="00263EE1"/>
    <w:rsid w:val="002673BC"/>
    <w:rsid w:val="002710AD"/>
    <w:rsid w:val="002757AD"/>
    <w:rsid w:val="00280BD5"/>
    <w:rsid w:val="0028136E"/>
    <w:rsid w:val="00282285"/>
    <w:rsid w:val="002837D8"/>
    <w:rsid w:val="0028661C"/>
    <w:rsid w:val="00291E8E"/>
    <w:rsid w:val="002A0B7D"/>
    <w:rsid w:val="002A1DBA"/>
    <w:rsid w:val="002A67A8"/>
    <w:rsid w:val="002A6FC2"/>
    <w:rsid w:val="002C2EB2"/>
    <w:rsid w:val="002D5811"/>
    <w:rsid w:val="002D6E2C"/>
    <w:rsid w:val="002E7B8F"/>
    <w:rsid w:val="002F0476"/>
    <w:rsid w:val="002F4574"/>
    <w:rsid w:val="002F6D3A"/>
    <w:rsid w:val="002F6FEA"/>
    <w:rsid w:val="0030005B"/>
    <w:rsid w:val="0030044C"/>
    <w:rsid w:val="00302458"/>
    <w:rsid w:val="00320701"/>
    <w:rsid w:val="00323B43"/>
    <w:rsid w:val="00324287"/>
    <w:rsid w:val="00334FB5"/>
    <w:rsid w:val="0033581D"/>
    <w:rsid w:val="003428F1"/>
    <w:rsid w:val="003430DA"/>
    <w:rsid w:val="0034378A"/>
    <w:rsid w:val="003452AE"/>
    <w:rsid w:val="00354379"/>
    <w:rsid w:val="00354C85"/>
    <w:rsid w:val="00355E0E"/>
    <w:rsid w:val="00373743"/>
    <w:rsid w:val="003815D3"/>
    <w:rsid w:val="003832FF"/>
    <w:rsid w:val="0039213A"/>
    <w:rsid w:val="00395920"/>
    <w:rsid w:val="00396D67"/>
    <w:rsid w:val="003A0575"/>
    <w:rsid w:val="003A1D5D"/>
    <w:rsid w:val="003A3F85"/>
    <w:rsid w:val="003A7BE0"/>
    <w:rsid w:val="003A7CA5"/>
    <w:rsid w:val="003B4970"/>
    <w:rsid w:val="003B6DDC"/>
    <w:rsid w:val="003B7E3D"/>
    <w:rsid w:val="003C1A86"/>
    <w:rsid w:val="003C1C9A"/>
    <w:rsid w:val="003C5570"/>
    <w:rsid w:val="003C6FCB"/>
    <w:rsid w:val="003D37D8"/>
    <w:rsid w:val="003E04B7"/>
    <w:rsid w:val="003E49F5"/>
    <w:rsid w:val="003F246A"/>
    <w:rsid w:val="003F639E"/>
    <w:rsid w:val="00400F5E"/>
    <w:rsid w:val="004013DB"/>
    <w:rsid w:val="00402166"/>
    <w:rsid w:val="00402900"/>
    <w:rsid w:val="00402927"/>
    <w:rsid w:val="00407DAD"/>
    <w:rsid w:val="004173FF"/>
    <w:rsid w:val="00427C85"/>
    <w:rsid w:val="004329B6"/>
    <w:rsid w:val="004358AB"/>
    <w:rsid w:val="00440C95"/>
    <w:rsid w:val="00440DA8"/>
    <w:rsid w:val="00445138"/>
    <w:rsid w:val="004453A6"/>
    <w:rsid w:val="00454CC1"/>
    <w:rsid w:val="00457F74"/>
    <w:rsid w:val="00463BC2"/>
    <w:rsid w:val="004649EA"/>
    <w:rsid w:val="00465B11"/>
    <w:rsid w:val="00465EED"/>
    <w:rsid w:val="004660FE"/>
    <w:rsid w:val="004721BB"/>
    <w:rsid w:val="004755AE"/>
    <w:rsid w:val="00476365"/>
    <w:rsid w:val="004903AE"/>
    <w:rsid w:val="00492223"/>
    <w:rsid w:val="00492298"/>
    <w:rsid w:val="004927ED"/>
    <w:rsid w:val="00492CA7"/>
    <w:rsid w:val="004946D3"/>
    <w:rsid w:val="004A2EC8"/>
    <w:rsid w:val="004A3AF5"/>
    <w:rsid w:val="004A4F45"/>
    <w:rsid w:val="004B6C5B"/>
    <w:rsid w:val="004C031E"/>
    <w:rsid w:val="004C633D"/>
    <w:rsid w:val="004C71FE"/>
    <w:rsid w:val="004D09C0"/>
    <w:rsid w:val="004D2123"/>
    <w:rsid w:val="004D7B0E"/>
    <w:rsid w:val="004E0742"/>
    <w:rsid w:val="004E1E8C"/>
    <w:rsid w:val="004E2BBA"/>
    <w:rsid w:val="004E5FA0"/>
    <w:rsid w:val="004F1F0B"/>
    <w:rsid w:val="0050111E"/>
    <w:rsid w:val="00501E21"/>
    <w:rsid w:val="005110DB"/>
    <w:rsid w:val="005238F9"/>
    <w:rsid w:val="00523D33"/>
    <w:rsid w:val="00541E10"/>
    <w:rsid w:val="00543E06"/>
    <w:rsid w:val="0054550C"/>
    <w:rsid w:val="00545745"/>
    <w:rsid w:val="00546325"/>
    <w:rsid w:val="00550C5A"/>
    <w:rsid w:val="00556CD7"/>
    <w:rsid w:val="00556D04"/>
    <w:rsid w:val="0055700C"/>
    <w:rsid w:val="00580717"/>
    <w:rsid w:val="005812EE"/>
    <w:rsid w:val="0058199F"/>
    <w:rsid w:val="00584703"/>
    <w:rsid w:val="00590957"/>
    <w:rsid w:val="00590BDA"/>
    <w:rsid w:val="005A2F6B"/>
    <w:rsid w:val="005A7DB6"/>
    <w:rsid w:val="005B1D98"/>
    <w:rsid w:val="005B582B"/>
    <w:rsid w:val="005C0E1E"/>
    <w:rsid w:val="005C44A0"/>
    <w:rsid w:val="005C4784"/>
    <w:rsid w:val="005C7418"/>
    <w:rsid w:val="005D1754"/>
    <w:rsid w:val="005D3573"/>
    <w:rsid w:val="005D6A98"/>
    <w:rsid w:val="005E0131"/>
    <w:rsid w:val="005E0689"/>
    <w:rsid w:val="005E4507"/>
    <w:rsid w:val="005E78B3"/>
    <w:rsid w:val="005F334D"/>
    <w:rsid w:val="005F58EF"/>
    <w:rsid w:val="005F5DB5"/>
    <w:rsid w:val="005F7386"/>
    <w:rsid w:val="00601A8F"/>
    <w:rsid w:val="00603B8F"/>
    <w:rsid w:val="00612F38"/>
    <w:rsid w:val="0061645D"/>
    <w:rsid w:val="00621AE5"/>
    <w:rsid w:val="00621EE7"/>
    <w:rsid w:val="006228C0"/>
    <w:rsid w:val="00624294"/>
    <w:rsid w:val="00627C0C"/>
    <w:rsid w:val="00634332"/>
    <w:rsid w:val="00647979"/>
    <w:rsid w:val="006530A5"/>
    <w:rsid w:val="00653A68"/>
    <w:rsid w:val="0065447A"/>
    <w:rsid w:val="00656336"/>
    <w:rsid w:val="00660428"/>
    <w:rsid w:val="0066460C"/>
    <w:rsid w:val="00670F4E"/>
    <w:rsid w:val="00671E59"/>
    <w:rsid w:val="00672210"/>
    <w:rsid w:val="006756AB"/>
    <w:rsid w:val="00676AA5"/>
    <w:rsid w:val="00680498"/>
    <w:rsid w:val="00692426"/>
    <w:rsid w:val="0069376E"/>
    <w:rsid w:val="00695C52"/>
    <w:rsid w:val="00695DB5"/>
    <w:rsid w:val="00696DE9"/>
    <w:rsid w:val="00697B4F"/>
    <w:rsid w:val="006A4530"/>
    <w:rsid w:val="006A4B1A"/>
    <w:rsid w:val="006B21AA"/>
    <w:rsid w:val="006B2466"/>
    <w:rsid w:val="006B7BEF"/>
    <w:rsid w:val="006C074D"/>
    <w:rsid w:val="006C62F0"/>
    <w:rsid w:val="006C77AF"/>
    <w:rsid w:val="006D0DE0"/>
    <w:rsid w:val="006D28C7"/>
    <w:rsid w:val="006D3548"/>
    <w:rsid w:val="006D66E0"/>
    <w:rsid w:val="006D7277"/>
    <w:rsid w:val="00700C4B"/>
    <w:rsid w:val="00701AED"/>
    <w:rsid w:val="007045C6"/>
    <w:rsid w:val="00705306"/>
    <w:rsid w:val="0070708F"/>
    <w:rsid w:val="007148C3"/>
    <w:rsid w:val="0071562E"/>
    <w:rsid w:val="00715A91"/>
    <w:rsid w:val="007172B5"/>
    <w:rsid w:val="00720E4D"/>
    <w:rsid w:val="007274DB"/>
    <w:rsid w:val="00732889"/>
    <w:rsid w:val="00733A03"/>
    <w:rsid w:val="007353CD"/>
    <w:rsid w:val="00747142"/>
    <w:rsid w:val="00755159"/>
    <w:rsid w:val="00761A1C"/>
    <w:rsid w:val="00762D45"/>
    <w:rsid w:val="007652C0"/>
    <w:rsid w:val="0076647E"/>
    <w:rsid w:val="007704E1"/>
    <w:rsid w:val="007734AC"/>
    <w:rsid w:val="0077530C"/>
    <w:rsid w:val="00775D84"/>
    <w:rsid w:val="00776996"/>
    <w:rsid w:val="00785754"/>
    <w:rsid w:val="00790E8E"/>
    <w:rsid w:val="00792109"/>
    <w:rsid w:val="007936E6"/>
    <w:rsid w:val="00797C0B"/>
    <w:rsid w:val="007A097D"/>
    <w:rsid w:val="007A0E32"/>
    <w:rsid w:val="007B455D"/>
    <w:rsid w:val="007B59EA"/>
    <w:rsid w:val="007C07F6"/>
    <w:rsid w:val="007C1A14"/>
    <w:rsid w:val="007C1AE1"/>
    <w:rsid w:val="007C283C"/>
    <w:rsid w:val="007D0D30"/>
    <w:rsid w:val="007D3416"/>
    <w:rsid w:val="007D3EFB"/>
    <w:rsid w:val="007D4C64"/>
    <w:rsid w:val="007D5285"/>
    <w:rsid w:val="007D74B7"/>
    <w:rsid w:val="007E1E80"/>
    <w:rsid w:val="007E3B6A"/>
    <w:rsid w:val="007E66A3"/>
    <w:rsid w:val="007F1B21"/>
    <w:rsid w:val="007F1E32"/>
    <w:rsid w:val="007F417D"/>
    <w:rsid w:val="0080085D"/>
    <w:rsid w:val="008108D1"/>
    <w:rsid w:val="0081151E"/>
    <w:rsid w:val="008161A4"/>
    <w:rsid w:val="008271BA"/>
    <w:rsid w:val="00834A7F"/>
    <w:rsid w:val="0084080B"/>
    <w:rsid w:val="00841398"/>
    <w:rsid w:val="00842841"/>
    <w:rsid w:val="00846A71"/>
    <w:rsid w:val="00850C37"/>
    <w:rsid w:val="00851814"/>
    <w:rsid w:val="008702F8"/>
    <w:rsid w:val="0087271A"/>
    <w:rsid w:val="00873045"/>
    <w:rsid w:val="00880394"/>
    <w:rsid w:val="00887664"/>
    <w:rsid w:val="008876E5"/>
    <w:rsid w:val="008916B0"/>
    <w:rsid w:val="00896A37"/>
    <w:rsid w:val="00897406"/>
    <w:rsid w:val="008A1384"/>
    <w:rsid w:val="008A2236"/>
    <w:rsid w:val="008A22CE"/>
    <w:rsid w:val="008A28C8"/>
    <w:rsid w:val="008B6242"/>
    <w:rsid w:val="008B7726"/>
    <w:rsid w:val="008C136A"/>
    <w:rsid w:val="008D06DD"/>
    <w:rsid w:val="008D5CE9"/>
    <w:rsid w:val="008E0343"/>
    <w:rsid w:val="008E1C94"/>
    <w:rsid w:val="008E2089"/>
    <w:rsid w:val="008E314C"/>
    <w:rsid w:val="008E3620"/>
    <w:rsid w:val="008F0477"/>
    <w:rsid w:val="008F1423"/>
    <w:rsid w:val="008F3079"/>
    <w:rsid w:val="008F4F88"/>
    <w:rsid w:val="0090292E"/>
    <w:rsid w:val="00903F52"/>
    <w:rsid w:val="00907905"/>
    <w:rsid w:val="00910F2E"/>
    <w:rsid w:val="009244F5"/>
    <w:rsid w:val="00931D26"/>
    <w:rsid w:val="00932DB8"/>
    <w:rsid w:val="00934C30"/>
    <w:rsid w:val="009413D0"/>
    <w:rsid w:val="009428AB"/>
    <w:rsid w:val="009442F6"/>
    <w:rsid w:val="0095250D"/>
    <w:rsid w:val="00955542"/>
    <w:rsid w:val="00956FCE"/>
    <w:rsid w:val="009627A1"/>
    <w:rsid w:val="0096521A"/>
    <w:rsid w:val="00965BBD"/>
    <w:rsid w:val="00965C44"/>
    <w:rsid w:val="00970D73"/>
    <w:rsid w:val="00973DC1"/>
    <w:rsid w:val="0097711E"/>
    <w:rsid w:val="009809C2"/>
    <w:rsid w:val="009955FF"/>
    <w:rsid w:val="00996EBB"/>
    <w:rsid w:val="009A32D5"/>
    <w:rsid w:val="009A5152"/>
    <w:rsid w:val="009A530F"/>
    <w:rsid w:val="009A5C80"/>
    <w:rsid w:val="009B3008"/>
    <w:rsid w:val="009B5841"/>
    <w:rsid w:val="009C5DA9"/>
    <w:rsid w:val="009C5DD3"/>
    <w:rsid w:val="009D16EE"/>
    <w:rsid w:val="009D1A4C"/>
    <w:rsid w:val="009E00AB"/>
    <w:rsid w:val="009E43E4"/>
    <w:rsid w:val="009F025B"/>
    <w:rsid w:val="009F4CF3"/>
    <w:rsid w:val="00A013BD"/>
    <w:rsid w:val="00A0302E"/>
    <w:rsid w:val="00A05825"/>
    <w:rsid w:val="00A066A8"/>
    <w:rsid w:val="00A14B44"/>
    <w:rsid w:val="00A25108"/>
    <w:rsid w:val="00A313CE"/>
    <w:rsid w:val="00A316A0"/>
    <w:rsid w:val="00A33B01"/>
    <w:rsid w:val="00A35EFE"/>
    <w:rsid w:val="00A368D6"/>
    <w:rsid w:val="00A44EC0"/>
    <w:rsid w:val="00A456AF"/>
    <w:rsid w:val="00A50F0F"/>
    <w:rsid w:val="00A520F2"/>
    <w:rsid w:val="00A52F29"/>
    <w:rsid w:val="00A5511F"/>
    <w:rsid w:val="00A664B1"/>
    <w:rsid w:val="00A71FB4"/>
    <w:rsid w:val="00A71FEC"/>
    <w:rsid w:val="00A72DED"/>
    <w:rsid w:val="00A72E10"/>
    <w:rsid w:val="00A74CE5"/>
    <w:rsid w:val="00A75F53"/>
    <w:rsid w:val="00A80888"/>
    <w:rsid w:val="00A90CB8"/>
    <w:rsid w:val="00A9210C"/>
    <w:rsid w:val="00A939FF"/>
    <w:rsid w:val="00A97E6F"/>
    <w:rsid w:val="00AA05A3"/>
    <w:rsid w:val="00AA08D3"/>
    <w:rsid w:val="00AA15E5"/>
    <w:rsid w:val="00AA7552"/>
    <w:rsid w:val="00AA778B"/>
    <w:rsid w:val="00AA7967"/>
    <w:rsid w:val="00AB247E"/>
    <w:rsid w:val="00AB3C13"/>
    <w:rsid w:val="00AB7C92"/>
    <w:rsid w:val="00AC22AF"/>
    <w:rsid w:val="00AD2394"/>
    <w:rsid w:val="00AD50A0"/>
    <w:rsid w:val="00AD62A8"/>
    <w:rsid w:val="00AE0D61"/>
    <w:rsid w:val="00AE476A"/>
    <w:rsid w:val="00AE6A52"/>
    <w:rsid w:val="00AF2796"/>
    <w:rsid w:val="00AF2E90"/>
    <w:rsid w:val="00B01E0D"/>
    <w:rsid w:val="00B0217E"/>
    <w:rsid w:val="00B07EBD"/>
    <w:rsid w:val="00B113D9"/>
    <w:rsid w:val="00B11DE5"/>
    <w:rsid w:val="00B136C1"/>
    <w:rsid w:val="00B17325"/>
    <w:rsid w:val="00B1756E"/>
    <w:rsid w:val="00B22958"/>
    <w:rsid w:val="00B23973"/>
    <w:rsid w:val="00B36F9E"/>
    <w:rsid w:val="00B404D1"/>
    <w:rsid w:val="00B50A53"/>
    <w:rsid w:val="00B51C8E"/>
    <w:rsid w:val="00B60106"/>
    <w:rsid w:val="00B63E63"/>
    <w:rsid w:val="00B6653C"/>
    <w:rsid w:val="00B70998"/>
    <w:rsid w:val="00B71A6D"/>
    <w:rsid w:val="00B71D1B"/>
    <w:rsid w:val="00B74446"/>
    <w:rsid w:val="00B82653"/>
    <w:rsid w:val="00B84A1C"/>
    <w:rsid w:val="00B91327"/>
    <w:rsid w:val="00B92309"/>
    <w:rsid w:val="00B94E8D"/>
    <w:rsid w:val="00BA351D"/>
    <w:rsid w:val="00BA4536"/>
    <w:rsid w:val="00BA5228"/>
    <w:rsid w:val="00BB0C99"/>
    <w:rsid w:val="00BB18AD"/>
    <w:rsid w:val="00BB39CC"/>
    <w:rsid w:val="00BC05FB"/>
    <w:rsid w:val="00BC34A7"/>
    <w:rsid w:val="00BC3610"/>
    <w:rsid w:val="00BC6A7E"/>
    <w:rsid w:val="00BC764C"/>
    <w:rsid w:val="00BD387F"/>
    <w:rsid w:val="00BD7595"/>
    <w:rsid w:val="00BE5B25"/>
    <w:rsid w:val="00BE5E5D"/>
    <w:rsid w:val="00BF55F3"/>
    <w:rsid w:val="00C0776A"/>
    <w:rsid w:val="00C12577"/>
    <w:rsid w:val="00C1720A"/>
    <w:rsid w:val="00C302EB"/>
    <w:rsid w:val="00C30A5C"/>
    <w:rsid w:val="00C317BF"/>
    <w:rsid w:val="00C32FA2"/>
    <w:rsid w:val="00C41135"/>
    <w:rsid w:val="00C41D2B"/>
    <w:rsid w:val="00C5096B"/>
    <w:rsid w:val="00C52B03"/>
    <w:rsid w:val="00C52DCA"/>
    <w:rsid w:val="00C543BE"/>
    <w:rsid w:val="00C5457E"/>
    <w:rsid w:val="00C636D3"/>
    <w:rsid w:val="00C649E3"/>
    <w:rsid w:val="00C65A74"/>
    <w:rsid w:val="00C706DE"/>
    <w:rsid w:val="00C77B6B"/>
    <w:rsid w:val="00C8024C"/>
    <w:rsid w:val="00C810A4"/>
    <w:rsid w:val="00C83C34"/>
    <w:rsid w:val="00C93B77"/>
    <w:rsid w:val="00C95F1F"/>
    <w:rsid w:val="00CA4578"/>
    <w:rsid w:val="00CB16B9"/>
    <w:rsid w:val="00CB3EE7"/>
    <w:rsid w:val="00CC1D91"/>
    <w:rsid w:val="00CC1F67"/>
    <w:rsid w:val="00CC2550"/>
    <w:rsid w:val="00CC35FA"/>
    <w:rsid w:val="00CC5A7A"/>
    <w:rsid w:val="00CC7E38"/>
    <w:rsid w:val="00CD0E25"/>
    <w:rsid w:val="00CD2068"/>
    <w:rsid w:val="00CD739B"/>
    <w:rsid w:val="00CE0070"/>
    <w:rsid w:val="00CE3463"/>
    <w:rsid w:val="00CE36AF"/>
    <w:rsid w:val="00CE4866"/>
    <w:rsid w:val="00CE5B8A"/>
    <w:rsid w:val="00CE788F"/>
    <w:rsid w:val="00CF0980"/>
    <w:rsid w:val="00D0536D"/>
    <w:rsid w:val="00D06333"/>
    <w:rsid w:val="00D11DA5"/>
    <w:rsid w:val="00D13C30"/>
    <w:rsid w:val="00D13EE9"/>
    <w:rsid w:val="00D15E7F"/>
    <w:rsid w:val="00D2051C"/>
    <w:rsid w:val="00D218AD"/>
    <w:rsid w:val="00D307D7"/>
    <w:rsid w:val="00D30BA8"/>
    <w:rsid w:val="00D36025"/>
    <w:rsid w:val="00D37153"/>
    <w:rsid w:val="00D419A4"/>
    <w:rsid w:val="00D42991"/>
    <w:rsid w:val="00D441B3"/>
    <w:rsid w:val="00D477FC"/>
    <w:rsid w:val="00D5398C"/>
    <w:rsid w:val="00D55457"/>
    <w:rsid w:val="00D605E5"/>
    <w:rsid w:val="00D734F7"/>
    <w:rsid w:val="00D766E3"/>
    <w:rsid w:val="00D8643C"/>
    <w:rsid w:val="00D9370E"/>
    <w:rsid w:val="00D93C7F"/>
    <w:rsid w:val="00DA01E3"/>
    <w:rsid w:val="00DA02A5"/>
    <w:rsid w:val="00DA2137"/>
    <w:rsid w:val="00DA632E"/>
    <w:rsid w:val="00DA6EB2"/>
    <w:rsid w:val="00DB0F36"/>
    <w:rsid w:val="00DB519D"/>
    <w:rsid w:val="00DB7007"/>
    <w:rsid w:val="00DB766C"/>
    <w:rsid w:val="00DC0917"/>
    <w:rsid w:val="00DC11D8"/>
    <w:rsid w:val="00DC4CAE"/>
    <w:rsid w:val="00DD2DCA"/>
    <w:rsid w:val="00DD405C"/>
    <w:rsid w:val="00DD5008"/>
    <w:rsid w:val="00DD5601"/>
    <w:rsid w:val="00DD78FF"/>
    <w:rsid w:val="00DE349D"/>
    <w:rsid w:val="00DE5D07"/>
    <w:rsid w:val="00DF26E9"/>
    <w:rsid w:val="00DF29D9"/>
    <w:rsid w:val="00DF505E"/>
    <w:rsid w:val="00DF7808"/>
    <w:rsid w:val="00E01DE8"/>
    <w:rsid w:val="00E04C6A"/>
    <w:rsid w:val="00E102F4"/>
    <w:rsid w:val="00E12E29"/>
    <w:rsid w:val="00E14BB5"/>
    <w:rsid w:val="00E17155"/>
    <w:rsid w:val="00E24427"/>
    <w:rsid w:val="00E32EBA"/>
    <w:rsid w:val="00E34F94"/>
    <w:rsid w:val="00E4051C"/>
    <w:rsid w:val="00E41818"/>
    <w:rsid w:val="00E4292D"/>
    <w:rsid w:val="00E50053"/>
    <w:rsid w:val="00E51242"/>
    <w:rsid w:val="00E51988"/>
    <w:rsid w:val="00E55E87"/>
    <w:rsid w:val="00E60471"/>
    <w:rsid w:val="00E66BD2"/>
    <w:rsid w:val="00E7222A"/>
    <w:rsid w:val="00E72956"/>
    <w:rsid w:val="00E72DDE"/>
    <w:rsid w:val="00E74855"/>
    <w:rsid w:val="00E75DC5"/>
    <w:rsid w:val="00E76E9D"/>
    <w:rsid w:val="00E85BB6"/>
    <w:rsid w:val="00E932AD"/>
    <w:rsid w:val="00EA042F"/>
    <w:rsid w:val="00EA2CCE"/>
    <w:rsid w:val="00EB3E2E"/>
    <w:rsid w:val="00EC12C9"/>
    <w:rsid w:val="00EC7F04"/>
    <w:rsid w:val="00ED275F"/>
    <w:rsid w:val="00ED3CB5"/>
    <w:rsid w:val="00ED79D2"/>
    <w:rsid w:val="00EE01FB"/>
    <w:rsid w:val="00EE3555"/>
    <w:rsid w:val="00EF239A"/>
    <w:rsid w:val="00EF2CE5"/>
    <w:rsid w:val="00EF3A28"/>
    <w:rsid w:val="00EF501E"/>
    <w:rsid w:val="00EF70C0"/>
    <w:rsid w:val="00EF7A8E"/>
    <w:rsid w:val="00F06E02"/>
    <w:rsid w:val="00F102DD"/>
    <w:rsid w:val="00F15174"/>
    <w:rsid w:val="00F16331"/>
    <w:rsid w:val="00F16498"/>
    <w:rsid w:val="00F233B9"/>
    <w:rsid w:val="00F26B4D"/>
    <w:rsid w:val="00F26B7C"/>
    <w:rsid w:val="00F27CF0"/>
    <w:rsid w:val="00F40178"/>
    <w:rsid w:val="00F46BC4"/>
    <w:rsid w:val="00F51AF6"/>
    <w:rsid w:val="00F61CC5"/>
    <w:rsid w:val="00F67281"/>
    <w:rsid w:val="00F71C8A"/>
    <w:rsid w:val="00F72AF2"/>
    <w:rsid w:val="00F77932"/>
    <w:rsid w:val="00F804B6"/>
    <w:rsid w:val="00F8308A"/>
    <w:rsid w:val="00F8447C"/>
    <w:rsid w:val="00F84B86"/>
    <w:rsid w:val="00F86526"/>
    <w:rsid w:val="00F87E5A"/>
    <w:rsid w:val="00F97624"/>
    <w:rsid w:val="00FA1F21"/>
    <w:rsid w:val="00FA2956"/>
    <w:rsid w:val="00FA405B"/>
    <w:rsid w:val="00FB12C2"/>
    <w:rsid w:val="00FB12E7"/>
    <w:rsid w:val="00FB4B76"/>
    <w:rsid w:val="00FC2C14"/>
    <w:rsid w:val="00FC3348"/>
    <w:rsid w:val="00FC52C6"/>
    <w:rsid w:val="00FC5BBF"/>
    <w:rsid w:val="00FE2628"/>
    <w:rsid w:val="00FE4D4F"/>
    <w:rsid w:val="00FE6657"/>
    <w:rsid w:val="00FE6B9D"/>
    <w:rsid w:val="00FF0432"/>
    <w:rsid w:val="00FF4BB9"/>
    <w:rsid w:val="00FF7C56"/>
    <w:rsid w:val="2EF53B2E"/>
    <w:rsid w:val="5A8BC369"/>
    <w:rsid w:val="77FF71C3"/>
    <w:rsid w:val="7E8FC468"/>
    <w:rsid w:val="7FC24757"/>
    <w:rsid w:val="9E4C1EA1"/>
    <w:rsid w:val="BF6FF632"/>
    <w:rsid w:val="E34FA49C"/>
    <w:rsid w:val="F2AF62FF"/>
    <w:rsid w:val="FAF95062"/>
    <w:rsid w:val="FE2F915A"/>
    <w:rsid w:val="FFB506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annotation text"/>
    <w:basedOn w:val="1"/>
    <w:link w:val="19"/>
    <w:semiHidden/>
    <w:unhideWhenUsed/>
    <w:qFormat/>
    <w:uiPriority w:val="99"/>
  </w:style>
  <w:style w:type="paragraph" w:styleId="4">
    <w:name w:val="Date"/>
    <w:basedOn w:val="1"/>
    <w:next w:val="1"/>
    <w:link w:val="18"/>
    <w:semiHidden/>
    <w:unhideWhenUsed/>
    <w:qFormat/>
    <w:uiPriority w:val="99"/>
    <w:pPr>
      <w:ind w:left="100" w:leftChars="2500"/>
    </w:pPr>
  </w:style>
  <w:style w:type="paragraph" w:styleId="5">
    <w:name w:val="Balloon Text"/>
    <w:basedOn w:val="1"/>
    <w:link w:val="21"/>
    <w:semiHidden/>
    <w:unhideWhenUsed/>
    <w:qFormat/>
    <w:uiPriority w:val="99"/>
    <w:pPr>
      <w:spacing w:after="0"/>
    </w:pPr>
    <w:rPr>
      <w:sz w:val="18"/>
      <w:szCs w:val="18"/>
    </w:rPr>
  </w:style>
  <w:style w:type="paragraph" w:styleId="6">
    <w:name w:val="footer"/>
    <w:basedOn w:val="1"/>
    <w:link w:val="16"/>
    <w:unhideWhenUsed/>
    <w:qFormat/>
    <w:uiPriority w:val="99"/>
    <w:pPr>
      <w:tabs>
        <w:tab w:val="center" w:pos="4153"/>
        <w:tab w:val="right" w:pos="8306"/>
      </w:tabs>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0"/>
    <w:pPr>
      <w:adjustRightInd/>
      <w:snapToGrid/>
      <w:spacing w:before="100" w:beforeAutospacing="1" w:after="100" w:afterAutospacing="1"/>
    </w:pPr>
    <w:rPr>
      <w:rFonts w:ascii="宋体" w:hAnsi="宋体" w:eastAsia="宋体" w:cs="Times New Roman"/>
      <w:color w:val="000000"/>
      <w:sz w:val="24"/>
      <w:szCs w:val="24"/>
    </w:rPr>
  </w:style>
  <w:style w:type="paragraph" w:styleId="9">
    <w:name w:val="annotation subject"/>
    <w:basedOn w:val="3"/>
    <w:next w:val="3"/>
    <w:link w:val="20"/>
    <w:semiHidden/>
    <w:unhideWhenUsed/>
    <w:qFormat/>
    <w:uiPriority w:val="99"/>
    <w:rPr>
      <w:b/>
      <w:bCs/>
    </w:rPr>
  </w:style>
  <w:style w:type="character" w:styleId="12">
    <w:name w:val="annotation reference"/>
    <w:basedOn w:val="11"/>
    <w:semiHidden/>
    <w:unhideWhenUsed/>
    <w:qFormat/>
    <w:uiPriority w:val="99"/>
    <w:rPr>
      <w:sz w:val="21"/>
      <w:szCs w:val="21"/>
    </w:rPr>
  </w:style>
  <w:style w:type="paragraph" w:styleId="13">
    <w:name w:val="List Paragraph"/>
    <w:basedOn w:val="1"/>
    <w:qFormat/>
    <w:uiPriority w:val="34"/>
    <w:pPr>
      <w:ind w:firstLine="420" w:firstLineChars="200"/>
    </w:pPr>
  </w:style>
  <w:style w:type="paragraph" w:customStyle="1" w:styleId="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5">
    <w:name w:val="页眉 字符"/>
    <w:basedOn w:val="11"/>
    <w:link w:val="7"/>
    <w:qFormat/>
    <w:uiPriority w:val="99"/>
    <w:rPr>
      <w:rFonts w:ascii="Tahoma" w:hAnsi="Tahoma"/>
      <w:sz w:val="18"/>
      <w:szCs w:val="18"/>
    </w:rPr>
  </w:style>
  <w:style w:type="character" w:customStyle="1" w:styleId="16">
    <w:name w:val="页脚 字符"/>
    <w:basedOn w:val="11"/>
    <w:link w:val="6"/>
    <w:qFormat/>
    <w:uiPriority w:val="99"/>
    <w:rPr>
      <w:rFonts w:ascii="Tahoma" w:hAnsi="Tahoma"/>
      <w:sz w:val="18"/>
      <w:szCs w:val="18"/>
    </w:rPr>
  </w:style>
  <w:style w:type="character" w:customStyle="1" w:styleId="17">
    <w:name w:val="文档结构图 字符"/>
    <w:basedOn w:val="11"/>
    <w:link w:val="2"/>
    <w:semiHidden/>
    <w:qFormat/>
    <w:uiPriority w:val="99"/>
    <w:rPr>
      <w:rFonts w:ascii="宋体" w:hAnsi="Tahoma" w:eastAsia="宋体"/>
      <w:sz w:val="18"/>
      <w:szCs w:val="18"/>
    </w:rPr>
  </w:style>
  <w:style w:type="character" w:customStyle="1" w:styleId="18">
    <w:name w:val="日期 字符"/>
    <w:basedOn w:val="11"/>
    <w:link w:val="4"/>
    <w:semiHidden/>
    <w:qFormat/>
    <w:uiPriority w:val="99"/>
    <w:rPr>
      <w:rFonts w:ascii="Tahoma" w:hAnsi="Tahoma"/>
    </w:rPr>
  </w:style>
  <w:style w:type="character" w:customStyle="1" w:styleId="19">
    <w:name w:val="批注文字 字符"/>
    <w:basedOn w:val="11"/>
    <w:link w:val="3"/>
    <w:semiHidden/>
    <w:qFormat/>
    <w:uiPriority w:val="99"/>
    <w:rPr>
      <w:rFonts w:ascii="Tahoma" w:hAnsi="Tahoma"/>
    </w:rPr>
  </w:style>
  <w:style w:type="character" w:customStyle="1" w:styleId="20">
    <w:name w:val="批注主题 字符"/>
    <w:basedOn w:val="19"/>
    <w:link w:val="9"/>
    <w:semiHidden/>
    <w:qFormat/>
    <w:uiPriority w:val="99"/>
    <w:rPr>
      <w:rFonts w:ascii="Tahoma" w:hAnsi="Tahoma"/>
      <w:b/>
      <w:bCs/>
    </w:rPr>
  </w:style>
  <w:style w:type="character" w:customStyle="1" w:styleId="21">
    <w:name w:val="批注框文本 字符"/>
    <w:basedOn w:val="11"/>
    <w:link w:val="5"/>
    <w:semiHidden/>
    <w:qFormat/>
    <w:uiPriority w:val="99"/>
    <w:rPr>
      <w:rFonts w:ascii="Tahoma" w:hAnsi="Tahoma"/>
      <w:sz w:val="18"/>
      <w:szCs w:val="18"/>
    </w:rPr>
  </w:style>
  <w:style w:type="paragraph" w:customStyle="1" w:styleId="22">
    <w:name w:val="ds-markdown-paragraph"/>
    <w:basedOn w:val="1"/>
    <w:qFormat/>
    <w:uiPriority w:val="0"/>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15D22B87-412E-491E-AC39-956B4E1AF2D5}">
  <ds:schemaRefs/>
</ds:datastoreItem>
</file>

<file path=docProps/app.xml><?xml version="1.0" encoding="utf-8"?>
<Properties xmlns="http://schemas.openxmlformats.org/officeDocument/2006/extended-properties" xmlns:vt="http://schemas.openxmlformats.org/officeDocument/2006/docPropsVTypes">
  <Template>Normal.dotm</Template>
  <Pages>8</Pages>
  <Words>567</Words>
  <Characters>3233</Characters>
  <Lines>26</Lines>
  <Paragraphs>7</Paragraphs>
  <TotalTime>1</TotalTime>
  <ScaleCrop>false</ScaleCrop>
  <LinksUpToDate>false</LinksUpToDate>
  <CharactersWithSpaces>3793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2026-04-05T00:14:00Z</dcterms:created>
  <dc:creator>Administrator</dc:creator>
  <cp:lastModifiedBy>user</cp:lastModifiedBy>
  <cp:lastPrinted>2018-03-18T03:10:00Z</cp:lastPrinted>
  <dcterms:modified xsi:type="dcterms:W3CDTF">2026-06-26T14:00:39Z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eyJoZGlkIjoiMGQ1OGEzMTM0N2U3YmJlMjEyN2YzYzVhM2E3NDRmNGEiLCJ1c2VySWQiOiI0NTA1OTg2MDYifQ==</vt:lpwstr>
  </property>
  <property fmtid="{D5CDD505-2E9C-101B-9397-08002B2CF9AE}" pid="3" name="KSOProductBuildVer">
    <vt:lpwstr>2052-12.8.2.1113</vt:lpwstr>
  </property>
  <property fmtid="{D5CDD505-2E9C-101B-9397-08002B2CF9AE}" pid="4" name="ICV">
    <vt:lpwstr>EA6417D13F303132BE133E6ADBB8543D_43</vt:lpwstr>
  </property>
</Properties>
</file>