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0C944D8">
      <w:pPr>
        <w:shd w:val="clear" w:color="auto" w:fill="FFFFFF" w:themeFill="background1"/>
        <w:spacing w:line="600" w:lineRule="auto"/>
        <w:jc w:val="center"/>
        <w:rPr>
          <w:rFonts w:hint="default" w:ascii="Times New Roman" w:hAnsi="Times New Roman" w:eastAsia="仿宋" w:cs="Times New Roman"/>
          <w:b/>
          <w:sz w:val="36"/>
          <w:szCs w:val="36"/>
        </w:rPr>
      </w:pPr>
    </w:p>
    <w:p w14:paraId="194A7DFA">
      <w:pPr>
        <w:shd w:val="clear" w:color="auto" w:fill="FFFFFF" w:themeFill="background1"/>
        <w:spacing w:line="600" w:lineRule="auto"/>
        <w:jc w:val="center"/>
        <w:rPr>
          <w:rFonts w:hint="default" w:ascii="Times New Roman" w:hAnsi="Times New Roman" w:eastAsia="仿宋" w:cs="Times New Roman"/>
          <w:b/>
          <w:sz w:val="36"/>
          <w:szCs w:val="36"/>
        </w:rPr>
      </w:pPr>
    </w:p>
    <w:p w14:paraId="5503CBBF">
      <w:pPr>
        <w:shd w:val="clear" w:color="auto" w:fill="FFFFFF" w:themeFill="background1"/>
        <w:spacing w:line="600" w:lineRule="auto"/>
        <w:jc w:val="center"/>
        <w:rPr>
          <w:rFonts w:hint="default" w:ascii="Times New Roman" w:hAnsi="Times New Roman" w:eastAsia="仿宋" w:cs="Times New Roman"/>
          <w:b/>
          <w:sz w:val="36"/>
          <w:szCs w:val="36"/>
        </w:rPr>
      </w:pPr>
    </w:p>
    <w:p w14:paraId="15404551">
      <w:pPr>
        <w:shd w:val="clear" w:color="auto" w:fill="FFFFFF" w:themeFill="background1"/>
        <w:tabs>
          <w:tab w:val="left" w:pos="7030"/>
        </w:tabs>
        <w:spacing w:line="600" w:lineRule="auto"/>
        <w:jc w:val="left"/>
        <w:rPr>
          <w:rFonts w:hint="default" w:ascii="Times New Roman" w:hAnsi="Times New Roman" w:eastAsia="仿宋" w:cs="Times New Roman"/>
          <w:b/>
          <w:sz w:val="36"/>
          <w:szCs w:val="36"/>
        </w:rPr>
      </w:pPr>
      <w:r>
        <w:rPr>
          <w:rFonts w:hint="default" w:ascii="Times New Roman" w:hAnsi="Times New Roman" w:eastAsia="仿宋" w:cs="Times New Roman"/>
          <w:b/>
          <w:sz w:val="36"/>
          <w:szCs w:val="36"/>
        </w:rPr>
        <w:tab/>
      </w:r>
    </w:p>
    <w:p w14:paraId="204C4DE9">
      <w:pPr>
        <w:shd w:val="clear" w:color="auto" w:fill="FFFFFF" w:themeFill="background1"/>
        <w:spacing w:line="360" w:lineRule="auto"/>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上海市政务智能应用建设项目监理服务</w:t>
      </w:r>
    </w:p>
    <w:p w14:paraId="61C3A9F0">
      <w:pPr>
        <w:shd w:val="clear" w:color="auto" w:fill="FFFFFF" w:themeFill="background1"/>
        <w:spacing w:line="360" w:lineRule="auto"/>
        <w:jc w:val="center"/>
        <w:rPr>
          <w:rFonts w:hint="eastAsia" w:ascii="Times New Roman" w:hAnsi="Times New Roman" w:eastAsia="方正小标宋_GBK" w:cs="Times New Roman"/>
          <w:sz w:val="44"/>
          <w:szCs w:val="44"/>
          <w:lang w:eastAsia="zh-CN"/>
        </w:rPr>
      </w:pPr>
      <w:bookmarkStart w:id="41" w:name="_GoBack"/>
      <w:bookmarkEnd w:id="41"/>
      <w:r>
        <w:rPr>
          <w:rFonts w:hint="eastAsia" w:ascii="Times New Roman" w:hAnsi="Times New Roman" w:eastAsia="方正小标宋_GBK" w:cs="Times New Roman"/>
          <w:sz w:val="44"/>
          <w:szCs w:val="44"/>
          <w:lang w:eastAsia="zh-CN"/>
        </w:rPr>
        <w:t>（第二次）</w:t>
      </w:r>
    </w:p>
    <w:p w14:paraId="2169B3F4">
      <w:pPr>
        <w:shd w:val="clear" w:color="auto" w:fill="FFFFFF" w:themeFill="background1"/>
        <w:spacing w:line="360" w:lineRule="auto"/>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采购需求</w:t>
      </w:r>
    </w:p>
    <w:p w14:paraId="5F837124">
      <w:pPr>
        <w:shd w:val="clear" w:color="auto" w:fill="FFFFFF" w:themeFill="background1"/>
        <w:spacing w:line="600" w:lineRule="auto"/>
        <w:jc w:val="center"/>
        <w:rPr>
          <w:rFonts w:hint="default" w:ascii="Times New Roman" w:hAnsi="Times New Roman" w:eastAsia="仿宋" w:cs="Times New Roman"/>
          <w:b/>
          <w:sz w:val="36"/>
          <w:szCs w:val="36"/>
        </w:rPr>
      </w:pPr>
    </w:p>
    <w:p w14:paraId="57ED7E03">
      <w:pPr>
        <w:shd w:val="clear" w:color="auto" w:fill="FFFFFF" w:themeFill="background1"/>
        <w:spacing w:line="600" w:lineRule="auto"/>
        <w:jc w:val="center"/>
        <w:rPr>
          <w:rFonts w:hint="default" w:ascii="Times New Roman" w:hAnsi="Times New Roman" w:eastAsia="仿宋" w:cs="Times New Roman"/>
          <w:b/>
          <w:sz w:val="36"/>
          <w:szCs w:val="36"/>
        </w:rPr>
      </w:pPr>
    </w:p>
    <w:p w14:paraId="4435F45D">
      <w:pPr>
        <w:shd w:val="clear" w:color="auto" w:fill="FFFFFF" w:themeFill="background1"/>
        <w:spacing w:line="600" w:lineRule="auto"/>
        <w:jc w:val="center"/>
        <w:rPr>
          <w:rFonts w:hint="default" w:ascii="Times New Roman" w:hAnsi="Times New Roman" w:eastAsia="仿宋" w:cs="Times New Roman"/>
          <w:b/>
          <w:sz w:val="36"/>
          <w:szCs w:val="36"/>
        </w:rPr>
        <w:sectPr>
          <w:headerReference r:id="rId3" w:type="default"/>
          <w:pgSz w:w="11906" w:h="16838"/>
          <w:pgMar w:top="1440" w:right="1800" w:bottom="1440" w:left="1800" w:header="851" w:footer="992" w:gutter="0"/>
          <w:cols w:space="425" w:num="1"/>
          <w:docGrid w:type="lines" w:linePitch="312" w:charSpace="0"/>
        </w:sectPr>
      </w:pPr>
    </w:p>
    <w:p w14:paraId="4E7DF691">
      <w:pPr>
        <w:pStyle w:val="5"/>
        <w:shd w:val="clear" w:color="auto" w:fill="FFFFFF" w:themeFill="background1"/>
        <w:ind w:left="0"/>
        <w:rPr>
          <w:rFonts w:hint="default" w:ascii="Times New Roman" w:hAnsi="Times New Roman" w:eastAsia="仿宋" w:cs="Times New Roman"/>
        </w:rPr>
      </w:pPr>
      <w:bookmarkStart w:id="0" w:name="_Toc69194644"/>
      <w:r>
        <w:rPr>
          <w:rFonts w:hint="default" w:ascii="Times New Roman" w:hAnsi="Times New Roman" w:eastAsia="仿宋" w:cs="Times New Roman"/>
        </w:rPr>
        <w:t>项目概述</w:t>
      </w:r>
      <w:bookmarkEnd w:id="0"/>
    </w:p>
    <w:p w14:paraId="7C669063">
      <w:pPr>
        <w:shd w:val="clear" w:color="auto" w:fill="FFFFFF" w:themeFill="background1"/>
        <w:autoSpaceDE w:val="0"/>
        <w:autoSpaceDN w:val="0"/>
        <w:adjustRightInd w:val="0"/>
        <w:snapToGrid w:val="0"/>
        <w:spacing w:line="480" w:lineRule="exact"/>
        <w:ind w:firstLine="480"/>
        <w:rPr>
          <w:rFonts w:hint="default" w:ascii="Times New Roman" w:hAnsi="Times New Roman" w:cs="Times New Roman"/>
          <w:sz w:val="24"/>
          <w:szCs w:val="32"/>
        </w:rPr>
      </w:pPr>
      <w:bookmarkStart w:id="1" w:name="OLE_LINK5"/>
      <w:r>
        <w:rPr>
          <w:rFonts w:hint="default" w:ascii="Times New Roman" w:hAnsi="Times New Roman" w:cs="Times New Roman"/>
          <w:sz w:val="24"/>
          <w:szCs w:val="32"/>
        </w:rPr>
        <w:t>上海市政务智能应用建设项目</w:t>
      </w:r>
      <w:bookmarkEnd w:id="1"/>
      <w:r>
        <w:rPr>
          <w:rFonts w:hint="default" w:ascii="Times New Roman" w:hAnsi="Times New Roman" w:cs="Times New Roman"/>
          <w:sz w:val="24"/>
          <w:szCs w:val="32"/>
        </w:rPr>
        <w:t>依托全市统一的政务大模型底座集约化建设一批共性智能体和共性知识库，推动高频政务场景智能应用落地。同时建设智能体驾驶舱作为提供智能体及知识库优化的能力支撑平台，提升政务服务效率与响应速度。</w:t>
      </w:r>
    </w:p>
    <w:p w14:paraId="108D34B0">
      <w:pPr>
        <w:shd w:val="clear" w:color="auto" w:fill="FFFFFF" w:themeFill="background1"/>
        <w:autoSpaceDE w:val="0"/>
        <w:autoSpaceDN w:val="0"/>
        <w:adjustRightInd w:val="0"/>
        <w:snapToGrid w:val="0"/>
        <w:spacing w:line="48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在本项目设计、实施和验收过程中，提供质量控制、进度控制、成本控制、变更控制、安全管理、合同管理、文档管理和项目协调等全过程、全方位的监理服务。</w:t>
      </w:r>
    </w:p>
    <w:p w14:paraId="22C2C2B6">
      <w:pPr>
        <w:shd w:val="clear" w:color="auto" w:fill="FFFFFF" w:themeFill="background1"/>
        <w:spacing w:line="56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监理期限：自合同签订之日起</w:t>
      </w:r>
      <w:r>
        <w:rPr>
          <w:rFonts w:hint="default" w:ascii="Times New Roman" w:hAnsi="Times New Roman" w:cs="Times New Roman"/>
          <w:sz w:val="24"/>
          <w:szCs w:val="32"/>
          <w:lang w:val="en-US" w:eastAsia="zh-CN"/>
        </w:rPr>
        <w:t>至上海市政务智能应用建设项目验收结束</w:t>
      </w:r>
      <w:r>
        <w:rPr>
          <w:rFonts w:hint="default" w:ascii="Times New Roman" w:hAnsi="Times New Roman" w:cs="Times New Roman"/>
          <w:sz w:val="24"/>
          <w:szCs w:val="32"/>
        </w:rPr>
        <w:t>。</w:t>
      </w:r>
    </w:p>
    <w:p w14:paraId="74BAE585">
      <w:pPr>
        <w:shd w:val="clear" w:color="auto" w:fill="FFFFFF" w:themeFill="background1"/>
        <w:spacing w:line="56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预算金额：</w:t>
      </w:r>
      <w:bookmarkStart w:id="2" w:name="OLE_LINK4"/>
      <w:r>
        <w:rPr>
          <w:rFonts w:hint="default" w:ascii="Times New Roman" w:hAnsi="Times New Roman" w:cs="Times New Roman"/>
          <w:sz w:val="24"/>
          <w:szCs w:val="32"/>
        </w:rPr>
        <w:t>1000000</w:t>
      </w:r>
      <w:bookmarkEnd w:id="2"/>
      <w:r>
        <w:rPr>
          <w:rFonts w:hint="default" w:ascii="Times New Roman" w:hAnsi="Times New Roman" w:cs="Times New Roman"/>
          <w:sz w:val="24"/>
          <w:szCs w:val="32"/>
        </w:rPr>
        <w:t>元</w:t>
      </w:r>
    </w:p>
    <w:p w14:paraId="2D5827CD">
      <w:pPr>
        <w:shd w:val="clear" w:color="auto" w:fill="FFFFFF" w:themeFill="background1"/>
        <w:spacing w:line="56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采购金额（最高限价）：51832</w:t>
      </w:r>
      <w:r>
        <w:rPr>
          <w:rFonts w:hint="eastAsia" w:ascii="Times New Roman" w:hAnsi="Times New Roman" w:cs="Times New Roman"/>
          <w:sz w:val="24"/>
          <w:szCs w:val="32"/>
          <w:lang w:val="en-US" w:eastAsia="zh-CN"/>
        </w:rPr>
        <w:t>0</w:t>
      </w:r>
      <w:r>
        <w:rPr>
          <w:rFonts w:hint="default" w:ascii="Times New Roman" w:hAnsi="Times New Roman" w:cs="Times New Roman"/>
          <w:sz w:val="24"/>
          <w:szCs w:val="32"/>
        </w:rPr>
        <w:t>元</w:t>
      </w:r>
    </w:p>
    <w:p w14:paraId="69A0BAEB">
      <w:pPr>
        <w:shd w:val="clear" w:color="auto" w:fill="FFFFFF" w:themeFill="background1"/>
        <w:spacing w:line="56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组织形式：集中采购</w:t>
      </w:r>
    </w:p>
    <w:p w14:paraId="0EE7D7B4">
      <w:pPr>
        <w:shd w:val="clear" w:color="auto" w:fill="FFFFFF" w:themeFill="background1"/>
        <w:spacing w:line="560" w:lineRule="exact"/>
        <w:ind w:firstLine="480"/>
        <w:rPr>
          <w:rFonts w:hint="default" w:ascii="Times New Roman" w:hAnsi="Times New Roman" w:cs="Times New Roman"/>
          <w:sz w:val="24"/>
          <w:szCs w:val="32"/>
        </w:rPr>
      </w:pPr>
      <w:r>
        <w:rPr>
          <w:rFonts w:hint="default" w:ascii="Times New Roman" w:hAnsi="Times New Roman" w:cs="Times New Roman"/>
          <w:sz w:val="24"/>
          <w:szCs w:val="32"/>
        </w:rPr>
        <w:t>采购方式：竞争性磋商</w:t>
      </w:r>
    </w:p>
    <w:p w14:paraId="46F9E871">
      <w:pPr>
        <w:pStyle w:val="5"/>
        <w:shd w:val="clear" w:color="auto" w:fill="FFFFFF" w:themeFill="background1"/>
        <w:ind w:left="0"/>
        <w:rPr>
          <w:rFonts w:hint="default" w:ascii="Times New Roman" w:hAnsi="Times New Roman" w:eastAsia="仿宋" w:cs="Times New Roman"/>
        </w:rPr>
      </w:pPr>
      <w:bookmarkStart w:id="3" w:name="_Toc69194645"/>
      <w:r>
        <w:rPr>
          <w:rFonts w:hint="default" w:ascii="Times New Roman" w:hAnsi="Times New Roman" w:eastAsia="仿宋" w:cs="Times New Roman"/>
        </w:rPr>
        <w:t>服务范围</w:t>
      </w:r>
      <w:bookmarkEnd w:id="3"/>
    </w:p>
    <w:p w14:paraId="1ECAB103">
      <w:pPr>
        <w:shd w:val="clear" w:color="auto" w:fill="FFFFFF" w:themeFill="background1"/>
        <w:snapToGrid w:val="0"/>
        <w:spacing w:line="360" w:lineRule="auto"/>
        <w:ind w:firstLine="482"/>
        <w:rPr>
          <w:rFonts w:hint="default" w:ascii="Times New Roman" w:hAnsi="Times New Roman" w:cs="Times New Roman"/>
          <w:sz w:val="24"/>
          <w:szCs w:val="32"/>
        </w:rPr>
      </w:pPr>
      <w:r>
        <w:rPr>
          <w:rFonts w:hint="default" w:ascii="Times New Roman" w:hAnsi="Times New Roman" w:cs="Times New Roman"/>
          <w:sz w:val="24"/>
          <w:szCs w:val="32"/>
        </w:rPr>
        <w:t>在上海市政务智能应用建设项目设计、实施和验收过程中，提供质量控制、进度控制、成本控制、变更控制、安全管理、合同管理、文档管理和项目协调等全过程、全方位的监理服务。</w:t>
      </w:r>
    </w:p>
    <w:p w14:paraId="06748A74">
      <w:pPr>
        <w:pStyle w:val="5"/>
        <w:shd w:val="clear" w:color="auto" w:fill="FFFFFF" w:themeFill="background1"/>
        <w:ind w:left="0"/>
        <w:rPr>
          <w:rFonts w:hint="default" w:ascii="Times New Roman" w:hAnsi="Times New Roman" w:eastAsia="仿宋" w:cs="Times New Roman"/>
        </w:rPr>
      </w:pPr>
      <w:bookmarkStart w:id="4" w:name="_Toc69194646"/>
      <w:r>
        <w:rPr>
          <w:rFonts w:hint="default" w:ascii="Times New Roman" w:hAnsi="Times New Roman" w:eastAsia="仿宋" w:cs="Times New Roman"/>
        </w:rPr>
        <w:t>监理服务需求</w:t>
      </w:r>
      <w:bookmarkEnd w:id="4"/>
    </w:p>
    <w:p w14:paraId="10D769B5">
      <w:pPr>
        <w:pStyle w:val="6"/>
        <w:shd w:val="clear" w:color="auto" w:fill="FFFFFF" w:themeFill="background1"/>
        <w:rPr>
          <w:rFonts w:hint="default" w:ascii="Times New Roman" w:hAnsi="Times New Roman" w:cs="Times New Roman"/>
        </w:rPr>
      </w:pPr>
      <w:bookmarkStart w:id="5" w:name="_Toc416277417"/>
      <w:bookmarkStart w:id="6" w:name="_Toc69194647"/>
      <w:r>
        <w:rPr>
          <w:rFonts w:hint="default" w:ascii="Times New Roman" w:hAnsi="Times New Roman" w:cs="Times New Roman"/>
        </w:rPr>
        <w:t>总体要求</w:t>
      </w:r>
    </w:p>
    <w:p w14:paraId="66638F20">
      <w:pPr>
        <w:shd w:val="clear" w:color="auto" w:fill="FFFFFF" w:themeFill="background1"/>
        <w:spacing w:line="560" w:lineRule="exact"/>
        <w:ind w:firstLine="420"/>
        <w:rPr>
          <w:rFonts w:hint="default" w:ascii="Times New Roman" w:hAnsi="Times New Roman" w:cs="Times New Roman"/>
          <w:sz w:val="24"/>
          <w:szCs w:val="32"/>
        </w:rPr>
      </w:pPr>
      <w:r>
        <w:rPr>
          <w:rFonts w:hint="default" w:ascii="Times New Roman" w:hAnsi="Times New Roman" w:cs="Times New Roman"/>
          <w:sz w:val="24"/>
          <w:szCs w:val="32"/>
        </w:rPr>
        <w:t>遵循国家、上海市信息系统工程建设、监理的标准和规范，以及《上海市大数据中心数字化建设项目全过程文档审核工作指南（试行）》要求，依据项目合同和用户需求，利用项目监理专业化知识，应用现代的项目管理技巧及手段，发挥监督、控制、协调、管理、咨询等职能作用，实施信息化项目的全流程管理，进一步提升信息化项目管理的科学规范化水平，确保项目信息全面、完整、真实、可靠、规范。</w:t>
      </w:r>
    </w:p>
    <w:p w14:paraId="47ABE15D">
      <w:pPr>
        <w:pStyle w:val="6"/>
        <w:shd w:val="clear" w:color="auto" w:fill="FFFFFF" w:themeFill="background1"/>
        <w:rPr>
          <w:rFonts w:hint="default" w:ascii="Times New Roman" w:hAnsi="Times New Roman" w:cs="Times New Roman"/>
        </w:rPr>
      </w:pPr>
      <w:bookmarkStart w:id="7" w:name="_Toc25031"/>
      <w:bookmarkStart w:id="8" w:name="_Toc10140"/>
      <w:r>
        <w:rPr>
          <w:rFonts w:hint="default" w:ascii="Times New Roman" w:hAnsi="Times New Roman" w:cs="Times New Roman"/>
        </w:rPr>
        <w:t>服务准则</w:t>
      </w:r>
    </w:p>
    <w:p w14:paraId="2D2A7FF0">
      <w:pPr>
        <w:widowControl/>
        <w:shd w:val="clear" w:color="auto" w:fill="FFFFFF" w:themeFill="background1"/>
        <w:snapToGrid w:val="0"/>
        <w:spacing w:line="360" w:lineRule="auto"/>
        <w:ind w:firstLine="420"/>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遵照国家和上海市相关标准，以及《上海市大数据中心数字化建设项目全过程文档审核工作指南（试行）》，以“守法、诚信、公正、科学”的准则执业，具体应做到：</w:t>
      </w:r>
    </w:p>
    <w:p w14:paraId="231CF664">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执行信息化工程相关的法律、法规、规范、标准和制度，履行合同规定的义务和职责。</w:t>
      </w:r>
    </w:p>
    <w:p w14:paraId="12C0FC80">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不得与承担项目的服务单位发生经济利益关系。不得利用所处地位通过上述单位直接或间接获得益处。</w:t>
      </w:r>
    </w:p>
    <w:p w14:paraId="4CF0D8E1">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不泄露项目各方认为需要保密的事项。</w:t>
      </w:r>
    </w:p>
    <w:p w14:paraId="4102F069">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遵守国家法律和政府有关条例、规定和办法等。</w:t>
      </w:r>
    </w:p>
    <w:p w14:paraId="3C877BC4">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坚持第三方立场，独立、公平、公正地处理有关各方的争议。</w:t>
      </w:r>
    </w:p>
    <w:p w14:paraId="725AC705">
      <w:pPr>
        <w:widowControl/>
        <w:numPr>
          <w:ilvl w:val="0"/>
          <w:numId w:val="2"/>
        </w:numPr>
        <w:shd w:val="clear" w:color="auto" w:fill="FFFFFF" w:themeFill="background1"/>
        <w:snapToGrid w:val="0"/>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rPr>
        <w:t>坚持科学的工作态度和实事求是的工作原则。</w:t>
      </w:r>
    </w:p>
    <w:p w14:paraId="7D5648A7">
      <w:pPr>
        <w:pStyle w:val="6"/>
        <w:shd w:val="clear" w:color="auto" w:fill="FFFFFF" w:themeFill="background1"/>
        <w:snapToGrid w:val="0"/>
        <w:spacing w:line="360" w:lineRule="auto"/>
        <w:rPr>
          <w:rFonts w:hint="default" w:ascii="Times New Roman" w:hAnsi="Times New Roman" w:cs="Times New Roman"/>
        </w:rPr>
      </w:pPr>
      <w:r>
        <w:rPr>
          <w:rFonts w:hint="default" w:ascii="Times New Roman" w:hAnsi="Times New Roman" w:cs="Times New Roman"/>
        </w:rPr>
        <w:t>服务依据</w:t>
      </w:r>
    </w:p>
    <w:p w14:paraId="5FCA85B8">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1、国家和上海市有关信息系统工程监理的法规和标准；</w:t>
      </w:r>
    </w:p>
    <w:p w14:paraId="7FF5CF2F">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2、采购人与服务单位签订的合同；</w:t>
      </w:r>
    </w:p>
    <w:p w14:paraId="3850B362">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3、采购人与监理单位签订的监理合同；</w:t>
      </w:r>
    </w:p>
    <w:p w14:paraId="22F4447B">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4、有关国家和行业的技术标准；</w:t>
      </w:r>
    </w:p>
    <w:p w14:paraId="7B2F0CFC">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5、《上海市大数据中心数字化建设项目全过程文档审核工作指南（试行）》</w:t>
      </w:r>
    </w:p>
    <w:p w14:paraId="78520266">
      <w:pPr>
        <w:widowControl/>
        <w:shd w:val="clear" w:color="auto" w:fill="FFFFFF" w:themeFill="background1"/>
        <w:snapToGrid w:val="0"/>
        <w:spacing w:line="360" w:lineRule="auto"/>
        <w:ind w:firstLine="42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如有国家或行业标准，按该标准执行；如无国家或行业标准或现有标准已经落后于技术发展而新的标准又尚未出台，则根据技术发展状况及需求向采购人提出采用何种市场通行的或先进厂家标准的论证和建议，经采购人同意后作为监理服务的依据。以上标准供监理单位参考，如有遇国家颁布新的标准则必须采用新标准。</w:t>
      </w:r>
    </w:p>
    <w:p w14:paraId="5BEDCB66">
      <w:pPr>
        <w:pStyle w:val="6"/>
        <w:shd w:val="clear" w:color="auto" w:fill="FFFFFF" w:themeFill="background1"/>
        <w:snapToGrid w:val="0"/>
        <w:spacing w:line="360" w:lineRule="auto"/>
        <w:rPr>
          <w:rFonts w:hint="default" w:ascii="Times New Roman" w:hAnsi="Times New Roman" w:cs="Times New Roman"/>
        </w:rPr>
      </w:pPr>
      <w:r>
        <w:rPr>
          <w:rFonts w:hint="default" w:ascii="Times New Roman" w:hAnsi="Times New Roman" w:cs="Times New Roman"/>
        </w:rPr>
        <w:t>监理内容及要点</w:t>
      </w:r>
      <w:bookmarkEnd w:id="7"/>
      <w:bookmarkEnd w:id="8"/>
    </w:p>
    <w:p w14:paraId="364B2F8C">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主要从质量控制、费用控制、安全控制三方面进行控制；从文档管理、合同管理进行管理；并统筹协调各方关系。</w:t>
      </w:r>
    </w:p>
    <w:p w14:paraId="414094C4">
      <w:pPr>
        <w:pStyle w:val="7"/>
        <w:shd w:val="clear" w:color="auto" w:fill="FFFFFF" w:themeFill="background1"/>
        <w:snapToGrid w:val="0"/>
        <w:spacing w:line="360" w:lineRule="auto"/>
        <w:rPr>
          <w:rFonts w:hint="default" w:ascii="Times New Roman" w:hAnsi="Times New Roman" w:cs="Times New Roman"/>
        </w:rPr>
      </w:pPr>
      <w:bookmarkStart w:id="9" w:name="_Toc2790"/>
      <w:bookmarkStart w:id="10" w:name="_Toc6149"/>
      <w:r>
        <w:rPr>
          <w:rFonts w:hint="default" w:ascii="Times New Roman" w:hAnsi="Times New Roman" w:cs="Times New Roman"/>
        </w:rPr>
        <w:t>质量控制</w:t>
      </w:r>
      <w:bookmarkEnd w:id="9"/>
      <w:bookmarkEnd w:id="10"/>
    </w:p>
    <w:p w14:paraId="14C850EB">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质量控制的内容及要点如下：</w:t>
      </w:r>
    </w:p>
    <w:p w14:paraId="26C35971">
      <w:pPr>
        <w:pStyle w:val="60"/>
        <w:numPr>
          <w:ilvl w:val="0"/>
          <w:numId w:val="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督导服务商建立质量保证体系，包括但不限于：</w:t>
      </w:r>
    </w:p>
    <w:p w14:paraId="390BAFB8">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质量保证计划；</w:t>
      </w:r>
    </w:p>
    <w:p w14:paraId="22ECE9A9">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质量控制活动及相关规范流程；</w:t>
      </w:r>
    </w:p>
    <w:p w14:paraId="4F0B5B08">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质量控制机构及人员职责权限、工作衔接关系、协调措施等；</w:t>
      </w:r>
    </w:p>
    <w:p w14:paraId="07F94907">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满足质量要求的资源条件，如实施工具及设备等；</w:t>
      </w:r>
    </w:p>
    <w:p w14:paraId="3C816E50">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满足质量要求的人员条件，如人员资质、技能经验要求、所需的培训等；</w:t>
      </w:r>
    </w:p>
    <w:p w14:paraId="422B3033">
      <w:pPr>
        <w:pStyle w:val="60"/>
        <w:numPr>
          <w:ilvl w:val="0"/>
          <w:numId w:val="4"/>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质量信息的反馈机制。</w:t>
      </w:r>
    </w:p>
    <w:p w14:paraId="136B36B9">
      <w:pPr>
        <w:pStyle w:val="60"/>
        <w:numPr>
          <w:ilvl w:val="0"/>
          <w:numId w:val="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以合同、相关补充协议等为依据，监督质量保证体系的落实及其日常运行情况，包括但不限于：</w:t>
      </w:r>
    </w:p>
    <w:p w14:paraId="4E3AA654">
      <w:pPr>
        <w:pStyle w:val="60"/>
        <w:numPr>
          <w:ilvl w:val="0"/>
          <w:numId w:val="5"/>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服务流程执行情况的审查与控制；</w:t>
      </w:r>
    </w:p>
    <w:p w14:paraId="3F98CEA7">
      <w:pPr>
        <w:pStyle w:val="60"/>
        <w:numPr>
          <w:ilvl w:val="0"/>
          <w:numId w:val="5"/>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服务过程与质量保证计划相符性监督；</w:t>
      </w:r>
    </w:p>
    <w:p w14:paraId="3CFE6CDD">
      <w:pPr>
        <w:pStyle w:val="60"/>
        <w:numPr>
          <w:ilvl w:val="0"/>
          <w:numId w:val="5"/>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服务成果的评价及相关文档的审查；</w:t>
      </w:r>
    </w:p>
    <w:p w14:paraId="70B5A678">
      <w:pPr>
        <w:pStyle w:val="60"/>
        <w:numPr>
          <w:ilvl w:val="0"/>
          <w:numId w:val="5"/>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重大事件的处置过程；</w:t>
      </w:r>
    </w:p>
    <w:p w14:paraId="0FDB97E1">
      <w:pPr>
        <w:pStyle w:val="60"/>
        <w:numPr>
          <w:ilvl w:val="0"/>
          <w:numId w:val="5"/>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项目的验收过程。</w:t>
      </w:r>
    </w:p>
    <w:p w14:paraId="73947B86">
      <w:pPr>
        <w:pStyle w:val="60"/>
        <w:numPr>
          <w:ilvl w:val="0"/>
          <w:numId w:val="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针对过程中的关键事件进行重点控制，包括但不限于：</w:t>
      </w:r>
    </w:p>
    <w:p w14:paraId="31AA75F3">
      <w:pPr>
        <w:pStyle w:val="60"/>
        <w:numPr>
          <w:ilvl w:val="0"/>
          <w:numId w:val="6"/>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由总监理工程师审核并组织相关专家进行论证；</w:t>
      </w:r>
    </w:p>
    <w:p w14:paraId="6B5CC5E3">
      <w:pPr>
        <w:pStyle w:val="60"/>
        <w:numPr>
          <w:ilvl w:val="0"/>
          <w:numId w:val="6"/>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跟踪关键操作和事件解决过程，发现质量问题并及时纠正，消除质量隐患。</w:t>
      </w:r>
    </w:p>
    <w:p w14:paraId="0256E9C7">
      <w:pPr>
        <w:pStyle w:val="60"/>
        <w:numPr>
          <w:ilvl w:val="0"/>
          <w:numId w:val="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对过程中的测试实施质量审查，包括但不限于：</w:t>
      </w:r>
    </w:p>
    <w:p w14:paraId="68AB9C15">
      <w:pPr>
        <w:pStyle w:val="60"/>
        <w:numPr>
          <w:ilvl w:val="0"/>
          <w:numId w:val="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监督评审服务商的测试计划、测试方案、测试实施过程及测试结果；</w:t>
      </w:r>
    </w:p>
    <w:p w14:paraId="39AC25B2">
      <w:pPr>
        <w:pStyle w:val="60"/>
        <w:numPr>
          <w:ilvl w:val="0"/>
          <w:numId w:val="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执行重要环节的监理测试。</w:t>
      </w:r>
    </w:p>
    <w:p w14:paraId="14C44BAD">
      <w:pPr>
        <w:pStyle w:val="60"/>
        <w:numPr>
          <w:ilvl w:val="0"/>
          <w:numId w:val="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实施质量评审，包括但不限于：</w:t>
      </w:r>
    </w:p>
    <w:p w14:paraId="5300ACEE">
      <w:pPr>
        <w:pStyle w:val="60"/>
        <w:numPr>
          <w:ilvl w:val="0"/>
          <w:numId w:val="8"/>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需求分析与服务商实施方案；</w:t>
      </w:r>
    </w:p>
    <w:p w14:paraId="68742665">
      <w:pPr>
        <w:pStyle w:val="60"/>
        <w:numPr>
          <w:ilvl w:val="0"/>
          <w:numId w:val="8"/>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服务商质量保证体系落实情况；</w:t>
      </w:r>
    </w:p>
    <w:p w14:paraId="7E82D97A">
      <w:pPr>
        <w:pStyle w:val="60"/>
        <w:numPr>
          <w:ilvl w:val="0"/>
          <w:numId w:val="8"/>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服务商过程文档；</w:t>
      </w:r>
    </w:p>
    <w:p w14:paraId="049AFF91">
      <w:pPr>
        <w:pStyle w:val="60"/>
        <w:numPr>
          <w:ilvl w:val="0"/>
          <w:numId w:val="8"/>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验收方案；</w:t>
      </w:r>
    </w:p>
    <w:p w14:paraId="7909B253">
      <w:pPr>
        <w:pStyle w:val="60"/>
        <w:numPr>
          <w:ilvl w:val="0"/>
          <w:numId w:val="8"/>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其他需要会审的重要方案。</w:t>
      </w:r>
    </w:p>
    <w:p w14:paraId="5EC4A75B">
      <w:pPr>
        <w:pStyle w:val="7"/>
        <w:shd w:val="clear" w:color="auto" w:fill="FFFFFF" w:themeFill="background1"/>
        <w:snapToGrid w:val="0"/>
        <w:spacing w:line="360" w:lineRule="auto"/>
        <w:rPr>
          <w:rFonts w:hint="default" w:ascii="Times New Roman" w:hAnsi="Times New Roman" w:cs="Times New Roman"/>
        </w:rPr>
      </w:pPr>
      <w:bookmarkStart w:id="11" w:name="_Toc697"/>
      <w:bookmarkStart w:id="12" w:name="_Toc9007"/>
      <w:r>
        <w:rPr>
          <w:rFonts w:hint="default" w:ascii="Times New Roman" w:hAnsi="Times New Roman" w:cs="Times New Roman"/>
        </w:rPr>
        <w:t>费用控制</w:t>
      </w:r>
      <w:bookmarkEnd w:id="11"/>
      <w:bookmarkEnd w:id="12"/>
    </w:p>
    <w:p w14:paraId="71108D5C">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费用控制的内容及要点如下：</w:t>
      </w:r>
    </w:p>
    <w:p w14:paraId="4DA84B4D">
      <w:pPr>
        <w:pStyle w:val="60"/>
        <w:numPr>
          <w:ilvl w:val="0"/>
          <w:numId w:val="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掌握招投标文件、合同文件及相关补充协议中有关费用相关奖惩条例的条款；</w:t>
      </w:r>
    </w:p>
    <w:p w14:paraId="7F758CD4">
      <w:pPr>
        <w:pStyle w:val="60"/>
        <w:numPr>
          <w:ilvl w:val="0"/>
          <w:numId w:val="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核定服务商的实际工作量，审核各阶段的各类项目付款执行单据；</w:t>
      </w:r>
    </w:p>
    <w:p w14:paraId="25C8A2D9">
      <w:pPr>
        <w:pStyle w:val="60"/>
        <w:numPr>
          <w:ilvl w:val="0"/>
          <w:numId w:val="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跟踪服务商的款项支付情况；</w:t>
      </w:r>
    </w:p>
    <w:p w14:paraId="370DB22F">
      <w:pPr>
        <w:pStyle w:val="60"/>
        <w:numPr>
          <w:ilvl w:val="0"/>
          <w:numId w:val="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针对过程中的索赔事项，审核各项索赔金额；</w:t>
      </w:r>
    </w:p>
    <w:p w14:paraId="40DCA39E">
      <w:pPr>
        <w:pStyle w:val="60"/>
        <w:numPr>
          <w:ilvl w:val="0"/>
          <w:numId w:val="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督导各阶段付款流程，包括但不限于：</w:t>
      </w:r>
    </w:p>
    <w:p w14:paraId="4E3895D4">
      <w:pPr>
        <w:pStyle w:val="60"/>
        <w:numPr>
          <w:ilvl w:val="0"/>
          <w:numId w:val="10"/>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由总监理工程师依据合同及相关补充协议，审核服务商提交的阶段性总结报告，满足付款条件时，报送采购人。</w:t>
      </w:r>
    </w:p>
    <w:p w14:paraId="5C17625C">
      <w:pPr>
        <w:pStyle w:val="60"/>
        <w:numPr>
          <w:ilvl w:val="0"/>
          <w:numId w:val="10"/>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如果有不建议支付的情况出现，应该给用户单位提交专题监理报告，说明原因，同时约请用户与服务商面谈，指出问题，要求整改，在整改完成后再行评价该阶段费可否支付。</w:t>
      </w:r>
    </w:p>
    <w:p w14:paraId="20570C15">
      <w:pPr>
        <w:pStyle w:val="7"/>
        <w:shd w:val="clear" w:color="auto" w:fill="FFFFFF" w:themeFill="background1"/>
        <w:snapToGrid w:val="0"/>
        <w:spacing w:line="360" w:lineRule="auto"/>
        <w:rPr>
          <w:rFonts w:hint="default" w:ascii="Times New Roman" w:hAnsi="Times New Roman" w:cs="Times New Roman"/>
        </w:rPr>
      </w:pPr>
      <w:bookmarkStart w:id="13" w:name="_Toc20787"/>
      <w:bookmarkStart w:id="14" w:name="_Toc14880"/>
      <w:r>
        <w:rPr>
          <w:rFonts w:hint="default" w:ascii="Times New Roman" w:hAnsi="Times New Roman" w:cs="Times New Roman"/>
        </w:rPr>
        <w:t>安全控制</w:t>
      </w:r>
      <w:bookmarkEnd w:id="13"/>
      <w:bookmarkEnd w:id="14"/>
    </w:p>
    <w:p w14:paraId="161C56A5">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安全控制的内容及要点如下：</w:t>
      </w:r>
    </w:p>
    <w:p w14:paraId="229D5E4B">
      <w:pPr>
        <w:pStyle w:val="60"/>
        <w:numPr>
          <w:ilvl w:val="0"/>
          <w:numId w:val="11"/>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协助采购人分析信息系统的安全运行保障方案与系统的可用性、保密性、完整性及可维护性等方面的协调性，避免技术及管理方面的冲突；</w:t>
      </w:r>
    </w:p>
    <w:p w14:paraId="54F85875">
      <w:pPr>
        <w:pStyle w:val="60"/>
        <w:numPr>
          <w:ilvl w:val="0"/>
          <w:numId w:val="11"/>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督导服务商进行信息系统安全规划，应至少建议服务商从以下几方面规划安全管理：</w:t>
      </w:r>
    </w:p>
    <w:p w14:paraId="04C9DDD8">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人员安全管理；</w:t>
      </w:r>
    </w:p>
    <w:p w14:paraId="4F0AB1B1">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物理与环境保护，如访问控制、数据安全等；</w:t>
      </w:r>
    </w:p>
    <w:p w14:paraId="6A1B1C5D">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输入输出控制，监理须建议并提醒服务商对系统的输入输出信息或介质建立管理机制；</w:t>
      </w:r>
    </w:p>
    <w:p w14:paraId="1DF27F33">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制定突发事件应急计划，监理须建议、提醒服务商针对不同的系统故障或灾难制定应急计划，编写紧急故障恢复操作指南，并对每个岗位的工作人员按照所担任角色进行培训和演练；</w:t>
      </w:r>
    </w:p>
    <w:p w14:paraId="417C5D3B">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数据完整性与有效性控制，监理须建议、提醒服务商规划和评估系统的备份与恢复措施、病毒和恶意攻击防范与检测机制、事件监控日志、记录机制等；</w:t>
      </w:r>
    </w:p>
    <w:p w14:paraId="24B62093">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安全文档管理，监理工程师要建议、提醒服务商建立安全文档管理机制，保障过程文档的完整性、规范性，以及与实际操作过程的一致性、可追溯性；</w:t>
      </w:r>
    </w:p>
    <w:p w14:paraId="1947F2C9">
      <w:pPr>
        <w:pStyle w:val="60"/>
        <w:numPr>
          <w:ilvl w:val="0"/>
          <w:numId w:val="12"/>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安全教育与培训，监理要建议、提醒服务商建立定期安全教育与培训的制度。</w:t>
      </w:r>
    </w:p>
    <w:p w14:paraId="7228B237">
      <w:pPr>
        <w:pStyle w:val="60"/>
        <w:numPr>
          <w:ilvl w:val="0"/>
          <w:numId w:val="11"/>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督导服务商进行信息系统安全管理教育，包括但不限于：</w:t>
      </w:r>
    </w:p>
    <w:p w14:paraId="2EF7398B">
      <w:pPr>
        <w:pStyle w:val="60"/>
        <w:numPr>
          <w:ilvl w:val="0"/>
          <w:numId w:val="1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信息系统相关法律法规教育；</w:t>
      </w:r>
    </w:p>
    <w:p w14:paraId="19F1C7BE">
      <w:pPr>
        <w:pStyle w:val="60"/>
        <w:numPr>
          <w:ilvl w:val="0"/>
          <w:numId w:val="1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信息系统安全基础知识教育，如网络安全教育、运行安全教育、安全技术教育等；</w:t>
      </w:r>
    </w:p>
    <w:p w14:paraId="7EAF97D1">
      <w:pPr>
        <w:pStyle w:val="60"/>
        <w:numPr>
          <w:ilvl w:val="0"/>
          <w:numId w:val="13"/>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信息系统职业道德教育。</w:t>
      </w:r>
    </w:p>
    <w:p w14:paraId="1E444829">
      <w:pPr>
        <w:pStyle w:val="60"/>
        <w:numPr>
          <w:ilvl w:val="0"/>
          <w:numId w:val="11"/>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督导服务商依据安全制度规范，建立安全意识，严格执行安全操作。</w:t>
      </w:r>
    </w:p>
    <w:p w14:paraId="0542AC05">
      <w:pPr>
        <w:pStyle w:val="60"/>
        <w:numPr>
          <w:ilvl w:val="0"/>
          <w:numId w:val="11"/>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督导服务商按照技术标准和方案执行操作，检查服务商是否存在安全隐患行为。</w:t>
      </w:r>
    </w:p>
    <w:p w14:paraId="72A5867D">
      <w:pPr>
        <w:pStyle w:val="7"/>
        <w:shd w:val="clear" w:color="auto" w:fill="FFFFFF" w:themeFill="background1"/>
        <w:snapToGrid w:val="0"/>
        <w:spacing w:line="360" w:lineRule="auto"/>
        <w:rPr>
          <w:rFonts w:hint="default" w:ascii="Times New Roman" w:hAnsi="Times New Roman" w:cs="Times New Roman"/>
        </w:rPr>
      </w:pPr>
      <w:bookmarkStart w:id="15" w:name="_Toc27516"/>
      <w:bookmarkStart w:id="16" w:name="_Toc3342"/>
      <w:r>
        <w:rPr>
          <w:rFonts w:hint="default" w:ascii="Times New Roman" w:hAnsi="Times New Roman" w:cs="Times New Roman"/>
        </w:rPr>
        <w:t>变更管理</w:t>
      </w:r>
      <w:bookmarkEnd w:id="15"/>
      <w:bookmarkEnd w:id="16"/>
    </w:p>
    <w:p w14:paraId="6D044C67">
      <w:pPr>
        <w:numPr>
          <w:ilvl w:val="0"/>
          <w:numId w:val="14"/>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变更管理目标</w:t>
      </w:r>
    </w:p>
    <w:p w14:paraId="1B1366BE">
      <w:pPr>
        <w:shd w:val="clear" w:color="auto" w:fill="FFFFFF" w:themeFill="background1"/>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为了实现既定的目标，通过对各种变更引起的质量、进度和投资方面变化的分析，采取积极的应对措施，规避风险，保证项目的顺利进行，实现项目的目标。</w:t>
      </w:r>
    </w:p>
    <w:p w14:paraId="5D7C54DB">
      <w:pPr>
        <w:numPr>
          <w:ilvl w:val="0"/>
          <w:numId w:val="14"/>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变更控制</w:t>
      </w:r>
    </w:p>
    <w:p w14:paraId="263E0032">
      <w:pPr>
        <w:numPr>
          <w:ilvl w:val="0"/>
          <w:numId w:val="15"/>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对项目变更控制，明确界定项目变更的目标，防止变更范围的扩大化，加强变更风险以及变更效果的评估；</w:t>
      </w:r>
    </w:p>
    <w:p w14:paraId="27B3B0F8">
      <w:pPr>
        <w:numPr>
          <w:ilvl w:val="0"/>
          <w:numId w:val="15"/>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对变更申请及时响应，任何变更都应在实施前进行评估，选择冲击最小的变更方案；</w:t>
      </w:r>
    </w:p>
    <w:p w14:paraId="53F9E146">
      <w:pPr>
        <w:numPr>
          <w:ilvl w:val="0"/>
          <w:numId w:val="15"/>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任何变更都要得到三方（采购人、监理单位和承建单位）的书面确认。</w:t>
      </w:r>
    </w:p>
    <w:p w14:paraId="37D9BD01">
      <w:pPr>
        <w:numPr>
          <w:ilvl w:val="0"/>
          <w:numId w:val="14"/>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变更监督执行</w:t>
      </w:r>
    </w:p>
    <w:p w14:paraId="3FD9F97D">
      <w:pPr>
        <w:shd w:val="clear" w:color="auto" w:fill="FFFFFF" w:themeFill="background1"/>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变更后的内容须纳入正常的监理工作范围里，监理工程师对变更部分的内容要密切注意，及时发现变更引起的超过估计的后果，以便及时控制和处理。</w:t>
      </w:r>
    </w:p>
    <w:p w14:paraId="7BD1D1DD">
      <w:pPr>
        <w:numPr>
          <w:ilvl w:val="0"/>
          <w:numId w:val="16"/>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监理单位定期作变更控制情况报告；</w:t>
      </w:r>
    </w:p>
    <w:p w14:paraId="376CC270">
      <w:pPr>
        <w:numPr>
          <w:ilvl w:val="0"/>
          <w:numId w:val="16"/>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经正式批准的文档由监理单位统一负责管理并监督跟踪变更后续的程序调整、文档版本更新或变更过程中其他的调整要求等工作；</w:t>
      </w:r>
    </w:p>
    <w:p w14:paraId="06ED5B7A">
      <w:pPr>
        <w:numPr>
          <w:ilvl w:val="0"/>
          <w:numId w:val="16"/>
        </w:num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项目变更过程记录资料由监理单位负责收集整理以便及时查阅，并在竣工验收时一并归档。</w:t>
      </w:r>
    </w:p>
    <w:p w14:paraId="6FF10CB4">
      <w:pPr>
        <w:pStyle w:val="7"/>
        <w:shd w:val="clear" w:color="auto" w:fill="FFFFFF" w:themeFill="background1"/>
        <w:snapToGrid w:val="0"/>
        <w:spacing w:line="360" w:lineRule="auto"/>
        <w:rPr>
          <w:rFonts w:hint="default" w:ascii="Times New Roman" w:hAnsi="Times New Roman" w:cs="Times New Roman"/>
        </w:rPr>
      </w:pPr>
      <w:bookmarkStart w:id="17" w:name="_Toc29728"/>
      <w:bookmarkStart w:id="18" w:name="_Toc10867"/>
      <w:r>
        <w:rPr>
          <w:rFonts w:hint="default" w:ascii="Times New Roman" w:hAnsi="Times New Roman" w:cs="Times New Roman"/>
        </w:rPr>
        <w:t>文档管理</w:t>
      </w:r>
      <w:bookmarkEnd w:id="17"/>
      <w:bookmarkEnd w:id="18"/>
    </w:p>
    <w:p w14:paraId="2DA71A27">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信息系统监理文档管理的内容及要点如下：</w:t>
      </w:r>
    </w:p>
    <w:p w14:paraId="2A09E6D0">
      <w:pPr>
        <w:pStyle w:val="60"/>
        <w:numPr>
          <w:ilvl w:val="0"/>
          <w:numId w:val="1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建立信息系统文档管理计划，包括但不限于:</w:t>
      </w:r>
    </w:p>
    <w:p w14:paraId="5CB08C00">
      <w:pPr>
        <w:pStyle w:val="60"/>
        <w:numPr>
          <w:ilvl w:val="0"/>
          <w:numId w:val="18"/>
        </w:numPr>
        <w:shd w:val="clear" w:color="auto" w:fill="FFFFFF" w:themeFill="background1"/>
        <w:snapToGrid w:val="0"/>
        <w:spacing w:line="360" w:lineRule="auto"/>
        <w:jc w:val="left"/>
        <w:rPr>
          <w:rFonts w:hint="default" w:ascii="Times New Roman" w:hAnsi="Times New Roman" w:eastAsia="宋体" w:cs="Times New Roman"/>
          <w:szCs w:val="24"/>
        </w:rPr>
      </w:pPr>
      <w:r>
        <w:rPr>
          <w:rFonts w:hint="default" w:ascii="Times New Roman" w:hAnsi="Times New Roman" w:eastAsia="宋体" w:cs="Times New Roman"/>
          <w:szCs w:val="24"/>
        </w:rPr>
        <w:t>明确信息系统文档的管理范围；</w:t>
      </w:r>
    </w:p>
    <w:p w14:paraId="1E6FD549">
      <w:pPr>
        <w:pStyle w:val="60"/>
        <w:numPr>
          <w:ilvl w:val="0"/>
          <w:numId w:val="18"/>
        </w:numPr>
        <w:shd w:val="clear" w:color="auto" w:fill="FFFFFF" w:themeFill="background1"/>
        <w:snapToGrid w:val="0"/>
        <w:spacing w:line="360" w:lineRule="auto"/>
        <w:jc w:val="left"/>
        <w:rPr>
          <w:rFonts w:hint="default" w:ascii="Times New Roman" w:hAnsi="Times New Roman" w:eastAsia="宋体" w:cs="Times New Roman"/>
          <w:szCs w:val="24"/>
        </w:rPr>
      </w:pPr>
      <w:r>
        <w:rPr>
          <w:rFonts w:hint="default" w:ascii="Times New Roman" w:hAnsi="Times New Roman" w:eastAsia="宋体" w:cs="Times New Roman"/>
          <w:szCs w:val="24"/>
        </w:rPr>
        <w:t>设置监理文档管理组织及专员；</w:t>
      </w:r>
    </w:p>
    <w:p w14:paraId="455A86F0">
      <w:pPr>
        <w:pStyle w:val="60"/>
        <w:numPr>
          <w:ilvl w:val="0"/>
          <w:numId w:val="18"/>
        </w:numPr>
        <w:shd w:val="clear" w:color="auto" w:fill="FFFFFF" w:themeFill="background1"/>
        <w:snapToGrid w:val="0"/>
        <w:spacing w:line="360" w:lineRule="auto"/>
        <w:jc w:val="left"/>
        <w:rPr>
          <w:rFonts w:hint="default" w:ascii="Times New Roman" w:hAnsi="Times New Roman" w:eastAsia="宋体" w:cs="Times New Roman"/>
          <w:szCs w:val="24"/>
        </w:rPr>
      </w:pPr>
      <w:r>
        <w:rPr>
          <w:rFonts w:hint="default" w:ascii="Times New Roman" w:hAnsi="Times New Roman" w:eastAsia="宋体" w:cs="Times New Roman"/>
          <w:szCs w:val="24"/>
        </w:rPr>
        <w:t>制定文档管理相关的制度、规范、流程。</w:t>
      </w:r>
    </w:p>
    <w:p w14:paraId="10390EA5">
      <w:pPr>
        <w:pStyle w:val="60"/>
        <w:numPr>
          <w:ilvl w:val="0"/>
          <w:numId w:val="1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建立服务过程单据和文档模板体系，督导服务商按照统一规范的文本形式及格式，在服务过程整编制各类单据及文档，这些文档包括但不限于：</w:t>
      </w:r>
    </w:p>
    <w:p w14:paraId="39B68731">
      <w:pPr>
        <w:pStyle w:val="60"/>
        <w:numPr>
          <w:ilvl w:val="0"/>
          <w:numId w:val="1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总控类文档，如实施方案、技术方案、质量保证计划、监理规划及实施细则等；</w:t>
      </w:r>
    </w:p>
    <w:p w14:paraId="1D4C52E1">
      <w:pPr>
        <w:pStyle w:val="60"/>
        <w:numPr>
          <w:ilvl w:val="0"/>
          <w:numId w:val="1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监理实施类文档，如变更文档、监理月报、监理专题报告、项目验收监理总结报告等；</w:t>
      </w:r>
    </w:p>
    <w:p w14:paraId="6B1E2F75">
      <w:pPr>
        <w:pStyle w:val="60"/>
        <w:numPr>
          <w:ilvl w:val="0"/>
          <w:numId w:val="19"/>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监理批复类文档，如监理专题意见等。</w:t>
      </w:r>
    </w:p>
    <w:p w14:paraId="2F5889AA">
      <w:pPr>
        <w:pStyle w:val="60"/>
        <w:numPr>
          <w:ilvl w:val="0"/>
          <w:numId w:val="1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对服务商提交的各类单据和文档执行质量评审。</w:t>
      </w:r>
    </w:p>
    <w:p w14:paraId="1F830A25">
      <w:pPr>
        <w:pStyle w:val="60"/>
        <w:numPr>
          <w:ilvl w:val="0"/>
          <w:numId w:val="17"/>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审查服务商所编制的单据及文档内容与实际操作、系统变更情况等信息的一致性和同步性。</w:t>
      </w:r>
    </w:p>
    <w:p w14:paraId="6349220C">
      <w:pPr>
        <w:pStyle w:val="7"/>
        <w:shd w:val="clear" w:color="auto" w:fill="FFFFFF" w:themeFill="background1"/>
        <w:snapToGrid w:val="0"/>
        <w:spacing w:line="360" w:lineRule="auto"/>
        <w:rPr>
          <w:rFonts w:hint="default" w:ascii="Times New Roman" w:hAnsi="Times New Roman" w:cs="Times New Roman"/>
        </w:rPr>
      </w:pPr>
      <w:bookmarkStart w:id="19" w:name="_Toc14165"/>
      <w:bookmarkStart w:id="20" w:name="_Toc22968"/>
      <w:r>
        <w:rPr>
          <w:rFonts w:hint="default" w:ascii="Times New Roman" w:hAnsi="Times New Roman" w:cs="Times New Roman"/>
        </w:rPr>
        <w:t>合同管理</w:t>
      </w:r>
      <w:bookmarkEnd w:id="19"/>
      <w:bookmarkEnd w:id="20"/>
    </w:p>
    <w:p w14:paraId="7075B0A6">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对合同的执行、变更和终止进行全过程监控。信息系统监理合同管理的内容及要点如下：</w:t>
      </w:r>
    </w:p>
    <w:p w14:paraId="575244D4">
      <w:pPr>
        <w:pStyle w:val="60"/>
        <w:numPr>
          <w:ilvl w:val="0"/>
          <w:numId w:val="20"/>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合同的执行过程监理的工作重点</w:t>
      </w:r>
    </w:p>
    <w:p w14:paraId="5913FB94">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做好合同控制和监督，保证合同所约定的各项义务的全面完成及各项权利的实现，以合同分析的成果为基准，对整个合同实施过程的全面监督、检查、对比、引导及纠正的管理活动。重点监理动作有：针对具体的合同事件，尤其是服务过程的质量事件应以合同约定的标准进行处理；以合同为依据，对服务商的服务缺陷提出意见，提出警告，责成其改进；根据合同约定，及时提请用户支付项目款项；了解合同执行的总体情况，如整体项目的秩序如何，已完成工作是否通过验收或评价，有无大的事故，计划和实际成本有无大的偏差等。</w:t>
      </w:r>
    </w:p>
    <w:p w14:paraId="7B4B7FA9">
      <w:pPr>
        <w:pStyle w:val="60"/>
        <w:numPr>
          <w:ilvl w:val="0"/>
          <w:numId w:val="20"/>
        </w:numPr>
        <w:shd w:val="clear" w:color="auto" w:fill="FFFFFF" w:themeFill="background1"/>
        <w:snapToGrid w:val="0"/>
        <w:spacing w:line="360" w:lineRule="auto"/>
        <w:jc w:val="left"/>
        <w:rPr>
          <w:rFonts w:hint="default" w:ascii="Times New Roman" w:hAnsi="Times New Roman" w:cs="Times New Roman"/>
          <w:szCs w:val="24"/>
        </w:rPr>
      </w:pPr>
      <w:r>
        <w:rPr>
          <w:rFonts w:hint="default" w:ascii="Times New Roman" w:hAnsi="Times New Roman" w:cs="Times New Roman"/>
          <w:szCs w:val="24"/>
        </w:rPr>
        <w:t>合同变更及索赔的监理</w:t>
      </w:r>
    </w:p>
    <w:p w14:paraId="79678141">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监理工程师在信息系统合同管理的过程中，应掌握各类合同中的每一项内容，用文件记录代替口头协议。项目细节文件的记录应包括下列内容：信件、会议记录、服务商的规定、指示、更换方案的书面记录及特定的现场情况等。在信息系统实施过程中，监理工程师应认真研究合同条件，关注信息系统动态，在合同履行出现困难时，积极找寻索赔依据，计算出索赔费用，及时提出合同索赔建议，做好索赔的协调工作。</w:t>
      </w:r>
    </w:p>
    <w:p w14:paraId="21374173">
      <w:pPr>
        <w:pStyle w:val="7"/>
        <w:shd w:val="clear" w:color="auto" w:fill="FFFFFF" w:themeFill="background1"/>
        <w:snapToGrid w:val="0"/>
        <w:spacing w:line="360" w:lineRule="auto"/>
        <w:rPr>
          <w:rFonts w:hint="default" w:ascii="Times New Roman" w:hAnsi="Times New Roman" w:cs="Times New Roman"/>
        </w:rPr>
      </w:pPr>
      <w:bookmarkStart w:id="21" w:name="_Toc31861"/>
      <w:bookmarkStart w:id="22" w:name="_Toc28442"/>
      <w:r>
        <w:rPr>
          <w:rFonts w:hint="default" w:ascii="Times New Roman" w:hAnsi="Times New Roman" w:cs="Times New Roman"/>
        </w:rPr>
        <w:t>统筹协调</w:t>
      </w:r>
      <w:bookmarkEnd w:id="21"/>
      <w:bookmarkEnd w:id="22"/>
    </w:p>
    <w:p w14:paraId="4B0DB8C6">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负责协调本项目所涉及的各单位之间的工作关系，并协调解决项目过程中的各类纠纷。监理方应通过必要的会议制度来实施协调工作，主要会议包括但不限于：</w:t>
      </w:r>
    </w:p>
    <w:p w14:paraId="53E88CDE">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项目启动会</w:t>
      </w:r>
    </w:p>
    <w:p w14:paraId="48CB0C73">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月度例会及采购人组织的例会</w:t>
      </w:r>
    </w:p>
    <w:p w14:paraId="5DD48421">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监理协调会</w:t>
      </w:r>
    </w:p>
    <w:p w14:paraId="2535544B">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专题讨论会</w:t>
      </w:r>
    </w:p>
    <w:p w14:paraId="2C15C0F2">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阶段工作总结会</w:t>
      </w:r>
    </w:p>
    <w:p w14:paraId="28EA9DDA">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问题通报会</w:t>
      </w:r>
    </w:p>
    <w:p w14:paraId="381C053E">
      <w:pPr>
        <w:pStyle w:val="60"/>
        <w:numPr>
          <w:ilvl w:val="0"/>
          <w:numId w:val="21"/>
        </w:numPr>
        <w:shd w:val="clear" w:color="auto" w:fill="FFFFFF" w:themeFill="background1"/>
        <w:snapToGrid w:val="0"/>
        <w:spacing w:line="360" w:lineRule="auto"/>
        <w:ind w:left="900" w:hanging="420"/>
        <w:jc w:val="left"/>
        <w:rPr>
          <w:rFonts w:hint="default" w:ascii="Times New Roman" w:hAnsi="Times New Roman" w:cs="Times New Roman"/>
          <w:szCs w:val="24"/>
        </w:rPr>
      </w:pPr>
      <w:r>
        <w:rPr>
          <w:rFonts w:hint="default" w:ascii="Times New Roman" w:hAnsi="Times New Roman" w:cs="Times New Roman"/>
          <w:szCs w:val="24"/>
        </w:rPr>
        <w:t>阶段验收及最终验收会</w:t>
      </w:r>
    </w:p>
    <w:p w14:paraId="1A9F2AAA">
      <w:pPr>
        <w:pStyle w:val="7"/>
        <w:shd w:val="clear" w:color="auto" w:fill="FFFFFF" w:themeFill="background1"/>
        <w:snapToGrid w:val="0"/>
        <w:spacing w:line="360" w:lineRule="auto"/>
        <w:rPr>
          <w:rFonts w:hint="default" w:ascii="Times New Roman" w:hAnsi="Times New Roman" w:cs="Times New Roman"/>
        </w:rPr>
      </w:pPr>
      <w:r>
        <w:rPr>
          <w:rFonts w:hint="default" w:ascii="Times New Roman" w:hAnsi="Times New Roman" w:cs="Times New Roman"/>
        </w:rPr>
        <w:t>检验与检测</w:t>
      </w:r>
    </w:p>
    <w:p w14:paraId="47D26003">
      <w:pPr>
        <w:pStyle w:val="60"/>
        <w:shd w:val="clear" w:color="auto" w:fill="FFFFFF" w:themeFill="background1"/>
        <w:snapToGrid w:val="0"/>
        <w:spacing w:line="360" w:lineRule="auto"/>
        <w:ind w:firstLine="480" w:firstLineChars="200"/>
        <w:jc w:val="left"/>
        <w:rPr>
          <w:rFonts w:hint="default" w:ascii="Times New Roman" w:hAnsi="Times New Roman" w:cs="Times New Roman"/>
          <w:szCs w:val="24"/>
        </w:rPr>
      </w:pPr>
      <w:r>
        <w:rPr>
          <w:rFonts w:hint="default" w:ascii="Times New Roman" w:hAnsi="Times New Roman" w:cs="Times New Roman"/>
          <w:szCs w:val="24"/>
        </w:rPr>
        <w:t>在项目过程中，监理单位要对承建单位的自检自测方案进行审核，对自检自测过程进行见证；对独立第三方评测机构的测评过程及结论予以见证。</w:t>
      </w:r>
    </w:p>
    <w:p w14:paraId="7BB95651">
      <w:pPr>
        <w:pStyle w:val="6"/>
        <w:shd w:val="clear" w:color="auto" w:fill="FFFFFF" w:themeFill="background1"/>
        <w:snapToGrid w:val="0"/>
        <w:spacing w:line="360" w:lineRule="auto"/>
        <w:rPr>
          <w:rFonts w:hint="default" w:ascii="Times New Roman" w:hAnsi="Times New Roman" w:cs="Times New Roman"/>
        </w:rPr>
      </w:pPr>
      <w:bookmarkStart w:id="23" w:name="_Toc30186"/>
      <w:r>
        <w:rPr>
          <w:rFonts w:hint="default" w:ascii="Times New Roman" w:hAnsi="Times New Roman" w:cs="Times New Roman"/>
        </w:rPr>
        <w:t>关键点管理</w:t>
      </w:r>
      <w:bookmarkEnd w:id="23"/>
    </w:p>
    <w:p w14:paraId="3A86C1B3">
      <w:pPr>
        <w:pStyle w:val="7"/>
        <w:shd w:val="clear" w:color="auto" w:fill="FFFFFF" w:themeFill="background1"/>
        <w:snapToGrid w:val="0"/>
        <w:spacing w:line="360" w:lineRule="auto"/>
        <w:rPr>
          <w:rFonts w:hint="default" w:ascii="Times New Roman" w:hAnsi="Times New Roman" w:cs="Times New Roman"/>
        </w:rPr>
      </w:pPr>
      <w:bookmarkStart w:id="24" w:name="_Toc7396"/>
      <w:r>
        <w:rPr>
          <w:rFonts w:hint="default" w:ascii="Times New Roman" w:hAnsi="Times New Roman" w:cs="Times New Roman"/>
        </w:rPr>
        <w:t>管理制度规范</w:t>
      </w:r>
      <w:bookmarkEnd w:id="24"/>
    </w:p>
    <w:p w14:paraId="243381DA">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监理单位向单位下达项目相关制度规范和考核评估表，并在项目过程中严格地执行监理相关的制度规范。</w:t>
      </w:r>
    </w:p>
    <w:p w14:paraId="69FC4D35">
      <w:pPr>
        <w:pStyle w:val="7"/>
        <w:shd w:val="clear" w:color="auto" w:fill="FFFFFF" w:themeFill="background1"/>
        <w:snapToGrid w:val="0"/>
        <w:spacing w:line="360" w:lineRule="auto"/>
        <w:rPr>
          <w:rFonts w:hint="default" w:ascii="Times New Roman" w:hAnsi="Times New Roman" w:cs="Times New Roman"/>
        </w:rPr>
      </w:pPr>
      <w:bookmarkStart w:id="25" w:name="_Toc27554"/>
      <w:r>
        <w:rPr>
          <w:rFonts w:hint="default" w:ascii="Times New Roman" w:hAnsi="Times New Roman" w:cs="Times New Roman"/>
        </w:rPr>
        <w:t>项目启动</w:t>
      </w:r>
      <w:bookmarkEnd w:id="25"/>
    </w:p>
    <w:p w14:paraId="615CE820">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监理单位向单位发送项目启动相关要求的工作联系单，要求单位提交相应的服务方案（包括应急预案）、人员方案等相关项目启动资料。</w:t>
      </w:r>
    </w:p>
    <w:p w14:paraId="4E40BE4A">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监理单位在审查相关启动资料完备并通过后，出具相应的开工令。</w:t>
      </w:r>
    </w:p>
    <w:p w14:paraId="114BD25F">
      <w:pPr>
        <w:pStyle w:val="7"/>
        <w:shd w:val="clear" w:color="auto" w:fill="FFFFFF" w:themeFill="background1"/>
        <w:snapToGrid w:val="0"/>
        <w:spacing w:line="360" w:lineRule="auto"/>
        <w:rPr>
          <w:rFonts w:hint="default" w:ascii="Times New Roman" w:hAnsi="Times New Roman" w:cs="Times New Roman"/>
        </w:rPr>
      </w:pPr>
      <w:bookmarkStart w:id="26" w:name="_Toc25044"/>
      <w:r>
        <w:rPr>
          <w:rFonts w:hint="default" w:ascii="Times New Roman" w:hAnsi="Times New Roman" w:cs="Times New Roman"/>
        </w:rPr>
        <w:t>定期评估管理工作</w:t>
      </w:r>
      <w:bookmarkEnd w:id="26"/>
    </w:p>
    <w:p w14:paraId="38E68270">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监理单位为定期评估工作的主导单位。协调采购人、系统使用单位、单位组织召开相应的通报会，在会议上通报单位的本月情况、存在的问题、并提出需要改进完善的内容等。</w:t>
      </w:r>
    </w:p>
    <w:p w14:paraId="188ECAB7">
      <w:pPr>
        <w:pStyle w:val="7"/>
        <w:shd w:val="clear" w:color="auto" w:fill="FFFFFF" w:themeFill="background1"/>
        <w:snapToGrid w:val="0"/>
        <w:spacing w:line="360" w:lineRule="auto"/>
        <w:rPr>
          <w:rFonts w:hint="default" w:ascii="Times New Roman" w:hAnsi="Times New Roman" w:cs="Times New Roman"/>
        </w:rPr>
      </w:pPr>
      <w:bookmarkStart w:id="27" w:name="_Toc4015"/>
      <w:r>
        <w:rPr>
          <w:rFonts w:hint="default" w:ascii="Times New Roman" w:hAnsi="Times New Roman" w:cs="Times New Roman"/>
        </w:rPr>
        <w:t>突发性故障管理</w:t>
      </w:r>
      <w:bookmarkEnd w:id="27"/>
    </w:p>
    <w:p w14:paraId="4AF22EBD">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监理单位须监督服务商按照应急预案处理突发性故障。在故障解决后，监督服务商对故障问题进行总结，并审查和归档相应的故障处理报告或总结报告。</w:t>
      </w:r>
    </w:p>
    <w:p w14:paraId="18088277">
      <w:pPr>
        <w:pStyle w:val="7"/>
        <w:shd w:val="clear" w:color="auto" w:fill="FFFFFF" w:themeFill="background1"/>
        <w:snapToGrid w:val="0"/>
        <w:spacing w:line="360" w:lineRule="auto"/>
        <w:rPr>
          <w:rFonts w:hint="default" w:ascii="Times New Roman" w:hAnsi="Times New Roman" w:cs="Times New Roman"/>
        </w:rPr>
      </w:pPr>
      <w:bookmarkStart w:id="28" w:name="_Toc28089"/>
      <w:r>
        <w:rPr>
          <w:rFonts w:hint="default" w:ascii="Times New Roman" w:hAnsi="Times New Roman" w:cs="Times New Roman"/>
        </w:rPr>
        <w:t>安全测试</w:t>
      </w:r>
      <w:bookmarkEnd w:id="28"/>
      <w:r>
        <w:rPr>
          <w:rFonts w:hint="default" w:ascii="Times New Roman" w:hAnsi="Times New Roman" w:cs="Times New Roman"/>
        </w:rPr>
        <w:t>问题整改监督</w:t>
      </w:r>
    </w:p>
    <w:p w14:paraId="7BEABB23">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单位根据项目的等保测评、密码应用测评等评估报告，进行整改完善。监理单位负责督促和检查单位的整改工作，并根据采购人要求负责检查和归档的相关安全测试报告。</w:t>
      </w:r>
    </w:p>
    <w:p w14:paraId="64317377">
      <w:pPr>
        <w:pStyle w:val="7"/>
        <w:shd w:val="clear" w:color="auto" w:fill="FFFFFF" w:themeFill="background1"/>
        <w:snapToGrid w:val="0"/>
        <w:spacing w:line="360" w:lineRule="auto"/>
        <w:rPr>
          <w:rFonts w:hint="default" w:ascii="Times New Roman" w:hAnsi="Times New Roman" w:cs="Times New Roman"/>
        </w:rPr>
      </w:pPr>
      <w:bookmarkStart w:id="29" w:name="_Toc20336"/>
      <w:r>
        <w:rPr>
          <w:rFonts w:hint="default" w:ascii="Times New Roman" w:hAnsi="Times New Roman" w:cs="Times New Roman"/>
        </w:rPr>
        <w:t>项目验收工作</w:t>
      </w:r>
      <w:bookmarkEnd w:id="29"/>
    </w:p>
    <w:p w14:paraId="0055D499">
      <w:pPr>
        <w:shd w:val="clear" w:color="auto" w:fill="FFFFFF" w:themeFill="background1"/>
        <w:snapToGrid w:val="0"/>
        <w:spacing w:line="360" w:lineRule="auto"/>
        <w:ind w:firstLine="482"/>
        <w:rPr>
          <w:rFonts w:hint="default" w:ascii="Times New Roman" w:hAnsi="Times New Roman" w:cs="Times New Roman"/>
          <w:sz w:val="24"/>
          <w:szCs w:val="24"/>
        </w:rPr>
      </w:pPr>
      <w:r>
        <w:rPr>
          <w:rFonts w:hint="default" w:ascii="Times New Roman" w:hAnsi="Times New Roman" w:cs="Times New Roman"/>
          <w:sz w:val="24"/>
          <w:szCs w:val="24"/>
        </w:rPr>
        <w:t>监理单位须参照“3.6 验收管理”内容要求开展相应的验收管理工作，负责组织项目验收会并形成验收报告、会议签到表等验收会文件资料，完成验收资料的归档移交。</w:t>
      </w:r>
    </w:p>
    <w:p w14:paraId="0799BEB9">
      <w:pPr>
        <w:pStyle w:val="6"/>
        <w:shd w:val="clear" w:color="auto" w:fill="FFFFFF" w:themeFill="background1"/>
        <w:snapToGrid w:val="0"/>
        <w:spacing w:line="360" w:lineRule="auto"/>
        <w:rPr>
          <w:rFonts w:hint="default" w:ascii="Times New Roman" w:hAnsi="Times New Roman" w:cs="Times New Roman"/>
        </w:rPr>
      </w:pPr>
      <w:bookmarkStart w:id="30" w:name="_Toc18688"/>
      <w:r>
        <w:rPr>
          <w:rFonts w:hint="default" w:ascii="Times New Roman" w:hAnsi="Times New Roman" w:cs="Times New Roman"/>
        </w:rPr>
        <w:t>验收管理</w:t>
      </w:r>
      <w:bookmarkEnd w:id="30"/>
    </w:p>
    <w:p w14:paraId="5B518279">
      <w:pPr>
        <w:pStyle w:val="33"/>
        <w:numPr>
          <w:ilvl w:val="0"/>
          <w:numId w:val="22"/>
        </w:numPr>
        <w:shd w:val="clear" w:color="auto" w:fill="FFFFFF" w:themeFill="background1"/>
        <w:snapToGrid w:val="0"/>
        <w:spacing w:line="360" w:lineRule="auto"/>
        <w:ind w:firstLineChars="0"/>
        <w:rPr>
          <w:rFonts w:hint="default" w:ascii="Times New Roman" w:hAnsi="Times New Roman" w:eastAsia="宋体" w:cs="Times New Roman"/>
          <w:sz w:val="24"/>
          <w:szCs w:val="24"/>
        </w:rPr>
      </w:pPr>
      <w:bookmarkStart w:id="31" w:name="_Toc3358533"/>
      <w:r>
        <w:rPr>
          <w:rFonts w:hint="default" w:ascii="Times New Roman" w:hAnsi="Times New Roman" w:eastAsia="宋体" w:cs="Times New Roman"/>
          <w:b/>
          <w:bCs/>
          <w:sz w:val="24"/>
          <w:szCs w:val="24"/>
        </w:rPr>
        <w:t>验收范围要求</w:t>
      </w:r>
    </w:p>
    <w:p w14:paraId="63F7E74E">
      <w:pPr>
        <w:pStyle w:val="33"/>
        <w:shd w:val="clear" w:color="auto" w:fill="FFFFFF" w:themeFill="background1"/>
        <w:snapToGrid w:val="0"/>
        <w:spacing w:line="360" w:lineRule="auto"/>
        <w:ind w:left="720" w:firstLine="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监理服务范围内所有项目的验收。</w:t>
      </w:r>
    </w:p>
    <w:p w14:paraId="357351AD">
      <w:pPr>
        <w:pStyle w:val="33"/>
        <w:numPr>
          <w:ilvl w:val="0"/>
          <w:numId w:val="22"/>
        </w:numPr>
        <w:shd w:val="clear" w:color="auto" w:fill="FFFFFF" w:themeFill="background1"/>
        <w:snapToGrid w:val="0"/>
        <w:spacing w:line="360" w:lineRule="auto"/>
        <w:ind w:firstLineChars="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监理单位的职责</w:t>
      </w:r>
    </w:p>
    <w:p w14:paraId="28762D96">
      <w:pPr>
        <w:pStyle w:val="33"/>
        <w:shd w:val="clear" w:color="auto" w:fill="FFFFFF" w:themeFill="background1"/>
        <w:snapToGrid w:val="0"/>
        <w:spacing w:line="360" w:lineRule="auto"/>
        <w:ind w:left="-2" w:leftChars="-1" w:firstLine="708" w:firstLineChars="295"/>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监理单位根据采购人的项目管理办法，按照采购人的验收要求，配合进行材料的审核，协助验收会准备。监理单位应配合采购人完成验收过程中的各项工作，包括但不限于下述内容：单位服务的各项任务是否完成、是否按照服务招标文件里的要求完成、服务过程资料是否完整、服务是否符合采购人要求等内容进行审查。</w:t>
      </w:r>
    </w:p>
    <w:p w14:paraId="3994FB17">
      <w:pPr>
        <w:pStyle w:val="33"/>
        <w:numPr>
          <w:ilvl w:val="0"/>
          <w:numId w:val="22"/>
        </w:numPr>
        <w:shd w:val="clear" w:color="auto" w:fill="FFFFFF" w:themeFill="background1"/>
        <w:snapToGrid w:val="0"/>
        <w:spacing w:line="360" w:lineRule="auto"/>
        <w:ind w:firstLineChars="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验收文档资料审查要求</w:t>
      </w:r>
    </w:p>
    <w:p w14:paraId="2347C946">
      <w:pPr>
        <w:pStyle w:val="33"/>
        <w:shd w:val="clear" w:color="auto" w:fill="FFFFFF" w:themeFill="background1"/>
        <w:snapToGrid w:val="0"/>
        <w:spacing w:line="360" w:lineRule="auto"/>
        <w:ind w:firstLine="720" w:firstLineChars="300"/>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项目验收技术文件的所有文档应满足服务项目招标文件各项成果物资料要求以及</w:t>
      </w:r>
      <w:r>
        <w:rPr>
          <w:rFonts w:hint="default" w:ascii="Times New Roman" w:hAnsi="Times New Roman" w:eastAsia="宋体" w:cs="Times New Roman"/>
          <w:bCs/>
          <w:sz w:val="24"/>
          <w:szCs w:val="24"/>
        </w:rPr>
        <w:t>考察</w:t>
      </w:r>
      <w:r>
        <w:rPr>
          <w:rFonts w:hint="default" w:ascii="Times New Roman" w:hAnsi="Times New Roman" w:eastAsia="宋体" w:cs="Times New Roman"/>
          <w:sz w:val="24"/>
          <w:szCs w:val="24"/>
        </w:rPr>
        <w:t>的归档要求，监理单位负责审查各单位文档的完整性，使得文档资料达到项目验收规范中关于资料和成果性文件的相关要求。</w:t>
      </w:r>
    </w:p>
    <w:p w14:paraId="7DC5AA15">
      <w:pPr>
        <w:pStyle w:val="33"/>
        <w:numPr>
          <w:ilvl w:val="0"/>
          <w:numId w:val="22"/>
        </w:numPr>
        <w:shd w:val="clear" w:color="auto" w:fill="FFFFFF" w:themeFill="background1"/>
        <w:snapToGrid w:val="0"/>
        <w:spacing w:line="360" w:lineRule="auto"/>
        <w:ind w:firstLineChars="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验收类型</w:t>
      </w:r>
      <w:bookmarkEnd w:id="31"/>
      <w:r>
        <w:rPr>
          <w:rFonts w:hint="default" w:ascii="Times New Roman" w:hAnsi="Times New Roman" w:eastAsia="宋体" w:cs="Times New Roman"/>
          <w:b/>
          <w:bCs/>
          <w:sz w:val="24"/>
          <w:szCs w:val="24"/>
        </w:rPr>
        <w:t>要求</w:t>
      </w:r>
    </w:p>
    <w:p w14:paraId="5F876A0A">
      <w:pPr>
        <w:pStyle w:val="33"/>
        <w:numPr>
          <w:ilvl w:val="0"/>
          <w:numId w:val="23"/>
        </w:numPr>
        <w:shd w:val="clear" w:color="auto" w:fill="FFFFFF" w:themeFill="background1"/>
        <w:snapToGrid w:val="0"/>
        <w:spacing w:line="360" w:lineRule="auto"/>
        <w:ind w:left="1380" w:hanging="420" w:firstLineChars="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阶段性/中期性验收工作。项目阶段性验收是指各项目在实施期间，对服务商所提供的服务情况进行的阶段性/中期性评审工作。</w:t>
      </w:r>
    </w:p>
    <w:p w14:paraId="2CEE58CD">
      <w:pPr>
        <w:pStyle w:val="33"/>
        <w:numPr>
          <w:ilvl w:val="0"/>
          <w:numId w:val="23"/>
        </w:numPr>
        <w:shd w:val="clear" w:color="auto" w:fill="FFFFFF" w:themeFill="background1"/>
        <w:snapToGrid w:val="0"/>
        <w:spacing w:line="360" w:lineRule="auto"/>
        <w:ind w:left="1380" w:hanging="420" w:firstLineChars="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项目终期验收。项目最终验收是各项目年度完成后，对各项目进行的竣工验收工作。</w:t>
      </w:r>
    </w:p>
    <w:p w14:paraId="5EA1D08C">
      <w:pPr>
        <w:pStyle w:val="33"/>
        <w:numPr>
          <w:ilvl w:val="0"/>
          <w:numId w:val="22"/>
        </w:numPr>
        <w:shd w:val="clear" w:color="auto" w:fill="FFFFFF" w:themeFill="background1"/>
        <w:snapToGrid w:val="0"/>
        <w:spacing w:line="360" w:lineRule="auto"/>
        <w:ind w:firstLineChars="0"/>
        <w:rPr>
          <w:rFonts w:hint="default" w:ascii="Times New Roman" w:hAnsi="Times New Roman" w:eastAsia="宋体" w:cs="Times New Roman"/>
          <w:b/>
          <w:bCs/>
          <w:sz w:val="24"/>
          <w:szCs w:val="24"/>
        </w:rPr>
      </w:pPr>
      <w:bookmarkStart w:id="32" w:name="_Toc3358534"/>
      <w:r>
        <w:rPr>
          <w:rFonts w:hint="default" w:ascii="Times New Roman" w:hAnsi="Times New Roman" w:eastAsia="宋体" w:cs="Times New Roman"/>
          <w:b/>
          <w:bCs/>
          <w:sz w:val="24"/>
          <w:szCs w:val="24"/>
        </w:rPr>
        <w:t>验收</w:t>
      </w:r>
      <w:bookmarkEnd w:id="32"/>
      <w:r>
        <w:rPr>
          <w:rFonts w:hint="default" w:ascii="Times New Roman" w:hAnsi="Times New Roman" w:eastAsia="宋体" w:cs="Times New Roman"/>
          <w:b/>
          <w:bCs/>
          <w:sz w:val="24"/>
          <w:szCs w:val="24"/>
        </w:rPr>
        <w:t>阶段监理工作要求</w:t>
      </w:r>
    </w:p>
    <w:p w14:paraId="0B598254">
      <w:pPr>
        <w:pStyle w:val="33"/>
        <w:numPr>
          <w:ilvl w:val="0"/>
          <w:numId w:val="24"/>
        </w:numPr>
        <w:shd w:val="clear" w:color="auto" w:fill="FFFFFF" w:themeFill="background1"/>
        <w:snapToGrid w:val="0"/>
        <w:spacing w:line="360" w:lineRule="auto"/>
        <w:ind w:left="1380" w:hanging="420" w:firstLineChars="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对验收发现的遗留问题，项目监理单位应督促各相关单位按验收工作组所提要求按期处理完毕。</w:t>
      </w:r>
    </w:p>
    <w:p w14:paraId="1DB5F6E8">
      <w:pPr>
        <w:pStyle w:val="33"/>
        <w:numPr>
          <w:ilvl w:val="0"/>
          <w:numId w:val="24"/>
        </w:numPr>
        <w:shd w:val="clear" w:color="auto" w:fill="FFFFFF" w:themeFill="background1"/>
        <w:snapToGrid w:val="0"/>
        <w:spacing w:line="360" w:lineRule="auto"/>
        <w:ind w:left="1380" w:hanging="420" w:firstLineChars="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项目通过终期验收后，监理单位应完成与采购人的材料交接工作。</w:t>
      </w:r>
    </w:p>
    <w:p w14:paraId="0169D85F">
      <w:pPr>
        <w:pStyle w:val="6"/>
        <w:shd w:val="clear" w:color="auto" w:fill="FFFFFF" w:themeFill="background1"/>
        <w:snapToGrid w:val="0"/>
        <w:spacing w:line="360" w:lineRule="auto"/>
        <w:rPr>
          <w:rFonts w:hint="default" w:ascii="Times New Roman" w:hAnsi="Times New Roman" w:cs="Times New Roman"/>
        </w:rPr>
      </w:pPr>
      <w:r>
        <w:rPr>
          <w:rFonts w:hint="default" w:ascii="Times New Roman" w:hAnsi="Times New Roman" w:cs="Times New Roman"/>
        </w:rPr>
        <w:t>其他要求</w:t>
      </w:r>
    </w:p>
    <w:p w14:paraId="0CAF09FD">
      <w:pPr>
        <w:numPr>
          <w:ilvl w:val="0"/>
          <w:numId w:val="25"/>
        </w:numPr>
        <w:shd w:val="clear" w:color="auto" w:fill="FFFFFF" w:themeFill="background1"/>
        <w:snapToGrid w:val="0"/>
        <w:spacing w:line="360" w:lineRule="auto"/>
        <w:ind w:left="840"/>
        <w:rPr>
          <w:rFonts w:hint="default" w:ascii="Times New Roman" w:hAnsi="Times New Roman" w:cs="Times New Roman"/>
          <w:kern w:val="0"/>
          <w:sz w:val="24"/>
        </w:rPr>
      </w:pPr>
      <w:r>
        <w:rPr>
          <w:rFonts w:hint="default" w:ascii="Times New Roman" w:hAnsi="Times New Roman" w:cs="Times New Roman"/>
          <w:kern w:val="0"/>
          <w:sz w:val="24"/>
        </w:rPr>
        <w:t>监理机构应有明确的内部管理制度和质量管理制度，并积极配合采购人监督管理；</w:t>
      </w:r>
    </w:p>
    <w:p w14:paraId="512783A7">
      <w:pPr>
        <w:numPr>
          <w:ilvl w:val="0"/>
          <w:numId w:val="25"/>
        </w:numPr>
        <w:shd w:val="clear" w:color="auto" w:fill="FFFFFF" w:themeFill="background1"/>
        <w:snapToGrid w:val="0"/>
        <w:spacing w:line="360" w:lineRule="auto"/>
        <w:ind w:left="840"/>
        <w:rPr>
          <w:rFonts w:hint="default" w:ascii="Times New Roman" w:hAnsi="Times New Roman" w:cs="Times New Roman"/>
          <w:kern w:val="0"/>
          <w:sz w:val="24"/>
        </w:rPr>
      </w:pPr>
      <w:r>
        <w:rPr>
          <w:rFonts w:hint="default" w:ascii="Times New Roman" w:hAnsi="Times New Roman" w:cs="Times New Roman"/>
          <w:kern w:val="0"/>
          <w:sz w:val="24"/>
        </w:rPr>
        <w:t>监理人不得违反标准规范规定或合同约定，减少人员投入、减少服务内容、降低服务质量。</w:t>
      </w:r>
    </w:p>
    <w:p w14:paraId="41EB9B1C">
      <w:pPr>
        <w:numPr>
          <w:ilvl w:val="0"/>
          <w:numId w:val="25"/>
        </w:numPr>
        <w:shd w:val="clear" w:color="auto" w:fill="FFFFFF" w:themeFill="background1"/>
        <w:snapToGrid w:val="0"/>
        <w:spacing w:line="360" w:lineRule="auto"/>
        <w:ind w:left="840"/>
        <w:rPr>
          <w:rFonts w:hint="default" w:ascii="Times New Roman" w:hAnsi="Times New Roman" w:cs="Times New Roman"/>
          <w:kern w:val="0"/>
          <w:sz w:val="24"/>
        </w:rPr>
      </w:pPr>
      <w:r>
        <w:rPr>
          <w:rFonts w:hint="default" w:ascii="Times New Roman" w:hAnsi="Times New Roman" w:cs="Times New Roman"/>
          <w:kern w:val="0"/>
          <w:sz w:val="24"/>
        </w:rPr>
        <w:t>设备安装完成后，监理应到现场查看设备安装情况。</w:t>
      </w:r>
    </w:p>
    <w:p w14:paraId="1611A442">
      <w:pPr>
        <w:numPr>
          <w:ilvl w:val="0"/>
          <w:numId w:val="25"/>
        </w:numPr>
        <w:shd w:val="clear" w:color="auto" w:fill="FFFFFF" w:themeFill="background1"/>
        <w:snapToGrid w:val="0"/>
        <w:spacing w:line="360" w:lineRule="auto"/>
        <w:ind w:left="840"/>
        <w:rPr>
          <w:rFonts w:hint="default" w:ascii="Times New Roman" w:hAnsi="Times New Roman" w:cs="Times New Roman"/>
          <w:kern w:val="0"/>
          <w:sz w:val="24"/>
        </w:rPr>
      </w:pPr>
      <w:r>
        <w:rPr>
          <w:rFonts w:hint="default" w:ascii="Times New Roman" w:hAnsi="Times New Roman" w:eastAsia="宋体" w:cs="Times New Roman"/>
          <w:kern w:val="0"/>
          <w:sz w:val="24"/>
        </w:rPr>
        <w:t>监理方应主动沟通各相关方，有效协调采购人、系统使用单位、单位以及各相关单位和机构的关系，为项目提供组织上的保证。</w:t>
      </w:r>
    </w:p>
    <w:p w14:paraId="13BCE4E8">
      <w:pPr>
        <w:numPr>
          <w:ilvl w:val="0"/>
          <w:numId w:val="25"/>
        </w:numPr>
        <w:shd w:val="clear" w:color="auto" w:fill="FFFFFF" w:themeFill="background1"/>
        <w:snapToGrid w:val="0"/>
        <w:spacing w:line="360" w:lineRule="auto"/>
        <w:ind w:left="840"/>
        <w:rPr>
          <w:rFonts w:hint="default" w:ascii="Times New Roman" w:hAnsi="Times New Roman" w:cs="Times New Roman"/>
          <w:kern w:val="0"/>
          <w:sz w:val="24"/>
        </w:rPr>
      </w:pPr>
      <w:r>
        <w:rPr>
          <w:rFonts w:hint="default" w:ascii="Times New Roman" w:hAnsi="Times New Roman" w:eastAsia="宋体" w:cs="Times New Roman"/>
          <w:kern w:val="0"/>
          <w:sz w:val="24"/>
        </w:rPr>
        <w:t>协助采购人和单位在大数据中心项目管理系统中按照项目时间节点要求，按时上传通过监理单位审核的项目节点材料。</w:t>
      </w:r>
    </w:p>
    <w:bookmarkEnd w:id="5"/>
    <w:bookmarkEnd w:id="6"/>
    <w:p w14:paraId="1B2282DD">
      <w:pPr>
        <w:pStyle w:val="5"/>
        <w:shd w:val="clear" w:color="auto" w:fill="FFFFFF" w:themeFill="background1"/>
        <w:snapToGrid w:val="0"/>
        <w:spacing w:line="360" w:lineRule="auto"/>
        <w:ind w:left="0"/>
        <w:rPr>
          <w:rFonts w:hint="default" w:ascii="Times New Roman" w:hAnsi="Times New Roman" w:eastAsia="仿宋" w:cs="Times New Roman"/>
        </w:rPr>
      </w:pPr>
      <w:bookmarkStart w:id="33" w:name="_Toc69194682"/>
      <w:r>
        <w:rPr>
          <w:rFonts w:hint="default" w:ascii="Times New Roman" w:hAnsi="Times New Roman" w:eastAsia="仿宋" w:cs="Times New Roman"/>
        </w:rPr>
        <w:t>服务质量考核</w:t>
      </w:r>
      <w:bookmarkEnd w:id="33"/>
      <w:r>
        <w:rPr>
          <w:rFonts w:hint="default" w:ascii="Times New Roman" w:hAnsi="Times New Roman" w:eastAsia="仿宋" w:cs="Times New Roman"/>
        </w:rPr>
        <w:t>要求</w:t>
      </w:r>
    </w:p>
    <w:p w14:paraId="308873E1">
      <w:pPr>
        <w:pStyle w:val="6"/>
        <w:shd w:val="clear" w:color="auto" w:fill="FFFFFF" w:themeFill="background1"/>
        <w:snapToGrid w:val="0"/>
        <w:spacing w:before="0" w:after="0" w:line="360" w:lineRule="auto"/>
        <w:ind w:left="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考核标准</w:t>
      </w:r>
    </w:p>
    <w:p w14:paraId="6DED07DA">
      <w:pPr>
        <w:shd w:val="clear" w:color="auto" w:fill="FFFFFF" w:themeFill="background1"/>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（1）由监理单位出具的材料从第三方角度客观体现项目的质量、进度、成本、变更及安全等情况。</w:t>
      </w:r>
    </w:p>
    <w:p w14:paraId="0837DBEA">
      <w:pPr>
        <w:shd w:val="clear" w:color="auto" w:fill="FFFFFF" w:themeFill="background1"/>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（2）监理团队的组织架构合理，人员配置满足项目需求。</w:t>
      </w:r>
    </w:p>
    <w:p w14:paraId="6BE38F9D">
      <w:pPr>
        <w:shd w:val="clear" w:color="auto" w:fill="FFFFFF" w:themeFill="background1"/>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（3）监理规划、监理细则符合项目实际情况。</w:t>
      </w:r>
    </w:p>
    <w:p w14:paraId="4BF883B5">
      <w:p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（4）监理单位根据监理细则及项目实际情况， 配合项目负责人定期组织召开项目例会， 编制会议纪要，并跟踪管控项目进展。</w:t>
      </w:r>
    </w:p>
    <w:p w14:paraId="3D4921A4">
      <w:p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（5）在项目过程中，监理单位对承建单位的自检自测方案进行审核，对自检自测过程进行见证；对独立第三方评测机构的测评过程及结论予以见证。</w:t>
      </w:r>
    </w:p>
    <w:p w14:paraId="2975EDC0">
      <w:p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（6）在验收评审阶段，监理单位配合项目负责人组织对项目进行团队内部预验收，编制监理工作总结。</w:t>
      </w:r>
    </w:p>
    <w:p w14:paraId="68322629">
      <w:p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cs="Times New Roman"/>
          <w:sz w:val="24"/>
          <w:szCs w:val="24"/>
        </w:rPr>
        <w:t>（7）监理单位在材料审核过程中未出现失误并对项目造成影响和损失。</w:t>
      </w:r>
    </w:p>
    <w:p w14:paraId="03B41DBB">
      <w:pPr>
        <w:shd w:val="clear" w:color="auto" w:fill="FFFFFF" w:themeFill="background1"/>
        <w:snapToGrid w:val="0"/>
        <w:spacing w:line="360" w:lineRule="auto"/>
        <w:rPr>
          <w:rFonts w:hint="default" w:ascii="Times New Roman" w:hAnsi="Times New Roman" w:cs="Times New Roman"/>
          <w:sz w:val="24"/>
          <w:szCs w:val="24"/>
        </w:rPr>
      </w:pPr>
      <w:r>
        <w:rPr>
          <w:rFonts w:hint="default" w:ascii="Times New Roman" w:hAnsi="Times New Roman" w:eastAsia="宋体" w:cs="Times New Roman"/>
          <w:sz w:val="24"/>
          <w:szCs w:val="24"/>
        </w:rPr>
        <w:t>（8）</w:t>
      </w:r>
      <w:r>
        <w:rPr>
          <w:rFonts w:hint="default" w:ascii="Times New Roman" w:hAnsi="Times New Roman" w:cs="Times New Roman"/>
          <w:sz w:val="24"/>
          <w:szCs w:val="24"/>
        </w:rPr>
        <w:t>监理工作相关文档完整度和准确率大于95%。</w:t>
      </w:r>
    </w:p>
    <w:p w14:paraId="7B67D717">
      <w:pPr>
        <w:pStyle w:val="5"/>
        <w:shd w:val="clear" w:color="auto" w:fill="FFFFFF" w:themeFill="background1"/>
        <w:snapToGrid w:val="0"/>
        <w:spacing w:line="360" w:lineRule="auto"/>
        <w:ind w:left="0"/>
        <w:rPr>
          <w:rFonts w:hint="default" w:ascii="Times New Roman" w:hAnsi="Times New Roman" w:eastAsia="仿宋" w:cs="Times New Roman"/>
        </w:rPr>
      </w:pPr>
      <w:bookmarkStart w:id="34" w:name="_Toc69194684"/>
      <w:r>
        <w:rPr>
          <w:rFonts w:hint="default" w:ascii="Times New Roman" w:hAnsi="Times New Roman" w:eastAsia="仿宋" w:cs="Times New Roman"/>
        </w:rPr>
        <w:t>验收</w:t>
      </w:r>
      <w:bookmarkEnd w:id="34"/>
      <w:r>
        <w:rPr>
          <w:rFonts w:hint="default" w:ascii="Times New Roman" w:hAnsi="Times New Roman" w:eastAsia="仿宋" w:cs="Times New Roman"/>
        </w:rPr>
        <w:t>要求</w:t>
      </w:r>
    </w:p>
    <w:p w14:paraId="4CD4B57D">
      <w:pPr>
        <w:shd w:val="clear" w:color="auto" w:fill="FFFFFF" w:themeFill="background1"/>
        <w:snapToGrid w:val="0"/>
        <w:spacing w:line="360" w:lineRule="auto"/>
        <w:ind w:firstLine="480" w:firstLineChars="200"/>
        <w:rPr>
          <w:rFonts w:hint="default" w:ascii="Times New Roman" w:hAnsi="Times New Roman" w:eastAsia="宋体" w:cs="Times New Roman"/>
          <w:sz w:val="24"/>
          <w:szCs w:val="24"/>
          <w:lang w:val="en-GB"/>
        </w:rPr>
      </w:pPr>
      <w:r>
        <w:rPr>
          <w:rFonts w:hint="default" w:ascii="Times New Roman" w:hAnsi="Times New Roman" w:eastAsia="宋体" w:cs="Times New Roman"/>
          <w:sz w:val="24"/>
          <w:szCs w:val="24"/>
          <w:lang w:val="en-GB"/>
        </w:rPr>
        <w:t>监理工作期限终止时，监理单位应当以书面形式提交监理服务总结报告。采购人在收到监理单位提交的</w:t>
      </w:r>
      <w:r>
        <w:rPr>
          <w:rFonts w:hint="default" w:ascii="Times New Roman" w:hAnsi="Times New Roman" w:eastAsia="宋体" w:cs="Times New Roman"/>
          <w:sz w:val="24"/>
          <w:szCs w:val="24"/>
        </w:rPr>
        <w:t>监理报告</w:t>
      </w:r>
      <w:r>
        <w:rPr>
          <w:rFonts w:hint="default" w:ascii="Times New Roman" w:hAnsi="Times New Roman" w:eastAsia="宋体" w:cs="Times New Roman"/>
          <w:sz w:val="24"/>
          <w:szCs w:val="24"/>
          <w:lang w:val="en-GB"/>
        </w:rPr>
        <w:t>（</w:t>
      </w:r>
      <w:r>
        <w:rPr>
          <w:rFonts w:hint="default" w:ascii="Times New Roman" w:hAnsi="Times New Roman" w:eastAsia="宋体" w:cs="Times New Roman"/>
          <w:sz w:val="24"/>
          <w:szCs w:val="24"/>
        </w:rPr>
        <w:t>服务范围内项目的监理记录、监理文档和</w:t>
      </w:r>
      <w:r>
        <w:rPr>
          <w:rFonts w:hint="default" w:ascii="Times New Roman" w:hAnsi="Times New Roman" w:eastAsia="宋体" w:cs="Times New Roman"/>
          <w:sz w:val="24"/>
          <w:szCs w:val="24"/>
          <w:lang w:val="en-GB"/>
        </w:rPr>
        <w:t>监理服务总结报告等）后20个工作日内，对监理单位的工作进行验收。如属于监理单位原因致使维护服务未能通过验收的，监理单位应当在</w:t>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lang w:val="en-GB"/>
        </w:rPr>
        <w:t>个工作日内进行整改，并自行承担相关整改费用，再次接受采购人的验收，直至符合约定要求。</w:t>
      </w:r>
    </w:p>
    <w:p w14:paraId="29E09FF0">
      <w:pPr>
        <w:pStyle w:val="5"/>
        <w:shd w:val="clear" w:color="auto" w:fill="FFFFFF" w:themeFill="background1"/>
        <w:snapToGrid w:val="0"/>
        <w:spacing w:line="360" w:lineRule="auto"/>
        <w:ind w:left="0"/>
        <w:rPr>
          <w:rFonts w:hint="default" w:ascii="Times New Roman" w:hAnsi="Times New Roman" w:eastAsia="仿宋" w:cs="Times New Roman"/>
        </w:rPr>
      </w:pPr>
      <w:bookmarkStart w:id="35" w:name="_Toc69194685"/>
      <w:r>
        <w:rPr>
          <w:rFonts w:hint="default" w:ascii="Times New Roman" w:hAnsi="Times New Roman" w:eastAsia="仿宋" w:cs="Times New Roman"/>
        </w:rPr>
        <w:t>服务组织和人员</w:t>
      </w:r>
      <w:bookmarkEnd w:id="35"/>
      <w:r>
        <w:rPr>
          <w:rFonts w:hint="default" w:ascii="Times New Roman" w:hAnsi="Times New Roman" w:eastAsia="仿宋" w:cs="Times New Roman"/>
        </w:rPr>
        <w:t>要求</w:t>
      </w:r>
    </w:p>
    <w:p w14:paraId="2E7E325C">
      <w:pPr>
        <w:pStyle w:val="6"/>
        <w:shd w:val="clear" w:color="auto" w:fill="FFFFFF" w:themeFill="background1"/>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监理团队要求</w:t>
      </w:r>
    </w:p>
    <w:p w14:paraId="47463709">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cs="Times New Roman"/>
          <w:sz w:val="24"/>
          <w:szCs w:val="24"/>
        </w:rPr>
        <w:t>为保证本项目监理服务工作，监理单位应成立专门的项目服务团队，团队人员投入不少于6人，包括总监理工程师、专业监理工程师等。</w:t>
      </w:r>
    </w:p>
    <w:p w14:paraId="2E4F1798">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总监理工程师职责：全面负责项目监理工作，按照监理合同要求确定现场监理人员分工，对监理目标负责；组织项目服务团队对项目实施监理服务；检查项目服务团队的监理工作，考核总监理工程师代表、专业监理工程师岗位职责及具体业务的完成情况；审核签署监理工作相关文档。</w:t>
      </w:r>
    </w:p>
    <w:p w14:paraId="79F80D04">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总监理工程师代表职责：与专业监理工程师对接，掌握所有系统的监理工作进展情况；协调项目服务团队、采购人、服务商之间的关系，接受采购人的指导，同时对项目监理的全过程进行必要的监督调控；规定正式的沟通方式、渠道和时间，使所有相关人员按照既定的程序和规则行事；及时反馈业主对监理服务工作的意见；积极主动地完成采购人交办的各项任务。</w:t>
      </w:r>
    </w:p>
    <w:p w14:paraId="18734ABA">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专业监理工程师职责：负责具体系统的现场监理工作。</w:t>
      </w:r>
    </w:p>
    <w:p w14:paraId="2463884F">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监理单位在执行监理合同时建立项目组织机构，根据工作实际需要加派人员以满足应急或其他监理工作需要，在完成合同约定的工作任务后方可解散。</w:t>
      </w:r>
    </w:p>
    <w:p w14:paraId="4E7ACD24">
      <w:pPr>
        <w:numPr>
          <w:ilvl w:val="0"/>
          <w:numId w:val="26"/>
        </w:numPr>
        <w:shd w:val="clear" w:color="auto" w:fill="FFFFFF" w:themeFill="background1"/>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监理单位应保证项目组织机构成员在服务过程中的稳定性，所有项目组人员无特殊理由不得随意变动，如要变动，须征得采购人的同意，在未得到采购人同意的情况下不得随意更换，且接替人的资质不得低于原有人员的资质。</w:t>
      </w:r>
    </w:p>
    <w:p w14:paraId="0661CF7D">
      <w:pPr>
        <w:pStyle w:val="6"/>
        <w:shd w:val="clear" w:color="auto" w:fill="FFFFFF" w:themeFill="background1"/>
        <w:snapToGrid w:val="0"/>
        <w:spacing w:line="360" w:lineRule="auto"/>
        <w:rPr>
          <w:rFonts w:hint="default" w:ascii="Times New Roman" w:hAnsi="Times New Roman" w:cs="Times New Roman"/>
        </w:rPr>
      </w:pPr>
      <w:r>
        <w:rPr>
          <w:rFonts w:hint="default" w:ascii="Times New Roman" w:hAnsi="Times New Roman" w:cs="Times New Roman"/>
        </w:rPr>
        <w:t>监理团队人员要求</w:t>
      </w:r>
    </w:p>
    <w:p w14:paraId="489EF566">
      <w:pPr>
        <w:shd w:val="clear" w:color="auto" w:fill="FFFFFF" w:themeFill="background1"/>
        <w:snapToGrid w:val="0"/>
        <w:spacing w:line="360" w:lineRule="auto"/>
        <w:ind w:firstLine="480" w:firstLineChars="200"/>
        <w:rPr>
          <w:rFonts w:hint="default" w:ascii="Times New Roman" w:hAnsi="Times New Roman" w:eastAsia="宋体" w:cs="Times New Roman"/>
          <w:sz w:val="32"/>
          <w:szCs w:val="32"/>
        </w:rPr>
      </w:pPr>
      <w:bookmarkStart w:id="36" w:name="_Hlk155623736"/>
      <w:r>
        <w:rPr>
          <w:rFonts w:hint="default" w:ascii="Times New Roman" w:hAnsi="Times New Roman" w:cs="Times New Roman"/>
          <w:sz w:val="24"/>
          <w:szCs w:val="24"/>
        </w:rPr>
        <w:t>项目服务团队须全部具有信息系统监理师证书</w:t>
      </w:r>
      <w:bookmarkEnd w:id="36"/>
      <w:r>
        <w:rPr>
          <w:rFonts w:hint="default" w:ascii="Times New Roman" w:hAnsi="Times New Roman" w:cs="Times New Roman"/>
          <w:sz w:val="24"/>
          <w:szCs w:val="24"/>
        </w:rPr>
        <w:t>，并且各岗位人员满足以下各项基本条件：</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268"/>
        <w:gridCol w:w="1276"/>
        <w:gridCol w:w="3594"/>
      </w:tblGrid>
      <w:tr w14:paraId="4CD1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84" w:type="dxa"/>
            <w:vAlign w:val="center"/>
          </w:tcPr>
          <w:p w14:paraId="29F611FE">
            <w:pPr>
              <w:pStyle w:val="25"/>
              <w:shd w:val="clear" w:color="auto" w:fill="FFFFFF" w:themeFill="background1"/>
              <w:snapToGrid w:val="0"/>
              <w:ind w:left="0" w:leftChars="0" w:firstLine="0" w:firstLineChars="0"/>
              <w:jc w:val="center"/>
              <w:rPr>
                <w:rFonts w:hint="default" w:ascii="Times New Roman" w:hAnsi="Times New Roman" w:eastAsia="仿宋" w:cs="Times New Roman"/>
                <w:b/>
                <w:kern w:val="0"/>
                <w:sz w:val="28"/>
                <w:szCs w:val="28"/>
                <w:lang w:val="en-US"/>
              </w:rPr>
            </w:pPr>
            <w:r>
              <w:rPr>
                <w:rFonts w:hint="default" w:ascii="Times New Roman" w:hAnsi="Times New Roman" w:eastAsia="仿宋" w:cs="Times New Roman"/>
                <w:b/>
                <w:kern w:val="0"/>
                <w:sz w:val="28"/>
                <w:szCs w:val="28"/>
                <w:lang w:val="en-US"/>
              </w:rPr>
              <w:t>角色</w:t>
            </w:r>
          </w:p>
        </w:tc>
        <w:tc>
          <w:tcPr>
            <w:tcW w:w="2268" w:type="dxa"/>
            <w:vAlign w:val="center"/>
          </w:tcPr>
          <w:p w14:paraId="7C378B71">
            <w:pPr>
              <w:pStyle w:val="25"/>
              <w:shd w:val="clear" w:color="auto" w:fill="FFFFFF" w:themeFill="background1"/>
              <w:snapToGrid w:val="0"/>
              <w:ind w:left="0" w:leftChars="0" w:firstLine="0" w:firstLineChars="0"/>
              <w:jc w:val="center"/>
              <w:rPr>
                <w:rFonts w:hint="default" w:ascii="Times New Roman" w:hAnsi="Times New Roman" w:eastAsia="仿宋" w:cs="Times New Roman"/>
                <w:b/>
                <w:kern w:val="0"/>
                <w:sz w:val="28"/>
                <w:szCs w:val="28"/>
                <w:lang w:val="en-US"/>
              </w:rPr>
            </w:pPr>
            <w:r>
              <w:rPr>
                <w:rFonts w:hint="default" w:ascii="Times New Roman" w:hAnsi="Times New Roman" w:eastAsia="仿宋" w:cs="Times New Roman"/>
                <w:b/>
                <w:kern w:val="0"/>
                <w:sz w:val="28"/>
                <w:szCs w:val="28"/>
                <w:lang w:val="en-US"/>
              </w:rPr>
              <w:t>主要职责</w:t>
            </w:r>
          </w:p>
        </w:tc>
        <w:tc>
          <w:tcPr>
            <w:tcW w:w="1276" w:type="dxa"/>
            <w:vAlign w:val="center"/>
          </w:tcPr>
          <w:p w14:paraId="5F218DCC">
            <w:pPr>
              <w:pStyle w:val="25"/>
              <w:shd w:val="clear" w:color="auto" w:fill="FFFFFF" w:themeFill="background1"/>
              <w:snapToGrid w:val="0"/>
              <w:ind w:left="0" w:leftChars="0" w:firstLine="0" w:firstLineChars="0"/>
              <w:jc w:val="center"/>
              <w:rPr>
                <w:rFonts w:hint="default" w:ascii="Times New Roman" w:hAnsi="Times New Roman" w:eastAsia="仿宋" w:cs="Times New Roman"/>
                <w:b/>
                <w:kern w:val="0"/>
                <w:sz w:val="28"/>
                <w:szCs w:val="28"/>
                <w:lang w:val="en-US"/>
              </w:rPr>
            </w:pPr>
            <w:r>
              <w:rPr>
                <w:rFonts w:hint="default" w:ascii="Times New Roman" w:hAnsi="Times New Roman" w:eastAsia="仿宋" w:cs="Times New Roman"/>
                <w:b/>
                <w:kern w:val="0"/>
                <w:sz w:val="28"/>
                <w:szCs w:val="28"/>
                <w:lang w:val="en-US"/>
              </w:rPr>
              <w:t>人数</w:t>
            </w:r>
          </w:p>
        </w:tc>
        <w:tc>
          <w:tcPr>
            <w:tcW w:w="3594" w:type="dxa"/>
            <w:vAlign w:val="center"/>
          </w:tcPr>
          <w:p w14:paraId="46F8ED10">
            <w:pPr>
              <w:pStyle w:val="25"/>
              <w:shd w:val="clear" w:color="auto" w:fill="FFFFFF" w:themeFill="background1"/>
              <w:snapToGrid w:val="0"/>
              <w:ind w:left="0" w:leftChars="0" w:firstLine="0" w:firstLineChars="0"/>
              <w:jc w:val="center"/>
              <w:rPr>
                <w:rFonts w:hint="default" w:ascii="Times New Roman" w:hAnsi="Times New Roman" w:eastAsia="仿宋" w:cs="Times New Roman"/>
                <w:b/>
                <w:kern w:val="0"/>
                <w:sz w:val="28"/>
                <w:szCs w:val="28"/>
                <w:lang w:val="en-US"/>
              </w:rPr>
            </w:pPr>
            <w:r>
              <w:rPr>
                <w:rFonts w:hint="default" w:ascii="Times New Roman" w:hAnsi="Times New Roman" w:eastAsia="仿宋" w:cs="Times New Roman"/>
                <w:b/>
                <w:kern w:val="0"/>
                <w:sz w:val="28"/>
                <w:szCs w:val="28"/>
                <w:lang w:val="en-US"/>
              </w:rPr>
              <w:t>人员要求</w:t>
            </w:r>
          </w:p>
        </w:tc>
      </w:tr>
      <w:tr w14:paraId="093B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84" w:type="dxa"/>
            <w:vAlign w:val="center"/>
          </w:tcPr>
          <w:p w14:paraId="61F0B5BA">
            <w:pPr>
              <w:pStyle w:val="25"/>
              <w:shd w:val="clear" w:color="auto" w:fill="FFFFFF" w:themeFill="background1"/>
              <w:snapToGrid w:val="0"/>
              <w:ind w:left="0" w:leftChars="0" w:firstLine="0" w:firstLineChars="0"/>
              <w:jc w:val="center"/>
              <w:rPr>
                <w:rFonts w:hint="default" w:ascii="Times New Roman" w:hAnsi="Times New Roman" w:cs="Times New Roman"/>
                <w:szCs w:val="21"/>
              </w:rPr>
            </w:pPr>
            <w:r>
              <w:rPr>
                <w:rFonts w:hint="default" w:ascii="Times New Roman" w:hAnsi="Times New Roman" w:cs="Times New Roman"/>
                <w:szCs w:val="21"/>
              </w:rPr>
              <w:t>总监理</w:t>
            </w:r>
          </w:p>
          <w:p w14:paraId="67235540">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工程师</w:t>
            </w:r>
          </w:p>
        </w:tc>
        <w:tc>
          <w:tcPr>
            <w:tcW w:w="2268" w:type="dxa"/>
            <w:vAlign w:val="center"/>
          </w:tcPr>
          <w:p w14:paraId="0C086A92">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对本项目监理工作全面负责</w:t>
            </w:r>
          </w:p>
        </w:tc>
        <w:tc>
          <w:tcPr>
            <w:tcW w:w="1276" w:type="dxa"/>
            <w:vAlign w:val="center"/>
          </w:tcPr>
          <w:p w14:paraId="65FD35A1">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eastAsia="仿宋" w:cs="Times New Roman"/>
                <w:sz w:val="28"/>
                <w:szCs w:val="28"/>
                <w:lang w:val="en-US"/>
              </w:rPr>
              <w:t>1人</w:t>
            </w:r>
          </w:p>
        </w:tc>
        <w:tc>
          <w:tcPr>
            <w:tcW w:w="3594" w:type="dxa"/>
            <w:vAlign w:val="center"/>
          </w:tcPr>
          <w:p w14:paraId="729A3BDE">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具备信息化保障项目总监理工程师经验，具有信息系统监理师</w:t>
            </w:r>
            <w:r>
              <w:rPr>
                <w:rFonts w:hint="eastAsia" w:cs="Times New Roman"/>
                <w:szCs w:val="21"/>
                <w:lang w:eastAsia="zh-CN"/>
              </w:rPr>
              <w:t>（中级）</w:t>
            </w:r>
            <w:r>
              <w:rPr>
                <w:rFonts w:hint="default" w:ascii="Times New Roman" w:hAnsi="Times New Roman" w:cs="Times New Roman"/>
                <w:szCs w:val="21"/>
              </w:rPr>
              <w:t>证书,</w:t>
            </w:r>
            <w:r>
              <w:rPr>
                <w:rFonts w:hint="default" w:ascii="Times New Roman" w:hAnsi="Times New Roman" w:cs="Times New Roman"/>
                <w:kern w:val="0"/>
              </w:rPr>
              <w:t>熟悉软件测试、数据库管理和信息安全领域并具备相关能力证书</w:t>
            </w:r>
            <w:r>
              <w:rPr>
                <w:rFonts w:hint="default" w:ascii="Times New Roman" w:hAnsi="Times New Roman" w:cs="Times New Roman"/>
                <w:szCs w:val="21"/>
              </w:rPr>
              <w:t>。</w:t>
            </w:r>
          </w:p>
        </w:tc>
      </w:tr>
      <w:tr w14:paraId="4E36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84" w:type="dxa"/>
            <w:vAlign w:val="center"/>
          </w:tcPr>
          <w:p w14:paraId="113D89E7">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专业监理工程师</w:t>
            </w:r>
          </w:p>
        </w:tc>
        <w:tc>
          <w:tcPr>
            <w:tcW w:w="2268" w:type="dxa"/>
            <w:vAlign w:val="center"/>
          </w:tcPr>
          <w:p w14:paraId="5E2BBBAB">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现场监理</w:t>
            </w:r>
          </w:p>
        </w:tc>
        <w:tc>
          <w:tcPr>
            <w:tcW w:w="1276" w:type="dxa"/>
            <w:vAlign w:val="center"/>
          </w:tcPr>
          <w:p w14:paraId="23F2BC01">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eastAsia="仿宋" w:cs="Times New Roman"/>
                <w:sz w:val="28"/>
                <w:szCs w:val="28"/>
                <w:lang w:val="en-US"/>
              </w:rPr>
              <w:t>5人</w:t>
            </w:r>
          </w:p>
        </w:tc>
        <w:tc>
          <w:tcPr>
            <w:tcW w:w="3594" w:type="dxa"/>
            <w:vAlign w:val="center"/>
          </w:tcPr>
          <w:p w14:paraId="28982F9B">
            <w:pPr>
              <w:pStyle w:val="25"/>
              <w:shd w:val="clear" w:color="auto" w:fill="FFFFFF" w:themeFill="background1"/>
              <w:snapToGrid w:val="0"/>
              <w:ind w:left="0" w:leftChars="0" w:firstLine="0" w:firstLineChars="0"/>
              <w:jc w:val="center"/>
              <w:rPr>
                <w:rFonts w:hint="default" w:ascii="Times New Roman" w:hAnsi="Times New Roman" w:eastAsia="仿宋" w:cs="Times New Roman"/>
                <w:kern w:val="0"/>
                <w:sz w:val="28"/>
                <w:szCs w:val="28"/>
                <w:lang w:val="en-US"/>
              </w:rPr>
            </w:pPr>
            <w:r>
              <w:rPr>
                <w:rFonts w:hint="default" w:ascii="Times New Roman" w:hAnsi="Times New Roman" w:cs="Times New Roman"/>
                <w:szCs w:val="21"/>
              </w:rPr>
              <w:t>具有信息系统监理师（中级）证书，监理师应具有</w:t>
            </w:r>
            <w:r>
              <w:rPr>
                <w:rFonts w:hint="default" w:ascii="Times New Roman" w:hAnsi="Times New Roman" w:cs="Times New Roman"/>
              </w:rPr>
              <w:t>2年以上信息化保障项目监理工作经验，熟悉软件开发、人工智能、</w:t>
            </w:r>
            <w:r>
              <w:rPr>
                <w:rFonts w:hint="default" w:ascii="Times New Roman" w:hAnsi="Times New Roman" w:cs="Times New Roman"/>
                <w:kern w:val="0"/>
              </w:rPr>
              <w:t>大数据分析、</w:t>
            </w:r>
            <w:r>
              <w:rPr>
                <w:rFonts w:hint="default" w:ascii="Times New Roman" w:hAnsi="Times New Roman" w:cs="Times New Roman"/>
              </w:rPr>
              <w:t>大数据平台管理、信息安全和软件测试</w:t>
            </w:r>
            <w:r>
              <w:rPr>
                <w:rFonts w:hint="default" w:ascii="Times New Roman" w:hAnsi="Times New Roman" w:cs="Times New Roman"/>
                <w:kern w:val="0"/>
              </w:rPr>
              <w:t>领域并具备相关能力证书。</w:t>
            </w:r>
          </w:p>
        </w:tc>
      </w:tr>
    </w:tbl>
    <w:p w14:paraId="1801EC5D">
      <w:pPr>
        <w:pStyle w:val="5"/>
        <w:shd w:val="clear" w:color="auto" w:fill="FFFFFF" w:themeFill="background1"/>
        <w:snapToGrid w:val="0"/>
        <w:spacing w:line="360" w:lineRule="auto"/>
        <w:ind w:left="0"/>
        <w:rPr>
          <w:rFonts w:hint="default" w:ascii="Times New Roman" w:hAnsi="Times New Roman" w:eastAsia="仿宋" w:cs="Times New Roman"/>
          <w:bCs w:val="0"/>
          <w:szCs w:val="32"/>
        </w:rPr>
      </w:pPr>
      <w:bookmarkStart w:id="37" w:name="_Toc69194690"/>
      <w:r>
        <w:rPr>
          <w:rFonts w:hint="default" w:ascii="Times New Roman" w:hAnsi="Times New Roman" w:eastAsia="仿宋" w:cs="Times New Roman"/>
          <w:bCs w:val="0"/>
          <w:szCs w:val="32"/>
        </w:rPr>
        <w:t>项目的变更、解除和终止</w:t>
      </w:r>
    </w:p>
    <w:p w14:paraId="6A6B8D03">
      <w:pPr>
        <w:shd w:val="clear" w:color="auto" w:fill="FFFFFF" w:themeFill="background1"/>
        <w:snapToGrid w:val="0"/>
        <w:spacing w:line="360" w:lineRule="auto"/>
        <w:ind w:firstLine="480" w:firstLineChars="200"/>
        <w:rPr>
          <w:rFonts w:hint="default" w:ascii="Times New Roman" w:hAnsi="Times New Roman" w:cs="Times New Roman"/>
          <w:sz w:val="24"/>
          <w:szCs w:val="32"/>
        </w:rPr>
      </w:pPr>
      <w:r>
        <w:rPr>
          <w:rFonts w:hint="default" w:ascii="Times New Roman" w:hAnsi="Times New Roman" w:cs="Times New Roman"/>
          <w:sz w:val="24"/>
          <w:szCs w:val="32"/>
        </w:rPr>
        <w:t>如果服务提供方丧失履约能力、发生资不抵债或进入破产程序，采购人可在任何时候以书面形式通知服务提供方终止本项目的执行而不给予服务提供方补偿。该终止本项目将不损害或影响采购人已经采取或将要采取任何行动或补救措施的权利。</w:t>
      </w:r>
    </w:p>
    <w:p w14:paraId="757D94A3">
      <w:pPr>
        <w:shd w:val="clear" w:color="auto" w:fill="FFFFFF" w:themeFill="background1"/>
        <w:snapToGrid w:val="0"/>
        <w:spacing w:line="360" w:lineRule="auto"/>
        <w:ind w:firstLine="480" w:firstLineChars="200"/>
        <w:rPr>
          <w:rFonts w:hint="default" w:ascii="Times New Roman" w:hAnsi="Times New Roman" w:cs="Times New Roman"/>
          <w:sz w:val="24"/>
          <w:szCs w:val="32"/>
        </w:rPr>
      </w:pPr>
      <w:r>
        <w:rPr>
          <w:rFonts w:hint="default" w:ascii="Times New Roman" w:hAnsi="Times New Roman" w:cs="Times New Roman"/>
          <w:sz w:val="24"/>
          <w:szCs w:val="32"/>
        </w:rPr>
        <w:t>如遇国家、行业管理部门等机构的有关标准和规定调整的，导致本项目内容须做相应调整时，双方应按照公平、合理的原则共同协商修改本项目对应的合同的相关条款。</w:t>
      </w:r>
    </w:p>
    <w:p w14:paraId="0894BD87">
      <w:pPr>
        <w:pStyle w:val="5"/>
        <w:shd w:val="clear" w:color="auto" w:fill="FFFFFF" w:themeFill="background1"/>
        <w:snapToGrid w:val="0"/>
        <w:spacing w:line="360" w:lineRule="auto"/>
        <w:ind w:left="0"/>
        <w:rPr>
          <w:rFonts w:hint="default" w:ascii="Times New Roman" w:hAnsi="Times New Roman" w:eastAsia="仿宋" w:cs="Times New Roman"/>
        </w:rPr>
      </w:pPr>
      <w:r>
        <w:rPr>
          <w:rFonts w:hint="default" w:ascii="Times New Roman" w:hAnsi="Times New Roman" w:eastAsia="仿宋" w:cs="Times New Roman"/>
        </w:rPr>
        <w:t>保密责任</w:t>
      </w:r>
    </w:p>
    <w:p w14:paraId="24FE93DF">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1、成交供应商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成交供应商不得对外泄露采购人要求保密的信息，不得用于其他用途，否则成交供应商需承担由此引起的法律责任和经济责任，包括但不限于直接损失、间接损失、律师费、诉讼费/仲裁费、调查费、公证费等。</w:t>
      </w:r>
    </w:p>
    <w:p w14:paraId="42335670">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2、成交供应商应采取必要的有效措施保证其参与本项目的人员（包括成交供应商聘用的人员、借调的人员、实习的人员）无论是在职或离职后，以及成交供应商的合作方无论是合作中或合作终止后，都能够履行本项目约定的保密义务。若成交供应商人员或成交供应商合作方违反保密规定，成交供应商应承担连带责任。</w:t>
      </w:r>
    </w:p>
    <w:p w14:paraId="0EFD896A">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3、成交供应商（含成交供应商参与本项目的人员以及其合作方）未经采购人书面许可，不得以任何形式自行使用或以任何方式向第三方披露、转让、授权、出售与本项目有关的技术成果、计算机软件、源代码、策划文档、技术诀窍、秘密信息、技术资料和其他文件。</w:t>
      </w:r>
    </w:p>
    <w:p w14:paraId="35325011">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4、以上内容的保密期限自成交供应商知悉保密信息起始至保密信息被合法公开之日止。</w:t>
      </w:r>
    </w:p>
    <w:p w14:paraId="3DC90974">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5、成交供应商对采购人提供的临时使用账号要保密，不得公开，对组件开发的账号密码需进行加密，避免信息安全的泄露。未经采购人的同意不得利用采购人的网络及平台进行短信、彩信、微信、邮件等发送,造成的一切后果由成交供应商负责。</w:t>
      </w:r>
    </w:p>
    <w:p w14:paraId="1A8C598E">
      <w:pPr>
        <w:shd w:val="clear" w:color="auto" w:fill="FFFFFF" w:themeFill="background1"/>
        <w:snapToGrid w:val="0"/>
        <w:spacing w:line="360" w:lineRule="auto"/>
        <w:ind w:firstLine="199" w:firstLineChars="83"/>
        <w:rPr>
          <w:rFonts w:hint="default" w:ascii="Times New Roman" w:hAnsi="Times New Roman" w:cs="Times New Roman"/>
          <w:sz w:val="24"/>
          <w:szCs w:val="32"/>
        </w:rPr>
      </w:pPr>
      <w:r>
        <w:rPr>
          <w:rFonts w:hint="default" w:ascii="Times New Roman" w:hAnsi="Times New Roman" w:cs="Times New Roman"/>
          <w:sz w:val="24"/>
          <w:szCs w:val="32"/>
        </w:rPr>
        <w:t>过程成交供应商如出现失、窃密事情，参照网络和数据安全事件处罚措施同等处置，具体处罚措施由中心保密管理部门确定。</w:t>
      </w:r>
    </w:p>
    <w:p w14:paraId="10E6CEA5">
      <w:pPr>
        <w:keepNext/>
        <w:keepLines/>
        <w:numPr>
          <w:ilvl w:val="0"/>
          <w:numId w:val="1"/>
        </w:numPr>
        <w:shd w:val="clear" w:color="auto" w:fill="FFFFFF" w:themeFill="background1"/>
        <w:snapToGrid w:val="0"/>
        <w:spacing w:before="340" w:after="330" w:line="360" w:lineRule="auto"/>
        <w:ind w:left="0"/>
        <w:outlineLvl w:val="0"/>
        <w:rPr>
          <w:rFonts w:hint="default" w:ascii="Times New Roman" w:hAnsi="Times New Roman" w:eastAsia="仿宋" w:cs="Times New Roman"/>
          <w:b/>
          <w:bCs/>
          <w:kern w:val="44"/>
          <w:sz w:val="32"/>
          <w:szCs w:val="44"/>
        </w:rPr>
      </w:pPr>
      <w:r>
        <w:rPr>
          <w:rFonts w:hint="default" w:ascii="Times New Roman" w:hAnsi="Times New Roman" w:eastAsia="仿宋" w:cs="Times New Roman"/>
          <w:b/>
          <w:bCs/>
          <w:kern w:val="44"/>
          <w:sz w:val="32"/>
          <w:szCs w:val="44"/>
        </w:rPr>
        <w:t>企业综合能力</w:t>
      </w:r>
    </w:p>
    <w:p w14:paraId="7F4D7E93">
      <w:pPr>
        <w:shd w:val="clear" w:color="auto" w:fill="FFFFFF" w:themeFill="background1"/>
        <w:spacing w:line="56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供应商具备ISO9001质量管理体系认证证书、ISO20000信息技术服务管理体系认证、ISO27001信息安全管理体系认证证书的优先考虑。</w:t>
      </w:r>
      <w:bookmarkEnd w:id="37"/>
    </w:p>
    <w:sectPr>
      <w:footerReference r:id="rId4" w:type="default"/>
      <w:pgSz w:w="11906" w:h="16838"/>
      <w:pgMar w:top="1440" w:right="1800" w:bottom="1440" w:left="1800" w:header="851"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华文新魏">
    <w:altName w:val="方正魏碑_GBK"/>
    <w:panose1 w:val="02010800040101010101"/>
    <w:charset w:val="86"/>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time">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Liberation Serif">
    <w:panose1 w:val="02020603050405020304"/>
    <w:charset w:val="00"/>
    <w:family w:val="auto"/>
    <w:pitch w:val="default"/>
    <w:sig w:usb0="A00002AF" w:usb1="500078FB" w:usb2="00000000" w:usb3="00000000" w:csb0="600000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2945245"/>
    </w:sdtPr>
    <w:sdtContent>
      <w:p w14:paraId="0CC8A957">
        <w:pPr>
          <w:pStyle w:val="18"/>
          <w:jc w:val="center"/>
        </w:pPr>
        <w:r>
          <w:fldChar w:fldCharType="begin"/>
        </w:r>
        <w:r>
          <w:instrText xml:space="preserve">PAGE   \* MERGEFORMAT</w:instrText>
        </w:r>
        <w:r>
          <w:fldChar w:fldCharType="separate"/>
        </w:r>
        <w:r>
          <w:rPr>
            <w:lang w:val="zh-CN"/>
          </w:rPr>
          <w:t>19</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9BB1">
    <w:pPr>
      <w:pStyle w:val="19"/>
      <w:pBdr>
        <w:bottom w:val="none" w:color="auto" w:sz="0" w:space="0"/>
      </w:pBdr>
    </w:pPr>
    <w:bookmarkStart w:id="38" w:name="OLE_LINK9"/>
    <w:bookmarkEnd w:id="38"/>
    <w:bookmarkStart w:id="39" w:name="OLE_LINK10"/>
    <w:bookmarkEnd w:id="39"/>
    <w:bookmarkStart w:id="40" w:name="_Hlk233994109"/>
    <w:bookmarkEnd w:id="4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5C425"/>
    <w:multiLevelType w:val="singleLevel"/>
    <w:tmpl w:val="97C5C425"/>
    <w:lvl w:ilvl="0" w:tentative="0">
      <w:start w:val="1"/>
      <w:numFmt w:val="decimal"/>
      <w:lvlText w:val="%1."/>
      <w:lvlJc w:val="left"/>
      <w:pPr>
        <w:ind w:left="905" w:hanging="425"/>
      </w:pPr>
      <w:rPr>
        <w:rFonts w:hint="default" w:ascii="宋体" w:hAnsi="宋体" w:eastAsia="宋体" w:cs="宋体"/>
      </w:rPr>
    </w:lvl>
  </w:abstractNum>
  <w:abstractNum w:abstractNumId="1">
    <w:nsid w:val="9A45AC40"/>
    <w:multiLevelType w:val="singleLevel"/>
    <w:tmpl w:val="9A45AC40"/>
    <w:lvl w:ilvl="0" w:tentative="0">
      <w:start w:val="1"/>
      <w:numFmt w:val="decimal"/>
      <w:lvlText w:val="%1."/>
      <w:lvlJc w:val="left"/>
      <w:pPr>
        <w:ind w:left="905" w:hanging="425"/>
      </w:pPr>
      <w:rPr>
        <w:rFonts w:hint="default" w:ascii="宋体" w:hAnsi="宋体" w:eastAsia="宋体" w:cs="宋体"/>
      </w:rPr>
    </w:lvl>
  </w:abstractNum>
  <w:abstractNum w:abstractNumId="2">
    <w:nsid w:val="A5E69F03"/>
    <w:multiLevelType w:val="singleLevel"/>
    <w:tmpl w:val="A5E69F03"/>
    <w:lvl w:ilvl="0" w:tentative="0">
      <w:start w:val="1"/>
      <w:numFmt w:val="decimal"/>
      <w:lvlText w:val="(%1)"/>
      <w:lvlJc w:val="left"/>
      <w:pPr>
        <w:ind w:left="1145" w:hanging="425"/>
      </w:pPr>
      <w:rPr>
        <w:rFonts w:hint="default" w:ascii="宋体" w:hAnsi="宋体" w:eastAsia="宋体" w:cs="宋体"/>
      </w:rPr>
    </w:lvl>
  </w:abstractNum>
  <w:abstractNum w:abstractNumId="3">
    <w:nsid w:val="BCC46343"/>
    <w:multiLevelType w:val="singleLevel"/>
    <w:tmpl w:val="BCC46343"/>
    <w:lvl w:ilvl="0" w:tentative="0">
      <w:start w:val="1"/>
      <w:numFmt w:val="decimal"/>
      <w:lvlText w:val="(%1)"/>
      <w:lvlJc w:val="left"/>
      <w:pPr>
        <w:ind w:left="1145" w:hanging="425"/>
      </w:pPr>
      <w:rPr>
        <w:rFonts w:hint="default" w:ascii="宋体" w:hAnsi="宋体" w:eastAsia="宋体" w:cs="宋体"/>
      </w:rPr>
    </w:lvl>
  </w:abstractNum>
  <w:abstractNum w:abstractNumId="4">
    <w:nsid w:val="C351176E"/>
    <w:multiLevelType w:val="singleLevel"/>
    <w:tmpl w:val="C351176E"/>
    <w:lvl w:ilvl="0" w:tentative="0">
      <w:start w:val="1"/>
      <w:numFmt w:val="decimal"/>
      <w:lvlText w:val="(%1)"/>
      <w:lvlJc w:val="left"/>
      <w:pPr>
        <w:ind w:left="1145" w:hanging="425"/>
      </w:pPr>
      <w:rPr>
        <w:rFonts w:hint="default" w:ascii="宋体" w:hAnsi="宋体" w:eastAsia="宋体" w:cs="宋体"/>
      </w:rPr>
    </w:lvl>
  </w:abstractNum>
  <w:abstractNum w:abstractNumId="5">
    <w:nsid w:val="CA07F395"/>
    <w:multiLevelType w:val="singleLevel"/>
    <w:tmpl w:val="CA07F395"/>
    <w:lvl w:ilvl="0" w:tentative="0">
      <w:start w:val="1"/>
      <w:numFmt w:val="decimal"/>
      <w:lvlText w:val="(%1)"/>
      <w:lvlJc w:val="left"/>
      <w:pPr>
        <w:ind w:left="-55" w:hanging="425"/>
      </w:pPr>
      <w:rPr>
        <w:rFonts w:hint="default"/>
      </w:rPr>
    </w:lvl>
  </w:abstractNum>
  <w:abstractNum w:abstractNumId="6">
    <w:nsid w:val="E4F023CA"/>
    <w:multiLevelType w:val="singleLevel"/>
    <w:tmpl w:val="E4F023CA"/>
    <w:lvl w:ilvl="0" w:tentative="0">
      <w:start w:val="1"/>
      <w:numFmt w:val="decimal"/>
      <w:lvlText w:val="(%1)"/>
      <w:lvlJc w:val="left"/>
      <w:pPr>
        <w:ind w:left="1145" w:hanging="425"/>
      </w:pPr>
      <w:rPr>
        <w:rFonts w:hint="default" w:ascii="宋体" w:hAnsi="宋体" w:eastAsia="宋体" w:cs="宋体"/>
      </w:rPr>
    </w:lvl>
  </w:abstractNum>
  <w:abstractNum w:abstractNumId="7">
    <w:nsid w:val="F09469C6"/>
    <w:multiLevelType w:val="singleLevel"/>
    <w:tmpl w:val="F09469C6"/>
    <w:lvl w:ilvl="0" w:tentative="0">
      <w:start w:val="1"/>
      <w:numFmt w:val="decimal"/>
      <w:suff w:val="nothing"/>
      <w:lvlText w:val="%1．"/>
      <w:lvlJc w:val="left"/>
      <w:pPr>
        <w:ind w:left="0" w:firstLine="400"/>
      </w:pPr>
      <w:rPr>
        <w:rFonts w:hint="default"/>
      </w:rPr>
    </w:lvl>
  </w:abstractNum>
  <w:abstractNum w:abstractNumId="8">
    <w:nsid w:val="F1172598"/>
    <w:multiLevelType w:val="singleLevel"/>
    <w:tmpl w:val="F1172598"/>
    <w:lvl w:ilvl="0" w:tentative="0">
      <w:start w:val="1"/>
      <w:numFmt w:val="decimal"/>
      <w:lvlText w:val="%1."/>
      <w:lvlJc w:val="left"/>
      <w:pPr>
        <w:ind w:left="905" w:hanging="425"/>
      </w:pPr>
      <w:rPr>
        <w:rFonts w:hint="default" w:ascii="宋体" w:hAnsi="宋体" w:eastAsia="宋体" w:cs="宋体"/>
      </w:rPr>
    </w:lvl>
  </w:abstractNum>
  <w:abstractNum w:abstractNumId="9">
    <w:nsid w:val="FD8C7F54"/>
    <w:multiLevelType w:val="singleLevel"/>
    <w:tmpl w:val="FD8C7F54"/>
    <w:lvl w:ilvl="0" w:tentative="0">
      <w:start w:val="1"/>
      <w:numFmt w:val="decimal"/>
      <w:lvlText w:val="(%1)"/>
      <w:lvlJc w:val="left"/>
      <w:pPr>
        <w:ind w:left="1145" w:hanging="425"/>
      </w:pPr>
      <w:rPr>
        <w:rFonts w:hint="default" w:ascii="宋体" w:hAnsi="宋体" w:eastAsia="宋体" w:cs="宋体"/>
      </w:rPr>
    </w:lvl>
  </w:abstractNum>
  <w:abstractNum w:abstractNumId="10">
    <w:nsid w:val="007A108B"/>
    <w:multiLevelType w:val="singleLevel"/>
    <w:tmpl w:val="007A108B"/>
    <w:lvl w:ilvl="0" w:tentative="0">
      <w:start w:val="1"/>
      <w:numFmt w:val="decimal"/>
      <w:lvlText w:val="%1."/>
      <w:lvlJc w:val="left"/>
      <w:pPr>
        <w:ind w:left="905" w:hanging="425"/>
      </w:pPr>
      <w:rPr>
        <w:rFonts w:hint="default" w:ascii="宋体" w:hAnsi="宋体" w:eastAsia="宋体" w:cs="宋体"/>
      </w:rPr>
    </w:lvl>
  </w:abstractNum>
  <w:abstractNum w:abstractNumId="11">
    <w:nsid w:val="183A517A"/>
    <w:multiLevelType w:val="singleLevel"/>
    <w:tmpl w:val="183A517A"/>
    <w:lvl w:ilvl="0" w:tentative="0">
      <w:start w:val="1"/>
      <w:numFmt w:val="decimal"/>
      <w:lvlText w:val="(%1)"/>
      <w:lvlJc w:val="left"/>
      <w:pPr>
        <w:ind w:left="1145" w:hanging="425"/>
      </w:pPr>
      <w:rPr>
        <w:rFonts w:hint="default" w:ascii="宋体" w:hAnsi="宋体" w:eastAsia="宋体" w:cs="宋体"/>
      </w:rPr>
    </w:lvl>
  </w:abstractNum>
  <w:abstractNum w:abstractNumId="12">
    <w:nsid w:val="2791FE22"/>
    <w:multiLevelType w:val="singleLevel"/>
    <w:tmpl w:val="2791FE22"/>
    <w:lvl w:ilvl="0" w:tentative="0">
      <w:start w:val="1"/>
      <w:numFmt w:val="decimal"/>
      <w:lvlText w:val="%1."/>
      <w:lvlJc w:val="left"/>
      <w:pPr>
        <w:ind w:left="425" w:hanging="425"/>
      </w:pPr>
      <w:rPr>
        <w:rFonts w:hint="default" w:ascii="宋体" w:hAnsi="宋体" w:eastAsia="宋体" w:cs="宋体"/>
      </w:rPr>
    </w:lvl>
  </w:abstractNum>
  <w:abstractNum w:abstractNumId="13">
    <w:nsid w:val="2F796D14"/>
    <w:multiLevelType w:val="singleLevel"/>
    <w:tmpl w:val="2F796D14"/>
    <w:lvl w:ilvl="0" w:tentative="0">
      <w:start w:val="1"/>
      <w:numFmt w:val="decimal"/>
      <w:lvlText w:val="(%1)"/>
      <w:lvlJc w:val="left"/>
      <w:pPr>
        <w:ind w:left="1145" w:hanging="425"/>
      </w:pPr>
      <w:rPr>
        <w:rFonts w:hint="default" w:ascii="宋体" w:hAnsi="宋体" w:eastAsia="宋体" w:cs="宋体"/>
      </w:rPr>
    </w:lvl>
  </w:abstractNum>
  <w:abstractNum w:abstractNumId="14">
    <w:nsid w:val="31D02556"/>
    <w:multiLevelType w:val="multilevel"/>
    <w:tmpl w:val="31D02556"/>
    <w:lvl w:ilvl="0" w:tentative="0">
      <w:start w:val="1"/>
      <w:numFmt w:val="decimal"/>
      <w:lvlText w:val="%1."/>
      <w:lvlJc w:val="left"/>
      <w:pPr>
        <w:ind w:left="1140" w:hanging="420"/>
      </w:pPr>
      <w:rPr>
        <w:b/>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5">
    <w:nsid w:val="3B1A15DD"/>
    <w:multiLevelType w:val="multilevel"/>
    <w:tmpl w:val="3B1A15DD"/>
    <w:lvl w:ilvl="0" w:tentative="0">
      <w:start w:val="1"/>
      <w:numFmt w:val="decimal"/>
      <w:lvlText w:val="%1."/>
      <w:lvlJc w:val="left"/>
      <w:pPr>
        <w:ind w:left="1260" w:hanging="480"/>
      </w:pPr>
    </w:lvl>
    <w:lvl w:ilvl="1" w:tentative="0">
      <w:start w:val="1"/>
      <w:numFmt w:val="lowerLetter"/>
      <w:lvlText w:val="%2)"/>
      <w:lvlJc w:val="left"/>
      <w:pPr>
        <w:ind w:left="1740" w:hanging="480"/>
      </w:pPr>
    </w:lvl>
    <w:lvl w:ilvl="2" w:tentative="0">
      <w:start w:val="1"/>
      <w:numFmt w:val="lowerRoman"/>
      <w:lvlText w:val="%3."/>
      <w:lvlJc w:val="right"/>
      <w:pPr>
        <w:ind w:left="2220" w:hanging="480"/>
      </w:pPr>
    </w:lvl>
    <w:lvl w:ilvl="3" w:tentative="0">
      <w:start w:val="1"/>
      <w:numFmt w:val="decimal"/>
      <w:lvlText w:val="%4."/>
      <w:lvlJc w:val="left"/>
      <w:pPr>
        <w:ind w:left="2700" w:hanging="480"/>
      </w:pPr>
    </w:lvl>
    <w:lvl w:ilvl="4" w:tentative="0">
      <w:start w:val="1"/>
      <w:numFmt w:val="lowerLetter"/>
      <w:lvlText w:val="%5)"/>
      <w:lvlJc w:val="left"/>
      <w:pPr>
        <w:ind w:left="3180" w:hanging="480"/>
      </w:pPr>
    </w:lvl>
    <w:lvl w:ilvl="5" w:tentative="0">
      <w:start w:val="1"/>
      <w:numFmt w:val="lowerRoman"/>
      <w:lvlText w:val="%6."/>
      <w:lvlJc w:val="right"/>
      <w:pPr>
        <w:ind w:left="3660" w:hanging="480"/>
      </w:pPr>
    </w:lvl>
    <w:lvl w:ilvl="6" w:tentative="0">
      <w:start w:val="1"/>
      <w:numFmt w:val="decimal"/>
      <w:lvlText w:val="%7."/>
      <w:lvlJc w:val="left"/>
      <w:pPr>
        <w:ind w:left="4140" w:hanging="480"/>
      </w:pPr>
    </w:lvl>
    <w:lvl w:ilvl="7" w:tentative="0">
      <w:start w:val="1"/>
      <w:numFmt w:val="lowerLetter"/>
      <w:lvlText w:val="%8)"/>
      <w:lvlJc w:val="left"/>
      <w:pPr>
        <w:ind w:left="4620" w:hanging="480"/>
      </w:pPr>
    </w:lvl>
    <w:lvl w:ilvl="8" w:tentative="0">
      <w:start w:val="1"/>
      <w:numFmt w:val="lowerRoman"/>
      <w:lvlText w:val="%9."/>
      <w:lvlJc w:val="right"/>
      <w:pPr>
        <w:ind w:left="5100" w:hanging="480"/>
      </w:pPr>
    </w:lvl>
  </w:abstractNum>
  <w:abstractNum w:abstractNumId="16">
    <w:nsid w:val="3B3B204C"/>
    <w:multiLevelType w:val="singleLevel"/>
    <w:tmpl w:val="3B3B204C"/>
    <w:lvl w:ilvl="0" w:tentative="0">
      <w:start w:val="1"/>
      <w:numFmt w:val="decimal"/>
      <w:lvlText w:val="(%1)"/>
      <w:lvlJc w:val="left"/>
      <w:pPr>
        <w:ind w:left="1145" w:hanging="425"/>
      </w:pPr>
      <w:rPr>
        <w:rFonts w:hint="default" w:ascii="宋体" w:hAnsi="宋体" w:eastAsia="宋体" w:cs="宋体"/>
      </w:rPr>
    </w:lvl>
  </w:abstractNum>
  <w:abstractNum w:abstractNumId="17">
    <w:nsid w:val="3B97FBB3"/>
    <w:multiLevelType w:val="singleLevel"/>
    <w:tmpl w:val="3B97FBB3"/>
    <w:lvl w:ilvl="0" w:tentative="0">
      <w:start w:val="1"/>
      <w:numFmt w:val="decimal"/>
      <w:lvlText w:val="%1."/>
      <w:lvlJc w:val="left"/>
      <w:pPr>
        <w:ind w:left="905" w:hanging="425"/>
      </w:pPr>
      <w:rPr>
        <w:rFonts w:hint="default" w:ascii="宋体" w:hAnsi="宋体" w:eastAsia="宋体" w:cs="宋体"/>
      </w:rPr>
    </w:lvl>
  </w:abstractNum>
  <w:abstractNum w:abstractNumId="18">
    <w:nsid w:val="3BA27EE8"/>
    <w:multiLevelType w:val="singleLevel"/>
    <w:tmpl w:val="3BA27EE8"/>
    <w:lvl w:ilvl="0" w:tentative="0">
      <w:start w:val="1"/>
      <w:numFmt w:val="decimal"/>
      <w:lvlText w:val="(%1)"/>
      <w:lvlJc w:val="left"/>
      <w:pPr>
        <w:ind w:left="1385" w:hanging="425"/>
      </w:pPr>
      <w:rPr>
        <w:rFonts w:hint="default" w:ascii="宋体" w:hAnsi="宋体" w:eastAsia="宋体" w:cs="宋体"/>
      </w:rPr>
    </w:lvl>
  </w:abstractNum>
  <w:abstractNum w:abstractNumId="19">
    <w:nsid w:val="3C8DD6C4"/>
    <w:multiLevelType w:val="singleLevel"/>
    <w:tmpl w:val="3C8DD6C4"/>
    <w:lvl w:ilvl="0" w:tentative="0">
      <w:start w:val="1"/>
      <w:numFmt w:val="decimal"/>
      <w:lvlText w:val="(%1)"/>
      <w:lvlJc w:val="left"/>
      <w:pPr>
        <w:ind w:left="1145" w:hanging="425"/>
      </w:pPr>
      <w:rPr>
        <w:rFonts w:hint="default" w:ascii="宋体" w:hAnsi="宋体" w:eastAsia="宋体" w:cs="宋体"/>
      </w:rPr>
    </w:lvl>
  </w:abstractNum>
  <w:abstractNum w:abstractNumId="20">
    <w:nsid w:val="41628756"/>
    <w:multiLevelType w:val="singleLevel"/>
    <w:tmpl w:val="41628756"/>
    <w:lvl w:ilvl="0" w:tentative="0">
      <w:start w:val="1"/>
      <w:numFmt w:val="decimal"/>
      <w:lvlText w:val="(%1)"/>
      <w:lvlJc w:val="left"/>
      <w:pPr>
        <w:ind w:left="-55" w:hanging="425"/>
      </w:pPr>
      <w:rPr>
        <w:rFonts w:hint="default"/>
      </w:rPr>
    </w:lvl>
  </w:abstractNum>
  <w:abstractNum w:abstractNumId="21">
    <w:nsid w:val="47B1A623"/>
    <w:multiLevelType w:val="singleLevel"/>
    <w:tmpl w:val="47B1A623"/>
    <w:lvl w:ilvl="0" w:tentative="0">
      <w:start w:val="1"/>
      <w:numFmt w:val="decimal"/>
      <w:lvlText w:val="%1."/>
      <w:lvlJc w:val="left"/>
      <w:pPr>
        <w:ind w:left="905" w:hanging="425"/>
      </w:pPr>
      <w:rPr>
        <w:rFonts w:hint="default"/>
      </w:rPr>
    </w:lvl>
  </w:abstractNum>
  <w:abstractNum w:abstractNumId="22">
    <w:nsid w:val="4B414E94"/>
    <w:multiLevelType w:val="multilevel"/>
    <w:tmpl w:val="4B414E94"/>
    <w:lvl w:ilvl="0" w:tentative="0">
      <w:start w:val="1"/>
      <w:numFmt w:val="chineseCountingThousand"/>
      <w:pStyle w:val="5"/>
      <w:suff w:val="nothing"/>
      <w:lvlText w:val="%1、"/>
      <w:lvlJc w:val="left"/>
      <w:pPr>
        <w:ind w:left="2694" w:firstLine="0"/>
      </w:pPr>
      <w:rPr>
        <w:rFonts w:hint="eastAsia" w:ascii="仿宋" w:hAnsi="仿宋" w:eastAsia="仿宋" w:cs="仿宋"/>
        <w:b/>
        <w:i w:val="0"/>
        <w:sz w:val="32"/>
        <w:szCs w:val="32"/>
        <w:lang w:val="en-US"/>
      </w:rPr>
    </w:lvl>
    <w:lvl w:ilvl="1" w:tentative="0">
      <w:start w:val="1"/>
      <w:numFmt w:val="decimal"/>
      <w:pStyle w:val="6"/>
      <w:isLgl/>
      <w:suff w:val="nothing"/>
      <w:lvlText w:val="%1.%2 "/>
      <w:lvlJc w:val="left"/>
      <w:pPr>
        <w:ind w:left="851" w:firstLine="0"/>
      </w:pPr>
      <w:rPr>
        <w:rFonts w:hint="default" w:ascii="Times New Roman" w:hAnsi="Times New Roman" w:eastAsia="宋体"/>
        <w:b/>
        <w:i w:val="0"/>
        <w:sz w:val="30"/>
      </w:rPr>
    </w:lvl>
    <w:lvl w:ilvl="2" w:tentative="0">
      <w:start w:val="1"/>
      <w:numFmt w:val="decimal"/>
      <w:pStyle w:val="7"/>
      <w:isLgl/>
      <w:suff w:val="nothing"/>
      <w:lvlText w:val="%1.%2.%3 "/>
      <w:lvlJc w:val="left"/>
      <w:pPr>
        <w:ind w:left="1135" w:firstLine="0"/>
      </w:pPr>
      <w:rPr>
        <w:rFonts w:hint="default" w:ascii="Times New Roman" w:hAnsi="Times New Roman" w:eastAsia="仿宋"/>
        <w:b/>
        <w:i w:val="0"/>
        <w:sz w:val="28"/>
      </w:rPr>
    </w:lvl>
    <w:lvl w:ilvl="3" w:tentative="0">
      <w:start w:val="1"/>
      <w:numFmt w:val="decimal"/>
      <w:pStyle w:val="8"/>
      <w:isLgl/>
      <w:suff w:val="nothing"/>
      <w:lvlText w:val="%1.%2.%3.%4、"/>
      <w:lvlJc w:val="left"/>
      <w:pPr>
        <w:ind w:left="567" w:firstLine="0"/>
      </w:pPr>
      <w:rPr>
        <w:rFonts w:hint="default" w:ascii="Times New Roman" w:hAnsi="Times New Roman" w:eastAsia="宋体"/>
        <w:b/>
        <w:i w:val="0"/>
        <w:sz w:val="24"/>
      </w:rPr>
    </w:lvl>
    <w:lvl w:ilvl="4" w:tentative="0">
      <w:start w:val="1"/>
      <w:numFmt w:val="decimal"/>
      <w:pStyle w:val="9"/>
      <w:isLgl/>
      <w:suff w:val="nothing"/>
      <w:lvlText w:val="%1.%2.%3.%4.%5、"/>
      <w:lvlJc w:val="left"/>
      <w:pPr>
        <w:ind w:left="567" w:firstLine="0"/>
      </w:pPr>
      <w:rPr>
        <w:rFonts w:hint="default" w:ascii="Times New Roman" w:hAnsi="Times New Roman" w:eastAsia="宋体"/>
        <w:b/>
        <w:i w:val="0"/>
        <w:sz w:val="21"/>
      </w:rPr>
    </w:lvl>
    <w:lvl w:ilvl="5" w:tentative="0">
      <w:start w:val="1"/>
      <w:numFmt w:val="decimal"/>
      <w:pStyle w:val="10"/>
      <w:isLgl/>
      <w:suff w:val="nothing"/>
      <w:lvlText w:val="%1.%2.%3.%4.%5.%6、"/>
      <w:lvlJc w:val="left"/>
      <w:pPr>
        <w:ind w:left="567" w:firstLine="0"/>
      </w:pPr>
      <w:rPr>
        <w:rFonts w:hint="default" w:ascii="Times New Roman" w:hAnsi="Times New Roman" w:eastAsia="宋体"/>
        <w:b/>
        <w:i w:val="0"/>
        <w:sz w:val="21"/>
      </w:rPr>
    </w:lvl>
    <w:lvl w:ilvl="6" w:tentative="0">
      <w:start w:val="1"/>
      <w:numFmt w:val="decimal"/>
      <w:pStyle w:val="11"/>
      <w:isLgl/>
      <w:suff w:val="nothing"/>
      <w:lvlText w:val="%1.%2.%3.%4.%5.%6.%7、"/>
      <w:lvlJc w:val="left"/>
      <w:pPr>
        <w:ind w:left="567" w:firstLine="0"/>
      </w:pPr>
      <w:rPr>
        <w:rFonts w:hint="default" w:ascii="Times New Roman" w:hAnsi="Times New Roman" w:eastAsia="宋体"/>
        <w:b/>
        <w:i w:val="0"/>
        <w:sz w:val="21"/>
      </w:rPr>
    </w:lvl>
    <w:lvl w:ilvl="7" w:tentative="0">
      <w:start w:val="1"/>
      <w:numFmt w:val="decimal"/>
      <w:pStyle w:val="12"/>
      <w:isLgl/>
      <w:suff w:val="nothing"/>
      <w:lvlText w:val="%1.%2.%3.%4.%5.%6.%7.%8、"/>
      <w:lvlJc w:val="left"/>
      <w:pPr>
        <w:ind w:left="567" w:firstLine="0"/>
      </w:pPr>
      <w:rPr>
        <w:rFonts w:hint="default" w:ascii="Times New Roman" w:hAnsi="Times New Roman" w:eastAsia="宋体"/>
        <w:b/>
        <w:i w:val="0"/>
        <w:sz w:val="21"/>
      </w:rPr>
    </w:lvl>
    <w:lvl w:ilvl="8" w:tentative="0">
      <w:start w:val="1"/>
      <w:numFmt w:val="decimal"/>
      <w:pStyle w:val="13"/>
      <w:isLgl/>
      <w:suff w:val="nothing"/>
      <w:lvlText w:val="%1.%2.%3.%4.%5.%6.%7.%8.%9、"/>
      <w:lvlJc w:val="left"/>
      <w:pPr>
        <w:ind w:left="567" w:firstLine="0"/>
      </w:pPr>
      <w:rPr>
        <w:rFonts w:hint="default" w:ascii="Times New Roman" w:hAnsi="Times New Roman" w:eastAsia="宋体"/>
        <w:b/>
        <w:i w:val="0"/>
        <w:sz w:val="21"/>
      </w:rPr>
    </w:lvl>
  </w:abstractNum>
  <w:abstractNum w:abstractNumId="23">
    <w:nsid w:val="4BFECEA9"/>
    <w:multiLevelType w:val="singleLevel"/>
    <w:tmpl w:val="4BFECEA9"/>
    <w:lvl w:ilvl="0" w:tentative="0">
      <w:start w:val="1"/>
      <w:numFmt w:val="decimal"/>
      <w:lvlText w:val="(%1)"/>
      <w:lvlJc w:val="left"/>
      <w:pPr>
        <w:ind w:left="1385" w:hanging="425"/>
      </w:pPr>
      <w:rPr>
        <w:rFonts w:hint="default" w:ascii="宋体" w:hAnsi="宋体" w:eastAsia="宋体" w:cs="宋体"/>
      </w:rPr>
    </w:lvl>
  </w:abstractNum>
  <w:abstractNum w:abstractNumId="24">
    <w:nsid w:val="736475FE"/>
    <w:multiLevelType w:val="singleLevel"/>
    <w:tmpl w:val="736475FE"/>
    <w:lvl w:ilvl="0" w:tentative="0">
      <w:start w:val="1"/>
      <w:numFmt w:val="decimal"/>
      <w:lvlText w:val="%1."/>
      <w:lvlJc w:val="left"/>
      <w:pPr>
        <w:ind w:left="905" w:hanging="425"/>
      </w:pPr>
      <w:rPr>
        <w:rFonts w:hint="default" w:ascii="宋体" w:hAnsi="宋体" w:eastAsia="宋体" w:cs="宋体"/>
      </w:rPr>
    </w:lvl>
  </w:abstractNum>
  <w:abstractNum w:abstractNumId="25">
    <w:nsid w:val="77EA1BEB"/>
    <w:multiLevelType w:val="singleLevel"/>
    <w:tmpl w:val="77EA1BEB"/>
    <w:lvl w:ilvl="0" w:tentative="0">
      <w:start w:val="1"/>
      <w:numFmt w:val="decimal"/>
      <w:lvlText w:val="(%1)"/>
      <w:lvlJc w:val="left"/>
      <w:pPr>
        <w:ind w:left="1145" w:hanging="425"/>
      </w:pPr>
      <w:rPr>
        <w:rFonts w:hint="default" w:ascii="宋体" w:hAnsi="宋体" w:eastAsia="宋体" w:cs="宋体"/>
      </w:rPr>
    </w:lvl>
  </w:abstractNum>
  <w:num w:numId="1">
    <w:abstractNumId w:val="22"/>
  </w:num>
  <w:num w:numId="2">
    <w:abstractNumId w:val="21"/>
  </w:num>
  <w:num w:numId="3">
    <w:abstractNumId w:val="1"/>
  </w:num>
  <w:num w:numId="4">
    <w:abstractNumId w:val="19"/>
  </w:num>
  <w:num w:numId="5">
    <w:abstractNumId w:val="13"/>
  </w:num>
  <w:num w:numId="6">
    <w:abstractNumId w:val="25"/>
  </w:num>
  <w:num w:numId="7">
    <w:abstractNumId w:val="3"/>
  </w:num>
  <w:num w:numId="8">
    <w:abstractNumId w:val="11"/>
  </w:num>
  <w:num w:numId="9">
    <w:abstractNumId w:val="0"/>
  </w:num>
  <w:num w:numId="10">
    <w:abstractNumId w:val="2"/>
  </w:num>
  <w:num w:numId="11">
    <w:abstractNumId w:val="24"/>
  </w:num>
  <w:num w:numId="12">
    <w:abstractNumId w:val="18"/>
  </w:num>
  <w:num w:numId="13">
    <w:abstractNumId w:val="23"/>
  </w:num>
  <w:num w:numId="14">
    <w:abstractNumId w:val="8"/>
  </w:num>
  <w:num w:numId="15">
    <w:abstractNumId w:val="16"/>
  </w:num>
  <w:num w:numId="16">
    <w:abstractNumId w:val="9"/>
  </w:num>
  <w:num w:numId="17">
    <w:abstractNumId w:val="17"/>
  </w:num>
  <w:num w:numId="18">
    <w:abstractNumId w:val="6"/>
  </w:num>
  <w:num w:numId="19">
    <w:abstractNumId w:val="4"/>
  </w:num>
  <w:num w:numId="20">
    <w:abstractNumId w:val="10"/>
  </w:num>
  <w:num w:numId="21">
    <w:abstractNumId w:val="12"/>
  </w:num>
  <w:num w:numId="22">
    <w:abstractNumId w:val="14"/>
  </w:num>
  <w:num w:numId="23">
    <w:abstractNumId w:val="5"/>
  </w:num>
  <w:num w:numId="24">
    <w:abstractNumId w:val="20"/>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MDIwYjI1MTFkMzYyODQ3NjRmOWM1YzBlMmMwY2MifQ=="/>
  </w:docVars>
  <w:rsids>
    <w:rsidRoot w:val="00A65D43"/>
    <w:rsid w:val="0000190C"/>
    <w:rsid w:val="00001BEB"/>
    <w:rsid w:val="00010B05"/>
    <w:rsid w:val="0002058A"/>
    <w:rsid w:val="00024DCE"/>
    <w:rsid w:val="00025A0A"/>
    <w:rsid w:val="00025B47"/>
    <w:rsid w:val="00025D33"/>
    <w:rsid w:val="00031146"/>
    <w:rsid w:val="00031E82"/>
    <w:rsid w:val="0003289E"/>
    <w:rsid w:val="000337EC"/>
    <w:rsid w:val="0003480C"/>
    <w:rsid w:val="000369B8"/>
    <w:rsid w:val="0004197E"/>
    <w:rsid w:val="00042982"/>
    <w:rsid w:val="00042AE2"/>
    <w:rsid w:val="00045108"/>
    <w:rsid w:val="000452BC"/>
    <w:rsid w:val="0004562C"/>
    <w:rsid w:val="00047235"/>
    <w:rsid w:val="00055746"/>
    <w:rsid w:val="00061333"/>
    <w:rsid w:val="00061D38"/>
    <w:rsid w:val="00065382"/>
    <w:rsid w:val="00065ADA"/>
    <w:rsid w:val="00067BAE"/>
    <w:rsid w:val="000713A9"/>
    <w:rsid w:val="00072DDE"/>
    <w:rsid w:val="0007524D"/>
    <w:rsid w:val="00077F67"/>
    <w:rsid w:val="00081035"/>
    <w:rsid w:val="00085F33"/>
    <w:rsid w:val="00086F1A"/>
    <w:rsid w:val="00087E8E"/>
    <w:rsid w:val="00092749"/>
    <w:rsid w:val="00093E3D"/>
    <w:rsid w:val="000945B3"/>
    <w:rsid w:val="00094EBE"/>
    <w:rsid w:val="000977A7"/>
    <w:rsid w:val="000A0130"/>
    <w:rsid w:val="000A0DA6"/>
    <w:rsid w:val="000A1FA8"/>
    <w:rsid w:val="000A267E"/>
    <w:rsid w:val="000A5D58"/>
    <w:rsid w:val="000B17AA"/>
    <w:rsid w:val="000B36E1"/>
    <w:rsid w:val="000B3767"/>
    <w:rsid w:val="000B43E3"/>
    <w:rsid w:val="000B513D"/>
    <w:rsid w:val="000C0E2D"/>
    <w:rsid w:val="000C11CE"/>
    <w:rsid w:val="000C229F"/>
    <w:rsid w:val="000C39D4"/>
    <w:rsid w:val="000C40E3"/>
    <w:rsid w:val="000C6061"/>
    <w:rsid w:val="000C745E"/>
    <w:rsid w:val="000D2575"/>
    <w:rsid w:val="000D3F43"/>
    <w:rsid w:val="000D68E4"/>
    <w:rsid w:val="000D73CC"/>
    <w:rsid w:val="000E0768"/>
    <w:rsid w:val="000E0C83"/>
    <w:rsid w:val="000E2143"/>
    <w:rsid w:val="000E619B"/>
    <w:rsid w:val="000E63B0"/>
    <w:rsid w:val="000F007B"/>
    <w:rsid w:val="000F01CD"/>
    <w:rsid w:val="000F1D58"/>
    <w:rsid w:val="000F31FD"/>
    <w:rsid w:val="000F57AB"/>
    <w:rsid w:val="00101576"/>
    <w:rsid w:val="0010311A"/>
    <w:rsid w:val="00107F82"/>
    <w:rsid w:val="0011070E"/>
    <w:rsid w:val="001136B4"/>
    <w:rsid w:val="00120506"/>
    <w:rsid w:val="00120E27"/>
    <w:rsid w:val="00121B5E"/>
    <w:rsid w:val="0012223B"/>
    <w:rsid w:val="0012452D"/>
    <w:rsid w:val="00125811"/>
    <w:rsid w:val="001270CE"/>
    <w:rsid w:val="0012793C"/>
    <w:rsid w:val="00130FCC"/>
    <w:rsid w:val="001368A6"/>
    <w:rsid w:val="00137BAC"/>
    <w:rsid w:val="00137FAE"/>
    <w:rsid w:val="001406EF"/>
    <w:rsid w:val="00156927"/>
    <w:rsid w:val="00160956"/>
    <w:rsid w:val="00161EA9"/>
    <w:rsid w:val="001628B3"/>
    <w:rsid w:val="00163401"/>
    <w:rsid w:val="0016607D"/>
    <w:rsid w:val="001660F1"/>
    <w:rsid w:val="00166D53"/>
    <w:rsid w:val="001672AA"/>
    <w:rsid w:val="0017051B"/>
    <w:rsid w:val="00171011"/>
    <w:rsid w:val="0017130E"/>
    <w:rsid w:val="001719B1"/>
    <w:rsid w:val="00172318"/>
    <w:rsid w:val="00172A39"/>
    <w:rsid w:val="001746C1"/>
    <w:rsid w:val="00175D08"/>
    <w:rsid w:val="0018072A"/>
    <w:rsid w:val="001828C7"/>
    <w:rsid w:val="00183D30"/>
    <w:rsid w:val="00184C81"/>
    <w:rsid w:val="00190408"/>
    <w:rsid w:val="001926A6"/>
    <w:rsid w:val="00193EBA"/>
    <w:rsid w:val="001945E1"/>
    <w:rsid w:val="00197692"/>
    <w:rsid w:val="001A177B"/>
    <w:rsid w:val="001A55FD"/>
    <w:rsid w:val="001A7FBD"/>
    <w:rsid w:val="001B1382"/>
    <w:rsid w:val="001B2EE0"/>
    <w:rsid w:val="001B477C"/>
    <w:rsid w:val="001B651B"/>
    <w:rsid w:val="001C0AE6"/>
    <w:rsid w:val="001C16CC"/>
    <w:rsid w:val="001C2063"/>
    <w:rsid w:val="001C219C"/>
    <w:rsid w:val="001C242D"/>
    <w:rsid w:val="001C3789"/>
    <w:rsid w:val="001C614F"/>
    <w:rsid w:val="001C7D33"/>
    <w:rsid w:val="001D3CEF"/>
    <w:rsid w:val="001D49B2"/>
    <w:rsid w:val="001F0DF5"/>
    <w:rsid w:val="001F50E7"/>
    <w:rsid w:val="001F6544"/>
    <w:rsid w:val="001F6740"/>
    <w:rsid w:val="00201CA3"/>
    <w:rsid w:val="00213AC4"/>
    <w:rsid w:val="00215406"/>
    <w:rsid w:val="00216D00"/>
    <w:rsid w:val="00224768"/>
    <w:rsid w:val="002302FD"/>
    <w:rsid w:val="00231537"/>
    <w:rsid w:val="00231A8F"/>
    <w:rsid w:val="00240237"/>
    <w:rsid w:val="00242311"/>
    <w:rsid w:val="0024409D"/>
    <w:rsid w:val="0024445C"/>
    <w:rsid w:val="002616D4"/>
    <w:rsid w:val="00264483"/>
    <w:rsid w:val="0027234E"/>
    <w:rsid w:val="002761E0"/>
    <w:rsid w:val="00282819"/>
    <w:rsid w:val="002833A5"/>
    <w:rsid w:val="00285AA5"/>
    <w:rsid w:val="00287B81"/>
    <w:rsid w:val="00290064"/>
    <w:rsid w:val="0029154A"/>
    <w:rsid w:val="00291FEB"/>
    <w:rsid w:val="002A0086"/>
    <w:rsid w:val="002A0D8E"/>
    <w:rsid w:val="002A29DD"/>
    <w:rsid w:val="002A3720"/>
    <w:rsid w:val="002A4AD8"/>
    <w:rsid w:val="002B025C"/>
    <w:rsid w:val="002B70F2"/>
    <w:rsid w:val="002C343C"/>
    <w:rsid w:val="002C38D3"/>
    <w:rsid w:val="002C3C59"/>
    <w:rsid w:val="002C47DB"/>
    <w:rsid w:val="002C695B"/>
    <w:rsid w:val="002C69DE"/>
    <w:rsid w:val="002C7CE9"/>
    <w:rsid w:val="002D1F52"/>
    <w:rsid w:val="002D4BEE"/>
    <w:rsid w:val="002D5DF0"/>
    <w:rsid w:val="002D7BFB"/>
    <w:rsid w:val="002E4A3D"/>
    <w:rsid w:val="002E5367"/>
    <w:rsid w:val="002E54F1"/>
    <w:rsid w:val="002E5DEC"/>
    <w:rsid w:val="002F1EA4"/>
    <w:rsid w:val="002F2502"/>
    <w:rsid w:val="002F7659"/>
    <w:rsid w:val="00300628"/>
    <w:rsid w:val="00300B40"/>
    <w:rsid w:val="00302277"/>
    <w:rsid w:val="003027C1"/>
    <w:rsid w:val="00305F67"/>
    <w:rsid w:val="00311315"/>
    <w:rsid w:val="00315DF0"/>
    <w:rsid w:val="00316F78"/>
    <w:rsid w:val="0031725F"/>
    <w:rsid w:val="0031738C"/>
    <w:rsid w:val="00321EF2"/>
    <w:rsid w:val="00322118"/>
    <w:rsid w:val="003221B6"/>
    <w:rsid w:val="00326CDD"/>
    <w:rsid w:val="00332C20"/>
    <w:rsid w:val="00335D02"/>
    <w:rsid w:val="003367F4"/>
    <w:rsid w:val="00341E6E"/>
    <w:rsid w:val="003425D4"/>
    <w:rsid w:val="00343950"/>
    <w:rsid w:val="00343C84"/>
    <w:rsid w:val="00345CCF"/>
    <w:rsid w:val="00352E81"/>
    <w:rsid w:val="00354770"/>
    <w:rsid w:val="0035514A"/>
    <w:rsid w:val="00355D5B"/>
    <w:rsid w:val="00360FF2"/>
    <w:rsid w:val="00364DA3"/>
    <w:rsid w:val="0036537E"/>
    <w:rsid w:val="003703AC"/>
    <w:rsid w:val="003716F7"/>
    <w:rsid w:val="003753E3"/>
    <w:rsid w:val="00375910"/>
    <w:rsid w:val="00377ED4"/>
    <w:rsid w:val="00381C0F"/>
    <w:rsid w:val="00382966"/>
    <w:rsid w:val="0038556C"/>
    <w:rsid w:val="00385A19"/>
    <w:rsid w:val="00390500"/>
    <w:rsid w:val="003940D3"/>
    <w:rsid w:val="00394958"/>
    <w:rsid w:val="00396222"/>
    <w:rsid w:val="00396860"/>
    <w:rsid w:val="003A1769"/>
    <w:rsid w:val="003A1C71"/>
    <w:rsid w:val="003C161F"/>
    <w:rsid w:val="003D4AAD"/>
    <w:rsid w:val="003D4FFA"/>
    <w:rsid w:val="003D77C8"/>
    <w:rsid w:val="003D7EC8"/>
    <w:rsid w:val="003E267F"/>
    <w:rsid w:val="003E5CC7"/>
    <w:rsid w:val="003E7705"/>
    <w:rsid w:val="003E7C4E"/>
    <w:rsid w:val="003F0EAC"/>
    <w:rsid w:val="003F1C5F"/>
    <w:rsid w:val="003F2DCE"/>
    <w:rsid w:val="003F58D4"/>
    <w:rsid w:val="003F5A09"/>
    <w:rsid w:val="003F5A46"/>
    <w:rsid w:val="003F5D14"/>
    <w:rsid w:val="003F5E92"/>
    <w:rsid w:val="003F709B"/>
    <w:rsid w:val="00400947"/>
    <w:rsid w:val="00403239"/>
    <w:rsid w:val="00404AB7"/>
    <w:rsid w:val="00406FDA"/>
    <w:rsid w:val="004072C9"/>
    <w:rsid w:val="00410139"/>
    <w:rsid w:val="0041192C"/>
    <w:rsid w:val="00414FD9"/>
    <w:rsid w:val="004167D8"/>
    <w:rsid w:val="00416AC4"/>
    <w:rsid w:val="00421241"/>
    <w:rsid w:val="004218F4"/>
    <w:rsid w:val="00433C77"/>
    <w:rsid w:val="00434768"/>
    <w:rsid w:val="004347FE"/>
    <w:rsid w:val="00434C27"/>
    <w:rsid w:val="004360FA"/>
    <w:rsid w:val="004373E9"/>
    <w:rsid w:val="0043790C"/>
    <w:rsid w:val="00440EC4"/>
    <w:rsid w:val="00441905"/>
    <w:rsid w:val="00442891"/>
    <w:rsid w:val="00445E44"/>
    <w:rsid w:val="00450AD6"/>
    <w:rsid w:val="00460C2E"/>
    <w:rsid w:val="00461275"/>
    <w:rsid w:val="00462413"/>
    <w:rsid w:val="00462784"/>
    <w:rsid w:val="00462DA0"/>
    <w:rsid w:val="00464593"/>
    <w:rsid w:val="00464C90"/>
    <w:rsid w:val="00465D71"/>
    <w:rsid w:val="00466562"/>
    <w:rsid w:val="00466E3F"/>
    <w:rsid w:val="00467227"/>
    <w:rsid w:val="0046728E"/>
    <w:rsid w:val="00470973"/>
    <w:rsid w:val="0047122D"/>
    <w:rsid w:val="00474F1F"/>
    <w:rsid w:val="00475369"/>
    <w:rsid w:val="004769AC"/>
    <w:rsid w:val="004778BA"/>
    <w:rsid w:val="00477B6D"/>
    <w:rsid w:val="00483268"/>
    <w:rsid w:val="004842F3"/>
    <w:rsid w:val="00492544"/>
    <w:rsid w:val="00493DB3"/>
    <w:rsid w:val="0049407C"/>
    <w:rsid w:val="00496673"/>
    <w:rsid w:val="004A3D05"/>
    <w:rsid w:val="004A55D8"/>
    <w:rsid w:val="004A64BE"/>
    <w:rsid w:val="004A65FD"/>
    <w:rsid w:val="004B3662"/>
    <w:rsid w:val="004B493B"/>
    <w:rsid w:val="004B50C3"/>
    <w:rsid w:val="004B55F3"/>
    <w:rsid w:val="004C14E6"/>
    <w:rsid w:val="004C15CC"/>
    <w:rsid w:val="004C45D9"/>
    <w:rsid w:val="004C5671"/>
    <w:rsid w:val="004C6629"/>
    <w:rsid w:val="004C7655"/>
    <w:rsid w:val="004D0A39"/>
    <w:rsid w:val="004D0D52"/>
    <w:rsid w:val="004D2172"/>
    <w:rsid w:val="004D3536"/>
    <w:rsid w:val="004D4CF1"/>
    <w:rsid w:val="004D50B4"/>
    <w:rsid w:val="004D7269"/>
    <w:rsid w:val="004D72EA"/>
    <w:rsid w:val="004E15D4"/>
    <w:rsid w:val="004E252E"/>
    <w:rsid w:val="004E7FB8"/>
    <w:rsid w:val="004F1221"/>
    <w:rsid w:val="004F2386"/>
    <w:rsid w:val="004F2E58"/>
    <w:rsid w:val="004F4912"/>
    <w:rsid w:val="004F6B2F"/>
    <w:rsid w:val="00500E99"/>
    <w:rsid w:val="00503E91"/>
    <w:rsid w:val="0050699C"/>
    <w:rsid w:val="00515DB7"/>
    <w:rsid w:val="0051604A"/>
    <w:rsid w:val="00517EB2"/>
    <w:rsid w:val="00522924"/>
    <w:rsid w:val="00524EE2"/>
    <w:rsid w:val="00527A1F"/>
    <w:rsid w:val="00530ADB"/>
    <w:rsid w:val="005323AD"/>
    <w:rsid w:val="00536F4F"/>
    <w:rsid w:val="00537389"/>
    <w:rsid w:val="00540B5F"/>
    <w:rsid w:val="0054200F"/>
    <w:rsid w:val="005441AF"/>
    <w:rsid w:val="00544CB4"/>
    <w:rsid w:val="00551059"/>
    <w:rsid w:val="005524F5"/>
    <w:rsid w:val="0055263B"/>
    <w:rsid w:val="00555958"/>
    <w:rsid w:val="005568AC"/>
    <w:rsid w:val="005573ED"/>
    <w:rsid w:val="00557899"/>
    <w:rsid w:val="00567C74"/>
    <w:rsid w:val="005703FC"/>
    <w:rsid w:val="005740FD"/>
    <w:rsid w:val="00576CFC"/>
    <w:rsid w:val="00581559"/>
    <w:rsid w:val="00581D9F"/>
    <w:rsid w:val="00582CB9"/>
    <w:rsid w:val="005835B1"/>
    <w:rsid w:val="00584094"/>
    <w:rsid w:val="005846CD"/>
    <w:rsid w:val="00585CE3"/>
    <w:rsid w:val="0059045D"/>
    <w:rsid w:val="00594679"/>
    <w:rsid w:val="005958F0"/>
    <w:rsid w:val="005973D9"/>
    <w:rsid w:val="005A1FF7"/>
    <w:rsid w:val="005A43F1"/>
    <w:rsid w:val="005A54B0"/>
    <w:rsid w:val="005A5EDC"/>
    <w:rsid w:val="005B1543"/>
    <w:rsid w:val="005B22A3"/>
    <w:rsid w:val="005B26E9"/>
    <w:rsid w:val="005B6881"/>
    <w:rsid w:val="005B6DD7"/>
    <w:rsid w:val="005C0222"/>
    <w:rsid w:val="005D4029"/>
    <w:rsid w:val="005D42F7"/>
    <w:rsid w:val="005D6DF6"/>
    <w:rsid w:val="005E2AB9"/>
    <w:rsid w:val="005E735A"/>
    <w:rsid w:val="005F2F13"/>
    <w:rsid w:val="005F546D"/>
    <w:rsid w:val="005F76CC"/>
    <w:rsid w:val="006026FE"/>
    <w:rsid w:val="00602E4C"/>
    <w:rsid w:val="006053F9"/>
    <w:rsid w:val="00610873"/>
    <w:rsid w:val="006113D2"/>
    <w:rsid w:val="006119F0"/>
    <w:rsid w:val="00611E45"/>
    <w:rsid w:val="006122D6"/>
    <w:rsid w:val="00613433"/>
    <w:rsid w:val="00614B29"/>
    <w:rsid w:val="00614F12"/>
    <w:rsid w:val="00616540"/>
    <w:rsid w:val="00630599"/>
    <w:rsid w:val="006313B0"/>
    <w:rsid w:val="006315F0"/>
    <w:rsid w:val="00637922"/>
    <w:rsid w:val="00644879"/>
    <w:rsid w:val="00646FC0"/>
    <w:rsid w:val="00655366"/>
    <w:rsid w:val="006554FA"/>
    <w:rsid w:val="00660575"/>
    <w:rsid w:val="00662ACC"/>
    <w:rsid w:val="0066422E"/>
    <w:rsid w:val="00664C9C"/>
    <w:rsid w:val="00665245"/>
    <w:rsid w:val="00667272"/>
    <w:rsid w:val="006679D9"/>
    <w:rsid w:val="00673172"/>
    <w:rsid w:val="00673B08"/>
    <w:rsid w:val="006765D3"/>
    <w:rsid w:val="00681AA8"/>
    <w:rsid w:val="00683A60"/>
    <w:rsid w:val="00684E3F"/>
    <w:rsid w:val="00685790"/>
    <w:rsid w:val="0069087D"/>
    <w:rsid w:val="00690C00"/>
    <w:rsid w:val="006930A9"/>
    <w:rsid w:val="00695AAA"/>
    <w:rsid w:val="0069674E"/>
    <w:rsid w:val="00697BD6"/>
    <w:rsid w:val="006A3DB2"/>
    <w:rsid w:val="006A4EDC"/>
    <w:rsid w:val="006A54CA"/>
    <w:rsid w:val="006A7076"/>
    <w:rsid w:val="006B13A4"/>
    <w:rsid w:val="006B325C"/>
    <w:rsid w:val="006B6696"/>
    <w:rsid w:val="006B6AB5"/>
    <w:rsid w:val="006B783F"/>
    <w:rsid w:val="006C04A7"/>
    <w:rsid w:val="006C59DD"/>
    <w:rsid w:val="006C6E24"/>
    <w:rsid w:val="006C6E6C"/>
    <w:rsid w:val="006C7159"/>
    <w:rsid w:val="006D163C"/>
    <w:rsid w:val="006D1C16"/>
    <w:rsid w:val="006D35D4"/>
    <w:rsid w:val="006D6A81"/>
    <w:rsid w:val="006D6C77"/>
    <w:rsid w:val="006E1BD0"/>
    <w:rsid w:val="006E22C9"/>
    <w:rsid w:val="006E403E"/>
    <w:rsid w:val="006E44A0"/>
    <w:rsid w:val="006E77DE"/>
    <w:rsid w:val="006E7DDC"/>
    <w:rsid w:val="006F00FE"/>
    <w:rsid w:val="006F2B4A"/>
    <w:rsid w:val="006F5FBF"/>
    <w:rsid w:val="006F741F"/>
    <w:rsid w:val="006F7EF6"/>
    <w:rsid w:val="00702D65"/>
    <w:rsid w:val="00707F28"/>
    <w:rsid w:val="00712165"/>
    <w:rsid w:val="007138E2"/>
    <w:rsid w:val="00714BCA"/>
    <w:rsid w:val="00716670"/>
    <w:rsid w:val="007211A4"/>
    <w:rsid w:val="007237DF"/>
    <w:rsid w:val="00723B45"/>
    <w:rsid w:val="00725ED4"/>
    <w:rsid w:val="0072701D"/>
    <w:rsid w:val="00735DA2"/>
    <w:rsid w:val="00740013"/>
    <w:rsid w:val="00741457"/>
    <w:rsid w:val="00741C36"/>
    <w:rsid w:val="00744770"/>
    <w:rsid w:val="00746CDC"/>
    <w:rsid w:val="007473C3"/>
    <w:rsid w:val="0075027C"/>
    <w:rsid w:val="00751587"/>
    <w:rsid w:val="00757DDA"/>
    <w:rsid w:val="00757E21"/>
    <w:rsid w:val="007602C8"/>
    <w:rsid w:val="0076132F"/>
    <w:rsid w:val="007613F1"/>
    <w:rsid w:val="00765592"/>
    <w:rsid w:val="007655E8"/>
    <w:rsid w:val="00766A12"/>
    <w:rsid w:val="007707E5"/>
    <w:rsid w:val="0077124F"/>
    <w:rsid w:val="0077350D"/>
    <w:rsid w:val="00774CF1"/>
    <w:rsid w:val="00781C63"/>
    <w:rsid w:val="00781FC3"/>
    <w:rsid w:val="00783387"/>
    <w:rsid w:val="0078744D"/>
    <w:rsid w:val="007906E3"/>
    <w:rsid w:val="00791991"/>
    <w:rsid w:val="00792E91"/>
    <w:rsid w:val="00793F64"/>
    <w:rsid w:val="00795BB2"/>
    <w:rsid w:val="00796060"/>
    <w:rsid w:val="007B1FCE"/>
    <w:rsid w:val="007B35BA"/>
    <w:rsid w:val="007C3F4C"/>
    <w:rsid w:val="007C63E1"/>
    <w:rsid w:val="007C7E29"/>
    <w:rsid w:val="007D352C"/>
    <w:rsid w:val="007D5DC5"/>
    <w:rsid w:val="007E62E2"/>
    <w:rsid w:val="007E648B"/>
    <w:rsid w:val="007E7326"/>
    <w:rsid w:val="007F09B5"/>
    <w:rsid w:val="007F29E3"/>
    <w:rsid w:val="007F2F89"/>
    <w:rsid w:val="007F4004"/>
    <w:rsid w:val="007F41A9"/>
    <w:rsid w:val="007F663D"/>
    <w:rsid w:val="007F6F17"/>
    <w:rsid w:val="00803EDB"/>
    <w:rsid w:val="00804993"/>
    <w:rsid w:val="00805D30"/>
    <w:rsid w:val="008149FA"/>
    <w:rsid w:val="0081779E"/>
    <w:rsid w:val="0082757A"/>
    <w:rsid w:val="008309A2"/>
    <w:rsid w:val="00831F51"/>
    <w:rsid w:val="0083235E"/>
    <w:rsid w:val="00832F81"/>
    <w:rsid w:val="008342FA"/>
    <w:rsid w:val="00834AED"/>
    <w:rsid w:val="00836F09"/>
    <w:rsid w:val="008416DB"/>
    <w:rsid w:val="0084319B"/>
    <w:rsid w:val="00843D5A"/>
    <w:rsid w:val="0085046F"/>
    <w:rsid w:val="0085361C"/>
    <w:rsid w:val="00861FD0"/>
    <w:rsid w:val="00864D04"/>
    <w:rsid w:val="00865925"/>
    <w:rsid w:val="0086794E"/>
    <w:rsid w:val="00870CED"/>
    <w:rsid w:val="008710FA"/>
    <w:rsid w:val="00871C3B"/>
    <w:rsid w:val="0087497F"/>
    <w:rsid w:val="00877BEE"/>
    <w:rsid w:val="00881BB2"/>
    <w:rsid w:val="008828CB"/>
    <w:rsid w:val="0089044D"/>
    <w:rsid w:val="00890C70"/>
    <w:rsid w:val="0089135B"/>
    <w:rsid w:val="00897DFE"/>
    <w:rsid w:val="008A1BF0"/>
    <w:rsid w:val="008A2E57"/>
    <w:rsid w:val="008A7DEE"/>
    <w:rsid w:val="008B0544"/>
    <w:rsid w:val="008B17D9"/>
    <w:rsid w:val="008B30DA"/>
    <w:rsid w:val="008B3309"/>
    <w:rsid w:val="008B3475"/>
    <w:rsid w:val="008B5CC0"/>
    <w:rsid w:val="008C0A77"/>
    <w:rsid w:val="008C4254"/>
    <w:rsid w:val="008C4521"/>
    <w:rsid w:val="008C5A95"/>
    <w:rsid w:val="008C7590"/>
    <w:rsid w:val="008D761C"/>
    <w:rsid w:val="008E061A"/>
    <w:rsid w:val="008E08A9"/>
    <w:rsid w:val="008E08E9"/>
    <w:rsid w:val="008E51D6"/>
    <w:rsid w:val="008E6A7A"/>
    <w:rsid w:val="008F01BC"/>
    <w:rsid w:val="008F1228"/>
    <w:rsid w:val="008F32A5"/>
    <w:rsid w:val="008F3DD1"/>
    <w:rsid w:val="008F4A83"/>
    <w:rsid w:val="009000B6"/>
    <w:rsid w:val="0090149E"/>
    <w:rsid w:val="00901765"/>
    <w:rsid w:val="009025B2"/>
    <w:rsid w:val="00904F5C"/>
    <w:rsid w:val="00906CC4"/>
    <w:rsid w:val="009110E2"/>
    <w:rsid w:val="00912FFD"/>
    <w:rsid w:val="00913AC8"/>
    <w:rsid w:val="00915569"/>
    <w:rsid w:val="009242EC"/>
    <w:rsid w:val="00924CEF"/>
    <w:rsid w:val="009307EC"/>
    <w:rsid w:val="00933201"/>
    <w:rsid w:val="00933A8D"/>
    <w:rsid w:val="00934A0D"/>
    <w:rsid w:val="00935C42"/>
    <w:rsid w:val="009417B8"/>
    <w:rsid w:val="00944385"/>
    <w:rsid w:val="00944D0C"/>
    <w:rsid w:val="00950749"/>
    <w:rsid w:val="00955BB2"/>
    <w:rsid w:val="0095604B"/>
    <w:rsid w:val="00961D80"/>
    <w:rsid w:val="00961E00"/>
    <w:rsid w:val="009659B1"/>
    <w:rsid w:val="00972B75"/>
    <w:rsid w:val="009748BB"/>
    <w:rsid w:val="00977949"/>
    <w:rsid w:val="00980447"/>
    <w:rsid w:val="00980708"/>
    <w:rsid w:val="00982D0F"/>
    <w:rsid w:val="00984D40"/>
    <w:rsid w:val="009907DD"/>
    <w:rsid w:val="00990D75"/>
    <w:rsid w:val="00992B22"/>
    <w:rsid w:val="0099399A"/>
    <w:rsid w:val="00997821"/>
    <w:rsid w:val="009A1E77"/>
    <w:rsid w:val="009A2035"/>
    <w:rsid w:val="009A2FF3"/>
    <w:rsid w:val="009A5620"/>
    <w:rsid w:val="009A7462"/>
    <w:rsid w:val="009B1698"/>
    <w:rsid w:val="009B2FF5"/>
    <w:rsid w:val="009C0394"/>
    <w:rsid w:val="009C38B8"/>
    <w:rsid w:val="009C7103"/>
    <w:rsid w:val="009D19E4"/>
    <w:rsid w:val="009D1BF1"/>
    <w:rsid w:val="009D3177"/>
    <w:rsid w:val="009D4DA6"/>
    <w:rsid w:val="009D6437"/>
    <w:rsid w:val="009D748B"/>
    <w:rsid w:val="009D7951"/>
    <w:rsid w:val="009D7961"/>
    <w:rsid w:val="009E0471"/>
    <w:rsid w:val="009E2B63"/>
    <w:rsid w:val="009E5077"/>
    <w:rsid w:val="009E54B5"/>
    <w:rsid w:val="009E676E"/>
    <w:rsid w:val="009F3060"/>
    <w:rsid w:val="009F7B44"/>
    <w:rsid w:val="009F7B90"/>
    <w:rsid w:val="009F7DE0"/>
    <w:rsid w:val="00A00603"/>
    <w:rsid w:val="00A013D2"/>
    <w:rsid w:val="00A1240F"/>
    <w:rsid w:val="00A14083"/>
    <w:rsid w:val="00A142AD"/>
    <w:rsid w:val="00A15B60"/>
    <w:rsid w:val="00A24912"/>
    <w:rsid w:val="00A255A6"/>
    <w:rsid w:val="00A30027"/>
    <w:rsid w:val="00A3391A"/>
    <w:rsid w:val="00A3474A"/>
    <w:rsid w:val="00A36137"/>
    <w:rsid w:val="00A43B72"/>
    <w:rsid w:val="00A44AF6"/>
    <w:rsid w:val="00A45482"/>
    <w:rsid w:val="00A50045"/>
    <w:rsid w:val="00A52ECB"/>
    <w:rsid w:val="00A53062"/>
    <w:rsid w:val="00A54429"/>
    <w:rsid w:val="00A565AD"/>
    <w:rsid w:val="00A608F3"/>
    <w:rsid w:val="00A60B22"/>
    <w:rsid w:val="00A61026"/>
    <w:rsid w:val="00A62837"/>
    <w:rsid w:val="00A65D43"/>
    <w:rsid w:val="00A75088"/>
    <w:rsid w:val="00A75B04"/>
    <w:rsid w:val="00A76000"/>
    <w:rsid w:val="00A77AF5"/>
    <w:rsid w:val="00A80FCD"/>
    <w:rsid w:val="00A81956"/>
    <w:rsid w:val="00A86CDC"/>
    <w:rsid w:val="00A90785"/>
    <w:rsid w:val="00A91A81"/>
    <w:rsid w:val="00A920BF"/>
    <w:rsid w:val="00AA0E0A"/>
    <w:rsid w:val="00AA1648"/>
    <w:rsid w:val="00AA1CA8"/>
    <w:rsid w:val="00AA2E74"/>
    <w:rsid w:val="00AA447D"/>
    <w:rsid w:val="00AA6345"/>
    <w:rsid w:val="00AB2369"/>
    <w:rsid w:val="00AB35D7"/>
    <w:rsid w:val="00AB5544"/>
    <w:rsid w:val="00AC06EF"/>
    <w:rsid w:val="00AC32FA"/>
    <w:rsid w:val="00AC44AE"/>
    <w:rsid w:val="00AC671C"/>
    <w:rsid w:val="00AD36B2"/>
    <w:rsid w:val="00AE200A"/>
    <w:rsid w:val="00AE45DA"/>
    <w:rsid w:val="00AF18B9"/>
    <w:rsid w:val="00AF2BBA"/>
    <w:rsid w:val="00AF3B3F"/>
    <w:rsid w:val="00B00CB1"/>
    <w:rsid w:val="00B00D01"/>
    <w:rsid w:val="00B00F70"/>
    <w:rsid w:val="00B01B41"/>
    <w:rsid w:val="00B05BAE"/>
    <w:rsid w:val="00B07259"/>
    <w:rsid w:val="00B10247"/>
    <w:rsid w:val="00B11267"/>
    <w:rsid w:val="00B11610"/>
    <w:rsid w:val="00B20EE0"/>
    <w:rsid w:val="00B22300"/>
    <w:rsid w:val="00B27D1C"/>
    <w:rsid w:val="00B30387"/>
    <w:rsid w:val="00B31342"/>
    <w:rsid w:val="00B31503"/>
    <w:rsid w:val="00B32C36"/>
    <w:rsid w:val="00B425B1"/>
    <w:rsid w:val="00B44A5F"/>
    <w:rsid w:val="00B525FA"/>
    <w:rsid w:val="00B53F6F"/>
    <w:rsid w:val="00B54582"/>
    <w:rsid w:val="00B553CC"/>
    <w:rsid w:val="00B56CAB"/>
    <w:rsid w:val="00B6035A"/>
    <w:rsid w:val="00B6157C"/>
    <w:rsid w:val="00B65B3D"/>
    <w:rsid w:val="00B77714"/>
    <w:rsid w:val="00B77EF0"/>
    <w:rsid w:val="00B842EF"/>
    <w:rsid w:val="00B9334E"/>
    <w:rsid w:val="00B933D2"/>
    <w:rsid w:val="00B9437E"/>
    <w:rsid w:val="00B95536"/>
    <w:rsid w:val="00B95A2E"/>
    <w:rsid w:val="00BB09EE"/>
    <w:rsid w:val="00BB1E2F"/>
    <w:rsid w:val="00BB7FDA"/>
    <w:rsid w:val="00BC190E"/>
    <w:rsid w:val="00BC5363"/>
    <w:rsid w:val="00BD2590"/>
    <w:rsid w:val="00BD39EA"/>
    <w:rsid w:val="00BD74A2"/>
    <w:rsid w:val="00BD77B8"/>
    <w:rsid w:val="00BE2DAC"/>
    <w:rsid w:val="00BE42E4"/>
    <w:rsid w:val="00BE458C"/>
    <w:rsid w:val="00BF3EF9"/>
    <w:rsid w:val="00BF4A78"/>
    <w:rsid w:val="00BF4C46"/>
    <w:rsid w:val="00BF5DF6"/>
    <w:rsid w:val="00BF72CF"/>
    <w:rsid w:val="00C001D2"/>
    <w:rsid w:val="00C03EF1"/>
    <w:rsid w:val="00C04953"/>
    <w:rsid w:val="00C11734"/>
    <w:rsid w:val="00C11CE7"/>
    <w:rsid w:val="00C1459C"/>
    <w:rsid w:val="00C16037"/>
    <w:rsid w:val="00C17C18"/>
    <w:rsid w:val="00C211E9"/>
    <w:rsid w:val="00C216DB"/>
    <w:rsid w:val="00C23C26"/>
    <w:rsid w:val="00C2498A"/>
    <w:rsid w:val="00C26358"/>
    <w:rsid w:val="00C2752B"/>
    <w:rsid w:val="00C31FE8"/>
    <w:rsid w:val="00C32A1D"/>
    <w:rsid w:val="00C34A9F"/>
    <w:rsid w:val="00C356D9"/>
    <w:rsid w:val="00C41415"/>
    <w:rsid w:val="00C41D55"/>
    <w:rsid w:val="00C43BA8"/>
    <w:rsid w:val="00C47F9D"/>
    <w:rsid w:val="00C5181E"/>
    <w:rsid w:val="00C52EBC"/>
    <w:rsid w:val="00C53786"/>
    <w:rsid w:val="00C54588"/>
    <w:rsid w:val="00C5489F"/>
    <w:rsid w:val="00C56A55"/>
    <w:rsid w:val="00C60DBC"/>
    <w:rsid w:val="00C62983"/>
    <w:rsid w:val="00C650AF"/>
    <w:rsid w:val="00C66E2E"/>
    <w:rsid w:val="00C67C85"/>
    <w:rsid w:val="00C71B79"/>
    <w:rsid w:val="00C7416B"/>
    <w:rsid w:val="00C77611"/>
    <w:rsid w:val="00C83A65"/>
    <w:rsid w:val="00C85173"/>
    <w:rsid w:val="00C85DF8"/>
    <w:rsid w:val="00C86993"/>
    <w:rsid w:val="00C870FF"/>
    <w:rsid w:val="00C875A5"/>
    <w:rsid w:val="00C87B0B"/>
    <w:rsid w:val="00C87C2F"/>
    <w:rsid w:val="00C87F09"/>
    <w:rsid w:val="00C926D5"/>
    <w:rsid w:val="00CA1EF7"/>
    <w:rsid w:val="00CA2985"/>
    <w:rsid w:val="00CA49D9"/>
    <w:rsid w:val="00CA5419"/>
    <w:rsid w:val="00CA6FDE"/>
    <w:rsid w:val="00CA7A9E"/>
    <w:rsid w:val="00CB2BE1"/>
    <w:rsid w:val="00CC5F8E"/>
    <w:rsid w:val="00CD2C54"/>
    <w:rsid w:val="00CD2E9F"/>
    <w:rsid w:val="00CD310E"/>
    <w:rsid w:val="00CD41FE"/>
    <w:rsid w:val="00CD7C3F"/>
    <w:rsid w:val="00CE1825"/>
    <w:rsid w:val="00CE3282"/>
    <w:rsid w:val="00CE3F8F"/>
    <w:rsid w:val="00CF03CA"/>
    <w:rsid w:val="00CF0FCF"/>
    <w:rsid w:val="00CF1314"/>
    <w:rsid w:val="00CF1A74"/>
    <w:rsid w:val="00CF5E7B"/>
    <w:rsid w:val="00D000BD"/>
    <w:rsid w:val="00D003D9"/>
    <w:rsid w:val="00D031E4"/>
    <w:rsid w:val="00D03CF8"/>
    <w:rsid w:val="00D053F2"/>
    <w:rsid w:val="00D110D8"/>
    <w:rsid w:val="00D222FF"/>
    <w:rsid w:val="00D24559"/>
    <w:rsid w:val="00D31754"/>
    <w:rsid w:val="00D35570"/>
    <w:rsid w:val="00D35D0E"/>
    <w:rsid w:val="00D41C60"/>
    <w:rsid w:val="00D41E0D"/>
    <w:rsid w:val="00D44901"/>
    <w:rsid w:val="00D454CF"/>
    <w:rsid w:val="00D53F74"/>
    <w:rsid w:val="00D5502A"/>
    <w:rsid w:val="00D55D5F"/>
    <w:rsid w:val="00D60716"/>
    <w:rsid w:val="00D62F45"/>
    <w:rsid w:val="00D638CC"/>
    <w:rsid w:val="00D64E83"/>
    <w:rsid w:val="00D66231"/>
    <w:rsid w:val="00D7592E"/>
    <w:rsid w:val="00D76457"/>
    <w:rsid w:val="00D7653E"/>
    <w:rsid w:val="00D76EF1"/>
    <w:rsid w:val="00D80D03"/>
    <w:rsid w:val="00D822EC"/>
    <w:rsid w:val="00D82B23"/>
    <w:rsid w:val="00D837B0"/>
    <w:rsid w:val="00D83FD1"/>
    <w:rsid w:val="00D84545"/>
    <w:rsid w:val="00D9333E"/>
    <w:rsid w:val="00D93817"/>
    <w:rsid w:val="00D94737"/>
    <w:rsid w:val="00D95563"/>
    <w:rsid w:val="00D964A6"/>
    <w:rsid w:val="00DA0E9D"/>
    <w:rsid w:val="00DA5608"/>
    <w:rsid w:val="00DA677E"/>
    <w:rsid w:val="00DA7AEF"/>
    <w:rsid w:val="00DB350D"/>
    <w:rsid w:val="00DB67FF"/>
    <w:rsid w:val="00DC0E0C"/>
    <w:rsid w:val="00DC1D46"/>
    <w:rsid w:val="00DC2D44"/>
    <w:rsid w:val="00DC79C4"/>
    <w:rsid w:val="00DC7A1E"/>
    <w:rsid w:val="00DC7F53"/>
    <w:rsid w:val="00DD584D"/>
    <w:rsid w:val="00DD676C"/>
    <w:rsid w:val="00DD7137"/>
    <w:rsid w:val="00DD77F8"/>
    <w:rsid w:val="00DE3003"/>
    <w:rsid w:val="00DF3899"/>
    <w:rsid w:val="00DF532F"/>
    <w:rsid w:val="00DF6717"/>
    <w:rsid w:val="00DF6B5F"/>
    <w:rsid w:val="00DF7885"/>
    <w:rsid w:val="00DF7979"/>
    <w:rsid w:val="00E0002D"/>
    <w:rsid w:val="00E011C9"/>
    <w:rsid w:val="00E02DAD"/>
    <w:rsid w:val="00E03E68"/>
    <w:rsid w:val="00E05823"/>
    <w:rsid w:val="00E11E94"/>
    <w:rsid w:val="00E159FB"/>
    <w:rsid w:val="00E168BD"/>
    <w:rsid w:val="00E21A00"/>
    <w:rsid w:val="00E21B30"/>
    <w:rsid w:val="00E22A3F"/>
    <w:rsid w:val="00E22BCB"/>
    <w:rsid w:val="00E24FE1"/>
    <w:rsid w:val="00E30766"/>
    <w:rsid w:val="00E30CEE"/>
    <w:rsid w:val="00E348DD"/>
    <w:rsid w:val="00E34B2F"/>
    <w:rsid w:val="00E34F8C"/>
    <w:rsid w:val="00E3659D"/>
    <w:rsid w:val="00E403FE"/>
    <w:rsid w:val="00E41F1A"/>
    <w:rsid w:val="00E44410"/>
    <w:rsid w:val="00E46E20"/>
    <w:rsid w:val="00E47FEF"/>
    <w:rsid w:val="00E5392E"/>
    <w:rsid w:val="00E5540E"/>
    <w:rsid w:val="00E57CF3"/>
    <w:rsid w:val="00E61232"/>
    <w:rsid w:val="00E61B38"/>
    <w:rsid w:val="00E632A2"/>
    <w:rsid w:val="00E63625"/>
    <w:rsid w:val="00E6400D"/>
    <w:rsid w:val="00E641C3"/>
    <w:rsid w:val="00E650AC"/>
    <w:rsid w:val="00E65682"/>
    <w:rsid w:val="00E67442"/>
    <w:rsid w:val="00E67FE7"/>
    <w:rsid w:val="00E70FE0"/>
    <w:rsid w:val="00E75FF2"/>
    <w:rsid w:val="00E8032D"/>
    <w:rsid w:val="00E81547"/>
    <w:rsid w:val="00E82768"/>
    <w:rsid w:val="00E82DB1"/>
    <w:rsid w:val="00E83357"/>
    <w:rsid w:val="00E85851"/>
    <w:rsid w:val="00E861B3"/>
    <w:rsid w:val="00E92152"/>
    <w:rsid w:val="00E92A5A"/>
    <w:rsid w:val="00E95A78"/>
    <w:rsid w:val="00E96E46"/>
    <w:rsid w:val="00EA1EDC"/>
    <w:rsid w:val="00EA251E"/>
    <w:rsid w:val="00EA5562"/>
    <w:rsid w:val="00EA5BDF"/>
    <w:rsid w:val="00EA7639"/>
    <w:rsid w:val="00EC03D4"/>
    <w:rsid w:val="00EC0C8B"/>
    <w:rsid w:val="00EC2E5E"/>
    <w:rsid w:val="00EC358D"/>
    <w:rsid w:val="00EC7E35"/>
    <w:rsid w:val="00ED068A"/>
    <w:rsid w:val="00ED216C"/>
    <w:rsid w:val="00ED5518"/>
    <w:rsid w:val="00EE06C1"/>
    <w:rsid w:val="00EE0CE9"/>
    <w:rsid w:val="00EE3A88"/>
    <w:rsid w:val="00EE47EE"/>
    <w:rsid w:val="00EE4F10"/>
    <w:rsid w:val="00EE5FB5"/>
    <w:rsid w:val="00EF2458"/>
    <w:rsid w:val="00EF540F"/>
    <w:rsid w:val="00F01DD6"/>
    <w:rsid w:val="00F04147"/>
    <w:rsid w:val="00F04B9F"/>
    <w:rsid w:val="00F05692"/>
    <w:rsid w:val="00F0690F"/>
    <w:rsid w:val="00F06BB0"/>
    <w:rsid w:val="00F06DC8"/>
    <w:rsid w:val="00F0758D"/>
    <w:rsid w:val="00F10071"/>
    <w:rsid w:val="00F139EA"/>
    <w:rsid w:val="00F14449"/>
    <w:rsid w:val="00F14AF4"/>
    <w:rsid w:val="00F1559C"/>
    <w:rsid w:val="00F17F1F"/>
    <w:rsid w:val="00F23221"/>
    <w:rsid w:val="00F279D9"/>
    <w:rsid w:val="00F3006E"/>
    <w:rsid w:val="00F30660"/>
    <w:rsid w:val="00F339C4"/>
    <w:rsid w:val="00F40C03"/>
    <w:rsid w:val="00F43A5E"/>
    <w:rsid w:val="00F509E6"/>
    <w:rsid w:val="00F5243C"/>
    <w:rsid w:val="00F53EA1"/>
    <w:rsid w:val="00F5451B"/>
    <w:rsid w:val="00F57ECE"/>
    <w:rsid w:val="00F60086"/>
    <w:rsid w:val="00F62921"/>
    <w:rsid w:val="00F63A16"/>
    <w:rsid w:val="00F63DA3"/>
    <w:rsid w:val="00F64E76"/>
    <w:rsid w:val="00F67C6F"/>
    <w:rsid w:val="00F71BE8"/>
    <w:rsid w:val="00F74DCF"/>
    <w:rsid w:val="00F75192"/>
    <w:rsid w:val="00F75225"/>
    <w:rsid w:val="00F77529"/>
    <w:rsid w:val="00F77854"/>
    <w:rsid w:val="00F81557"/>
    <w:rsid w:val="00F8496E"/>
    <w:rsid w:val="00F926AC"/>
    <w:rsid w:val="00F93D91"/>
    <w:rsid w:val="00F9614E"/>
    <w:rsid w:val="00F9625A"/>
    <w:rsid w:val="00FA35D9"/>
    <w:rsid w:val="00FA4B1A"/>
    <w:rsid w:val="00FA68C3"/>
    <w:rsid w:val="00FB0094"/>
    <w:rsid w:val="00FB71EA"/>
    <w:rsid w:val="00FC0AF1"/>
    <w:rsid w:val="00FC49DA"/>
    <w:rsid w:val="00FC7386"/>
    <w:rsid w:val="00FC7414"/>
    <w:rsid w:val="00FD3218"/>
    <w:rsid w:val="00FD3A5C"/>
    <w:rsid w:val="00FD57D3"/>
    <w:rsid w:val="00FD71D5"/>
    <w:rsid w:val="00FE30AE"/>
    <w:rsid w:val="00FE446C"/>
    <w:rsid w:val="00FE62D1"/>
    <w:rsid w:val="00FE6F61"/>
    <w:rsid w:val="00FF0077"/>
    <w:rsid w:val="00FF27A9"/>
    <w:rsid w:val="00FF30D7"/>
    <w:rsid w:val="00FF4C12"/>
    <w:rsid w:val="00FF78D3"/>
    <w:rsid w:val="0281587E"/>
    <w:rsid w:val="053D617D"/>
    <w:rsid w:val="073D31FE"/>
    <w:rsid w:val="07FFC885"/>
    <w:rsid w:val="08436857"/>
    <w:rsid w:val="11856B2E"/>
    <w:rsid w:val="143F579C"/>
    <w:rsid w:val="14726477"/>
    <w:rsid w:val="1B3E0655"/>
    <w:rsid w:val="1B8822C4"/>
    <w:rsid w:val="1BA9C687"/>
    <w:rsid w:val="1BD417C5"/>
    <w:rsid w:val="1F8229C3"/>
    <w:rsid w:val="24241236"/>
    <w:rsid w:val="25DA1459"/>
    <w:rsid w:val="2A807095"/>
    <w:rsid w:val="2B563FA5"/>
    <w:rsid w:val="2FE7D7FE"/>
    <w:rsid w:val="31D668B9"/>
    <w:rsid w:val="321366D4"/>
    <w:rsid w:val="39FAF7CC"/>
    <w:rsid w:val="39FB24A2"/>
    <w:rsid w:val="3B9F7B4A"/>
    <w:rsid w:val="3BFC3547"/>
    <w:rsid w:val="3BFFFF64"/>
    <w:rsid w:val="3EDBA573"/>
    <w:rsid w:val="3F3F823D"/>
    <w:rsid w:val="3FEEFAB3"/>
    <w:rsid w:val="3FF76207"/>
    <w:rsid w:val="3FFB0918"/>
    <w:rsid w:val="442962A2"/>
    <w:rsid w:val="490557B4"/>
    <w:rsid w:val="4ED70203"/>
    <w:rsid w:val="4FF5A967"/>
    <w:rsid w:val="51EC090F"/>
    <w:rsid w:val="551B93D8"/>
    <w:rsid w:val="55BC81C9"/>
    <w:rsid w:val="5AFB7B3C"/>
    <w:rsid w:val="5B405245"/>
    <w:rsid w:val="5C3018B4"/>
    <w:rsid w:val="5D6BEACE"/>
    <w:rsid w:val="5EE756D6"/>
    <w:rsid w:val="5FDF9B0B"/>
    <w:rsid w:val="5FEF4033"/>
    <w:rsid w:val="5FFB4F31"/>
    <w:rsid w:val="61D0604B"/>
    <w:rsid w:val="62B131DE"/>
    <w:rsid w:val="645779AB"/>
    <w:rsid w:val="67C12384"/>
    <w:rsid w:val="67CE0712"/>
    <w:rsid w:val="67EC6BA4"/>
    <w:rsid w:val="6B6D613A"/>
    <w:rsid w:val="6EBFAC52"/>
    <w:rsid w:val="6F694A76"/>
    <w:rsid w:val="6FD131C7"/>
    <w:rsid w:val="6FDF26D2"/>
    <w:rsid w:val="6FEBB26A"/>
    <w:rsid w:val="72D8187A"/>
    <w:rsid w:val="75DDAB28"/>
    <w:rsid w:val="77DC57AA"/>
    <w:rsid w:val="7AED10D1"/>
    <w:rsid w:val="7B328754"/>
    <w:rsid w:val="7B4C77FE"/>
    <w:rsid w:val="7BFBECE5"/>
    <w:rsid w:val="7D6C3C2B"/>
    <w:rsid w:val="7D71005E"/>
    <w:rsid w:val="7FDE3EB0"/>
    <w:rsid w:val="8EE77863"/>
    <w:rsid w:val="95DC13CF"/>
    <w:rsid w:val="996F9CD7"/>
    <w:rsid w:val="A77FBBF7"/>
    <w:rsid w:val="A7DF1B9A"/>
    <w:rsid w:val="ABF80A4C"/>
    <w:rsid w:val="B39F3ACA"/>
    <w:rsid w:val="BAD7AA7E"/>
    <w:rsid w:val="BDF3184E"/>
    <w:rsid w:val="BE7F71F4"/>
    <w:rsid w:val="BEBE9B40"/>
    <w:rsid w:val="CFFFD391"/>
    <w:rsid w:val="DD7FA33E"/>
    <w:rsid w:val="DF7C40CD"/>
    <w:rsid w:val="DFF4E71C"/>
    <w:rsid w:val="DFF78E88"/>
    <w:rsid w:val="ECAD8B18"/>
    <w:rsid w:val="EE7BAC8F"/>
    <w:rsid w:val="EF9E6779"/>
    <w:rsid w:val="F7FF4F4E"/>
    <w:rsid w:val="FB391163"/>
    <w:rsid w:val="FD38922B"/>
    <w:rsid w:val="FDF74CF4"/>
    <w:rsid w:val="FF79EC62"/>
    <w:rsid w:val="FFBB1296"/>
    <w:rsid w:val="FFBD1784"/>
    <w:rsid w:val="FFFE4A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36"/>
    <w:autoRedefine/>
    <w:qFormat/>
    <w:uiPriority w:val="9"/>
    <w:pPr>
      <w:keepNext/>
      <w:keepLines/>
      <w:numPr>
        <w:ilvl w:val="0"/>
        <w:numId w:val="1"/>
      </w:numPr>
      <w:spacing w:before="340" w:after="330" w:line="578" w:lineRule="auto"/>
      <w:outlineLvl w:val="0"/>
    </w:pPr>
    <w:rPr>
      <w:rFonts w:eastAsia="方正小标宋_GBK"/>
      <w:b/>
      <w:bCs/>
      <w:kern w:val="44"/>
      <w:sz w:val="32"/>
      <w:szCs w:val="44"/>
    </w:rPr>
  </w:style>
  <w:style w:type="paragraph" w:styleId="6">
    <w:name w:val="heading 2"/>
    <w:basedOn w:val="1"/>
    <w:next w:val="1"/>
    <w:link w:val="34"/>
    <w:autoRedefine/>
    <w:unhideWhenUsed/>
    <w:qFormat/>
    <w:uiPriority w:val="9"/>
    <w:pPr>
      <w:keepNext/>
      <w:keepLines/>
      <w:numPr>
        <w:ilvl w:val="1"/>
        <w:numId w:val="1"/>
      </w:numPr>
      <w:spacing w:before="260" w:after="260" w:line="416" w:lineRule="auto"/>
      <w:outlineLvl w:val="1"/>
    </w:pPr>
    <w:rPr>
      <w:rFonts w:eastAsia="仿宋" w:asciiTheme="majorHAnsi" w:hAnsiTheme="majorHAnsi" w:cstheme="majorBidi"/>
      <w:b/>
      <w:bCs/>
      <w:sz w:val="28"/>
      <w:szCs w:val="32"/>
    </w:rPr>
  </w:style>
  <w:style w:type="paragraph" w:styleId="7">
    <w:name w:val="heading 3"/>
    <w:basedOn w:val="1"/>
    <w:next w:val="1"/>
    <w:link w:val="37"/>
    <w:autoRedefine/>
    <w:unhideWhenUsed/>
    <w:qFormat/>
    <w:uiPriority w:val="9"/>
    <w:pPr>
      <w:keepNext/>
      <w:keepLines/>
      <w:numPr>
        <w:ilvl w:val="2"/>
        <w:numId w:val="1"/>
      </w:numPr>
      <w:spacing w:before="260" w:after="260" w:line="416" w:lineRule="auto"/>
      <w:outlineLvl w:val="2"/>
    </w:pPr>
    <w:rPr>
      <w:rFonts w:eastAsia="仿宋"/>
      <w:b/>
      <w:bCs/>
      <w:sz w:val="28"/>
      <w:szCs w:val="32"/>
    </w:rPr>
  </w:style>
  <w:style w:type="paragraph" w:styleId="8">
    <w:name w:val="heading 4"/>
    <w:basedOn w:val="1"/>
    <w:next w:val="1"/>
    <w:link w:val="38"/>
    <w:autoRedefine/>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link w:val="39"/>
    <w:autoRedefine/>
    <w:unhideWhenUsed/>
    <w:qFormat/>
    <w:uiPriority w:val="9"/>
    <w:pPr>
      <w:keepNext/>
      <w:keepLines/>
      <w:numPr>
        <w:ilvl w:val="4"/>
        <w:numId w:val="1"/>
      </w:numPr>
      <w:spacing w:before="280" w:after="290" w:line="376" w:lineRule="auto"/>
      <w:outlineLvl w:val="4"/>
    </w:pPr>
    <w:rPr>
      <w:b/>
      <w:bCs/>
      <w:sz w:val="28"/>
      <w:szCs w:val="28"/>
    </w:rPr>
  </w:style>
  <w:style w:type="paragraph" w:styleId="10">
    <w:name w:val="heading 6"/>
    <w:basedOn w:val="1"/>
    <w:next w:val="1"/>
    <w:link w:val="40"/>
    <w:autoRedefine/>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11">
    <w:name w:val="heading 7"/>
    <w:basedOn w:val="1"/>
    <w:next w:val="1"/>
    <w:link w:val="41"/>
    <w:autoRedefine/>
    <w:unhideWhenUsed/>
    <w:qFormat/>
    <w:uiPriority w:val="9"/>
    <w:pPr>
      <w:keepNext/>
      <w:keepLines/>
      <w:numPr>
        <w:ilvl w:val="6"/>
        <w:numId w:val="1"/>
      </w:numPr>
      <w:spacing w:before="240" w:after="64" w:line="320" w:lineRule="auto"/>
      <w:outlineLvl w:val="6"/>
    </w:pPr>
    <w:rPr>
      <w:b/>
      <w:bCs/>
      <w:sz w:val="24"/>
      <w:szCs w:val="24"/>
    </w:rPr>
  </w:style>
  <w:style w:type="paragraph" w:styleId="12">
    <w:name w:val="heading 8"/>
    <w:basedOn w:val="1"/>
    <w:next w:val="1"/>
    <w:link w:val="42"/>
    <w:autoRedefine/>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3">
    <w:name w:val="heading 9"/>
    <w:basedOn w:val="1"/>
    <w:next w:val="1"/>
    <w:link w:val="43"/>
    <w:autoRedefine/>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unhideWhenUsed/>
    <w:qFormat/>
    <w:uiPriority w:val="99"/>
    <w:pPr>
      <w:adjustRightInd w:val="0"/>
      <w:spacing w:line="360" w:lineRule="auto"/>
      <w:ind w:firstLine="420" w:firstLineChars="100"/>
      <w:textAlignment w:val="baseline"/>
    </w:pPr>
    <w:rPr>
      <w:sz w:val="24"/>
    </w:rPr>
  </w:style>
  <w:style w:type="paragraph" w:styleId="3">
    <w:name w:val="Body Text"/>
    <w:basedOn w:val="1"/>
    <w:next w:val="4"/>
    <w:link w:val="57"/>
    <w:autoRedefine/>
    <w:semiHidden/>
    <w:unhideWhenUsed/>
    <w:qFormat/>
    <w:uiPriority w:val="99"/>
    <w:pPr>
      <w:spacing w:after="120"/>
    </w:pPr>
  </w:style>
  <w:style w:type="paragraph" w:customStyle="1" w:styleId="4">
    <w:name w:val="Default"/>
    <w:autoRedefine/>
    <w:qFormat/>
    <w:uiPriority w:val="99"/>
    <w:pPr>
      <w:widowControl w:val="0"/>
      <w:autoSpaceDE w:val="0"/>
      <w:autoSpaceDN w:val="0"/>
      <w:adjustRightInd w:val="0"/>
    </w:pPr>
    <w:rPr>
      <w:rFonts w:ascii="华文新魏" w:hAnsi="华文新魏" w:eastAsia="宋体" w:cs="Times New Roman"/>
      <w:color w:val="000000"/>
      <w:sz w:val="24"/>
      <w:lang w:val="en-US" w:eastAsia="zh-CN" w:bidi="ar-SA"/>
    </w:rPr>
  </w:style>
  <w:style w:type="paragraph" w:styleId="14">
    <w:name w:val="annotation text"/>
    <w:basedOn w:val="1"/>
    <w:link w:val="52"/>
    <w:autoRedefine/>
    <w:unhideWhenUsed/>
    <w:qFormat/>
    <w:uiPriority w:val="99"/>
    <w:pPr>
      <w:jc w:val="left"/>
    </w:pPr>
  </w:style>
  <w:style w:type="paragraph" w:styleId="15">
    <w:name w:val="Body Text Indent"/>
    <w:basedOn w:val="1"/>
    <w:link w:val="46"/>
    <w:autoRedefine/>
    <w:semiHidden/>
    <w:unhideWhenUsed/>
    <w:qFormat/>
    <w:uiPriority w:val="99"/>
    <w:pPr>
      <w:spacing w:after="120"/>
      <w:ind w:left="420" w:leftChars="200"/>
    </w:pPr>
  </w:style>
  <w:style w:type="paragraph" w:styleId="16">
    <w:name w:val="toc 3"/>
    <w:basedOn w:val="1"/>
    <w:next w:val="1"/>
    <w:autoRedefine/>
    <w:unhideWhenUsed/>
    <w:qFormat/>
    <w:uiPriority w:val="39"/>
    <w:pPr>
      <w:ind w:left="840" w:leftChars="400"/>
    </w:pPr>
  </w:style>
  <w:style w:type="paragraph" w:styleId="17">
    <w:name w:val="Balloon Text"/>
    <w:basedOn w:val="1"/>
    <w:link w:val="45"/>
    <w:autoRedefine/>
    <w:semiHidden/>
    <w:unhideWhenUsed/>
    <w:qFormat/>
    <w:uiPriority w:val="99"/>
    <w:rPr>
      <w:sz w:val="18"/>
      <w:szCs w:val="18"/>
    </w:rPr>
  </w:style>
  <w:style w:type="paragraph" w:styleId="18">
    <w:name w:val="footer"/>
    <w:basedOn w:val="1"/>
    <w:link w:val="32"/>
    <w:autoRedefine/>
    <w:unhideWhenUsed/>
    <w:qFormat/>
    <w:uiPriority w:val="99"/>
    <w:pPr>
      <w:tabs>
        <w:tab w:val="center" w:pos="4153"/>
        <w:tab w:val="right" w:pos="8306"/>
      </w:tabs>
      <w:snapToGrid w:val="0"/>
      <w:jc w:val="left"/>
    </w:pPr>
    <w:rPr>
      <w:sz w:val="18"/>
      <w:szCs w:val="18"/>
    </w:rPr>
  </w:style>
  <w:style w:type="paragraph" w:styleId="19">
    <w:name w:val="header"/>
    <w:basedOn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style>
  <w:style w:type="paragraph" w:styleId="21">
    <w:name w:val="footnote text"/>
    <w:basedOn w:val="1"/>
    <w:link w:val="55"/>
    <w:autoRedefine/>
    <w:unhideWhenUsed/>
    <w:qFormat/>
    <w:uiPriority w:val="99"/>
    <w:pPr>
      <w:snapToGrid w:val="0"/>
      <w:jc w:val="left"/>
    </w:pPr>
    <w:rPr>
      <w:rFonts w:ascii="Calibri" w:hAnsi="Calibri" w:eastAsia="宋体" w:cs="Times New Roman"/>
      <w:sz w:val="18"/>
      <w:szCs w:val="18"/>
    </w:rPr>
  </w:style>
  <w:style w:type="paragraph" w:styleId="22">
    <w:name w:val="toc 2"/>
    <w:basedOn w:val="1"/>
    <w:next w:val="1"/>
    <w:autoRedefine/>
    <w:unhideWhenUsed/>
    <w:qFormat/>
    <w:uiPriority w:val="39"/>
    <w:pPr>
      <w:ind w:left="420" w:leftChars="200"/>
    </w:pPr>
  </w:style>
  <w:style w:type="paragraph" w:styleId="23">
    <w:name w:val="Normal (Web)"/>
    <w:basedOn w:val="1"/>
    <w:autoRedefine/>
    <w:qFormat/>
    <w:uiPriority w:val="0"/>
    <w:pPr>
      <w:widowControl/>
      <w:spacing w:before="100" w:beforeAutospacing="1" w:after="100" w:afterAutospacing="1"/>
      <w:jc w:val="left"/>
    </w:pPr>
    <w:rPr>
      <w:rFonts w:ascii="宋体" w:hAnsi="宋体" w:eastAsia="宋体" w:cs="Times New Roman"/>
      <w:color w:val="000000"/>
      <w:kern w:val="0"/>
      <w:sz w:val="24"/>
      <w:szCs w:val="24"/>
    </w:rPr>
  </w:style>
  <w:style w:type="paragraph" w:styleId="24">
    <w:name w:val="annotation subject"/>
    <w:basedOn w:val="14"/>
    <w:next w:val="14"/>
    <w:link w:val="53"/>
    <w:autoRedefine/>
    <w:semiHidden/>
    <w:unhideWhenUsed/>
    <w:qFormat/>
    <w:uiPriority w:val="99"/>
    <w:rPr>
      <w:b/>
      <w:bCs/>
    </w:rPr>
  </w:style>
  <w:style w:type="paragraph" w:styleId="25">
    <w:name w:val="Body Text First Indent 2"/>
    <w:basedOn w:val="15"/>
    <w:link w:val="47"/>
    <w:autoRedefine/>
    <w:qFormat/>
    <w:uiPriority w:val="0"/>
    <w:pPr>
      <w:spacing w:line="360" w:lineRule="auto"/>
      <w:ind w:firstLine="420" w:firstLineChars="200"/>
    </w:pPr>
    <w:rPr>
      <w:rFonts w:ascii="Times New Roman" w:hAnsi="Times New Roman" w:eastAsia="宋体" w:cs="Times New Roman"/>
      <w:sz w:val="24"/>
      <w:szCs w:val="24"/>
      <w:lang w:val="zh-CN"/>
    </w:rPr>
  </w:style>
  <w:style w:type="table" w:styleId="27">
    <w:name w:val="Table Grid"/>
    <w:basedOn w:val="2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basedOn w:val="28"/>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8"/>
    <w:autoRedefine/>
    <w:unhideWhenUsed/>
    <w:qFormat/>
    <w:uiPriority w:val="99"/>
    <w:rPr>
      <w:sz w:val="21"/>
      <w:szCs w:val="21"/>
    </w:rPr>
  </w:style>
  <w:style w:type="character" w:customStyle="1" w:styleId="31">
    <w:name w:val="页眉 字符"/>
    <w:basedOn w:val="28"/>
    <w:link w:val="19"/>
    <w:autoRedefine/>
    <w:qFormat/>
    <w:uiPriority w:val="99"/>
    <w:rPr>
      <w:sz w:val="18"/>
      <w:szCs w:val="18"/>
    </w:rPr>
  </w:style>
  <w:style w:type="character" w:customStyle="1" w:styleId="32">
    <w:name w:val="页脚 字符"/>
    <w:basedOn w:val="28"/>
    <w:link w:val="18"/>
    <w:autoRedefine/>
    <w:qFormat/>
    <w:uiPriority w:val="99"/>
    <w:rPr>
      <w:sz w:val="18"/>
      <w:szCs w:val="18"/>
    </w:rPr>
  </w:style>
  <w:style w:type="paragraph" w:styleId="33">
    <w:name w:val="List Paragraph"/>
    <w:basedOn w:val="1"/>
    <w:link w:val="48"/>
    <w:autoRedefine/>
    <w:qFormat/>
    <w:uiPriority w:val="99"/>
    <w:pPr>
      <w:ind w:firstLine="420" w:firstLineChars="200"/>
    </w:pPr>
  </w:style>
  <w:style w:type="character" w:customStyle="1" w:styleId="34">
    <w:name w:val="标题 2 字符"/>
    <w:basedOn w:val="28"/>
    <w:link w:val="6"/>
    <w:autoRedefine/>
    <w:qFormat/>
    <w:uiPriority w:val="9"/>
    <w:rPr>
      <w:rFonts w:eastAsia="仿宋" w:asciiTheme="majorHAnsi" w:hAnsiTheme="majorHAnsi" w:cstheme="majorBidi"/>
      <w:b/>
      <w:bCs/>
      <w:kern w:val="2"/>
      <w:sz w:val="28"/>
      <w:szCs w:val="32"/>
    </w:rPr>
  </w:style>
  <w:style w:type="paragraph" w:customStyle="1" w:styleId="35">
    <w:name w:val="1册标题3"/>
    <w:basedOn w:val="1"/>
    <w:next w:val="1"/>
    <w:autoRedefine/>
    <w:qFormat/>
    <w:uiPriority w:val="0"/>
    <w:pPr>
      <w:spacing w:line="360" w:lineRule="exact"/>
    </w:pPr>
    <w:rPr>
      <w:rFonts w:ascii="宋体" w:hAnsi="宋体" w:eastAsia="宋体" w:cs="Times New Roman"/>
      <w:szCs w:val="21"/>
    </w:rPr>
  </w:style>
  <w:style w:type="character" w:customStyle="1" w:styleId="36">
    <w:name w:val="标题 1 字符"/>
    <w:basedOn w:val="28"/>
    <w:link w:val="5"/>
    <w:autoRedefine/>
    <w:qFormat/>
    <w:uiPriority w:val="9"/>
    <w:rPr>
      <w:rFonts w:eastAsia="方正小标宋_GBK"/>
      <w:b/>
      <w:bCs/>
      <w:kern w:val="44"/>
      <w:sz w:val="32"/>
      <w:szCs w:val="44"/>
    </w:rPr>
  </w:style>
  <w:style w:type="character" w:customStyle="1" w:styleId="37">
    <w:name w:val="标题 3 字符"/>
    <w:basedOn w:val="28"/>
    <w:link w:val="7"/>
    <w:autoRedefine/>
    <w:qFormat/>
    <w:uiPriority w:val="9"/>
    <w:rPr>
      <w:rFonts w:eastAsia="仿宋"/>
      <w:b/>
      <w:bCs/>
      <w:sz w:val="28"/>
      <w:szCs w:val="32"/>
    </w:rPr>
  </w:style>
  <w:style w:type="character" w:customStyle="1" w:styleId="38">
    <w:name w:val="标题 4 字符"/>
    <w:basedOn w:val="28"/>
    <w:link w:val="8"/>
    <w:autoRedefine/>
    <w:semiHidden/>
    <w:qFormat/>
    <w:uiPriority w:val="9"/>
    <w:rPr>
      <w:rFonts w:asciiTheme="majorHAnsi" w:hAnsiTheme="majorHAnsi" w:eastAsiaTheme="majorEastAsia" w:cstheme="majorBidi"/>
      <w:b/>
      <w:bCs/>
      <w:sz w:val="28"/>
      <w:szCs w:val="28"/>
    </w:rPr>
  </w:style>
  <w:style w:type="character" w:customStyle="1" w:styleId="39">
    <w:name w:val="标题 5 字符"/>
    <w:basedOn w:val="28"/>
    <w:link w:val="9"/>
    <w:autoRedefine/>
    <w:semiHidden/>
    <w:qFormat/>
    <w:uiPriority w:val="9"/>
    <w:rPr>
      <w:b/>
      <w:bCs/>
      <w:sz w:val="28"/>
      <w:szCs w:val="28"/>
    </w:rPr>
  </w:style>
  <w:style w:type="character" w:customStyle="1" w:styleId="40">
    <w:name w:val="标题 6 字符"/>
    <w:basedOn w:val="28"/>
    <w:link w:val="10"/>
    <w:autoRedefine/>
    <w:semiHidden/>
    <w:qFormat/>
    <w:uiPriority w:val="9"/>
    <w:rPr>
      <w:rFonts w:asciiTheme="majorHAnsi" w:hAnsiTheme="majorHAnsi" w:eastAsiaTheme="majorEastAsia" w:cstheme="majorBidi"/>
      <w:b/>
      <w:bCs/>
      <w:sz w:val="24"/>
      <w:szCs w:val="24"/>
    </w:rPr>
  </w:style>
  <w:style w:type="character" w:customStyle="1" w:styleId="41">
    <w:name w:val="标题 7 字符"/>
    <w:basedOn w:val="28"/>
    <w:link w:val="11"/>
    <w:autoRedefine/>
    <w:semiHidden/>
    <w:qFormat/>
    <w:uiPriority w:val="9"/>
    <w:rPr>
      <w:b/>
      <w:bCs/>
      <w:sz w:val="24"/>
      <w:szCs w:val="24"/>
    </w:rPr>
  </w:style>
  <w:style w:type="character" w:customStyle="1" w:styleId="42">
    <w:name w:val="标题 8 字符"/>
    <w:basedOn w:val="28"/>
    <w:link w:val="12"/>
    <w:autoRedefine/>
    <w:semiHidden/>
    <w:qFormat/>
    <w:uiPriority w:val="9"/>
    <w:rPr>
      <w:rFonts w:asciiTheme="majorHAnsi" w:hAnsiTheme="majorHAnsi" w:eastAsiaTheme="majorEastAsia" w:cstheme="majorBidi"/>
      <w:sz w:val="24"/>
      <w:szCs w:val="24"/>
    </w:rPr>
  </w:style>
  <w:style w:type="character" w:customStyle="1" w:styleId="43">
    <w:name w:val="标题 9 字符"/>
    <w:basedOn w:val="28"/>
    <w:link w:val="13"/>
    <w:autoRedefine/>
    <w:semiHidden/>
    <w:qFormat/>
    <w:uiPriority w:val="9"/>
    <w:rPr>
      <w:rFonts w:asciiTheme="majorHAnsi" w:hAnsiTheme="majorHAnsi" w:eastAsiaTheme="majorEastAsia" w:cstheme="majorBidi"/>
      <w:szCs w:val="21"/>
    </w:rPr>
  </w:style>
  <w:style w:type="paragraph" w:customStyle="1" w:styleId="44">
    <w:name w:val="TOC 标题1"/>
    <w:basedOn w:val="5"/>
    <w:next w:val="1"/>
    <w:autoRedefine/>
    <w:semiHidden/>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5">
    <w:name w:val="批注框文本 字符"/>
    <w:basedOn w:val="28"/>
    <w:link w:val="17"/>
    <w:autoRedefine/>
    <w:semiHidden/>
    <w:qFormat/>
    <w:uiPriority w:val="99"/>
    <w:rPr>
      <w:sz w:val="18"/>
      <w:szCs w:val="18"/>
    </w:rPr>
  </w:style>
  <w:style w:type="character" w:customStyle="1" w:styleId="46">
    <w:name w:val="正文文本缩进 字符"/>
    <w:basedOn w:val="28"/>
    <w:link w:val="15"/>
    <w:autoRedefine/>
    <w:semiHidden/>
    <w:qFormat/>
    <w:uiPriority w:val="99"/>
  </w:style>
  <w:style w:type="character" w:customStyle="1" w:styleId="47">
    <w:name w:val="正文文本首行缩进 2 字符"/>
    <w:basedOn w:val="46"/>
    <w:link w:val="25"/>
    <w:autoRedefine/>
    <w:qFormat/>
    <w:uiPriority w:val="0"/>
    <w:rPr>
      <w:rFonts w:ascii="Times New Roman" w:hAnsi="Times New Roman" w:eastAsia="宋体" w:cs="Times New Roman"/>
      <w:sz w:val="24"/>
      <w:szCs w:val="24"/>
      <w:lang w:val="zh-CN"/>
    </w:rPr>
  </w:style>
  <w:style w:type="character" w:customStyle="1" w:styleId="48">
    <w:name w:val="列表段落 字符"/>
    <w:link w:val="33"/>
    <w:autoRedefine/>
    <w:qFormat/>
    <w:uiPriority w:val="34"/>
  </w:style>
  <w:style w:type="paragraph" w:customStyle="1" w:styleId="4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50">
    <w:name w:val="*正文 Char"/>
    <w:link w:val="51"/>
    <w:autoRedefine/>
    <w:qFormat/>
    <w:uiPriority w:val="0"/>
    <w:rPr>
      <w:rFonts w:ascii="time" w:hAnsi="time"/>
      <w:sz w:val="24"/>
      <w:szCs w:val="24"/>
      <w:lang w:bidi="en-US"/>
    </w:rPr>
  </w:style>
  <w:style w:type="paragraph" w:customStyle="1" w:styleId="51">
    <w:name w:val="*正文"/>
    <w:basedOn w:val="1"/>
    <w:link w:val="50"/>
    <w:autoRedefine/>
    <w:qFormat/>
    <w:uiPriority w:val="0"/>
    <w:pPr>
      <w:widowControl/>
      <w:spacing w:line="360" w:lineRule="auto"/>
      <w:ind w:firstLine="200" w:firstLineChars="200"/>
      <w:contextualSpacing/>
    </w:pPr>
    <w:rPr>
      <w:rFonts w:ascii="time" w:hAnsi="time"/>
      <w:sz w:val="24"/>
      <w:szCs w:val="24"/>
      <w:lang w:bidi="en-US"/>
    </w:rPr>
  </w:style>
  <w:style w:type="character" w:customStyle="1" w:styleId="52">
    <w:name w:val="批注文字 字符"/>
    <w:basedOn w:val="28"/>
    <w:link w:val="14"/>
    <w:autoRedefine/>
    <w:qFormat/>
    <w:uiPriority w:val="99"/>
  </w:style>
  <w:style w:type="character" w:customStyle="1" w:styleId="53">
    <w:name w:val="批注主题 字符"/>
    <w:basedOn w:val="52"/>
    <w:link w:val="24"/>
    <w:autoRedefine/>
    <w:semiHidden/>
    <w:qFormat/>
    <w:uiPriority w:val="99"/>
    <w:rPr>
      <w:b/>
      <w:bCs/>
    </w:rPr>
  </w:style>
  <w:style w:type="character" w:customStyle="1" w:styleId="54">
    <w:name w:val="批注文字 字符1"/>
    <w:autoRedefine/>
    <w:qFormat/>
    <w:uiPriority w:val="99"/>
    <w:rPr>
      <w:rFonts w:eastAsia="仿宋"/>
      <w:kern w:val="2"/>
      <w:sz w:val="28"/>
      <w:szCs w:val="24"/>
    </w:rPr>
  </w:style>
  <w:style w:type="character" w:customStyle="1" w:styleId="55">
    <w:name w:val="脚注文本 字符"/>
    <w:basedOn w:val="28"/>
    <w:link w:val="21"/>
    <w:autoRedefine/>
    <w:qFormat/>
    <w:uiPriority w:val="99"/>
    <w:rPr>
      <w:rFonts w:ascii="Calibri" w:hAnsi="Calibri" w:eastAsia="宋体" w:cs="Times New Roman"/>
      <w:sz w:val="18"/>
      <w:szCs w:val="18"/>
    </w:rPr>
  </w:style>
  <w:style w:type="paragraph" w:customStyle="1" w:styleId="56">
    <w:name w:val="正文文字3"/>
    <w:basedOn w:val="3"/>
    <w:autoRedefine/>
    <w:qFormat/>
    <w:uiPriority w:val="0"/>
    <w:pPr>
      <w:adjustRightInd w:val="0"/>
      <w:spacing w:after="0" w:line="360" w:lineRule="atLeast"/>
      <w:ind w:left="72" w:leftChars="30" w:right="72" w:rightChars="30"/>
      <w:textAlignment w:val="baseline"/>
    </w:pPr>
    <w:rPr>
      <w:rFonts w:ascii="Times New Roman" w:hAnsi="Times New Roman" w:eastAsia="宋体" w:cs="Times New Roman"/>
      <w:kern w:val="0"/>
      <w:szCs w:val="20"/>
    </w:rPr>
  </w:style>
  <w:style w:type="character" w:customStyle="1" w:styleId="57">
    <w:name w:val="正文文本 字符"/>
    <w:basedOn w:val="28"/>
    <w:link w:val="3"/>
    <w:autoRedefine/>
    <w:semiHidden/>
    <w:qFormat/>
    <w:uiPriority w:val="99"/>
  </w:style>
  <w:style w:type="paragraph" w:customStyle="1" w:styleId="58">
    <w:name w:val="正文缩进1"/>
    <w:basedOn w:val="1"/>
    <w:autoRedefine/>
    <w:qFormat/>
    <w:uiPriority w:val="0"/>
    <w:pPr>
      <w:ind w:firstLine="420"/>
    </w:pPr>
    <w:rPr>
      <w:rFonts w:ascii="Times New Roman" w:hAnsi="Times New Roman"/>
      <w:szCs w:val="20"/>
    </w:rPr>
  </w:style>
  <w:style w:type="paragraph" w:customStyle="1" w:styleId="59">
    <w:name w:val="修订2"/>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styleId="60">
    <w:name w:val="No Spacing"/>
    <w:autoRedefine/>
    <w:qFormat/>
    <w:uiPriority w:val="1"/>
    <w:pPr>
      <w:widowControl w:val="0"/>
      <w:jc w:val="both"/>
    </w:pPr>
    <w:rPr>
      <w:rFonts w:asciiTheme="minorHAnsi" w:hAnsiTheme="minorHAnsi" w:eastAsiaTheme="minorEastAsia" w:cstheme="minorBidi"/>
      <w:kern w:val="2"/>
      <w:sz w:val="24"/>
      <w:szCs w:val="22"/>
      <w:lang w:val="en-US" w:eastAsia="zh-CN" w:bidi="ar-SA"/>
    </w:rPr>
  </w:style>
  <w:style w:type="paragraph" w:customStyle="1" w:styleId="6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2">
    <w:name w:val="table"/>
    <w:basedOn w:val="1"/>
    <w:autoRedefine/>
    <w:qFormat/>
    <w:uiPriority w:val="0"/>
    <w:rPr>
      <w:rFonts w:ascii="仿宋" w:hAnsi="仿宋" w:cs="仿宋"/>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16</Pages>
  <Words>1121</Words>
  <Characters>6390</Characters>
  <Lines>53</Lines>
  <Paragraphs>14</Paragraphs>
  <TotalTime>3971</TotalTime>
  <ScaleCrop>false</ScaleCrop>
  <LinksUpToDate>false</LinksUpToDate>
  <CharactersWithSpaces>7497</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2024-01-21T15:00:00Z</dcterms:created>
  <dc:creator>ntko</dc:creator>
  <cp:lastModifiedBy>user</cp:lastModifiedBy>
  <cp:lastPrinted>2023-12-03T09:34:00Z</cp:lastPrinted>
  <dcterms:modified xsi:type="dcterms:W3CDTF">2026-09-01T16:21:14Z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BB46114891D4A3F20E7B3269648F611D_43</vt:lpwstr>
  </property>
</Properties>
</file>