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5FA15">
      <w:pPr>
        <w:ind w:firstLine="0" w:firstLineChars="0"/>
        <w:jc w:val="center"/>
        <w:rPr>
          <w:rFonts w:ascii="黑体" w:hAnsi="黑体" w:eastAsia="黑体"/>
          <w:sz w:val="48"/>
          <w:szCs w:val="48"/>
        </w:rPr>
      </w:pPr>
    </w:p>
    <w:p w14:paraId="2F8DA359">
      <w:pPr>
        <w:ind w:firstLine="0" w:firstLineChars="0"/>
        <w:jc w:val="center"/>
        <w:rPr>
          <w:rFonts w:ascii="黑体" w:hAnsi="黑体" w:eastAsia="黑体"/>
          <w:sz w:val="48"/>
          <w:szCs w:val="48"/>
        </w:rPr>
      </w:pPr>
    </w:p>
    <w:p w14:paraId="3150EC4C">
      <w:pPr>
        <w:ind w:firstLine="0" w:firstLineChars="0"/>
        <w:jc w:val="center"/>
        <w:rPr>
          <w:rFonts w:ascii="黑体" w:hAnsi="黑体" w:eastAsia="黑体"/>
          <w:sz w:val="52"/>
          <w:szCs w:val="52"/>
        </w:rPr>
      </w:pPr>
      <w:r>
        <w:rPr>
          <w:rFonts w:hint="eastAsia" w:ascii="黑体" w:hAnsi="黑体" w:eastAsia="黑体"/>
          <w:sz w:val="52"/>
          <w:szCs w:val="52"/>
        </w:rPr>
        <w:t>基于国际展会服务的空间计算底座平台（2026年升级改造）项目</w:t>
      </w:r>
    </w:p>
    <w:p w14:paraId="6BB271AB">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1FF03A56">
      <w:pPr>
        <w:ind w:firstLine="0" w:firstLineChars="0"/>
        <w:jc w:val="center"/>
        <w:rPr>
          <w:rFonts w:ascii="黑体" w:hAnsi="黑体" w:eastAsia="黑体"/>
          <w:sz w:val="72"/>
          <w:szCs w:val="72"/>
        </w:rPr>
      </w:pPr>
    </w:p>
    <w:p w14:paraId="7F5A42BD">
      <w:pPr>
        <w:ind w:firstLine="0" w:firstLineChars="0"/>
        <w:jc w:val="center"/>
        <w:rPr>
          <w:rFonts w:ascii="黑体" w:hAnsi="黑体" w:eastAsia="黑体"/>
          <w:sz w:val="48"/>
          <w:szCs w:val="48"/>
        </w:rPr>
      </w:pPr>
    </w:p>
    <w:p w14:paraId="2BBDFAD4">
      <w:pPr>
        <w:ind w:firstLine="0" w:firstLineChars="0"/>
        <w:jc w:val="center"/>
        <w:rPr>
          <w:rFonts w:ascii="黑体" w:hAnsi="黑体" w:eastAsia="黑体"/>
          <w:sz w:val="52"/>
          <w:szCs w:val="52"/>
        </w:rPr>
      </w:pPr>
    </w:p>
    <w:p w14:paraId="783DE72A">
      <w:pPr>
        <w:ind w:firstLine="1040"/>
        <w:rPr>
          <w:rFonts w:ascii="黑体" w:hAnsi="黑体" w:eastAsia="黑体"/>
          <w:sz w:val="52"/>
          <w:szCs w:val="52"/>
        </w:rPr>
      </w:pPr>
    </w:p>
    <w:p w14:paraId="11A099CE"/>
    <w:p w14:paraId="1310C5F7"/>
    <w:p w14:paraId="6F93772A"/>
    <w:p w14:paraId="1B648588"/>
    <w:p w14:paraId="10294477"/>
    <w:p w14:paraId="6AFAFD11">
      <w:pPr>
        <w:ind w:firstLine="1040"/>
        <w:rPr>
          <w:rFonts w:ascii="黑体" w:hAnsi="黑体" w:eastAsia="黑体"/>
          <w:sz w:val="52"/>
          <w:szCs w:val="52"/>
        </w:rPr>
      </w:pPr>
    </w:p>
    <w:p w14:paraId="5D290451">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6B72D6EF">
      <w:pPr>
        <w:pStyle w:val="2"/>
      </w:pPr>
      <w:bookmarkStart w:id="0" w:name="_Toc63785461"/>
      <w:r>
        <w:rPr>
          <w:rFonts w:hint="eastAsia"/>
        </w:rPr>
        <w:t>项目概况</w:t>
      </w:r>
      <w:bookmarkEnd w:id="0"/>
    </w:p>
    <w:p w14:paraId="1FA8C736">
      <w:pPr>
        <w:spacing w:line="560" w:lineRule="exact"/>
        <w:ind w:firstLine="482"/>
        <w:rPr>
          <w:b/>
          <w:bCs/>
        </w:rPr>
      </w:pPr>
      <w:r>
        <w:rPr>
          <w:rFonts w:hint="eastAsia"/>
          <w:b/>
          <w:bCs/>
        </w:rPr>
        <w:t>项目背景和现状：</w:t>
      </w:r>
    </w:p>
    <w:p w14:paraId="3D6F79F2">
      <w:pPr>
        <w:spacing w:line="560" w:lineRule="exact"/>
        <w:rPr>
          <w:rFonts w:hint="eastAsia"/>
        </w:rPr>
      </w:pPr>
      <w:r>
        <w:rPr>
          <w:rFonts w:hint="eastAsia"/>
        </w:rPr>
        <w:t>中国国际进口博览会由</w:t>
      </w:r>
      <w:r>
        <w:rPr>
          <w:rFonts w:hint="eastAsia"/>
          <w:lang w:val="en-US" w:eastAsia="zh-CN"/>
        </w:rPr>
        <w:t>xjp</w:t>
      </w:r>
      <w:r>
        <w:rPr>
          <w:rFonts w:hint="eastAsia"/>
        </w:rPr>
        <w:t>主席亲自谋划、亲自部署、亲自推动，是党中央推动新时代高水平对外开放的重大决策，是推动国际治理的一个重大制度创新，是外部世界评估中国机遇、把握中国方向的一个重要窗口。至今，进博会已连续</w:t>
      </w:r>
      <w:r>
        <w:rPr>
          <w:rFonts w:hint="eastAsia"/>
          <w:lang w:val="en-US" w:eastAsia="zh-CN"/>
        </w:rPr>
        <w:t>多</w:t>
      </w:r>
      <w:r>
        <w:rPr>
          <w:rFonts w:hint="eastAsia"/>
        </w:rPr>
        <w:t>年写入政府工作报告，将为中国形成更高水平对外开放新格局、引领更高质量发展提供更加积极有利的新环境、新支撑和新动力。</w:t>
      </w:r>
    </w:p>
    <w:p w14:paraId="67800D11">
      <w:pPr>
        <w:spacing w:line="560" w:lineRule="exact"/>
        <w:rPr>
          <w:rFonts w:hint="eastAsia"/>
        </w:rPr>
      </w:pPr>
      <w:r>
        <w:rPr>
          <w:rFonts w:hint="eastAsia"/>
        </w:rPr>
        <w:t>为进一步贯彻落实</w:t>
      </w:r>
      <w:r>
        <w:rPr>
          <w:rFonts w:hint="eastAsia"/>
          <w:lang w:eastAsia="zh-CN"/>
        </w:rPr>
        <w:t>xjp</w:t>
      </w:r>
      <w:r>
        <w:rPr>
          <w:rFonts w:hint="eastAsia"/>
        </w:rPr>
        <w:t>总书记关于进博会要“办出水平、办出成效、越办越好”的重要指示精神，持续发挥进博会溢出带动效应，拟开展</w:t>
      </w:r>
      <w:r>
        <w:rPr>
          <w:rFonts w:hint="eastAsia"/>
          <w:b/>
          <w:bCs/>
        </w:rPr>
        <w:t>基于国际展会服务的空间计算底座平台</w:t>
      </w:r>
      <w:r>
        <w:rPr>
          <w:rFonts w:hint="eastAsia"/>
          <w:b/>
          <w:bCs/>
          <w:lang w:eastAsia="zh-CN"/>
        </w:rPr>
        <w:t>（</w:t>
      </w:r>
      <w:r>
        <w:rPr>
          <w:rFonts w:hint="eastAsia"/>
          <w:b/>
          <w:bCs/>
          <w:lang w:val="en-US" w:eastAsia="zh-CN"/>
        </w:rPr>
        <w:t>2026年升级改造</w:t>
      </w:r>
      <w:r>
        <w:rPr>
          <w:rFonts w:hint="eastAsia"/>
          <w:b/>
          <w:bCs/>
          <w:lang w:eastAsia="zh-CN"/>
        </w:rPr>
        <w:t>）</w:t>
      </w:r>
      <w:r>
        <w:rPr>
          <w:rFonts w:hint="eastAsia"/>
        </w:rPr>
        <w:t>建设，进一步提升数字赋能能级，综合空间计算、数字孪生、</w:t>
      </w:r>
      <w:r>
        <w:t>大数据、物联网</w:t>
      </w:r>
      <w:r>
        <w:rPr>
          <w:rFonts w:hint="eastAsia"/>
        </w:rPr>
        <w:t>、</w:t>
      </w:r>
      <w:r>
        <w:t>5G通讯等新技术，</w:t>
      </w:r>
      <w:r>
        <w:rPr>
          <w:rFonts w:hint="eastAsia"/>
        </w:rPr>
        <w:t>保障进博会期间客流平稳有序，基于运营商手机信令数据资源，构建大客流预警预测模型，通过对用户手机信令进行实时处理、计算和分析，实时监控区域内人群聚集和空间分布情况，实时掌握区域内客流分布及变化趋势，提升对大客流实时感知监测能力。通过数据共享和协同，系统能够促进政府、企业和社会各界在进博会中的深度合作，形成共促高质量发展的合力。一方面能够提升进博会的综合效益，另一方面能为我国新质生产力的发展注入新的动力。</w:t>
      </w:r>
    </w:p>
    <w:p w14:paraId="17490045">
      <w:pPr>
        <w:spacing w:line="560" w:lineRule="exact"/>
        <w:rPr>
          <w:rFonts w:hint="default"/>
          <w:color w:val="auto"/>
          <w:lang w:val="en-US"/>
        </w:rPr>
      </w:pPr>
      <w:r>
        <w:rPr>
          <w:rFonts w:hint="eastAsia"/>
          <w:color w:val="auto"/>
        </w:rPr>
        <w:t>建设期限：</w:t>
      </w:r>
      <w:r>
        <w:rPr>
          <w:rFonts w:hint="eastAsia"/>
          <w:color w:val="auto"/>
          <w:lang w:eastAsia="zh-CN"/>
        </w:rPr>
        <w:t>自合同签订之日</w:t>
      </w:r>
      <w:r>
        <w:rPr>
          <w:rFonts w:hint="eastAsia"/>
          <w:color w:val="auto"/>
          <w:lang w:val="en-US" w:eastAsia="zh-CN"/>
        </w:rPr>
        <w:t>起9个月内完成项目建设并通过验收（含30天试运行期）</w:t>
      </w:r>
    </w:p>
    <w:p w14:paraId="2F750AF9">
      <w:pPr>
        <w:spacing w:line="560" w:lineRule="exact"/>
        <w:rPr>
          <w:rFonts w:hint="eastAsia"/>
          <w:color w:val="auto"/>
          <w:lang w:eastAsia="zh-CN"/>
        </w:rPr>
      </w:pPr>
      <w:r>
        <w:rPr>
          <w:rFonts w:hint="eastAsia"/>
          <w:color w:val="auto"/>
        </w:rPr>
        <w:t>建设地点：</w:t>
      </w:r>
      <w:r>
        <w:rPr>
          <w:rFonts w:hint="eastAsia"/>
          <w:color w:val="auto"/>
          <w:lang w:val="en-US" w:eastAsia="zh-CN"/>
        </w:rPr>
        <w:t>上海市</w:t>
      </w:r>
    </w:p>
    <w:p w14:paraId="6655C5A1">
      <w:pPr>
        <w:spacing w:line="560" w:lineRule="exact"/>
        <w:rPr>
          <w:rFonts w:hint="eastAsia" w:eastAsia="宋体"/>
          <w:color w:val="auto"/>
          <w:lang w:eastAsia="zh-CN"/>
        </w:rPr>
      </w:pPr>
      <w:r>
        <w:rPr>
          <w:rFonts w:hint="eastAsia"/>
          <w:color w:val="auto"/>
        </w:rPr>
        <w:t>预算金额：</w:t>
      </w:r>
      <w:r>
        <w:rPr>
          <w:rFonts w:hint="eastAsia"/>
          <w:color w:val="auto"/>
          <w:lang w:val="en-US" w:eastAsia="zh-CN"/>
        </w:rPr>
        <w:t>66761450</w:t>
      </w:r>
      <w:r>
        <w:rPr>
          <w:rFonts w:hint="eastAsia"/>
          <w:color w:val="auto"/>
        </w:rPr>
        <w:t>元</w:t>
      </w:r>
      <w:r>
        <w:rPr>
          <w:rFonts w:hint="eastAsia"/>
          <w:color w:val="auto"/>
          <w:lang w:eastAsia="zh-CN"/>
        </w:rPr>
        <w:t>，其中系统集成费用预算为3778950元</w:t>
      </w:r>
    </w:p>
    <w:p w14:paraId="2F30672A">
      <w:pPr>
        <w:spacing w:line="560" w:lineRule="exact"/>
        <w:rPr>
          <w:rFonts w:hint="eastAsia"/>
          <w:color w:val="auto"/>
        </w:rPr>
      </w:pPr>
      <w:r>
        <w:rPr>
          <w:rFonts w:hint="eastAsia"/>
          <w:color w:val="auto"/>
        </w:rPr>
        <w:t>采购金额（最高限价）：</w:t>
      </w:r>
      <w:r>
        <w:rPr>
          <w:rFonts w:hint="eastAsia"/>
          <w:color w:val="auto"/>
          <w:lang w:val="en-US" w:eastAsia="zh-CN"/>
        </w:rPr>
        <w:t>66761450</w:t>
      </w:r>
      <w:r>
        <w:rPr>
          <w:rFonts w:hint="eastAsia"/>
          <w:color w:val="auto"/>
        </w:rPr>
        <w:t>元</w:t>
      </w:r>
      <w:r>
        <w:rPr>
          <w:rFonts w:hint="eastAsia"/>
          <w:color w:val="auto"/>
          <w:lang w:eastAsia="zh-CN"/>
        </w:rPr>
        <w:t>，其中系统集成费用最高限价为3778950元</w:t>
      </w:r>
    </w:p>
    <w:p w14:paraId="2DD8FA22">
      <w:pPr>
        <w:spacing w:line="560" w:lineRule="exact"/>
        <w:rPr>
          <w:rFonts w:hint="eastAsia"/>
          <w:color w:val="auto"/>
        </w:rPr>
      </w:pPr>
      <w:r>
        <w:rPr>
          <w:rFonts w:hint="eastAsia"/>
          <w:color w:val="auto"/>
        </w:rPr>
        <w:t>组织形式：集中采购</w:t>
      </w:r>
    </w:p>
    <w:p w14:paraId="0B304025">
      <w:pPr>
        <w:spacing w:line="560" w:lineRule="exact"/>
        <w:rPr>
          <w:rFonts w:hint="eastAsia"/>
          <w:color w:val="auto"/>
        </w:rPr>
      </w:pPr>
      <w:r>
        <w:rPr>
          <w:rFonts w:hint="eastAsia"/>
          <w:color w:val="auto"/>
          <w:lang w:eastAsia="zh-CN"/>
        </w:rPr>
        <w:t>采购</w:t>
      </w:r>
      <w:r>
        <w:rPr>
          <w:rFonts w:hint="eastAsia"/>
          <w:color w:val="auto"/>
          <w:lang w:val="en-US" w:eastAsia="zh-CN"/>
        </w:rPr>
        <w:t>方</w:t>
      </w:r>
      <w:r>
        <w:rPr>
          <w:rFonts w:hint="eastAsia"/>
          <w:color w:val="auto"/>
        </w:rPr>
        <w:t>式：公开招标</w:t>
      </w:r>
    </w:p>
    <w:p w14:paraId="5FD16BA4">
      <w:pPr>
        <w:spacing w:line="560" w:lineRule="exact"/>
        <w:rPr>
          <w:rFonts w:hint="eastAsia"/>
          <w:color w:val="auto"/>
        </w:rPr>
      </w:pPr>
      <w:r>
        <w:rPr>
          <w:rFonts w:hint="eastAsia"/>
          <w:color w:val="auto"/>
        </w:rPr>
        <w:t>是否接受联合体投标：否</w:t>
      </w:r>
    </w:p>
    <w:p w14:paraId="08ED9D61">
      <w:pPr>
        <w:spacing w:line="560" w:lineRule="exact"/>
        <w:rPr>
          <w:rFonts w:hint="eastAsia"/>
          <w:color w:val="auto"/>
        </w:rPr>
      </w:pPr>
      <w:r>
        <w:rPr>
          <w:rFonts w:hint="eastAsia"/>
          <w:color w:val="auto"/>
        </w:rPr>
        <w:t>是否按</w:t>
      </w:r>
      <w:r>
        <w:rPr>
          <w:rFonts w:hint="eastAsia"/>
          <w:color w:val="auto"/>
          <w:lang w:eastAsia="zh-CN"/>
        </w:rPr>
        <w:t>XC</w:t>
      </w:r>
      <w:r>
        <w:rPr>
          <w:rFonts w:hint="eastAsia"/>
          <w:color w:val="auto"/>
        </w:rPr>
        <w:t>要求建设：是</w:t>
      </w:r>
    </w:p>
    <w:p w14:paraId="1236C717">
      <w:pPr>
        <w:spacing w:line="560" w:lineRule="exact"/>
        <w:rPr>
          <w:rFonts w:hint="eastAsia"/>
          <w:color w:val="auto"/>
          <w:lang w:eastAsia="zh-CN"/>
        </w:rPr>
      </w:pPr>
      <w:r>
        <w:rPr>
          <w:rFonts w:hint="eastAsia"/>
          <w:color w:val="auto"/>
          <w:lang w:eastAsia="zh-CN"/>
        </w:rPr>
        <w:t>是否采用低代码建设：</w:t>
      </w:r>
      <w:r>
        <w:rPr>
          <w:rFonts w:hint="eastAsia"/>
          <w:color w:val="auto"/>
          <w:lang w:val="en-US" w:eastAsia="zh-CN"/>
        </w:rPr>
        <w:t>否</w:t>
      </w:r>
    </w:p>
    <w:p w14:paraId="58DA5E02">
      <w:pPr>
        <w:spacing w:line="560" w:lineRule="exact"/>
        <w:rPr>
          <w:rFonts w:hint="eastAsia"/>
          <w:color w:val="auto"/>
        </w:rPr>
      </w:pPr>
      <w:r>
        <w:rPr>
          <w:rFonts w:hint="eastAsia"/>
          <w:color w:val="auto"/>
        </w:rPr>
        <w:t>运维后所属大系统：进博会数字赋能服务保障一体化平台</w:t>
      </w:r>
    </w:p>
    <w:p w14:paraId="4205A9C0">
      <w:pPr>
        <w:pStyle w:val="2"/>
      </w:pPr>
      <w:bookmarkStart w:id="1" w:name="_Toc47537134"/>
      <w:bookmarkEnd w:id="1"/>
      <w:bookmarkStart w:id="2" w:name="_Toc47536272"/>
      <w:bookmarkEnd w:id="2"/>
      <w:bookmarkStart w:id="3" w:name="_Toc47539070"/>
      <w:bookmarkEnd w:id="3"/>
      <w:bookmarkStart w:id="4" w:name="_Toc47531634"/>
      <w:bookmarkEnd w:id="4"/>
      <w:bookmarkStart w:id="5" w:name="_Toc47532255"/>
      <w:bookmarkEnd w:id="5"/>
      <w:bookmarkStart w:id="6" w:name="_Toc47532891"/>
      <w:bookmarkEnd w:id="6"/>
      <w:bookmarkStart w:id="7" w:name="_Toc47533256"/>
      <w:bookmarkEnd w:id="7"/>
      <w:bookmarkStart w:id="8" w:name="_Toc47536644"/>
      <w:bookmarkEnd w:id="8"/>
      <w:bookmarkStart w:id="9" w:name="_Toc48223882"/>
      <w:bookmarkStart w:id="10" w:name="_Toc63785463"/>
      <w:r>
        <w:rPr>
          <w:rFonts w:hint="eastAsia"/>
        </w:rPr>
        <w:t>建设目标</w:t>
      </w:r>
      <w:bookmarkEnd w:id="9"/>
      <w:bookmarkEnd w:id="10"/>
    </w:p>
    <w:p w14:paraId="2BAACB3F">
      <w:pPr>
        <w:pStyle w:val="3"/>
        <w:bidi w:val="0"/>
      </w:pPr>
      <w:r>
        <w:rPr>
          <w:rFonts w:hint="eastAsia"/>
        </w:rPr>
        <w:t>总体目标</w:t>
      </w:r>
    </w:p>
    <w:p w14:paraId="009EE24B">
      <w:pPr>
        <w:ind w:firstLine="482"/>
        <w:rPr>
          <w:rFonts w:hint="eastAsia"/>
          <w:b w:val="0"/>
          <w:bCs/>
        </w:rPr>
      </w:pPr>
      <w:r>
        <w:rPr>
          <w:rFonts w:hint="eastAsia"/>
          <w:b w:val="0"/>
          <w:bCs/>
          <w:lang w:val="en-US" w:eastAsia="zh-CN"/>
        </w:rPr>
        <w:t>本次项目建设目标</w:t>
      </w:r>
      <w:r>
        <w:rPr>
          <w:rFonts w:hint="eastAsia"/>
          <w:b w:val="0"/>
          <w:bCs/>
        </w:rPr>
        <w:t>聚焦全面精细化管理，推动“管理通”升级。实现国展中心空间计算技术应用全面覆盖及全面升级。在目前尚未覆盖到的二层展厅、通道、公共空间等区域部署最新版本的空间计算机，并对已部署设备进行全面升级，以“空间计算+世界模型”为核心技术，新建大型国际展会全景指挥平台，让“空间计算上下文”为大型展会管理服务全面赋能，把国展中心打造成第一家空间计算赋能的数智化会展中心。</w:t>
      </w:r>
    </w:p>
    <w:p w14:paraId="468FEA03">
      <w:pPr>
        <w:pStyle w:val="3"/>
        <w:bidi w:val="0"/>
        <w:rPr>
          <w:rFonts w:hint="eastAsia"/>
        </w:rPr>
      </w:pPr>
      <w:r>
        <w:rPr>
          <w:rFonts w:hint="eastAsia"/>
          <w:lang w:val="en-US" w:eastAsia="zh-CN"/>
        </w:rPr>
        <w:t>绩效目标</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8"/>
        <w:gridCol w:w="1428"/>
        <w:gridCol w:w="1351"/>
        <w:gridCol w:w="2601"/>
        <w:gridCol w:w="2567"/>
      </w:tblGrid>
      <w:tr w14:paraId="29453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8A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32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F0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53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4F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目标值</w:t>
            </w:r>
          </w:p>
        </w:tc>
      </w:tr>
      <w:tr w14:paraId="43AB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75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EB8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通用指标</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F6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产出数量</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4394">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硬件设备购置完成率</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1F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4B743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44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814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8ED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产出质量</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1757">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安全事件发生次数</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3E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0次</w:t>
            </w:r>
          </w:p>
        </w:tc>
      </w:tr>
      <w:tr w14:paraId="363F6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AC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DB1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99F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270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安全测试达标</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BD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通过</w:t>
            </w:r>
          </w:p>
        </w:tc>
      </w:tr>
      <w:tr w14:paraId="41B7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AD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5D78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3BD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BB8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网络安全等级保护</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EE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w:t>
            </w:r>
          </w:p>
        </w:tc>
      </w:tr>
      <w:tr w14:paraId="3CC7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E3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6C00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8E50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363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一次性验收合格率</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C9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D3F4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88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01E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E8C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457D">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系统可靠性</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28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≥99.9%</w:t>
            </w:r>
          </w:p>
        </w:tc>
      </w:tr>
      <w:tr w14:paraId="1075A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F0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530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0B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产出时效</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66DB">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项目建设周期</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7A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9个</w:t>
            </w:r>
            <w:r>
              <w:rPr>
                <w:rFonts w:hint="eastAsia" w:ascii="宋体" w:hAnsi="宋体" w:eastAsia="宋体" w:cs="宋体"/>
                <w:i w:val="0"/>
                <w:iCs w:val="0"/>
                <w:color w:val="000000"/>
                <w:kern w:val="0"/>
                <w:sz w:val="24"/>
                <w:szCs w:val="24"/>
                <w:u w:val="none"/>
                <w:lang w:val="en-US" w:eastAsia="zh-CN" w:bidi="ar"/>
              </w:rPr>
              <w:t>月</w:t>
            </w:r>
          </w:p>
        </w:tc>
      </w:tr>
      <w:tr w14:paraId="0017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9D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3E6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E0D3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用户使用情况</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BC0F">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系统用户量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96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≥20个</w:t>
            </w:r>
          </w:p>
        </w:tc>
      </w:tr>
      <w:tr w14:paraId="48838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A5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E67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353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2613">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月活跃用户量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13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≥50人次/月</w:t>
            </w:r>
          </w:p>
        </w:tc>
      </w:tr>
      <w:tr w14:paraId="7D84F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C0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DE7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业务指标</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61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产出数量</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5412">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空间计算机采购数量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F0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=2950套</w:t>
            </w:r>
          </w:p>
        </w:tc>
      </w:tr>
      <w:tr w14:paraId="7573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7E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0AF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846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A97B">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支撑场馆数量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93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≥10个</w:t>
            </w:r>
          </w:p>
        </w:tc>
      </w:tr>
      <w:tr w14:paraId="5C69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5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DD9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C38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D6A2">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支撑展会数量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B2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≥5个</w:t>
            </w:r>
          </w:p>
        </w:tc>
      </w:tr>
      <w:tr w14:paraId="24F65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C7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D512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9C2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产出质量</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3CBD">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4/5G通信能力</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85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具备</w:t>
            </w:r>
          </w:p>
        </w:tc>
      </w:tr>
      <w:tr w14:paraId="68C9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9F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B7A2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1E6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86C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预置多模态世界模型</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01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具备</w:t>
            </w:r>
          </w:p>
        </w:tc>
      </w:tr>
      <w:tr w14:paraId="2720C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6D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0A7C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71CA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6C59">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配套空间计算支撑平台软件</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44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包含</w:t>
            </w:r>
          </w:p>
        </w:tc>
      </w:tr>
      <w:tr w14:paraId="68CA2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A8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03B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BD8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E94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平均每台空间计算机每月使用时长</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DE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≥80小时/月</w:t>
            </w:r>
          </w:p>
        </w:tc>
      </w:tr>
      <w:tr w14:paraId="15DC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48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0D3C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C54C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4"/>
                <w:szCs w:val="24"/>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5934">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空间计算机使用率</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60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bl>
    <w:p w14:paraId="67E61890">
      <w:pPr>
        <w:rPr>
          <w:rFonts w:hint="eastAsia"/>
        </w:rPr>
      </w:pPr>
    </w:p>
    <w:p w14:paraId="2C33ACFE">
      <w:pPr>
        <w:pStyle w:val="2"/>
      </w:pPr>
      <w:bookmarkStart w:id="11" w:name="_Toc47533288"/>
      <w:bookmarkEnd w:id="11"/>
      <w:bookmarkStart w:id="12" w:name="_Toc47532923"/>
      <w:bookmarkEnd w:id="12"/>
      <w:bookmarkStart w:id="13" w:name="_Toc47536676"/>
      <w:bookmarkEnd w:id="13"/>
      <w:bookmarkStart w:id="14" w:name="_Toc47537166"/>
      <w:bookmarkEnd w:id="14"/>
      <w:bookmarkStart w:id="15" w:name="_Toc47536304"/>
      <w:bookmarkEnd w:id="15"/>
      <w:bookmarkStart w:id="16" w:name="_Toc47539102"/>
      <w:bookmarkEnd w:id="16"/>
      <w:r>
        <w:rPr>
          <w:rFonts w:hint="eastAsia"/>
        </w:rPr>
        <w:t>项目建设内容</w:t>
      </w:r>
    </w:p>
    <w:p w14:paraId="3B08DB63">
      <w:pPr>
        <w:rPr>
          <w:rFonts w:hint="eastAsia"/>
        </w:rPr>
      </w:pPr>
      <w:r>
        <w:rPr>
          <w:rFonts w:hint="eastAsia"/>
          <w:lang w:val="en-US" w:eastAsia="zh-CN"/>
        </w:rPr>
        <w:t>本次项目建设</w:t>
      </w:r>
      <w:r>
        <w:rPr>
          <w:rFonts w:hint="eastAsia"/>
        </w:rPr>
        <w:t>实现空间计算设备在国展中心全覆盖。在国展中心二层展厅、通道、公共空间等区域部署最新版本的空间计算机2950套，并对已部署设备进行全面升级，实现国家会展中心空间计算全覆盖。通过空间计算机捕捉现场动态、洞察全局热点、指挥现场工作，实现“空间计算+世界模型”加持的进博会全景指挥体系。</w:t>
      </w:r>
    </w:p>
    <w:p w14:paraId="1681304B">
      <w:pPr>
        <w:pStyle w:val="3"/>
        <w:bidi w:val="0"/>
        <w:ind w:left="0" w:firstLine="96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技术路线要求</w:t>
      </w:r>
    </w:p>
    <w:p w14:paraId="7E2CAA85">
      <w:pPr>
        <w:rPr>
          <w:rFonts w:hint="default" w:ascii="宋体" w:hAnsi="宋体" w:eastAsia="宋体"/>
          <w:lang w:val="en-US" w:eastAsia="zh-CN"/>
        </w:rPr>
      </w:pPr>
      <w:r>
        <w:rPr>
          <w:rFonts w:hint="eastAsia" w:ascii="宋体" w:hAnsi="宋体" w:eastAsia="宋体"/>
          <w:lang w:val="en-US" w:eastAsia="zh-CN"/>
        </w:rPr>
        <w:t>设备配套功能应符合以下要求：</w:t>
      </w:r>
    </w:p>
    <w:p w14:paraId="56694A6F">
      <w:pPr>
        <w:rPr>
          <w:rFonts w:hint="eastAsia" w:ascii="宋体" w:hAnsi="宋体" w:eastAsia="宋体"/>
          <w:lang w:val="en-US" w:eastAsia="zh-CN"/>
        </w:rPr>
      </w:pPr>
      <w:r>
        <w:rPr>
          <w:rFonts w:hint="eastAsia" w:ascii="宋体" w:hAnsi="宋体" w:eastAsia="宋体"/>
          <w:lang w:val="en-US" w:eastAsia="zh-CN"/>
        </w:rPr>
        <w:t>（</w:t>
      </w:r>
      <w:r>
        <w:rPr>
          <w:rFonts w:hint="eastAsia"/>
          <w:lang w:val="en-US" w:eastAsia="zh-CN"/>
        </w:rPr>
        <w:t>1</w:t>
      </w:r>
      <w:r>
        <w:rPr>
          <w:rFonts w:hint="eastAsia" w:ascii="宋体" w:hAnsi="宋体" w:eastAsia="宋体"/>
          <w:lang w:val="en-US" w:eastAsia="zh-CN"/>
        </w:rPr>
        <w:t>）Web服务标准-UDDI、WSDL和SOAP：实现跨不同系统环境的应用之间的通信；</w:t>
      </w:r>
    </w:p>
    <w:p w14:paraId="11D1E615">
      <w:pPr>
        <w:rPr>
          <w:rFonts w:hint="eastAsia" w:ascii="宋体" w:hAnsi="宋体" w:eastAsia="宋体"/>
          <w:lang w:val="en-US" w:eastAsia="zh-CN"/>
        </w:rPr>
      </w:pPr>
      <w:r>
        <w:rPr>
          <w:rFonts w:hint="eastAsia" w:ascii="宋体" w:hAnsi="宋体" w:eastAsia="宋体"/>
          <w:lang w:val="en-US" w:eastAsia="zh-CN"/>
        </w:rPr>
        <w:t>（</w:t>
      </w:r>
      <w:r>
        <w:rPr>
          <w:rFonts w:hint="eastAsia"/>
          <w:lang w:val="en-US" w:eastAsia="zh-CN"/>
        </w:rPr>
        <w:t>2</w:t>
      </w:r>
      <w:r>
        <w:rPr>
          <w:rFonts w:hint="eastAsia" w:ascii="宋体" w:hAnsi="宋体" w:eastAsia="宋体"/>
          <w:lang w:val="en-US" w:eastAsia="zh-CN"/>
        </w:rPr>
        <w:t>）技术规范：采用符合</w:t>
      </w:r>
      <w:r>
        <w:rPr>
          <w:rFonts w:hint="eastAsia"/>
          <w:lang w:val="en-US" w:eastAsia="zh-CN"/>
        </w:rPr>
        <w:t>XC</w:t>
      </w:r>
      <w:r>
        <w:rPr>
          <w:rFonts w:hint="eastAsia" w:ascii="宋体" w:hAnsi="宋体" w:eastAsia="宋体"/>
          <w:lang w:val="en-US" w:eastAsia="zh-CN"/>
        </w:rPr>
        <w:t>要求的技术架构；</w:t>
      </w:r>
    </w:p>
    <w:p w14:paraId="428C967E">
      <w:pPr>
        <w:rPr>
          <w:rFonts w:hint="eastAsia" w:ascii="宋体" w:hAnsi="宋体" w:eastAsia="宋体"/>
          <w:lang w:val="en-US" w:eastAsia="zh-CN"/>
        </w:rPr>
      </w:pPr>
      <w:r>
        <w:rPr>
          <w:rFonts w:hint="eastAsia" w:ascii="宋体" w:hAnsi="宋体" w:eastAsia="宋体"/>
          <w:lang w:val="en-US" w:eastAsia="zh-CN"/>
        </w:rPr>
        <w:t>（</w:t>
      </w:r>
      <w:r>
        <w:rPr>
          <w:rFonts w:hint="eastAsia"/>
          <w:lang w:val="en-US" w:eastAsia="zh-CN"/>
        </w:rPr>
        <w:t>3</w:t>
      </w:r>
      <w:r>
        <w:rPr>
          <w:rFonts w:hint="eastAsia" w:ascii="宋体" w:hAnsi="宋体" w:eastAsia="宋体"/>
          <w:lang w:val="en-US" w:eastAsia="zh-CN"/>
        </w:rPr>
        <w:t>）《音视频、信息技术和通信技术设备 第1部分</w:t>
      </w:r>
      <w:r>
        <w:rPr>
          <w:rFonts w:hint="eastAsia"/>
          <w:lang w:val="en-US" w:eastAsia="zh-CN"/>
        </w:rPr>
        <w:t>：</w:t>
      </w:r>
      <w:r>
        <w:rPr>
          <w:rFonts w:hint="eastAsia" w:ascii="宋体" w:hAnsi="宋体" w:eastAsia="宋体"/>
          <w:lang w:val="en-US" w:eastAsia="zh-CN"/>
        </w:rPr>
        <w:t>安全要求》（‌GB 4943.1-2022）</w:t>
      </w:r>
    </w:p>
    <w:p w14:paraId="1E250242">
      <w:pPr>
        <w:rPr>
          <w:rFonts w:hint="eastAsia" w:ascii="宋体" w:hAnsi="宋体" w:eastAsia="宋体"/>
          <w:lang w:val="en-US" w:eastAsia="zh-CN"/>
        </w:rPr>
      </w:pPr>
      <w:r>
        <w:rPr>
          <w:rFonts w:hint="eastAsia" w:ascii="宋体" w:hAnsi="宋体" w:eastAsia="宋体"/>
          <w:lang w:val="en-US" w:eastAsia="zh-CN"/>
        </w:rPr>
        <w:t>（</w:t>
      </w:r>
      <w:r>
        <w:rPr>
          <w:rFonts w:hint="eastAsia"/>
          <w:lang w:val="en-US" w:eastAsia="zh-CN"/>
        </w:rPr>
        <w:t>4</w:t>
      </w:r>
      <w:r>
        <w:rPr>
          <w:rFonts w:hint="eastAsia" w:ascii="宋体" w:hAnsi="宋体" w:eastAsia="宋体"/>
          <w:lang w:val="en-US" w:eastAsia="zh-CN"/>
        </w:rPr>
        <w:t>）《计算机场地安全要求》（GB/T 9361-2011）</w:t>
      </w:r>
    </w:p>
    <w:p w14:paraId="533EC924">
      <w:pPr>
        <w:rPr>
          <w:rFonts w:hint="default" w:ascii="宋体" w:hAnsi="宋体" w:eastAsia="宋体"/>
          <w:lang w:val="en-US" w:eastAsia="zh-CN"/>
        </w:rPr>
      </w:pPr>
      <w:r>
        <w:rPr>
          <w:rFonts w:hint="eastAsia" w:ascii="宋体" w:hAnsi="宋体" w:eastAsia="宋体"/>
          <w:lang w:val="en-US" w:eastAsia="zh-CN"/>
        </w:rPr>
        <w:t>（</w:t>
      </w:r>
      <w:r>
        <w:rPr>
          <w:rFonts w:hint="eastAsia"/>
          <w:lang w:val="en-US" w:eastAsia="zh-CN"/>
        </w:rPr>
        <w:t>5</w:t>
      </w:r>
      <w:r>
        <w:rPr>
          <w:rFonts w:hint="eastAsia" w:ascii="宋体" w:hAnsi="宋体" w:eastAsia="宋体"/>
          <w:lang w:val="en-US" w:eastAsia="zh-CN"/>
        </w:rPr>
        <w:t>）</w:t>
      </w:r>
      <w:r>
        <w:rPr>
          <w:rFonts w:hint="eastAsia" w:eastAsia="宋体"/>
          <w:lang w:eastAsia="zh-CN"/>
        </w:rPr>
        <w:t>《</w:t>
      </w:r>
      <w:r>
        <w:rPr>
          <w:rFonts w:hint="eastAsia"/>
        </w:rPr>
        <w:t>信息处理系统开放系统互连基本参考模型</w:t>
      </w:r>
      <w:r>
        <w:rPr>
          <w:rFonts w:hint="eastAsia"/>
          <w:lang w:val="en-US" w:eastAsia="zh-CN"/>
        </w:rPr>
        <w:t xml:space="preserve"> </w:t>
      </w:r>
      <w:r>
        <w:rPr>
          <w:rFonts w:hint="eastAsia"/>
        </w:rPr>
        <w:t>第2部分安全体系结构</w:t>
      </w:r>
      <w:r>
        <w:rPr>
          <w:rFonts w:hint="eastAsia"/>
          <w:lang w:eastAsia="zh-CN"/>
        </w:rPr>
        <w:t>》（</w:t>
      </w:r>
      <w:r>
        <w:rPr>
          <w:rFonts w:hint="eastAsia"/>
        </w:rPr>
        <w:t>GB/T 9387.2-1995</w:t>
      </w:r>
      <w:r>
        <w:rPr>
          <w:rFonts w:hint="eastAsia"/>
          <w:lang w:eastAsia="zh-CN"/>
        </w:rPr>
        <w:t>）</w:t>
      </w:r>
    </w:p>
    <w:p w14:paraId="245C44BD">
      <w:pPr>
        <w:pStyle w:val="3"/>
        <w:bidi w:val="0"/>
        <w:ind w:left="0" w:firstLine="960"/>
        <w:rPr>
          <w:rFonts w:hint="eastAsia" w:ascii="宋体" w:hAnsi="宋体" w:eastAsia="宋体" w:cs="Times New Roman"/>
          <w:lang w:val="en-US" w:eastAsia="zh-CN"/>
        </w:rPr>
      </w:pPr>
      <w:r>
        <w:rPr>
          <w:rFonts w:hint="eastAsia" w:ascii="宋体" w:hAnsi="宋体" w:eastAsia="宋体" w:cs="Times New Roman"/>
          <w:lang w:val="en-US" w:eastAsia="zh-CN"/>
        </w:rPr>
        <w:t>部署环境要求</w:t>
      </w:r>
    </w:p>
    <w:p w14:paraId="6DB3DFFE">
      <w:pPr>
        <w:rPr>
          <w:rFonts w:hint="eastAsia"/>
        </w:rPr>
      </w:pPr>
      <w:r>
        <w:rPr>
          <w:rFonts w:hint="eastAsia"/>
        </w:rPr>
        <w:t>本项目</w:t>
      </w:r>
      <w:r>
        <w:rPr>
          <w:rFonts w:hint="eastAsia"/>
          <w:lang w:val="en-US" w:eastAsia="zh-CN"/>
        </w:rPr>
        <w:t>采购设备需部署在国家会展中心（上海）二层展厅、通道、公共空间等区域，同时对一期部分场馆进行增补，并对前期已部署设备进行全面升级，保持两期设备功能一致性，实现国家会展中心空间计算全覆盖</w:t>
      </w:r>
      <w:r>
        <w:rPr>
          <w:rFonts w:hint="eastAsia"/>
        </w:rPr>
        <w:t>。</w:t>
      </w:r>
    </w:p>
    <w:p w14:paraId="09F6B972">
      <w:pPr>
        <w:rPr>
          <w:rFonts w:hint="eastAsia" w:ascii="宋体" w:hAnsi="宋体" w:eastAsia="宋体"/>
          <w:lang w:val="en-US" w:eastAsia="zh-CN"/>
        </w:rPr>
      </w:pP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）部署</w:t>
      </w:r>
      <w:r>
        <w:rPr>
          <w:rFonts w:hint="eastAsia" w:ascii="宋体" w:hAnsi="宋体" w:eastAsia="宋体"/>
          <w:lang w:val="en-US" w:eastAsia="zh-CN"/>
        </w:rPr>
        <w:t>范围</w:t>
      </w:r>
    </w:p>
    <w:p w14:paraId="41E242FA">
      <w:pPr>
        <w:rPr>
          <w:rFonts w:hint="default" w:ascii="宋体" w:hAnsi="宋体" w:eastAsia="宋体"/>
          <w:lang w:val="en-US" w:eastAsia="zh-CN"/>
        </w:rPr>
      </w:pPr>
      <w:r>
        <w:rPr>
          <w:rFonts w:hint="eastAsia" w:ascii="宋体" w:hAnsi="宋体" w:eastAsia="宋体"/>
        </w:rPr>
        <w:t>1.2展馆</w:t>
      </w:r>
      <w:r>
        <w:rPr>
          <w:rFonts w:hint="eastAsia" w:ascii="宋体" w:hAnsi="宋体" w:eastAsia="宋体"/>
          <w:lang w:eastAsia="zh-CN"/>
        </w:rPr>
        <w:t>、</w:t>
      </w:r>
      <w:r>
        <w:rPr>
          <w:rFonts w:hint="eastAsia" w:ascii="宋体" w:hAnsi="宋体" w:eastAsia="宋体"/>
        </w:rPr>
        <w:t>2.2展馆</w:t>
      </w:r>
      <w:r>
        <w:rPr>
          <w:rFonts w:hint="eastAsia" w:ascii="宋体" w:hAnsi="宋体" w:eastAsia="宋体"/>
          <w:lang w:eastAsia="zh-CN"/>
        </w:rPr>
        <w:t>、</w:t>
      </w:r>
      <w:r>
        <w:rPr>
          <w:rFonts w:hint="eastAsia" w:ascii="宋体" w:hAnsi="宋体" w:eastAsia="宋体"/>
        </w:rPr>
        <w:t>3H展馆、5.2展馆、6.2展馆、7.2展馆、8.2展馆</w:t>
      </w:r>
      <w:r>
        <w:rPr>
          <w:rFonts w:hint="eastAsia" w:ascii="宋体" w:hAnsi="宋体" w:eastAsia="宋体"/>
          <w:lang w:eastAsia="zh-CN"/>
        </w:rPr>
        <w:t>、</w:t>
      </w:r>
      <w:r>
        <w:rPr>
          <w:rFonts w:hint="eastAsia" w:ascii="宋体" w:hAnsi="宋体" w:eastAsia="宋体"/>
        </w:rPr>
        <w:t>NH展馆</w:t>
      </w:r>
      <w:r>
        <w:rPr>
          <w:rFonts w:hint="eastAsia" w:ascii="宋体" w:hAnsi="宋体" w:eastAsia="宋体"/>
          <w:lang w:eastAsia="zh-CN"/>
        </w:rPr>
        <w:t>、</w:t>
      </w:r>
      <w:r>
        <w:rPr>
          <w:rFonts w:hint="eastAsia" w:ascii="宋体" w:hAnsi="宋体" w:eastAsia="宋体"/>
        </w:rPr>
        <w:t>夹层</w:t>
      </w:r>
      <w:r>
        <w:rPr>
          <w:rFonts w:hint="eastAsia" w:ascii="宋体" w:hAnsi="宋体" w:eastAsia="宋体"/>
          <w:lang w:eastAsia="zh-CN"/>
        </w:rPr>
        <w:t>、</w:t>
      </w:r>
      <w:r>
        <w:rPr>
          <w:rFonts w:hint="eastAsia" w:ascii="宋体" w:hAnsi="宋体" w:eastAsia="宋体"/>
        </w:rPr>
        <w:t>二层展馆外等室外区域</w:t>
      </w:r>
      <w:r>
        <w:rPr>
          <w:rFonts w:hint="eastAsia" w:ascii="宋体" w:hAnsi="宋体" w:eastAsia="宋体"/>
          <w:lang w:eastAsia="zh-CN"/>
        </w:rPr>
        <w:t>、</w:t>
      </w:r>
      <w:r>
        <w:rPr>
          <w:rFonts w:hint="eastAsia" w:ascii="宋体" w:hAnsi="宋体" w:eastAsia="宋体"/>
        </w:rPr>
        <w:t>中心圆环</w:t>
      </w:r>
      <w:r>
        <w:rPr>
          <w:rFonts w:hint="eastAsia" w:ascii="宋体" w:hAnsi="宋体" w:eastAsia="宋体"/>
          <w:lang w:eastAsia="zh-CN"/>
        </w:rPr>
        <w:t>、</w:t>
      </w:r>
      <w:r>
        <w:rPr>
          <w:rFonts w:hint="eastAsia" w:ascii="宋体" w:hAnsi="宋体" w:eastAsia="宋体"/>
        </w:rPr>
        <w:t>登录大厅</w:t>
      </w:r>
      <w:r>
        <w:rPr>
          <w:rFonts w:hint="eastAsia" w:ascii="宋体" w:hAnsi="宋体" w:eastAsia="宋体"/>
          <w:lang w:eastAsia="zh-CN"/>
        </w:rPr>
        <w:t>、</w:t>
      </w:r>
      <w:r>
        <w:rPr>
          <w:rFonts w:hint="eastAsia" w:ascii="宋体" w:hAnsi="宋体" w:eastAsia="宋体"/>
        </w:rPr>
        <w:t>从办公大楼和馆的通道开始到观众入场口</w:t>
      </w:r>
      <w:r>
        <w:rPr>
          <w:rFonts w:hint="eastAsia"/>
          <w:lang w:eastAsia="zh-CN"/>
        </w:rPr>
        <w:t>，</w:t>
      </w:r>
      <w:r>
        <w:rPr>
          <w:rFonts w:hint="eastAsia"/>
          <w:lang w:val="en-US" w:eastAsia="zh-CN"/>
        </w:rPr>
        <w:t>同时增补1.1展馆和2.1展馆。</w:t>
      </w:r>
    </w:p>
    <w:p w14:paraId="195E4E22">
      <w:pPr>
        <w:rPr>
          <w:rFonts w:hint="eastAsia" w:ascii="宋体" w:hAnsi="宋体" w:eastAsia="宋体"/>
        </w:rPr>
      </w:pPr>
      <w:r>
        <w:rPr>
          <w:rFonts w:hint="eastAsia" w:ascii="宋体" w:hAnsi="宋体" w:eastAsia="宋体"/>
        </w:rPr>
        <w:t>（</w:t>
      </w:r>
      <w:r>
        <w:rPr>
          <w:rFonts w:hint="eastAsia" w:ascii="宋体" w:hAnsi="宋体" w:eastAsia="宋体"/>
          <w:lang w:val="en-US" w:eastAsia="zh-CN"/>
        </w:rPr>
        <w:t>2</w:t>
      </w:r>
      <w:r>
        <w:rPr>
          <w:rFonts w:hint="eastAsia" w:ascii="宋体" w:hAnsi="宋体" w:eastAsia="宋体"/>
        </w:rPr>
        <w:t>）</w:t>
      </w:r>
      <w:r>
        <w:rPr>
          <w:rFonts w:hint="eastAsia" w:ascii="宋体" w:hAnsi="宋体" w:eastAsia="宋体"/>
          <w:lang w:val="en-US" w:eastAsia="zh-CN"/>
        </w:rPr>
        <w:t>数量预估</w:t>
      </w:r>
    </w:p>
    <w:p w14:paraId="3AB4CFB7">
      <w:pPr>
        <w:rPr>
          <w:rFonts w:hint="eastAsia" w:ascii="宋体" w:hAnsi="宋体" w:eastAsia="宋体"/>
        </w:rPr>
      </w:pPr>
      <w:r>
        <w:rPr>
          <w:rFonts w:hint="eastAsia" w:ascii="宋体" w:hAnsi="宋体" w:eastAsia="宋体"/>
        </w:rPr>
        <w:t>多种部署方案预估安装空间计算感知设备共计</w:t>
      </w:r>
      <w:r>
        <w:rPr>
          <w:rFonts w:hint="eastAsia" w:ascii="宋体" w:hAnsi="宋体" w:eastAsia="宋体"/>
          <w:lang w:val="en-US" w:eastAsia="zh-CN"/>
        </w:rPr>
        <w:t>2950</w:t>
      </w:r>
      <w:r>
        <w:rPr>
          <w:rFonts w:hint="eastAsia" w:ascii="宋体" w:hAnsi="宋体" w:eastAsia="宋体"/>
        </w:rPr>
        <w:t>套。</w:t>
      </w:r>
    </w:p>
    <w:p w14:paraId="4DED6BB5">
      <w:pPr>
        <w:rPr>
          <w:rFonts w:hint="eastAsia" w:ascii="宋体" w:hAnsi="宋体" w:eastAsia="宋体"/>
          <w:lang w:val="en-US" w:eastAsia="zh-CN"/>
        </w:rPr>
      </w:pPr>
      <w:bookmarkStart w:id="17" w:name="heading_8"/>
      <w:r>
        <w:rPr>
          <w:rFonts w:hint="eastAsia" w:ascii="宋体" w:hAnsi="宋体" w:eastAsia="宋体"/>
        </w:rPr>
        <w:t>（</w:t>
      </w:r>
      <w:r>
        <w:rPr>
          <w:rFonts w:hint="eastAsia" w:ascii="宋体" w:hAnsi="宋体" w:eastAsia="宋体"/>
          <w:lang w:val="en-US" w:eastAsia="zh-CN"/>
        </w:rPr>
        <w:t>3</w:t>
      </w:r>
      <w:r>
        <w:rPr>
          <w:rFonts w:hint="eastAsia" w:ascii="宋体" w:hAnsi="宋体" w:eastAsia="宋体"/>
        </w:rPr>
        <w:t>）</w:t>
      </w:r>
      <w:bookmarkEnd w:id="17"/>
      <w:r>
        <w:rPr>
          <w:rFonts w:hint="eastAsia" w:ascii="宋体" w:hAnsi="宋体" w:eastAsia="宋体"/>
          <w:lang w:val="en-US" w:eastAsia="zh-CN"/>
        </w:rPr>
        <w:t>安装要求</w:t>
      </w:r>
    </w:p>
    <w:p w14:paraId="0CFBCF8A">
      <w:pPr>
        <w:ind w:firstLine="0" w:firstLineChars="0"/>
        <w:rPr>
          <w:rFonts w:hint="eastAsia" w:ascii="宋体" w:hAnsi="宋体" w:eastAsia="宋体"/>
        </w:rPr>
      </w:pPr>
      <w:r>
        <w:rPr>
          <w:rFonts w:hint="eastAsia" w:ascii="宋体" w:hAnsi="宋体" w:eastAsia="宋体"/>
        </w:rPr>
        <w:t>本次部署的场馆内部，顶层骨架较高，且无支柱或者少量支柱；为达到整体系统的预期效果，</w:t>
      </w:r>
      <w:r>
        <w:rPr>
          <w:rFonts w:hint="eastAsia" w:ascii="宋体" w:hAnsi="宋体" w:eastAsia="宋体"/>
          <w:lang w:val="en-US" w:eastAsia="zh-CN"/>
        </w:rPr>
        <w:t>要求地面部署</w:t>
      </w:r>
      <w:r>
        <w:rPr>
          <w:rFonts w:hint="eastAsia" w:ascii="宋体" w:hAnsi="宋体" w:eastAsia="宋体"/>
        </w:rPr>
        <w:t>可作为可选方案</w:t>
      </w:r>
      <w:r>
        <w:rPr>
          <w:rFonts w:hint="eastAsia" w:ascii="宋体" w:hAnsi="宋体" w:eastAsia="宋体"/>
          <w:lang w:eastAsia="zh-CN"/>
        </w:rPr>
        <w:t>；</w:t>
      </w:r>
      <w:r>
        <w:rPr>
          <w:rFonts w:hint="eastAsia"/>
          <w:lang w:val="en-US" w:eastAsia="zh-CN"/>
        </w:rPr>
        <w:t>场馆内</w:t>
      </w:r>
      <w:r>
        <w:rPr>
          <w:rFonts w:hint="eastAsia" w:ascii="宋体" w:hAnsi="宋体" w:eastAsia="宋体"/>
        </w:rPr>
        <w:t>部</w:t>
      </w:r>
      <w:r>
        <w:rPr>
          <w:rFonts w:hint="eastAsia"/>
          <w:lang w:val="en-US" w:eastAsia="zh-CN"/>
        </w:rPr>
        <w:t>整体</w:t>
      </w:r>
      <w:r>
        <w:rPr>
          <w:rFonts w:hint="eastAsia" w:ascii="宋体" w:hAnsi="宋体" w:eastAsia="宋体"/>
        </w:rPr>
        <w:t>署</w:t>
      </w:r>
      <w:r>
        <w:rPr>
          <w:rFonts w:hint="eastAsia"/>
          <w:lang w:val="en-US" w:eastAsia="zh-CN"/>
        </w:rPr>
        <w:t>密度</w:t>
      </w:r>
      <w:r>
        <w:rPr>
          <w:rFonts w:hint="eastAsia" w:ascii="宋体" w:hAnsi="宋体" w:eastAsia="宋体"/>
          <w:lang w:val="en-US" w:eastAsia="zh-CN"/>
        </w:rPr>
        <w:t>不</w:t>
      </w:r>
      <w:r>
        <w:rPr>
          <w:rFonts w:hint="eastAsia"/>
          <w:lang w:val="en-US" w:eastAsia="zh-CN"/>
        </w:rPr>
        <w:t>小</w:t>
      </w:r>
      <w:r>
        <w:rPr>
          <w:rFonts w:hint="eastAsia" w:ascii="宋体" w:hAnsi="宋体" w:eastAsia="宋体"/>
          <w:lang w:val="en-US" w:eastAsia="zh-CN"/>
        </w:rPr>
        <w:t>于</w:t>
      </w:r>
      <w:r>
        <w:rPr>
          <w:rFonts w:hint="eastAsia"/>
          <w:lang w:val="en-US" w:eastAsia="zh-CN"/>
        </w:rPr>
        <w:t>100平米1台</w:t>
      </w:r>
      <w:r>
        <w:rPr>
          <w:rFonts w:hint="eastAsia" w:ascii="宋体" w:hAnsi="宋体" w:eastAsia="宋体"/>
        </w:rPr>
        <w:t>；</w:t>
      </w:r>
    </w:p>
    <w:p w14:paraId="1BE167AE">
      <w:pPr>
        <w:rPr>
          <w:rFonts w:hint="eastAsia"/>
        </w:rPr>
      </w:pPr>
    </w:p>
    <w:p w14:paraId="11D5A54B">
      <w:pPr>
        <w:pStyle w:val="3"/>
        <w:bidi w:val="0"/>
        <w:ind w:left="0" w:firstLine="960"/>
        <w:rPr>
          <w:rFonts w:hint="eastAsia" w:ascii="宋体" w:hAnsi="宋体" w:eastAsia="宋体" w:cs="Times New Roman"/>
          <w:lang w:val="en-US" w:eastAsia="zh-CN"/>
        </w:rPr>
      </w:pPr>
      <w:r>
        <w:rPr>
          <w:rFonts w:hint="eastAsia" w:ascii="宋体" w:hAnsi="宋体" w:eastAsia="宋体" w:cs="Times New Roman"/>
          <w:lang w:val="en-US" w:eastAsia="zh-CN"/>
        </w:rPr>
        <w:t>系统性能要求</w:t>
      </w:r>
    </w:p>
    <w:p w14:paraId="35FB49FF">
      <w:pPr>
        <w:numPr>
          <w:ilvl w:val="0"/>
          <w:numId w:val="3"/>
        </w:numPr>
        <w:ind w:firstLineChars="0"/>
      </w:pPr>
      <w:r>
        <w:rPr>
          <w:rFonts w:hint="eastAsia"/>
        </w:rPr>
        <w:t>同时在线用户数≥</w:t>
      </w:r>
      <w:r>
        <w:rPr>
          <w:rFonts w:hint="eastAsia"/>
          <w:lang w:val="en-US" w:eastAsia="zh-CN"/>
        </w:rPr>
        <w:t>10</w:t>
      </w:r>
      <w:r>
        <w:rPr>
          <w:rFonts w:hint="eastAsia"/>
        </w:rPr>
        <w:t>；</w:t>
      </w:r>
    </w:p>
    <w:p w14:paraId="680DA24E">
      <w:pPr>
        <w:numPr>
          <w:ilvl w:val="0"/>
          <w:numId w:val="3"/>
        </w:numPr>
        <w:ind w:firstLineChars="0"/>
      </w:pPr>
      <w:r>
        <w:rPr>
          <w:rFonts w:hint="eastAsia"/>
        </w:rPr>
        <w:t>并发用户数≥</w:t>
      </w:r>
      <w:r>
        <w:rPr>
          <w:rFonts w:hint="eastAsia"/>
          <w:lang w:val="en-US" w:eastAsia="zh-CN"/>
        </w:rPr>
        <w:t>10</w:t>
      </w:r>
      <w:r>
        <w:rPr>
          <w:rFonts w:hint="eastAsia"/>
        </w:rPr>
        <w:t>；</w:t>
      </w:r>
    </w:p>
    <w:p w14:paraId="7E147026">
      <w:pPr>
        <w:numPr>
          <w:ilvl w:val="0"/>
          <w:numId w:val="3"/>
        </w:numPr>
        <w:ind w:firstLineChars="0"/>
      </w:pPr>
      <w:r>
        <w:rPr>
          <w:rFonts w:hint="eastAsia"/>
        </w:rPr>
        <w:t>系统登录时间≤</w:t>
      </w:r>
      <w:r>
        <w:t>5</w:t>
      </w:r>
      <w:r>
        <w:rPr>
          <w:rFonts w:hint="eastAsia"/>
        </w:rPr>
        <w:t>秒；</w:t>
      </w:r>
    </w:p>
    <w:p w14:paraId="6B3AAFB3">
      <w:pPr>
        <w:numPr>
          <w:ilvl w:val="0"/>
          <w:numId w:val="3"/>
        </w:numPr>
        <w:ind w:firstLineChars="0"/>
      </w:pPr>
      <w:r>
        <w:rPr>
          <w:rFonts w:hint="eastAsia"/>
        </w:rPr>
        <w:t>一般查询和写入操作响应时间（</w:t>
      </w:r>
      <w:r>
        <w:t>90%</w:t>
      </w:r>
      <w:r>
        <w:rPr>
          <w:rFonts w:hint="eastAsia"/>
        </w:rPr>
        <w:t>的操作页面）≤</w:t>
      </w:r>
      <w:r>
        <w:t>5</w:t>
      </w:r>
      <w:r>
        <w:rPr>
          <w:rFonts w:hint="eastAsia"/>
        </w:rPr>
        <w:t>秒；</w:t>
      </w:r>
    </w:p>
    <w:p w14:paraId="288CD9CA">
      <w:pPr>
        <w:numPr>
          <w:ilvl w:val="0"/>
          <w:numId w:val="3"/>
        </w:numPr>
        <w:ind w:firstLineChars="0"/>
      </w:pPr>
      <w:r>
        <w:rPr>
          <w:rFonts w:hint="eastAsia"/>
        </w:rPr>
        <w:t>搜索类操作响应时间≤</w:t>
      </w:r>
      <w:r>
        <w:t>10</w:t>
      </w:r>
      <w:r>
        <w:rPr>
          <w:rFonts w:hint="eastAsia"/>
        </w:rPr>
        <w:t>秒；</w:t>
      </w:r>
    </w:p>
    <w:p w14:paraId="687D94D5">
      <w:pPr>
        <w:numPr>
          <w:ilvl w:val="0"/>
          <w:numId w:val="3"/>
        </w:numPr>
        <w:ind w:firstLineChars="0"/>
      </w:pPr>
      <w:r>
        <w:rPr>
          <w:rFonts w:hint="eastAsia"/>
        </w:rPr>
        <w:t>报表统计类操作响应时间≤</w:t>
      </w:r>
      <w:r>
        <w:t>15</w:t>
      </w:r>
      <w:r>
        <w:rPr>
          <w:rFonts w:hint="eastAsia"/>
        </w:rPr>
        <w:t>秒；</w:t>
      </w:r>
    </w:p>
    <w:p w14:paraId="061DA952">
      <w:pPr>
        <w:numPr>
          <w:ilvl w:val="0"/>
          <w:numId w:val="3"/>
        </w:numPr>
        <w:ind w:firstLineChars="0"/>
        <w:rPr>
          <w:rFonts w:hint="eastAsia"/>
          <w:lang w:val="en-US" w:eastAsia="zh-CN"/>
        </w:rPr>
      </w:pPr>
      <w:r>
        <w:rPr>
          <w:rFonts w:hint="eastAsia"/>
        </w:rPr>
        <w:t>响应时间较长的操作页面应显示进度条。</w:t>
      </w:r>
    </w:p>
    <w:p w14:paraId="6F78A994">
      <w:pPr>
        <w:pStyle w:val="3"/>
        <w:bidi w:val="0"/>
        <w:ind w:left="0" w:firstLine="960"/>
        <w:rPr>
          <w:rFonts w:hint="eastAsia" w:ascii="宋体" w:hAnsi="宋体" w:eastAsia="宋体" w:cs="Times New Roman"/>
          <w:lang w:val="en-US" w:eastAsia="zh-CN"/>
        </w:rPr>
      </w:pPr>
      <w:r>
        <w:rPr>
          <w:rFonts w:hint="eastAsia" w:ascii="宋体" w:hAnsi="宋体" w:eastAsia="宋体" w:cs="Times New Roman"/>
          <w:lang w:val="en-US" w:eastAsia="zh-CN"/>
        </w:rPr>
        <w:t>硬件设备要求</w:t>
      </w:r>
    </w:p>
    <w:p w14:paraId="1C32C94F">
      <w:pPr>
        <w:ind w:firstLine="482"/>
        <w:rPr>
          <w:b/>
        </w:rPr>
      </w:pPr>
      <w:r>
        <w:rPr>
          <w:rFonts w:hint="eastAsia"/>
          <w:b/>
          <w:lang w:val="en-US" w:eastAsia="zh-CN"/>
        </w:rPr>
        <w:t>1</w:t>
      </w:r>
      <w:r>
        <w:rPr>
          <w:rFonts w:hint="eastAsia"/>
          <w:b/>
        </w:rPr>
        <w:t>、硬件购置清单：</w:t>
      </w:r>
    </w:p>
    <w:tbl>
      <w:tblPr>
        <w:tblStyle w:val="36"/>
        <w:tblW w:w="4710" w:type="pct"/>
        <w:tblInd w:w="0" w:type="dxa"/>
        <w:tblLayout w:type="fixed"/>
        <w:tblCellMar>
          <w:top w:w="0" w:type="dxa"/>
          <w:left w:w="108" w:type="dxa"/>
          <w:bottom w:w="0" w:type="dxa"/>
          <w:right w:w="108" w:type="dxa"/>
        </w:tblCellMar>
      </w:tblPr>
      <w:tblGrid>
        <w:gridCol w:w="1544"/>
        <w:gridCol w:w="4691"/>
        <w:gridCol w:w="816"/>
        <w:gridCol w:w="982"/>
      </w:tblGrid>
      <w:tr w14:paraId="6FA8355D">
        <w:tblPrEx>
          <w:tblCellMar>
            <w:top w:w="0" w:type="dxa"/>
            <w:left w:w="108" w:type="dxa"/>
            <w:bottom w:w="0" w:type="dxa"/>
            <w:right w:w="108" w:type="dxa"/>
          </w:tblCellMar>
        </w:tblPrEx>
        <w:trPr>
          <w:trHeight w:val="23" w:hRule="atLeast"/>
        </w:trPr>
        <w:tc>
          <w:tcPr>
            <w:tcW w:w="1544" w:type="dxa"/>
            <w:tcBorders>
              <w:top w:val="single" w:color="000000" w:sz="4" w:space="0"/>
              <w:left w:val="single" w:color="000000" w:sz="4" w:space="0"/>
              <w:bottom w:val="single" w:color="000000" w:sz="4" w:space="0"/>
              <w:right w:val="single" w:color="000000" w:sz="4" w:space="0"/>
            </w:tcBorders>
            <w:vAlign w:val="center"/>
          </w:tcPr>
          <w:p w14:paraId="42BFD3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color w:val="000000"/>
                <w:sz w:val="22"/>
                <w:lang w:val="en-US" w:eastAsia="zh-CN"/>
              </w:rPr>
            </w:pPr>
            <w:r>
              <w:rPr>
                <w:rFonts w:hint="eastAsia" w:cs="宋体"/>
                <w:b/>
                <w:bCs/>
                <w:color w:val="000000"/>
                <w:kern w:val="0"/>
                <w:sz w:val="22"/>
                <w:lang w:val="en-US" w:eastAsia="zh-CN" w:bidi="ar"/>
              </w:rPr>
              <w:t>设备名称</w:t>
            </w:r>
          </w:p>
        </w:tc>
        <w:tc>
          <w:tcPr>
            <w:tcW w:w="4691" w:type="dxa"/>
            <w:tcBorders>
              <w:top w:val="single" w:color="000000" w:sz="4" w:space="0"/>
              <w:left w:val="single" w:color="000000" w:sz="4" w:space="0"/>
              <w:bottom w:val="single" w:color="000000" w:sz="4" w:space="0"/>
              <w:right w:val="single" w:color="000000" w:sz="4" w:space="0"/>
            </w:tcBorders>
            <w:vAlign w:val="center"/>
          </w:tcPr>
          <w:p w14:paraId="3852C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color w:val="000000"/>
                <w:sz w:val="22"/>
                <w:lang w:val="en-US" w:eastAsia="zh-CN"/>
              </w:rPr>
            </w:pPr>
            <w:r>
              <w:rPr>
                <w:rFonts w:hint="eastAsia" w:ascii="宋体" w:hAnsi="宋体" w:eastAsia="宋体" w:cs="宋体"/>
                <w:b/>
                <w:bCs/>
                <w:color w:val="000000"/>
                <w:kern w:val="0"/>
                <w:sz w:val="22"/>
                <w:lang w:bidi="ar"/>
              </w:rPr>
              <w:t>产品配置</w:t>
            </w:r>
            <w:r>
              <w:rPr>
                <w:rFonts w:hint="eastAsia" w:cs="宋体"/>
                <w:b/>
                <w:bCs/>
                <w:color w:val="000000"/>
                <w:kern w:val="0"/>
                <w:sz w:val="22"/>
                <w:lang w:val="en-US" w:eastAsia="zh-CN" w:bidi="ar"/>
              </w:rPr>
              <w:t>要求</w:t>
            </w:r>
          </w:p>
        </w:tc>
        <w:tc>
          <w:tcPr>
            <w:tcW w:w="816" w:type="dxa"/>
            <w:tcBorders>
              <w:top w:val="single" w:color="000000" w:sz="4" w:space="0"/>
              <w:left w:val="single" w:color="000000" w:sz="4" w:space="0"/>
              <w:bottom w:val="single" w:color="000000" w:sz="4" w:space="0"/>
              <w:right w:val="single" w:color="000000" w:sz="4" w:space="0"/>
            </w:tcBorders>
            <w:vAlign w:val="center"/>
          </w:tcPr>
          <w:p w14:paraId="1289B3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保修年限</w:t>
            </w:r>
          </w:p>
        </w:tc>
        <w:tc>
          <w:tcPr>
            <w:tcW w:w="982" w:type="dxa"/>
            <w:tcBorders>
              <w:top w:val="single" w:color="000000" w:sz="4" w:space="0"/>
              <w:left w:val="single" w:color="000000" w:sz="4" w:space="0"/>
              <w:bottom w:val="single" w:color="000000" w:sz="4" w:space="0"/>
              <w:right w:val="single" w:color="000000" w:sz="4" w:space="0"/>
            </w:tcBorders>
            <w:vAlign w:val="center"/>
          </w:tcPr>
          <w:p w14:paraId="246D4B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数量</w:t>
            </w:r>
            <w:r>
              <w:rPr>
                <w:rFonts w:hint="eastAsia" w:ascii="宋体" w:hAnsi="宋体" w:eastAsia="宋体" w:cs="宋体"/>
                <w:b/>
                <w:bCs/>
                <w:color w:val="000000"/>
                <w:kern w:val="0"/>
                <w:sz w:val="22"/>
                <w:lang w:eastAsia="zh-CN" w:bidi="ar"/>
              </w:rPr>
              <w:t>（</w:t>
            </w:r>
            <w:r>
              <w:rPr>
                <w:rFonts w:hint="eastAsia" w:ascii="宋体" w:hAnsi="宋体" w:eastAsia="宋体" w:cs="宋体"/>
                <w:b/>
                <w:bCs/>
                <w:color w:val="000000"/>
                <w:kern w:val="0"/>
                <w:sz w:val="22"/>
                <w:lang w:bidi="ar"/>
              </w:rPr>
              <w:t>台</w:t>
            </w:r>
            <w:r>
              <w:rPr>
                <w:rFonts w:hint="eastAsia" w:ascii="宋体" w:hAnsi="宋体" w:eastAsia="宋体" w:cs="宋体"/>
                <w:b/>
                <w:bCs/>
                <w:color w:val="000000"/>
                <w:kern w:val="0"/>
                <w:sz w:val="22"/>
                <w:lang w:eastAsia="zh-CN" w:bidi="ar"/>
              </w:rPr>
              <w:t>）</w:t>
            </w:r>
          </w:p>
        </w:tc>
      </w:tr>
      <w:tr w14:paraId="728512D9">
        <w:tblPrEx>
          <w:tblCellMar>
            <w:top w:w="0" w:type="dxa"/>
            <w:left w:w="108" w:type="dxa"/>
            <w:bottom w:w="0" w:type="dxa"/>
            <w:right w:w="108" w:type="dxa"/>
          </w:tblCellMar>
        </w:tblPrEx>
        <w:trPr>
          <w:trHeight w:val="23" w:hRule="atLeast"/>
        </w:trPr>
        <w:tc>
          <w:tcPr>
            <w:tcW w:w="1544" w:type="dxa"/>
            <w:tcBorders>
              <w:top w:val="single" w:color="000000" w:sz="4" w:space="0"/>
              <w:left w:val="single" w:color="000000" w:sz="4" w:space="0"/>
              <w:bottom w:val="single" w:color="000000" w:sz="4" w:space="0"/>
              <w:right w:val="single" w:color="000000" w:sz="4" w:space="0"/>
            </w:tcBorders>
            <w:vAlign w:val="center"/>
          </w:tcPr>
          <w:p w14:paraId="5A8063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边缘计算设备</w:t>
            </w:r>
          </w:p>
        </w:tc>
        <w:tc>
          <w:tcPr>
            <w:tcW w:w="4691" w:type="dxa"/>
            <w:tcBorders>
              <w:top w:val="single" w:color="000000" w:sz="4" w:space="0"/>
              <w:left w:val="single" w:color="000000" w:sz="4" w:space="0"/>
              <w:bottom w:val="single" w:color="000000" w:sz="4" w:space="0"/>
              <w:right w:val="single" w:color="000000" w:sz="4" w:space="0"/>
            </w:tcBorders>
            <w:vAlign w:val="center"/>
          </w:tcPr>
          <w:p w14:paraId="63ECA66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cs="宋体"/>
                <w:color w:val="000000"/>
                <w:kern w:val="0"/>
                <w:sz w:val="22"/>
                <w:lang w:val="en-US" w:eastAsia="zh-CN" w:bidi="ar"/>
              </w:rPr>
            </w:pPr>
            <w:r>
              <w:rPr>
                <w:rFonts w:hint="eastAsia" w:ascii="宋体" w:hAnsi="宋体" w:eastAsia="宋体" w:cs="宋体"/>
                <w:color w:val="000000"/>
                <w:kern w:val="0"/>
                <w:sz w:val="22"/>
                <w:szCs w:val="24"/>
                <w:lang w:val="en-US" w:eastAsia="zh-CN" w:bidi="ar"/>
              </w:rPr>
              <w:t>该边缘计算设备用于空间计算世界模型</w:t>
            </w:r>
            <w:r>
              <w:rPr>
                <w:rFonts w:hint="eastAsia" w:cs="宋体"/>
                <w:color w:val="000000"/>
                <w:kern w:val="0"/>
                <w:sz w:val="22"/>
                <w:lang w:val="en-US" w:eastAsia="zh-CN" w:bidi="ar"/>
              </w:rPr>
              <w:t>。</w:t>
            </w:r>
          </w:p>
          <w:p w14:paraId="40F561A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cs="宋体"/>
                <w:color w:val="000000"/>
                <w:kern w:val="0"/>
                <w:sz w:val="22"/>
                <w:lang w:eastAsia="zh-CN" w:bidi="ar"/>
              </w:rPr>
            </w:pPr>
            <w:r>
              <w:rPr>
                <w:rFonts w:hint="eastAsia" w:ascii="宋体" w:hAnsi="宋体" w:eastAsia="宋体" w:cs="宋体"/>
                <w:color w:val="000000"/>
                <w:kern w:val="0"/>
                <w:sz w:val="22"/>
                <w:lang w:bidi="ar"/>
              </w:rPr>
              <w:t>6核，64bit 主频2GHz</w:t>
            </w:r>
            <w:r>
              <w:rPr>
                <w:rFonts w:hint="eastAsia" w:cs="宋体"/>
                <w:color w:val="000000"/>
                <w:kern w:val="0"/>
                <w:sz w:val="22"/>
                <w:lang w:eastAsia="zh-CN" w:bidi="ar"/>
              </w:rPr>
              <w:t>；</w:t>
            </w:r>
            <w:r>
              <w:rPr>
                <w:rFonts w:hint="eastAsia" w:ascii="宋体" w:hAnsi="宋体" w:eastAsia="宋体" w:cs="宋体"/>
                <w:color w:val="000000"/>
                <w:kern w:val="0"/>
                <w:sz w:val="22"/>
                <w:lang w:bidi="ar"/>
              </w:rPr>
              <w:t>4G+32G</w:t>
            </w:r>
            <w:r>
              <w:rPr>
                <w:rFonts w:hint="eastAsia" w:cs="宋体"/>
                <w:color w:val="000000"/>
                <w:kern w:val="0"/>
                <w:sz w:val="22"/>
                <w:lang w:eastAsia="zh-CN" w:bidi="ar"/>
              </w:rPr>
              <w:t>；</w:t>
            </w:r>
          </w:p>
          <w:p w14:paraId="63DC338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cs="宋体"/>
                <w:color w:val="000000"/>
                <w:kern w:val="0"/>
                <w:sz w:val="22"/>
                <w:lang w:eastAsia="zh-CN" w:bidi="ar"/>
              </w:rPr>
            </w:pPr>
            <w:r>
              <w:rPr>
                <w:rFonts w:hint="eastAsia" w:ascii="宋体" w:hAnsi="宋体" w:eastAsia="宋体" w:cs="宋体"/>
                <w:color w:val="000000"/>
                <w:kern w:val="0"/>
                <w:sz w:val="22"/>
                <w:lang w:bidi="ar"/>
              </w:rPr>
              <w:t>带4/5G通信能力，NX CLB算力主板并预置多模态世界模型；</w:t>
            </w:r>
          </w:p>
          <w:p w14:paraId="5520950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cs="宋体"/>
                <w:color w:val="000000"/>
                <w:kern w:val="0"/>
                <w:sz w:val="22"/>
                <w:lang w:eastAsia="zh-CN" w:bidi="ar"/>
              </w:rPr>
            </w:pPr>
            <w:r>
              <w:rPr>
                <w:rFonts w:hint="eastAsia" w:cs="宋体"/>
                <w:color w:val="000000"/>
                <w:kern w:val="0"/>
                <w:sz w:val="22"/>
                <w:lang w:bidi="ar"/>
              </w:rPr>
              <w:t>工业级供电30W国标48V转12V</w:t>
            </w:r>
            <w:r>
              <w:rPr>
                <w:rFonts w:hint="eastAsia" w:cs="宋体"/>
                <w:color w:val="000000"/>
                <w:kern w:val="0"/>
                <w:sz w:val="22"/>
                <w:lang w:val="en-US" w:eastAsia="zh-CN" w:bidi="ar"/>
              </w:rPr>
              <w:t xml:space="preserve"> </w:t>
            </w:r>
            <w:r>
              <w:rPr>
                <w:rFonts w:hint="eastAsia" w:cs="宋体"/>
                <w:color w:val="000000"/>
                <w:kern w:val="0"/>
                <w:sz w:val="22"/>
                <w:lang w:bidi="ar"/>
              </w:rPr>
              <w:t>2.5A大功率千兆；30W隔离式；</w:t>
            </w:r>
            <w:r>
              <w:rPr>
                <w:rFonts w:hint="eastAsia" w:cs="宋体"/>
                <w:color w:val="000000"/>
                <w:kern w:val="0"/>
                <w:sz w:val="22"/>
                <w:lang w:val="en-US" w:eastAsia="zh-CN" w:bidi="ar"/>
              </w:rPr>
              <w:t xml:space="preserve">1 x </w:t>
            </w:r>
            <w:r>
              <w:rPr>
                <w:rFonts w:hint="eastAsia" w:cs="宋体"/>
                <w:color w:val="000000"/>
                <w:kern w:val="0"/>
                <w:sz w:val="22"/>
                <w:lang w:bidi="ar"/>
              </w:rPr>
              <w:t>BLE/</w:t>
            </w:r>
            <w:r>
              <w:rPr>
                <w:rFonts w:hint="eastAsia" w:cs="宋体"/>
                <w:color w:val="000000"/>
                <w:kern w:val="0"/>
                <w:sz w:val="22"/>
                <w:lang w:val="en-US" w:eastAsia="zh-CN" w:bidi="ar"/>
              </w:rPr>
              <w:t xml:space="preserve">1 x </w:t>
            </w:r>
            <w:r>
              <w:rPr>
                <w:rFonts w:hint="eastAsia" w:cs="宋体"/>
                <w:color w:val="000000"/>
                <w:kern w:val="0"/>
                <w:sz w:val="22"/>
                <w:lang w:bidi="ar"/>
              </w:rPr>
              <w:t>EDR/</w:t>
            </w:r>
            <w:r>
              <w:rPr>
                <w:rFonts w:hint="eastAsia" w:cs="宋体"/>
                <w:color w:val="000000"/>
                <w:kern w:val="0"/>
                <w:sz w:val="22"/>
                <w:lang w:val="en-US" w:eastAsia="zh-CN" w:bidi="ar"/>
              </w:rPr>
              <w:t xml:space="preserve">1 x </w:t>
            </w:r>
            <w:r>
              <w:rPr>
                <w:rFonts w:hint="eastAsia" w:cs="宋体"/>
                <w:color w:val="000000"/>
                <w:kern w:val="0"/>
                <w:sz w:val="22"/>
                <w:lang w:bidi="ar"/>
              </w:rPr>
              <w:t>ADV；外置高增益全向天线</w:t>
            </w:r>
            <w:r>
              <w:rPr>
                <w:rFonts w:hint="eastAsia" w:cs="宋体"/>
                <w:color w:val="000000"/>
                <w:kern w:val="0"/>
                <w:sz w:val="22"/>
                <w:lang w:eastAsia="zh-CN" w:bidi="ar"/>
              </w:rPr>
              <w:t>；</w:t>
            </w:r>
          </w:p>
          <w:p w14:paraId="3A430BA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cs="宋体"/>
                <w:color w:val="000000"/>
                <w:kern w:val="0"/>
                <w:sz w:val="22"/>
                <w:lang w:bidi="ar"/>
              </w:rPr>
            </w:pPr>
            <w:r>
              <w:rPr>
                <w:rFonts w:hint="eastAsia" w:cs="宋体"/>
                <w:color w:val="000000"/>
                <w:kern w:val="0"/>
                <w:sz w:val="22"/>
                <w:lang w:bidi="ar"/>
              </w:rPr>
              <w:t>配套空间计算支撑平台软件，包括：空间感知数据集成管理、空间原位现状的监控还原、智能模型&amp;数据配置、智能体agent的设置&amp;管理、智能设备协同管理、智能体运营管理平台、WebOS前端运行时、空间Agent模版库、用户管理与身份鉴别、时空搜索引擎、Enclosure空间应用管理、自然语言交互、应用集市、世界模型、模型运行时、STG时空知识库、SOM实时空间沙盒、Event事件总线、时空模拟器、空间人流算法、Bricks组件渲染引擎、3D图形渲染引擎、GIS底图应用、人物数字化还原、数据接入平台、IoT设备管理、RAG管线引擎、事件数字化还原、场景数字化还原等功能；</w:t>
            </w:r>
          </w:p>
        </w:tc>
        <w:tc>
          <w:tcPr>
            <w:tcW w:w="816" w:type="dxa"/>
            <w:tcBorders>
              <w:top w:val="single" w:color="000000" w:sz="4" w:space="0"/>
              <w:left w:val="single" w:color="000000" w:sz="4" w:space="0"/>
              <w:bottom w:val="single" w:color="000000" w:sz="4" w:space="0"/>
              <w:right w:val="single" w:color="000000" w:sz="4" w:space="0"/>
            </w:tcBorders>
            <w:vAlign w:val="center"/>
          </w:tcPr>
          <w:p w14:paraId="25511D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w:t>
            </w:r>
          </w:p>
        </w:tc>
        <w:tc>
          <w:tcPr>
            <w:tcW w:w="982" w:type="dxa"/>
            <w:tcBorders>
              <w:top w:val="single" w:color="000000" w:sz="4" w:space="0"/>
              <w:left w:val="single" w:color="000000" w:sz="4" w:space="0"/>
              <w:bottom w:val="single" w:color="000000" w:sz="4" w:space="0"/>
              <w:right w:val="single" w:color="000000" w:sz="4" w:space="0"/>
            </w:tcBorders>
            <w:vAlign w:val="center"/>
          </w:tcPr>
          <w:p w14:paraId="10388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2"/>
                <w:lang w:eastAsia="zh-CN"/>
              </w:rPr>
            </w:pPr>
            <w:r>
              <w:rPr>
                <w:rFonts w:hint="eastAsia" w:ascii="宋体" w:hAnsi="宋体" w:eastAsia="宋体" w:cs="宋体"/>
                <w:color w:val="000000"/>
                <w:kern w:val="0"/>
                <w:sz w:val="22"/>
                <w:lang w:eastAsia="zh-CN" w:bidi="ar"/>
              </w:rPr>
              <w:t>2950</w:t>
            </w:r>
          </w:p>
        </w:tc>
      </w:tr>
    </w:tbl>
    <w:p w14:paraId="61A9AFE1"/>
    <w:p w14:paraId="0E448327">
      <w:pPr>
        <w:keepNext w:val="0"/>
        <w:keepLines w:val="0"/>
        <w:widowControl/>
        <w:suppressLineNumbers w:val="0"/>
        <w:ind w:firstLine="0" w:firstLineChars="0"/>
        <w:jc w:val="left"/>
      </w:pPr>
      <w:r>
        <w:rPr>
          <w:rFonts w:hint="eastAsia" w:ascii="宋体" w:hAnsi="宋体" w:eastAsia="宋体"/>
          <w:b/>
          <w:lang w:val="en-US" w:eastAsia="zh-CN"/>
        </w:rPr>
        <w:t>2、</w:t>
      </w:r>
      <w:r>
        <w:rPr>
          <w:rFonts w:hint="eastAsia"/>
          <w:b w:val="0"/>
          <w:bCs/>
          <w:lang w:val="en-US" w:eastAsia="zh-CN"/>
        </w:rPr>
        <w:t>硬件</w:t>
      </w:r>
      <w:r>
        <w:rPr>
          <w:rFonts w:ascii="宋体" w:hAnsi="宋体" w:eastAsia="宋体" w:cs="宋体"/>
          <w:kern w:val="0"/>
          <w:sz w:val="24"/>
          <w:szCs w:val="24"/>
          <w:lang w:val="en-US" w:eastAsia="zh-CN" w:bidi="ar"/>
        </w:rPr>
        <w:t>配套</w:t>
      </w:r>
      <w:r>
        <w:rPr>
          <w:rFonts w:hint="eastAsia" w:cs="宋体"/>
          <w:kern w:val="0"/>
          <w:sz w:val="24"/>
          <w:szCs w:val="24"/>
          <w:lang w:val="en-US" w:eastAsia="zh-CN" w:bidi="ar"/>
        </w:rPr>
        <w:t>的</w:t>
      </w:r>
      <w:r>
        <w:rPr>
          <w:rFonts w:ascii="宋体" w:hAnsi="宋体" w:eastAsia="宋体" w:cs="宋体"/>
          <w:kern w:val="0"/>
          <w:sz w:val="24"/>
          <w:szCs w:val="24"/>
          <w:lang w:val="en-US" w:eastAsia="zh-CN" w:bidi="ar"/>
        </w:rPr>
        <w:t>空间计算支撑平台，需满足以下核心要求</w:t>
      </w:r>
      <w:r>
        <w:rPr>
          <w:rFonts w:hint="eastAsia" w:cs="宋体"/>
          <w:kern w:val="0"/>
          <w:sz w:val="24"/>
          <w:szCs w:val="24"/>
          <w:lang w:val="en-US" w:eastAsia="zh-CN" w:bidi="ar"/>
        </w:rPr>
        <w:t>：</w:t>
      </w:r>
    </w:p>
    <w:tbl>
      <w:tblPr>
        <w:tblStyle w:val="36"/>
        <w:tblW w:w="8708"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7"/>
        <w:gridCol w:w="2641"/>
        <w:gridCol w:w="5400"/>
      </w:tblGrid>
      <w:tr w14:paraId="7CE73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66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5674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641"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21BD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功能名称</w:t>
            </w:r>
          </w:p>
        </w:tc>
        <w:tc>
          <w:tcPr>
            <w:tcW w:w="5400"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6D8E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功能说明</w:t>
            </w:r>
          </w:p>
        </w:tc>
      </w:tr>
      <w:tr w14:paraId="6BB5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7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72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空间感知数据集成管理</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9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动态感知空间内人员、设备、环境等要素的实时状态数据，整合视频分析、传感器网络、IoT设备等多源感知数，并可根据业务需求动态调整感知粒度。</w:t>
            </w:r>
          </w:p>
        </w:tc>
      </w:tr>
      <w:tr w14:paraId="446E7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A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D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空间原位现状的监控还原</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B3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通过对感知到的时空数据解析，实现对物理空间的实时动态还原与可视化呈现。</w:t>
            </w:r>
          </w:p>
        </w:tc>
      </w:tr>
      <w:tr w14:paraId="7401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3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0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智能模型&amp;数据配置</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F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通过标准化的模型接口规范，可以集成从通用大语言模型到专业领域小模型等不同类型的智能算法，实现空间计算能力的持续演进和定制化扩展</w:t>
            </w:r>
            <w:r>
              <w:rPr>
                <w:rFonts w:hint="eastAsia" w:cs="宋体"/>
                <w:i w:val="0"/>
                <w:iCs w:val="0"/>
                <w:color w:val="000000"/>
                <w:kern w:val="0"/>
                <w:sz w:val="22"/>
                <w:szCs w:val="22"/>
                <w:u w:val="none"/>
                <w:lang w:val="en-US" w:eastAsia="zh-CN" w:bidi="ar"/>
              </w:rPr>
              <w:t>。</w:t>
            </w:r>
          </w:p>
        </w:tc>
      </w:tr>
      <w:tr w14:paraId="4689A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5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C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智能体agent的设置&amp;管理</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D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通过标准化的接口协议和管理规范，实现对各类智能体的全生命周期管理</w:t>
            </w:r>
            <w:r>
              <w:rPr>
                <w:rFonts w:hint="eastAsia" w:cs="宋体"/>
                <w:i w:val="0"/>
                <w:iCs w:val="0"/>
                <w:color w:val="000000"/>
                <w:kern w:val="0"/>
                <w:sz w:val="22"/>
                <w:szCs w:val="22"/>
                <w:u w:val="none"/>
                <w:lang w:val="en-US" w:eastAsia="zh-CN" w:bidi="ar"/>
              </w:rPr>
              <w:t>。</w:t>
            </w:r>
          </w:p>
        </w:tc>
      </w:tr>
      <w:tr w14:paraId="1AB37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9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5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智能设备设备协同管理</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E3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整合各类智能终端设备，形成统一管理的物联网络，实现设备能力的有机融合与协同运作</w:t>
            </w:r>
            <w:r>
              <w:rPr>
                <w:rFonts w:hint="eastAsia" w:cs="宋体"/>
                <w:i w:val="0"/>
                <w:iCs w:val="0"/>
                <w:color w:val="000000"/>
                <w:kern w:val="0"/>
                <w:sz w:val="22"/>
                <w:szCs w:val="22"/>
                <w:u w:val="none"/>
                <w:lang w:val="en-US" w:eastAsia="zh-CN" w:bidi="ar"/>
              </w:rPr>
              <w:t>。</w:t>
            </w:r>
          </w:p>
        </w:tc>
      </w:tr>
      <w:tr w14:paraId="0E524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B2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90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智能体运营管理平台</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87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集中管理智能体生命周期，涵盖创建、部署、调度、实时监控、安全数据存储和销毁。</w:t>
            </w:r>
          </w:p>
        </w:tc>
      </w:tr>
      <w:tr w14:paraId="68009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0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3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WebOS前端运行时</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8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它提供开箱即用、灵活便捷、所见即所得的三维渲染和交互能力</w:t>
            </w:r>
            <w:r>
              <w:rPr>
                <w:rFonts w:hint="eastAsia" w:cs="宋体"/>
                <w:i w:val="0"/>
                <w:iCs w:val="0"/>
                <w:color w:val="000000"/>
                <w:kern w:val="0"/>
                <w:sz w:val="22"/>
                <w:szCs w:val="22"/>
                <w:u w:val="none"/>
                <w:lang w:val="en-US" w:eastAsia="zh-CN" w:bidi="ar"/>
              </w:rPr>
              <w:t>。</w:t>
            </w:r>
          </w:p>
        </w:tc>
      </w:tr>
      <w:tr w14:paraId="17CA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B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8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空间Agent模版库</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4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提供了系列预定义的智能体模板和定制化工具，帮助用户快速部署智能体并根据特定需求创建定制化解决方案。</w:t>
            </w:r>
          </w:p>
        </w:tc>
      </w:tr>
      <w:tr w14:paraId="622A4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3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29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用户管理与身份鉴别</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88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通过提供SSO身份验证服务，支持对用户进行角色配置，并根据其角色、职责或需要授予相应的访问权限</w:t>
            </w:r>
            <w:r>
              <w:rPr>
                <w:rFonts w:hint="eastAsia" w:cs="宋体"/>
                <w:i w:val="0"/>
                <w:iCs w:val="0"/>
                <w:color w:val="000000"/>
                <w:kern w:val="0"/>
                <w:sz w:val="22"/>
                <w:szCs w:val="22"/>
                <w:u w:val="none"/>
                <w:lang w:val="en-US" w:eastAsia="zh-CN" w:bidi="ar"/>
              </w:rPr>
              <w:t>。</w:t>
            </w:r>
          </w:p>
        </w:tc>
      </w:tr>
      <w:tr w14:paraId="0CDF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6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0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时空搜索引擎</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6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利用空间作为索引，记录所有实体基于时间的状态跳变。并可通过建立时空图，将实体的位置和状态信息在时空维度上进行建模和管理。</w:t>
            </w:r>
          </w:p>
        </w:tc>
      </w:tr>
      <w:tr w14:paraId="0BA4A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F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1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Enclosure空间应用管理</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1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实现对应用集市中的应用进行展示、安装、卸载、发布、上线、预览和回滚等系列管理操作</w:t>
            </w:r>
            <w:r>
              <w:rPr>
                <w:rFonts w:hint="eastAsia" w:cs="宋体"/>
                <w:i w:val="0"/>
                <w:iCs w:val="0"/>
                <w:color w:val="000000"/>
                <w:kern w:val="0"/>
                <w:sz w:val="22"/>
                <w:szCs w:val="22"/>
                <w:u w:val="none"/>
                <w:lang w:val="en-US" w:eastAsia="zh-CN" w:bidi="ar"/>
              </w:rPr>
              <w:t>。</w:t>
            </w:r>
          </w:p>
        </w:tc>
      </w:tr>
      <w:tr w14:paraId="7C07D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0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4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自然语言交互</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C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实现面向NLP文字对话类型的自然语言交互能力。包括文本理解、上下文感知、信息检索与推理、多轮对话管理、智能应答生成和错误处理与纠正等</w:t>
            </w:r>
            <w:r>
              <w:rPr>
                <w:rFonts w:hint="eastAsia" w:cs="宋体"/>
                <w:i w:val="0"/>
                <w:iCs w:val="0"/>
                <w:color w:val="000000"/>
                <w:kern w:val="0"/>
                <w:sz w:val="22"/>
                <w:szCs w:val="22"/>
                <w:u w:val="none"/>
                <w:lang w:val="en-US" w:eastAsia="zh-CN" w:bidi="ar"/>
              </w:rPr>
              <w:t>。</w:t>
            </w:r>
          </w:p>
        </w:tc>
      </w:tr>
      <w:tr w14:paraId="61FAC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7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D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应用集市</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1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支持用户在空间计算支撑平台开发并管理特色业务应用</w:t>
            </w:r>
            <w:r>
              <w:rPr>
                <w:rFonts w:hint="eastAsia" w:cs="宋体"/>
                <w:i w:val="0"/>
                <w:iCs w:val="0"/>
                <w:color w:val="000000"/>
                <w:kern w:val="0"/>
                <w:sz w:val="22"/>
                <w:szCs w:val="22"/>
                <w:u w:val="none"/>
                <w:lang w:val="en-US" w:eastAsia="zh-CN" w:bidi="ar"/>
              </w:rPr>
              <w:t>。</w:t>
            </w:r>
          </w:p>
        </w:tc>
      </w:tr>
      <w:tr w14:paraId="5A82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2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C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世界模型</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1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通过整合视觉、听觉、文本等多种感知信息，构建一个全面、动态的智能展会感知系统。这个系统可以实时监控和分析现场的各种状况，提供精准、及时的反馈和决策支持，从而提升整体管理水平和体验。</w:t>
            </w:r>
          </w:p>
        </w:tc>
      </w:tr>
      <w:tr w14:paraId="728D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B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4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模型运行时</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6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基于OCI标准和runc容器技术，能够在资源受限的边缘设备上快速部署和灵活管理各类机器学习模型。</w:t>
            </w:r>
          </w:p>
        </w:tc>
      </w:tr>
      <w:tr w14:paraId="172C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D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80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STG时空知识库</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8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通过建立四维时空图模型，实现实体的时间与空间状态的快速查询与回溯</w:t>
            </w:r>
            <w:r>
              <w:rPr>
                <w:rFonts w:hint="eastAsia" w:cs="宋体"/>
                <w:i w:val="0"/>
                <w:iCs w:val="0"/>
                <w:color w:val="000000"/>
                <w:kern w:val="0"/>
                <w:sz w:val="22"/>
                <w:szCs w:val="22"/>
                <w:u w:val="none"/>
                <w:lang w:val="en-US" w:eastAsia="zh-CN" w:bidi="ar"/>
              </w:rPr>
              <w:t>。</w:t>
            </w:r>
          </w:p>
        </w:tc>
      </w:tr>
      <w:tr w14:paraId="78CC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6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4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SOM实时空间沙盒</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5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实时描述和管理物理空间中的人、物、关系与活动。</w:t>
            </w:r>
          </w:p>
        </w:tc>
      </w:tr>
      <w:tr w14:paraId="2DD2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1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8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Event事件总线</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23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提供高性能、松耦合的组件间通信机制，支持事件的动态注册、订阅与广播。</w:t>
            </w:r>
          </w:p>
        </w:tc>
      </w:tr>
      <w:tr w14:paraId="58952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E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96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时空模拟器</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6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能够模拟真实环境中的空间与时间变化，通过引入数字孪生、行为预测和场景重建技术，帮助决策者提前感知与应对潜在事件，提高系统预测性与决策精准度。</w:t>
            </w:r>
          </w:p>
        </w:tc>
      </w:tr>
      <w:tr w14:paraId="711B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D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5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空间人流算法</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A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提供包括轨迹特征抽取算法、用户行为分类算法、异常聚集算法和兴趣点算法等，有效还原空间中发生的事件。</w:t>
            </w:r>
          </w:p>
        </w:tc>
      </w:tr>
      <w:tr w14:paraId="28575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F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Bricks组件渲染引擎</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8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提供组件化的渲染机制，以模块化的方式快速构建和渲染各类前端组件</w:t>
            </w:r>
            <w:r>
              <w:rPr>
                <w:rFonts w:hint="eastAsia" w:cs="宋体"/>
                <w:i w:val="0"/>
                <w:iCs w:val="0"/>
                <w:color w:val="000000"/>
                <w:kern w:val="0"/>
                <w:sz w:val="22"/>
                <w:szCs w:val="22"/>
                <w:u w:val="none"/>
                <w:lang w:val="en-US" w:eastAsia="zh-CN" w:bidi="ar"/>
              </w:rPr>
              <w:t>。</w:t>
            </w:r>
          </w:p>
        </w:tc>
      </w:tr>
      <w:tr w14:paraId="1680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77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D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3D图形渲染引擎</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3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支持高效的模型加载、实时渲染与交互操作</w:t>
            </w:r>
            <w:r>
              <w:rPr>
                <w:rFonts w:hint="eastAsia" w:cs="宋体"/>
                <w:i w:val="0"/>
                <w:iCs w:val="0"/>
                <w:color w:val="000000"/>
                <w:kern w:val="0"/>
                <w:sz w:val="22"/>
                <w:szCs w:val="22"/>
                <w:u w:val="none"/>
                <w:lang w:val="en-US" w:eastAsia="zh-CN" w:bidi="ar"/>
              </w:rPr>
              <w:t>。</w:t>
            </w:r>
          </w:p>
        </w:tc>
      </w:tr>
      <w:tr w14:paraId="723FE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9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8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GIS底图应用</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F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能够整合二维和三维地理信息，支持空间数据的可视化展示与空间分析操作，为上层应用提供精准的空间位置服务与地图功能。</w:t>
            </w:r>
          </w:p>
        </w:tc>
      </w:tr>
      <w:tr w14:paraId="26968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7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24</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2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人物数字化还原</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7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仿宋_GB2312"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利用计算机视觉与深度学习技术，精准识别和追踪物理空间中的人物及其行为轨迹，并将实时人物数据还原为精确的空间数字孪生模型。</w:t>
            </w:r>
          </w:p>
        </w:tc>
      </w:tr>
      <w:tr w14:paraId="229F3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C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cs="宋体"/>
                <w:i w:val="0"/>
                <w:iCs w:val="0"/>
                <w:color w:val="000000"/>
                <w:kern w:val="0"/>
                <w:sz w:val="22"/>
                <w:szCs w:val="22"/>
                <w:u w:val="none"/>
                <w:lang w:val="en-US" w:eastAsia="zh-CN" w:bidi="ar"/>
              </w:rPr>
              <w:t>5</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3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数据接入平台</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A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负责异构数据的高效接入和标准化处理，支持本地文件、飞书平台、主流数据库（PostgreSQL、MySQL）及自定义脚本数据接入。</w:t>
            </w:r>
          </w:p>
        </w:tc>
      </w:tr>
      <w:tr w14:paraId="0D0D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A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cs="宋体"/>
                <w:i w:val="0"/>
                <w:iCs w:val="0"/>
                <w:color w:val="000000"/>
                <w:kern w:val="0"/>
                <w:sz w:val="22"/>
                <w:szCs w:val="22"/>
                <w:u w:val="none"/>
                <w:lang w:val="en-US" w:eastAsia="zh-CN" w:bidi="ar"/>
              </w:rPr>
              <w:t>6</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2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IoT设备管理</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4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提供物联网设备的统一管理与数据接入能力，采用驱动插件机制实现灵活的设备类型支持和动态扩展。</w:t>
            </w:r>
          </w:p>
        </w:tc>
      </w:tr>
      <w:tr w14:paraId="3623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2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cs="宋体"/>
                <w:i w:val="0"/>
                <w:iCs w:val="0"/>
                <w:color w:val="000000"/>
                <w:kern w:val="0"/>
                <w:sz w:val="22"/>
                <w:szCs w:val="22"/>
                <w:u w:val="none"/>
                <w:lang w:val="en-US" w:eastAsia="zh-CN" w:bidi="ar"/>
              </w:rPr>
              <w:t>7</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2D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RAG管线引擎</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9F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通过文本向量化和高性能向量检索引擎，以端到端的方式整合来自文档、数据资产、互联网及企业沟通平台的多模态信息，为智能体提供精准的上下文融合和动态生成能力。</w:t>
            </w:r>
          </w:p>
        </w:tc>
      </w:tr>
      <w:tr w14:paraId="3402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AD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cs="宋体"/>
                <w:i w:val="0"/>
                <w:iCs w:val="0"/>
                <w:color w:val="000000"/>
                <w:kern w:val="0"/>
                <w:sz w:val="22"/>
                <w:szCs w:val="22"/>
                <w:u w:val="none"/>
                <w:lang w:val="en-US" w:eastAsia="zh-CN" w:bidi="ar"/>
              </w:rPr>
              <w:t>8</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F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事件数字化还原</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0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通过融合传感器数据、摄像头图像分析和时空索引技术（STG），实现事件的精确时空结构化记录</w:t>
            </w:r>
            <w:r>
              <w:rPr>
                <w:rFonts w:hint="eastAsia" w:cs="宋体"/>
                <w:i w:val="0"/>
                <w:iCs w:val="0"/>
                <w:color w:val="000000"/>
                <w:kern w:val="0"/>
                <w:sz w:val="22"/>
                <w:szCs w:val="22"/>
                <w:u w:val="none"/>
                <w:lang w:val="en-US" w:eastAsia="zh-CN" w:bidi="ar"/>
              </w:rPr>
              <w:t>。</w:t>
            </w:r>
          </w:p>
        </w:tc>
      </w:tr>
      <w:tr w14:paraId="1E7D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5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cs="宋体"/>
                <w:i w:val="0"/>
                <w:iCs w:val="0"/>
                <w:color w:val="000000"/>
                <w:kern w:val="0"/>
                <w:sz w:val="22"/>
                <w:szCs w:val="22"/>
                <w:u w:val="none"/>
                <w:lang w:val="en-US" w:eastAsia="zh-CN" w:bidi="ar"/>
              </w:rPr>
              <w:t>9</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3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场景数字化还原</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2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通过高精度多视角图像采集、多视角几何校准和三维重建技术，精确还原物理空间的三维结构和细节目标。</w:t>
            </w:r>
          </w:p>
        </w:tc>
      </w:tr>
    </w:tbl>
    <w:p w14:paraId="3546EF88">
      <w:pPr>
        <w:pStyle w:val="3"/>
        <w:ind w:firstLine="960"/>
      </w:pPr>
      <w:r>
        <w:rPr>
          <w:rFonts w:hint="eastAsia"/>
          <w:lang w:val="en-US" w:eastAsia="zh-CN"/>
        </w:rPr>
        <w:t>系统集成要求</w:t>
      </w:r>
    </w:p>
    <w:p w14:paraId="7502914D">
      <w:pPr>
        <w:rPr>
          <w:rFonts w:hint="eastAsia"/>
        </w:rPr>
      </w:pPr>
      <w:r>
        <w:rPr>
          <w:rFonts w:hint="eastAsia"/>
        </w:rPr>
        <w:t>供应商</w:t>
      </w:r>
      <w:r>
        <w:rPr>
          <w:rFonts w:hint="eastAsia"/>
          <w:lang w:val="en-US" w:eastAsia="zh-CN"/>
        </w:rPr>
        <w:t>应</w:t>
      </w:r>
      <w:r>
        <w:rPr>
          <w:rFonts w:hint="eastAsia"/>
        </w:rPr>
        <w:t>提供包括但不限于以下服务内容：</w:t>
      </w:r>
    </w:p>
    <w:p w14:paraId="65065C0C">
      <w:pPr>
        <w:rPr>
          <w:rFonts w:hint="default" w:eastAsia="宋体"/>
          <w:lang w:val="en-US" w:eastAsia="zh-CN"/>
        </w:rPr>
      </w:pPr>
      <w:r>
        <w:rPr>
          <w:rFonts w:hint="eastAsia"/>
        </w:rPr>
        <w:t>（1）</w:t>
      </w:r>
      <w:r>
        <w:rPr>
          <w:rFonts w:hint="eastAsia"/>
          <w:lang w:val="en-US" w:eastAsia="zh-CN"/>
        </w:rPr>
        <w:t>硬件</w:t>
      </w:r>
      <w:r>
        <w:rPr>
          <w:rFonts w:hint="eastAsia"/>
        </w:rPr>
        <w:t>产品安装部署。根据</w:t>
      </w:r>
      <w:r>
        <w:rPr>
          <w:rFonts w:hint="eastAsia"/>
          <w:lang w:val="en-US" w:eastAsia="zh-CN"/>
        </w:rPr>
        <w:t>国展中心</w:t>
      </w:r>
      <w:r>
        <w:rPr>
          <w:rFonts w:hint="eastAsia"/>
        </w:rPr>
        <w:t>实际环境和</w:t>
      </w:r>
      <w:r>
        <w:rPr>
          <w:rFonts w:hint="eastAsia"/>
          <w:lang w:val="en-US" w:eastAsia="zh-CN"/>
        </w:rPr>
        <w:t>管理</w:t>
      </w:r>
      <w:r>
        <w:rPr>
          <w:rFonts w:hint="eastAsia"/>
        </w:rPr>
        <w:t>需求，安装和部署</w:t>
      </w:r>
      <w:r>
        <w:rPr>
          <w:rFonts w:hint="eastAsia"/>
          <w:lang w:val="en-US" w:eastAsia="zh-CN"/>
        </w:rPr>
        <w:t>空间计算设备，</w:t>
      </w:r>
      <w:r>
        <w:rPr>
          <w:rFonts w:hint="eastAsia"/>
        </w:rPr>
        <w:t>并确保安装后的</w:t>
      </w:r>
      <w:r>
        <w:rPr>
          <w:rFonts w:hint="eastAsia"/>
          <w:lang w:val="en-US" w:eastAsia="zh-CN"/>
        </w:rPr>
        <w:t>设备</w:t>
      </w:r>
      <w:r>
        <w:rPr>
          <w:rFonts w:hint="eastAsia"/>
        </w:rPr>
        <w:t>满足用户正常使用要求；</w:t>
      </w:r>
      <w:r>
        <w:rPr>
          <w:rFonts w:hint="eastAsia"/>
          <w:lang w:val="en-US" w:eastAsia="zh-CN"/>
        </w:rPr>
        <w:t>安装部署过程中需要的配套设备、辅材、人工、电力接入、网络接入等费用均由供应商承担；</w:t>
      </w:r>
    </w:p>
    <w:p w14:paraId="1F9D6F82">
      <w:pPr>
        <w:rPr>
          <w:rFonts w:hint="eastAsia"/>
        </w:rPr>
      </w:pPr>
      <w:r>
        <w:rPr>
          <w:rFonts w:hint="eastAsia"/>
        </w:rPr>
        <w:t>（2）</w:t>
      </w:r>
      <w:r>
        <w:rPr>
          <w:rFonts w:hint="eastAsia"/>
          <w:lang w:val="en-US" w:eastAsia="zh-CN"/>
        </w:rPr>
        <w:t>功能调试</w:t>
      </w:r>
      <w:r>
        <w:rPr>
          <w:rFonts w:hint="eastAsia"/>
        </w:rPr>
        <w:t>。</w:t>
      </w:r>
      <w:r>
        <w:rPr>
          <w:rFonts w:hint="eastAsia"/>
          <w:lang w:val="en-US" w:eastAsia="zh-CN"/>
        </w:rPr>
        <w:t>根据采购人需求配合和完善空间计算设备自带的</w:t>
      </w:r>
      <w:r>
        <w:rPr>
          <w:rFonts w:hint="eastAsia"/>
        </w:rPr>
        <w:t>各种软件</w:t>
      </w:r>
      <w:r>
        <w:rPr>
          <w:rFonts w:hint="eastAsia"/>
          <w:lang w:val="en-US" w:eastAsia="zh-CN"/>
        </w:rPr>
        <w:t>功能</w:t>
      </w:r>
      <w:r>
        <w:rPr>
          <w:rFonts w:hint="eastAsia"/>
        </w:rPr>
        <w:t>，</w:t>
      </w:r>
      <w:r>
        <w:rPr>
          <w:rFonts w:hint="eastAsia"/>
          <w:lang w:val="en-US" w:eastAsia="zh-CN"/>
        </w:rPr>
        <w:t>确保各项功能正常使用</w:t>
      </w:r>
      <w:r>
        <w:rPr>
          <w:rFonts w:hint="eastAsia"/>
        </w:rPr>
        <w:t>；</w:t>
      </w:r>
    </w:p>
    <w:p w14:paraId="403CE58A">
      <w:pPr>
        <w:rPr>
          <w:rFonts w:hint="eastAsia"/>
        </w:rPr>
      </w:pPr>
      <w:r>
        <w:rPr>
          <w:rFonts w:hint="eastAsia"/>
        </w:rPr>
        <w:t>（</w:t>
      </w:r>
      <w:r>
        <w:rPr>
          <w:rFonts w:hint="eastAsia"/>
          <w:lang w:val="en-US" w:eastAsia="zh-CN"/>
        </w:rPr>
        <w:t>3</w:t>
      </w:r>
      <w:r>
        <w:rPr>
          <w:rFonts w:hint="eastAsia"/>
        </w:rPr>
        <w:t>）数据</w:t>
      </w:r>
      <w:r>
        <w:rPr>
          <w:rFonts w:hint="eastAsia"/>
          <w:lang w:val="en-US" w:eastAsia="zh-CN"/>
        </w:rPr>
        <w:t>共享</w:t>
      </w:r>
      <w:r>
        <w:rPr>
          <w:rFonts w:hint="eastAsia"/>
        </w:rPr>
        <w:t>。</w:t>
      </w:r>
      <w:r>
        <w:rPr>
          <w:rFonts w:hint="eastAsia"/>
          <w:lang w:val="en-US" w:eastAsia="zh-CN"/>
        </w:rPr>
        <w:t>根据采购人要求，实现空间计算相关数据与采购人其他系统中数据的共享</w:t>
      </w:r>
      <w:r>
        <w:rPr>
          <w:rFonts w:hint="eastAsia"/>
        </w:rPr>
        <w:t>和同步，</w:t>
      </w:r>
      <w:r>
        <w:rPr>
          <w:rFonts w:hint="eastAsia"/>
          <w:lang w:val="en-US" w:eastAsia="zh-CN"/>
        </w:rPr>
        <w:t>并</w:t>
      </w:r>
      <w:r>
        <w:rPr>
          <w:rFonts w:hint="eastAsia"/>
        </w:rPr>
        <w:t>确保数据的一致性和准确性；</w:t>
      </w:r>
    </w:p>
    <w:p w14:paraId="599C4A7A">
      <w:pPr>
        <w:rPr>
          <w:rFonts w:hint="eastAsia"/>
        </w:rPr>
      </w:pPr>
      <w:r>
        <w:rPr>
          <w:rFonts w:hint="eastAsia"/>
        </w:rPr>
        <w:t>（</w:t>
      </w:r>
      <w:r>
        <w:rPr>
          <w:rFonts w:hint="eastAsia"/>
          <w:lang w:val="en-US" w:eastAsia="zh-CN"/>
        </w:rPr>
        <w:t>4</w:t>
      </w:r>
      <w:r>
        <w:rPr>
          <w:rFonts w:hint="eastAsia"/>
        </w:rPr>
        <w:t>）安全</w:t>
      </w:r>
      <w:r>
        <w:rPr>
          <w:rFonts w:hint="eastAsia"/>
          <w:lang w:val="en-US" w:eastAsia="zh-CN"/>
        </w:rPr>
        <w:t>配置</w:t>
      </w:r>
      <w:r>
        <w:rPr>
          <w:rFonts w:hint="eastAsia"/>
        </w:rPr>
        <w:t>。</w:t>
      </w:r>
      <w:r>
        <w:rPr>
          <w:rFonts w:hint="eastAsia"/>
          <w:lang w:val="en-US" w:eastAsia="zh-CN"/>
        </w:rPr>
        <w:t>根据信息安全等级保护相关要求，结合国展中心</w:t>
      </w:r>
      <w:r>
        <w:rPr>
          <w:rFonts w:hint="eastAsia"/>
        </w:rPr>
        <w:t>实际网络安全情况，</w:t>
      </w:r>
      <w:r>
        <w:rPr>
          <w:rFonts w:hint="eastAsia"/>
          <w:lang w:val="en-US" w:eastAsia="zh-CN"/>
        </w:rPr>
        <w:t>部署和配置空间计算设备的安全防护措施，并通过第三方测评机构的安全测评（测评费用由采购人承担）</w:t>
      </w:r>
      <w:r>
        <w:rPr>
          <w:rFonts w:hint="eastAsia"/>
        </w:rPr>
        <w:t>。</w:t>
      </w:r>
    </w:p>
    <w:p w14:paraId="6D79F946"/>
    <w:p w14:paraId="58D3C62B">
      <w:pPr>
        <w:pStyle w:val="2"/>
        <w:numPr>
          <w:ilvl w:val="0"/>
          <w:numId w:val="0"/>
        </w:numPr>
        <w:ind w:left="425" w:leftChars="0"/>
        <w:rPr>
          <w:color w:val="auto"/>
          <w:highlight w:val="none"/>
        </w:rPr>
      </w:pPr>
      <w:r>
        <w:rPr>
          <w:rFonts w:hint="eastAsia"/>
          <w:color w:val="auto"/>
          <w:highlight w:val="none"/>
          <w:lang w:eastAsia="zh-CN"/>
        </w:rPr>
        <w:t>低代码建设要求</w:t>
      </w:r>
    </w:p>
    <w:p w14:paraId="71936157">
      <w:pPr>
        <w:ind w:firstLine="482"/>
      </w:pPr>
      <w:r>
        <w:rPr>
          <w:rFonts w:hint="eastAsia"/>
          <w:b/>
          <w:color w:val="auto"/>
          <w:highlight w:val="none"/>
          <w:lang w:val="en-US" w:eastAsia="zh-CN"/>
        </w:rPr>
        <w:t>本项目为硬件采购项目，不涉及低代码建设。</w:t>
      </w:r>
    </w:p>
    <w:p w14:paraId="6B0C639A">
      <w:pPr>
        <w:pStyle w:val="2"/>
        <w:keepNext/>
        <w:keepLines/>
        <w:spacing w:before="120"/>
        <w:ind w:left="0" w:firstLineChars="0"/>
        <w:outlineLvl w:val="1"/>
        <w:rPr>
          <w:rFonts w:hint="eastAsia" w:ascii="黑体" w:hAnsi="黑体" w:eastAsia="黑体" w:cs="黑体"/>
          <w:b/>
          <w:vanish/>
          <w:color w:val="000000"/>
          <w:sz w:val="28"/>
          <w:szCs w:val="20"/>
        </w:rPr>
      </w:pPr>
      <w:bookmarkStart w:id="18" w:name="_Toc63785503"/>
      <w:r>
        <w:rPr>
          <w:rFonts w:hint="eastAsia" w:ascii="黑体" w:hAnsi="黑体" w:cs="黑体"/>
          <w:color w:val="auto"/>
          <w:highlight w:val="none"/>
        </w:rPr>
        <w:t>其他工作要求</w:t>
      </w:r>
      <w:bookmarkEnd w:id="18"/>
      <w:bookmarkStart w:id="19" w:name="_Toc61968111"/>
      <w:bookmarkEnd w:id="19"/>
      <w:bookmarkStart w:id="20" w:name="_Toc63762370"/>
      <w:bookmarkEnd w:id="20"/>
      <w:bookmarkStart w:id="21" w:name="_Toc62209488"/>
      <w:bookmarkEnd w:id="21"/>
      <w:bookmarkStart w:id="22" w:name="_Toc63151871"/>
      <w:bookmarkEnd w:id="22"/>
      <w:bookmarkStart w:id="23" w:name="_Toc63785504"/>
      <w:bookmarkEnd w:id="23"/>
      <w:bookmarkStart w:id="24" w:name="_Toc63785439"/>
      <w:bookmarkEnd w:id="24"/>
      <w:bookmarkStart w:id="25" w:name="_Toc63585480"/>
      <w:bookmarkEnd w:id="25"/>
      <w:bookmarkStart w:id="26" w:name="_Toc62219358"/>
      <w:bookmarkEnd w:id="26"/>
    </w:p>
    <w:p w14:paraId="2CA127C5">
      <w:pPr>
        <w:pStyle w:val="3"/>
      </w:pPr>
      <w:bookmarkStart w:id="27" w:name="_Toc63785505"/>
      <w:r>
        <w:rPr>
          <w:rFonts w:hint="eastAsia"/>
        </w:rPr>
        <w:t>售后服务要求</w:t>
      </w:r>
      <w:bookmarkEnd w:id="27"/>
    </w:p>
    <w:p w14:paraId="48D66FFD">
      <w:pPr>
        <w:pStyle w:val="109"/>
        <w:snapToGrid w:val="0"/>
        <w:spacing w:line="360" w:lineRule="auto"/>
        <w:ind w:firstLine="480"/>
        <w:rPr>
          <w:rFonts w:ascii="宋体" w:hAnsi="宋体"/>
          <w:sz w:val="24"/>
          <w:szCs w:val="24"/>
          <w:highlight w:val="none"/>
        </w:rPr>
      </w:pPr>
      <w:r>
        <w:rPr>
          <w:rFonts w:hint="eastAsia" w:ascii="宋体" w:hAnsi="宋体"/>
          <w:sz w:val="24"/>
          <w:szCs w:val="24"/>
          <w:highlight w:val="none"/>
        </w:rPr>
        <w:t>本项目从</w:t>
      </w:r>
      <w:r>
        <w:rPr>
          <w:rFonts w:hint="eastAsia" w:ascii="宋体" w:hAnsi="宋体"/>
          <w:sz w:val="24"/>
          <w:szCs w:val="24"/>
          <w:highlight w:val="none"/>
          <w:lang w:val="en-US" w:eastAsia="zh-CN"/>
        </w:rPr>
        <w:t>项目</w:t>
      </w:r>
      <w:r>
        <w:rPr>
          <w:rFonts w:hint="eastAsia" w:ascii="宋体" w:hAnsi="宋体"/>
          <w:sz w:val="24"/>
          <w:szCs w:val="24"/>
          <w:highlight w:val="none"/>
        </w:rPr>
        <w:t>验收通过之日起</w:t>
      </w:r>
      <w:r>
        <w:rPr>
          <w:rFonts w:hint="eastAsia" w:ascii="宋体" w:hAnsi="宋体"/>
          <w:sz w:val="24"/>
          <w:szCs w:val="24"/>
          <w:highlight w:val="none"/>
          <w:lang w:val="en-US" w:eastAsia="zh-CN"/>
        </w:rPr>
        <w:t>3</w:t>
      </w:r>
      <w:r>
        <w:rPr>
          <w:rFonts w:hint="eastAsia" w:ascii="宋体" w:hAnsi="宋体"/>
          <w:sz w:val="24"/>
          <w:szCs w:val="24"/>
          <w:highlight w:val="none"/>
        </w:rPr>
        <w:t>年内提供</w:t>
      </w:r>
      <w:r>
        <w:rPr>
          <w:rFonts w:ascii="宋体" w:hAnsi="宋体"/>
          <w:sz w:val="24"/>
          <w:szCs w:val="24"/>
          <w:highlight w:val="none"/>
        </w:rPr>
        <w:t>7*24小时免费技术支持</w:t>
      </w:r>
      <w:r>
        <w:rPr>
          <w:rFonts w:hint="eastAsia" w:ascii="宋体" w:hAnsi="宋体"/>
          <w:sz w:val="24"/>
          <w:szCs w:val="24"/>
          <w:highlight w:val="none"/>
        </w:rPr>
        <w:t>和售后服务，</w:t>
      </w:r>
      <w:r>
        <w:rPr>
          <w:rFonts w:hint="eastAsia" w:ascii="宋体" w:hAnsi="宋体"/>
          <w:sz w:val="24"/>
          <w:szCs w:val="24"/>
          <w:highlight w:val="none"/>
          <w:lang w:val="en-US" w:eastAsia="zh-CN"/>
        </w:rPr>
        <w:t>3</w:t>
      </w:r>
      <w:r>
        <w:rPr>
          <w:rFonts w:hint="eastAsia" w:ascii="宋体" w:hAnsi="宋体"/>
          <w:sz w:val="24"/>
          <w:szCs w:val="24"/>
          <w:highlight w:val="none"/>
        </w:rPr>
        <w:t>年后进入有偿维护期。</w:t>
      </w:r>
    </w:p>
    <w:p w14:paraId="46A60C85">
      <w:pPr>
        <w:pStyle w:val="109"/>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1997C2D6">
      <w:pPr>
        <w:pStyle w:val="109"/>
        <w:snapToGrid w:val="0"/>
        <w:spacing w:line="360" w:lineRule="auto"/>
        <w:ind w:firstLine="480"/>
        <w:rPr>
          <w:rFonts w:hint="eastAsia" w:ascii="宋体" w:hAnsi="宋体" w:eastAsia="宋体"/>
          <w:sz w:val="24"/>
          <w:szCs w:val="24"/>
        </w:rPr>
      </w:pPr>
      <w:r>
        <w:rPr>
          <w:rFonts w:hint="eastAsia" w:ascii="宋体" w:hAnsi="宋体" w:eastAsia="宋体"/>
          <w:sz w:val="24"/>
          <w:szCs w:val="24"/>
        </w:rPr>
        <w:t>在质量保证期内，供应商负责信息系统的运行维护工作，确保信息系统安全、稳定、可靠地运行。本项目涉及的运行维护工作范围为：</w:t>
      </w:r>
      <w:r>
        <w:rPr>
          <w:rFonts w:hint="eastAsia" w:ascii="宋体" w:hAnsi="宋体" w:eastAsia="宋体"/>
          <w:sz w:val="24"/>
          <w:szCs w:val="24"/>
          <w:lang w:val="en-US" w:eastAsia="zh-CN"/>
        </w:rPr>
        <w:t>硬件设备巡检、设备维修及保养、配套</w:t>
      </w:r>
      <w:r>
        <w:rPr>
          <w:rFonts w:hint="eastAsia" w:ascii="宋体" w:hAnsi="宋体" w:eastAsia="宋体"/>
          <w:sz w:val="24"/>
          <w:szCs w:val="24"/>
        </w:rPr>
        <w:t>功能完善、数据更新备份维护等。</w:t>
      </w:r>
    </w:p>
    <w:p w14:paraId="7FEF950B">
      <w:pPr>
        <w:pStyle w:val="3"/>
      </w:pPr>
      <w:bookmarkStart w:id="28" w:name="_Toc63785506"/>
      <w:r>
        <w:rPr>
          <w:rFonts w:hint="eastAsia"/>
        </w:rPr>
        <w:t>应急响应要求</w:t>
      </w:r>
      <w:bookmarkEnd w:id="28"/>
    </w:p>
    <w:p w14:paraId="28344331">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供应商对系统故障应能够实时响应，若系统发生故障，接到通知后30分钟之内响应，专业工程师2小时内到达现场。特殊故障与</w:t>
      </w:r>
      <w:r>
        <w:rPr>
          <w:rFonts w:hint="eastAsia" w:cs="Times New Roman"/>
          <w:kern w:val="2"/>
          <w:sz w:val="24"/>
          <w:szCs w:val="24"/>
          <w:highlight w:val="none"/>
          <w:lang w:val="en-US" w:eastAsia="zh-CN" w:bidi="ar-SA"/>
        </w:rPr>
        <w:t>采购人</w:t>
      </w:r>
      <w:r>
        <w:rPr>
          <w:rFonts w:hint="eastAsia" w:ascii="宋体" w:hAnsi="宋体" w:eastAsia="宋体" w:cs="Times New Roman"/>
          <w:kern w:val="2"/>
          <w:sz w:val="24"/>
          <w:szCs w:val="24"/>
          <w:highlight w:val="none"/>
          <w:lang w:val="en-US" w:eastAsia="zh-CN" w:bidi="ar-SA"/>
        </w:rPr>
        <w:t>沟通协商后，按照协商的方式制定解决方案并进行处理。</w:t>
      </w:r>
    </w:p>
    <w:p w14:paraId="6BDF0C30">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具体故障级别及对应的应急响应要求如下：</w:t>
      </w:r>
    </w:p>
    <w:p w14:paraId="18FAB8AE">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一级故障：在1小时内确诊，总故障解决时间不超过4小时。</w:t>
      </w:r>
    </w:p>
    <w:p w14:paraId="7CC08488">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二级故障：在2小时内确诊，并在4小时内由专家到达现场确诊并解决，总故障解决时间不超过8小时；</w:t>
      </w:r>
    </w:p>
    <w:p w14:paraId="696BAA13">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三、四级故障：在4小时内确诊故障，总故障解决时间不超过16小时。</w:t>
      </w:r>
    </w:p>
    <w:p w14:paraId="27B06709">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依据故障时间及故障范围划分故障级别，故障级别分为四级，依次为Ⅰ级（紧急）、Ⅱ级（严重）、Ⅲ级（较大）和Ⅳ级（一般），分别定义如下：</w:t>
      </w:r>
    </w:p>
    <w:p w14:paraId="1C03DF5E">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Ⅰ级（紧急）故障为工作时间段（8:30——17:30）内大范围故障；</w:t>
      </w:r>
    </w:p>
    <w:p w14:paraId="740AF364">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Ⅱ级（严重）故障为非工作时间段（17:30——次日8:30）内大范围故障；</w:t>
      </w:r>
    </w:p>
    <w:p w14:paraId="50EC07D6">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Ⅲ级（较大）故障为工作时间段（8:30——17:30）内小范围故障；</w:t>
      </w:r>
    </w:p>
    <w:p w14:paraId="08B1FFDA">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Ⅳ级（一般）故障为非工作时间段（17:30——次日8:30）内小范围故障；</w:t>
      </w:r>
    </w:p>
    <w:p w14:paraId="27DEA159">
      <w:pPr>
        <w:pStyle w:val="3"/>
        <w:rPr>
          <w:rFonts w:hint="eastAsia"/>
          <w:lang w:val="en-US" w:eastAsia="zh-CN"/>
        </w:rPr>
      </w:pPr>
      <w:r>
        <w:rPr>
          <w:rFonts w:hint="eastAsia"/>
          <w:lang w:val="en-US" w:eastAsia="zh-CN"/>
        </w:rPr>
        <w:t>网络与数据安全</w:t>
      </w:r>
    </w:p>
    <w:p w14:paraId="08DDC5E4">
      <w:pPr>
        <w:rPr>
          <w:rFonts w:hint="eastAsia"/>
          <w:highlight w:val="none"/>
          <w:lang w:val="en-US"/>
        </w:rPr>
      </w:pPr>
      <w:r>
        <w:rPr>
          <w:rFonts w:hint="eastAsia"/>
          <w:highlight w:val="none"/>
        </w:rPr>
        <w:t>(</w:t>
      </w:r>
      <w:r>
        <w:rPr>
          <w:rFonts w:hint="eastAsia"/>
          <w:highlight w:val="none"/>
          <w:lang w:val="en-US" w:eastAsia="zh-CN"/>
        </w:rPr>
        <w:t>1</w:t>
      </w:r>
      <w:r>
        <w:rPr>
          <w:rFonts w:hint="eastAsia"/>
          <w:highlight w:val="none"/>
        </w:rPr>
        <w:t>)</w:t>
      </w:r>
      <w:r>
        <w:rPr>
          <w:rFonts w:hint="eastAsia"/>
          <w:highlight w:val="none"/>
          <w:lang w:eastAsia="zh-CN"/>
        </w:rPr>
        <w:t>供应商</w:t>
      </w:r>
      <w:r>
        <w:rPr>
          <w:rFonts w:hint="eastAsia"/>
          <w:highlight w:val="none"/>
        </w:rPr>
        <w:t>应配合</w:t>
      </w:r>
      <w:r>
        <w:rPr>
          <w:rFonts w:hint="eastAsia"/>
          <w:highlight w:val="none"/>
          <w:lang w:eastAsia="zh-CN"/>
        </w:rPr>
        <w:t>采购人</w:t>
      </w:r>
      <w:r>
        <w:rPr>
          <w:rFonts w:hint="eastAsia"/>
          <w:highlight w:val="none"/>
        </w:rPr>
        <w:t>开展相关安全制度和规范的制定，并根据项目实际，制定项目实施过程安全管理方案。</w:t>
      </w:r>
    </w:p>
    <w:p w14:paraId="7AADC45D">
      <w:pPr>
        <w:rPr>
          <w:rFonts w:hint="eastAsia"/>
          <w:highlight w:val="none"/>
          <w:lang w:val="en-US"/>
        </w:rPr>
      </w:pPr>
      <w:r>
        <w:rPr>
          <w:rFonts w:hint="eastAsia"/>
          <w:highlight w:val="none"/>
        </w:rPr>
        <w:t>(</w:t>
      </w:r>
      <w:r>
        <w:rPr>
          <w:rFonts w:hint="eastAsia"/>
          <w:highlight w:val="none"/>
          <w:lang w:val="en-US" w:eastAsia="zh-CN"/>
        </w:rPr>
        <w:t>2</w:t>
      </w:r>
      <w:r>
        <w:rPr>
          <w:rFonts w:hint="eastAsia"/>
          <w:highlight w:val="none"/>
        </w:rPr>
        <w:t>)</w:t>
      </w:r>
      <w:r>
        <w:rPr>
          <w:rFonts w:hint="eastAsia"/>
          <w:highlight w:val="none"/>
          <w:lang w:eastAsia="zh-CN"/>
        </w:rPr>
        <w:t>供应商</w:t>
      </w:r>
      <w:r>
        <w:rPr>
          <w:rFonts w:hint="eastAsia"/>
          <w:highlight w:val="none"/>
        </w:rPr>
        <w:t>应确保所提供</w:t>
      </w:r>
      <w:r>
        <w:rPr>
          <w:rFonts w:hint="eastAsia"/>
          <w:highlight w:val="none"/>
          <w:lang w:val="en-US" w:eastAsia="zh-CN"/>
        </w:rPr>
        <w:t>硬件配套</w:t>
      </w:r>
      <w:r>
        <w:rPr>
          <w:rFonts w:hint="eastAsia"/>
          <w:highlight w:val="none"/>
        </w:rPr>
        <w:t>的软件</w:t>
      </w:r>
      <w:r>
        <w:rPr>
          <w:rFonts w:hint="eastAsia"/>
          <w:highlight w:val="none"/>
          <w:lang w:val="en-US" w:eastAsia="zh-CN"/>
        </w:rPr>
        <w:t>功能</w:t>
      </w:r>
      <w:r>
        <w:rPr>
          <w:rFonts w:hint="eastAsia"/>
          <w:highlight w:val="none"/>
        </w:rPr>
        <w:t>满足</w:t>
      </w:r>
      <w:r>
        <w:rPr>
          <w:rFonts w:hint="eastAsia"/>
          <w:highlight w:val="none"/>
          <w:lang w:eastAsia="zh-CN"/>
        </w:rPr>
        <w:t>采购人</w:t>
      </w:r>
      <w:r>
        <w:rPr>
          <w:rFonts w:hint="eastAsia"/>
          <w:highlight w:val="none"/>
        </w:rPr>
        <w:t>的</w:t>
      </w:r>
      <w:r>
        <w:rPr>
          <w:rFonts w:hint="eastAsia"/>
          <w:highlight w:val="none"/>
          <w:lang w:val="en-US" w:eastAsia="zh-CN"/>
        </w:rPr>
        <w:t>安全</w:t>
      </w:r>
      <w:r>
        <w:rPr>
          <w:rFonts w:hint="eastAsia"/>
          <w:highlight w:val="none"/>
        </w:rPr>
        <w:t>管理要求，包括</w:t>
      </w:r>
      <w:r>
        <w:rPr>
          <w:rFonts w:hint="eastAsia"/>
          <w:highlight w:val="none"/>
          <w:lang w:val="en-US" w:eastAsia="zh-CN"/>
        </w:rPr>
        <w:t>但不限于</w:t>
      </w:r>
      <w:r>
        <w:rPr>
          <w:rFonts w:hint="eastAsia"/>
          <w:highlight w:val="none"/>
        </w:rPr>
        <w:t>代码安全检测和质量评估、漏洞扫描、第三方组件评估等工作，并于系统上线前，完成信息化资产的梳理。</w:t>
      </w:r>
    </w:p>
    <w:p w14:paraId="6C2AA1D6">
      <w:pPr>
        <w:rPr>
          <w:rFonts w:hint="eastAsia"/>
          <w:highlight w:val="none"/>
          <w:lang w:val="en-US"/>
        </w:rPr>
      </w:pPr>
      <w:r>
        <w:rPr>
          <w:rFonts w:hint="eastAsia"/>
          <w:highlight w:val="none"/>
        </w:rPr>
        <w:t>(</w:t>
      </w:r>
      <w:r>
        <w:rPr>
          <w:rFonts w:hint="eastAsia"/>
          <w:highlight w:val="none"/>
          <w:lang w:val="en-US" w:eastAsia="zh-CN"/>
        </w:rPr>
        <w:t>3</w:t>
      </w:r>
      <w:r>
        <w:rPr>
          <w:rFonts w:hint="eastAsia"/>
          <w:highlight w:val="none"/>
        </w:rPr>
        <w:t>)</w:t>
      </w:r>
      <w:r>
        <w:rPr>
          <w:rFonts w:hint="eastAsia"/>
          <w:highlight w:val="none"/>
          <w:lang w:eastAsia="zh-CN"/>
        </w:rPr>
        <w:t>供应商</w:t>
      </w:r>
      <w:r>
        <w:rPr>
          <w:rFonts w:hint="eastAsia"/>
          <w:highlight w:val="none"/>
        </w:rPr>
        <w:t>应在项目实施过程中，按照数据差异化安全防护策略，根据</w:t>
      </w:r>
      <w:r>
        <w:rPr>
          <w:rFonts w:hint="eastAsia"/>
          <w:highlight w:val="none"/>
          <w:lang w:val="en-US" w:eastAsia="zh-CN"/>
        </w:rPr>
        <w:t>项目</w:t>
      </w:r>
      <w:r>
        <w:rPr>
          <w:rFonts w:hint="eastAsia"/>
          <w:highlight w:val="none"/>
        </w:rPr>
        <w:t>需要采取数据加密、数据访问控制、日志记录、流转监测等防护能力及相关管理流程，切实保障数据安全。</w:t>
      </w:r>
    </w:p>
    <w:p w14:paraId="289136E4">
      <w:pPr>
        <w:rPr>
          <w:rFonts w:hint="eastAsia"/>
          <w:highlight w:val="none"/>
        </w:rPr>
      </w:pPr>
      <w:r>
        <w:rPr>
          <w:rFonts w:hint="eastAsia"/>
          <w:highlight w:val="none"/>
        </w:rPr>
        <w:t>(</w:t>
      </w:r>
      <w:r>
        <w:rPr>
          <w:rFonts w:hint="eastAsia"/>
          <w:highlight w:val="none"/>
          <w:lang w:val="en-US" w:eastAsia="zh-CN"/>
        </w:rPr>
        <w:t>4</w:t>
      </w:r>
      <w:r>
        <w:rPr>
          <w:rFonts w:hint="eastAsia"/>
          <w:highlight w:val="none"/>
        </w:rPr>
        <w:t>)</w:t>
      </w:r>
      <w:r>
        <w:rPr>
          <w:rFonts w:hint="eastAsia"/>
          <w:highlight w:val="none"/>
          <w:lang w:eastAsia="zh-CN"/>
        </w:rPr>
        <w:t>供应商</w:t>
      </w:r>
      <w:r>
        <w:rPr>
          <w:rFonts w:hint="eastAsia"/>
          <w:highlight w:val="none"/>
        </w:rPr>
        <w:t>应按照</w:t>
      </w:r>
      <w:r>
        <w:rPr>
          <w:rFonts w:hint="eastAsia"/>
          <w:highlight w:val="none"/>
          <w:lang w:eastAsia="zh-CN"/>
        </w:rPr>
        <w:t>采购人</w:t>
      </w:r>
      <w:r>
        <w:rPr>
          <w:rFonts w:hint="eastAsia"/>
          <w:highlight w:val="none"/>
        </w:rPr>
        <w:t>场地及人员安全管理制度，加强人员管理，配合</w:t>
      </w:r>
      <w:r>
        <w:rPr>
          <w:rFonts w:hint="eastAsia"/>
          <w:highlight w:val="none"/>
          <w:lang w:eastAsia="zh-CN"/>
        </w:rPr>
        <w:t>采购人</w:t>
      </w:r>
      <w:r>
        <w:rPr>
          <w:rFonts w:hint="eastAsia"/>
          <w:highlight w:val="none"/>
        </w:rPr>
        <w:t>落实人员背调、入离场、终端管理、网络限制、数据权限最小化等管控措施。</w:t>
      </w:r>
    </w:p>
    <w:p w14:paraId="02BB3C4B">
      <w:pPr>
        <w:rPr>
          <w:rFonts w:hint="eastAsia"/>
          <w:highlight w:val="none"/>
        </w:rPr>
      </w:pPr>
      <w:r>
        <w:rPr>
          <w:rFonts w:hint="eastAsia"/>
          <w:highlight w:val="none"/>
        </w:rPr>
        <w:t>(</w:t>
      </w:r>
      <w:r>
        <w:rPr>
          <w:rFonts w:hint="eastAsia"/>
          <w:highlight w:val="none"/>
          <w:lang w:val="en-US" w:eastAsia="zh-CN"/>
        </w:rPr>
        <w:t>5</w:t>
      </w:r>
      <w:r>
        <w:rPr>
          <w:rFonts w:hint="eastAsia"/>
          <w:highlight w:val="none"/>
        </w:rPr>
        <w:t>)</w:t>
      </w:r>
      <w:r>
        <w:rPr>
          <w:rFonts w:hint="eastAsia"/>
          <w:highlight w:val="none"/>
          <w:lang w:eastAsia="zh-CN"/>
        </w:rPr>
        <w:t>供应商</w:t>
      </w:r>
      <w:r>
        <w:rPr>
          <w:rFonts w:hint="eastAsia"/>
          <w:highlight w:val="none"/>
        </w:rPr>
        <w:t>应配合</w:t>
      </w:r>
      <w:r>
        <w:rPr>
          <w:rFonts w:hint="eastAsia"/>
          <w:highlight w:val="none"/>
          <w:lang w:eastAsia="zh-CN"/>
        </w:rPr>
        <w:t>采购人</w:t>
      </w:r>
      <w:r>
        <w:rPr>
          <w:rFonts w:hint="eastAsia"/>
          <w:highlight w:val="none"/>
        </w:rPr>
        <w:t>开展系统安全事件（含业务故障）级别划分，制定应急预案，并落实应急预案中规定的应急响应要求。</w:t>
      </w:r>
    </w:p>
    <w:p w14:paraId="441A2177">
      <w:pPr>
        <w:rPr>
          <w:rFonts w:hint="eastAsia"/>
          <w:highlight w:val="none"/>
          <w:lang w:val="en-US"/>
        </w:rPr>
      </w:pPr>
      <w:r>
        <w:rPr>
          <w:rFonts w:hint="eastAsia"/>
          <w:highlight w:val="none"/>
        </w:rPr>
        <w:t>(</w:t>
      </w:r>
      <w:r>
        <w:rPr>
          <w:rFonts w:hint="eastAsia"/>
          <w:highlight w:val="none"/>
          <w:lang w:val="en-US" w:eastAsia="zh-CN"/>
        </w:rPr>
        <w:t>6</w:t>
      </w:r>
      <w:r>
        <w:rPr>
          <w:rFonts w:hint="eastAsia"/>
          <w:highlight w:val="none"/>
        </w:rPr>
        <w:t>)</w:t>
      </w:r>
      <w:r>
        <w:rPr>
          <w:rFonts w:hint="eastAsia"/>
          <w:highlight w:val="none"/>
          <w:lang w:eastAsia="zh-CN"/>
        </w:rPr>
        <w:t>供应商</w:t>
      </w:r>
      <w:r>
        <w:rPr>
          <w:rFonts w:hint="eastAsia"/>
          <w:highlight w:val="none"/>
        </w:rPr>
        <w:t>应在系统免维期内承担系统安全运维管理责任，落实安全管理保障措施，包括但不限于制度修订、风险排查、应急响应、漏洞修复、重保等工作。</w:t>
      </w:r>
    </w:p>
    <w:p w14:paraId="5877D763">
      <w:pPr>
        <w:pStyle w:val="3"/>
      </w:pPr>
      <w:bookmarkStart w:id="29" w:name="_Toc63785507"/>
      <w:r>
        <w:rPr>
          <w:rFonts w:hint="eastAsia"/>
        </w:rPr>
        <w:t>培训要求</w:t>
      </w:r>
      <w:bookmarkEnd w:id="29"/>
    </w:p>
    <w:p w14:paraId="721B95DB">
      <w:r>
        <w:rPr>
          <w:rFonts w:hint="eastAsia"/>
        </w:rPr>
        <w:t>对</w:t>
      </w:r>
      <w:r>
        <w:rPr>
          <w:rFonts w:hint="eastAsia"/>
          <w:lang w:val="en-US" w:eastAsia="zh-CN"/>
        </w:rPr>
        <w:t>设备</w:t>
      </w:r>
      <w:r>
        <w:rPr>
          <w:rFonts w:hint="eastAsia"/>
        </w:rPr>
        <w:t>使用单位提供</w:t>
      </w:r>
      <w:r>
        <w:rPr>
          <w:rFonts w:hint="eastAsia"/>
          <w:lang w:val="en-US" w:eastAsia="zh-CN"/>
        </w:rPr>
        <w:t>完善的</w:t>
      </w:r>
      <w:r>
        <w:rPr>
          <w:rFonts w:hint="eastAsia"/>
        </w:rPr>
        <w:t>操作培训，应提供详细培训方案。</w:t>
      </w:r>
    </w:p>
    <w:p w14:paraId="6EB619D0">
      <w:r>
        <w:rPr>
          <w:rFonts w:hint="eastAsia"/>
        </w:rPr>
        <w:t>(1)在</w:t>
      </w:r>
      <w:r>
        <w:rPr>
          <w:rFonts w:hint="eastAsia"/>
          <w:lang w:val="en-US" w:eastAsia="zh-CN"/>
        </w:rPr>
        <w:t>设备部署完成并通过正式验收前</w:t>
      </w:r>
      <w:r>
        <w:rPr>
          <w:rFonts w:hint="eastAsia"/>
        </w:rPr>
        <w:t>，提供</w:t>
      </w:r>
      <w:r>
        <w:rPr>
          <w:rFonts w:hint="eastAsia"/>
          <w:lang w:val="en-US" w:eastAsia="zh-CN"/>
        </w:rPr>
        <w:t>必要的设备操作和使用培训</w:t>
      </w:r>
      <w:r>
        <w:rPr>
          <w:rFonts w:hint="eastAsia"/>
        </w:rPr>
        <w:t>。</w:t>
      </w:r>
    </w:p>
    <w:p w14:paraId="341719C9">
      <w:r>
        <w:rPr>
          <w:rFonts w:hint="eastAsia"/>
        </w:rPr>
        <w:t>(2)供应商需要开展分层次的人员培训工作，每次培训后应对参加培训人员进行测试，评估培训成果。培训应具有培训教材、培训环境和高水平的培训讲师。</w:t>
      </w:r>
    </w:p>
    <w:p w14:paraId="77ADB96D">
      <w:r>
        <w:rPr>
          <w:rFonts w:hint="eastAsia"/>
        </w:rPr>
        <w:t>(3)供应商应提供一般用户的基础操作培训和部门信息管理员的日常应用维护的培训，确保用户对象能够掌握对应的操作技能。</w:t>
      </w:r>
    </w:p>
    <w:p w14:paraId="50C3CF40">
      <w:pPr>
        <w:pStyle w:val="3"/>
      </w:pPr>
      <w:bookmarkStart w:id="30" w:name="_Toc63785508"/>
      <w:r>
        <w:rPr>
          <w:rFonts w:hint="eastAsia"/>
        </w:rPr>
        <w:t>验收要求</w:t>
      </w:r>
      <w:bookmarkEnd w:id="30"/>
    </w:p>
    <w:p w14:paraId="31B06A62">
      <w:pPr>
        <w:rPr>
          <w:szCs w:val="21"/>
        </w:rPr>
      </w:pPr>
      <w:r>
        <w:rPr>
          <w:rFonts w:hint="eastAsia"/>
          <w:szCs w:val="21"/>
        </w:rPr>
        <w:t>本项目按下述方式开展验收。</w:t>
      </w:r>
    </w:p>
    <w:p w14:paraId="74CDB9AF">
      <w:pPr>
        <w:rPr>
          <w:szCs w:val="21"/>
        </w:rPr>
      </w:pPr>
      <w:r>
        <w:rPr>
          <w:rFonts w:hint="eastAsia"/>
          <w:szCs w:val="21"/>
        </w:rPr>
        <w:t>（</w:t>
      </w:r>
      <w:r>
        <w:rPr>
          <w:szCs w:val="21"/>
        </w:rPr>
        <w:t>1）验收分初验和终验。</w:t>
      </w:r>
    </w:p>
    <w:p w14:paraId="703D794D">
      <w:pPr>
        <w:rPr>
          <w:szCs w:val="21"/>
        </w:rPr>
      </w:pPr>
      <w:r>
        <w:rPr>
          <w:rFonts w:hint="eastAsia"/>
          <w:szCs w:val="21"/>
        </w:rPr>
        <w:t>（</w:t>
      </w:r>
      <w:r>
        <w:rPr>
          <w:szCs w:val="21"/>
        </w:rPr>
        <w:t>2）初验前，供应商须完成</w:t>
      </w:r>
      <w:r>
        <w:rPr>
          <w:rFonts w:hint="eastAsia"/>
          <w:szCs w:val="21"/>
          <w:lang w:val="en-US" w:eastAsia="zh-CN"/>
        </w:rPr>
        <w:t>硬件设备安装部署</w:t>
      </w:r>
      <w:r>
        <w:rPr>
          <w:szCs w:val="21"/>
        </w:rPr>
        <w:t>和</w:t>
      </w:r>
      <w:r>
        <w:rPr>
          <w:rFonts w:hint="eastAsia"/>
          <w:szCs w:val="21"/>
          <w:lang w:val="en-US" w:eastAsia="zh-CN"/>
        </w:rPr>
        <w:t>配套系统功能</w:t>
      </w:r>
      <w:r>
        <w:rPr>
          <w:szCs w:val="21"/>
        </w:rPr>
        <w:t>的调试等，并对本项目进行功能和运行检测，确保所有功能能够正常运行且已达到本项目约定的各类标准要求。供应商应以书面形式向招标方递交初验通知书。</w:t>
      </w:r>
      <w:r>
        <w:rPr>
          <w:rFonts w:hint="eastAsia"/>
          <w:szCs w:val="21"/>
          <w:lang w:val="en-US" w:eastAsia="zh-CN"/>
        </w:rPr>
        <w:t>采购人</w:t>
      </w:r>
      <w:r>
        <w:rPr>
          <w:szCs w:val="21"/>
        </w:rPr>
        <w:t>应当在接到通知后的5个工作日内确定初验的具体日期，由双方按照本项目的约定完成本项目的初验。</w:t>
      </w:r>
      <w:r>
        <w:rPr>
          <w:rFonts w:hint="eastAsia"/>
          <w:szCs w:val="21"/>
          <w:lang w:val="en-US" w:eastAsia="zh-CN"/>
        </w:rPr>
        <w:t>采购人</w:t>
      </w:r>
      <w:r>
        <w:rPr>
          <w:szCs w:val="21"/>
        </w:rPr>
        <w:t>有权委托第三方检测机构进行验收，对此供应商应当配合。</w:t>
      </w:r>
    </w:p>
    <w:p w14:paraId="6B0E8EE9">
      <w:pPr>
        <w:rPr>
          <w:szCs w:val="21"/>
        </w:rPr>
      </w:pPr>
      <w:r>
        <w:rPr>
          <w:rFonts w:hint="eastAsia"/>
          <w:szCs w:val="21"/>
        </w:rPr>
        <w:t>（</w:t>
      </w:r>
      <w:r>
        <w:rPr>
          <w:szCs w:val="21"/>
        </w:rPr>
        <w:t>3）初验时，供应商须提供文档包括《</w:t>
      </w:r>
      <w:r>
        <w:rPr>
          <w:rFonts w:hint="eastAsia"/>
          <w:szCs w:val="21"/>
          <w:lang w:val="en-US" w:eastAsia="zh-CN"/>
        </w:rPr>
        <w:t>设备</w:t>
      </w:r>
      <w:r>
        <w:rPr>
          <w:szCs w:val="21"/>
        </w:rPr>
        <w:t>测试报告》、《用户使用手册》、《系统部署文档》等及</w:t>
      </w:r>
      <w:r>
        <w:rPr>
          <w:rFonts w:hint="eastAsia"/>
          <w:szCs w:val="21"/>
          <w:lang w:val="en-US" w:eastAsia="zh-CN"/>
        </w:rPr>
        <w:t>其他必要</w:t>
      </w:r>
      <w:r>
        <w:rPr>
          <w:szCs w:val="21"/>
        </w:rPr>
        <w:t>文件。所交付的文档与文件应当是可供自然人阅读的书面和电子文档。</w:t>
      </w:r>
    </w:p>
    <w:p w14:paraId="1EC45D5F">
      <w:pPr>
        <w:rPr>
          <w:szCs w:val="21"/>
        </w:rPr>
      </w:pPr>
      <w:r>
        <w:rPr>
          <w:rFonts w:hint="eastAsia"/>
          <w:szCs w:val="21"/>
        </w:rPr>
        <w:t>（</w:t>
      </w:r>
      <w:r>
        <w:rPr>
          <w:rFonts w:hint="eastAsia"/>
          <w:szCs w:val="21"/>
          <w:lang w:val="en-US" w:eastAsia="zh-CN"/>
        </w:rPr>
        <w:t>4</w:t>
      </w:r>
      <w:r>
        <w:rPr>
          <w:szCs w:val="21"/>
        </w:rPr>
        <w:t>）初验通过且试运行期已经达到本项目约定的时间，经供应商确认</w:t>
      </w:r>
      <w:r>
        <w:rPr>
          <w:rFonts w:hint="eastAsia"/>
          <w:szCs w:val="21"/>
          <w:lang w:val="en-US" w:eastAsia="zh-CN"/>
        </w:rPr>
        <w:t>设备</w:t>
      </w:r>
      <w:r>
        <w:rPr>
          <w:szCs w:val="21"/>
        </w:rPr>
        <w:t>具备正常运行条件，且</w:t>
      </w:r>
      <w:r>
        <w:rPr>
          <w:rFonts w:hint="eastAsia"/>
          <w:szCs w:val="21"/>
          <w:lang w:val="en-US" w:eastAsia="zh-CN"/>
        </w:rPr>
        <w:t>各项功能</w:t>
      </w:r>
      <w:r>
        <w:rPr>
          <w:szCs w:val="21"/>
        </w:rPr>
        <w:t>通过运行测试，供应商应以书面形式通知</w:t>
      </w:r>
      <w:r>
        <w:rPr>
          <w:rFonts w:hint="eastAsia"/>
          <w:szCs w:val="21"/>
          <w:lang w:val="en-US" w:eastAsia="zh-CN"/>
        </w:rPr>
        <w:t>采购人进行</w:t>
      </w:r>
      <w:r>
        <w:rPr>
          <w:szCs w:val="21"/>
        </w:rPr>
        <w:t>终验。</w:t>
      </w:r>
      <w:r>
        <w:rPr>
          <w:rFonts w:hint="eastAsia"/>
          <w:szCs w:val="21"/>
          <w:lang w:val="en-US" w:eastAsia="zh-CN"/>
        </w:rPr>
        <w:t>采购人</w:t>
      </w:r>
      <w:r>
        <w:rPr>
          <w:szCs w:val="21"/>
        </w:rPr>
        <w:t>在收到终验通知后的</w:t>
      </w:r>
      <w:r>
        <w:rPr>
          <w:rFonts w:hint="eastAsia"/>
          <w:szCs w:val="21"/>
          <w:lang w:val="en-US" w:eastAsia="zh-CN"/>
        </w:rPr>
        <w:t>10</w:t>
      </w:r>
      <w:r>
        <w:rPr>
          <w:szCs w:val="21"/>
        </w:rPr>
        <w:t>个工作日内发起组织专家验收会。</w:t>
      </w:r>
    </w:p>
    <w:p w14:paraId="553B0D49">
      <w:pPr>
        <w:rPr>
          <w:szCs w:val="21"/>
        </w:rPr>
      </w:pPr>
      <w:r>
        <w:rPr>
          <w:rFonts w:hint="eastAsia"/>
          <w:szCs w:val="21"/>
        </w:rPr>
        <w:t>（</w:t>
      </w:r>
      <w:r>
        <w:rPr>
          <w:rFonts w:hint="eastAsia"/>
          <w:szCs w:val="21"/>
          <w:lang w:val="en-US" w:eastAsia="zh-CN"/>
        </w:rPr>
        <w:t>5</w:t>
      </w:r>
      <w:r>
        <w:rPr>
          <w:szCs w:val="21"/>
        </w:rPr>
        <w:t>）如果属于供应商原因致使本项目未能通过终验，供应商应当排除缺陷，直至本项目完全符合验收标准，由上述情形而产生的相关费用应由供应商自行承担。</w:t>
      </w:r>
    </w:p>
    <w:p w14:paraId="5A494675">
      <w:pPr>
        <w:rPr>
          <w:szCs w:val="21"/>
        </w:rPr>
      </w:pPr>
      <w:r>
        <w:rPr>
          <w:rFonts w:hint="eastAsia"/>
          <w:szCs w:val="21"/>
        </w:rPr>
        <w:t>（</w:t>
      </w:r>
      <w:r>
        <w:rPr>
          <w:rFonts w:hint="eastAsia"/>
          <w:szCs w:val="21"/>
          <w:lang w:val="en-US" w:eastAsia="zh-CN"/>
        </w:rPr>
        <w:t>6</w:t>
      </w:r>
      <w:r>
        <w:rPr>
          <w:szCs w:val="21"/>
        </w:rPr>
        <w:t>）如果由于</w:t>
      </w:r>
      <w:r>
        <w:rPr>
          <w:rFonts w:hint="eastAsia"/>
          <w:szCs w:val="21"/>
          <w:lang w:val="en-US" w:eastAsia="zh-CN"/>
        </w:rPr>
        <w:t>采购人</w:t>
      </w:r>
      <w:r>
        <w:rPr>
          <w:szCs w:val="21"/>
        </w:rPr>
        <w:t>原因导致本项目在终验通过前出现故障或问题，供应商应及时配合排除该方面的故障或问题。</w:t>
      </w:r>
    </w:p>
    <w:p w14:paraId="4E227D86">
      <w:pPr>
        <w:rPr>
          <w:szCs w:val="21"/>
        </w:rPr>
      </w:pPr>
      <w:r>
        <w:rPr>
          <w:rFonts w:hint="eastAsia"/>
          <w:szCs w:val="21"/>
        </w:rPr>
        <w:t>（8</w:t>
      </w:r>
      <w:r>
        <w:rPr>
          <w:szCs w:val="21"/>
        </w:rPr>
        <w:t>）如本项目连续3次验收未通过（含初验未通过或终验未通过），</w:t>
      </w:r>
      <w:r>
        <w:rPr>
          <w:rFonts w:hint="eastAsia"/>
          <w:szCs w:val="21"/>
          <w:lang w:val="en-US" w:eastAsia="zh-CN"/>
        </w:rPr>
        <w:t>采购人</w:t>
      </w:r>
      <w:r>
        <w:rPr>
          <w:szCs w:val="21"/>
        </w:rPr>
        <w:t>有权解除项目，并有权依照本项目约定的违约条款追究供应商的违约责任。</w:t>
      </w:r>
    </w:p>
    <w:p w14:paraId="39E9D22D">
      <w:pPr>
        <w:pStyle w:val="3"/>
      </w:pPr>
      <w:bookmarkStart w:id="31" w:name="_Toc63785509"/>
      <w:r>
        <w:rPr>
          <w:rFonts w:hint="eastAsia"/>
        </w:rPr>
        <w:t>进度要求</w:t>
      </w:r>
      <w:bookmarkEnd w:id="31"/>
    </w:p>
    <w:p w14:paraId="462D9738">
      <w:pPr>
        <w:rPr>
          <w:rFonts w:hint="eastAsia" w:ascii="宋体" w:hAnsi="宋体" w:eastAsia="宋体"/>
          <w:highlight w:val="none"/>
        </w:rPr>
      </w:pPr>
      <w:r>
        <w:rPr>
          <w:rFonts w:hint="eastAsia" w:ascii="宋体" w:hAnsi="宋体" w:eastAsia="宋体"/>
          <w:highlight w:val="none"/>
        </w:rPr>
        <w:t>总建设周期为</w:t>
      </w:r>
      <w:r>
        <w:rPr>
          <w:rFonts w:hint="eastAsia" w:ascii="宋体" w:hAnsi="宋体" w:eastAsia="宋体"/>
          <w:highlight w:val="none"/>
          <w:lang w:val="en-US" w:eastAsia="zh-CN"/>
        </w:rPr>
        <w:t>9</w:t>
      </w:r>
      <w:r>
        <w:rPr>
          <w:rFonts w:hint="eastAsia" w:ascii="宋体" w:hAnsi="宋体" w:eastAsia="宋体"/>
          <w:highlight w:val="none"/>
        </w:rPr>
        <w:t>个月，分为</w:t>
      </w:r>
      <w:r>
        <w:rPr>
          <w:rFonts w:hint="eastAsia" w:ascii="宋体" w:hAnsi="宋体" w:eastAsia="宋体"/>
          <w:highlight w:val="none"/>
          <w:lang w:val="en-US" w:eastAsia="zh-CN"/>
        </w:rPr>
        <w:t>4</w:t>
      </w:r>
      <w:r>
        <w:rPr>
          <w:rFonts w:hint="eastAsia" w:ascii="宋体" w:hAnsi="宋体" w:eastAsia="宋体"/>
          <w:highlight w:val="none"/>
        </w:rPr>
        <w:t>个阶段；</w:t>
      </w:r>
    </w:p>
    <w:p w14:paraId="37F0BCEF">
      <w:pPr>
        <w:rPr>
          <w:rFonts w:hint="eastAsia" w:ascii="宋体" w:hAnsi="宋体" w:eastAsia="宋体"/>
          <w:highlight w:val="none"/>
        </w:rPr>
      </w:pPr>
      <w:r>
        <w:rPr>
          <w:rFonts w:hint="eastAsia" w:ascii="宋体" w:hAnsi="宋体" w:eastAsia="宋体"/>
          <w:highlight w:val="none"/>
        </w:rPr>
        <w:t>第</w:t>
      </w:r>
      <w:r>
        <w:rPr>
          <w:rFonts w:hint="eastAsia"/>
          <w:highlight w:val="none"/>
          <w:lang w:val="en-US" w:eastAsia="zh-CN"/>
        </w:rPr>
        <w:t>一</w:t>
      </w:r>
      <w:r>
        <w:rPr>
          <w:rFonts w:hint="eastAsia" w:ascii="宋体" w:hAnsi="宋体" w:eastAsia="宋体"/>
          <w:highlight w:val="none"/>
        </w:rPr>
        <w:t>阶段</w:t>
      </w:r>
      <w:r>
        <w:rPr>
          <w:rFonts w:hint="eastAsia"/>
          <w:highlight w:val="none"/>
          <w:lang w:eastAsia="zh-CN"/>
        </w:rPr>
        <w:t>，</w:t>
      </w:r>
      <w:r>
        <w:rPr>
          <w:rFonts w:hint="eastAsia"/>
          <w:highlight w:val="none"/>
          <w:lang w:val="en-US" w:eastAsia="zh-CN"/>
        </w:rPr>
        <w:t>合同签订后3</w:t>
      </w:r>
      <w:r>
        <w:rPr>
          <w:rFonts w:hint="eastAsia" w:ascii="宋体" w:hAnsi="宋体" w:eastAsia="宋体"/>
          <w:highlight w:val="none"/>
        </w:rPr>
        <w:t>个月，完成</w:t>
      </w:r>
      <w:r>
        <w:rPr>
          <w:rFonts w:hint="eastAsia"/>
          <w:highlight w:val="none"/>
          <w:lang w:val="en-US" w:eastAsia="zh-CN"/>
        </w:rPr>
        <w:t>全部</w:t>
      </w:r>
      <w:r>
        <w:rPr>
          <w:rFonts w:hint="eastAsia" w:ascii="宋体" w:hAnsi="宋体" w:eastAsia="宋体"/>
          <w:highlight w:val="none"/>
          <w:lang w:val="en-US" w:eastAsia="zh-CN"/>
        </w:rPr>
        <w:t>设备</w:t>
      </w:r>
      <w:r>
        <w:rPr>
          <w:rFonts w:hint="eastAsia"/>
          <w:highlight w:val="none"/>
          <w:lang w:val="en-US" w:eastAsia="zh-CN"/>
        </w:rPr>
        <w:t>供货及</w:t>
      </w:r>
      <w:r>
        <w:rPr>
          <w:rFonts w:hint="eastAsia" w:ascii="宋体" w:hAnsi="宋体" w:eastAsia="宋体"/>
          <w:highlight w:val="none"/>
          <w:lang w:val="en-US" w:eastAsia="zh-CN"/>
        </w:rPr>
        <w:t>部署安装</w:t>
      </w:r>
      <w:r>
        <w:rPr>
          <w:rFonts w:hint="eastAsia" w:ascii="宋体" w:hAnsi="宋体" w:eastAsia="宋体"/>
          <w:highlight w:val="none"/>
        </w:rPr>
        <w:t>；</w:t>
      </w:r>
    </w:p>
    <w:p w14:paraId="298CE608">
      <w:pPr>
        <w:rPr>
          <w:rFonts w:hint="eastAsia" w:ascii="宋体" w:hAnsi="宋体" w:eastAsia="宋体"/>
          <w:highlight w:val="none"/>
        </w:rPr>
      </w:pPr>
      <w:r>
        <w:rPr>
          <w:rFonts w:hint="eastAsia" w:ascii="宋体" w:hAnsi="宋体" w:eastAsia="宋体"/>
          <w:highlight w:val="none"/>
        </w:rPr>
        <w:t>第</w:t>
      </w:r>
      <w:r>
        <w:rPr>
          <w:rFonts w:hint="eastAsia"/>
          <w:highlight w:val="none"/>
          <w:lang w:val="en-US" w:eastAsia="zh-CN"/>
        </w:rPr>
        <w:t>二</w:t>
      </w:r>
      <w:r>
        <w:rPr>
          <w:rFonts w:hint="eastAsia" w:ascii="宋体" w:hAnsi="宋体" w:eastAsia="宋体"/>
          <w:highlight w:val="none"/>
        </w:rPr>
        <w:t>阶段，</w:t>
      </w:r>
      <w:r>
        <w:rPr>
          <w:rFonts w:hint="eastAsia"/>
          <w:highlight w:val="none"/>
          <w:lang w:val="en-US" w:eastAsia="zh-CN"/>
        </w:rPr>
        <w:t>设备安装部署完成后3个月内</w:t>
      </w:r>
      <w:r>
        <w:rPr>
          <w:rFonts w:hint="eastAsia" w:ascii="宋体" w:hAnsi="宋体" w:eastAsia="宋体"/>
          <w:highlight w:val="none"/>
        </w:rPr>
        <w:t>完成</w:t>
      </w:r>
      <w:r>
        <w:rPr>
          <w:rFonts w:hint="eastAsia" w:ascii="宋体" w:hAnsi="宋体" w:eastAsia="宋体"/>
          <w:highlight w:val="none"/>
          <w:lang w:val="en-US" w:eastAsia="zh-CN"/>
        </w:rPr>
        <w:t>联调测试</w:t>
      </w:r>
      <w:r>
        <w:rPr>
          <w:rFonts w:hint="eastAsia"/>
          <w:highlight w:val="none"/>
          <w:lang w:val="en-US" w:eastAsia="zh-CN"/>
        </w:rPr>
        <w:t>，并通过项目初验</w:t>
      </w:r>
      <w:r>
        <w:rPr>
          <w:rFonts w:hint="eastAsia" w:ascii="宋体" w:hAnsi="宋体" w:eastAsia="宋体"/>
          <w:highlight w:val="none"/>
        </w:rPr>
        <w:t>；</w:t>
      </w:r>
    </w:p>
    <w:p w14:paraId="1D618624">
      <w:pPr>
        <w:rPr>
          <w:rFonts w:hint="eastAsia" w:ascii="宋体" w:hAnsi="宋体" w:eastAsia="宋体"/>
          <w:highlight w:val="none"/>
        </w:rPr>
      </w:pPr>
      <w:r>
        <w:rPr>
          <w:rFonts w:hint="eastAsia" w:ascii="宋体" w:hAnsi="宋体" w:eastAsia="宋体"/>
          <w:highlight w:val="none"/>
        </w:rPr>
        <w:t>第</w:t>
      </w:r>
      <w:r>
        <w:rPr>
          <w:rFonts w:hint="eastAsia"/>
          <w:highlight w:val="none"/>
          <w:lang w:val="en-US" w:eastAsia="zh-CN"/>
        </w:rPr>
        <w:t>三</w:t>
      </w:r>
      <w:r>
        <w:rPr>
          <w:rFonts w:hint="eastAsia" w:ascii="宋体" w:hAnsi="宋体" w:eastAsia="宋体"/>
          <w:highlight w:val="none"/>
        </w:rPr>
        <w:t>阶段</w:t>
      </w:r>
      <w:r>
        <w:rPr>
          <w:rFonts w:hint="eastAsia"/>
          <w:highlight w:val="none"/>
          <w:lang w:eastAsia="zh-CN"/>
        </w:rPr>
        <w:t>，</w:t>
      </w:r>
      <w:r>
        <w:rPr>
          <w:rFonts w:hint="eastAsia"/>
          <w:highlight w:val="none"/>
          <w:lang w:val="en-US" w:eastAsia="zh-CN"/>
        </w:rPr>
        <w:t>初验通过后2个月内</w:t>
      </w:r>
      <w:r>
        <w:rPr>
          <w:rFonts w:hint="eastAsia" w:ascii="宋体" w:hAnsi="宋体" w:eastAsia="宋体"/>
          <w:highlight w:val="none"/>
        </w:rPr>
        <w:t>，完成系统</w:t>
      </w:r>
      <w:r>
        <w:rPr>
          <w:rFonts w:hint="eastAsia" w:ascii="宋体" w:hAnsi="宋体" w:eastAsia="宋体"/>
          <w:highlight w:val="none"/>
          <w:lang w:val="en-US" w:eastAsia="zh-CN"/>
        </w:rPr>
        <w:t>试运行</w:t>
      </w:r>
      <w:r>
        <w:rPr>
          <w:rFonts w:hint="eastAsia"/>
          <w:highlight w:val="none"/>
          <w:lang w:val="en-US" w:eastAsia="zh-CN"/>
        </w:rPr>
        <w:t>并通过采购人委托的第三方安全测评</w:t>
      </w:r>
      <w:r>
        <w:rPr>
          <w:rFonts w:hint="eastAsia" w:ascii="宋体" w:hAnsi="宋体" w:eastAsia="宋体"/>
          <w:highlight w:val="none"/>
        </w:rPr>
        <w:t>；</w:t>
      </w:r>
    </w:p>
    <w:p w14:paraId="07D0255C">
      <w:pPr>
        <w:rPr>
          <w:rFonts w:hint="eastAsia" w:ascii="宋体" w:hAnsi="宋体" w:eastAsia="宋体"/>
          <w:highlight w:val="none"/>
        </w:rPr>
      </w:pPr>
      <w:r>
        <w:rPr>
          <w:rFonts w:hint="eastAsia" w:ascii="宋体" w:hAnsi="宋体" w:eastAsia="宋体"/>
          <w:highlight w:val="none"/>
        </w:rPr>
        <w:t>第</w:t>
      </w:r>
      <w:r>
        <w:rPr>
          <w:rFonts w:hint="eastAsia"/>
          <w:highlight w:val="none"/>
          <w:lang w:val="en-US" w:eastAsia="zh-CN"/>
        </w:rPr>
        <w:t>四</w:t>
      </w:r>
      <w:r>
        <w:rPr>
          <w:rFonts w:hint="eastAsia" w:ascii="宋体" w:hAnsi="宋体" w:eastAsia="宋体"/>
          <w:highlight w:val="none"/>
        </w:rPr>
        <w:t>阶段，</w:t>
      </w:r>
      <w:r>
        <w:rPr>
          <w:rFonts w:hint="eastAsia"/>
          <w:highlight w:val="none"/>
          <w:lang w:val="en-US" w:eastAsia="zh-CN"/>
        </w:rPr>
        <w:t>试运行完成后1个月内，通过项目最终验收</w:t>
      </w:r>
      <w:r>
        <w:rPr>
          <w:rFonts w:hint="eastAsia" w:ascii="宋体" w:hAnsi="宋体" w:eastAsia="宋体"/>
          <w:highlight w:val="none"/>
        </w:rPr>
        <w:t>。</w:t>
      </w:r>
    </w:p>
    <w:p w14:paraId="1D1BFA7C">
      <w:pPr>
        <w:rPr>
          <w:rFonts w:hint="eastAsia"/>
          <w:highlight w:val="yellow"/>
        </w:rPr>
      </w:pPr>
    </w:p>
    <w:p w14:paraId="676B68F8">
      <w:pPr>
        <w:pStyle w:val="3"/>
        <w:rPr>
          <w:rFonts w:hint="eastAsia" w:ascii="宋体" w:hAnsi="宋体" w:eastAsia="宋体"/>
        </w:rPr>
      </w:pPr>
      <w:bookmarkStart w:id="32" w:name="_Toc63785510"/>
      <w:r>
        <w:rPr>
          <w:rFonts w:hint="eastAsia" w:ascii="宋体" w:hAnsi="宋体" w:eastAsia="宋体"/>
        </w:rPr>
        <w:t>项目团队及驻场人员要求</w:t>
      </w:r>
      <w:bookmarkEnd w:id="32"/>
    </w:p>
    <w:p w14:paraId="5843F3E7">
      <w:pPr>
        <w:numPr>
          <w:ilvl w:val="0"/>
          <w:numId w:val="4"/>
        </w:numPr>
        <w:ind w:firstLine="0" w:firstLineChars="0"/>
      </w:pPr>
      <w:r>
        <w:t>投标人须具有稳定的在职技术保障力量，能够提供及时的技术支援或服务，应针对本项目提供不少</w:t>
      </w:r>
      <w:r>
        <w:rPr>
          <w:rFonts w:hint="eastAsia"/>
          <w:lang w:val="en-US" w:eastAsia="zh-CN"/>
        </w:rPr>
        <w:t>于55</w:t>
      </w:r>
      <w:r>
        <w:t>人的项目服务团队，投标单位的相关服务人员需具备相应的服务能力。</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678"/>
        <w:gridCol w:w="844"/>
        <w:gridCol w:w="2665"/>
        <w:gridCol w:w="731"/>
      </w:tblGrid>
      <w:tr w14:paraId="616B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12" w:type="dxa"/>
            <w:shd w:val="clear" w:color="auto" w:fill="auto"/>
            <w:vAlign w:val="center"/>
          </w:tcPr>
          <w:p w14:paraId="26CE1573">
            <w:pPr>
              <w:widowControl/>
              <w:spacing w:line="240" w:lineRule="auto"/>
              <w:ind w:firstLine="0" w:firstLineChars="0"/>
              <w:jc w:val="center"/>
              <w:rPr>
                <w:b/>
                <w:highlight w:val="none"/>
              </w:rPr>
            </w:pPr>
            <w:r>
              <w:rPr>
                <w:rFonts w:hint="eastAsia"/>
                <w:b/>
                <w:highlight w:val="none"/>
              </w:rPr>
              <w:t>角色</w:t>
            </w:r>
          </w:p>
        </w:tc>
        <w:tc>
          <w:tcPr>
            <w:tcW w:w="1678" w:type="dxa"/>
            <w:shd w:val="clear" w:color="auto" w:fill="auto"/>
            <w:vAlign w:val="center"/>
          </w:tcPr>
          <w:p w14:paraId="2E63337C">
            <w:pPr>
              <w:widowControl/>
              <w:spacing w:line="240" w:lineRule="auto"/>
              <w:ind w:firstLine="0" w:firstLineChars="0"/>
              <w:jc w:val="center"/>
              <w:rPr>
                <w:b/>
                <w:highlight w:val="none"/>
              </w:rPr>
            </w:pPr>
            <w:r>
              <w:rPr>
                <w:rFonts w:hint="eastAsia"/>
                <w:b/>
                <w:highlight w:val="none"/>
              </w:rPr>
              <w:t>主要职责</w:t>
            </w:r>
          </w:p>
        </w:tc>
        <w:tc>
          <w:tcPr>
            <w:tcW w:w="844" w:type="dxa"/>
            <w:shd w:val="clear" w:color="auto" w:fill="auto"/>
            <w:vAlign w:val="center"/>
          </w:tcPr>
          <w:p w14:paraId="452BBEF9">
            <w:pPr>
              <w:widowControl/>
              <w:spacing w:line="240" w:lineRule="auto"/>
              <w:ind w:firstLine="0" w:firstLineChars="0"/>
              <w:jc w:val="center"/>
              <w:rPr>
                <w:b/>
                <w:highlight w:val="none"/>
              </w:rPr>
            </w:pPr>
            <w:r>
              <w:rPr>
                <w:rFonts w:hint="eastAsia"/>
                <w:b/>
                <w:highlight w:val="none"/>
              </w:rPr>
              <w:t>人员数量</w:t>
            </w:r>
          </w:p>
        </w:tc>
        <w:tc>
          <w:tcPr>
            <w:tcW w:w="2665" w:type="dxa"/>
            <w:vAlign w:val="center"/>
          </w:tcPr>
          <w:p w14:paraId="7164FB68">
            <w:pPr>
              <w:widowControl/>
              <w:spacing w:line="240" w:lineRule="auto"/>
              <w:ind w:firstLine="0" w:firstLineChars="0"/>
              <w:jc w:val="center"/>
              <w:rPr>
                <w:b/>
                <w:highlight w:val="none"/>
              </w:rPr>
            </w:pPr>
            <w:r>
              <w:rPr>
                <w:rFonts w:hint="eastAsia"/>
                <w:b/>
                <w:highlight w:val="none"/>
              </w:rPr>
              <w:t>人员要求</w:t>
            </w:r>
          </w:p>
        </w:tc>
        <w:tc>
          <w:tcPr>
            <w:tcW w:w="731" w:type="dxa"/>
            <w:shd w:val="clear" w:color="auto" w:fill="auto"/>
            <w:vAlign w:val="center"/>
          </w:tcPr>
          <w:p w14:paraId="635E3D88">
            <w:pPr>
              <w:widowControl/>
              <w:spacing w:line="240" w:lineRule="auto"/>
              <w:ind w:firstLine="0" w:firstLineChars="0"/>
              <w:jc w:val="center"/>
              <w:rPr>
                <w:b/>
                <w:highlight w:val="none"/>
              </w:rPr>
            </w:pPr>
            <w:r>
              <w:rPr>
                <w:rFonts w:hint="eastAsia"/>
                <w:b/>
                <w:highlight w:val="none"/>
              </w:rPr>
              <w:t>驻场要求</w:t>
            </w:r>
          </w:p>
        </w:tc>
      </w:tr>
      <w:tr w14:paraId="40D9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12" w:type="dxa"/>
            <w:shd w:val="clear" w:color="auto" w:fill="auto"/>
            <w:vAlign w:val="center"/>
          </w:tcPr>
          <w:p w14:paraId="0DF83EF5">
            <w:pPr>
              <w:widowControl/>
              <w:spacing w:line="240" w:lineRule="auto"/>
              <w:ind w:firstLine="0" w:firstLineChars="0"/>
              <w:jc w:val="center"/>
              <w:rPr>
                <w:highlight w:val="none"/>
              </w:rPr>
            </w:pPr>
            <w:r>
              <w:rPr>
                <w:rFonts w:hint="eastAsia"/>
                <w:sz w:val="21"/>
                <w:szCs w:val="21"/>
                <w:highlight w:val="none"/>
              </w:rPr>
              <w:t>项目经理</w:t>
            </w:r>
          </w:p>
        </w:tc>
        <w:tc>
          <w:tcPr>
            <w:tcW w:w="1678" w:type="dxa"/>
            <w:shd w:val="clear" w:color="auto" w:fill="auto"/>
            <w:vAlign w:val="center"/>
          </w:tcPr>
          <w:p w14:paraId="516D9BA7">
            <w:pPr>
              <w:widowControl/>
              <w:spacing w:line="240" w:lineRule="auto"/>
              <w:ind w:firstLine="0" w:firstLineChars="0"/>
              <w:jc w:val="center"/>
              <w:rPr>
                <w:rFonts w:hint="default" w:eastAsia="宋体"/>
                <w:highlight w:val="none"/>
                <w:lang w:val="en-US" w:eastAsia="zh-CN"/>
              </w:rPr>
            </w:pPr>
            <w:r>
              <w:rPr>
                <w:rFonts w:hint="eastAsia"/>
                <w:sz w:val="21"/>
                <w:szCs w:val="21"/>
                <w:highlight w:val="none"/>
              </w:rPr>
              <w:t>负责项目</w:t>
            </w:r>
            <w:r>
              <w:rPr>
                <w:rFonts w:hint="eastAsia"/>
                <w:sz w:val="21"/>
                <w:szCs w:val="21"/>
                <w:highlight w:val="none"/>
                <w:lang w:val="en-US" w:eastAsia="zh-CN"/>
              </w:rPr>
              <w:t>整体进度控制和质量把关</w:t>
            </w:r>
          </w:p>
        </w:tc>
        <w:tc>
          <w:tcPr>
            <w:tcW w:w="844" w:type="dxa"/>
            <w:shd w:val="clear" w:color="auto" w:fill="auto"/>
            <w:vAlign w:val="center"/>
          </w:tcPr>
          <w:p w14:paraId="2554FAD5">
            <w:pPr>
              <w:widowControl/>
              <w:spacing w:line="240" w:lineRule="auto"/>
              <w:ind w:firstLine="0" w:firstLineChars="0"/>
              <w:jc w:val="center"/>
              <w:rPr>
                <w:highlight w:val="none"/>
              </w:rPr>
            </w:pPr>
            <w:r>
              <w:rPr>
                <w:rFonts w:hint="eastAsia"/>
                <w:sz w:val="21"/>
                <w:szCs w:val="21"/>
                <w:highlight w:val="none"/>
                <w:lang w:val="en-US" w:eastAsia="zh-CN"/>
              </w:rPr>
              <w:t>1</w:t>
            </w:r>
            <w:r>
              <w:rPr>
                <w:rFonts w:hint="eastAsia"/>
                <w:sz w:val="21"/>
                <w:szCs w:val="21"/>
                <w:highlight w:val="none"/>
              </w:rPr>
              <w:t>人</w:t>
            </w:r>
          </w:p>
        </w:tc>
        <w:tc>
          <w:tcPr>
            <w:tcW w:w="2665" w:type="dxa"/>
            <w:vAlign w:val="center"/>
          </w:tcPr>
          <w:p w14:paraId="4688AA2E">
            <w:pPr>
              <w:widowControl/>
              <w:spacing w:line="240" w:lineRule="auto"/>
              <w:ind w:firstLine="0" w:firstLineChars="0"/>
              <w:jc w:val="center"/>
              <w:rPr>
                <w:rFonts w:hint="eastAsia" w:eastAsia="宋体"/>
                <w:highlight w:val="none"/>
                <w:lang w:eastAsia="zh-CN"/>
              </w:rPr>
            </w:pPr>
            <w:r>
              <w:rPr>
                <w:rFonts w:hint="eastAsia"/>
                <w:sz w:val="21"/>
                <w:szCs w:val="21"/>
                <w:highlight w:val="none"/>
              </w:rPr>
              <w:t>本科及以上学历</w:t>
            </w:r>
            <w:r>
              <w:rPr>
                <w:rFonts w:hint="eastAsia"/>
                <w:sz w:val="21"/>
                <w:szCs w:val="21"/>
                <w:highlight w:val="none"/>
                <w:lang w:eastAsia="zh-CN"/>
              </w:rPr>
              <w:t>的</w:t>
            </w:r>
            <w:r>
              <w:rPr>
                <w:rFonts w:hint="eastAsia"/>
                <w:sz w:val="21"/>
                <w:szCs w:val="21"/>
                <w:highlight w:val="none"/>
              </w:rPr>
              <w:t>，具备</w:t>
            </w:r>
            <w:r>
              <w:rPr>
                <w:rFonts w:hint="eastAsia"/>
                <w:sz w:val="21"/>
                <w:szCs w:val="21"/>
                <w:highlight w:val="none"/>
                <w:lang w:eastAsia="zh-CN"/>
              </w:rPr>
              <w:t>计算机技术相关</w:t>
            </w:r>
            <w:r>
              <w:rPr>
                <w:rFonts w:hint="eastAsia"/>
                <w:sz w:val="21"/>
                <w:szCs w:val="21"/>
                <w:highlight w:val="none"/>
              </w:rPr>
              <w:t>正高级</w:t>
            </w:r>
            <w:r>
              <w:rPr>
                <w:rFonts w:hint="eastAsia"/>
                <w:sz w:val="21"/>
                <w:szCs w:val="21"/>
                <w:highlight w:val="none"/>
                <w:lang w:eastAsia="zh-CN"/>
              </w:rPr>
              <w:t>职称</w:t>
            </w:r>
            <w:r>
              <w:rPr>
                <w:rFonts w:hint="eastAsia"/>
                <w:sz w:val="21"/>
                <w:szCs w:val="21"/>
                <w:highlight w:val="none"/>
              </w:rPr>
              <w:t>证书</w:t>
            </w:r>
            <w:r>
              <w:rPr>
                <w:rFonts w:hint="eastAsia"/>
                <w:sz w:val="21"/>
                <w:szCs w:val="21"/>
                <w:highlight w:val="none"/>
                <w:lang w:eastAsia="zh-CN"/>
              </w:rPr>
              <w:t>的优先考虑</w:t>
            </w:r>
          </w:p>
        </w:tc>
        <w:tc>
          <w:tcPr>
            <w:tcW w:w="731" w:type="dxa"/>
            <w:shd w:val="clear" w:color="auto" w:fill="auto"/>
            <w:vAlign w:val="center"/>
          </w:tcPr>
          <w:p w14:paraId="3627045B">
            <w:pPr>
              <w:widowControl/>
              <w:spacing w:line="240" w:lineRule="auto"/>
              <w:ind w:firstLine="0" w:firstLineChars="0"/>
              <w:jc w:val="center"/>
              <w:rPr>
                <w:highlight w:val="none"/>
              </w:rPr>
            </w:pPr>
            <w:r>
              <w:rPr>
                <w:rFonts w:hint="eastAsia"/>
                <w:sz w:val="21"/>
                <w:szCs w:val="21"/>
                <w:highlight w:val="none"/>
              </w:rPr>
              <w:t>驻场</w:t>
            </w:r>
          </w:p>
        </w:tc>
      </w:tr>
      <w:tr w14:paraId="2DCD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12" w:type="dxa"/>
            <w:shd w:val="clear" w:color="auto" w:fill="auto"/>
            <w:vAlign w:val="center"/>
          </w:tcPr>
          <w:p w14:paraId="5205410D">
            <w:pPr>
              <w:widowControl/>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驻场项目经理</w:t>
            </w:r>
          </w:p>
        </w:tc>
        <w:tc>
          <w:tcPr>
            <w:tcW w:w="1678" w:type="dxa"/>
            <w:shd w:val="clear" w:color="auto" w:fill="auto"/>
            <w:vAlign w:val="center"/>
          </w:tcPr>
          <w:p w14:paraId="4043F512">
            <w:pPr>
              <w:widowControl/>
              <w:spacing w:line="240" w:lineRule="auto"/>
              <w:ind w:firstLine="0" w:firstLineChars="0"/>
              <w:jc w:val="center"/>
              <w:rPr>
                <w:rFonts w:hint="eastAsia" w:ascii="宋体" w:hAnsi="宋体" w:eastAsia="宋体" w:cs="Times New Roman"/>
                <w:kern w:val="2"/>
                <w:sz w:val="24"/>
                <w:szCs w:val="24"/>
                <w:highlight w:val="none"/>
                <w:lang w:val="en-US" w:eastAsia="zh-CN" w:bidi="ar-SA"/>
              </w:rPr>
            </w:pPr>
            <w:r>
              <w:rPr>
                <w:rFonts w:hint="eastAsia"/>
                <w:sz w:val="21"/>
                <w:szCs w:val="21"/>
                <w:highlight w:val="none"/>
              </w:rPr>
              <w:t>负责</w:t>
            </w:r>
            <w:r>
              <w:rPr>
                <w:rFonts w:hint="eastAsia"/>
                <w:sz w:val="21"/>
                <w:szCs w:val="21"/>
                <w:highlight w:val="none"/>
                <w:lang w:val="en-US" w:eastAsia="zh-CN"/>
              </w:rPr>
              <w:t>现场</w:t>
            </w:r>
            <w:r>
              <w:rPr>
                <w:rFonts w:hint="eastAsia"/>
                <w:sz w:val="21"/>
                <w:szCs w:val="21"/>
                <w:highlight w:val="none"/>
              </w:rPr>
              <w:t>项目</w:t>
            </w:r>
            <w:r>
              <w:rPr>
                <w:rFonts w:hint="eastAsia"/>
                <w:sz w:val="21"/>
                <w:szCs w:val="21"/>
                <w:highlight w:val="none"/>
                <w:lang w:val="en-US" w:eastAsia="zh-CN"/>
              </w:rPr>
              <w:t>管理</w:t>
            </w:r>
          </w:p>
        </w:tc>
        <w:tc>
          <w:tcPr>
            <w:tcW w:w="844" w:type="dxa"/>
            <w:shd w:val="clear" w:color="auto" w:fill="auto"/>
            <w:vAlign w:val="center"/>
          </w:tcPr>
          <w:p w14:paraId="35E276F9">
            <w:pPr>
              <w:widowControl/>
              <w:spacing w:line="240" w:lineRule="auto"/>
              <w:ind w:firstLine="0" w:firstLineChars="0"/>
              <w:jc w:val="center"/>
              <w:rPr>
                <w:rFonts w:hint="default" w:ascii="宋体" w:hAnsi="宋体" w:eastAsia="宋体" w:cs="Times New Roman"/>
                <w:kern w:val="2"/>
                <w:sz w:val="24"/>
                <w:szCs w:val="24"/>
                <w:highlight w:val="none"/>
                <w:lang w:val="en-US" w:eastAsia="zh-CN" w:bidi="ar-SA"/>
              </w:rPr>
            </w:pPr>
            <w:r>
              <w:rPr>
                <w:rFonts w:hint="eastAsia"/>
                <w:sz w:val="21"/>
                <w:szCs w:val="21"/>
                <w:highlight w:val="none"/>
                <w:lang w:val="en-US" w:eastAsia="zh-CN"/>
              </w:rPr>
              <w:t>2</w:t>
            </w:r>
            <w:r>
              <w:rPr>
                <w:rFonts w:hint="eastAsia"/>
                <w:sz w:val="21"/>
                <w:szCs w:val="21"/>
                <w:highlight w:val="none"/>
              </w:rPr>
              <w:t>人</w:t>
            </w:r>
          </w:p>
        </w:tc>
        <w:tc>
          <w:tcPr>
            <w:tcW w:w="2665" w:type="dxa"/>
            <w:shd w:val="clear" w:color="auto" w:fill="auto"/>
            <w:vAlign w:val="center"/>
          </w:tcPr>
          <w:p w14:paraId="1A6E83C7">
            <w:pPr>
              <w:widowControl/>
              <w:spacing w:line="240" w:lineRule="auto"/>
              <w:ind w:firstLine="0" w:firstLineChars="0"/>
              <w:jc w:val="center"/>
              <w:rPr>
                <w:rFonts w:hint="eastAsia" w:ascii="宋体" w:hAnsi="宋体" w:eastAsia="宋体" w:cs="Times New Roman"/>
                <w:kern w:val="2"/>
                <w:sz w:val="24"/>
                <w:szCs w:val="24"/>
                <w:highlight w:val="none"/>
                <w:lang w:val="en-US" w:eastAsia="zh-CN" w:bidi="ar-SA"/>
              </w:rPr>
            </w:pPr>
            <w:r>
              <w:rPr>
                <w:rFonts w:hint="eastAsia"/>
                <w:sz w:val="21"/>
                <w:szCs w:val="21"/>
                <w:highlight w:val="none"/>
              </w:rPr>
              <w:t>本科及以上学历，具备信息系统项目管理师（高级）证书</w:t>
            </w:r>
            <w:r>
              <w:rPr>
                <w:rFonts w:hint="eastAsia"/>
                <w:sz w:val="21"/>
                <w:szCs w:val="21"/>
                <w:highlight w:val="none"/>
                <w:lang w:eastAsia="zh-CN"/>
              </w:rPr>
              <w:t>的优先考虑</w:t>
            </w:r>
          </w:p>
        </w:tc>
        <w:tc>
          <w:tcPr>
            <w:tcW w:w="731" w:type="dxa"/>
            <w:shd w:val="clear" w:color="auto" w:fill="auto"/>
            <w:vAlign w:val="center"/>
          </w:tcPr>
          <w:p w14:paraId="3BCADCC8">
            <w:pPr>
              <w:widowControl/>
              <w:spacing w:line="240" w:lineRule="auto"/>
              <w:ind w:firstLine="0" w:firstLineChars="0"/>
              <w:jc w:val="center"/>
              <w:rPr>
                <w:rFonts w:hint="eastAsia" w:ascii="宋体" w:hAnsi="宋体" w:eastAsia="宋体" w:cs="Times New Roman"/>
                <w:kern w:val="2"/>
                <w:sz w:val="24"/>
                <w:szCs w:val="24"/>
                <w:highlight w:val="none"/>
                <w:lang w:val="en-US" w:eastAsia="zh-CN" w:bidi="ar-SA"/>
              </w:rPr>
            </w:pPr>
            <w:r>
              <w:rPr>
                <w:rFonts w:hint="eastAsia"/>
                <w:sz w:val="21"/>
                <w:szCs w:val="21"/>
                <w:highlight w:val="none"/>
              </w:rPr>
              <w:t>驻场</w:t>
            </w:r>
          </w:p>
        </w:tc>
      </w:tr>
      <w:tr w14:paraId="7305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12" w:type="dxa"/>
            <w:shd w:val="clear" w:color="auto" w:fill="auto"/>
            <w:vAlign w:val="center"/>
          </w:tcPr>
          <w:p w14:paraId="39690779">
            <w:pPr>
              <w:widowControl/>
              <w:spacing w:line="240" w:lineRule="auto"/>
              <w:ind w:firstLine="0" w:firstLineChars="0"/>
              <w:jc w:val="center"/>
              <w:rPr>
                <w:highlight w:val="none"/>
              </w:rPr>
            </w:pPr>
            <w:r>
              <w:rPr>
                <w:rFonts w:hint="eastAsia"/>
                <w:sz w:val="21"/>
                <w:szCs w:val="21"/>
                <w:highlight w:val="none"/>
              </w:rPr>
              <w:t>产品经理</w:t>
            </w:r>
          </w:p>
        </w:tc>
        <w:tc>
          <w:tcPr>
            <w:tcW w:w="1678" w:type="dxa"/>
            <w:shd w:val="clear" w:color="auto" w:fill="auto"/>
            <w:vAlign w:val="center"/>
          </w:tcPr>
          <w:p w14:paraId="5349F638">
            <w:pPr>
              <w:widowControl/>
              <w:spacing w:line="240" w:lineRule="auto"/>
              <w:ind w:firstLine="0" w:firstLineChars="0"/>
              <w:jc w:val="center"/>
              <w:rPr>
                <w:highlight w:val="none"/>
              </w:rPr>
            </w:pPr>
            <w:r>
              <w:rPr>
                <w:rFonts w:hint="eastAsia"/>
                <w:sz w:val="21"/>
                <w:szCs w:val="21"/>
                <w:highlight w:val="none"/>
              </w:rPr>
              <w:t>负责项目需求评估与产品设计</w:t>
            </w:r>
          </w:p>
        </w:tc>
        <w:tc>
          <w:tcPr>
            <w:tcW w:w="844" w:type="dxa"/>
            <w:shd w:val="clear" w:color="auto" w:fill="auto"/>
            <w:vAlign w:val="center"/>
          </w:tcPr>
          <w:p w14:paraId="68175DE9">
            <w:pPr>
              <w:widowControl/>
              <w:spacing w:line="240" w:lineRule="auto"/>
              <w:ind w:firstLine="0" w:firstLineChars="0"/>
              <w:jc w:val="center"/>
              <w:rPr>
                <w:highlight w:val="none"/>
              </w:rPr>
            </w:pPr>
            <w:r>
              <w:rPr>
                <w:rFonts w:hint="eastAsia"/>
                <w:sz w:val="21"/>
                <w:szCs w:val="21"/>
                <w:highlight w:val="none"/>
                <w:lang w:val="en-US" w:eastAsia="zh-CN"/>
              </w:rPr>
              <w:t>2</w:t>
            </w:r>
            <w:r>
              <w:rPr>
                <w:rFonts w:hint="eastAsia"/>
                <w:sz w:val="21"/>
                <w:szCs w:val="21"/>
                <w:highlight w:val="none"/>
              </w:rPr>
              <w:t>人</w:t>
            </w:r>
          </w:p>
        </w:tc>
        <w:tc>
          <w:tcPr>
            <w:tcW w:w="2665" w:type="dxa"/>
            <w:vAlign w:val="center"/>
          </w:tcPr>
          <w:p w14:paraId="3E3F637D">
            <w:pPr>
              <w:widowControl/>
              <w:spacing w:line="240" w:lineRule="auto"/>
              <w:ind w:firstLine="0" w:firstLineChars="0"/>
              <w:jc w:val="left"/>
              <w:rPr>
                <w:rFonts w:hint="eastAsia" w:eastAsia="宋体"/>
                <w:highlight w:val="none"/>
                <w:lang w:eastAsia="zh-CN"/>
              </w:rPr>
            </w:pPr>
            <w:r>
              <w:rPr>
                <w:rFonts w:hint="eastAsia"/>
                <w:sz w:val="21"/>
                <w:szCs w:val="21"/>
                <w:highlight w:val="none"/>
              </w:rPr>
              <w:t>本科及以上学历，具备系统集成项目管理工程师</w:t>
            </w:r>
            <w:r>
              <w:rPr>
                <w:rFonts w:hint="eastAsia"/>
                <w:sz w:val="21"/>
                <w:szCs w:val="21"/>
                <w:highlight w:val="none"/>
                <w:lang w:eastAsia="zh-CN"/>
              </w:rPr>
              <w:t>的优先考虑</w:t>
            </w:r>
          </w:p>
        </w:tc>
        <w:tc>
          <w:tcPr>
            <w:tcW w:w="731" w:type="dxa"/>
            <w:shd w:val="clear" w:color="auto" w:fill="auto"/>
            <w:vAlign w:val="center"/>
          </w:tcPr>
          <w:p w14:paraId="48BFDB71">
            <w:pPr>
              <w:widowControl/>
              <w:spacing w:line="240" w:lineRule="auto"/>
              <w:ind w:firstLine="0" w:firstLineChars="0"/>
              <w:jc w:val="center"/>
              <w:rPr>
                <w:highlight w:val="none"/>
              </w:rPr>
            </w:pPr>
            <w:r>
              <w:rPr>
                <w:rFonts w:hint="eastAsia"/>
                <w:sz w:val="21"/>
                <w:szCs w:val="21"/>
                <w:highlight w:val="none"/>
              </w:rPr>
              <w:t>驻场</w:t>
            </w:r>
          </w:p>
        </w:tc>
      </w:tr>
      <w:tr w14:paraId="628F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12" w:type="dxa"/>
            <w:shd w:val="clear" w:color="auto" w:fill="auto"/>
            <w:vAlign w:val="center"/>
          </w:tcPr>
          <w:p w14:paraId="618D02DC">
            <w:pPr>
              <w:widowControl/>
              <w:spacing w:line="240" w:lineRule="auto"/>
              <w:ind w:firstLine="0" w:firstLineChars="0"/>
              <w:jc w:val="center"/>
              <w:rPr>
                <w:rFonts w:hint="default" w:ascii="宋体" w:hAnsi="宋体" w:eastAsia="宋体" w:cs="Times New Roman"/>
                <w:kern w:val="2"/>
                <w:sz w:val="21"/>
                <w:szCs w:val="21"/>
                <w:highlight w:val="none"/>
                <w:lang w:val="en-US" w:eastAsia="zh-CN" w:bidi="ar-SA"/>
              </w:rPr>
            </w:pPr>
            <w:r>
              <w:rPr>
                <w:rFonts w:hint="eastAsia"/>
                <w:sz w:val="21"/>
                <w:szCs w:val="21"/>
                <w:highlight w:val="none"/>
                <w:lang w:val="en-US" w:eastAsia="zh-CN"/>
              </w:rPr>
              <w:t>其他项目组成员</w:t>
            </w:r>
          </w:p>
        </w:tc>
        <w:tc>
          <w:tcPr>
            <w:tcW w:w="1678" w:type="dxa"/>
            <w:shd w:val="clear" w:color="auto" w:fill="auto"/>
            <w:vAlign w:val="center"/>
          </w:tcPr>
          <w:p w14:paraId="75581DF4">
            <w:pPr>
              <w:widowControl/>
              <w:spacing w:line="240" w:lineRule="auto"/>
              <w:ind w:firstLine="0" w:firstLineChars="0"/>
              <w:jc w:val="center"/>
              <w:rPr>
                <w:rFonts w:hint="eastAsia" w:ascii="宋体" w:hAnsi="宋体" w:eastAsia="宋体" w:cs="Times New Roman"/>
                <w:kern w:val="2"/>
                <w:sz w:val="21"/>
                <w:szCs w:val="21"/>
                <w:highlight w:val="none"/>
                <w:lang w:val="en-US" w:eastAsia="zh-CN" w:bidi="ar-SA"/>
              </w:rPr>
            </w:pPr>
            <w:r>
              <w:rPr>
                <w:rFonts w:hint="eastAsia"/>
                <w:sz w:val="21"/>
                <w:szCs w:val="21"/>
                <w:highlight w:val="none"/>
              </w:rPr>
              <w:t>负责项目具体</w:t>
            </w:r>
            <w:r>
              <w:rPr>
                <w:rFonts w:hint="eastAsia"/>
                <w:sz w:val="21"/>
                <w:szCs w:val="21"/>
                <w:highlight w:val="none"/>
                <w:lang w:val="en-US" w:eastAsia="zh-CN"/>
              </w:rPr>
              <w:t>部署、</w:t>
            </w:r>
            <w:r>
              <w:rPr>
                <w:rFonts w:hint="eastAsia"/>
                <w:sz w:val="21"/>
                <w:szCs w:val="21"/>
                <w:highlight w:val="none"/>
              </w:rPr>
              <w:t>实施和测试</w:t>
            </w:r>
          </w:p>
        </w:tc>
        <w:tc>
          <w:tcPr>
            <w:tcW w:w="844" w:type="dxa"/>
            <w:shd w:val="clear" w:color="auto" w:fill="auto"/>
            <w:vAlign w:val="center"/>
          </w:tcPr>
          <w:p w14:paraId="19EBDAC3">
            <w:pPr>
              <w:widowControl/>
              <w:spacing w:line="240" w:lineRule="auto"/>
              <w:ind w:firstLine="0" w:firstLineChars="0"/>
              <w:jc w:val="center"/>
              <w:rPr>
                <w:rFonts w:hint="eastAsia" w:ascii="宋体" w:hAnsi="宋体" w:eastAsia="宋体" w:cs="Times New Roman"/>
                <w:kern w:val="2"/>
                <w:sz w:val="21"/>
                <w:szCs w:val="21"/>
                <w:highlight w:val="none"/>
                <w:lang w:val="en-US" w:eastAsia="zh-CN" w:bidi="ar-SA"/>
              </w:rPr>
            </w:pPr>
            <w:r>
              <w:rPr>
                <w:rFonts w:hint="eastAsia"/>
                <w:sz w:val="21"/>
                <w:szCs w:val="21"/>
                <w:highlight w:val="none"/>
                <w:lang w:val="en-US" w:eastAsia="zh-CN"/>
              </w:rPr>
              <w:t>50</w:t>
            </w:r>
            <w:r>
              <w:rPr>
                <w:rFonts w:hint="eastAsia"/>
                <w:sz w:val="21"/>
                <w:szCs w:val="21"/>
                <w:highlight w:val="none"/>
              </w:rPr>
              <w:t>人</w:t>
            </w:r>
          </w:p>
        </w:tc>
        <w:tc>
          <w:tcPr>
            <w:tcW w:w="2665" w:type="dxa"/>
            <w:shd w:val="clear" w:color="auto" w:fill="auto"/>
            <w:vAlign w:val="center"/>
          </w:tcPr>
          <w:p w14:paraId="0E17A911">
            <w:pPr>
              <w:widowControl/>
              <w:spacing w:line="240" w:lineRule="auto"/>
              <w:ind w:firstLine="0" w:firstLineChars="0"/>
              <w:jc w:val="center"/>
              <w:rPr>
                <w:rFonts w:hint="eastAsia" w:ascii="宋体" w:hAnsi="宋体" w:eastAsia="宋体" w:cs="Times New Roman"/>
                <w:kern w:val="2"/>
                <w:sz w:val="21"/>
                <w:szCs w:val="21"/>
                <w:highlight w:val="none"/>
                <w:lang w:val="en-US" w:eastAsia="zh-CN" w:bidi="ar-SA"/>
              </w:rPr>
            </w:pPr>
            <w:r>
              <w:rPr>
                <w:rFonts w:hint="eastAsia"/>
                <w:sz w:val="21"/>
                <w:szCs w:val="21"/>
                <w:highlight w:val="none"/>
                <w:lang w:val="en-US" w:eastAsia="zh-CN"/>
              </w:rPr>
              <w:t>其他项目组成员</w:t>
            </w:r>
            <w:r>
              <w:rPr>
                <w:rFonts w:hint="eastAsia"/>
                <w:sz w:val="21"/>
                <w:szCs w:val="21"/>
                <w:highlight w:val="none"/>
                <w:lang w:eastAsia="zh-CN"/>
              </w:rPr>
              <w:t>中具有</w:t>
            </w:r>
            <w:r>
              <w:rPr>
                <w:rFonts w:hint="eastAsia"/>
                <w:sz w:val="21"/>
                <w:szCs w:val="21"/>
                <w:highlight w:val="none"/>
                <w:lang w:val="en-US" w:eastAsia="zh-CN"/>
              </w:rPr>
              <w:t>5年及以上相关工作经验的，</w:t>
            </w:r>
            <w:r>
              <w:rPr>
                <w:rFonts w:hint="eastAsia"/>
                <w:sz w:val="21"/>
                <w:szCs w:val="21"/>
                <w:highlight w:val="none"/>
                <w:lang w:eastAsia="zh-CN"/>
              </w:rPr>
              <w:t>有</w:t>
            </w:r>
            <w:r>
              <w:rPr>
                <w:rFonts w:hint="eastAsia"/>
                <w:sz w:val="21"/>
                <w:szCs w:val="21"/>
                <w:highlight w:val="none"/>
              </w:rPr>
              <w:t>具备数据库系统工程师、信息系统管理工程师、软件设计师</w:t>
            </w:r>
            <w:r>
              <w:rPr>
                <w:rFonts w:hint="eastAsia" w:cs="宋体"/>
                <w:i w:val="0"/>
                <w:iCs w:val="0"/>
                <w:color w:val="000000"/>
                <w:kern w:val="0"/>
                <w:sz w:val="21"/>
                <w:szCs w:val="21"/>
                <w:u w:val="none"/>
                <w:lang w:val="en-US" w:eastAsia="zh-CN" w:bidi="ar"/>
              </w:rPr>
              <w:t>的优先考虑</w:t>
            </w:r>
          </w:p>
        </w:tc>
        <w:tc>
          <w:tcPr>
            <w:tcW w:w="731" w:type="dxa"/>
            <w:shd w:val="clear" w:color="auto" w:fill="auto"/>
            <w:vAlign w:val="center"/>
          </w:tcPr>
          <w:p w14:paraId="4A49920D">
            <w:pPr>
              <w:widowControl/>
              <w:spacing w:line="240" w:lineRule="auto"/>
              <w:ind w:firstLine="0" w:firstLineChars="0"/>
              <w:jc w:val="center"/>
              <w:rPr>
                <w:rFonts w:hint="eastAsia" w:ascii="宋体" w:hAnsi="宋体" w:eastAsia="宋体" w:cs="Times New Roman"/>
                <w:kern w:val="2"/>
                <w:sz w:val="21"/>
                <w:szCs w:val="21"/>
                <w:highlight w:val="none"/>
                <w:lang w:val="en-US" w:eastAsia="zh-CN" w:bidi="ar-SA"/>
              </w:rPr>
            </w:pPr>
            <w:r>
              <w:rPr>
                <w:rFonts w:hint="eastAsia"/>
                <w:sz w:val="21"/>
                <w:szCs w:val="21"/>
                <w:highlight w:val="none"/>
                <w:lang w:val="en-US" w:eastAsia="zh-CN"/>
              </w:rPr>
              <w:t>驻场</w:t>
            </w:r>
          </w:p>
        </w:tc>
      </w:tr>
    </w:tbl>
    <w:p w14:paraId="1DDECD34">
      <w:r>
        <w:t>2）投标人应针对本项目提供不少于</w:t>
      </w:r>
      <w:r>
        <w:rPr>
          <w:rFonts w:hint="eastAsia"/>
          <w:lang w:val="en-US" w:eastAsia="zh-CN"/>
        </w:rPr>
        <w:t>5</w:t>
      </w:r>
      <w:r>
        <w:t>人的质保期间支撑团队（其中</w:t>
      </w:r>
      <w:r>
        <w:rPr>
          <w:rFonts w:hint="eastAsia"/>
          <w:lang w:val="en-US" w:eastAsia="zh-CN"/>
        </w:rPr>
        <w:t>运维经理1</w:t>
      </w:r>
      <w:r>
        <w:t>人，</w:t>
      </w:r>
      <w:r>
        <w:rPr>
          <w:rFonts w:hint="eastAsia"/>
          <w:lang w:val="en-US" w:eastAsia="zh-CN"/>
        </w:rPr>
        <w:t>运维</w:t>
      </w:r>
      <w:r>
        <w:t>工程师不少于</w:t>
      </w:r>
      <w:r>
        <w:rPr>
          <w:rFonts w:hint="eastAsia"/>
          <w:lang w:val="en-US" w:eastAsia="zh-CN"/>
        </w:rPr>
        <w:t>4</w:t>
      </w:r>
      <w:r>
        <w:t>人）；投标人的相关服务人员需具备相应的服务能力。</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79"/>
        <w:gridCol w:w="1177"/>
        <w:gridCol w:w="1573"/>
        <w:gridCol w:w="1483"/>
      </w:tblGrid>
      <w:tr w14:paraId="6AEA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vAlign w:val="center"/>
          </w:tcPr>
          <w:p w14:paraId="64AD94D1">
            <w:pPr>
              <w:widowControl/>
              <w:spacing w:line="240" w:lineRule="auto"/>
              <w:ind w:firstLine="0" w:firstLineChars="0"/>
              <w:jc w:val="center"/>
              <w:rPr>
                <w:b/>
              </w:rPr>
            </w:pPr>
            <w:r>
              <w:rPr>
                <w:rFonts w:hint="eastAsia"/>
                <w:b/>
              </w:rPr>
              <w:t>角色</w:t>
            </w:r>
          </w:p>
        </w:tc>
        <w:tc>
          <w:tcPr>
            <w:tcW w:w="2879" w:type="dxa"/>
            <w:shd w:val="clear" w:color="auto" w:fill="auto"/>
            <w:vAlign w:val="center"/>
          </w:tcPr>
          <w:p w14:paraId="50FA2548">
            <w:pPr>
              <w:widowControl/>
              <w:spacing w:line="240" w:lineRule="auto"/>
              <w:ind w:firstLine="0" w:firstLineChars="0"/>
              <w:jc w:val="center"/>
              <w:rPr>
                <w:b/>
              </w:rPr>
            </w:pPr>
            <w:r>
              <w:rPr>
                <w:rFonts w:hint="eastAsia"/>
                <w:b/>
              </w:rPr>
              <w:t>主要职责</w:t>
            </w:r>
          </w:p>
        </w:tc>
        <w:tc>
          <w:tcPr>
            <w:tcW w:w="1177" w:type="dxa"/>
            <w:shd w:val="clear" w:color="auto" w:fill="auto"/>
            <w:vAlign w:val="center"/>
          </w:tcPr>
          <w:p w14:paraId="38130EB4">
            <w:pPr>
              <w:widowControl/>
              <w:spacing w:line="240" w:lineRule="auto"/>
              <w:ind w:firstLine="0" w:firstLineChars="0"/>
              <w:jc w:val="center"/>
              <w:rPr>
                <w:b/>
              </w:rPr>
            </w:pPr>
            <w:r>
              <w:rPr>
                <w:rFonts w:hint="eastAsia"/>
                <w:b/>
              </w:rPr>
              <w:t>人员数量</w:t>
            </w:r>
          </w:p>
        </w:tc>
        <w:tc>
          <w:tcPr>
            <w:tcW w:w="1573" w:type="dxa"/>
            <w:vAlign w:val="center"/>
          </w:tcPr>
          <w:p w14:paraId="197A46BD">
            <w:pPr>
              <w:widowControl/>
              <w:spacing w:line="240" w:lineRule="auto"/>
              <w:ind w:firstLine="0" w:firstLineChars="0"/>
              <w:jc w:val="center"/>
              <w:rPr>
                <w:b/>
              </w:rPr>
            </w:pPr>
            <w:r>
              <w:rPr>
                <w:rFonts w:hint="eastAsia"/>
                <w:b/>
              </w:rPr>
              <w:t>人员要求</w:t>
            </w:r>
          </w:p>
        </w:tc>
        <w:tc>
          <w:tcPr>
            <w:tcW w:w="1483" w:type="dxa"/>
            <w:shd w:val="clear" w:color="auto" w:fill="auto"/>
            <w:vAlign w:val="center"/>
          </w:tcPr>
          <w:p w14:paraId="5548B618">
            <w:pPr>
              <w:widowControl/>
              <w:spacing w:line="240" w:lineRule="auto"/>
              <w:ind w:firstLine="0" w:firstLineChars="0"/>
              <w:jc w:val="center"/>
              <w:rPr>
                <w:b/>
              </w:rPr>
            </w:pPr>
            <w:r>
              <w:rPr>
                <w:rFonts w:hint="eastAsia"/>
                <w:b/>
              </w:rPr>
              <w:t>驻场要求</w:t>
            </w:r>
          </w:p>
        </w:tc>
      </w:tr>
      <w:tr w14:paraId="0811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vAlign w:val="center"/>
          </w:tcPr>
          <w:p w14:paraId="796D143A">
            <w:pPr>
              <w:widowControl/>
              <w:spacing w:line="240" w:lineRule="auto"/>
              <w:ind w:firstLine="0" w:firstLineChars="0"/>
              <w:jc w:val="center"/>
            </w:pPr>
            <w:r>
              <w:rPr>
                <w:rFonts w:hint="eastAsia"/>
                <w:lang w:val="en-US" w:eastAsia="zh-CN"/>
              </w:rPr>
              <w:t>运维</w:t>
            </w:r>
            <w:r>
              <w:rPr>
                <w:rFonts w:hint="eastAsia"/>
              </w:rPr>
              <w:t>经理</w:t>
            </w:r>
          </w:p>
        </w:tc>
        <w:tc>
          <w:tcPr>
            <w:tcW w:w="2879" w:type="dxa"/>
            <w:shd w:val="clear" w:color="auto" w:fill="auto"/>
            <w:vAlign w:val="center"/>
          </w:tcPr>
          <w:p w14:paraId="6F578F46">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ascii="宋体" w:hAnsi="宋体" w:eastAsia="宋体" w:cs="宋体"/>
                <w:kern w:val="2"/>
                <w:sz w:val="24"/>
                <w:szCs w:val="24"/>
                <w:lang w:val="en-US" w:eastAsia="zh-CN" w:bidi="ar"/>
              </w:rPr>
              <w:t>负责项目质量和进度控制</w:t>
            </w:r>
          </w:p>
        </w:tc>
        <w:tc>
          <w:tcPr>
            <w:tcW w:w="1177" w:type="dxa"/>
            <w:shd w:val="clear" w:color="auto" w:fill="auto"/>
            <w:vAlign w:val="center"/>
          </w:tcPr>
          <w:p w14:paraId="7919904C">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人</w:t>
            </w:r>
          </w:p>
        </w:tc>
        <w:tc>
          <w:tcPr>
            <w:tcW w:w="1573" w:type="dxa"/>
            <w:vAlign w:val="center"/>
          </w:tcPr>
          <w:p w14:paraId="1588D615">
            <w:pPr>
              <w:keepNext w:val="0"/>
              <w:keepLines w:val="0"/>
              <w:widowControl/>
              <w:suppressLineNumbers w:val="0"/>
              <w:spacing w:before="0" w:beforeAutospacing="0" w:after="0" w:afterAutospacing="0" w:line="240" w:lineRule="auto"/>
              <w:ind w:left="0" w:leftChars="0" w:right="0" w:rightChars="0" w:firstLine="0" w:firstLineChars="0"/>
              <w:jc w:val="left"/>
              <w:rPr>
                <w:rFonts w:hint="eastAsia" w:eastAsia="宋体"/>
                <w:lang w:eastAsia="zh-CN"/>
              </w:rPr>
            </w:pPr>
            <w:r>
              <w:rPr>
                <w:rFonts w:hint="eastAsia"/>
                <w:sz w:val="24"/>
                <w:szCs w:val="24"/>
              </w:rPr>
              <w:t>本科及以上学历，具备信息系统项目管理师</w:t>
            </w:r>
            <w:r>
              <w:rPr>
                <w:rFonts w:hint="eastAsia"/>
                <w:sz w:val="24"/>
                <w:szCs w:val="24"/>
                <w:lang w:eastAsia="zh-CN"/>
              </w:rPr>
              <w:t>（高级）</w:t>
            </w:r>
            <w:r>
              <w:rPr>
                <w:rFonts w:hint="eastAsia"/>
                <w:sz w:val="24"/>
                <w:szCs w:val="24"/>
              </w:rPr>
              <w:t>证书</w:t>
            </w:r>
          </w:p>
        </w:tc>
        <w:tc>
          <w:tcPr>
            <w:tcW w:w="1483" w:type="dxa"/>
            <w:shd w:val="clear" w:color="auto" w:fill="auto"/>
            <w:vAlign w:val="center"/>
          </w:tcPr>
          <w:p w14:paraId="05F1173C">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ascii="宋体" w:hAnsi="宋体" w:eastAsia="宋体" w:cs="宋体"/>
                <w:kern w:val="2"/>
                <w:sz w:val="24"/>
                <w:szCs w:val="24"/>
                <w:lang w:val="en-US" w:eastAsia="zh-CN" w:bidi="ar"/>
              </w:rPr>
              <w:t>不驻场</w:t>
            </w:r>
          </w:p>
        </w:tc>
      </w:tr>
      <w:tr w14:paraId="030B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vAlign w:val="center"/>
          </w:tcPr>
          <w:p w14:paraId="5EA1EEE2">
            <w:pPr>
              <w:widowControl/>
              <w:spacing w:line="240" w:lineRule="auto"/>
              <w:ind w:firstLine="0" w:firstLineChars="0"/>
              <w:jc w:val="center"/>
            </w:pPr>
            <w:r>
              <w:rPr>
                <w:rFonts w:hint="eastAsia"/>
                <w:lang w:val="en-US" w:eastAsia="zh-CN"/>
              </w:rPr>
              <w:t>运维工程师</w:t>
            </w:r>
          </w:p>
        </w:tc>
        <w:tc>
          <w:tcPr>
            <w:tcW w:w="2879" w:type="dxa"/>
            <w:shd w:val="clear" w:color="auto" w:fill="auto"/>
            <w:vAlign w:val="center"/>
          </w:tcPr>
          <w:p w14:paraId="6371D298">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ascii="宋体" w:hAnsi="宋体" w:eastAsia="宋体" w:cs="宋体"/>
                <w:kern w:val="2"/>
                <w:sz w:val="24"/>
                <w:szCs w:val="24"/>
                <w:lang w:val="en-US" w:eastAsia="zh-CN" w:bidi="ar"/>
              </w:rPr>
              <w:t>负责项目运行维护</w:t>
            </w:r>
          </w:p>
        </w:tc>
        <w:tc>
          <w:tcPr>
            <w:tcW w:w="1177" w:type="dxa"/>
            <w:shd w:val="clear" w:color="auto" w:fill="auto"/>
            <w:vAlign w:val="center"/>
          </w:tcPr>
          <w:p w14:paraId="47342BF8">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人</w:t>
            </w:r>
          </w:p>
        </w:tc>
        <w:tc>
          <w:tcPr>
            <w:tcW w:w="1573" w:type="dxa"/>
            <w:vAlign w:val="center"/>
          </w:tcPr>
          <w:p w14:paraId="1A50BF20">
            <w:pPr>
              <w:keepNext w:val="0"/>
              <w:keepLines w:val="0"/>
              <w:widowControl/>
              <w:suppressLineNumbers w:val="0"/>
              <w:spacing w:before="0" w:beforeAutospacing="0" w:after="0" w:afterAutospacing="0" w:line="240" w:lineRule="auto"/>
              <w:ind w:left="0" w:leftChars="0" w:right="0" w:rightChars="0" w:firstLine="0" w:firstLineChars="0"/>
              <w:jc w:val="center"/>
            </w:pPr>
            <w:r>
              <w:rPr>
                <w:rFonts w:hint="eastAsia"/>
                <w:sz w:val="21"/>
                <w:szCs w:val="21"/>
                <w:highlight w:val="none"/>
              </w:rPr>
              <w:t>无</w:t>
            </w:r>
          </w:p>
        </w:tc>
        <w:tc>
          <w:tcPr>
            <w:tcW w:w="1483" w:type="dxa"/>
            <w:shd w:val="clear" w:color="auto" w:fill="auto"/>
            <w:vAlign w:val="center"/>
          </w:tcPr>
          <w:p w14:paraId="1D4C41C9">
            <w:pPr>
              <w:keepNext w:val="0"/>
              <w:keepLines w:val="0"/>
              <w:widowControl/>
              <w:suppressLineNumbers w:val="0"/>
              <w:spacing w:before="0" w:beforeAutospacing="0" w:after="0" w:afterAutospacing="0" w:line="360" w:lineRule="auto"/>
              <w:ind w:left="0" w:leftChars="0" w:right="0" w:rightChars="0" w:firstLine="0" w:firstLineChars="0"/>
              <w:jc w:val="center"/>
            </w:pPr>
            <w:r>
              <w:rPr>
                <w:rFonts w:hint="eastAsia" w:ascii="宋体" w:hAnsi="宋体" w:eastAsia="宋体" w:cs="宋体"/>
                <w:kern w:val="2"/>
                <w:sz w:val="24"/>
                <w:szCs w:val="24"/>
                <w:lang w:val="en-US" w:eastAsia="zh-CN" w:bidi="ar"/>
              </w:rPr>
              <w:t>不驻场</w:t>
            </w:r>
          </w:p>
        </w:tc>
      </w:tr>
    </w:tbl>
    <w:p w14:paraId="5D45EE0F">
      <w:pPr>
        <w:pStyle w:val="3"/>
      </w:pPr>
      <w:bookmarkStart w:id="33" w:name="_Toc63785511"/>
      <w:r>
        <w:t>等级保护要求</w:t>
      </w:r>
      <w:bookmarkEnd w:id="33"/>
    </w:p>
    <w:p w14:paraId="6CBF60A6">
      <w:pPr>
        <w:rPr>
          <w:rFonts w:hint="eastAsia" w:ascii="宋体" w:hAnsi="宋体" w:eastAsia="宋体" w:cs="Times New Roman"/>
        </w:rPr>
      </w:pPr>
      <w:r>
        <w:rPr>
          <w:rFonts w:hint="eastAsia" w:ascii="宋体" w:hAnsi="宋体" w:eastAsia="宋体" w:cs="Times New Roman"/>
        </w:rPr>
        <w:t>本项目等级保护要求：三级。</w:t>
      </w:r>
    </w:p>
    <w:p w14:paraId="3446935A">
      <w:pPr>
        <w:pStyle w:val="3"/>
      </w:pPr>
      <w:r>
        <w:rPr>
          <w:rFonts w:hint="eastAsia"/>
        </w:rPr>
        <w:t>商</w:t>
      </w:r>
      <w:r>
        <w:rPr>
          <w:rFonts w:hint="eastAsia"/>
          <w:lang w:val="en-US" w:eastAsia="zh-CN"/>
        </w:rPr>
        <w:t>用</w:t>
      </w:r>
      <w:r>
        <w:rPr>
          <w:rFonts w:hint="eastAsia"/>
        </w:rPr>
        <w:t>密码应用需求</w:t>
      </w:r>
    </w:p>
    <w:p w14:paraId="329D88F6">
      <w:pPr>
        <w:rPr>
          <w:rFonts w:hint="default" w:ascii="宋体" w:hAnsi="宋体" w:eastAsia="宋体" w:cs="Times New Roman"/>
          <w:lang w:val="en-US" w:eastAsia="zh-CN"/>
        </w:rPr>
      </w:pPr>
      <w:r>
        <w:rPr>
          <w:rFonts w:hint="eastAsia" w:cs="Times New Roman"/>
          <w:lang w:val="en-US" w:eastAsia="zh-CN"/>
        </w:rPr>
        <w:t>本项目不涉及。</w:t>
      </w:r>
    </w:p>
    <w:p w14:paraId="65F48253">
      <w:pPr>
        <w:pStyle w:val="3"/>
      </w:pPr>
      <w:bookmarkStart w:id="34" w:name="_Toc63785512"/>
      <w:r>
        <w:rPr>
          <w:rFonts w:hint="eastAsia"/>
        </w:rPr>
        <w:t>技术文件要求</w:t>
      </w:r>
    </w:p>
    <w:p w14:paraId="0FECDD8D">
      <w:r>
        <w:rPr>
          <w:rFonts w:hint="eastAsia"/>
        </w:rPr>
        <w:t>投标人提供的书面技术资料应能确保系统正常运行所需的管理、运营及维护有关的全套文件。技术文件应该全面、完整、详细。投标人提供的技术文件至少应包括：</w:t>
      </w:r>
    </w:p>
    <w:p w14:paraId="482EE618">
      <w:r>
        <w:rPr>
          <w:rFonts w:hint="eastAsia"/>
        </w:rPr>
        <w:t>－</w:t>
      </w:r>
      <w:r>
        <w:t xml:space="preserve"> </w:t>
      </w:r>
      <w:r>
        <w:rPr>
          <w:rFonts w:hint="eastAsia"/>
          <w:lang w:val="en-US" w:eastAsia="zh-CN"/>
        </w:rPr>
        <w:t>设备</w:t>
      </w:r>
      <w:r>
        <w:t xml:space="preserve">说明文件； </w:t>
      </w:r>
    </w:p>
    <w:p w14:paraId="0A8BA894">
      <w:r>
        <w:rPr>
          <w:rFonts w:hint="eastAsia"/>
        </w:rPr>
        <w:t>－</w:t>
      </w:r>
      <w:r>
        <w:t xml:space="preserve"> 技术手册</w:t>
      </w:r>
      <w:r>
        <w:rPr>
          <w:rFonts w:hint="eastAsia"/>
          <w:lang w:eastAsia="zh-CN"/>
        </w:rPr>
        <w:t>（</w:t>
      </w:r>
      <w:r>
        <w:t>安装、测试、操作、维护、故障排除等</w:t>
      </w:r>
      <w:r>
        <w:rPr>
          <w:rFonts w:hint="eastAsia"/>
          <w:lang w:eastAsia="zh-CN"/>
        </w:rPr>
        <w:t>）</w:t>
      </w:r>
      <w:r>
        <w:t xml:space="preserve">； </w:t>
      </w:r>
    </w:p>
    <w:p w14:paraId="20A8EC74">
      <w:r>
        <w:rPr>
          <w:rFonts w:hint="eastAsia"/>
        </w:rPr>
        <w:t>－</w:t>
      </w:r>
      <w:r>
        <w:t xml:space="preserve"> </w:t>
      </w:r>
      <w:r>
        <w:rPr>
          <w:rFonts w:hint="eastAsia"/>
          <w:lang w:val="en-US" w:eastAsia="zh-CN"/>
        </w:rPr>
        <w:t>培训</w:t>
      </w:r>
      <w:r>
        <w:t>文档：</w:t>
      </w:r>
    </w:p>
    <w:p w14:paraId="64D59180">
      <w:r>
        <w:rPr>
          <w:rFonts w:hint="eastAsia"/>
        </w:rPr>
        <w:t>提供全套技术文件纸介质</w:t>
      </w:r>
      <w:r>
        <w:t>3套以及电子文件1套。</w:t>
      </w:r>
    </w:p>
    <w:p w14:paraId="36AC0265">
      <w:pPr>
        <w:pStyle w:val="2"/>
      </w:pPr>
      <w:r>
        <w:rPr>
          <w:rFonts w:hint="eastAsia"/>
          <w:lang w:eastAsia="zh-CN"/>
        </w:rPr>
        <w:t>供应商综合实力</w:t>
      </w:r>
    </w:p>
    <w:p w14:paraId="161E2042">
      <w:pPr>
        <w:numPr>
          <w:ilvl w:val="0"/>
          <w:numId w:val="5"/>
        </w:numPr>
        <w:rPr>
          <w:rFonts w:hint="eastAsia"/>
          <w:lang w:eastAsia="zh-CN"/>
        </w:rPr>
      </w:pPr>
      <w:r>
        <w:rPr>
          <w:rFonts w:hint="eastAsia"/>
          <w:lang w:eastAsia="zh-CN"/>
        </w:rPr>
        <w:t>供应商具有</w:t>
      </w:r>
      <w:r>
        <w:rPr>
          <w:rFonts w:hint="eastAsia"/>
        </w:rPr>
        <w:t>CCRC信息安全服务资质认证证书（信息系统安全运维类）的</w:t>
      </w:r>
      <w:r>
        <w:rPr>
          <w:rFonts w:hint="eastAsia"/>
          <w:lang w:eastAsia="zh-CN"/>
        </w:rPr>
        <w:t>优先考虑。</w:t>
      </w:r>
    </w:p>
    <w:p w14:paraId="54E30C91">
      <w:pPr>
        <w:numPr>
          <w:ilvl w:val="0"/>
          <w:numId w:val="5"/>
        </w:numPr>
        <w:rPr>
          <w:rFonts w:hint="eastAsia"/>
          <w:lang w:eastAsia="zh-CN"/>
        </w:rPr>
      </w:pPr>
      <w:r>
        <w:rPr>
          <w:rFonts w:hint="eastAsia"/>
          <w:lang w:eastAsia="zh-CN"/>
        </w:rPr>
        <w:t>供应商具有国产化数据采集类、国产化微服务支撑管理类、国产化智能搜索类、智能管理类、智能运维类、AI智能体类、多模态智能体类、多模态数据融合治理及相关类型或类似功能的软件著作权证书的优先考虑。</w:t>
      </w:r>
    </w:p>
    <w:p w14:paraId="499D2ECF">
      <w:pPr>
        <w:pStyle w:val="2"/>
      </w:pPr>
      <w:r>
        <w:rPr>
          <w:rFonts w:hint="eastAsia" w:ascii="宋体" w:hAnsi="宋体"/>
        </w:rPr>
        <w:t>供应商资质</w:t>
      </w:r>
      <w:r>
        <w:rPr>
          <w:rFonts w:hint="eastAsia"/>
          <w:lang w:val="en-US" w:eastAsia="zh-CN"/>
        </w:rPr>
        <w:t>要求</w:t>
      </w:r>
    </w:p>
    <w:p w14:paraId="1A5D3C0B">
      <w:pPr>
        <w:pStyle w:val="83"/>
        <w:ind w:firstLine="480"/>
        <w:rPr>
          <w:rFonts w:hint="eastAsia" w:ascii="宋体" w:hAnsi="宋体"/>
          <w:sz w:val="24"/>
          <w:szCs w:val="24"/>
        </w:rPr>
      </w:pPr>
      <w:r>
        <w:rPr>
          <w:rFonts w:hint="eastAsia" w:ascii="宋体" w:hAnsi="宋体"/>
          <w:sz w:val="24"/>
          <w:szCs w:val="24"/>
        </w:rPr>
        <w:t>1.满足《中华人民共和国政府采购法》第二十二条规定</w:t>
      </w:r>
      <w:r>
        <w:rPr>
          <w:rFonts w:hint="eastAsia"/>
          <w:sz w:val="24"/>
          <w:szCs w:val="24"/>
          <w:lang w:eastAsia="zh-CN"/>
        </w:rPr>
        <w:t>；</w:t>
      </w:r>
    </w:p>
    <w:p w14:paraId="3A516B79">
      <w:pPr>
        <w:pStyle w:val="83"/>
        <w:ind w:firstLine="480"/>
        <w:rPr>
          <w:rFonts w:hint="eastAsia" w:ascii="宋体" w:hAnsi="宋体"/>
          <w:sz w:val="24"/>
          <w:szCs w:val="24"/>
        </w:rPr>
      </w:pPr>
      <w:r>
        <w:rPr>
          <w:rFonts w:hint="eastAsia" w:ascii="宋体" w:hAnsi="宋体"/>
          <w:sz w:val="24"/>
          <w:szCs w:val="24"/>
        </w:rPr>
        <w:t>2.落实政府采购政策需满足的资格要求：根据《政府采购促进中小企业发展办法》等规定，本项目专门面向中小企业采购。中小企业应当按照规定提供《中小企业声明函》。</w:t>
      </w:r>
    </w:p>
    <w:p w14:paraId="1910C342">
      <w:pPr>
        <w:pStyle w:val="83"/>
        <w:ind w:firstLine="480"/>
        <w:rPr>
          <w:rFonts w:hint="eastAsia" w:ascii="宋体" w:hAnsi="宋体"/>
          <w:sz w:val="24"/>
          <w:szCs w:val="24"/>
        </w:rPr>
      </w:pPr>
      <w:r>
        <w:rPr>
          <w:rFonts w:hint="eastAsia" w:ascii="宋体" w:hAnsi="宋体"/>
          <w:sz w:val="24"/>
          <w:szCs w:val="24"/>
        </w:rPr>
        <w:t>3.本项目的特定资格要求：</w:t>
      </w:r>
    </w:p>
    <w:p w14:paraId="7CE32326">
      <w:pPr>
        <w:pStyle w:val="83"/>
        <w:ind w:left="480" w:leftChars="200" w:firstLine="480"/>
        <w:rPr>
          <w:rFonts w:hint="eastAsia" w:ascii="宋体" w:hAnsi="宋体"/>
          <w:sz w:val="24"/>
          <w:szCs w:val="24"/>
        </w:rPr>
      </w:pPr>
      <w:r>
        <w:rPr>
          <w:rFonts w:hint="eastAsia" w:ascii="宋体" w:hAnsi="宋体"/>
          <w:sz w:val="24"/>
          <w:szCs w:val="24"/>
        </w:rPr>
        <w:t>1、符合《中华人民共和国政府采购法》第二十二条的规定；</w:t>
      </w:r>
    </w:p>
    <w:p w14:paraId="43FAB794">
      <w:pPr>
        <w:pStyle w:val="83"/>
        <w:ind w:left="480" w:leftChars="200" w:firstLine="480"/>
        <w:rPr>
          <w:rFonts w:hint="eastAsia" w:ascii="宋体" w:hAnsi="宋体"/>
          <w:sz w:val="24"/>
          <w:szCs w:val="24"/>
        </w:rPr>
      </w:pPr>
      <w:r>
        <w:rPr>
          <w:rFonts w:hint="eastAsia" w:ascii="宋体" w:hAnsi="宋体"/>
          <w:sz w:val="24"/>
          <w:szCs w:val="24"/>
        </w:rPr>
        <w:t>2、未被“信用中国”(www.creditchina.gov.cn)、中国政府采购网(www.ccgp.gov.cn)列入失信被执行人、重大税收违法案件当事人名单、政府采购严重违法失信行为记录名单；</w:t>
      </w:r>
    </w:p>
    <w:p w14:paraId="0AEF938E">
      <w:pPr>
        <w:pStyle w:val="83"/>
        <w:ind w:left="480" w:leftChars="200" w:firstLine="480"/>
        <w:rPr>
          <w:rFonts w:hint="eastAsia" w:ascii="宋体" w:hAnsi="宋体"/>
        </w:rPr>
      </w:pPr>
      <w:r>
        <w:rPr>
          <w:rFonts w:hint="eastAsia" w:ascii="宋体" w:hAnsi="宋体"/>
          <w:sz w:val="24"/>
          <w:szCs w:val="24"/>
        </w:rPr>
        <w:t>3、本项目不接受联合体投标。</w:t>
      </w:r>
    </w:p>
    <w:p w14:paraId="4A17B552">
      <w:pPr>
        <w:pStyle w:val="2"/>
      </w:pPr>
      <w:r>
        <w:rPr>
          <w:rFonts w:hint="eastAsia"/>
        </w:rPr>
        <w:t>供应商管理要求</w:t>
      </w:r>
      <w:bookmarkEnd w:id="34"/>
    </w:p>
    <w:p w14:paraId="1A180C7A">
      <w:pPr>
        <w:pStyle w:val="83"/>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29A0A6E3">
      <w:pPr>
        <w:pStyle w:val="83"/>
        <w:ind w:firstLine="480"/>
        <w:rPr>
          <w:sz w:val="24"/>
          <w:szCs w:val="24"/>
        </w:rPr>
      </w:pPr>
      <w:r>
        <w:rPr>
          <w:rFonts w:hint="eastAsia"/>
          <w:sz w:val="24"/>
          <w:szCs w:val="24"/>
        </w:rPr>
        <w:t>2、中标人在投标书中承诺并经招标人认定的</w:t>
      </w:r>
      <w:r>
        <w:rPr>
          <w:rFonts w:hint="eastAsia"/>
          <w:sz w:val="24"/>
          <w:szCs w:val="24"/>
          <w:lang w:eastAsia="zh-CN"/>
        </w:rPr>
        <w:t>项目经理</w:t>
      </w:r>
      <w:r>
        <w:rPr>
          <w:rFonts w:hint="eastAsia"/>
          <w:sz w:val="24"/>
          <w:szCs w:val="24"/>
        </w:rPr>
        <w:t>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30B5B895">
      <w:pPr>
        <w:pStyle w:val="83"/>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5A781691">
      <w:pPr>
        <w:pStyle w:val="83"/>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07F4570D">
      <w:pPr>
        <w:pStyle w:val="83"/>
        <w:ind w:firstLine="480"/>
        <w:rPr>
          <w:sz w:val="24"/>
          <w:szCs w:val="24"/>
        </w:rPr>
      </w:pPr>
      <w:r>
        <w:rPr>
          <w:rFonts w:hint="eastAsia"/>
          <w:sz w:val="24"/>
          <w:szCs w:val="24"/>
        </w:rPr>
        <w:t>5、中标人在项目实施期间必须遵守采购人的规章制度并提供实施人员名单。</w:t>
      </w:r>
    </w:p>
    <w:p w14:paraId="2303FE29">
      <w:pPr>
        <w:pStyle w:val="83"/>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48A5C321">
      <w:pPr>
        <w:pStyle w:val="83"/>
        <w:ind w:firstLine="480"/>
      </w:pPr>
      <w:r>
        <w:rPr>
          <w:rFonts w:hint="eastAsia"/>
          <w:sz w:val="24"/>
          <w:szCs w:val="24"/>
        </w:rPr>
        <w:t>7、本项目软件开发及调试将纳入采购人的管理范围，中标人在此过程中须服从上述单位的管理协调。</w:t>
      </w:r>
    </w:p>
    <w:p w14:paraId="68F87CF4">
      <w:pPr>
        <w:pStyle w:val="83"/>
        <w:ind w:firstLine="420"/>
      </w:pPr>
    </w:p>
    <w:p w14:paraId="79A7496B">
      <w:pPr>
        <w:pStyle w:val="2"/>
      </w:pPr>
      <w:bookmarkStart w:id="35" w:name="_Toc63785513"/>
      <w:r>
        <w:rPr>
          <w:rFonts w:hint="eastAsia"/>
        </w:rPr>
        <w:t>关于转让和分包的规定</w:t>
      </w:r>
    </w:p>
    <w:p w14:paraId="6DC4A5E1">
      <w:pPr>
        <w:spacing w:line="560" w:lineRule="exact"/>
        <w:ind w:firstLine="562"/>
        <w:rPr>
          <w:rFonts w:hint="eastAsia" w:ascii="宋体" w:hAnsi="宋体" w:eastAsia="宋体" w:cs="宋体"/>
          <w:b w:val="0"/>
          <w:bCs/>
          <w:sz w:val="24"/>
          <w:szCs w:val="24"/>
        </w:rPr>
      </w:pPr>
      <w:r>
        <w:rPr>
          <w:rFonts w:hint="eastAsia" w:ascii="宋体" w:hAnsi="宋体" w:eastAsia="宋体" w:cs="宋体"/>
          <w:b w:val="0"/>
          <w:bCs/>
          <w:sz w:val="24"/>
          <w:szCs w:val="24"/>
        </w:rPr>
        <w:t>本项目不得转让、不得分包。</w:t>
      </w:r>
    </w:p>
    <w:p w14:paraId="73F9C08C">
      <w:pPr>
        <w:pStyle w:val="2"/>
      </w:pPr>
      <w:r>
        <w:rPr>
          <w:rFonts w:hint="eastAsia"/>
        </w:rPr>
        <w:t>知识产权及保密要求</w:t>
      </w:r>
      <w:bookmarkEnd w:id="35"/>
    </w:p>
    <w:p w14:paraId="584B4BC9">
      <w:pPr>
        <w:ind w:firstLine="482"/>
        <w:rPr>
          <w:b/>
        </w:rPr>
      </w:pPr>
      <w:r>
        <w:rPr>
          <w:b/>
        </w:rPr>
        <w:t>1、中标人数据、文件、资料知识产权</w:t>
      </w:r>
    </w:p>
    <w:p w14:paraId="4BE9BE0D">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0C7824E0">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4F52B6B3">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022456EF">
      <w:pPr>
        <w:ind w:firstLine="482"/>
        <w:rPr>
          <w:b/>
        </w:rPr>
      </w:pPr>
      <w:r>
        <w:rPr>
          <w:b/>
        </w:rPr>
        <w:t>2、项目保密要求</w:t>
      </w:r>
    </w:p>
    <w:p w14:paraId="3F00F97C">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76901857">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51ECC5E0">
      <w:r>
        <w:rPr>
          <w:rFonts w:hint="eastAsia"/>
        </w:rPr>
        <w:t>中标人（含中标人参与本项目的人员以及其合作方）未经</w:t>
      </w:r>
      <w:r>
        <w:rPr>
          <w:rFonts w:hint="eastAsia"/>
          <w:lang w:eastAsia="zh-CN"/>
        </w:rPr>
        <w:t>采购人</w:t>
      </w:r>
      <w:r>
        <w:rPr>
          <w:rFonts w:hint="eastAsia"/>
        </w:rPr>
        <w:t>书面许可，不得以任何形式自行使用或以任何方式向第三方披露、转让、授权、出售与本项目有关的技术成果、计算机软件、源代码、策划文档、技术诀窍、秘密信息、技术资料和其他文件。</w:t>
      </w:r>
    </w:p>
    <w:p w14:paraId="41BE57B5">
      <w:r>
        <w:rPr>
          <w:rFonts w:hint="eastAsia"/>
        </w:rPr>
        <w:t>以上内容的保密期限自中标人知悉保密信息起始至保密信息被合法公开之日止。</w:t>
      </w:r>
    </w:p>
    <w:p w14:paraId="48AD1D68">
      <w:pPr>
        <w:ind w:firstLine="482"/>
        <w:rPr>
          <w:b/>
        </w:rPr>
      </w:pPr>
      <w:r>
        <w:rPr>
          <w:b/>
        </w:rPr>
        <w:t>3、临时账号等使用要求</w:t>
      </w:r>
    </w:p>
    <w:p w14:paraId="440BFEB6">
      <w:r>
        <w:rPr>
          <w:rFonts w:hint="eastAsia"/>
        </w:rPr>
        <w:t>中标人对采购人提</w:t>
      </w:r>
      <w:r>
        <w:rPr>
          <w:rFonts w:hint="eastAsia"/>
          <w:lang w:val="en-US" w:eastAsia="zh-CN"/>
        </w:rPr>
        <w:t>供</w:t>
      </w:r>
      <w:r>
        <w:rPr>
          <w:rFonts w:hint="eastAsia"/>
        </w:rPr>
        <w:t>的临时使用账号要保密，不得公开，对组件开发的账号密码需进行加密，避免信息安全的泄露。未经采购人的同意不得利用采购人的网络及平台进行短信、彩信、微信发送</w:t>
      </w:r>
      <w:r>
        <w:rPr>
          <w:rFonts w:hint="eastAsia"/>
          <w:lang w:eastAsia="zh-CN"/>
        </w:rPr>
        <w:t>，</w:t>
      </w:r>
      <w:r>
        <w:t>造成的一切后果由中标人负责。</w:t>
      </w:r>
    </w:p>
    <w:p w14:paraId="3CC3E56E">
      <w:pPr>
        <w:pStyle w:val="2"/>
      </w:pPr>
      <w:bookmarkStart w:id="36" w:name="_Toc65170093"/>
      <w:r>
        <w:t>项目的变更、解除和终止</w:t>
      </w:r>
    </w:p>
    <w:p w14:paraId="24FD5373">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4B0B93DE">
      <w:r>
        <w:rPr>
          <w:rFonts w:hint="eastAsia"/>
        </w:rPr>
        <w:t>如遇国家、行业管理部门等机构的有关标准和规定调整的，导致本项目内容须做相应调整时，双方应按照公平、合理的原则共同协商修改本项目对应的合同的相关条款。</w:t>
      </w:r>
    </w:p>
    <w:p w14:paraId="1317FE21">
      <w:pPr>
        <w:pStyle w:val="2"/>
      </w:pPr>
      <w:r>
        <w:rPr>
          <w:rFonts w:hint="eastAsia"/>
        </w:rPr>
        <w:t>违约责任</w:t>
      </w:r>
      <w:bookmarkEnd w:id="36"/>
    </w:p>
    <w:p w14:paraId="237A99DE">
      <w: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09FC91BD">
      <w: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74F76D95">
      <w:r>
        <w:t>3、中标人有其他违反本项目合同约定的行为，中标人应当支付本项目总价款金额的20%作为违约金，违约金不足以弥补采购人损失的，采购人有权要求中标人赔偿超过部分。</w:t>
      </w:r>
    </w:p>
    <w:p w14:paraId="5487A971">
      <w:r>
        <w:t>4、中标人有下列情形之一，采购人有权解除合同：</w:t>
      </w:r>
    </w:p>
    <w:p w14:paraId="53282D94">
      <w:r>
        <w:rPr>
          <w:rFonts w:hint="eastAsia"/>
        </w:rPr>
        <w:t>（1</w:t>
      </w:r>
      <w:r>
        <w:t>）因中标人服务质量问题导致采购人无法实现目</w:t>
      </w:r>
      <w:bookmarkStart w:id="40" w:name="_GoBack"/>
      <w:bookmarkEnd w:id="40"/>
      <w:r>
        <w:t>的；</w:t>
      </w:r>
    </w:p>
    <w:p w14:paraId="07F97C4F">
      <w:r>
        <w:rPr>
          <w:rFonts w:hint="eastAsia"/>
        </w:rPr>
        <w:t>（2</w:t>
      </w:r>
      <w:r>
        <w:t>）擅自转让或者分包其应履行的义务的；</w:t>
      </w:r>
    </w:p>
    <w:p w14:paraId="513FCD88">
      <w:r>
        <w:rPr>
          <w:rFonts w:hint="eastAsia"/>
        </w:rPr>
        <w:t>（3</w:t>
      </w:r>
      <w:r>
        <w:t>）违反或者未履行本项目合同约定的其他相关义务，且在采购人要求的合理时间内未能纠正的。</w:t>
      </w:r>
    </w:p>
    <w:p w14:paraId="66EED6EF">
      <w:pPr>
        <w:pStyle w:val="2"/>
      </w:pPr>
      <w:bookmarkStart w:id="37" w:name="_Toc63785514"/>
      <w:r>
        <w:rPr>
          <w:rFonts w:hint="eastAsia"/>
        </w:rPr>
        <w:t>付款</w:t>
      </w:r>
      <w:bookmarkEnd w:id="37"/>
      <w:r>
        <w:rPr>
          <w:rFonts w:hint="eastAsia"/>
        </w:rPr>
        <w:t>方式</w:t>
      </w:r>
    </w:p>
    <w:p w14:paraId="3145BF3E">
      <w:pPr>
        <w:pStyle w:val="67"/>
        <w:ind w:firstLine="482"/>
        <w:rPr>
          <w:rFonts w:hint="eastAsia" w:ascii="宋体" w:hAnsi="宋体" w:eastAsia="宋体" w:cs="Times New Roman"/>
          <w:kern w:val="2"/>
          <w:sz w:val="24"/>
          <w:szCs w:val="24"/>
          <w:lang w:val="en-US" w:eastAsia="zh-CN" w:bidi="ar-SA"/>
        </w:rPr>
      </w:pPr>
      <w:bookmarkStart w:id="38" w:name="付款方法"/>
      <w:r>
        <w:rPr>
          <w:rFonts w:hint="eastAsia" w:ascii="宋体" w:hAnsi="宋体" w:eastAsia="宋体" w:cs="Times New Roman"/>
          <w:kern w:val="2"/>
          <w:sz w:val="24"/>
          <w:szCs w:val="24"/>
          <w:lang w:val="en-US" w:eastAsia="zh-CN" w:bidi="ar-SA"/>
        </w:rPr>
        <w:t>采用以下方式付款：</w:t>
      </w:r>
    </w:p>
    <w:p w14:paraId="6E2F1446">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A.如果中标金额大于19</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844</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743</w:t>
      </w:r>
      <w:r>
        <w:rPr>
          <w:rFonts w:hint="eastAsia" w:ascii="宋体" w:hAnsi="宋体" w:cs="Times New Roman"/>
          <w:kern w:val="2"/>
          <w:sz w:val="24"/>
          <w:szCs w:val="24"/>
          <w:lang w:val="en-US" w:eastAsia="zh-CN" w:bidi="ar-SA"/>
        </w:rPr>
        <w:t>.00</w:t>
      </w:r>
      <w:r>
        <w:rPr>
          <w:rFonts w:hint="eastAsia" w:ascii="宋体" w:hAnsi="宋体" w:eastAsia="宋体" w:cs="Times New Roman"/>
          <w:kern w:val="2"/>
          <w:sz w:val="24"/>
          <w:szCs w:val="24"/>
          <w:lang w:val="en-US" w:eastAsia="zh-CN" w:bidi="ar-SA"/>
        </w:rPr>
        <w:t>元</w:t>
      </w:r>
    </w:p>
    <w:p w14:paraId="4C96C986">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①按中标金额签订合同，合同</w:t>
      </w:r>
      <w:r>
        <w:rPr>
          <w:rFonts w:hint="eastAsia" w:ascii="宋体" w:hAnsi="宋体" w:cs="Times New Roman"/>
          <w:kern w:val="2"/>
          <w:sz w:val="24"/>
          <w:szCs w:val="24"/>
          <w:lang w:val="en-US" w:eastAsia="zh-CN" w:bidi="ar-SA"/>
        </w:rPr>
        <w:t>签订</w:t>
      </w:r>
      <w:r>
        <w:rPr>
          <w:rFonts w:hint="eastAsia" w:ascii="宋体" w:hAnsi="宋体" w:eastAsia="宋体" w:cs="Times New Roman"/>
          <w:kern w:val="2"/>
          <w:sz w:val="24"/>
          <w:szCs w:val="24"/>
          <w:lang w:val="en-US" w:eastAsia="zh-CN" w:bidi="ar-SA"/>
        </w:rPr>
        <w:t>生效</w:t>
      </w:r>
      <w:r>
        <w:rPr>
          <w:rFonts w:hint="eastAsia" w:ascii="宋体" w:hAnsi="宋体" w:cs="Times New Roman"/>
          <w:kern w:val="2"/>
          <w:sz w:val="24"/>
          <w:szCs w:val="24"/>
          <w:lang w:val="en-US" w:eastAsia="zh-CN" w:bidi="ar-SA"/>
        </w:rPr>
        <w:t>且采购人收到供应商开具的发票后10个工作日内，</w:t>
      </w:r>
      <w:r>
        <w:rPr>
          <w:rFonts w:hint="eastAsia" w:ascii="宋体" w:hAnsi="宋体" w:eastAsia="宋体" w:cs="Times New Roman"/>
          <w:kern w:val="2"/>
          <w:sz w:val="24"/>
          <w:szCs w:val="24"/>
          <w:lang w:val="en-US" w:eastAsia="zh-CN" w:bidi="ar-SA"/>
        </w:rPr>
        <w:t>支付19</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844</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743</w:t>
      </w:r>
      <w:r>
        <w:rPr>
          <w:rFonts w:hint="eastAsia" w:ascii="宋体" w:hAnsi="宋体" w:cs="Times New Roman"/>
          <w:kern w:val="2"/>
          <w:sz w:val="24"/>
          <w:szCs w:val="24"/>
          <w:lang w:val="en-US" w:eastAsia="zh-CN" w:bidi="ar-SA"/>
        </w:rPr>
        <w:t>.00元</w:t>
      </w:r>
      <w:r>
        <w:rPr>
          <w:rFonts w:hint="eastAsia" w:ascii="宋体" w:hAnsi="宋体" w:eastAsia="宋体" w:cs="Times New Roman"/>
          <w:kern w:val="2"/>
          <w:sz w:val="24"/>
          <w:szCs w:val="24"/>
          <w:lang w:val="en-US" w:eastAsia="zh-CN" w:bidi="ar-SA"/>
        </w:rPr>
        <w:t>；</w:t>
      </w:r>
    </w:p>
    <w:p w14:paraId="520952B5">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②本项目初验通过</w:t>
      </w:r>
      <w:r>
        <w:rPr>
          <w:rFonts w:hint="eastAsia" w:ascii="宋体" w:hAnsi="宋体" w:cs="Times New Roman"/>
          <w:kern w:val="2"/>
          <w:sz w:val="24"/>
          <w:szCs w:val="24"/>
          <w:lang w:val="en-US" w:eastAsia="zh-CN" w:bidi="ar-SA"/>
        </w:rPr>
        <w:t>且采购人收到供应商开具的发票后10个工作日内</w:t>
      </w:r>
      <w:r>
        <w:rPr>
          <w:rFonts w:hint="eastAsia" w:ascii="宋体" w:hAnsi="宋体" w:eastAsia="宋体" w:cs="Times New Roman"/>
          <w:kern w:val="2"/>
          <w:sz w:val="24"/>
          <w:szCs w:val="24"/>
          <w:lang w:val="en-US" w:eastAsia="zh-CN" w:bidi="ar-SA"/>
        </w:rPr>
        <w:t>，支付本项目合同金额的80%扣除第一笔支付金额的剩余金额</w:t>
      </w:r>
      <w:r>
        <w:rPr>
          <w:rFonts w:hint="eastAsia" w:ascii="宋体" w:hAnsi="宋体" w:cs="Times New Roman"/>
          <w:kern w:val="2"/>
          <w:sz w:val="24"/>
          <w:szCs w:val="24"/>
          <w:lang w:val="en-US" w:eastAsia="zh-CN" w:bidi="ar-SA"/>
        </w:rPr>
        <w:t>，若已付款至80%此阶段不再付款</w:t>
      </w:r>
      <w:r>
        <w:rPr>
          <w:rFonts w:hint="eastAsia" w:ascii="宋体" w:hAnsi="宋体" w:eastAsia="宋体" w:cs="Times New Roman"/>
          <w:kern w:val="2"/>
          <w:sz w:val="24"/>
          <w:szCs w:val="24"/>
          <w:lang w:val="en-US" w:eastAsia="zh-CN" w:bidi="ar-SA"/>
        </w:rPr>
        <w:t>；</w:t>
      </w:r>
    </w:p>
    <w:p w14:paraId="2B29F415">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③本项目通过最终验收且</w:t>
      </w:r>
      <w:r>
        <w:rPr>
          <w:rFonts w:hint="eastAsia" w:ascii="宋体" w:hAnsi="宋体" w:cs="Times New Roman"/>
          <w:kern w:val="2"/>
          <w:sz w:val="24"/>
          <w:szCs w:val="24"/>
          <w:lang w:val="en-US" w:eastAsia="zh-CN" w:bidi="ar-SA"/>
        </w:rPr>
        <w:t>采购人</w:t>
      </w:r>
      <w:r>
        <w:rPr>
          <w:rFonts w:hint="eastAsia" w:ascii="宋体" w:hAnsi="宋体" w:eastAsia="宋体" w:cs="Times New Roman"/>
          <w:kern w:val="2"/>
          <w:sz w:val="24"/>
          <w:szCs w:val="24"/>
          <w:lang w:val="en-US" w:eastAsia="zh-CN" w:bidi="ar-SA"/>
        </w:rPr>
        <w:t>收到约定的项目工作成果</w:t>
      </w:r>
      <w:r>
        <w:rPr>
          <w:rFonts w:hint="eastAsia" w:ascii="宋体" w:hAnsi="宋体" w:cs="Times New Roman"/>
          <w:kern w:val="2"/>
          <w:sz w:val="24"/>
          <w:szCs w:val="24"/>
          <w:lang w:val="en-US" w:eastAsia="zh-CN" w:bidi="ar-SA"/>
        </w:rPr>
        <w:t>及供应商开具的发票后10个工作日内</w:t>
      </w:r>
      <w:r>
        <w:rPr>
          <w:rFonts w:hint="eastAsia" w:ascii="宋体" w:hAnsi="宋体" w:eastAsia="宋体" w:cs="Times New Roman"/>
          <w:kern w:val="2"/>
          <w:sz w:val="24"/>
          <w:szCs w:val="24"/>
          <w:lang w:val="en-US" w:eastAsia="zh-CN" w:bidi="ar-SA"/>
        </w:rPr>
        <w:t>，支付合同尾款。</w:t>
      </w:r>
    </w:p>
    <w:p w14:paraId="2A09F21E">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B.如果中标金额小于</w:t>
      </w:r>
      <w:r>
        <w:rPr>
          <w:rFonts w:hint="eastAsia" w:ascii="宋体" w:hAnsi="宋体" w:cs="Times New Roman"/>
          <w:kern w:val="2"/>
          <w:sz w:val="24"/>
          <w:szCs w:val="24"/>
          <w:lang w:val="en-US" w:eastAsia="zh-CN" w:bidi="ar-SA"/>
        </w:rPr>
        <w:t>或者等于</w:t>
      </w:r>
      <w:r>
        <w:rPr>
          <w:rFonts w:hint="eastAsia" w:ascii="宋体" w:hAnsi="宋体" w:eastAsia="宋体" w:cs="Times New Roman"/>
          <w:kern w:val="2"/>
          <w:sz w:val="24"/>
          <w:szCs w:val="24"/>
          <w:lang w:val="en-US" w:eastAsia="zh-CN" w:bidi="ar-SA"/>
        </w:rPr>
        <w:t>19</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844</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743</w:t>
      </w:r>
      <w:r>
        <w:rPr>
          <w:rFonts w:hint="eastAsia" w:ascii="宋体" w:hAnsi="宋体" w:cs="Times New Roman"/>
          <w:kern w:val="2"/>
          <w:sz w:val="24"/>
          <w:szCs w:val="24"/>
          <w:lang w:val="en-US" w:eastAsia="zh-CN" w:bidi="ar-SA"/>
        </w:rPr>
        <w:t>.00</w:t>
      </w:r>
      <w:r>
        <w:rPr>
          <w:rFonts w:hint="eastAsia" w:ascii="宋体" w:hAnsi="宋体" w:eastAsia="宋体" w:cs="Times New Roman"/>
          <w:kern w:val="2"/>
          <w:sz w:val="24"/>
          <w:szCs w:val="24"/>
          <w:lang w:val="en-US" w:eastAsia="zh-CN" w:bidi="ar-SA"/>
        </w:rPr>
        <w:t xml:space="preserve">元 </w:t>
      </w:r>
    </w:p>
    <w:p w14:paraId="047F9384">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①按中标金额签订合同，合同</w:t>
      </w:r>
      <w:r>
        <w:rPr>
          <w:rFonts w:hint="eastAsia" w:ascii="宋体" w:hAnsi="宋体" w:cs="Times New Roman"/>
          <w:kern w:val="2"/>
          <w:sz w:val="24"/>
          <w:szCs w:val="24"/>
          <w:lang w:val="en-US" w:eastAsia="zh-CN" w:bidi="ar-SA"/>
        </w:rPr>
        <w:t>签订</w:t>
      </w:r>
      <w:r>
        <w:rPr>
          <w:rFonts w:hint="eastAsia" w:ascii="宋体" w:hAnsi="宋体" w:eastAsia="宋体" w:cs="Times New Roman"/>
          <w:kern w:val="2"/>
          <w:sz w:val="24"/>
          <w:szCs w:val="24"/>
          <w:lang w:val="en-US" w:eastAsia="zh-CN" w:bidi="ar-SA"/>
        </w:rPr>
        <w:t>生效</w:t>
      </w:r>
      <w:r>
        <w:rPr>
          <w:rFonts w:hint="eastAsia" w:ascii="宋体" w:hAnsi="宋体" w:cs="Times New Roman"/>
          <w:kern w:val="2"/>
          <w:sz w:val="24"/>
          <w:szCs w:val="24"/>
          <w:lang w:val="en-US" w:eastAsia="zh-CN" w:bidi="ar-SA"/>
        </w:rPr>
        <w:t>且采购人收到供应商开具的发票后10个工作日内，</w:t>
      </w:r>
      <w:r>
        <w:rPr>
          <w:rFonts w:hint="eastAsia" w:ascii="宋体" w:hAnsi="宋体" w:eastAsia="宋体" w:cs="Times New Roman"/>
          <w:kern w:val="2"/>
          <w:sz w:val="24"/>
          <w:szCs w:val="24"/>
          <w:lang w:val="en-US" w:eastAsia="zh-CN" w:bidi="ar-SA"/>
        </w:rPr>
        <w:t>支付合同金额的50%；</w:t>
      </w:r>
    </w:p>
    <w:p w14:paraId="69AED04B">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②本项目初验通过</w:t>
      </w:r>
      <w:r>
        <w:rPr>
          <w:rFonts w:hint="eastAsia" w:ascii="宋体" w:hAnsi="宋体" w:cs="Times New Roman"/>
          <w:kern w:val="2"/>
          <w:sz w:val="24"/>
          <w:szCs w:val="24"/>
          <w:lang w:val="en-US" w:eastAsia="zh-CN" w:bidi="ar-SA"/>
        </w:rPr>
        <w:t>且采购人收到供应商开具的发票后10个工作日内，</w:t>
      </w:r>
      <w:r>
        <w:rPr>
          <w:rFonts w:hint="eastAsia" w:ascii="宋体" w:hAnsi="宋体" w:eastAsia="宋体" w:cs="Times New Roman"/>
          <w:kern w:val="2"/>
          <w:sz w:val="24"/>
          <w:szCs w:val="24"/>
          <w:lang w:val="en-US" w:eastAsia="zh-CN" w:bidi="ar-SA"/>
        </w:rPr>
        <w:t>支付合同金额的30%；</w:t>
      </w:r>
    </w:p>
    <w:p w14:paraId="3A5C6909">
      <w:pPr>
        <w:pStyle w:val="67"/>
        <w:ind w:firstLine="48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③本项目通过最终验收且</w:t>
      </w:r>
      <w:r>
        <w:rPr>
          <w:rFonts w:hint="eastAsia" w:ascii="宋体" w:hAnsi="宋体" w:cs="Times New Roman"/>
          <w:kern w:val="2"/>
          <w:sz w:val="24"/>
          <w:szCs w:val="24"/>
          <w:lang w:val="en-US" w:eastAsia="zh-CN" w:bidi="ar-SA"/>
        </w:rPr>
        <w:t>采购人</w:t>
      </w:r>
      <w:r>
        <w:rPr>
          <w:rFonts w:hint="eastAsia" w:ascii="宋体" w:hAnsi="宋体" w:eastAsia="宋体" w:cs="Times New Roman"/>
          <w:kern w:val="2"/>
          <w:sz w:val="24"/>
          <w:szCs w:val="24"/>
          <w:lang w:val="en-US" w:eastAsia="zh-CN" w:bidi="ar-SA"/>
        </w:rPr>
        <w:t>收到约定的项目工作成果</w:t>
      </w:r>
      <w:r>
        <w:rPr>
          <w:rFonts w:hint="eastAsia" w:ascii="宋体" w:hAnsi="宋体" w:cs="Times New Roman"/>
          <w:kern w:val="2"/>
          <w:sz w:val="24"/>
          <w:szCs w:val="24"/>
          <w:lang w:val="en-US" w:eastAsia="zh-CN" w:bidi="ar-SA"/>
        </w:rPr>
        <w:t>及供应商开具的发票后10个工作日内</w:t>
      </w:r>
      <w:r>
        <w:rPr>
          <w:rFonts w:hint="eastAsia" w:ascii="宋体" w:hAnsi="宋体" w:eastAsia="宋体" w:cs="Times New Roman"/>
          <w:kern w:val="2"/>
          <w:sz w:val="24"/>
          <w:szCs w:val="24"/>
          <w:lang w:val="en-US" w:eastAsia="zh-CN" w:bidi="ar-SA"/>
        </w:rPr>
        <w:t>，支付合同尾款。</w:t>
      </w:r>
    </w:p>
    <w:bookmarkEnd w:id="38"/>
    <w:p w14:paraId="50961F46">
      <w:pPr>
        <w:pStyle w:val="2"/>
      </w:pPr>
      <w:bookmarkStart w:id="39" w:name="_Toc68798863"/>
      <w:r>
        <w:rPr>
          <w:rFonts w:hint="eastAsia"/>
        </w:rPr>
        <w:t>附录</w:t>
      </w:r>
      <w:bookmarkEnd w:id="39"/>
    </w:p>
    <w:p w14:paraId="3618CA72">
      <w:pPr>
        <w:ind w:firstLine="0" w:firstLineChars="0"/>
      </w:pPr>
      <w:r>
        <w:rPr>
          <w:rFonts w:hint="eastAsia"/>
        </w:rPr>
        <w:t>1、</w:t>
      </w:r>
      <w:r>
        <w:t>《政务网络安全监测平台总体技术要求》</w:t>
      </w:r>
    </w:p>
    <w:p w14:paraId="7252F7A5">
      <w:pPr>
        <w:ind w:firstLine="0" w:firstLineChars="0"/>
      </w:pPr>
      <w:r>
        <w:object>
          <v:shape id="_x0000_i1025" o:spt="75" type="#_x0000_t75" style="height:55pt;width:76.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77CA49EF">
      <w:pPr>
        <w:ind w:firstLine="0" w:firstLineChars="0"/>
        <w:rPr>
          <w:rFonts w:hint="eastAsia"/>
          <w:lang w:val="en-US" w:eastAsia="zh-CN"/>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国标宋体"/>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国标宋体">
    <w:panose1 w:val="02000500000000000000"/>
    <w:charset w:val="86"/>
    <w:family w:val="auto"/>
    <w:pitch w:val="default"/>
    <w:sig w:usb0="00000001" w:usb1="28000000" w:usb2="00000000" w:usb3="00000000" w:csb0="00060007"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_GB2312">
    <w:panose1 w:val="02010609030101010101"/>
    <w:charset w:val="86"/>
    <w:family w:val="modern"/>
    <w:pitch w:val="default"/>
    <w:sig w:usb0="00000001" w:usb1="080E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1EAAD">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016A84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D586"/>
  <w:p w14:paraId="5DA111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4979">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4C882">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4825F4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E8A74">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40AC7"/>
  <w:p w14:paraId="594780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13C25">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BFE597"/>
    <w:multiLevelType w:val="singleLevel"/>
    <w:tmpl w:val="F7BFE597"/>
    <w:lvl w:ilvl="0" w:tentative="0">
      <w:start w:val="1"/>
      <w:numFmt w:val="decimal"/>
      <w:suff w:val="nothing"/>
      <w:lvlText w:val="%1）"/>
      <w:lvlJc w:val="left"/>
    </w:lvl>
  </w:abstractNum>
  <w:abstractNum w:abstractNumId="1">
    <w:nsid w:val="FE9E7EE9"/>
    <w:multiLevelType w:val="singleLevel"/>
    <w:tmpl w:val="FE9E7EE9"/>
    <w:lvl w:ilvl="0" w:tentative="0">
      <w:start w:val="1"/>
      <w:numFmt w:val="decimal"/>
      <w:lvlText w:val="%1."/>
      <w:lvlJc w:val="left"/>
      <w:pPr>
        <w:tabs>
          <w:tab w:val="left" w:pos="312"/>
        </w:tabs>
      </w:pPr>
    </w:lvl>
  </w:abstractNum>
  <w:abstractNum w:abstractNumId="2">
    <w:nsid w:val="6350366A"/>
    <w:multiLevelType w:val="multilevel"/>
    <w:tmpl w:val="6350366A"/>
    <w:lvl w:ilvl="0" w:tentative="0">
      <w:start w:val="1"/>
      <w:numFmt w:val="none"/>
      <w:pStyle w:val="115"/>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5D57574"/>
    <w:multiLevelType w:val="multilevel"/>
    <w:tmpl w:val="65D5757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53783D"/>
    <w:rsid w:val="372D7DC3"/>
    <w:rsid w:val="415C1119"/>
    <w:rsid w:val="4D6F7D3F"/>
    <w:rsid w:val="72E71A61"/>
    <w:rsid w:val="7A95D0E2"/>
    <w:rsid w:val="BBF3DA83"/>
    <w:rsid w:val="CFDFC3FB"/>
    <w:rsid w:val="CFF68685"/>
    <w:rsid w:val="DDFB0CA4"/>
    <w:rsid w:val="DF7F30DA"/>
    <w:rsid w:val="E4FEAB76"/>
    <w:rsid w:val="FCDED3E1"/>
    <w:rsid w:val="FEF76C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8"/>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91"/>
    <w:qFormat/>
    <w:uiPriority w:val="9"/>
    <w:pPr>
      <w:keepNext/>
      <w:keepLines/>
      <w:numPr>
        <w:ilvl w:val="1"/>
        <w:numId w:val="1"/>
      </w:numPr>
      <w:spacing w:before="120" w:after="120"/>
      <w:ind w:left="0" w:firstLine="960" w:firstLineChars="200"/>
      <w:outlineLvl w:val="1"/>
    </w:pPr>
    <w:rPr>
      <w:b/>
      <w:bCs/>
      <w:sz w:val="30"/>
      <w:szCs w:val="32"/>
    </w:rPr>
  </w:style>
  <w:style w:type="paragraph" w:styleId="4">
    <w:name w:val="heading 3"/>
    <w:basedOn w:val="1"/>
    <w:next w:val="5"/>
    <w:link w:val="84"/>
    <w:qFormat/>
    <w:uiPriority w:val="0"/>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61"/>
    <w:qFormat/>
    <w:uiPriority w:val="0"/>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89"/>
    <w:qFormat/>
    <w:uiPriority w:val="0"/>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102"/>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75"/>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101"/>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51"/>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unhideWhenUsed/>
    <w:qFormat/>
    <w:uiPriority w:val="1"/>
  </w:style>
  <w:style w:type="table" w:default="1" w:styleId="36">
    <w:name w:val="Normal Table"/>
    <w:unhideWhenUsed/>
    <w:qFormat/>
    <w:uiPriority w:val="99"/>
    <w:tblPr>
      <w:tblCellMar>
        <w:top w:w="0" w:type="dxa"/>
        <w:left w:w="108" w:type="dxa"/>
        <w:bottom w:w="0" w:type="dxa"/>
        <w:right w:w="108" w:type="dxa"/>
      </w:tblCellMar>
    </w:tblPr>
  </w:style>
  <w:style w:type="paragraph" w:customStyle="1" w:styleId="5">
    <w:name w:val="可研正文"/>
    <w:basedOn w:val="1"/>
    <w:qFormat/>
    <w:uiPriority w:val="0"/>
    <w:pPr>
      <w:widowControl/>
      <w:adjustRightInd w:val="0"/>
      <w:ind w:firstLine="560" w:firstLineChars="200"/>
    </w:pPr>
    <w:rPr>
      <w:rFonts w:ascii="仿宋_GB2312" w:hAnsi="仿宋_GB2312" w:eastAsia="仿宋_GB2312"/>
      <w:kern w:val="0"/>
      <w:sz w:val="28"/>
      <w:szCs w:val="28"/>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Normal Indent"/>
    <w:basedOn w:val="1"/>
    <w:unhideWhenUsed/>
    <w:qFormat/>
    <w:uiPriority w:val="99"/>
    <w:pPr>
      <w:spacing w:line="240" w:lineRule="auto"/>
      <w:ind w:firstLine="420"/>
    </w:pPr>
    <w:rPr>
      <w:rFonts w:ascii="Calibri" w:hAnsi="Calibri"/>
      <w:sz w:val="21"/>
    </w:rPr>
  </w:style>
  <w:style w:type="paragraph" w:styleId="14">
    <w:name w:val="caption"/>
    <w:basedOn w:val="1"/>
    <w:next w:val="1"/>
    <w:link w:val="57"/>
    <w:qFormat/>
    <w:uiPriority w:val="0"/>
    <w:pPr>
      <w:spacing w:afterLines="50"/>
      <w:ind w:firstLine="200"/>
    </w:pPr>
    <w:rPr>
      <w:rFonts w:ascii="Arial" w:hAnsi="Arial" w:eastAsia="黑体"/>
      <w:sz w:val="20"/>
      <w:szCs w:val="20"/>
    </w:rPr>
  </w:style>
  <w:style w:type="paragraph" w:styleId="15">
    <w:name w:val="Document Map"/>
    <w:basedOn w:val="1"/>
    <w:link w:val="94"/>
    <w:qFormat/>
    <w:uiPriority w:val="0"/>
    <w:rPr>
      <w:rFonts w:hAnsi="Times New Roman"/>
      <w:sz w:val="18"/>
      <w:szCs w:val="18"/>
    </w:rPr>
  </w:style>
  <w:style w:type="paragraph" w:styleId="16">
    <w:name w:val="annotation text"/>
    <w:basedOn w:val="1"/>
    <w:link w:val="48"/>
    <w:qFormat/>
    <w:uiPriority w:val="99"/>
    <w:pPr>
      <w:jc w:val="left"/>
    </w:pPr>
    <w:rPr>
      <w:rFonts w:ascii="Times New Roman" w:hAnsi="Times New Roman" w:eastAsia="仿宋"/>
      <w:sz w:val="28"/>
    </w:rPr>
  </w:style>
  <w:style w:type="paragraph" w:styleId="17">
    <w:name w:val="Body Text"/>
    <w:basedOn w:val="1"/>
    <w:link w:val="62"/>
    <w:unhideWhenUsed/>
    <w:qFormat/>
    <w:uiPriority w:val="0"/>
    <w:pPr>
      <w:spacing w:after="120" w:line="240" w:lineRule="auto"/>
      <w:ind w:firstLine="0" w:firstLineChars="0"/>
    </w:pPr>
    <w:rPr>
      <w:rFonts w:ascii="Times New Roman" w:hAnsi="Times New Roman"/>
      <w:sz w:val="21"/>
    </w:rPr>
  </w:style>
  <w:style w:type="paragraph" w:styleId="18">
    <w:name w:val="Body Text Indent"/>
    <w:basedOn w:val="1"/>
    <w:link w:val="88"/>
    <w:qFormat/>
    <w:uiPriority w:val="0"/>
    <w:pPr>
      <w:spacing w:after="120"/>
      <w:ind w:firstLine="200"/>
    </w:pPr>
    <w:rPr>
      <w:rFonts w:ascii="Times New Roman" w:hAnsi="Times New Roman"/>
      <w:sz w:val="21"/>
      <w:szCs w:val="20"/>
    </w:rPr>
  </w:style>
  <w:style w:type="paragraph" w:styleId="19">
    <w:name w:val="toc 5"/>
    <w:basedOn w:val="1"/>
    <w:next w:val="1"/>
    <w:unhideWhenUsed/>
    <w:qFormat/>
    <w:uiPriority w:val="39"/>
    <w:pPr>
      <w:ind w:left="1680" w:leftChars="800"/>
    </w:pPr>
    <w:rPr>
      <w:rFonts w:ascii="等线" w:hAnsi="等线" w:eastAsia="等线"/>
      <w:szCs w:val="22"/>
    </w:rPr>
  </w:style>
  <w:style w:type="paragraph" w:styleId="20">
    <w:name w:val="toc 3"/>
    <w:basedOn w:val="1"/>
    <w:next w:val="1"/>
    <w:qFormat/>
    <w:uiPriority w:val="39"/>
    <w:pPr>
      <w:tabs>
        <w:tab w:val="right" w:leader="dot" w:pos="8302"/>
      </w:tabs>
      <w:ind w:left="840" w:leftChars="400"/>
    </w:pPr>
  </w:style>
  <w:style w:type="paragraph" w:styleId="21">
    <w:name w:val="Plain Text"/>
    <w:basedOn w:val="1"/>
    <w:link w:val="69"/>
    <w:qFormat/>
    <w:uiPriority w:val="0"/>
    <w:pPr>
      <w:spacing w:line="240" w:lineRule="auto"/>
      <w:ind w:firstLine="0" w:firstLineChars="0"/>
    </w:pPr>
    <w:rPr>
      <w:rFonts w:hAnsi="Courier New"/>
      <w:sz w:val="21"/>
      <w:szCs w:val="20"/>
    </w:rPr>
  </w:style>
  <w:style w:type="paragraph" w:styleId="22">
    <w:name w:val="toc 8"/>
    <w:basedOn w:val="1"/>
    <w:next w:val="1"/>
    <w:unhideWhenUsed/>
    <w:qFormat/>
    <w:uiPriority w:val="39"/>
    <w:pPr>
      <w:ind w:left="2940" w:leftChars="1400"/>
    </w:pPr>
    <w:rPr>
      <w:rFonts w:ascii="等线" w:hAnsi="等线" w:eastAsia="等线"/>
      <w:szCs w:val="22"/>
    </w:rPr>
  </w:style>
  <w:style w:type="paragraph" w:styleId="23">
    <w:name w:val="Date"/>
    <w:basedOn w:val="1"/>
    <w:next w:val="1"/>
    <w:link w:val="50"/>
    <w:qFormat/>
    <w:uiPriority w:val="0"/>
    <w:pPr>
      <w:ind w:left="100" w:leftChars="2500"/>
    </w:pPr>
    <w:rPr>
      <w:rFonts w:ascii="Times New Roman" w:hAnsi="Times New Roman"/>
      <w:sz w:val="21"/>
    </w:rPr>
  </w:style>
  <w:style w:type="paragraph" w:styleId="24">
    <w:name w:val="Balloon Text"/>
    <w:basedOn w:val="1"/>
    <w:link w:val="99"/>
    <w:qFormat/>
    <w:uiPriority w:val="0"/>
    <w:rPr>
      <w:rFonts w:ascii="Times New Roman" w:hAnsi="Times New Roman"/>
      <w:sz w:val="18"/>
      <w:szCs w:val="18"/>
    </w:rPr>
  </w:style>
  <w:style w:type="paragraph" w:styleId="25">
    <w:name w:val="footer"/>
    <w:basedOn w:val="1"/>
    <w:link w:val="92"/>
    <w:qFormat/>
    <w:uiPriority w:val="99"/>
    <w:pPr>
      <w:tabs>
        <w:tab w:val="center" w:pos="4153"/>
        <w:tab w:val="right" w:pos="8306"/>
      </w:tabs>
      <w:snapToGrid w:val="0"/>
      <w:jc w:val="center"/>
    </w:pPr>
    <w:rPr>
      <w:rFonts w:ascii="Times New Roman" w:hAnsi="Times New Roman"/>
      <w:sz w:val="18"/>
      <w:szCs w:val="18"/>
    </w:rPr>
  </w:style>
  <w:style w:type="paragraph" w:styleId="26">
    <w:name w:val="header"/>
    <w:basedOn w:val="1"/>
    <w:link w:val="100"/>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等线" w:hAnsi="等线" w:eastAsia="等线"/>
      <w:szCs w:val="22"/>
    </w:rPr>
  </w:style>
  <w:style w:type="paragraph" w:styleId="29">
    <w:name w:val="Subtitle"/>
    <w:basedOn w:val="1"/>
    <w:next w:val="1"/>
    <w:link w:val="90"/>
    <w:qFormat/>
    <w:uiPriority w:val="0"/>
    <w:pPr>
      <w:spacing w:before="240" w:after="60" w:line="312" w:lineRule="auto"/>
      <w:jc w:val="center"/>
      <w:outlineLvl w:val="1"/>
    </w:pPr>
    <w:rPr>
      <w:rFonts w:ascii="Calibri Light" w:hAnsi="Calibri Light"/>
      <w:b/>
      <w:bCs/>
      <w:kern w:val="28"/>
      <w:sz w:val="32"/>
      <w:szCs w:val="32"/>
    </w:rPr>
  </w:style>
  <w:style w:type="paragraph" w:styleId="30">
    <w:name w:val="toc 6"/>
    <w:basedOn w:val="1"/>
    <w:next w:val="1"/>
    <w:unhideWhenUsed/>
    <w:qFormat/>
    <w:uiPriority w:val="39"/>
    <w:pPr>
      <w:ind w:left="2100" w:leftChars="1000"/>
    </w:pPr>
    <w:rPr>
      <w:rFonts w:ascii="等线" w:hAnsi="等线" w:eastAsia="等线"/>
      <w:szCs w:val="22"/>
    </w:rPr>
  </w:style>
  <w:style w:type="paragraph" w:styleId="31">
    <w:name w:val="toc 2"/>
    <w:basedOn w:val="1"/>
    <w:next w:val="1"/>
    <w:qFormat/>
    <w:uiPriority w:val="39"/>
    <w:pPr>
      <w:tabs>
        <w:tab w:val="right" w:leader="dot" w:pos="8302"/>
      </w:tabs>
      <w:ind w:left="420" w:leftChars="200"/>
    </w:pPr>
  </w:style>
  <w:style w:type="paragraph" w:styleId="32">
    <w:name w:val="toc 9"/>
    <w:basedOn w:val="1"/>
    <w:next w:val="1"/>
    <w:unhideWhenUsed/>
    <w:qFormat/>
    <w:uiPriority w:val="39"/>
    <w:pPr>
      <w:ind w:left="3360" w:leftChars="1600"/>
    </w:pPr>
    <w:rPr>
      <w:rFonts w:ascii="等线" w:hAnsi="等线" w:eastAsia="等线"/>
      <w:szCs w:val="22"/>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8"/>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6"/>
    <w:next w:val="16"/>
    <w:link w:val="86"/>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rPr>
  </w:style>
  <w:style w:type="character" w:styleId="40">
    <w:name w:val="page number"/>
    <w:basedOn w:val="38"/>
    <w:qFormat/>
    <w:uiPriority w:val="0"/>
  </w:style>
  <w:style w:type="character" w:styleId="41">
    <w:name w:val="FollowedHyperlink"/>
    <w:unhideWhenUsed/>
    <w:qFormat/>
    <w:uiPriority w:val="99"/>
    <w:rPr>
      <w:color w:val="954F72"/>
      <w:u w:val="single"/>
    </w:rPr>
  </w:style>
  <w:style w:type="character" w:styleId="42">
    <w:name w:val="Emphasis"/>
    <w:basedOn w:val="38"/>
    <w:qFormat/>
    <w:uiPriority w:val="0"/>
    <w:rPr>
      <w:i/>
    </w:rPr>
  </w:style>
  <w:style w:type="character" w:styleId="43">
    <w:name w:val="Hyperlink"/>
    <w:qFormat/>
    <w:uiPriority w:val="99"/>
    <w:rPr>
      <w:color w:val="0000FF"/>
      <w:u w:val="single"/>
    </w:rPr>
  </w:style>
  <w:style w:type="character" w:styleId="44">
    <w:name w:val="annotation reference"/>
    <w:qFormat/>
    <w:uiPriority w:val="99"/>
    <w:rPr>
      <w:sz w:val="21"/>
      <w:szCs w:val="21"/>
    </w:rPr>
  </w:style>
  <w:style w:type="character" w:customStyle="1" w:styleId="45">
    <w:name w:val="标题 3 字符1"/>
    <w:qFormat/>
    <w:uiPriority w:val="0"/>
    <w:rPr>
      <w:rFonts w:ascii="宋体" w:hAnsi="宋体"/>
      <w:b/>
      <w:bCs/>
      <w:kern w:val="2"/>
      <w:sz w:val="28"/>
      <w:szCs w:val="28"/>
    </w:rPr>
  </w:style>
  <w:style w:type="character" w:customStyle="1" w:styleId="46">
    <w:name w:val="首行缩进正文 Char"/>
    <w:link w:val="47"/>
    <w:qFormat/>
    <w:uiPriority w:val="0"/>
    <w:rPr>
      <w:kern w:val="2"/>
      <w:sz w:val="24"/>
    </w:rPr>
  </w:style>
  <w:style w:type="paragraph" w:customStyle="1" w:styleId="47">
    <w:name w:val="首行缩进正文"/>
    <w:basedOn w:val="1"/>
    <w:link w:val="46"/>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8">
    <w:name w:val="批注文字 Char"/>
    <w:link w:val="16"/>
    <w:qFormat/>
    <w:uiPriority w:val="99"/>
    <w:rPr>
      <w:rFonts w:eastAsia="仿宋"/>
      <w:kern w:val="2"/>
      <w:sz w:val="28"/>
      <w:szCs w:val="24"/>
    </w:rPr>
  </w:style>
  <w:style w:type="character" w:customStyle="1" w:styleId="49">
    <w:name w:val="日期 字符"/>
    <w:semiHidden/>
    <w:qFormat/>
    <w:uiPriority w:val="99"/>
    <w:rPr>
      <w:rFonts w:ascii="宋体" w:hAnsi="宋体"/>
      <w:kern w:val="2"/>
      <w:sz w:val="24"/>
      <w:szCs w:val="24"/>
    </w:rPr>
  </w:style>
  <w:style w:type="character" w:customStyle="1" w:styleId="50">
    <w:name w:val="日期 Char"/>
    <w:link w:val="23"/>
    <w:qFormat/>
    <w:uiPriority w:val="0"/>
    <w:rPr>
      <w:kern w:val="2"/>
      <w:sz w:val="21"/>
      <w:szCs w:val="24"/>
    </w:rPr>
  </w:style>
  <w:style w:type="character" w:customStyle="1" w:styleId="51">
    <w:name w:val="标题 9 Char"/>
    <w:link w:val="11"/>
    <w:qFormat/>
    <w:uiPriority w:val="9"/>
    <w:rPr>
      <w:rFonts w:ascii="Cambria" w:hAnsi="Cambria"/>
      <w:kern w:val="2"/>
      <w:sz w:val="21"/>
      <w:szCs w:val="21"/>
    </w:rPr>
  </w:style>
  <w:style w:type="character" w:customStyle="1" w:styleId="52">
    <w:name w:val="未处理的提及1"/>
    <w:unhideWhenUsed/>
    <w:qFormat/>
    <w:uiPriority w:val="99"/>
    <w:rPr>
      <w:color w:val="605E5C"/>
      <w:shd w:val="clear" w:color="auto" w:fill="E1DFDD"/>
    </w:rPr>
  </w:style>
  <w:style w:type="character" w:customStyle="1" w:styleId="53">
    <w:name w:val="标题 1 字符"/>
    <w:qFormat/>
    <w:uiPriority w:val="9"/>
    <w:rPr>
      <w:rFonts w:ascii="宋体" w:hAnsi="宋体"/>
      <w:b/>
      <w:bCs/>
      <w:kern w:val="44"/>
      <w:sz w:val="44"/>
      <w:szCs w:val="44"/>
    </w:rPr>
  </w:style>
  <w:style w:type="character" w:customStyle="1" w:styleId="54">
    <w:name w:val="标题 3 字符"/>
    <w:semiHidden/>
    <w:qFormat/>
    <w:uiPriority w:val="9"/>
    <w:rPr>
      <w:rFonts w:ascii="宋体" w:hAnsi="宋体"/>
      <w:b/>
      <w:bCs/>
      <w:kern w:val="2"/>
      <w:sz w:val="32"/>
      <w:szCs w:val="32"/>
    </w:rPr>
  </w:style>
  <w:style w:type="character" w:customStyle="1" w:styleId="55">
    <w:name w:val="页脚 字符"/>
    <w:qFormat/>
    <w:uiPriority w:val="99"/>
  </w:style>
  <w:style w:type="character" w:customStyle="1" w:styleId="56">
    <w:name w:val="标题 5 字符"/>
    <w:semiHidden/>
    <w:qFormat/>
    <w:uiPriority w:val="9"/>
    <w:rPr>
      <w:rFonts w:ascii="宋体" w:hAnsi="宋体"/>
      <w:b/>
      <w:bCs/>
      <w:kern w:val="2"/>
      <w:sz w:val="28"/>
      <w:szCs w:val="28"/>
    </w:rPr>
  </w:style>
  <w:style w:type="character" w:customStyle="1" w:styleId="57">
    <w:name w:val="题注 Char"/>
    <w:link w:val="14"/>
    <w:qFormat/>
    <w:locked/>
    <w:uiPriority w:val="0"/>
    <w:rPr>
      <w:rFonts w:ascii="Arial" w:hAnsi="Arial" w:eastAsia="黑体"/>
      <w:kern w:val="2"/>
    </w:rPr>
  </w:style>
  <w:style w:type="character" w:customStyle="1" w:styleId="58">
    <w:name w:val="标题 2 字符"/>
    <w:semiHidden/>
    <w:qFormat/>
    <w:uiPriority w:val="9"/>
    <w:rPr>
      <w:rFonts w:ascii="等线 Light" w:hAnsi="等线 Light" w:eastAsia="等线 Light" w:cs="Times New Roman"/>
      <w:b/>
      <w:bCs/>
      <w:kern w:val="2"/>
      <w:sz w:val="32"/>
      <w:szCs w:val="32"/>
    </w:rPr>
  </w:style>
  <w:style w:type="character" w:customStyle="1" w:styleId="59">
    <w:name w:val="纯文本 字符"/>
    <w:qFormat/>
    <w:uiPriority w:val="0"/>
    <w:rPr>
      <w:rFonts w:ascii="宋体" w:hAnsi="Courier New" w:cs="Courier New"/>
      <w:kern w:val="2"/>
      <w:sz w:val="21"/>
      <w:szCs w:val="21"/>
    </w:rPr>
  </w:style>
  <w:style w:type="character" w:customStyle="1" w:styleId="60">
    <w:name w:val="列表段落 字符"/>
    <w:qFormat/>
    <w:uiPriority w:val="34"/>
    <w:rPr>
      <w:kern w:val="2"/>
      <w:sz w:val="21"/>
      <w:szCs w:val="22"/>
    </w:rPr>
  </w:style>
  <w:style w:type="character" w:customStyle="1" w:styleId="61">
    <w:name w:val="标题 4 Char"/>
    <w:link w:val="6"/>
    <w:qFormat/>
    <w:uiPriority w:val="0"/>
    <w:rPr>
      <w:rFonts w:ascii="宋体" w:hAnsi="宋体"/>
      <w:b/>
      <w:bCs/>
      <w:kern w:val="2"/>
      <w:sz w:val="30"/>
      <w:szCs w:val="30"/>
    </w:rPr>
  </w:style>
  <w:style w:type="character" w:customStyle="1" w:styleId="62">
    <w:name w:val="正文文本 Char"/>
    <w:link w:val="17"/>
    <w:qFormat/>
    <w:uiPriority w:val="0"/>
    <w:rPr>
      <w:kern w:val="2"/>
      <w:sz w:val="21"/>
      <w:szCs w:val="24"/>
    </w:rPr>
  </w:style>
  <w:style w:type="character" w:customStyle="1" w:styleId="63">
    <w:name w:val="列出段落 Char"/>
    <w:link w:val="64"/>
    <w:qFormat/>
    <w:uiPriority w:val="34"/>
    <w:rPr>
      <w:kern w:val="2"/>
      <w:sz w:val="21"/>
      <w:szCs w:val="24"/>
    </w:rPr>
  </w:style>
  <w:style w:type="paragraph" w:customStyle="1" w:styleId="64">
    <w:name w:val="List Paragraph"/>
    <w:basedOn w:val="1"/>
    <w:link w:val="63"/>
    <w:qFormat/>
    <w:uiPriority w:val="34"/>
    <w:pPr>
      <w:ind w:firstLine="420"/>
    </w:pPr>
    <w:rPr>
      <w:rFonts w:ascii="Times New Roman" w:hAnsi="Times New Roman"/>
      <w:sz w:val="21"/>
    </w:rPr>
  </w:style>
  <w:style w:type="character" w:customStyle="1" w:styleId="65">
    <w:name w:val="font21"/>
    <w:qFormat/>
    <w:uiPriority w:val="0"/>
    <w:rPr>
      <w:rFonts w:ascii="Calibri" w:hAnsi="Calibri" w:cs="Calibri"/>
      <w:color w:val="000000"/>
      <w:sz w:val="21"/>
      <w:szCs w:val="21"/>
      <w:u w:val="none"/>
    </w:rPr>
  </w:style>
  <w:style w:type="character" w:customStyle="1" w:styleId="66">
    <w:name w:val="*正文 Char"/>
    <w:link w:val="67"/>
    <w:qFormat/>
    <w:uiPriority w:val="0"/>
    <w:rPr>
      <w:rFonts w:ascii="time" w:hAnsi="time"/>
      <w:sz w:val="24"/>
      <w:szCs w:val="24"/>
      <w:lang w:bidi="en-US"/>
    </w:rPr>
  </w:style>
  <w:style w:type="paragraph" w:customStyle="1" w:styleId="67">
    <w:name w:val="*正文"/>
    <w:basedOn w:val="1"/>
    <w:link w:val="66"/>
    <w:qFormat/>
    <w:uiPriority w:val="0"/>
    <w:pPr>
      <w:widowControl/>
      <w:ind w:firstLine="200"/>
      <w:contextualSpacing/>
    </w:pPr>
    <w:rPr>
      <w:rFonts w:ascii="time" w:hAnsi="time"/>
      <w:kern w:val="0"/>
      <w:lang w:bidi="en-US"/>
    </w:rPr>
  </w:style>
  <w:style w:type="character" w:customStyle="1" w:styleId="68">
    <w:name w:val="正文文本缩进 字符"/>
    <w:semiHidden/>
    <w:qFormat/>
    <w:uiPriority w:val="99"/>
    <w:rPr>
      <w:rFonts w:ascii="宋体" w:hAnsi="宋体"/>
      <w:kern w:val="2"/>
      <w:sz w:val="24"/>
      <w:szCs w:val="24"/>
    </w:rPr>
  </w:style>
  <w:style w:type="character" w:customStyle="1" w:styleId="69">
    <w:name w:val="纯文本 Char"/>
    <w:link w:val="21"/>
    <w:qFormat/>
    <w:locked/>
    <w:uiPriority w:val="0"/>
    <w:rPr>
      <w:rFonts w:ascii="宋体" w:hAnsi="Courier New"/>
      <w:kern w:val="2"/>
      <w:sz w:val="21"/>
    </w:rPr>
  </w:style>
  <w:style w:type="character" w:customStyle="1" w:styleId="70">
    <w:name w:val="my正文 Char"/>
    <w:link w:val="71"/>
    <w:qFormat/>
    <w:uiPriority w:val="0"/>
    <w:rPr>
      <w:kern w:val="2"/>
      <w:sz w:val="21"/>
      <w:szCs w:val="24"/>
    </w:rPr>
  </w:style>
  <w:style w:type="paragraph" w:customStyle="1" w:styleId="71">
    <w:name w:val="my正文"/>
    <w:basedOn w:val="1"/>
    <w:link w:val="70"/>
    <w:qFormat/>
    <w:uiPriority w:val="0"/>
    <w:pPr>
      <w:spacing w:line="240" w:lineRule="auto"/>
      <w:ind w:firstLine="0" w:firstLineChars="0"/>
    </w:pPr>
    <w:rPr>
      <w:rFonts w:ascii="Times New Roman" w:hAnsi="Times New Roman"/>
      <w:sz w:val="21"/>
    </w:rPr>
  </w:style>
  <w:style w:type="character" w:customStyle="1" w:styleId="72">
    <w:name w:val="正文2 字符"/>
    <w:link w:val="73"/>
    <w:qFormat/>
    <w:uiPriority w:val="0"/>
    <w:rPr>
      <w:kern w:val="2"/>
      <w:sz w:val="21"/>
      <w:szCs w:val="24"/>
    </w:rPr>
  </w:style>
  <w:style w:type="paragraph" w:customStyle="1" w:styleId="73">
    <w:name w:val="正文2"/>
    <w:basedOn w:val="1"/>
    <w:link w:val="72"/>
    <w:qFormat/>
    <w:uiPriority w:val="0"/>
    <w:pPr>
      <w:ind w:firstLine="420"/>
    </w:pPr>
    <w:rPr>
      <w:rFonts w:ascii="Times New Roman" w:hAnsi="Times New Roman"/>
      <w:sz w:val="21"/>
    </w:rPr>
  </w:style>
  <w:style w:type="character" w:customStyle="1" w:styleId="74">
    <w:name w:val="font41"/>
    <w:qFormat/>
    <w:uiPriority w:val="0"/>
    <w:rPr>
      <w:rFonts w:hint="eastAsia" w:ascii="宋体" w:hAnsi="宋体" w:eastAsia="宋体" w:cs="宋体"/>
      <w:color w:val="000000"/>
      <w:sz w:val="21"/>
      <w:szCs w:val="21"/>
      <w:u w:val="none"/>
    </w:rPr>
  </w:style>
  <w:style w:type="character" w:customStyle="1" w:styleId="75">
    <w:name w:val="标题 7 Char"/>
    <w:link w:val="9"/>
    <w:qFormat/>
    <w:uiPriority w:val="9"/>
    <w:rPr>
      <w:b/>
      <w:bCs/>
      <w:kern w:val="2"/>
      <w:sz w:val="21"/>
      <w:szCs w:val="24"/>
    </w:rPr>
  </w:style>
  <w:style w:type="character" w:customStyle="1" w:styleId="76">
    <w:name w:val="批注框文本 字符"/>
    <w:semiHidden/>
    <w:qFormat/>
    <w:uiPriority w:val="99"/>
    <w:rPr>
      <w:rFonts w:ascii="宋体" w:hAnsi="宋体"/>
      <w:kern w:val="2"/>
      <w:sz w:val="18"/>
      <w:szCs w:val="18"/>
    </w:rPr>
  </w:style>
  <w:style w:type="character" w:customStyle="1" w:styleId="77">
    <w:name w:val="副标题 Char1"/>
    <w:qFormat/>
    <w:uiPriority w:val="0"/>
    <w:rPr>
      <w:rFonts w:ascii="Calibri Light" w:hAnsi="Calibri Light" w:cs="Times New Roman"/>
      <w:b/>
      <w:bCs/>
      <w:kern w:val="28"/>
      <w:sz w:val="32"/>
      <w:szCs w:val="32"/>
    </w:rPr>
  </w:style>
  <w:style w:type="character" w:customStyle="1" w:styleId="78">
    <w:name w:val="标题 1 Char1"/>
    <w:link w:val="2"/>
    <w:qFormat/>
    <w:uiPriority w:val="0"/>
    <w:rPr>
      <w:rFonts w:ascii="宋体" w:hAnsi="宋体" w:eastAsia="黑体"/>
      <w:b/>
      <w:bCs/>
      <w:kern w:val="44"/>
      <w:sz w:val="32"/>
      <w:szCs w:val="28"/>
    </w:rPr>
  </w:style>
  <w:style w:type="character" w:customStyle="1" w:styleId="79">
    <w:name w:val="批注文字 字符"/>
    <w:qFormat/>
    <w:uiPriority w:val="99"/>
    <w:rPr>
      <w:rFonts w:ascii="宋体" w:hAnsi="宋体"/>
      <w:kern w:val="2"/>
      <w:sz w:val="24"/>
      <w:szCs w:val="24"/>
    </w:rPr>
  </w:style>
  <w:style w:type="character" w:customStyle="1" w:styleId="80">
    <w:name w:val="文档结构图 字符"/>
    <w:semiHidden/>
    <w:qFormat/>
    <w:uiPriority w:val="99"/>
    <w:rPr>
      <w:rFonts w:ascii="Microsoft YaHei UI" w:hAnsi="宋体" w:eastAsia="Microsoft YaHei UI"/>
      <w:kern w:val="2"/>
      <w:sz w:val="18"/>
      <w:szCs w:val="18"/>
    </w:rPr>
  </w:style>
  <w:style w:type="character" w:customStyle="1" w:styleId="81">
    <w:name w:val="标题 6 字符"/>
    <w:semiHidden/>
    <w:qFormat/>
    <w:uiPriority w:val="9"/>
    <w:rPr>
      <w:rFonts w:ascii="等线 Light" w:hAnsi="等线 Light" w:eastAsia="等线 Light" w:cs="Times New Roman"/>
      <w:b/>
      <w:bCs/>
      <w:kern w:val="2"/>
      <w:sz w:val="24"/>
      <w:szCs w:val="24"/>
    </w:rPr>
  </w:style>
  <w:style w:type="character" w:customStyle="1" w:styleId="82">
    <w:name w:val="正文正文2 Char"/>
    <w:link w:val="83"/>
    <w:qFormat/>
    <w:uiPriority w:val="0"/>
    <w:rPr>
      <w:rFonts w:ascii="宋体" w:hAnsi="宋体"/>
      <w:kern w:val="2"/>
      <w:sz w:val="21"/>
      <w:szCs w:val="21"/>
    </w:rPr>
  </w:style>
  <w:style w:type="paragraph" w:customStyle="1" w:styleId="83">
    <w:name w:val="正文正文2"/>
    <w:basedOn w:val="1"/>
    <w:link w:val="82"/>
    <w:qFormat/>
    <w:uiPriority w:val="0"/>
    <w:pPr>
      <w:ind w:firstLine="460"/>
    </w:pPr>
    <w:rPr>
      <w:sz w:val="21"/>
      <w:szCs w:val="21"/>
    </w:rPr>
  </w:style>
  <w:style w:type="character" w:customStyle="1" w:styleId="84">
    <w:name w:val="标题 3 Char"/>
    <w:link w:val="4"/>
    <w:qFormat/>
    <w:uiPriority w:val="0"/>
    <w:rPr>
      <w:rFonts w:ascii="宋体" w:hAnsi="宋体"/>
      <w:b/>
      <w:bCs/>
      <w:kern w:val="2"/>
      <w:sz w:val="28"/>
      <w:szCs w:val="28"/>
    </w:rPr>
  </w:style>
  <w:style w:type="character" w:customStyle="1" w:styleId="85">
    <w:name w:val="标题 4 字符"/>
    <w:semiHidden/>
    <w:qFormat/>
    <w:uiPriority w:val="9"/>
    <w:rPr>
      <w:rFonts w:ascii="等线 Light" w:hAnsi="等线 Light" w:eastAsia="等线 Light" w:cs="Times New Roman"/>
      <w:b/>
      <w:bCs/>
      <w:kern w:val="2"/>
      <w:sz w:val="28"/>
      <w:szCs w:val="28"/>
    </w:rPr>
  </w:style>
  <w:style w:type="character" w:customStyle="1" w:styleId="86">
    <w:name w:val="批注主题 Char"/>
    <w:link w:val="35"/>
    <w:qFormat/>
    <w:uiPriority w:val="0"/>
    <w:rPr>
      <w:rFonts w:eastAsia="仿宋"/>
      <w:b/>
      <w:bCs/>
      <w:kern w:val="2"/>
      <w:sz w:val="21"/>
      <w:szCs w:val="24"/>
    </w:rPr>
  </w:style>
  <w:style w:type="character" w:customStyle="1" w:styleId="87">
    <w:name w:val="页眉 字符"/>
    <w:semiHidden/>
    <w:qFormat/>
    <w:uiPriority w:val="99"/>
    <w:rPr>
      <w:rFonts w:ascii="宋体" w:hAnsi="宋体"/>
      <w:kern w:val="2"/>
      <w:sz w:val="18"/>
      <w:szCs w:val="18"/>
    </w:rPr>
  </w:style>
  <w:style w:type="character" w:customStyle="1" w:styleId="88">
    <w:name w:val="正文文本缩进 Char"/>
    <w:link w:val="18"/>
    <w:qFormat/>
    <w:uiPriority w:val="0"/>
    <w:rPr>
      <w:kern w:val="2"/>
      <w:sz w:val="21"/>
    </w:rPr>
  </w:style>
  <w:style w:type="character" w:customStyle="1" w:styleId="89">
    <w:name w:val="标题 5 Char"/>
    <w:link w:val="7"/>
    <w:qFormat/>
    <w:uiPriority w:val="0"/>
    <w:rPr>
      <w:rFonts w:ascii="宋体" w:hAnsi="宋体"/>
      <w:b/>
      <w:bCs/>
      <w:kern w:val="2"/>
      <w:sz w:val="24"/>
      <w:szCs w:val="28"/>
    </w:rPr>
  </w:style>
  <w:style w:type="character" w:customStyle="1" w:styleId="90">
    <w:name w:val="副标题 Char"/>
    <w:link w:val="29"/>
    <w:qFormat/>
    <w:uiPriority w:val="0"/>
    <w:rPr>
      <w:rFonts w:ascii="Calibri Light" w:hAnsi="Calibri Light"/>
      <w:b/>
      <w:bCs/>
      <w:kern w:val="28"/>
      <w:sz w:val="32"/>
      <w:szCs w:val="32"/>
    </w:rPr>
  </w:style>
  <w:style w:type="character" w:customStyle="1" w:styleId="91">
    <w:name w:val="标题 2 Char"/>
    <w:link w:val="3"/>
    <w:qFormat/>
    <w:uiPriority w:val="9"/>
    <w:rPr>
      <w:rFonts w:ascii="宋体" w:hAnsi="宋体" w:eastAsia="宋体"/>
      <w:b/>
      <w:bCs/>
      <w:kern w:val="2"/>
      <w:sz w:val="30"/>
      <w:szCs w:val="32"/>
    </w:rPr>
  </w:style>
  <w:style w:type="character" w:customStyle="1" w:styleId="92">
    <w:name w:val="页脚 Char"/>
    <w:link w:val="25"/>
    <w:qFormat/>
    <w:uiPriority w:val="99"/>
    <w:rPr>
      <w:kern w:val="2"/>
      <w:sz w:val="18"/>
      <w:szCs w:val="18"/>
    </w:rPr>
  </w:style>
  <w:style w:type="character" w:customStyle="1" w:styleId="93">
    <w:name w:val="批注主题 字符"/>
    <w:semiHidden/>
    <w:qFormat/>
    <w:uiPriority w:val="99"/>
    <w:rPr>
      <w:rFonts w:ascii="宋体" w:hAnsi="宋体"/>
      <w:b/>
      <w:bCs/>
      <w:kern w:val="2"/>
      <w:sz w:val="24"/>
      <w:szCs w:val="24"/>
    </w:rPr>
  </w:style>
  <w:style w:type="character" w:customStyle="1" w:styleId="94">
    <w:name w:val="文档结构图 Char"/>
    <w:link w:val="15"/>
    <w:qFormat/>
    <w:uiPriority w:val="0"/>
    <w:rPr>
      <w:rFonts w:ascii="宋体"/>
      <w:kern w:val="2"/>
      <w:sz w:val="18"/>
      <w:szCs w:val="18"/>
    </w:rPr>
  </w:style>
  <w:style w:type="character" w:customStyle="1" w:styleId="95">
    <w:name w:val="font31"/>
    <w:qFormat/>
    <w:uiPriority w:val="0"/>
    <w:rPr>
      <w:rFonts w:hint="eastAsia" w:ascii="宋体" w:hAnsi="宋体" w:eastAsia="宋体" w:cs="宋体"/>
      <w:color w:val="000000"/>
      <w:sz w:val="21"/>
      <w:szCs w:val="21"/>
      <w:u w:val="none"/>
    </w:rPr>
  </w:style>
  <w:style w:type="character" w:customStyle="1" w:styleId="96">
    <w:name w:val="标准正文 Char"/>
    <w:link w:val="97"/>
    <w:qFormat/>
    <w:uiPriority w:val="0"/>
    <w:rPr>
      <w:rFonts w:ascii="Arial" w:hAnsi="Arial"/>
      <w:kern w:val="2"/>
      <w:sz w:val="24"/>
    </w:rPr>
  </w:style>
  <w:style w:type="paragraph" w:customStyle="1" w:styleId="97">
    <w:name w:val="标准正文"/>
    <w:basedOn w:val="18"/>
    <w:link w:val="96"/>
    <w:qFormat/>
    <w:uiPriority w:val="0"/>
    <w:pPr>
      <w:spacing w:before="60" w:after="60"/>
      <w:ind w:firstLine="482" w:firstLineChars="0"/>
    </w:pPr>
    <w:rPr>
      <w:rFonts w:ascii="Arial" w:hAnsi="Arial"/>
      <w:sz w:val="24"/>
    </w:rPr>
  </w:style>
  <w:style w:type="character" w:customStyle="1" w:styleId="98">
    <w:name w:val="标题 Char"/>
    <w:link w:val="34"/>
    <w:qFormat/>
    <w:uiPriority w:val="0"/>
    <w:rPr>
      <w:rFonts w:ascii="Cambria" w:hAnsi="Cambria" w:eastAsia="黑体"/>
      <w:b/>
      <w:bCs/>
      <w:kern w:val="2"/>
      <w:sz w:val="52"/>
      <w:szCs w:val="32"/>
    </w:rPr>
  </w:style>
  <w:style w:type="character" w:customStyle="1" w:styleId="99">
    <w:name w:val="批注框文本 Char"/>
    <w:link w:val="24"/>
    <w:qFormat/>
    <w:uiPriority w:val="0"/>
    <w:rPr>
      <w:kern w:val="2"/>
      <w:sz w:val="18"/>
      <w:szCs w:val="18"/>
    </w:rPr>
  </w:style>
  <w:style w:type="character" w:customStyle="1" w:styleId="100">
    <w:name w:val="页眉 Char"/>
    <w:link w:val="26"/>
    <w:qFormat/>
    <w:uiPriority w:val="99"/>
    <w:rPr>
      <w:kern w:val="2"/>
      <w:sz w:val="18"/>
      <w:szCs w:val="18"/>
    </w:rPr>
  </w:style>
  <w:style w:type="character" w:customStyle="1" w:styleId="101">
    <w:name w:val="标题 8 Char"/>
    <w:link w:val="10"/>
    <w:qFormat/>
    <w:uiPriority w:val="9"/>
    <w:rPr>
      <w:rFonts w:ascii="Cambria" w:hAnsi="Cambria"/>
      <w:kern w:val="2"/>
      <w:sz w:val="21"/>
      <w:szCs w:val="24"/>
    </w:rPr>
  </w:style>
  <w:style w:type="character" w:customStyle="1" w:styleId="102">
    <w:name w:val="标题 6 Char"/>
    <w:link w:val="8"/>
    <w:qFormat/>
    <w:uiPriority w:val="0"/>
    <w:rPr>
      <w:rFonts w:ascii="Cambria" w:hAnsi="Cambria"/>
      <w:b/>
      <w:bCs/>
      <w:kern w:val="2"/>
      <w:sz w:val="24"/>
      <w:szCs w:val="24"/>
    </w:rPr>
  </w:style>
  <w:style w:type="character" w:customStyle="1" w:styleId="103">
    <w:name w:val="标题 字符"/>
    <w:qFormat/>
    <w:uiPriority w:val="10"/>
    <w:rPr>
      <w:rFonts w:ascii="等线 Light" w:hAnsi="等线 Light" w:eastAsia="等线 Light" w:cs="Times New Roman"/>
      <w:b/>
      <w:bCs/>
      <w:kern w:val="2"/>
      <w:sz w:val="32"/>
      <w:szCs w:val="32"/>
    </w:rPr>
  </w:style>
  <w:style w:type="character" w:customStyle="1" w:styleId="104">
    <w:name w:val="副标题 字符"/>
    <w:qFormat/>
    <w:uiPriority w:val="11"/>
    <w:rPr>
      <w:rFonts w:ascii="等线" w:hAnsi="等线" w:eastAsia="等线" w:cs="Times New Roman"/>
      <w:b/>
      <w:bCs/>
      <w:kern w:val="28"/>
      <w:sz w:val="32"/>
      <w:szCs w:val="32"/>
    </w:rPr>
  </w:style>
  <w:style w:type="paragraph" w:customStyle="1" w:styleId="105">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6">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7">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8">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9">
    <w:name w:val="正文缩进1"/>
    <w:basedOn w:val="1"/>
    <w:qFormat/>
    <w:uiPriority w:val="0"/>
    <w:pPr>
      <w:spacing w:line="240" w:lineRule="auto"/>
      <w:ind w:firstLine="420"/>
    </w:pPr>
    <w:rPr>
      <w:rFonts w:ascii="Times New Roman" w:hAnsi="Times New Roman"/>
      <w:sz w:val="21"/>
      <w:szCs w:val="20"/>
    </w:rPr>
  </w:style>
  <w:style w:type="paragraph" w:customStyle="1" w:styleId="110">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11">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2">
    <w:name w:val="Indent Normal"/>
    <w:basedOn w:val="1"/>
    <w:qFormat/>
    <w:uiPriority w:val="0"/>
    <w:pPr>
      <w:ind w:firstLine="150" w:firstLineChars="150"/>
    </w:pPr>
  </w:style>
  <w:style w:type="paragraph" w:customStyle="1" w:styleId="113">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4">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5">
    <w:name w:val="列项●（二级）"/>
    <w:qFormat/>
    <w:uiPriority w:val="0"/>
    <w:pPr>
      <w:numPr>
        <w:ilvl w:val="0"/>
        <w:numId w:val="2"/>
      </w:numPr>
      <w:tabs>
        <w:tab w:val="left" w:pos="840"/>
        <w:tab w:val="clear" w:pos="760"/>
      </w:tabs>
      <w:ind w:left="600" w:leftChars="400" w:hanging="200" w:hangingChars="200"/>
      <w:jc w:val="both"/>
    </w:pPr>
    <w:rPr>
      <w:rFonts w:ascii="宋体" w:hAnsi="Times New Roman" w:eastAsia="宋体" w:cs="Times New Roman"/>
      <w:sz w:val="21"/>
      <w:lang w:val="en-US" w:eastAsia="zh-CN" w:bidi="ar-SA"/>
    </w:rPr>
  </w:style>
  <w:style w:type="paragraph" w:customStyle="1" w:styleId="116">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7">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8">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20">
    <w:name w:val="Char Char Char Char Char Char1 Char"/>
    <w:basedOn w:val="1"/>
    <w:qFormat/>
    <w:uiPriority w:val="0"/>
    <w:pPr>
      <w:widowControl/>
      <w:spacing w:after="160" w:line="240" w:lineRule="exact"/>
      <w:jc w:val="left"/>
    </w:pPr>
  </w:style>
  <w:style w:type="paragraph" w:customStyle="1" w:styleId="121">
    <w:name w:val="PM_Body"/>
    <w:basedOn w:val="1"/>
    <w:qFormat/>
    <w:locked/>
    <w:uiPriority w:val="0"/>
    <w:rPr>
      <w:szCs w:val="21"/>
    </w:rPr>
  </w:style>
  <w:style w:type="paragraph" w:customStyle="1" w:styleId="122">
    <w:name w:val="Char Char1"/>
    <w:basedOn w:val="1"/>
    <w:qFormat/>
    <w:uiPriority w:val="0"/>
    <w:pPr>
      <w:widowControl/>
      <w:spacing w:before="120" w:after="120"/>
    </w:pPr>
    <w:rPr>
      <w:rFonts w:ascii="Times New Roman" w:hAnsi="Times New Roman" w:cs="宋体"/>
    </w:rPr>
  </w:style>
  <w:style w:type="paragraph" w:customStyle="1" w:styleId="123">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4">
    <w:name w:val="Revision"/>
    <w:unhideWhenUsed/>
    <w:qFormat/>
    <w:uiPriority w:val="99"/>
    <w:rPr>
      <w:rFonts w:ascii="宋体" w:hAnsi="宋体" w:eastAsia="宋体" w:cs="Times New Roman"/>
      <w:kern w:val="2"/>
      <w:sz w:val="24"/>
      <w:szCs w:val="24"/>
      <w:lang w:val="en-US" w:eastAsia="zh-CN" w:bidi="ar-SA"/>
    </w:rPr>
  </w:style>
  <w:style w:type="paragraph" w:customStyle="1" w:styleId="125">
    <w:name w:val="列出段落2"/>
    <w:basedOn w:val="1"/>
    <w:qFormat/>
    <w:uiPriority w:val="0"/>
    <w:pPr>
      <w:spacing w:line="240" w:lineRule="auto"/>
      <w:ind w:firstLine="420"/>
    </w:pPr>
    <w:rPr>
      <w:rFonts w:ascii="等线" w:hAnsi="等线" w:eastAsia="等线" w:cs="等线"/>
      <w:sz w:val="21"/>
      <w:szCs w:val="21"/>
    </w:rPr>
  </w:style>
  <w:style w:type="paragraph" w:customStyle="1" w:styleId="126">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8">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0">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31">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2">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3">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5">
    <w:name w:val="标题 1 Char"/>
    <w:qFormat/>
    <w:uiPriority w:val="0"/>
    <w:rPr>
      <w:rFonts w:ascii="宋体" w:hAnsi="宋体" w:eastAsia="黑体"/>
      <w:b/>
      <w:bCs/>
      <w:kern w:val="44"/>
      <w:sz w:val="32"/>
      <w:szCs w:val="28"/>
    </w:rPr>
  </w:style>
  <w:style w:type="character" w:customStyle="1" w:styleId="136">
    <w:name w:val="纯文本 Char2"/>
    <w:qFormat/>
    <w:uiPriority w:val="0"/>
    <w:rPr>
      <w:rFonts w:ascii="宋体" w:hAnsi="宋体" w:eastAsia="宋体" w:cs="Times New Roman"/>
      <w:color w:val="000000"/>
      <w:kern w:val="0"/>
      <w:sz w:val="24"/>
      <w:szCs w:val="24"/>
    </w:rPr>
  </w:style>
  <w:style w:type="paragraph" w:customStyle="1" w:styleId="137">
    <w:name w:val="列出段落1"/>
    <w:basedOn w:val="1"/>
    <w:qFormat/>
    <w:uiPriority w:val="34"/>
    <w:pPr>
      <w:spacing w:line="240" w:lineRule="auto"/>
      <w:ind w:firstLine="42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11825</Words>
  <Characters>12330</Characters>
  <Lines>65</Lines>
  <Paragraphs>18</Paragraphs>
  <TotalTime>2</TotalTime>
  <ScaleCrop>false</ScaleCrop>
  <LinksUpToDate>false</LinksUpToDate>
  <CharactersWithSpaces>12350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2022-12-30T09:54:00Z</dcterms:created>
  <dc:creator>gtig_tzb</dc:creator>
  <cp:lastModifiedBy>王婉婷</cp:lastModifiedBy>
  <cp:lastPrinted>2020-08-13T20:08:00Z</cp:lastPrinted>
  <dcterms:modified xsi:type="dcterms:W3CDTF">2026-04-17T14:25:28Z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A3C2FC3C80C84AFA8C3BCBA1599E2390_13</vt:lpwstr>
  </property>
  <property fmtid="{D5CDD505-2E9C-101B-9397-08002B2CF9AE}" pid="4" name="KSOTemplateDocerSaveRecord">
    <vt:lpwstr>eyJoZGlkIjoiMTQxZmVlYTNkYzUzZTAzZDI0NGY3MDRiZGZhYjkwZWUiLCJ1c2VySWQiOiI5MDgzNDM0NjYifQ==</vt:lpwstr>
  </property>
</Properties>
</file>